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3A69AF" w14:paraId="32BB71D5" w14:textId="77777777" w:rsidTr="00425111">
        <w:trPr>
          <w:trHeight w:hRule="exact" w:val="1418"/>
        </w:trPr>
        <w:tc>
          <w:tcPr>
            <w:tcW w:w="6804" w:type="dxa"/>
            <w:shd w:val="clear" w:color="auto" w:fill="auto"/>
            <w:vAlign w:val="center"/>
          </w:tcPr>
          <w:p w14:paraId="79F604D7" w14:textId="77777777" w:rsidR="00757DD5" w:rsidRPr="003A69AF" w:rsidRDefault="00C153DE" w:rsidP="00905953">
            <w:pPr>
              <w:pStyle w:val="EPName"/>
            </w:pPr>
            <w:r w:rsidRPr="003A69AF">
              <w:t>Euroopan parlamentti</w:t>
            </w:r>
          </w:p>
          <w:p w14:paraId="6E24B5D2" w14:textId="77777777" w:rsidR="00757DD5" w:rsidRPr="003A69AF" w:rsidRDefault="00C153DE" w:rsidP="00905953">
            <w:pPr>
              <w:pStyle w:val="EPTerm"/>
              <w:rPr>
                <w:rStyle w:val="HideTWBExt"/>
                <w:noProof w:val="0"/>
                <w:vanish w:val="0"/>
              </w:rPr>
            </w:pPr>
            <w:proofErr w:type="gramStart"/>
            <w:r w:rsidRPr="003A69AF">
              <w:t>2024-2029</w:t>
            </w:r>
            <w:proofErr w:type="gramEnd"/>
          </w:p>
        </w:tc>
        <w:tc>
          <w:tcPr>
            <w:tcW w:w="2268" w:type="dxa"/>
            <w:shd w:val="clear" w:color="auto" w:fill="auto"/>
          </w:tcPr>
          <w:p w14:paraId="1160341A" w14:textId="77777777" w:rsidR="00757DD5" w:rsidRPr="003A69AF" w:rsidRDefault="00172070" w:rsidP="00905953">
            <w:pPr>
              <w:pStyle w:val="EPLogo"/>
              <w:rPr>
                <w:lang w:val="fi-FI"/>
              </w:rPr>
            </w:pPr>
            <w:r w:rsidRPr="003A69AF">
              <w:rPr>
                <w:noProof/>
                <w:lang w:val="fi-FI"/>
              </w:rPr>
              <w:drawing>
                <wp:inline distT="0" distB="0" distL="0" distR="0" wp14:anchorId="6C2BA986" wp14:editId="62136221">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C0ACE8C" w14:textId="77777777" w:rsidR="008E7632" w:rsidRPr="003A69AF" w:rsidRDefault="008E7632" w:rsidP="00905953">
      <w:pPr>
        <w:pStyle w:val="LineTop"/>
      </w:pPr>
    </w:p>
    <w:p w14:paraId="25A2A65B" w14:textId="77777777" w:rsidR="008E7632" w:rsidRPr="003A69AF" w:rsidRDefault="00C153DE" w:rsidP="00905953">
      <w:pPr>
        <w:pStyle w:val="ZSessionDoc"/>
        <w:rPr>
          <w:b/>
          <w:i w:val="0"/>
          <w:lang w:val="fi-FI"/>
        </w:rPr>
      </w:pPr>
      <w:r w:rsidRPr="003A69AF">
        <w:rPr>
          <w:b/>
          <w:i w:val="0"/>
          <w:lang w:val="fi-FI"/>
        </w:rPr>
        <w:t>HYVÄKSYTYT TEKSTIT</w:t>
      </w:r>
    </w:p>
    <w:p w14:paraId="6BD4AE33" w14:textId="0EB4FF84" w:rsidR="008E7632" w:rsidRPr="003A69AF" w:rsidRDefault="008E7632" w:rsidP="00905953">
      <w:pPr>
        <w:pStyle w:val="LineBottom"/>
        <w:rPr>
          <w:lang w:val="fi-FI"/>
        </w:rPr>
      </w:pPr>
    </w:p>
    <w:p w14:paraId="592BBCC2" w14:textId="05F08A21" w:rsidR="009C4014" w:rsidRPr="003A69AF" w:rsidRDefault="00C153DE" w:rsidP="00905953">
      <w:pPr>
        <w:pStyle w:val="ATHeading1"/>
        <w:spacing w:before="480"/>
        <w:rPr>
          <w:noProof w:val="0"/>
        </w:rPr>
      </w:pPr>
      <w:bookmarkStart w:id="0" w:name="TA_Heading"/>
      <w:r w:rsidRPr="003A69AF">
        <w:rPr>
          <w:noProof w:val="0"/>
        </w:rPr>
        <w:t>P10_</w:t>
      </w:r>
      <w:proofErr w:type="gramStart"/>
      <w:r w:rsidRPr="003A69AF">
        <w:rPr>
          <w:noProof w:val="0"/>
        </w:rPr>
        <w:t>TA(</w:t>
      </w:r>
      <w:proofErr w:type="gramEnd"/>
      <w:r w:rsidRPr="003A69AF">
        <w:rPr>
          <w:noProof w:val="0"/>
        </w:rPr>
        <w:t>2026)</w:t>
      </w:r>
      <w:bookmarkStart w:id="1" w:name="TANumber"/>
      <w:bookmarkEnd w:id="0"/>
      <w:r w:rsidRPr="003A69AF">
        <w:rPr>
          <w:noProof w:val="0"/>
        </w:rPr>
        <w:t>0</w:t>
      </w:r>
      <w:r w:rsidR="00DA6CE6" w:rsidRPr="003A69AF">
        <w:rPr>
          <w:noProof w:val="0"/>
        </w:rPr>
        <w:t>266</w:t>
      </w:r>
      <w:bookmarkEnd w:id="1"/>
    </w:p>
    <w:p w14:paraId="7DF53D68" w14:textId="53AE3118" w:rsidR="009C4014" w:rsidRPr="003A69AF" w:rsidRDefault="00E450DC" w:rsidP="00905953">
      <w:pPr>
        <w:pStyle w:val="ATHeading2"/>
        <w:rPr>
          <w:noProof w:val="0"/>
        </w:rPr>
      </w:pPr>
      <w:bookmarkStart w:id="2" w:name="title"/>
      <w:r w:rsidRPr="003A69AF">
        <w:rPr>
          <w:bCs/>
          <w:noProof w:val="0"/>
        </w:rPr>
        <w:t>Tilapäinen poikkeus sähköisen viestinnän tietosuojadirektiiviin</w:t>
      </w:r>
      <w:bookmarkStart w:id="3" w:name="Etoiles"/>
      <w:bookmarkEnd w:id="3"/>
      <w:bookmarkEnd w:id="2"/>
    </w:p>
    <w:p w14:paraId="4441C44E" w14:textId="77777777" w:rsidR="009C4014" w:rsidRPr="003A69AF" w:rsidRDefault="009C4014" w:rsidP="00905953">
      <w:pPr>
        <w:rPr>
          <w:i/>
          <w:vanish/>
        </w:rPr>
      </w:pPr>
      <w:r w:rsidRPr="003A69AF">
        <w:rPr>
          <w:i/>
        </w:rPr>
        <w:fldChar w:fldCharType="begin"/>
      </w:r>
      <w:r w:rsidRPr="003A69AF">
        <w:rPr>
          <w:i/>
        </w:rPr>
        <w:instrText xml:space="preserve"> TC"</w:instrText>
      </w:r>
      <w:bookmarkStart w:id="4" w:name="DocNumber"/>
      <w:r w:rsidR="00C153DE" w:rsidRPr="003A69AF">
        <w:rPr>
          <w:i/>
        </w:rPr>
        <w:instrText>(C10-0178/2026)</w:instrText>
      </w:r>
      <w:bookmarkEnd w:id="4"/>
      <w:r w:rsidRPr="003A69AF">
        <w:rPr>
          <w:i/>
        </w:rPr>
        <w:instrText xml:space="preserve">"\l3 \n&gt; \* MERGEFORMAT </w:instrText>
      </w:r>
      <w:r w:rsidRPr="003A69AF">
        <w:rPr>
          <w:i/>
        </w:rPr>
        <w:fldChar w:fldCharType="end"/>
      </w:r>
    </w:p>
    <w:p w14:paraId="2A14B230" w14:textId="77777777" w:rsidR="00C153DE" w:rsidRPr="003A69AF" w:rsidRDefault="00C153DE" w:rsidP="00905953">
      <w:pPr>
        <w:rPr>
          <w:vanish/>
        </w:rPr>
      </w:pPr>
      <w:bookmarkStart w:id="5" w:name="Commission"/>
      <w:r w:rsidRPr="003A69AF">
        <w:rPr>
          <w:vanish/>
        </w:rPr>
        <w:t>Kansalaisvapauksien sekä oikeus- ja sisäasioiden valiokunta</w:t>
      </w:r>
    </w:p>
    <w:p w14:paraId="7704AAB5" w14:textId="4E2ADB8A" w:rsidR="009C4014" w:rsidRPr="003A69AF" w:rsidRDefault="00C153DE" w:rsidP="00905953">
      <w:pPr>
        <w:rPr>
          <w:vanish/>
        </w:rPr>
      </w:pPr>
      <w:bookmarkStart w:id="6" w:name="PE"/>
      <w:bookmarkEnd w:id="5"/>
      <w:r w:rsidRPr="003A69AF">
        <w:rPr>
          <w:vanish/>
        </w:rPr>
        <w:t>PE</w:t>
      </w:r>
      <w:r w:rsidR="00A05D76" w:rsidRPr="003A69AF">
        <w:rPr>
          <w:vanish/>
        </w:rPr>
        <w:t>79</w:t>
      </w:r>
      <w:r w:rsidRPr="003A69AF">
        <w:rPr>
          <w:vanish/>
        </w:rPr>
        <w:t>0.</w:t>
      </w:r>
      <w:r w:rsidR="00A05D76" w:rsidRPr="003A69AF">
        <w:rPr>
          <w:vanish/>
        </w:rPr>
        <w:t>735</w:t>
      </w:r>
      <w:bookmarkEnd w:id="6"/>
    </w:p>
    <w:p w14:paraId="0915E8B4" w14:textId="39C4D636" w:rsidR="009C4014" w:rsidRPr="003A69AF" w:rsidRDefault="00C153DE" w:rsidP="00905953">
      <w:pPr>
        <w:pStyle w:val="ATHeading3"/>
        <w:rPr>
          <w:noProof w:val="0"/>
        </w:rPr>
      </w:pPr>
      <w:r w:rsidRPr="003A69AF">
        <w:rPr>
          <w:noProof w:val="0"/>
        </w:rPr>
        <w:t xml:space="preserve">Euroopan parlamentin lainsäädäntöpäätöslauselma </w:t>
      </w:r>
      <w:r w:rsidR="004D5670" w:rsidRPr="003A69AF">
        <w:rPr>
          <w:noProof w:val="0"/>
        </w:rPr>
        <w:t>9</w:t>
      </w:r>
      <w:r w:rsidRPr="003A69AF">
        <w:rPr>
          <w:noProof w:val="0"/>
        </w:rPr>
        <w:t xml:space="preserve">. </w:t>
      </w:r>
      <w:r w:rsidR="004D5670" w:rsidRPr="003A69AF">
        <w:rPr>
          <w:noProof w:val="0"/>
        </w:rPr>
        <w:t>heinä</w:t>
      </w:r>
      <w:r w:rsidRPr="003A69AF">
        <w:rPr>
          <w:noProof w:val="0"/>
        </w:rPr>
        <w:t xml:space="preserve">kuuta 2026 </w:t>
      </w:r>
      <w:r w:rsidRPr="003A69AF">
        <w:t>neuvoston ensimmäisen käsittelyn kannasta Euroopan parlamentin ja neuvoston asetuksen antamiseksi</w:t>
      </w:r>
      <w:r w:rsidR="00E73B02" w:rsidRPr="003A69AF">
        <w:rPr>
          <w:noProof w:val="0"/>
        </w:rPr>
        <w:t xml:space="preserve"> </w:t>
      </w:r>
      <w:bookmarkStart w:id="7" w:name="References"/>
      <w:r w:rsidR="00201BE1" w:rsidRPr="003A69AF">
        <w:rPr>
          <w:szCs w:val="24"/>
        </w:rPr>
        <w:t xml:space="preserve">tilapäisestä poikkeuksesta direktiivin 2002/58/EY tiettyihin säännöksiin siltä osin kuin on kyse teknologioista, joita numeroista riippumattomien henkilöiden välisten viestintäpalvelujen tarjoajat käyttävät henkilötietojen ja muiden tietojen käsittelyyn verkossa tapahtuvan lasten seksuaalisen hyväksikäytön torjumiseksi </w:t>
      </w:r>
      <w:r w:rsidRPr="003A69AF">
        <w:rPr>
          <w:noProof w:val="0"/>
        </w:rPr>
        <w:t>(11261/1/2026 – C10</w:t>
      </w:r>
      <w:r w:rsidR="006B526D" w:rsidRPr="003A69AF">
        <w:rPr>
          <w:noProof w:val="0"/>
        </w:rPr>
        <w:t>-</w:t>
      </w:r>
      <w:r w:rsidRPr="003A69AF">
        <w:rPr>
          <w:noProof w:val="0"/>
        </w:rPr>
        <w:t>0178/2026 – 2025/0429(COD))</w:t>
      </w:r>
      <w:bookmarkEnd w:id="7"/>
    </w:p>
    <w:p w14:paraId="62BA2234" w14:textId="77777777" w:rsidR="00C153DE" w:rsidRPr="003A69AF" w:rsidRDefault="00C153DE" w:rsidP="00905953">
      <w:r w:rsidRPr="003A69AF">
        <w:rPr>
          <w:b/>
        </w:rPr>
        <w:t>(Tavallinen lainsäätämisjärjestys: toinen käsittely)</w:t>
      </w:r>
    </w:p>
    <w:p w14:paraId="19BF03E7" w14:textId="77777777" w:rsidR="00C153DE" w:rsidRPr="003A69AF" w:rsidRDefault="00C153DE" w:rsidP="00905953">
      <w:pPr>
        <w:spacing w:before="240" w:after="240"/>
      </w:pPr>
      <w:r w:rsidRPr="003A69AF">
        <w:rPr>
          <w:i/>
        </w:rPr>
        <w:t>Euroopan parlamentti</w:t>
      </w:r>
      <w:r w:rsidRPr="003A69AF">
        <w:t>, joka</w:t>
      </w:r>
    </w:p>
    <w:p w14:paraId="60A282BE" w14:textId="482BD188" w:rsidR="00C153DE" w:rsidRPr="003A69AF" w:rsidRDefault="00C153DE" w:rsidP="00905953">
      <w:pPr>
        <w:spacing w:after="240"/>
        <w:ind w:left="567" w:hanging="567"/>
      </w:pPr>
      <w:r w:rsidRPr="003A69AF">
        <w:sym w:font="Symbol" w:char="F02D"/>
      </w:r>
      <w:r w:rsidRPr="003A69AF">
        <w:tab/>
        <w:t>ottaa huomioon neuvoston ensimmäisen käsittelyn kannan (11261/1/2026 – C10-0178/2026),</w:t>
      </w:r>
    </w:p>
    <w:p w14:paraId="4868892D" w14:textId="69D72250" w:rsidR="00C153DE" w:rsidRPr="003A69AF" w:rsidRDefault="00C153DE" w:rsidP="00905953">
      <w:pPr>
        <w:pStyle w:val="NormalHanging12a"/>
      </w:pPr>
      <w:r w:rsidRPr="003A69AF">
        <w:t>–</w:t>
      </w:r>
      <w:r w:rsidRPr="003A69AF">
        <w:tab/>
        <w:t>ottaa huomioon Euroopan talous- ja sosiaalikomitean 21. tammikuuta 2026 antaman lausunnon</w:t>
      </w:r>
      <w:r w:rsidRPr="003A69AF">
        <w:rPr>
          <w:bCs/>
          <w:vertAlign w:val="superscript"/>
        </w:rPr>
        <w:footnoteReference w:id="1"/>
      </w:r>
      <w:r w:rsidRPr="003A69AF">
        <w:t>,</w:t>
      </w:r>
    </w:p>
    <w:p w14:paraId="5653DA13" w14:textId="24391006" w:rsidR="00C153DE" w:rsidRPr="003A69AF" w:rsidRDefault="00C153DE" w:rsidP="00905953">
      <w:pPr>
        <w:spacing w:after="240"/>
        <w:ind w:left="567" w:hanging="567"/>
      </w:pPr>
      <w:r w:rsidRPr="003A69AF">
        <w:sym w:font="Symbol" w:char="F02D"/>
      </w:r>
      <w:r w:rsidRPr="003A69AF">
        <w:tab/>
        <w:t>ottaa huomioon ensimmäisessä käsittelyssä vahvistamansa kannan</w:t>
      </w:r>
      <w:r w:rsidRPr="003A69AF">
        <w:rPr>
          <w:rStyle w:val="FootnoteReference"/>
        </w:rPr>
        <w:footnoteReference w:id="2"/>
      </w:r>
      <w:r w:rsidRPr="003A69AF">
        <w:t xml:space="preserve"> komission ehdotuksesta Euroopan parlamentille ja neuvostolle (</w:t>
      </w:r>
      <w:proofErr w:type="gramStart"/>
      <w:r w:rsidRPr="003A69AF">
        <w:t>COM(</w:t>
      </w:r>
      <w:proofErr w:type="gramEnd"/>
      <w:r w:rsidRPr="003A69AF">
        <w:t>2025)0797),</w:t>
      </w:r>
    </w:p>
    <w:p w14:paraId="2202AA4A" w14:textId="4DF1567F" w:rsidR="00C153DE" w:rsidRPr="003A69AF" w:rsidRDefault="00C153DE" w:rsidP="00905953">
      <w:pPr>
        <w:pStyle w:val="NormalHanging12a"/>
        <w:widowControl/>
      </w:pPr>
      <w:r w:rsidRPr="003A69AF">
        <w:t>–</w:t>
      </w:r>
      <w:r w:rsidRPr="003A69AF">
        <w:tab/>
        <w:t>ottaa huomioon Euroopan unionin toiminnasta tehdyn sopimuksen 294 artiklan 7 kohdan,</w:t>
      </w:r>
    </w:p>
    <w:p w14:paraId="57EA8CBC" w14:textId="1B506115" w:rsidR="00C153DE" w:rsidRPr="003A69AF" w:rsidRDefault="00C153DE" w:rsidP="00905953">
      <w:pPr>
        <w:pStyle w:val="NormalHanging12a"/>
        <w:widowControl/>
      </w:pPr>
      <w:r w:rsidRPr="003A69AF">
        <w:t>–</w:t>
      </w:r>
      <w:r w:rsidRPr="003A69AF">
        <w:tab/>
        <w:t>ottaa huomioon työjärjestyksen 68 ja 170 artiklan,</w:t>
      </w:r>
    </w:p>
    <w:p w14:paraId="518665C1" w14:textId="387004D4" w:rsidR="00C153DE" w:rsidRPr="003A69AF" w:rsidRDefault="00C153DE" w:rsidP="00B24E22">
      <w:pPr>
        <w:spacing w:after="240"/>
        <w:ind w:left="567" w:hanging="567"/>
      </w:pPr>
      <w:r w:rsidRPr="003A69AF">
        <w:t>1.</w:t>
      </w:r>
      <w:r w:rsidRPr="003A69AF">
        <w:tab/>
      </w:r>
      <w:r w:rsidR="000F4A86" w:rsidRPr="003A69AF">
        <w:t>vahvistaa jäljempänä esitetyn toisen käsittelyn kannan;</w:t>
      </w:r>
    </w:p>
    <w:p w14:paraId="413023A4" w14:textId="77777777" w:rsidR="00520CAE" w:rsidRPr="003A69AF" w:rsidRDefault="00B24E22" w:rsidP="00520CAE">
      <w:pPr>
        <w:spacing w:after="240"/>
        <w:ind w:left="567" w:hanging="567"/>
        <w:sectPr w:rsidR="00520CAE" w:rsidRPr="003A69AF"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3A69AF">
        <w:t>2</w:t>
      </w:r>
      <w:r w:rsidR="00C153DE" w:rsidRPr="003A69AF">
        <w:t>.</w:t>
      </w:r>
      <w:r w:rsidR="00C153DE" w:rsidRPr="003A69AF">
        <w:tab/>
        <w:t>kehottaa puhemiestä välittämään parlamentin kannan neuvostolle ja komissiolle sekä kansallisille parlamenteille.</w:t>
      </w:r>
      <w:r w:rsidR="00520CAE" w:rsidRPr="003A69AF">
        <w:t xml:space="preserve"> </w:t>
      </w:r>
    </w:p>
    <w:p w14:paraId="03E5F186" w14:textId="3D93F0B6" w:rsidR="00225C9D" w:rsidRPr="003A69AF" w:rsidRDefault="00225C9D" w:rsidP="00225C9D">
      <w:pPr>
        <w:spacing w:after="240"/>
        <w:rPr>
          <w:b/>
          <w:szCs w:val="24"/>
        </w:rPr>
      </w:pPr>
      <w:r w:rsidRPr="003A69AF">
        <w:rPr>
          <w:b/>
          <w:szCs w:val="24"/>
        </w:rPr>
        <w:lastRenderedPageBreak/>
        <w:t>P10_TC2-</w:t>
      </w:r>
      <w:proofErr w:type="gramStart"/>
      <w:r w:rsidRPr="003A69AF">
        <w:rPr>
          <w:b/>
          <w:szCs w:val="24"/>
        </w:rPr>
        <w:t>COD(</w:t>
      </w:r>
      <w:proofErr w:type="gramEnd"/>
      <w:r w:rsidRPr="003A69AF">
        <w:rPr>
          <w:b/>
          <w:szCs w:val="24"/>
        </w:rPr>
        <w:t>2025)0429</w:t>
      </w:r>
    </w:p>
    <w:p w14:paraId="52A5E2ED" w14:textId="17B5C336" w:rsidR="00225C9D" w:rsidRPr="003A69AF" w:rsidRDefault="00225C9D" w:rsidP="00225C9D">
      <w:pPr>
        <w:spacing w:after="240"/>
        <w:rPr>
          <w:rFonts w:eastAsia="Calibri"/>
          <w:b/>
          <w:szCs w:val="22"/>
          <w:lang w:eastAsia="en-US"/>
        </w:rPr>
      </w:pPr>
      <w:r w:rsidRPr="003A69AF">
        <w:rPr>
          <w:b/>
          <w:szCs w:val="24"/>
        </w:rPr>
        <w:t xml:space="preserve">Euroopan parlamentin kanta, vahvistettu toisessa käsittelyssä 9. heinäkuuta 2026, Euroopan parlamentin ja neuvoston asetuksen (EU) 2026/… antamiseksi </w:t>
      </w:r>
      <w:r w:rsidRPr="003A69AF">
        <w:rPr>
          <w:rFonts w:eastAsia="Calibri"/>
          <w:b/>
          <w:szCs w:val="22"/>
          <w:lang w:eastAsia="en-US"/>
        </w:rPr>
        <w:t>tilapäisestä poikkeuksesta direktiivin 2002/58/EY tiettyihin säännöksiin siltä osin kuin on kyse teknologioista, joita numeroista riippumattomien henkilöiden välisten viestintäpalvelujen tarjoajat käyttävät henkilötietojen ja muiden tietojen käsittelyyn verkkovälitteisen lapsiin kohdistuvan seksuaaliväkivallan torjumiseksi</w:t>
      </w:r>
    </w:p>
    <w:p w14:paraId="40FF7730" w14:textId="77777777" w:rsidR="00225C9D" w:rsidRPr="003A69AF" w:rsidRDefault="00225C9D" w:rsidP="00225C9D">
      <w:pPr>
        <w:spacing w:line="360" w:lineRule="auto"/>
        <w:jc w:val="center"/>
        <w:rPr>
          <w:rFonts w:eastAsia="Calibri"/>
          <w:bCs/>
          <w:szCs w:val="22"/>
          <w:lang w:eastAsia="en-US"/>
        </w:rPr>
      </w:pPr>
      <w:r w:rsidRPr="003A69AF">
        <w:rPr>
          <w:rFonts w:eastAsia="Calibri"/>
          <w:bCs/>
          <w:szCs w:val="22"/>
          <w:lang w:eastAsia="en-US"/>
        </w:rPr>
        <w:t>(ETA:n kannalta merkityksellinen teksti)</w:t>
      </w:r>
    </w:p>
    <w:p w14:paraId="238C4528" w14:textId="77777777" w:rsidR="00225C9D" w:rsidRPr="003A69AF" w:rsidRDefault="00225C9D" w:rsidP="00225C9D">
      <w:pPr>
        <w:keepNext/>
        <w:spacing w:before="600" w:after="120" w:line="360" w:lineRule="auto"/>
        <w:rPr>
          <w:rFonts w:eastAsia="Calibri"/>
          <w:szCs w:val="22"/>
          <w:lang w:eastAsia="en-US"/>
        </w:rPr>
      </w:pPr>
      <w:r w:rsidRPr="003A69AF">
        <w:rPr>
          <w:rFonts w:eastAsia="Calibri"/>
          <w:szCs w:val="22"/>
          <w:lang w:eastAsia="en-US"/>
        </w:rPr>
        <w:t>EUROOPAN PARLAMENTTI JA EUROOPAN UNIONIN NEUVOSTO, jotka</w:t>
      </w:r>
    </w:p>
    <w:p w14:paraId="5745C567"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ottavat huomioon Euroopan unionin toiminnasta tehdyn sopimuksen ja erityisesti sen 16 artiklan 2 kohdan yhdessä 114 artiklan 1 kohdan kanssa,</w:t>
      </w:r>
    </w:p>
    <w:p w14:paraId="2AB2F143"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ottavat huomioon Euroopan komission ehdotuksen,</w:t>
      </w:r>
    </w:p>
    <w:p w14:paraId="2DDE5FF2"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sen jälkeen, kun esitys lainsäätämisjärjestyksessä hyväksyttäväksi säädökseksi on toimitettu kansallisille parlamenteille,</w:t>
      </w:r>
    </w:p>
    <w:p w14:paraId="4713A121"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ottavat huomioon Euroopan talous- ja sosiaalikomitean lausunnon</w:t>
      </w:r>
      <w:r w:rsidRPr="003A69AF">
        <w:rPr>
          <w:rFonts w:eastAsia="Calibri"/>
          <w:b/>
          <w:szCs w:val="22"/>
          <w:vertAlign w:val="superscript"/>
          <w:lang w:val="en-GB" w:eastAsia="en-US"/>
        </w:rPr>
        <w:footnoteReference w:id="3"/>
      </w:r>
      <w:r w:rsidRPr="003A69AF">
        <w:rPr>
          <w:rFonts w:eastAsia="Calibri"/>
          <w:szCs w:val="22"/>
          <w:lang w:eastAsia="en-US"/>
        </w:rPr>
        <w:t>,</w:t>
      </w:r>
    </w:p>
    <w:p w14:paraId="57193D23"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noudattavat tavallista lainsäätämisjärjestystä</w:t>
      </w:r>
      <w:r w:rsidRPr="003A69AF">
        <w:rPr>
          <w:rFonts w:eastAsia="Calibri"/>
          <w:b/>
          <w:szCs w:val="22"/>
          <w:vertAlign w:val="superscript"/>
          <w:lang w:val="en-GB" w:eastAsia="en-US"/>
        </w:rPr>
        <w:footnoteReference w:id="4"/>
      </w:r>
      <w:r w:rsidRPr="003A69AF">
        <w:rPr>
          <w:rFonts w:eastAsia="Calibri"/>
          <w:szCs w:val="22"/>
          <w:lang w:eastAsia="en-US"/>
        </w:rPr>
        <w:t>,</w:t>
      </w:r>
    </w:p>
    <w:p w14:paraId="7E4B52DC"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br w:type="page"/>
      </w:r>
    </w:p>
    <w:p w14:paraId="2AB6B863"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lastRenderedPageBreak/>
        <w:t>sekä katsovat seuraavaa:</w:t>
      </w:r>
    </w:p>
    <w:p w14:paraId="3ECC682F"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w:t>
      </w:r>
      <w:r w:rsidRPr="003A69AF">
        <w:rPr>
          <w:rFonts w:eastAsia="Calibri"/>
          <w:szCs w:val="22"/>
          <w:lang w:eastAsia="en-US"/>
        </w:rPr>
        <w:tab/>
        <w:t>Euroopan parlamentin ja neuvoston direktiivissä 2002/58/EY</w:t>
      </w:r>
      <w:r w:rsidRPr="003A69AF">
        <w:rPr>
          <w:rFonts w:eastAsia="Calibri"/>
          <w:b/>
          <w:szCs w:val="22"/>
          <w:vertAlign w:val="superscript"/>
          <w:lang w:val="en-GB" w:eastAsia="en-US"/>
        </w:rPr>
        <w:footnoteReference w:id="5"/>
      </w:r>
      <w:r w:rsidRPr="003A69AF">
        <w:rPr>
          <w:rFonts w:eastAsia="Calibri"/>
          <w:szCs w:val="22"/>
          <w:lang w:eastAsia="en-US"/>
        </w:rPr>
        <w:t xml:space="preserve"> vahvistetaan säännöt, joilla varmistetaan yksityisyyttä ja luottamuksellisuutta koskeva oikeus henkilötietojen käsittelyssä sähköisen viestinnän alan tietojenvaihdossa. Direktiivillä täsmennetään ja täydennetään Euroopan parlamentin ja neuvoston asetusta (EU) 2016/679</w:t>
      </w:r>
      <w:r w:rsidRPr="003A69AF">
        <w:rPr>
          <w:rFonts w:eastAsia="Calibri"/>
          <w:b/>
          <w:szCs w:val="22"/>
          <w:vertAlign w:val="superscript"/>
          <w:lang w:val="en-GB" w:eastAsia="en-US"/>
        </w:rPr>
        <w:footnoteReference w:id="6"/>
      </w:r>
      <w:r w:rsidRPr="003A69AF">
        <w:rPr>
          <w:rFonts w:eastAsia="Calibri"/>
          <w:szCs w:val="22"/>
          <w:lang w:eastAsia="en-US"/>
        </w:rPr>
        <w:t>.</w:t>
      </w:r>
    </w:p>
    <w:p w14:paraId="42C5B215"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354DB5C2"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(2)</w:t>
      </w:r>
      <w:r w:rsidRPr="003A69AF">
        <w:rPr>
          <w:rFonts w:eastAsia="Calibri"/>
          <w:szCs w:val="22"/>
          <w:lang w:eastAsia="en-US"/>
        </w:rPr>
        <w:tab/>
        <w:t>Direktiiviä 2002/58/EY sovelletaan henkilötietojen käsittelyyn, joka liittyy yleisesti saatavilla olevien sähköisten viestintäpalvelujen tarjoamiseen. Joulukuun 21 päivään 2020 asti sovellettiin Euroopan parlamentin ja neuvoston direktiivin 2002/21/EY</w:t>
      </w:r>
      <w:r w:rsidRPr="003A69AF">
        <w:rPr>
          <w:rFonts w:eastAsia="Calibri"/>
          <w:b/>
          <w:szCs w:val="22"/>
          <w:vertAlign w:val="superscript"/>
          <w:lang w:val="en-GB" w:eastAsia="en-US"/>
        </w:rPr>
        <w:footnoteReference w:id="7"/>
      </w:r>
      <w:r w:rsidRPr="003A69AF">
        <w:rPr>
          <w:rFonts w:eastAsia="Calibri"/>
          <w:szCs w:val="22"/>
          <w:lang w:eastAsia="en-US"/>
        </w:rPr>
        <w:t xml:space="preserve"> 2 artiklan c alakohdassa vahvistettua ”sähköisen viestintäpalvelun” määritelmää. Mainittuna päivänä direktiivi 2002/21/EY kumottiin Euroopan parlamentin ja neuvoston direktiivillä (EU) 2018/1972</w:t>
      </w:r>
      <w:r w:rsidRPr="003A69AF">
        <w:rPr>
          <w:rFonts w:eastAsia="Calibri"/>
          <w:b/>
          <w:szCs w:val="22"/>
          <w:vertAlign w:val="superscript"/>
          <w:lang w:val="en-GB" w:eastAsia="en-US"/>
        </w:rPr>
        <w:footnoteReference w:id="8"/>
      </w:r>
      <w:r w:rsidRPr="003A69AF">
        <w:rPr>
          <w:rFonts w:eastAsia="Calibri"/>
          <w:szCs w:val="22"/>
          <w:lang w:eastAsia="en-US"/>
        </w:rPr>
        <w:t>. Direktiivin (EU) 2018/1972 2 artiklan 4 alakohdassa säädetty ”sähköisen viestintäpalvelun” määritelmä kattaa kyseisen direktiivin 2 artiklan 7 alakohdassa määritellyt numeroista riippumattomat henkilöiden väliset viestintäpalvelut. Numeroista riippumattomat henkilöiden väliset viestintäpalvelut, joihin sisältyvät esimerkiksi internetpuhelupalvelut, sanomanvälityspalvelut ja verkkopohjaiset sähköpostipalvelut, sisällytettiin näin ollen direktiivin 2002/58/EY soveltamisalaan 21 päivänä joulukuuta 2020.</w:t>
      </w:r>
    </w:p>
    <w:p w14:paraId="01429D0F"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(3)</w:t>
      </w:r>
      <w:r w:rsidRPr="003A69AF">
        <w:rPr>
          <w:rFonts w:eastAsia="Calibri"/>
          <w:szCs w:val="22"/>
          <w:lang w:eastAsia="en-US"/>
        </w:rPr>
        <w:tab/>
        <w:t>Euroopan unionista tehdyn sopimuksen 6 artiklan 1 kohdan mukaan unioni tunnustaa oikeudet, vapaudet ja periaatteet, jotka esitetään Euroopan unionin perusoikeuskirjassa, jäljempänä ’perusoikeuskirja’. Perusoikeuskirjan 7 artiklassa turvataan jokaisen perusoikeus siihen, että yksityis- ja perhe-elämää, kotia sekä viestejä kunnioitetaan, mihin sisältyy viestinnän luottamuksellisuus. Perusoikeuskirjan 8 artiklassa määrätään oikeudesta henkilötietojen suojaan.</w:t>
      </w:r>
    </w:p>
    <w:p w14:paraId="73900A29"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77E2AC32"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(4)</w:t>
      </w:r>
      <w:r w:rsidRPr="003A69AF">
        <w:rPr>
          <w:rFonts w:eastAsia="Calibri"/>
          <w:szCs w:val="22"/>
          <w:lang w:eastAsia="en-US"/>
        </w:rPr>
        <w:tab/>
        <w:t>Lapsen oikeuksista vuonna 1989 tehdyn Yhdistyneiden kansakuntien yleissopimuksen, jäljempänä ’lapsen oikeuksien sopimus’, 3 artiklan 1 kappaleessa ja perusoikeuskirjan 24 artiklan 2 kohdassa määrätään, että kaikissa lasta koskevissa viranomaisten tai yksityisten laitosten toimissa on ensisijaisesti otettava huomioon lapsen etu. Lapsen oikeuksien sopimuksen 3 artiklan 2 kappaleessa ja perusoikeuskirjan 24 artiklan 1 kohdassa todetaan lisäksi lapsen oikeus hänen hyvinvoinnilleen välttämättömään suojeluun ja huolenpitoon.</w:t>
      </w:r>
    </w:p>
    <w:p w14:paraId="4DF4F5B8"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(5)</w:t>
      </w:r>
      <w:r w:rsidRPr="003A69AF">
        <w:rPr>
          <w:rFonts w:eastAsia="Calibri"/>
          <w:szCs w:val="22"/>
          <w:lang w:eastAsia="en-US"/>
        </w:rPr>
        <w:tab/>
        <w:t>Lasten suojelu sekä verkon ulkopuolella että verkossa on yksi unionin prioriteeteista. Lapsiin kohdistuva seksuaaliväkivalta ja seksuaalinen riisto loukkaavat vakavasti ihmisoikeuksia ja perusoikeuksia, erityisesti lapsen oikeuksia saada suojelua kaikenlaiselta väkivallalta, pahoinpitelyltä ja laiminlyönniltä, huonolta kohtelulta ja hyväksikäytöltä, seksuaaliväkivalta mukaan lukien, kuten lapsen oikeuksien sopimuksessa ja perusoikeuskirjassa määrätään. Digitalisaatio on tuonut yhteiskunnalle ja taloudelle monia hyötyjä mutta se on tuonut myös haasteita, joihin kuuluu verkkovälitteisen lapsiin kohdistuvan seksuaaliväkivallan lisääntyminen. Komissio antoi 24 päivänä heinäkuuta 2020 tiedonannon ”Euroopan unionin strategia lasten seksuaalisen hyväksikäytön torjunnan tehostamiseksi”, jäljempänä ’strategia’. Strategialla pyritään tarjoamaan unionin tasolla tuloksellinen reagointitapa lapsiin kohdistuvaan seksuaaliväkivaltaan liittyvään rikollisuuteen.</w:t>
      </w:r>
    </w:p>
    <w:p w14:paraId="498381EA"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551BC154"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(6)</w:t>
      </w:r>
      <w:r w:rsidRPr="003A69AF">
        <w:rPr>
          <w:rFonts w:eastAsia="Calibri"/>
          <w:szCs w:val="22"/>
          <w:lang w:eastAsia="en-US"/>
        </w:rPr>
        <w:tab/>
        <w:t>Euroopan parlamentin ja neuvoston direktiivin 2011/93/EU</w:t>
      </w:r>
      <w:r w:rsidRPr="003A69AF">
        <w:rPr>
          <w:rFonts w:eastAsia="Calibri"/>
          <w:b/>
          <w:szCs w:val="22"/>
          <w:vertAlign w:val="superscript"/>
          <w:lang w:val="en-GB" w:eastAsia="en-US"/>
        </w:rPr>
        <w:footnoteReference w:id="9"/>
      </w:r>
      <w:r w:rsidRPr="003A69AF">
        <w:rPr>
          <w:rFonts w:eastAsia="Calibri"/>
          <w:szCs w:val="22"/>
          <w:lang w:eastAsia="en-US"/>
        </w:rPr>
        <w:t xml:space="preserve"> mukaisesti tällä asetuksella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w:t>
      </w:r>
    </w:p>
    <w:p w14:paraId="24D48CC2"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0928AEC5"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(7)</w:t>
      </w:r>
      <w:r w:rsidRPr="003A69AF">
        <w:rPr>
          <w:rFonts w:eastAsia="Calibri"/>
          <w:szCs w:val="22"/>
          <w:lang w:eastAsia="en-US"/>
        </w:rPr>
        <w:tab/>
        <w:t xml:space="preserve">Eräät tiettyjen numeroista riippumattomien henkilöiden välisten viestintäpalvelujen, kuten selainsähköposti- ja sanomanvälityspalvelujen, tarjoajat, jäljempänä ’palveluntarjoajat’, käyttävät vapaaehtoisesti erityisiä teknologioita havaitakseen verkkovälitteisen lapsiin kohdistuvan seksuaaliväkivallan palveluissaan ja ilmoittaakseen siitä lainvalvontaviranomaisille ja lapsiin kohdistuvaa seksuaaliväkivaltaa torjuville yleishyödyllisille järjestöille seulomalla joko viestien sisällön, kuten kuvat ja tekstin, tai niiden liikennetiedot käyttäen joissain tapauksissa historiatietoja. Kyseisissä toimissa käytettävä teknologia voisi kuva- ja videomateriaalin tapauksessa perustua </w:t>
      </w:r>
      <w:proofErr w:type="spellStart"/>
      <w:r w:rsidRPr="003A69AF">
        <w:rPr>
          <w:rFonts w:eastAsia="Calibri"/>
          <w:szCs w:val="22"/>
          <w:lang w:eastAsia="en-US"/>
        </w:rPr>
        <w:t>hash</w:t>
      </w:r>
      <w:proofErr w:type="spellEnd"/>
      <w:r w:rsidRPr="003A69AF">
        <w:rPr>
          <w:rFonts w:eastAsia="Calibri"/>
          <w:szCs w:val="22"/>
          <w:lang w:eastAsia="en-US"/>
        </w:rPr>
        <w:t xml:space="preserve">-tiivisteisiin ja tekstiä tai liikennetietoja analysoitaessa </w:t>
      </w:r>
      <w:proofErr w:type="spellStart"/>
      <w:r w:rsidRPr="003A69AF">
        <w:rPr>
          <w:rFonts w:eastAsia="Calibri"/>
          <w:szCs w:val="22"/>
          <w:lang w:eastAsia="en-US"/>
        </w:rPr>
        <w:t>luokittimiin</w:t>
      </w:r>
      <w:proofErr w:type="spellEnd"/>
      <w:r w:rsidRPr="003A69AF">
        <w:rPr>
          <w:rFonts w:eastAsia="Calibri"/>
          <w:szCs w:val="22"/>
          <w:lang w:eastAsia="en-US"/>
        </w:rPr>
        <w:t xml:space="preserve"> ja tekoälyyn. </w:t>
      </w:r>
      <w:proofErr w:type="spellStart"/>
      <w:r w:rsidRPr="003A69AF">
        <w:rPr>
          <w:rFonts w:eastAsia="Calibri"/>
          <w:szCs w:val="22"/>
          <w:lang w:eastAsia="en-US"/>
        </w:rPr>
        <w:t>Hash</w:t>
      </w:r>
      <w:proofErr w:type="spellEnd"/>
      <w:r w:rsidRPr="003A69AF">
        <w:rPr>
          <w:rFonts w:eastAsia="Calibri"/>
          <w:szCs w:val="22"/>
          <w:lang w:eastAsia="en-US"/>
        </w:rPr>
        <w:t>-tiivisteisiin perustuvaa teknologiaa käytettäessä verkkovälitteistä lapsiin kohdistuvaa seksuaaliväkivaltaa todistavasta materiaalista ilmoitetaan, kun saadaan positiivinen osuma eli vastaavuus verrattaessa kuvaa tai videota yksilölliseen digitaaliseen tunnisteeseen, joka ei ole muunnettavissa takaisin alkuperäiseksi dataksi, jäljempänä ’</w:t>
      </w:r>
      <w:proofErr w:type="spellStart"/>
      <w:r w:rsidRPr="003A69AF">
        <w:rPr>
          <w:rFonts w:eastAsia="Calibri"/>
          <w:szCs w:val="22"/>
          <w:lang w:eastAsia="en-US"/>
        </w:rPr>
        <w:t>hash</w:t>
      </w:r>
      <w:proofErr w:type="spellEnd"/>
      <w:r w:rsidRPr="003A69AF">
        <w:rPr>
          <w:rFonts w:eastAsia="Calibri"/>
          <w:szCs w:val="22"/>
          <w:lang w:eastAsia="en-US"/>
        </w:rPr>
        <w:t>-tiiviste’, ja joka sisältyy sellaiseen lapsiin kohdistuvaa seksuaaliväkivaltaa torjuvan yleishyödyllisen järjestön ylläpitämään tietokantaan, jossa on todennettua verkkovälitteistä lapsiin kohdistuvaa seksuaaliväkivaltaa todistavaa materiaalia. Kyseiset palveluntarjoajat tukeutuvat kansallisiin vihjelinjoihin, joihin voidaan ilmoittaa verkkovälitteiseen lapsiin kohdistuvaan seksuaaliväkivaltaan liittyvästä materiaalista, sekä unionissa ja kolmansissa maissa sijaitseviin järjestöihin, joiden tarkoituksena on tunnistaa lapsia, vähentää lapsiin kohdistuvaa seksuaalista riistoa ja seksuaaliväkivaltaa sekä estää lasten uhriksi joutuminen. Tällaiset järjestöt eivät välttämättä kuulu asetuksen (EU) 2016/679 soveltamisalaan. Kaikkiaan tällaiset vapaaehtoiset toimet ovat kallisarvoisia, jotta voidaan tunnistaa ja pelastaa uhreja, joiden perusoikeuksia ihmisarvoon ja ruumiilliseen ja henkiseen koskemattomuuteen loukataan vakavasti. Tällaiset vapaaehtoiset toimet ovat tärkeitä myös verkkovälitteiseen lapsiin kohdistuvaan seksuaaliväkivaltaan liittyvän materiaalin edelleen levittämisen vähentämiseksi ja jotta voidaan edistää rikoksentekijöiden tunnistamista ja tutkintaa sekä lapsiin kohdistuvaan seksuaaliväkivaltaan liittyvien rikosten ehkäisemistä, havaitsemista ja tutkintaa sekä niihin liittyviä syytetoimia.</w:t>
      </w:r>
    </w:p>
    <w:p w14:paraId="78C56932"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486194C1"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(8)</w:t>
      </w:r>
      <w:r w:rsidRPr="003A69AF">
        <w:rPr>
          <w:rFonts w:eastAsia="Calibri"/>
          <w:szCs w:val="22"/>
          <w:lang w:eastAsia="en-US"/>
        </w:rPr>
        <w:tab/>
        <w:t>Vaikka palveluntarjoajien vapaaehtoisilla toimilla verkkovälitteisen lapsiin kohdistuvan seksuaaliväkivallan havaitsemiseksi niiden palveluissa ja siitä ilmoittamiseksi on oikeutettu tavoite, kyseisillä toimilla puututaan kaikkien numeroista riippumattomien henkilöiden välisten viestintäpalvelujen käyttäjien, jäljempänä ’käyttäjät’, yksityis- ja perhe-elämän kunnioittamista ja henkilötietojen suojaa koskeviin perusoikeuksiin. Yksityis- ja perhe-elämän kunnioittamista, myös viestinnän luottamuksellisuutta, koskevan perusoikeuden rajoittamista ei voida perustella pelkästään sillä, että palveluntarjoajat käyttivät tiettyjä teknologioita aikana, jolloin numeroista riippumattomat henkilöiden väliset viestintäpalvelut eivät kuuluneet ”sähköisten viestintäpalvelujen” määritelmään. Tällaiset rajoitukset ovat mahdollisia ainoastaan tietyin edellytyksin. Perusoikeuskirjan 52 artiklan 1 kohdan mukaan tällaisista rajoituksista on säädettävä lailla ja yksityis- ja perhe-elämää sekä henkilötietojen suojaa koskevien kyseisten oikeuksien keskeistä sisältöä kunnioittaen, ja niiden on suhteellisuusperiaatteen mukaisesti oltava välttämättömiä ja vastattava tosiasiallisesti unionin tunnustamia yleisen edun mukaisia tavoitteita tai tarvetta suojella muiden henkilöiden oikeuksia ja vapauksia. Kun tällaisiin rajoituksiin liittyy pysyvästi kaikkien käyttäjien viestinnän yleinen ja erotuksetta tapahtuva seuranta ja analysointi, niillä puututaan viestinnän luottamuksellisuutta koskevaan oikeuteen.</w:t>
      </w:r>
    </w:p>
    <w:p w14:paraId="62949809"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(9)</w:t>
      </w:r>
      <w:r w:rsidRPr="003A69AF">
        <w:rPr>
          <w:rFonts w:eastAsia="Calibri"/>
          <w:szCs w:val="22"/>
          <w:lang w:eastAsia="en-US"/>
        </w:rPr>
        <w:tab/>
        <w:t>Henkilötietojen käsittelyä, jota palveluntarjoajat suorittavat vapaaehtoisin toimin verkkovälitteisen lapsiin kohdistuvan seksuaaliväkivallan havaitsemiseksi palveluissaan ja siitä ilmoittamiseksi ja verkkovälitteiseen lapsiin kohdistuvaan seksuaaliväkivaltaan liittyvän materiaalin poistamiseksi palveluistaan, säänneltiin 20 päivään joulukuuta 2020 asti ainoastaan asetuksella (EU) 2016/679. Direktiivillä (EU) 2018/1972, joka oli määrä saattaa osaksi kansallista lainsäädäntöä viimeistään 20 päivänä joulukuuta 2020, sisällytettiin palveluntarjoajat direktiivin 2002/58/EY soveltamisalaan.</w:t>
      </w:r>
    </w:p>
    <w:p w14:paraId="79998EFF"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130FC4E6"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(10)</w:t>
      </w:r>
      <w:r w:rsidRPr="003A69AF">
        <w:rPr>
          <w:rFonts w:eastAsia="Calibri"/>
          <w:szCs w:val="22"/>
          <w:lang w:eastAsia="en-US"/>
        </w:rPr>
        <w:tab/>
        <w:t>Euroopan parlamentin ja neuvoston asetuksessa (EU) 2021/1232</w:t>
      </w:r>
      <w:r w:rsidRPr="003A69AF">
        <w:rPr>
          <w:rFonts w:eastAsia="Calibri"/>
          <w:b/>
          <w:szCs w:val="22"/>
          <w:vertAlign w:val="superscript"/>
          <w:lang w:val="en-GB" w:eastAsia="en-US"/>
        </w:rPr>
        <w:footnoteReference w:id="10"/>
      </w:r>
      <w:r w:rsidRPr="003A69AF">
        <w:rPr>
          <w:rFonts w:eastAsia="Calibri"/>
          <w:szCs w:val="22"/>
          <w:lang w:eastAsia="en-US"/>
        </w:rPr>
        <w:t xml:space="preserve"> säädettiin väliaikaisesta järjestelystä, joka koskee tiettyjen julkisesti saatavilla olevien, numeroista riippumattomien henkilöiden välisten viestintäpalvelujen tarjoajien mahdollisuuksia käyttää teknologioita verkkovälitteisen lapsiin kohdistuvan seksuaaliväkivallan torjumiseksi, siihen asti kun pitkän aikavälin oikeudellinen kehys verkkovälitteisen lapsiin kohdistuvan seksuaaliväkivallan ehkäisemistä ja torjuntaa, jäljempänä ’pitkän aikavälin oikeudellinen kehys’, on hyväksytty. Asetusta (EU) 2021/1232 muutettiin Euroopan parlamentin ja neuvoston asetuksella (EU) 2024/1307</w:t>
      </w:r>
      <w:r w:rsidRPr="003A69AF">
        <w:rPr>
          <w:rFonts w:eastAsia="Calibri"/>
          <w:b/>
          <w:szCs w:val="22"/>
          <w:vertAlign w:val="superscript"/>
          <w:lang w:val="en-GB" w:eastAsia="en-US"/>
        </w:rPr>
        <w:footnoteReference w:id="11"/>
      </w:r>
      <w:r w:rsidRPr="003A69AF">
        <w:rPr>
          <w:rFonts w:eastAsia="Calibri"/>
          <w:szCs w:val="22"/>
          <w:lang w:eastAsia="en-US"/>
        </w:rPr>
        <w:t>, jolla kyseisen asetuksen soveltamisaikaa jatkettiin 3 päivään huhtikuuta 2026.</w:t>
      </w:r>
    </w:p>
    <w:p w14:paraId="5F01738F"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(11)</w:t>
      </w:r>
      <w:r w:rsidRPr="003A69AF">
        <w:rPr>
          <w:rFonts w:eastAsia="Calibri"/>
          <w:szCs w:val="22"/>
          <w:lang w:eastAsia="en-US"/>
        </w:rPr>
        <w:tab/>
        <w:t>Komission 11 päivänä toukokuuta 2022 antamalla ehdotuksella Euroopan parlamentin ja neuvoston asetukseksi lapsiin kohdistuvan seksuaaliväkivallan ehkäisemistä ja torjuntaa koskevista säännöistä pyritään luomaan pitkän aikavälin oikeudellinen kehys. Tätä ehdotusta koskevat toimielinten väliset neuvottelut ovat edelleen käynnissä.</w:t>
      </w:r>
    </w:p>
    <w:p w14:paraId="55BB2424"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07666833"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(12)</w:t>
      </w:r>
      <w:r w:rsidRPr="003A69AF">
        <w:rPr>
          <w:rFonts w:eastAsia="Calibri"/>
          <w:szCs w:val="22"/>
          <w:lang w:eastAsia="en-US"/>
        </w:rPr>
        <w:tab/>
        <w:t>Komissio ehdotti 19 päivänä joulukuuta 2025 asetuksen (EU) 2021/1232 soveltamisajan jatkamista kahdella vuodella 3 päivään huhtikuuta 2028. Koska lainsäätäjät eivät päässeet ehdotuksesta yhteisymmärrykseen 3 päivään huhtikuuta 2026 mennessä, asetuksen (EU) 2021/1232 voimassaolo on päättynyt.</w:t>
      </w:r>
    </w:p>
    <w:p w14:paraId="7EB82E50"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(13)</w:t>
      </w:r>
      <w:r w:rsidRPr="003A69AF">
        <w:rPr>
          <w:rFonts w:eastAsia="Calibri"/>
          <w:szCs w:val="22"/>
          <w:lang w:eastAsia="en-US"/>
        </w:rPr>
        <w:tab/>
        <w:t xml:space="preserve">Koska verkkovälitteisen lapsiin kohdistuvan seksuaaliväkivallan tehokas torjuminen on tärkeää, ja kunnes pitkän aikavälin oikeudellinen kehys on hyväksytty ja sitä sovelletaan, on tarpeen sallia väliaikainen poikkeus direktiivin 2002/58/EY 5 artiklan 1 kohdasta ja 6 artiklan 1 kohdasta tässä asetuksessa säädettyjen edellytysten mukaisesti. </w:t>
      </w:r>
      <w:bookmarkStart w:id="9" w:name="_Hlk233789816"/>
      <w:r w:rsidRPr="003A69AF">
        <w:rPr>
          <w:rFonts w:eastAsia="Calibri"/>
          <w:szCs w:val="22"/>
          <w:lang w:eastAsia="en-US"/>
        </w:rPr>
        <w:t>Erityisolosuhteet huomioon ottaen tämän asetuksen soveltamisaika olisi rajattava siihen aikaan, mikä on tarpeen pitkän aikavälin oikeudellisen kehyksen hyväksymiseen ja soveltamiseen.</w:t>
      </w:r>
      <w:bookmarkEnd w:id="9"/>
    </w:p>
    <w:p w14:paraId="7AD59F55"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br w:type="page"/>
      </w:r>
    </w:p>
    <w:p w14:paraId="704E6BD9"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(14)</w:t>
      </w:r>
      <w:r w:rsidRPr="003A69AF">
        <w:rPr>
          <w:rFonts w:eastAsia="Calibri"/>
          <w:szCs w:val="22"/>
          <w:lang w:eastAsia="en-US"/>
        </w:rPr>
        <w:tab/>
        <w:t>Direktiivi 2002/58/EY ei sisällä erityisiä säännöksiä sellaisesta henkilötietojen käsittelystä, jota palveluntarjoajat suorittavat sähköisten viestintäpalvelujen tarjoamisen yhteydessä verkkovälitteisen lapsiin kohdistuvan seksuaaliväkivallan havaitsemiseksi palveluissaan ja siitä ilmoittamiseksi ja verkkovälitteistä lapsiin kohdistuvaa seksuaaliväkivaltaa todistavan materiaalin poistamiseksi palveluistaan. Direktiivin 2002/58/EY 15 artiklan 1 kohdan nojalla jäsenvaltiot voivat kuitenkin toteuttaa lainsäädännöllisiä toimenpiteitä, joilla rajoitetaan muun muassa mainitun direktiivin 5 ja 6 artiklassa säädettyjen, viestinnän ja liikennetietojen luottamuksellisuutta koskevien oikeuksien ja velvollisuuksien soveltamisalaa lapsiin kohdistuvaan seksuaaliväkivaltaan liittyvien rikosten ehkäisemistä, havaitsemista ja tutkintaa sekä niihin liittyviä syytetoimia varten. Jos tällaisia kansallisia lainsäädännöllisiä toimenpiteitä ei ole toteutettu, palveluntarjoajat eivät 21 päivän joulukuuta 2020 jälkeen ja siihen saakka, kunnes hyväksytään pidemmän aikavälin oikeudellinen kehys lapsiin kohdistuvan seksuaaliväkivallan torjumiseksi unionin tasolla, voi enää jatkaa vapaaehtoisten toimien toteuttamista asetuksen (EU) 2016/679 nojalla havaitakseen verkkovälitteisen lapsiin kohdistuvan seksuaaliväkivallan palveluissaan ja ilmoittaakseen siitä ja poistaakseen verkkovälitteistä lapsiin kohdistuvaa seksuaaliväkivaltaa todistavan materiaalin palveluistaan. Vaikka tässä asetuksessa ei säädetä oikeudellisesta perusteesta palveluntarjoajien suorittamalle henkilötietojen käsittelylle, jonka yksinomaisena tarkoituksena on havaita verkkovälitteinen lapsiin kohdistuva seksuaaliväkivalta palveluissaan ja ilmoittaa siitä sekä poistaa verkkovälitteistä lapsiin kohdistuvaa seksuaaliväkivaltaa todistava materiaali palveluistaan, siinä säädetään poikkeuksesta tiettyihin direktiivin 2002/58/EY säännöksiin. Tässä asetuksessa vahvistetaan täydentäviä suojatoimia, joita palveluntarjoajien on noudatettava, jos ne haluavat toimia sen nojalla.</w:t>
      </w:r>
    </w:p>
    <w:p w14:paraId="0B8C5A4C"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2270CFD5"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(15)</w:t>
      </w:r>
      <w:r w:rsidRPr="003A69AF">
        <w:rPr>
          <w:rFonts w:eastAsia="Calibri"/>
          <w:szCs w:val="22"/>
          <w:lang w:eastAsia="en-US"/>
        </w:rPr>
        <w:tab/>
        <w:t>Tätä asetusta sovellettaessa suoritettavaan tietojen käsittelyyn voi sisältyä erityisiä henkilötietoryhmiä koskeva käsittely asetuksen (EU) 2016/679 mukaisesti. Kuvien ja videoiden käsittelyä sellaisin erityisin teknisin menetelmin, jotka mahdollistavat luonnollisen henkilön yksilöllisen tunnistamisen tai todentamisen, pidetään erityisiä henkilötietoryhmiä koskevana käsittelynä.</w:t>
      </w:r>
    </w:p>
    <w:p w14:paraId="5CE1D706"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(16)</w:t>
      </w:r>
      <w:r w:rsidRPr="003A69AF">
        <w:rPr>
          <w:rFonts w:eastAsia="Calibri"/>
          <w:szCs w:val="22"/>
          <w:lang w:eastAsia="en-US"/>
        </w:rPr>
        <w:tab/>
        <w:t>Tässä asetuksessa säädetään väliaikaisesta poikkeuksesta direktiivin 2002/58/EY 5 artiklan 1 kohtaan ja 6 artiklan 1 kohtaan, joilla suojellaan viestinnän ja liikennetietojen luottamuksellisuutta. Tässä asetuksessa säädetyn poikkeuksen soveltamisalaan kuuluu se, että palveluntarjoajat vapaaehtoisesti käyttävät teknologioita henkilötietojen ja muiden tietojen käsittelyyn siltä osin, kuin se on tarpeen verkkovälitteisen lapsiin kohdistuvan seksuaaliväkivallan havaitsemiseksi palveluissaan ja siitä ilmoittamiseksi ja verkkovälitteistä lapsiin kohdistuvaa seksuaaliväkivaltaa todistavan materiaalin poistamiseksi palveluistaan, edellyttäen, että tällainen käyttö täyttää tässä asetuksessa vahvistetut edellytykset, ja näin ollen kyseiseen käyttöön sovelletaan asetuksessa (EU) 2016/679 säädettyjä suojatoimia ja edellytyksiä.</w:t>
      </w:r>
    </w:p>
    <w:p w14:paraId="5F02E74E"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(17)</w:t>
      </w:r>
      <w:r w:rsidRPr="003A69AF">
        <w:rPr>
          <w:rFonts w:eastAsia="Calibri"/>
          <w:szCs w:val="22"/>
          <w:lang w:eastAsia="en-US"/>
        </w:rPr>
        <w:tab/>
        <w:t>Direktiivi 2002/58/EY annettiin Euroopan unionin toiminnasta tehdyn sopimuksen 114 artiklan nojalla. Kaikki jäsenvaltiot eivät myöskään ole toteuttaneet direktiivin 2002/58/EY mukaisesti lainsäädännöllisiä toimenpiteitä, joilla rajoitettaisiin kyseisessä direktiivissä säädetyn mukaista viestinnän ja liikennetietojen luottamuksellisuuteen liittyvien oikeuksien ja velvollisuuksien soveltamisalaa, ja tällaisten toimenpiteiden toteuttamiseen liittyy merkittävä pirstoutumisen riski, joka todennäköisesti vaikuttaisi kielteisesti sisämarkkinoihin. Sen vuoksi tämän asetuksen olisi perustuttava Euroopan unionin toiminnasta tehdyn sopimuksen 114 artiklaan.</w:t>
      </w:r>
    </w:p>
    <w:p w14:paraId="0D708B48"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319C0ADF"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(18)</w:t>
      </w:r>
      <w:r w:rsidRPr="003A69AF">
        <w:rPr>
          <w:rFonts w:eastAsia="Calibri"/>
          <w:szCs w:val="22"/>
          <w:lang w:eastAsia="en-US"/>
        </w:rPr>
        <w:tab/>
        <w:t>Koska sähköiseen viestintään, johon osallistuu luonnollisia henkilöitä, liittyvät tiedot luokitellaan yleensä henkilötiedoiksi, tämän asetuksen olisi myös perustuttava Euroopan unionin toiminnasta tehdyn sopimuksen 16 artiklaan, joka muodostaa erityisen oikeusperustan, jonka nojalla voidaan antaa luonnollisten henkilöiden suojaa koskevia sääntöjä, jotka koskevat unionin toimielinten, elinten ja laitosten sekä jäsenvaltioiden, silloin kun viimeksi mainitut toteuttavat unionin oikeuden soveltamisalaan kuuluvaa toimintaa, suorittamaa henkilötietojen käsittelyä, sekä sääntöjä, jotka koskevat näiden tietojen vapaata liikkuvuutta.</w:t>
      </w:r>
    </w:p>
    <w:p w14:paraId="4A59CBF4"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(19)</w:t>
      </w:r>
      <w:r w:rsidRPr="003A69AF">
        <w:rPr>
          <w:rFonts w:eastAsia="Calibri"/>
          <w:szCs w:val="22"/>
          <w:lang w:eastAsia="en-US"/>
        </w:rPr>
        <w:tab/>
        <w:t>Asetusta (EU) 2016/679 sovelletaan henkilötietojen käsittelyyn, jota palveluntarjoajat suorittavat sähköisten viestintäpalvelujen tarjoamisen yhteydessä yksinomaan havaitakseen verkkovälitteisen lapsiin kohdistuvan seksuaaliväkivallan palveluissaan ja ilmoittaakseen siitä ja poistaakseen verkkovälitteistä lapsiin kohdistuvaa seksuaaliväkivaltaa todistavan materiaalin palveluistaan siltä osin, kuin kyseinen käsittely kuuluu tässä asetuksessa säädetyn poikkeuksen soveltamisalaan.</w:t>
      </w:r>
    </w:p>
    <w:p w14:paraId="71F2194B"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(20)</w:t>
      </w:r>
      <w:r w:rsidRPr="003A69AF">
        <w:rPr>
          <w:rFonts w:eastAsia="Calibri"/>
          <w:szCs w:val="22"/>
          <w:lang w:eastAsia="en-US"/>
        </w:rPr>
        <w:tab/>
        <w:t>Tämän asetuksen soveltamiseksi käytettävien teknologioiden olisi oltava yksityisyyttä mahdollisimman vähän loukkaavia ja edustettava alan viimeisintä teknistä kehitystä. Kyseisiä teknologioita ei saisi käyttää viestien tekstin järjestelmälliseen suodattamiseen ja seulomiseen muuten kuin yksinomaan sellaisten toimintamallien havaitsemiseksi, jotka viittaavat mahdollisiin konkreettisiin perusteisiin epäillä verkkovälitteistä lapsiin kohdistuvaa seksuaaliväkivaltaa, eikä niillä pitäisi voida päätellä viestien varsinaista sisältöä. Kun on kyse lasten seksuaalisiin tarkoituksiin houkuttelemisen tunnistamiseen käytettävästä teknologiasta, tällaisten epäilyä koskevien konkreettisten perusteiden olisi perustuttava objektiivisesti määritettyihin riskitekijöihin, kuten ikäeroon ja siihen, että seulottavan viestinnän osapuolena on todennäköisesti lapsi.</w:t>
      </w:r>
    </w:p>
    <w:p w14:paraId="6FC1414A"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63F29536"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(21)</w:t>
      </w:r>
      <w:r w:rsidRPr="003A69AF">
        <w:rPr>
          <w:rFonts w:eastAsia="Calibri"/>
          <w:szCs w:val="22"/>
          <w:lang w:eastAsia="en-US"/>
        </w:rPr>
        <w:tab/>
        <w:t>Käytössä olisi oltava asianmukaiset menettelyt ja oikaisumekanismit sen varmistamiseksi, että yksittäiset henkilöt voivat tehdä valituksia palveluntarjoajille. Tällaiset menettelyt ja mekanismit ovat erityisen merkityksellisiä silloin, kun on poistettu sisältöä, joka ei ole verkkovälitteistä lapsiin kohdistuvaa seksuaaliväkivaltaa, tai ilmoitettu tällaisesta sisällöstä lainvalvontaviranomaisille tai lapsiin kohdistuvaa seksuaaliväkivaltaa torjuvalle yleishyödylliselle järjestölle.</w:t>
      </w:r>
    </w:p>
    <w:p w14:paraId="6C533705"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(22)</w:t>
      </w:r>
      <w:r w:rsidRPr="003A69AF">
        <w:rPr>
          <w:rFonts w:eastAsia="Calibri"/>
          <w:szCs w:val="22"/>
          <w:lang w:eastAsia="en-US"/>
        </w:rPr>
        <w:tab/>
        <w:t>Jotta voidaan varmistaa mahdollisimman suuri tarkkuus ja luotettavuus, tämän asetuksen soveltamiseksi käytettävän teknologian olisi edustettava alan viimeisintä teknistä kehitystä, sen tuottamien virheiden (väärien positiivisten osumien) lukumäärän ja virhetason olisi oltava mahdollisimman matala ja mahdollisten virheiden korjaamisen olisi tarvittaessa tapahduttava viipymättä.</w:t>
      </w:r>
    </w:p>
    <w:p w14:paraId="4F72A510"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(23)</w:t>
      </w:r>
      <w:r w:rsidRPr="003A69AF">
        <w:rPr>
          <w:rFonts w:eastAsia="Calibri"/>
          <w:szCs w:val="22"/>
          <w:lang w:eastAsia="en-US"/>
        </w:rPr>
        <w:tab/>
        <w:t>Tämän asetuksen soveltamisalaan kuuluvia toimia suoritettaessa käsiteltävät sisältötiedot ja liikennetiedot ja tuotettavat henkilötiedot sekä tietojen säilytysaika siinä tapauksessa, että tunnistetaan epäiltyä verkkovälitteistä lapsiin kohdistuvaa seksuaaliväkivaltaa, olisi edelleen rajattava siihen, mikä on ehdottoman välttämätöntä kyseisten toimien suorittamiseksi. Tiedot olisi poistettava viipymättä ja peruuttamattomasti heti, kun ne eivät enää ole ehdottoman välttämättömiä johonkin tässä asetuksessa säädettyyn tarkoitukseen, myös silloin, kun ei ole tunnistettu epäiltyä verkkovälitteistä lapsiin kohdistuvaa seksuaaliväkivaltaa, ja joka tapauksessa viimeistään 12 kuukauden kuluttua epäillyn verkkovälitteisen lapsiin kohdistuvan seksuaaliväkivallan havaitsemispäivästä. Tämä ei saisi rajoittaa mahdollisuutta tallentaa asiaankuuluvia sisältötietoja ja liikennetietoja direktiivin 2002/58/EY mukaisesti. Tämä asetus ei vaikuta minkään sellaisen tietojen säilyttämistä koskevan unionin oikeuden tai kansallisen lainsäädännön mukaisen oikeudellisen velvoitteen soveltamiseen, jota asianomaisiin palveluntarjoajiin mahdollisesti sovelletaan.</w:t>
      </w:r>
    </w:p>
    <w:p w14:paraId="7C334687"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5625A293"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(24)</w:t>
      </w:r>
      <w:r w:rsidRPr="003A69AF">
        <w:rPr>
          <w:rFonts w:eastAsia="Calibri"/>
          <w:szCs w:val="22"/>
          <w:lang w:eastAsia="en-US"/>
        </w:rPr>
        <w:tab/>
        <w:t>Tämä asetus ei estä verkkovälitteisestä lapsiin kohdistuvasta seksuaaliväkivallasta lainvalvontaviranomaisille ilmoittanutta palveluntarjoajaa pyytämästä kyseisiltä viranomaisilta vastaanottotodistusta ilmoituksesta.</w:t>
      </w:r>
    </w:p>
    <w:p w14:paraId="7CDAD337"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(25)</w:t>
      </w:r>
      <w:r w:rsidRPr="003A69AF">
        <w:rPr>
          <w:rFonts w:eastAsia="Calibri"/>
          <w:szCs w:val="22"/>
          <w:lang w:eastAsia="en-US"/>
        </w:rPr>
        <w:tab/>
        <w:t>Jotta tässä asetuksessa säädetyn poikkeuksen nojalla toteutettujen toimien osalta voidaan varmistaa avoimuus ja vastuuvelvollisuus, palveluntarjoajien olisi julkaistava ja toimitettava asetuksen (EU) 2016/679 nojalla nimetylle toimivaltaiselle valvontaviranomaiselle, jäljempänä ’valvontaviranomainen’, ja komissiolle kertomukset viimeistään kuuden kuukauden kuluttua tämän asetuksen voimaantulopäivästä ja sen jälkeen vuosittain viimeistään 31 päivänä tammikuuta. Tällaisten kertomusten olisi katettava tämän asetuksen soveltamisalaan kuuluva käsittely, mukaan lukien käsiteltyjen tietojen tyyppi ja määrä, sovelletut asetuksen (EU) 2016/679 mukaiset henkilötietojen käsittelyn erityiset perusteet, tarvittaessa asetuksen (EU) 2016/679 V luvun mukaiset henkilötietojen unionin ulkopuolelle siirtämisen perusteet, tunnistettujen verkkovälitteiseen lapsiin kohdistuvaan seksuaaliväkivaltaan liittyvien tapausten lukumäärä, eritellen tapaukset, joissa on kyse verkkovälitteistä lapsiin kohdistuvaa seksuaaliväkivaltaa todistavasta materiaalista ja toisaalta lasten houkuttelemisesta seksuaalisiin tarkoituksiin, niiden tapausten lukumäärä, joissa käyttäjä on tehnyt valituksen sisäiselle oikaisumekanismille tai käyttänyt oikeussuojakeinoa, sekä tällaisten valitusten ja oikeudellisten menettelyjen tulokset, käytettyjen eri teknologioiden tuottamien virheiden (väärien positiivisten osumien) lukumäärä ja virhetaso, virhetason pienentämiseksi sovelletut toimenpiteet ja niiden avulla saavutettu virhetaso, säilytysperiaatteet ja asetuksen (EU) 2016/679 nojalla sovelletut tietosuojatakeet sekä niiden lapsiin kohdistuvaa seksuaaliväkivaltaa torjuvien yleishyödyllisten järjestöjen nimet, joiden kanssa on jaettu tietoja tämän asetuksen nojalla.</w:t>
      </w:r>
    </w:p>
    <w:p w14:paraId="71E5E1CF"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1B14B3B8"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(26)</w:t>
      </w:r>
      <w:r w:rsidRPr="003A69AF">
        <w:rPr>
          <w:rFonts w:eastAsia="Calibri"/>
          <w:szCs w:val="22"/>
          <w:lang w:eastAsia="en-US"/>
        </w:rPr>
        <w:tab/>
        <w:t>On tarpeen varmistaa sekä jäsenvaltioiden että numeroista riippumattomien henkilöiden välisten viestintäpalvelujen tarjoajien raportointi komissiolle. On myös tärkeää korostaa, että komission olisi raportoitava tämän asetuksen täytäntöönpanosta oikea-aikaisesti.</w:t>
      </w:r>
    </w:p>
    <w:p w14:paraId="043F5484"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(27)</w:t>
      </w:r>
      <w:r w:rsidRPr="003A69AF">
        <w:rPr>
          <w:rFonts w:eastAsia="Calibri"/>
          <w:szCs w:val="22"/>
          <w:lang w:eastAsia="en-US"/>
        </w:rPr>
        <w:tab/>
        <w:t>Numeroista riippumattomien henkilöiden välisten viestintäpalvelujen tarjoajien raportoinnin helpottamiseksi ja erityisesti sen varmistamiseksi, että niiden kertomukset ovat koneellisesti luettavia ja helposti saatavilla, kyseisille kertomuksille olisi vahvistettava yhteinen raportointimuoto.</w:t>
      </w:r>
    </w:p>
    <w:p w14:paraId="0C9A080D"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(28)</w:t>
      </w:r>
      <w:r w:rsidRPr="003A69AF">
        <w:rPr>
          <w:rFonts w:eastAsia="Calibri"/>
          <w:szCs w:val="22"/>
          <w:lang w:eastAsia="en-US"/>
        </w:rPr>
        <w:tab/>
        <w:t>Jotta voidaan varmistaa yhdenmukaiset edellytykset tämän asetuksen 3 artiklan 1 kohdan g alakohdan vii alakohdan täytäntöönpanolle, komissiolle olisi siirrettävä täytäntöönpanovaltaa. Tätä valtaa olisi käytettävä Euroopan parlamentin ja neuvoston asetuksen (EU) N:o 182/2011</w:t>
      </w:r>
      <w:r w:rsidRPr="003A69AF">
        <w:rPr>
          <w:rFonts w:eastAsia="Calibri"/>
          <w:b/>
          <w:szCs w:val="22"/>
          <w:vertAlign w:val="superscript"/>
          <w:lang w:val="en-GB" w:eastAsia="en-US"/>
        </w:rPr>
        <w:footnoteReference w:id="12"/>
      </w:r>
      <w:r w:rsidRPr="003A69AF">
        <w:rPr>
          <w:rFonts w:eastAsia="Calibri"/>
          <w:szCs w:val="22"/>
          <w:lang w:eastAsia="en-US"/>
        </w:rPr>
        <w:t xml:space="preserve"> mukaisesti.</w:t>
      </w:r>
    </w:p>
    <w:p w14:paraId="0C3381C4"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2F05E1AB"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(29)</w:t>
      </w:r>
      <w:r w:rsidRPr="003A69AF">
        <w:rPr>
          <w:rFonts w:eastAsia="Calibri"/>
          <w:szCs w:val="22"/>
          <w:lang w:eastAsia="en-US"/>
        </w:rPr>
        <w:tab/>
        <w:t>Jotta voidaan tukea valvontaviranomaisia niiden tehtävissään, komission olisi pyydettävä Euroopan tietosuojaneuvostoa antamaan suuntaviivoja asetuksen (EU) 2016/679 noudattamisesta tässä asetuksessa säädetyn poikkeuksen soveltamisalaan kuuluvassa käsittelyssä. Kun valvontaviranomaiset arvioivat, vastaako käytettävä vakiintunut tai uusi teknologia alan viimeisintä teknistä kehitystä, onko se yksityisyyttä mahdollisimman vähän loukkaavaa ja onko sen käytölle asianmukainen asetuksen (EU) 2016/679 mukainen oikeusperusta, kyseisten suuntaviivojen olisi erityisesti autettava valvontaviranomaisia antamaan neuvontaa kyseisessä asetuksessa vahvistetussa ennakkokuulemismenettelyssä.</w:t>
      </w:r>
    </w:p>
    <w:p w14:paraId="0FAF3012"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(30)</w:t>
      </w:r>
      <w:r w:rsidRPr="003A69AF">
        <w:rPr>
          <w:rFonts w:eastAsia="Calibri"/>
          <w:szCs w:val="22"/>
          <w:lang w:eastAsia="en-US"/>
        </w:rPr>
        <w:tab/>
        <w:t>Tällä asetuksella rajoitetaan oikeutta viestinnän luottamuksellisuuden suojaan ja poiketaan direktiivin (EU) 2018/1972 nojalla tehdystä päätöksestä soveltaa numeroista riippumattomiin henkilöiden välisiin viestintäpalveluihin samoja yksityisyyttä koskevia sääntöjä, kuin mitä kaikkiin muihin sähköisiin viestintäpalveluihin sovelletaan, yksinomaan verkkovälitteisen lapsiin kohdistuvan seksuaaliväkivallan havaitsemiseksi kyseisissä palveluissa ja siitä ilmoittamiseksi valvontaviranomaisille tai lapsiin kohdistuvaa seksuaaliväkivaltaa torjuville yleishyödyllisille järjestöille ja verkkovälitteistä lapsiin kohdistuvaa seksuaaliväkivaltaa todistavan materiaalin poistamiseksi kyseisistä palveluista.</w:t>
      </w:r>
    </w:p>
    <w:p w14:paraId="4ED3D8F0"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(31)</w:t>
      </w:r>
      <w:r w:rsidRPr="003A69AF">
        <w:rPr>
          <w:rFonts w:eastAsia="Calibri"/>
          <w:szCs w:val="22"/>
          <w:lang w:eastAsia="en-US"/>
        </w:rPr>
        <w:tab/>
        <w:t>Kaikkien muiden direktiivin 2002/58/EY soveltamisalaan kuuluvien toimien osalta palveluntarjoajiin olisi sovellettava mainitussa direktiivissä säädettyjä erityisiä velvoitteita ja siten myös kyseisen direktiivin nojalla nimettyjen toimivaltaisten viranomaisten valvonta- ja tutkintavaltuuksia.</w:t>
      </w:r>
    </w:p>
    <w:p w14:paraId="30364415"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2CDEABC0"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(32)</w:t>
      </w:r>
      <w:r w:rsidRPr="003A69AF">
        <w:rPr>
          <w:rFonts w:eastAsia="Calibri"/>
          <w:szCs w:val="22"/>
          <w:lang w:eastAsia="en-US"/>
        </w:rPr>
        <w:tab/>
        <w:t>Päästä päähän -salaus on tärkeä väline, kun halutaan taata käyttäjien, myös lasten, viestinnän turvallisuus ja luottamuksellisuus. Vahingontekotarkoituksessa toimivat kolmannet osapuolet saattaisivat käyttää väärin salauksen mahdollista heikkenemistä. Näin ollen mitään tässä asetuksessa ei pitäisi tulkita niin, että sillä kiellettäisiin päästä päähän -salaus tai heikennettäisiin sitä.</w:t>
      </w:r>
    </w:p>
    <w:p w14:paraId="756FC195"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(33)</w:t>
      </w:r>
      <w:r w:rsidRPr="003A69AF">
        <w:rPr>
          <w:rFonts w:eastAsia="Calibri"/>
          <w:szCs w:val="22"/>
          <w:lang w:eastAsia="en-US"/>
        </w:rPr>
        <w:tab/>
        <w:t>Oikeus yksityis- ja perhe-elämän kunnioittamiseen, myös viestinnän luottamuksellisuuteen, on perusoikeuskirjan 7 artiklassa taattu perusoikeus. Niinpä se on myös edellytyksenä seksuaaliväkivallan kohteeksi joutuneiden lasten ja luotetun aikuisen tai lapsiin kohdistuvan seksuaaliväkivallan torjunnan alalla toimivien järjestöjen väliselle suojatulle viestinnälle sekä tällaisen väkivallan uhrien ja heidän asianajajiensa väliselle viestinnälle.</w:t>
      </w:r>
    </w:p>
    <w:p w14:paraId="5B62735A"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(34)</w:t>
      </w:r>
      <w:r w:rsidRPr="003A69AF">
        <w:rPr>
          <w:rFonts w:eastAsia="Calibri"/>
          <w:szCs w:val="22"/>
          <w:lang w:eastAsia="en-US"/>
        </w:rPr>
        <w:tab/>
        <w:t>Tällä asetuksella ei saisi rajoittaa kansallisen lainsäädännön mukaisia salassapitovelvollisuutta koskevia sääntöjä, kuten sääntöjä lääkärien ja heidän potilaidensa, toimittajien ja heidän tietolähteidensä tai asianajajien ja heidän päämiestensä välisen ammattiviestinnän suojasta, etenkin siksi, että asianajajien ja heidän päämiestensä välisen viestinnän luottamuksellisuus on keskeisen tärkeää varmistettaessa mahdollisuus käyttää tehokkaasti oikeutta puolustukseen olennaisena osana oikeutta oikeudenmukaiseen oikeudenkäyntiin. Tällä asetuksella ei myöskään saisi rajoittaa kansallisia sääntöjä, jotka koskevat sellaisten viranomaisten tai järjestöjen rekistereitä, jotka tarjoavat neuvontaa hädässä oleville henkilöille.</w:t>
      </w:r>
    </w:p>
    <w:p w14:paraId="6AF03835"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1CA93467"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(35)</w:t>
      </w:r>
      <w:r w:rsidRPr="003A69AF">
        <w:rPr>
          <w:rFonts w:eastAsia="Calibri"/>
          <w:szCs w:val="22"/>
          <w:lang w:eastAsia="en-US"/>
        </w:rPr>
        <w:tab/>
        <w:t>Palveluntarjoajien olisi ilmoitettava komissiolle niiden lapsiin kohdistuvaa seksuaaliväkivaltaa torjuvien yleishyödyllisten järjestöjen nimet, joille ne ilmoittavat mahdollisesta verkkovälitteisestä lapsiin kohdistuvasta seksuaaliväkivallasta tämän asetuksen nojalla. Vaikka palveluntarjoajat ovat rekisterinpitäjinä yksin vastuussa sen arvioimisesta, minkä kolmannen osapuolen kanssa ne voivat jakaa henkilötietoja asetuksen (EU) 2016/679 nojalla, komission olisi varmistettava mahdollisten verkkovälitteiseen lapsiin kohdistuvaan seksuaaliväkivaltaan liittyvien tapausten tietojen siirtämistä koskeva avoimuus julkaisemalla verkkosivustollaan luettelo sille ilmoitetuista lapsiin kohdistuvaa seksuaaliväkivaltaa torjuvista yleishyödyllisistä järjestöistä. Kyseisen julkisen luettelon olisi oltava helposti saatavilla. Palveluntarjoajien olisi myös voitava käyttää kyseistä luetteloa selvittääkseen verkkovälitteisen lapsiin kohdistuvan seksuaaliväkivallan maailmanlaajuisessa torjunnassa merkityksellisiä järjestöjä. Kyseinen luettelo ei saisi vaikuttaa rekisterinpitäjinä toimiville palveluntarjoajille asetuksen (EU) 2016/679 nojalla kuuluviin velvollisuuksiin, mukaan lukien niiden velvollisuus suorittaa mahdollinen henkilötietojen siirto unionin ulkopuolelle kyseisen asetuksen V luvun mukaisesti ja niiden velvollisuus täyttää kaikki kyseisen asetuksen IV luvun mukaiset velvollisuudet.</w:t>
      </w:r>
    </w:p>
    <w:p w14:paraId="224C23AB"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(36)</w:t>
      </w:r>
      <w:r w:rsidRPr="003A69AF">
        <w:rPr>
          <w:rFonts w:eastAsia="Calibri"/>
          <w:szCs w:val="22"/>
          <w:lang w:eastAsia="en-US"/>
        </w:rPr>
        <w:tab/>
        <w:t>Tilastotiedot, jotka jäsenvaltioiden on tämän asetuksen mukaisesti toimitettava, ovat tärkeitä indikaattoreita toimintapolitiikan, myös lainsäädännöllisten toimenpiteiden, arvioinnissa. Lisäksi on tärkeää tunnustaa toissijaisen uhriksi joutumisen vaikutukset, joita aiheutuu siitä, että lapsiin kohdistuvan seksuaaliväkivallan uhreja esittäviä kuvia ja videoita jaetaan ja niitä on saatettu levittää vuosien ajan, sillä nämä vaikutukset eivät käy täysin ilmi tällaisista tilastotiedoista.</w:t>
      </w:r>
    </w:p>
    <w:p w14:paraId="5E011F33"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6C16DDB0"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(37)</w:t>
      </w:r>
      <w:r w:rsidRPr="003A69AF">
        <w:rPr>
          <w:rFonts w:eastAsia="Calibri"/>
          <w:szCs w:val="22"/>
          <w:lang w:eastAsia="en-US"/>
        </w:rPr>
        <w:tab/>
        <w:t>Jotta voidaan ottaa huomioon asetuksessa (EU) 2016/679 säädetyt vaatimukset ja erityisesti vaatimus, jonka mukaan jäsenvaltioiden on varmistettava, että valvontaviranomaisille osoitetaan tekniset, taloudelliset ja henkilöresurssit, jotka ovat tarpeen niiden tehtävien suorittamiseksi ja valtuuksien käyttämiseksi tehokkaasti, jäsenvaltioiden olisi varmistettava, että valvontaviranomaisilla on tällaiset riittävät resurssit hoitaakseen tehtävänsä ja käyttääkseen valtuuksiaan tehokkaasti tämän asetuksen nojalla.</w:t>
      </w:r>
    </w:p>
    <w:p w14:paraId="444393EF"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(38)</w:t>
      </w:r>
      <w:r w:rsidRPr="003A69AF">
        <w:rPr>
          <w:rFonts w:eastAsia="Calibri"/>
          <w:szCs w:val="22"/>
          <w:lang w:eastAsia="en-US"/>
        </w:rPr>
        <w:tab/>
        <w:t>Jos palveluntarjoaja on tehnyt tietosuojaa koskevan vaikutustenarvioinnin ja kuullut valvontaviranomaisia jostakin teknologiasta asetuksen (EU) 2016/679 mukaisesti ennen tämän asetuksen voimaantuloa, kyseistä palveluntarjoajaa ei pitäisi velvoittaa suorittamaan tämän asetuksen nojalla toista tietosuojaa koskevaa vaikutustenarviointia tai kuulemista edellyttäen, että valvontaviranomaiset ovat todenneet, että tietojen käsittely kyseisellä teknologialla ei aiheuttaisi suurta riskiä luonnollisten henkilöiden oikeuksille ja vapauksille tai että rekisterinpitäjä on toteuttanut toimenpiteitä tällaisen riskin lieventämiseksi.</w:t>
      </w:r>
    </w:p>
    <w:p w14:paraId="6F8F2059"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(39)</w:t>
      </w:r>
      <w:r w:rsidRPr="003A69AF">
        <w:rPr>
          <w:rFonts w:eastAsia="Calibri"/>
          <w:szCs w:val="22"/>
          <w:lang w:eastAsia="en-US"/>
        </w:rPr>
        <w:tab/>
        <w:t>Käyttäjillä olisi oltava oikeus tehokkaisiin oikeussuojakeinoihin, jos heidän oikeuksiaan on loukattu sen seurauksena, että henkilötietoja tai muita tietoja on käsitelty verkkovälitteisen lapsiin kohdistuvan seksuaaliväkivallan havaitsemiseksi numeroista riippumattomissa henkilöiden välisissä viestintäpalveluissa ja siitä ilmoittamiseksi ja verkkovälitteistä lapsiin kohdistuvaa seksuaaliväkivaltaa todistavan materiaalin poistamiseksi kyseisistä palveluista, esimerkiksi jos käyttäjän sisältö tai henkilöllisyys on annettu tiedoksi lapsiin kohdistuvaa seksuaaliväkivaltaa torjuvalle yleishyödylliselle järjestölle tai lainvalvontaviranomaisille, jos käyttäjän sisältö on poistettu tai käyttäjän tili on estetty taikka jos käyttäjälle tarjottu palvelu on keskeytetty.</w:t>
      </w:r>
    </w:p>
    <w:p w14:paraId="60D8DF15"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7AF30011"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(40)</w:t>
      </w:r>
      <w:r w:rsidRPr="003A69AF">
        <w:rPr>
          <w:rFonts w:eastAsia="Calibri"/>
          <w:szCs w:val="22"/>
          <w:lang w:eastAsia="en-US"/>
        </w:rPr>
        <w:tab/>
        <w:t>Direktiivin 2002/58/EY ja tietojen minimoinnin periaatteen mukaisesti henkilötietojen ja muiden tietojen käsittely olisi rajattava sisältötietoihin ja niihin liittyviin liikennetietoihin siinä laajuudessa, kuin se on ehdottoman välttämätöntä tämän asetuksen tarkoituksen saavuttamiseksi.</w:t>
      </w:r>
    </w:p>
    <w:p w14:paraId="57568B67"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(41)</w:t>
      </w:r>
      <w:r w:rsidRPr="003A69AF">
        <w:rPr>
          <w:rFonts w:eastAsia="Calibri"/>
          <w:szCs w:val="22"/>
          <w:lang w:eastAsia="en-US"/>
        </w:rPr>
        <w:tab/>
        <w:t>Tässä asetuksessa säädetyn poikkeuksen olisi koskettava myös tietoryhmiä, joita tarkoitetaan direktiivin 2002/58/EY 5 artiklan 1 kohdassa ja 6 artiklan 1 kohdassa, joita sovelletaan sekä henkilötietojen että muiden kuin henkilötietojen käsittelyyn numeroista riippumattomien henkilöiden välisten viestintäpalvelujen tarjoamisen yhteydessä.</w:t>
      </w:r>
    </w:p>
    <w:p w14:paraId="2E2ED8BE"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(42)</w:t>
      </w:r>
      <w:r w:rsidRPr="003A69AF">
        <w:rPr>
          <w:rFonts w:eastAsia="Calibri"/>
          <w:szCs w:val="22"/>
          <w:lang w:eastAsia="en-US"/>
        </w:rPr>
        <w:tab/>
        <w:t>Tämän asetuksen tavoitteena on säätää tilapäisestä poikkeuksesta direktiivin 2002/58/EY tiettyihin säännöksiin aiheuttamatta kuitenkaan pirstoutumista sisämarkkinoilla. Kansallisia lainsäädännöllisiä toimenpiteitä ei todennäköisesti myöskään voitaisi toteuttaa ajoissa kaikissa jäsenvaltioissa. Jäsenvaltiot eivät voi riittävällä tavalla saavuttaa tämän asetuksen tavoitetta, vaan se voidaan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 Sillä otetaan käyttöön tilapäinen ja tiukasti rajattu poikkeus direktiivin 2002/58/EY 5 artiklan 1 kohdan ja 6 artiklan 1 kohdan soveltamisesta ja useita suojatoimia, joilla varmistetaan, ettei siinä ylitetä sitä, mikä on tarpeen asetetun tavoitteen saavuttamiseksi.</w:t>
      </w:r>
    </w:p>
    <w:p w14:paraId="563DC132"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1A2982A5"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(43)</w:t>
      </w:r>
      <w:r w:rsidRPr="003A69AF">
        <w:rPr>
          <w:rFonts w:eastAsia="Calibri"/>
          <w:szCs w:val="22"/>
          <w:lang w:eastAsia="en-US"/>
        </w:rPr>
        <w:tab/>
        <w:t>Koska on tarpeen varmistaa oikeusvarmuus oikea-aikaisesti ottaen huomioon, että asetuksen (EU) 2021/1232 soveltaminen on päättynyt, tämän asetuksen olisi tultava voimaan mahdollisimman pian.</w:t>
      </w:r>
    </w:p>
    <w:p w14:paraId="4585A17F"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(44)</w:t>
      </w:r>
      <w:r w:rsidRPr="003A69AF">
        <w:rPr>
          <w:rFonts w:eastAsia="Calibri"/>
          <w:szCs w:val="22"/>
          <w:lang w:eastAsia="en-US"/>
        </w:rPr>
        <w:tab/>
        <w:t>Euroopan tietosuojavaltuutettua on kuultu Euroopan parlamentin ja neuvoston asetuksen (EU) 2018/1725</w:t>
      </w:r>
      <w:r w:rsidRPr="003A69AF">
        <w:rPr>
          <w:rFonts w:eastAsia="Calibri"/>
          <w:b/>
          <w:szCs w:val="22"/>
          <w:vertAlign w:val="superscript"/>
          <w:lang w:val="en-GB" w:eastAsia="en-US"/>
        </w:rPr>
        <w:footnoteReference w:id="13"/>
      </w:r>
      <w:r w:rsidRPr="003A69AF">
        <w:rPr>
          <w:rFonts w:eastAsia="Calibri"/>
          <w:szCs w:val="22"/>
          <w:lang w:eastAsia="en-US"/>
        </w:rPr>
        <w:t xml:space="preserve"> 42 artiklan 1 kohdan mukaisesti, ja se antoi lausuntonsa 16 päivänä helmikuuta 2026,</w:t>
      </w:r>
    </w:p>
    <w:p w14:paraId="32916FC3" w14:textId="77777777" w:rsidR="00225C9D" w:rsidRPr="003A69AF" w:rsidRDefault="00225C9D" w:rsidP="00225C9D">
      <w:pPr>
        <w:keepNext/>
        <w:spacing w:before="120" w:after="120" w:line="360" w:lineRule="auto"/>
        <w:rPr>
          <w:rFonts w:eastAsia="Calibri"/>
          <w:szCs w:val="22"/>
          <w:lang w:eastAsia="en-US"/>
        </w:rPr>
      </w:pPr>
      <w:r w:rsidRPr="003A69AF">
        <w:rPr>
          <w:rFonts w:eastAsia="Calibri"/>
          <w:szCs w:val="22"/>
          <w:lang w:eastAsia="en-US"/>
        </w:rPr>
        <w:t>OVAT HYVÄKSYNEET TÄMÄN ASETUKSEN:</w:t>
      </w:r>
    </w:p>
    <w:p w14:paraId="10795187" w14:textId="77777777" w:rsidR="00225C9D" w:rsidRPr="003A69AF" w:rsidRDefault="00225C9D" w:rsidP="00225C9D">
      <w:pPr>
        <w:spacing w:before="120" w:after="120" w:line="360" w:lineRule="auto"/>
        <w:rPr>
          <w:rFonts w:eastAsia="Calibri"/>
          <w:i/>
          <w:iCs/>
          <w:szCs w:val="22"/>
          <w:lang w:eastAsia="en-US"/>
        </w:rPr>
      </w:pPr>
      <w:r w:rsidRPr="003A69AF">
        <w:rPr>
          <w:rFonts w:eastAsia="Calibri"/>
          <w:i/>
          <w:iCs/>
          <w:szCs w:val="22"/>
          <w:lang w:eastAsia="en-US"/>
        </w:rPr>
        <w:br w:type="page"/>
      </w:r>
    </w:p>
    <w:p w14:paraId="193958AD"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lastRenderedPageBreak/>
        <w:t>1 artikla</w:t>
      </w:r>
      <w:r w:rsidRPr="003A69AF">
        <w:rPr>
          <w:rFonts w:eastAsia="Calibri"/>
          <w:i/>
          <w:szCs w:val="22"/>
          <w:lang w:eastAsia="en-US"/>
        </w:rPr>
        <w:br/>
        <w:t>Kohde ja soveltamisala</w:t>
      </w:r>
    </w:p>
    <w:p w14:paraId="480B93E7"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w:t>
      </w:r>
      <w:r w:rsidRPr="003A69AF">
        <w:rPr>
          <w:rFonts w:eastAsia="Calibri"/>
          <w:szCs w:val="22"/>
          <w:lang w:eastAsia="en-US"/>
        </w:rPr>
        <w:tab/>
        <w:t>Tässä asetuksessa vahvistetaan tilapäiset ja tiukasti rajatut säännöt tietyistä direktiivissä 2002/58/EY säädetyistä velvoitteista poikkeamiselle, jonka yksinomaisena tavoitteena on antaa tiettyjen numeroista riippumattomien henkilöiden välisten viestintäpalvelujen tarjoajille, jäljempänä ’palveluntarjoajat’, mahdollisuus käyttää, tämän rajoittamatta asetuksen (EU) 2016/679 soveltamista, erityisiä teknologioita henkilötietojen ja muiden tietojen käsittelyyn siinä laajuudessa, kuin on ehdottoman välttämätöntä verkkovälitteisen lapsiin kohdistuvan seksuaaliväkivallan havaitsemiseksi niiden palveluissa ja siitä ilmoittamiseksi ja verkkovälitteistä lapsiin kohdistuvaa seksuaaliväkivaltaa todistavan materiaalin poistamiseksi niiden palveluista.</w:t>
      </w:r>
    </w:p>
    <w:p w14:paraId="7F35E173"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w:t>
      </w:r>
      <w:r w:rsidRPr="003A69AF">
        <w:rPr>
          <w:rFonts w:eastAsia="Calibri"/>
          <w:szCs w:val="22"/>
          <w:lang w:eastAsia="en-US"/>
        </w:rPr>
        <w:tab/>
        <w:t>Tätä asetusta ei sovelleta ääniviestinnän seulomiseen.</w:t>
      </w:r>
    </w:p>
    <w:p w14:paraId="063C6466" w14:textId="33CC4A57" w:rsidR="00225C9D" w:rsidRPr="003A69AF" w:rsidRDefault="00225C9D" w:rsidP="00225C9D">
      <w:pPr>
        <w:spacing w:before="120" w:after="120" w:line="360" w:lineRule="auto"/>
        <w:ind w:left="850" w:hanging="850"/>
        <w:rPr>
          <w:rFonts w:eastAsia="Calibri"/>
          <w:b/>
          <w:szCs w:val="22"/>
          <w:lang w:eastAsia="en-US"/>
        </w:rPr>
      </w:pPr>
      <w:r w:rsidRPr="003A69AF">
        <w:rPr>
          <w:b/>
          <w:i/>
        </w:rPr>
        <w:t>2 a.</w:t>
      </w:r>
      <w:r w:rsidRPr="003A69AF">
        <w:rPr>
          <w:b/>
          <w:i/>
        </w:rPr>
        <w:tab/>
        <w:t>Tätä asetusta ei sovelleta henkilöiden väliseen viestintään, johon sovelletaan, on sovellettu tai aiotaan soveltaa päästä päähän -salausta.</w:t>
      </w:r>
      <w:r w:rsidRPr="003A69AF">
        <w:rPr>
          <w:b/>
        </w:rPr>
        <w:t xml:space="preserve"> [Tark. 30]</w:t>
      </w:r>
    </w:p>
    <w:p w14:paraId="5117057E"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t>2 artikla</w:t>
      </w:r>
      <w:r w:rsidRPr="003A69AF">
        <w:rPr>
          <w:rFonts w:eastAsia="Calibri"/>
          <w:i/>
          <w:szCs w:val="22"/>
          <w:lang w:eastAsia="en-US"/>
        </w:rPr>
        <w:br/>
        <w:t>Määritelmät</w:t>
      </w:r>
    </w:p>
    <w:p w14:paraId="7B3A9168"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Tässä asetuksessa tarkoitetaan:</w:t>
      </w:r>
    </w:p>
    <w:p w14:paraId="10E92C6F"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w:t>
      </w:r>
      <w:r w:rsidRPr="003A69AF">
        <w:rPr>
          <w:rFonts w:eastAsia="Calibri"/>
          <w:szCs w:val="22"/>
          <w:lang w:eastAsia="en-US"/>
        </w:rPr>
        <w:tab/>
        <w:t>’numeroista riippumattomalla henkilöiden välisellä viestintäpalvelulla’ direktiivin (EU) 2018/1972 2 artiklan 7 alakohdassa määriteltyä numeroista riippumatonta henkilöiden välistä viestintäpalvelua;</w:t>
      </w:r>
    </w:p>
    <w:p w14:paraId="5C5A564B"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w:t>
      </w:r>
      <w:r w:rsidRPr="003A69AF">
        <w:rPr>
          <w:rFonts w:eastAsia="Calibri"/>
          <w:szCs w:val="22"/>
          <w:lang w:eastAsia="en-US"/>
        </w:rPr>
        <w:tab/>
        <w:t>’verkkovälitteistä lapsiin kohdistuvaa seksuaaliväkivaltaa todistavalla materiaalilla’</w:t>
      </w:r>
    </w:p>
    <w:p w14:paraId="10AD6F63"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a)</w:t>
      </w:r>
      <w:r w:rsidRPr="003A69AF">
        <w:rPr>
          <w:rFonts w:eastAsia="Calibri"/>
          <w:szCs w:val="22"/>
          <w:lang w:eastAsia="en-US"/>
        </w:rPr>
        <w:tab/>
        <w:t>direktiivin 2011/93/EU 2 artiklan c alakohdassa määriteltyä lapsipornografiaa;</w:t>
      </w:r>
    </w:p>
    <w:p w14:paraId="6896F145"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01B2C8C6"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lastRenderedPageBreak/>
        <w:t>b)</w:t>
      </w:r>
      <w:r w:rsidRPr="003A69AF">
        <w:rPr>
          <w:rFonts w:eastAsia="Calibri"/>
          <w:szCs w:val="22"/>
          <w:lang w:eastAsia="en-US"/>
        </w:rPr>
        <w:tab/>
        <w:t>direktiivin 2011/93/EU 2 artiklan e alakohdassa määriteltyä pornografista esitystä;</w:t>
      </w:r>
    </w:p>
    <w:p w14:paraId="42CD0C33"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3)</w:t>
      </w:r>
      <w:r w:rsidRPr="003A69AF">
        <w:rPr>
          <w:rFonts w:eastAsia="Calibri"/>
          <w:szCs w:val="22"/>
          <w:lang w:eastAsia="en-US"/>
        </w:rPr>
        <w:tab/>
        <w:t>’lasten houkuttelemisella seksuaalisiin tarkoituksiin’ tahallista tekoa, joka on rikos direktiivin 2011/93/EU 6 artiklan nojalla;</w:t>
      </w:r>
    </w:p>
    <w:p w14:paraId="4F59EA2E"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4)</w:t>
      </w:r>
      <w:r w:rsidRPr="003A69AF">
        <w:rPr>
          <w:rFonts w:eastAsia="Calibri"/>
          <w:szCs w:val="22"/>
          <w:lang w:eastAsia="en-US"/>
        </w:rPr>
        <w:tab/>
        <w:t>’verkkovälitteisellä lapsiin kohdistuvalla seksuaaliväkivallalla’ verkkovälitteistä lapsiin kohdistuvaa seksuaaliväkivaltaa todistavaa materiaalia ja lasten houkuttelemista seksuaalisiin tarkoituksiin.</w:t>
      </w:r>
    </w:p>
    <w:p w14:paraId="4779B589"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t>3 artikla</w:t>
      </w:r>
      <w:r w:rsidRPr="003A69AF">
        <w:rPr>
          <w:rFonts w:eastAsia="Calibri"/>
          <w:i/>
          <w:szCs w:val="22"/>
          <w:lang w:eastAsia="en-US"/>
        </w:rPr>
        <w:br/>
        <w:t>Poikkeuksen soveltamisala</w:t>
      </w:r>
    </w:p>
    <w:p w14:paraId="233625E8"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w:t>
      </w:r>
      <w:r w:rsidRPr="003A69AF">
        <w:rPr>
          <w:rFonts w:eastAsia="Calibri"/>
          <w:szCs w:val="22"/>
          <w:lang w:eastAsia="en-US"/>
        </w:rPr>
        <w:tab/>
        <w:t>Direktiivin 2002/58/EY 5 artiklan 1 kohtaa ja 6 artiklan 1 kohtaa ei sovelleta sellaisen viestinnän luottamuksellisuuteen, johon palveluntarjoajat kohdistavat numeroista riippumattomien henkilöiden välisten viestintäpalvelujen tarjoamisen yhteydessä henkilötietojen ja muiden tietojen käsittelyä, edellyttäen että:</w:t>
      </w:r>
    </w:p>
    <w:p w14:paraId="6F5906A7"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a)</w:t>
      </w:r>
      <w:r w:rsidRPr="003A69AF">
        <w:rPr>
          <w:rFonts w:eastAsia="Calibri"/>
          <w:szCs w:val="22"/>
          <w:lang w:eastAsia="en-US"/>
        </w:rPr>
        <w:tab/>
        <w:t>käsittely on:</w:t>
      </w:r>
    </w:p>
    <w:p w14:paraId="4561188C"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w:t>
      </w:r>
      <w:r w:rsidRPr="003A69AF">
        <w:rPr>
          <w:rFonts w:eastAsia="Calibri"/>
          <w:szCs w:val="22"/>
          <w:lang w:eastAsia="en-US"/>
        </w:rPr>
        <w:tab/>
        <w:t>ehdottoman välttämätöntä erityisen teknologian käyttämiseksi yksinomaan verkkovälitteistä lapsiin kohdistuvaa seksuaaliväkivaltaa todistavan materiaalin havaitsemiseksi ja poistamiseksi ja siitä ilmoittamiseksi lainvalvontaviranomaisille ja lapsiin kohdistuvaa seksuaaliväkivaltaa torjuville yleishyödyllisille järjestöille sekä verkossa tapahtuvan lasten seksuaalisiin tarkoituksiin houkuttelemisen havaitsemiseksi ja siitä ilmoittamiseksi lainvalvontaviranomaisille tai lapsiin kohdistuvaa seksuaaliväkivaltaa torjuville yleishyödyllisille järjestöille;</w:t>
      </w:r>
    </w:p>
    <w:p w14:paraId="258B10C2" w14:textId="599DCBC7" w:rsidR="00225C9D" w:rsidRPr="003A69AF" w:rsidRDefault="00225C9D" w:rsidP="00225C9D">
      <w:pPr>
        <w:spacing w:before="120" w:after="120" w:line="360" w:lineRule="auto"/>
        <w:ind w:left="1984" w:hanging="567"/>
        <w:rPr>
          <w:rFonts w:eastAsia="Calibri"/>
          <w:b/>
          <w:bCs/>
          <w:i/>
          <w:iCs/>
          <w:szCs w:val="22"/>
          <w:lang w:eastAsia="en-US"/>
        </w:rPr>
      </w:pPr>
      <w:r w:rsidRPr="003A69AF">
        <w:rPr>
          <w:rFonts w:eastAsia="Calibri"/>
          <w:b/>
          <w:bCs/>
          <w:i/>
          <w:iCs/>
          <w:szCs w:val="22"/>
          <w:lang w:eastAsia="en-US"/>
        </w:rPr>
        <w:t>i a)</w:t>
      </w:r>
      <w:r w:rsidRPr="003A69AF">
        <w:rPr>
          <w:rFonts w:eastAsia="Calibri"/>
          <w:b/>
          <w:bCs/>
          <w:i/>
          <w:iCs/>
          <w:szCs w:val="22"/>
          <w:lang w:eastAsia="en-US"/>
        </w:rPr>
        <w:tab/>
        <w:t>sellaista, ettei se koske henkilöiden välistä viestintää, johon sovelletaan, on sovellettu tai aiotaan soveltaa päästä päähän -salausta; [Tarkistukset 26 cp3, 31cp3, 6 ja 21]</w:t>
      </w:r>
    </w:p>
    <w:p w14:paraId="38F791A5"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0C9B382B"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lastRenderedPageBreak/>
        <w:t>ii)</w:t>
      </w:r>
      <w:r w:rsidRPr="003A69AF">
        <w:rPr>
          <w:rFonts w:eastAsia="Calibri"/>
          <w:szCs w:val="22"/>
          <w:lang w:eastAsia="en-US"/>
        </w:rPr>
        <w:tab/>
        <w:t>oikeasuhteista ja rajoittuu teknologioihin, joita palveluntarjoajat käyttävät i alakohdassa vahvistetussa tarkoituksessa;</w:t>
      </w:r>
    </w:p>
    <w:p w14:paraId="39C67934"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iii)</w:t>
      </w:r>
      <w:r w:rsidRPr="003A69AF">
        <w:rPr>
          <w:rFonts w:eastAsia="Calibri"/>
          <w:szCs w:val="22"/>
          <w:lang w:eastAsia="en-US"/>
        </w:rPr>
        <w:tab/>
        <w:t>rajattu sisältötietoihin ja niihin liittyviin liikennetietoihin, jotka ovat ehdottoman välttämättömiä i alakohdassa vahvistettuihin tarkoituksiin;</w:t>
      </w:r>
    </w:p>
    <w:p w14:paraId="0E24807B"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iv)</w:t>
      </w:r>
      <w:r w:rsidRPr="003A69AF">
        <w:rPr>
          <w:rFonts w:eastAsia="Calibri"/>
          <w:szCs w:val="22"/>
          <w:lang w:eastAsia="en-US"/>
        </w:rPr>
        <w:tab/>
        <w:t>rajattu siihen, mikä on ehdottoman välttämätöntä i alakohdassa vahvistettuihin tarkoituksiin;</w:t>
      </w:r>
    </w:p>
    <w:p w14:paraId="2961B831"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b)</w:t>
      </w:r>
      <w:r w:rsidRPr="003A69AF">
        <w:rPr>
          <w:rFonts w:eastAsia="Calibri"/>
          <w:szCs w:val="22"/>
          <w:lang w:eastAsia="en-US"/>
        </w:rPr>
        <w:tab/>
        <w:t>tämän kohdan a alakohdan i alakohdassa vahvistettuihin tarkoituksiin käytettävät teknologiat edustavat alan viimeisintä teknistä kehitystä ja ovat yksityisyyttä mahdollisimman vähän loukkaavia, myös asetuksen (EU) 2016/679 25 artiklassa säädetyn sisäänrakennetun ja oletusarvoisen tietosuojan periaatteen osalta, ja viestien tekstin seulomiseen käytettynä niillä ei voida päätellä viestien varsinaista sisältöä vaan ainoastaan havaita mahdolliseen verkkovälitteiseen lapsiin kohdistuvaan seksuaaliväkivaltaan viittaavia toimintamalleja;</w:t>
      </w:r>
    </w:p>
    <w:p w14:paraId="24E3EA8C"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c)</w:t>
      </w:r>
      <w:r w:rsidRPr="003A69AF">
        <w:rPr>
          <w:rFonts w:eastAsia="Calibri"/>
          <w:szCs w:val="22"/>
          <w:lang w:eastAsia="en-US"/>
        </w:rPr>
        <w:tab/>
        <w:t>tämän kohdan a alakohdan i alakohdassa vahvistettuihin tarkoituksiin käytettävästä erityisestä teknologiasta on ennen käyttöönottoa suoritettu asetuksen (EU) 2016/679 35 artiklassa tarkoitettu tietosuojaa koskeva vaikutustenarviointi ja kyseisen asetuksen 36 artiklassa tarkoitettu ennakkokuulemismenettely;</w:t>
      </w:r>
    </w:p>
    <w:p w14:paraId="56A9BFEB"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49348A04"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lastRenderedPageBreak/>
        <w:t>d)</w:t>
      </w:r>
      <w:r w:rsidRPr="003A69AF">
        <w:rPr>
          <w:rFonts w:eastAsia="Calibri"/>
          <w:szCs w:val="22"/>
          <w:lang w:eastAsia="en-US"/>
        </w:rPr>
        <w:tab/>
        <w:t>kun on kyse uudesta teknologiasta eli sellaisesta verkkovälitteistä lapsiin kohdistuvaa seksuaaliväkivaltaa todistavan materiaalin havaitsemiseen käytettävästä teknologiasta, jota mikään palveluntarjoaja ei ole ennen ... päivää ...kuuta ... [tämän asetuksen voimaantulopäivä] käyttänyt unionissa numeroista riippumattomien henkilöiden välisten viestintäpalvelujen käyttäjille, jäljempänä ’käyttäjät’, tarjotuissa palveluissa, ja kun on kyse mahdollisen lasten seksuaalisiin tarkoituksiin houkuttelemisen tunnistamiseen käytettävästä teknologiasta, palveluntarjoaja selvittää toimivaltaiselle viranomaiselle toimenpiteet, jotka se on toteuttanut osoittaakseen noudattavansa asetuksen (EU) 2016/679 VI luvun 1 jakson nojalla nimetyn toimivaltaisen valvontaviranomaisen, jäljempänä ’valvontaviranomainen’, ennakkokuulemismenettelyssä kyseisen asetuksen 36 artiklan 2 kohdan mukaisesti antamia kirjallisia ohjeita;</w:t>
      </w:r>
    </w:p>
    <w:p w14:paraId="7F9F87A7"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e)</w:t>
      </w:r>
      <w:r w:rsidRPr="003A69AF">
        <w:rPr>
          <w:rFonts w:eastAsia="Calibri"/>
          <w:szCs w:val="22"/>
          <w:lang w:eastAsia="en-US"/>
        </w:rPr>
        <w:tab/>
        <w:t>käytetyt teknologiat ovat riittävän luotettavia, sillä niiden tuottama virhetaso verkkovälitteisenä lapsiin kohdistuvana seksuaaliväkivaltana pidettävän sisällön havaitsemisessa on mahdollisimman matala, ja jos tällaisia satunnaisia virheitä ilmenee, niiden seuraukset korjataan viipymättä;</w:t>
      </w:r>
    </w:p>
    <w:p w14:paraId="26240775"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f)</w:t>
      </w:r>
      <w:r w:rsidRPr="003A69AF">
        <w:rPr>
          <w:rFonts w:eastAsia="Calibri"/>
          <w:szCs w:val="22"/>
          <w:lang w:eastAsia="en-US"/>
        </w:rPr>
        <w:tab/>
        <w:t>mahdolliseen lasten seksuaalisiin tarkoituksiin houkuttelemiseen viittaavien toimintamallien havaitsemiseen käytettävissä teknologioissa käytetään vain asiaankuuluvia keskeisiä indikaattoreita ja objektiivisesti määritettyjä riskitekijöitä, kuten ikäero ja se, että seulottavan viestinnän osapuolena on todennäköisesti lapsi, sanotun kuitenkaan rajoittamatta oikeutta ihmisen suorittamaan arviointiin;</w:t>
      </w:r>
    </w:p>
    <w:p w14:paraId="4F3EDBA9"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397DB92A"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lastRenderedPageBreak/>
        <w:t>g)</w:t>
      </w:r>
      <w:r w:rsidRPr="003A69AF">
        <w:rPr>
          <w:rFonts w:eastAsia="Calibri"/>
          <w:szCs w:val="22"/>
          <w:lang w:eastAsia="en-US"/>
        </w:rPr>
        <w:tab/>
        <w:t>palveluntarjoajat:</w:t>
      </w:r>
    </w:p>
    <w:p w14:paraId="273540C6"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w:t>
      </w:r>
      <w:r w:rsidRPr="003A69AF">
        <w:rPr>
          <w:rFonts w:eastAsia="Calibri"/>
          <w:szCs w:val="22"/>
          <w:lang w:eastAsia="en-US"/>
        </w:rPr>
        <w:tab/>
        <w:t>ovat ottaneet käyttöön sisäiset menettelyt estääkseen henkilötietojen ja muiden tietojen väärinkäytökset, luvattoman pääsyn niihin ja niiden luvattoman siirtämisen;</w:t>
      </w:r>
    </w:p>
    <w:p w14:paraId="4102AE77"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ii)</w:t>
      </w:r>
      <w:r w:rsidRPr="003A69AF">
        <w:rPr>
          <w:rFonts w:eastAsia="Calibri"/>
          <w:szCs w:val="22"/>
          <w:lang w:eastAsia="en-US"/>
        </w:rPr>
        <w:tab/>
        <w:t>varmistavat ihmisen suorittaman valvonnan ja tarvittaessa ihmisen toteuttamat toimet sellaisessa henkilötietojen ja muiden tietojen käsittelyssä, jossa käytetään tämän asetuksen soveltamisalaan kuuluvia teknologioita;</w:t>
      </w:r>
    </w:p>
    <w:p w14:paraId="1EEBF076"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iii)</w:t>
      </w:r>
      <w:r w:rsidRPr="003A69AF">
        <w:rPr>
          <w:rFonts w:eastAsia="Calibri"/>
          <w:szCs w:val="22"/>
          <w:lang w:eastAsia="en-US"/>
        </w:rPr>
        <w:tab/>
        <w:t>varmistavat, että materiaalista, jota ei ole aiemmin tunnistettu verkkovälitteistä lapsiin kohdistuvaa seksuaaliväkivaltaa todistavaksi materiaaliksi, tai lasten houkuttelemisesta seksuaalisiin tarkoituksiin ei ilman ihmisen ensin suorittamaa varmentamista lähetetä ilmoitusta lainvalvontaviranomaisille tai lapsiin kohdistuvaa seksuaaliväkivaltaa torjuville yleishyödyllisille järjestöille;</w:t>
      </w:r>
    </w:p>
    <w:p w14:paraId="5C74A18D"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iv)</w:t>
      </w:r>
      <w:r w:rsidRPr="003A69AF">
        <w:rPr>
          <w:rFonts w:eastAsia="Calibri"/>
          <w:szCs w:val="22"/>
          <w:lang w:eastAsia="en-US"/>
        </w:rPr>
        <w:tab/>
        <w:t>ovat ottaneet käyttöön asianmukaiset menettelyt ja oikaisumekanismit sen varmistamiseksi, että käyttäjät voivat tehdä niille valituksia kohtuullisessa ajassa esittääkseen näkemyksensä;</w:t>
      </w:r>
    </w:p>
    <w:p w14:paraId="01669164"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56E463C5"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lastRenderedPageBreak/>
        <w:t>v)</w:t>
      </w:r>
      <w:r w:rsidRPr="003A69AF">
        <w:rPr>
          <w:rFonts w:eastAsia="Calibri"/>
          <w:szCs w:val="22"/>
          <w:lang w:eastAsia="en-US"/>
        </w:rPr>
        <w:tab/>
        <w:t>ilmoittavat käyttäjille selkeästi, näkyvästi ja ymmärrettävästi siitä, että ne vetoavat tämän asetuksen mukaisesti poikkeukseen käyttäjien viestinnän luottamuksellisuutta koskevasta direktiivin 2002/58/EY 5 artiklan 1 kohdasta ja 6 artiklan 1 kohdasta yksinomaan tämän kohdan a alakohdan i alakohdassa vahvistetuissa tarkoituksissa, poikkeuksen nojalla toteuttamiensa toimenpiteiden taustalla olevasta logiikasta ja niiden vaikutuksesta käyttäjien viestinnän luottamuksellisuuteen, myös mahdollisuudesta, että henkilötietoja jaetaan lainvalvontaviranomaisten ja lapsiin kohdistuvaa seksuaaliväkivaltaa torjuvien yleishyödyllisten järjestöjen kanssa;</w:t>
      </w:r>
    </w:p>
    <w:p w14:paraId="12D4707C"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vi)</w:t>
      </w:r>
      <w:r w:rsidRPr="003A69AF">
        <w:rPr>
          <w:rFonts w:eastAsia="Calibri"/>
          <w:szCs w:val="22"/>
          <w:lang w:eastAsia="en-US"/>
        </w:rPr>
        <w:tab/>
        <w:t>ilmoittavat käyttäjille seuraavista seikoista, jos heidän sisältönsä on poistettu tai heidän tilinsä on estetty tai heille tarjottu palvelu on keskeytetty:</w:t>
      </w:r>
    </w:p>
    <w:p w14:paraId="7AEC03E9"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1)</w:t>
      </w:r>
      <w:r w:rsidRPr="003A69AF">
        <w:rPr>
          <w:rFonts w:eastAsia="Calibri"/>
          <w:szCs w:val="22"/>
          <w:lang w:eastAsia="en-US"/>
        </w:rPr>
        <w:tab/>
        <w:t>keinot hakea oikaisua niiltä;</w:t>
      </w:r>
    </w:p>
    <w:p w14:paraId="4B5EEAB2"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2)</w:t>
      </w:r>
      <w:r w:rsidRPr="003A69AF">
        <w:rPr>
          <w:rFonts w:eastAsia="Calibri"/>
          <w:szCs w:val="22"/>
          <w:lang w:eastAsia="en-US"/>
        </w:rPr>
        <w:tab/>
        <w:t>mahdollisuus tehdä valitus valvontaviranomaiselle; ja</w:t>
      </w:r>
    </w:p>
    <w:p w14:paraId="135E7B9E"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3)</w:t>
      </w:r>
      <w:r w:rsidRPr="003A69AF">
        <w:rPr>
          <w:rFonts w:eastAsia="Calibri"/>
          <w:szCs w:val="22"/>
          <w:lang w:eastAsia="en-US"/>
        </w:rPr>
        <w:tab/>
        <w:t>oikeus oikeussuojakeinoihin;</w:t>
      </w:r>
    </w:p>
    <w:p w14:paraId="2AB924C8"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vii)</w:t>
      </w:r>
      <w:r w:rsidRPr="003A69AF">
        <w:rPr>
          <w:rFonts w:eastAsia="Calibri"/>
          <w:szCs w:val="22"/>
          <w:lang w:eastAsia="en-US"/>
        </w:rPr>
        <w:tab/>
        <w:t>julkaisevat ja toimittavat toimivaltaiselle valvontaviranomaiselle ja komissiolle viimeistään ... päivänä ...kuuta ... [kuusi kuukautta tämän asetuksen voimaantulopäivästä] ja sen jälkeen viimeistään kunkin vuoden 31 päivänä tammikuuta tämän asetuksen mukaisesta henkilötietojen käsittelystä kertomuksen, jossa esitetään myös:</w:t>
      </w:r>
    </w:p>
    <w:p w14:paraId="1BC4D1F8"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1)</w:t>
      </w:r>
      <w:r w:rsidRPr="003A69AF">
        <w:rPr>
          <w:rFonts w:eastAsia="Calibri"/>
          <w:szCs w:val="22"/>
          <w:lang w:eastAsia="en-US"/>
        </w:rPr>
        <w:tab/>
        <w:t>käsiteltyjen tietojen tyyppi ja määrä;</w:t>
      </w:r>
    </w:p>
    <w:p w14:paraId="68B7CB3E"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6DFCF38B"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lastRenderedPageBreak/>
        <w:t>2)</w:t>
      </w:r>
      <w:r w:rsidRPr="003A69AF">
        <w:rPr>
          <w:rFonts w:eastAsia="Calibri"/>
          <w:szCs w:val="22"/>
          <w:lang w:eastAsia="en-US"/>
        </w:rPr>
        <w:tab/>
        <w:t>asetuksen (EU) 2016/679 mukainen käsittelyn erityinen peruste;</w:t>
      </w:r>
    </w:p>
    <w:p w14:paraId="1C181C86"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3)</w:t>
      </w:r>
      <w:r w:rsidRPr="003A69AF">
        <w:rPr>
          <w:rFonts w:eastAsia="Calibri"/>
          <w:szCs w:val="22"/>
          <w:lang w:eastAsia="en-US"/>
        </w:rPr>
        <w:tab/>
        <w:t>tarvittaessa asetuksen (EU) 2016/679 V luvun mukainen henkilötietojen unionin ulkopuolelle siirtämisen peruste;</w:t>
      </w:r>
    </w:p>
    <w:p w14:paraId="640B126D"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4)</w:t>
      </w:r>
      <w:r w:rsidRPr="003A69AF">
        <w:rPr>
          <w:rFonts w:eastAsia="Calibri"/>
          <w:szCs w:val="22"/>
          <w:lang w:eastAsia="en-US"/>
        </w:rPr>
        <w:tab/>
        <w:t>verkkovälitteiseen lapsiin kohdistuvaan seksuaaliväkivaltaan liittyvien tunnistettujen tapausten lukumäärä, eritellen tapaukset, joissa on kyse verkkovälitteistä lapsiin kohdistuvaa seksuaaliväkivaltaa todistavasta materiaalista ja toisaalta lasten houkuttelemisesta seksuaalisiin tarkoituksiin;</w:t>
      </w:r>
    </w:p>
    <w:p w14:paraId="17CEBFF5"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5)</w:t>
      </w:r>
      <w:r w:rsidRPr="003A69AF">
        <w:rPr>
          <w:rFonts w:eastAsia="Calibri"/>
          <w:szCs w:val="22"/>
          <w:lang w:eastAsia="en-US"/>
        </w:rPr>
        <w:tab/>
        <w:t>niiden tapausten lukumäärä, joissa käyttäjä on tehnyt valituksen sisäiselle oikaisumekanismille tai oikeusviranomaiselle, sekä tällaisten valitusten tulokset;</w:t>
      </w:r>
    </w:p>
    <w:p w14:paraId="71A6E41B"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6)</w:t>
      </w:r>
      <w:r w:rsidRPr="003A69AF">
        <w:rPr>
          <w:rFonts w:eastAsia="Calibri"/>
          <w:szCs w:val="22"/>
          <w:lang w:eastAsia="en-US"/>
        </w:rPr>
        <w:tab/>
        <w:t>käytettyjen eri teknologioiden tuottamien virheiden (väärien positiivisten osumien) lukumäärät ja virhetaso;</w:t>
      </w:r>
    </w:p>
    <w:p w14:paraId="2A89D24D"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7)</w:t>
      </w:r>
      <w:r w:rsidRPr="003A69AF">
        <w:rPr>
          <w:rFonts w:eastAsia="Calibri"/>
          <w:szCs w:val="22"/>
          <w:lang w:eastAsia="en-US"/>
        </w:rPr>
        <w:tab/>
        <w:t>virhetason alentamiseksi sovelletut toimenpiteet ja saavutettu virhetaso;</w:t>
      </w:r>
    </w:p>
    <w:p w14:paraId="04559C6F"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8)</w:t>
      </w:r>
      <w:r w:rsidRPr="003A69AF">
        <w:rPr>
          <w:rFonts w:eastAsia="Calibri"/>
          <w:szCs w:val="22"/>
          <w:lang w:eastAsia="en-US"/>
        </w:rPr>
        <w:tab/>
        <w:t>säilytysperiaatteet ja asetuksen (EU) 2016/679 nojalla sovelletut tietosuojatakeet;</w:t>
      </w:r>
    </w:p>
    <w:p w14:paraId="635EF43C" w14:textId="77777777" w:rsidR="00225C9D" w:rsidRPr="003A69AF" w:rsidRDefault="00225C9D" w:rsidP="00225C9D">
      <w:pPr>
        <w:spacing w:before="120" w:after="120" w:line="360" w:lineRule="auto"/>
        <w:ind w:left="2551" w:hanging="567"/>
        <w:rPr>
          <w:rFonts w:eastAsia="Calibri"/>
          <w:szCs w:val="22"/>
          <w:lang w:eastAsia="en-US"/>
        </w:rPr>
      </w:pPr>
      <w:r w:rsidRPr="003A69AF">
        <w:rPr>
          <w:rFonts w:eastAsia="Calibri"/>
          <w:szCs w:val="22"/>
          <w:lang w:eastAsia="en-US"/>
        </w:rPr>
        <w:t>9)</w:t>
      </w:r>
      <w:r w:rsidRPr="003A69AF">
        <w:rPr>
          <w:rFonts w:eastAsia="Calibri"/>
          <w:szCs w:val="22"/>
          <w:lang w:eastAsia="en-US"/>
        </w:rPr>
        <w:tab/>
        <w:t>niiden lapsiin kohdistuvaa seksuaaliväkivaltaa torjuvien yleishyödyllisten järjestöjen nimet, joiden kanssa on jaettu tietoja tämän asetuksen nojalla;</w:t>
      </w:r>
    </w:p>
    <w:p w14:paraId="4CCC9E8D"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br w:type="page"/>
      </w:r>
    </w:p>
    <w:p w14:paraId="60EB719F"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lastRenderedPageBreak/>
        <w:t>h)</w:t>
      </w:r>
      <w:r w:rsidRPr="003A69AF">
        <w:rPr>
          <w:rFonts w:eastAsia="Calibri"/>
          <w:szCs w:val="22"/>
          <w:lang w:eastAsia="en-US"/>
        </w:rPr>
        <w:tab/>
        <w:t>jos on tunnistettu epäiltyä verkkovälitteistä lapsiin kohdistuvaa seksuaaliväkivaltaa, sisältötiedot ja niihin liittyvät liikennetiedot, joita käsitellään a alakohdan i alakohdassa vahvistetuissa tarkoituksissa, sekä tällaisen käsittelyn yhteydessä tuotetut henkilötiedot säilytetään suojatusti yksinomaan seuraaviin tarkoituksiin:</w:t>
      </w:r>
    </w:p>
    <w:p w14:paraId="4372B7E7"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w:t>
      </w:r>
      <w:r w:rsidRPr="003A69AF">
        <w:rPr>
          <w:rFonts w:eastAsia="Calibri"/>
          <w:szCs w:val="22"/>
          <w:lang w:eastAsia="en-US"/>
        </w:rPr>
        <w:tab/>
        <w:t>epäillystä verkkovälitteisestä lapsiin kohdistuvasta seksuaaliväkivallasta viipymättä tapahtuva ilmoittaminen toimivaltaisille lainvalvonta- ja oikeusviranomaisille tai lapsiin kohdistuvaa seksuaaliväkivaltaa torjuville yleishyödyllisille järjestöille;</w:t>
      </w:r>
    </w:p>
    <w:p w14:paraId="2305FC46"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ii)</w:t>
      </w:r>
      <w:r w:rsidRPr="003A69AF">
        <w:rPr>
          <w:rFonts w:eastAsia="Calibri"/>
          <w:szCs w:val="22"/>
          <w:lang w:eastAsia="en-US"/>
        </w:rPr>
        <w:tab/>
        <w:t>asianomaisen käyttäjän tilin estäminen tai palvelun käyttäjälle tarjoamisen keskeyttäminen tai lopettaminen;</w:t>
      </w:r>
    </w:p>
    <w:p w14:paraId="37ABDDBA"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iii)</w:t>
      </w:r>
      <w:r w:rsidRPr="003A69AF">
        <w:rPr>
          <w:rFonts w:eastAsia="Calibri"/>
          <w:szCs w:val="22"/>
          <w:lang w:eastAsia="en-US"/>
        </w:rPr>
        <w:tab/>
        <w:t>yksilöllisen digitaalisen tunnisteen, joka ei ole muunnettavissa takaisin alkuperäiseksi dataksi, jäljempänä ’</w:t>
      </w:r>
      <w:proofErr w:type="spellStart"/>
      <w:r w:rsidRPr="003A69AF">
        <w:rPr>
          <w:rFonts w:eastAsia="Calibri"/>
          <w:szCs w:val="22"/>
          <w:lang w:eastAsia="en-US"/>
        </w:rPr>
        <w:t>hash</w:t>
      </w:r>
      <w:proofErr w:type="spellEnd"/>
      <w:r w:rsidRPr="003A69AF">
        <w:rPr>
          <w:rFonts w:eastAsia="Calibri"/>
          <w:szCs w:val="22"/>
          <w:lang w:eastAsia="en-US"/>
        </w:rPr>
        <w:t>-tiiviste’, luominen datasta, joka on luotettavasti tunnistettu verkkovälitteistä lapsiin kohdistuvaa seksuaaliväkivaltaa todistavaksi materiaaliksi;</w:t>
      </w:r>
    </w:p>
    <w:p w14:paraId="5765E94F"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iv)</w:t>
      </w:r>
      <w:r w:rsidRPr="003A69AF">
        <w:rPr>
          <w:rFonts w:eastAsia="Calibri"/>
          <w:szCs w:val="22"/>
          <w:lang w:eastAsia="en-US"/>
        </w:rPr>
        <w:tab/>
        <w:t>sen mahdollistaminen, että asianomainen käyttäjä voi hakea oikaisua palveluntarjoajalta tai pyytää hallinnollista uudelleentarkastelua tai käyttää oikeussuojakeinoja asioissa, jotka liittyvät epäiltyyn verkkovälitteiseen lapsiin kohdistuvaan seksuaaliväkivaltaan; tai</w:t>
      </w:r>
    </w:p>
    <w:p w14:paraId="7BB45323" w14:textId="77777777" w:rsidR="00225C9D" w:rsidRPr="003A69AF" w:rsidRDefault="00225C9D" w:rsidP="00225C9D">
      <w:pPr>
        <w:spacing w:before="120" w:after="120" w:line="360" w:lineRule="auto"/>
        <w:ind w:left="1984" w:hanging="567"/>
        <w:rPr>
          <w:rFonts w:eastAsia="Calibri"/>
          <w:szCs w:val="22"/>
          <w:lang w:eastAsia="en-US"/>
        </w:rPr>
      </w:pPr>
      <w:r w:rsidRPr="003A69AF">
        <w:rPr>
          <w:rFonts w:eastAsia="Calibri"/>
          <w:szCs w:val="22"/>
          <w:lang w:eastAsia="en-US"/>
        </w:rPr>
        <w:t>v)</w:t>
      </w:r>
      <w:r w:rsidRPr="003A69AF">
        <w:rPr>
          <w:rFonts w:eastAsia="Calibri"/>
          <w:szCs w:val="22"/>
          <w:lang w:eastAsia="en-US"/>
        </w:rPr>
        <w:tab/>
        <w:t>toimivaltaisten lainvalvonta- ja oikeusviranomaisten sovellettavan lain mukaisesti esittämiin pyyntöihin vastaaminen ja tarvittavien tietojen toimittaminen niille direktiivissä 2011/93/EU vahvistettujen rikosten ennalta ehkäisemistä, havaitsemista ja tutkintaa sekä niihin liittyviä syytetoimia varten;</w:t>
      </w:r>
    </w:p>
    <w:p w14:paraId="4FE664F1"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br w:type="page"/>
      </w:r>
    </w:p>
    <w:p w14:paraId="54BB5BE0"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lastRenderedPageBreak/>
        <w:t>i)</w:t>
      </w:r>
      <w:r w:rsidRPr="003A69AF">
        <w:rPr>
          <w:rFonts w:eastAsia="Calibri"/>
          <w:szCs w:val="22"/>
          <w:lang w:eastAsia="en-US"/>
        </w:rPr>
        <w:tab/>
        <w:t>tietoja säilytetään ainoastaan niin kauan, kuin on ehdottoman välttämätöntä asiaankuuluviin h alakohdassa vahvistettuihin tarkoituksiin ja joka tapauksessa enintään 12 kuukautta päivästä, jona epäilty verkkovälitteinen lapsiin kohdistuva seksuaaliväkivalta on tunnistettu;</w:t>
      </w:r>
    </w:p>
    <w:p w14:paraId="32C0708D"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j)</w:t>
      </w:r>
      <w:r w:rsidRPr="003A69AF">
        <w:rPr>
          <w:rFonts w:eastAsia="Calibri"/>
          <w:szCs w:val="22"/>
          <w:lang w:eastAsia="en-US"/>
        </w:rPr>
        <w:tab/>
        <w:t>jokaisesta verkkovälitteistä lapsiin kohdistuvaa seksuaaliväkivaltaa koskevasta perustellusta ja todennetusta epäilystä ilmoitetaan viipymättä toimivaltaisille kansallisille lainvalvontaviranomaisille tai lapsiin kohdistuvaa seksuaaliväkivaltaa torjuville yleishyödyllisille järjestöille.</w:t>
      </w:r>
    </w:p>
    <w:p w14:paraId="1BAA9256"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w:t>
      </w:r>
      <w:r w:rsidRPr="003A69AF">
        <w:rPr>
          <w:rFonts w:eastAsia="Calibri"/>
          <w:szCs w:val="22"/>
          <w:lang w:eastAsia="en-US"/>
        </w:rPr>
        <w:tab/>
        <w:t>Edellä 1 kohdan c alakohdassa vahvistettua edellytystä ei ... päivään ...kuuta ... asti [kahdeksan kuukautta tämän asetuksen voimaantulopäivästä] sovelleta palveluntarjoajiin, jotka</w:t>
      </w:r>
    </w:p>
    <w:p w14:paraId="79BCC129"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a)</w:t>
      </w:r>
      <w:r w:rsidRPr="003A69AF">
        <w:rPr>
          <w:rFonts w:eastAsia="Calibri"/>
          <w:szCs w:val="22"/>
          <w:lang w:eastAsia="en-US"/>
        </w:rPr>
        <w:tab/>
        <w:t>käyttivät erityistä teknologiaa 1 kohdan a alakohdan i alakohdassa vahvistettuihin tarkoituksiin ennen ... päivää ...kuuta ... [tämän asetuksen voimaantulopäivä] mutta eivät olleet suorittaneet kyseistä teknologiaa koskevaa ennakkokuulemismenettelyä;</w:t>
      </w:r>
    </w:p>
    <w:p w14:paraId="594B2C84"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b)</w:t>
      </w:r>
      <w:r w:rsidRPr="003A69AF">
        <w:rPr>
          <w:rFonts w:eastAsia="Calibri"/>
          <w:szCs w:val="22"/>
          <w:lang w:eastAsia="en-US"/>
        </w:rPr>
        <w:tab/>
        <w:t>aloittavat ennakkokuulemismenettelyn ennen ... päivää ...kuuta ... [yksi kuukausi tämän asetuksen voimaantulopäivästä]; ja</w:t>
      </w:r>
    </w:p>
    <w:p w14:paraId="33F7B013"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c)</w:t>
      </w:r>
      <w:r w:rsidRPr="003A69AF">
        <w:rPr>
          <w:rFonts w:eastAsia="Calibri"/>
          <w:szCs w:val="22"/>
          <w:lang w:eastAsia="en-US"/>
        </w:rPr>
        <w:tab/>
        <w:t>tekevät asianmukaista yhteistyötä toimivaltaisen valvontaviranomaisen kanssa b alakohdassa tarkoitetussa ennakkokuulemismenettelyssä.</w:t>
      </w:r>
    </w:p>
    <w:p w14:paraId="402AA6DD" w14:textId="77777777" w:rsidR="00225C9D" w:rsidRPr="003A69AF" w:rsidRDefault="00225C9D" w:rsidP="00225C9D">
      <w:pPr>
        <w:spacing w:after="160" w:line="259" w:lineRule="auto"/>
        <w:rPr>
          <w:rFonts w:eastAsia="Calibri"/>
          <w:szCs w:val="22"/>
          <w:lang w:eastAsia="en-US"/>
        </w:rPr>
      </w:pPr>
      <w:r w:rsidRPr="003A69AF">
        <w:rPr>
          <w:rFonts w:eastAsia="Calibri"/>
          <w:szCs w:val="22"/>
          <w:lang w:eastAsia="en-US"/>
        </w:rPr>
        <w:br w:type="page"/>
      </w:r>
    </w:p>
    <w:p w14:paraId="3F503D95"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lastRenderedPageBreak/>
        <w:t>3.</w:t>
      </w:r>
      <w:r w:rsidRPr="003A69AF">
        <w:rPr>
          <w:rFonts w:eastAsia="Calibri"/>
          <w:szCs w:val="22"/>
          <w:lang w:eastAsia="en-US"/>
        </w:rPr>
        <w:tab/>
        <w:t>Edellä 1 kohdan d alakohdassa vahvistettua edellytystä ei ... päivään ...kuuta ... asti [kahdeksan kuukautta tämän asetuksen voimaantulopäivästä] sovelleta palveluntarjoajiin, jotka</w:t>
      </w:r>
    </w:p>
    <w:p w14:paraId="04575A0B"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a)</w:t>
      </w:r>
      <w:r w:rsidRPr="003A69AF">
        <w:rPr>
          <w:rFonts w:eastAsia="Calibri"/>
          <w:szCs w:val="22"/>
          <w:lang w:eastAsia="en-US"/>
        </w:rPr>
        <w:tab/>
        <w:t>käyttivät 1 kohdan d alakohdassa tarkoitettua teknologiaa ennen ... päivää ...kuuta ... [tämän asetuksen voimaantulopäivä] mutta eivät olleet suorittaneet kyseistä teknologiaa koskevaa ennakkokuulemismenettelyä;</w:t>
      </w:r>
    </w:p>
    <w:p w14:paraId="26261477"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b)</w:t>
      </w:r>
      <w:r w:rsidRPr="003A69AF">
        <w:rPr>
          <w:rFonts w:eastAsia="Calibri"/>
          <w:szCs w:val="22"/>
          <w:lang w:eastAsia="en-US"/>
        </w:rPr>
        <w:tab/>
        <w:t>aloittavat 1 kohdan d alakohdassa tarkoitetun menettelyn ennen ... päivää ...kuuta ... [yksi kuukausi tämän asetuksen voimaantulopäivästä]; ja</w:t>
      </w:r>
    </w:p>
    <w:p w14:paraId="1DEBE31D"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c)</w:t>
      </w:r>
      <w:r w:rsidRPr="003A69AF">
        <w:rPr>
          <w:rFonts w:eastAsia="Calibri"/>
          <w:szCs w:val="22"/>
          <w:lang w:eastAsia="en-US"/>
        </w:rPr>
        <w:tab/>
        <w:t>tekevät asianmukaista yhteistyötä toimivaltaisen valvontaviranomaisen kanssa 1 kohdan d alakohdassa tarkoitetussa menettelyssä.</w:t>
      </w:r>
    </w:p>
    <w:p w14:paraId="7D7486C1" w14:textId="77777777" w:rsidR="00225C9D" w:rsidRPr="003A69AF" w:rsidRDefault="00225C9D" w:rsidP="00225C9D">
      <w:pPr>
        <w:spacing w:before="120" w:after="120" w:line="360" w:lineRule="auto"/>
        <w:ind w:left="850"/>
        <w:rPr>
          <w:rFonts w:eastAsia="Calibri"/>
          <w:szCs w:val="22"/>
          <w:lang w:eastAsia="en-US"/>
        </w:rPr>
      </w:pPr>
      <w:r w:rsidRPr="003A69AF">
        <w:rPr>
          <w:rFonts w:eastAsia="Calibri"/>
          <w:szCs w:val="22"/>
          <w:lang w:eastAsia="en-US"/>
        </w:rPr>
        <w:t>Edellä 1 kohdan g alakohdan vii alakohdassa tarkoitettuun kertomukseen sisältyvät tiedot on toimitettava kirjallisesti vakiolomakkeella. Komissio määrittää kyseisen lomakkeen sisällön ja esitystavan täytäntöönpanosäädöksillä viimeistään ... päivänä ...kuuta ... [kolme kuukautta tämän asetuksen voimaantulopäivästä]. Komissio voi tällöin jakaa 1 kohdan g alakohdan vii alakohdassa luetellut tietoryhmät alaluokkiin.</w:t>
      </w:r>
    </w:p>
    <w:p w14:paraId="7A62954B" w14:textId="77777777" w:rsidR="00225C9D" w:rsidRPr="003A69AF" w:rsidRDefault="00225C9D" w:rsidP="00225C9D">
      <w:pPr>
        <w:spacing w:before="120" w:after="120" w:line="360" w:lineRule="auto"/>
        <w:ind w:left="850"/>
        <w:rPr>
          <w:rFonts w:eastAsia="Calibri"/>
          <w:szCs w:val="22"/>
          <w:lang w:eastAsia="en-US"/>
        </w:rPr>
      </w:pPr>
      <w:r w:rsidRPr="003A69AF">
        <w:rPr>
          <w:rFonts w:eastAsia="Calibri"/>
          <w:szCs w:val="22"/>
          <w:lang w:eastAsia="en-US"/>
        </w:rPr>
        <w:t>Nämä täytäntöönpanosäädökset hyväksytään 10 artiklan 2 kohdassa tarkoitettua neuvoa-antavaa menettelyä noudattaen.</w:t>
      </w:r>
    </w:p>
    <w:p w14:paraId="33064FC3" w14:textId="77777777" w:rsidR="00225C9D" w:rsidRPr="003A69AF" w:rsidRDefault="00225C9D" w:rsidP="00225C9D">
      <w:pPr>
        <w:spacing w:after="160" w:line="259" w:lineRule="auto"/>
        <w:rPr>
          <w:rFonts w:eastAsia="Calibri"/>
          <w:i/>
          <w:iCs/>
          <w:szCs w:val="22"/>
          <w:lang w:eastAsia="en-US"/>
        </w:rPr>
      </w:pPr>
      <w:r w:rsidRPr="003A69AF">
        <w:rPr>
          <w:rFonts w:eastAsia="Calibri"/>
          <w:szCs w:val="22"/>
          <w:lang w:eastAsia="en-US"/>
        </w:rPr>
        <w:br w:type="page"/>
      </w:r>
    </w:p>
    <w:p w14:paraId="142ECCE0"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lastRenderedPageBreak/>
        <w:t>4 artikla</w:t>
      </w:r>
      <w:r w:rsidRPr="003A69AF">
        <w:rPr>
          <w:rFonts w:eastAsia="Calibri"/>
          <w:i/>
          <w:szCs w:val="22"/>
          <w:lang w:eastAsia="en-US"/>
        </w:rPr>
        <w:br/>
        <w:t>Euroopan tietosuojaneuvosto</w:t>
      </w:r>
    </w:p>
    <w:p w14:paraId="62766977"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Komissio pyytää viimeistään ... päivänä ...kuuta ... [yksi kuukausi tämän asetuksen voimaantulopäivästä] ja asetuksen (EU) 2016/679 70 artiklan nojalla Euroopan tietosuojaneuvostoa antamaan suuntaviivoja, joilla autetaan valvontaviranomaisia arvioimaan, onko tämän asetuksen soveltamisalaan kuuluva käsittely sellaisten nykyisten ja uusien teknologioiden tapauksessa, joita käytetään tämän asetuksen 3 artiklan 1 kohdan a alakohdan i alakohdassa vahvistettuihin tarkoituksiin, asetuksen (EU) 2016/679 mukaista.</w:t>
      </w:r>
    </w:p>
    <w:p w14:paraId="73B8EDFE"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t>5 artikla</w:t>
      </w:r>
      <w:r w:rsidRPr="003A69AF">
        <w:rPr>
          <w:rFonts w:eastAsia="Calibri"/>
          <w:i/>
          <w:szCs w:val="22"/>
          <w:lang w:eastAsia="en-US"/>
        </w:rPr>
        <w:br/>
        <w:t>Tehokkaat oikeussuojakeinot</w:t>
      </w:r>
    </w:p>
    <w:p w14:paraId="188F1B78"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Asetuksen (EU) 2016/679 79 artiklan ja direktiivin 2002/58/EY 15 artiklan 2 kohdan mukaisesti käyttäjillä on oikeus tehokkaisiin oikeussuojakeinoihin, jos he katsovat oikeuksiaan loukatun sen seurauksena, että henkilötietoja ja muita tietoja on käsitelty tämän asetuksen 3 artiklan 1 kohdan a alakohdan i alakohdassa vahvistettuihin tarkoituksiin.</w:t>
      </w:r>
    </w:p>
    <w:p w14:paraId="451D772D" w14:textId="77777777" w:rsidR="00225C9D" w:rsidRPr="003A69AF" w:rsidRDefault="00225C9D" w:rsidP="00225C9D">
      <w:pPr>
        <w:spacing w:after="160" w:line="259" w:lineRule="auto"/>
        <w:rPr>
          <w:rFonts w:eastAsia="Calibri"/>
          <w:i/>
          <w:iCs/>
          <w:szCs w:val="22"/>
          <w:lang w:eastAsia="en-US"/>
        </w:rPr>
      </w:pPr>
      <w:r w:rsidRPr="003A69AF">
        <w:rPr>
          <w:rFonts w:eastAsia="Calibri"/>
          <w:szCs w:val="22"/>
          <w:lang w:eastAsia="en-US"/>
        </w:rPr>
        <w:br w:type="page"/>
      </w:r>
    </w:p>
    <w:p w14:paraId="1671D61D"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lastRenderedPageBreak/>
        <w:t>6 artikla</w:t>
      </w:r>
      <w:r w:rsidRPr="003A69AF">
        <w:rPr>
          <w:rFonts w:eastAsia="Calibri"/>
          <w:i/>
          <w:szCs w:val="22"/>
          <w:lang w:eastAsia="en-US"/>
        </w:rPr>
        <w:br/>
        <w:t>Valvontaviranomaiset</w:t>
      </w:r>
    </w:p>
    <w:p w14:paraId="282FC511"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Asetuksen (EU) 2016/679 VI luvun 1 jakson nojalla nimettyjen valvontaviranomaisten on valvottava tämän asetuksen soveltamisalaan kuuluvaa käsittelyä mainitussa luvussa säädetyn toimivaltansa ja säädettyjen valtuuksiensa mukaisesti.</w:t>
      </w:r>
    </w:p>
    <w:p w14:paraId="4BA7EF4C"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t>7 artikla</w:t>
      </w:r>
      <w:r w:rsidRPr="003A69AF">
        <w:rPr>
          <w:rFonts w:eastAsia="Calibri"/>
          <w:i/>
          <w:szCs w:val="22"/>
          <w:lang w:eastAsia="en-US"/>
        </w:rPr>
        <w:br/>
        <w:t>Julkinen luettelo lapsiin kohdistuvaa seksuaaliväkivaltaa torjuvista yleishyödyllisistä järjestöistä</w:t>
      </w:r>
    </w:p>
    <w:p w14:paraId="04941373"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w:t>
      </w:r>
      <w:r w:rsidRPr="003A69AF">
        <w:rPr>
          <w:rFonts w:eastAsia="Calibri"/>
          <w:szCs w:val="22"/>
          <w:lang w:eastAsia="en-US"/>
        </w:rPr>
        <w:tab/>
        <w:t>Palveluntarjoajien on ilmoitettava komissiolle viimeistään ... päivänä ...kuuta ... [yksi kuukausi tämän asetuksen voimaantulopäivästä] luettelo niiden lapsiin kohdistuvaa seksuaaliväkivaltaa torjuvien yleishyödyllisten järjestöjen nimistä, joille ne ilmoittavat verkossa tapahtuvasta lapsiin kohdistuvasta seksuaaliväkivallasta tämän asetuksen nojalla. Palveluntarjoajien on ilmoitettava komissiolle säännöllisesti mahdolliset muutokset kyseiseen luetteloon.</w:t>
      </w:r>
    </w:p>
    <w:p w14:paraId="3FBAD847"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w:t>
      </w:r>
      <w:r w:rsidRPr="003A69AF">
        <w:rPr>
          <w:rFonts w:eastAsia="Calibri"/>
          <w:szCs w:val="22"/>
          <w:lang w:eastAsia="en-US"/>
        </w:rPr>
        <w:tab/>
        <w:t>Komissio julkistaa viimeistään ... päivänä ...kuuta ... [kaksi kuukautta tämän asetuksen voimaantulopäivästä] sille 1 kohdan nojalla ilmoitetun luettelon lapsiin kohdistuvaa seksuaaliväkivaltaa torjuvien yleishyödyllisten järjestöjen nimistä. Komissio pitää kyseisen julkisen luettelon ajan tasalla.</w:t>
      </w:r>
    </w:p>
    <w:p w14:paraId="7E07E9CA" w14:textId="77777777" w:rsidR="00225C9D" w:rsidRPr="003A69AF" w:rsidRDefault="00225C9D" w:rsidP="00225C9D">
      <w:pPr>
        <w:spacing w:before="120" w:after="120" w:line="360" w:lineRule="auto"/>
        <w:rPr>
          <w:rFonts w:eastAsia="Calibri"/>
          <w:i/>
          <w:iCs/>
          <w:szCs w:val="22"/>
          <w:lang w:eastAsia="en-US"/>
        </w:rPr>
      </w:pPr>
      <w:r w:rsidRPr="003A69AF">
        <w:rPr>
          <w:rFonts w:eastAsia="Calibri"/>
          <w:i/>
          <w:iCs/>
          <w:szCs w:val="22"/>
          <w:lang w:eastAsia="en-US"/>
        </w:rPr>
        <w:br w:type="page"/>
      </w:r>
    </w:p>
    <w:p w14:paraId="10A0EDF6"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lastRenderedPageBreak/>
        <w:t>8 artikla</w:t>
      </w:r>
      <w:r w:rsidRPr="003A69AF">
        <w:rPr>
          <w:rFonts w:eastAsia="Calibri"/>
          <w:i/>
          <w:szCs w:val="22"/>
          <w:lang w:eastAsia="en-US"/>
        </w:rPr>
        <w:br/>
        <w:t>Tilastotiedot</w:t>
      </w:r>
    </w:p>
    <w:p w14:paraId="08D5A859"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w:t>
      </w:r>
      <w:r w:rsidRPr="003A69AF">
        <w:rPr>
          <w:rFonts w:eastAsia="Calibri"/>
          <w:szCs w:val="22"/>
          <w:lang w:eastAsia="en-US"/>
        </w:rPr>
        <w:tab/>
        <w:t>Jäsenvaltioiden on viimeistään ... päivänä ...kuuta ... [yksi vuosi tämän asetuksen voimaantulopäivästä] ja sen jälkeen vuosittain asetettava julkisesti saataville ja toimitettava komissiolle kertomukset, joissa on tilastotiedot seuraavista:</w:t>
      </w:r>
    </w:p>
    <w:p w14:paraId="07A817BB"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a)</w:t>
      </w:r>
      <w:r w:rsidRPr="003A69AF">
        <w:rPr>
          <w:rFonts w:eastAsia="Calibri"/>
          <w:szCs w:val="22"/>
          <w:lang w:eastAsia="en-US"/>
        </w:rPr>
        <w:tab/>
        <w:t>palveluntarjoajien ja lapsiin kohdistuvaa seksuaaliväkivaltaa torjuvien yleishyödyllisten järjestöjen toimivaltaisille kansallisille lainvalvontaviranomaisille tekemien, havaittua verkkovälitteistä lapsiin kohdistuvaa seksuaaliväkivaltaa koskevien ilmoitusten kokonaismäärä, eritellen, jos tällaiset tiedot ovat saatavilla, tapausten absoluuttisen lukumäärän ja useaan kertaan ilmoitetut tapaukset sekä sen palveluntarjoajan tyypin, jonka palvelussa verkkovälitteinen lapsiin kohdistuva seksuaaliväkivalta havaittiin;</w:t>
      </w:r>
    </w:p>
    <w:p w14:paraId="56A319A7"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b)</w:t>
      </w:r>
      <w:r w:rsidRPr="003A69AF">
        <w:rPr>
          <w:rFonts w:eastAsia="Calibri"/>
          <w:szCs w:val="22"/>
          <w:lang w:eastAsia="en-US"/>
        </w:rPr>
        <w:tab/>
        <w:t>edellä olevan 3 artiklan mukaisten toimien avulla tunnistettujen lasten lukumäärä sukupuolen mukaan eriteltynä;</w:t>
      </w:r>
    </w:p>
    <w:p w14:paraId="4A1C08C3"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c)</w:t>
      </w:r>
      <w:r w:rsidRPr="003A69AF">
        <w:rPr>
          <w:rFonts w:eastAsia="Calibri"/>
          <w:szCs w:val="22"/>
          <w:lang w:eastAsia="en-US"/>
        </w:rPr>
        <w:tab/>
        <w:t>tuomittujen rikoksentekijöiden lukumäärä.</w:t>
      </w:r>
    </w:p>
    <w:p w14:paraId="30890CAA"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w:t>
      </w:r>
      <w:r w:rsidRPr="003A69AF">
        <w:rPr>
          <w:rFonts w:eastAsia="Calibri"/>
          <w:szCs w:val="22"/>
          <w:lang w:eastAsia="en-US"/>
        </w:rPr>
        <w:tab/>
        <w:t>Komissio kokoaa yhteen tämän artiklan 1 kohdassa tarkoitetut tilastotiedot ja ottaa ne huomioon laatiessaan 9 artiklan mukaisen täytäntöönpanokertomuksen.</w:t>
      </w:r>
    </w:p>
    <w:p w14:paraId="14B797D9" w14:textId="77777777" w:rsidR="00225C9D" w:rsidRPr="003A69AF" w:rsidRDefault="00225C9D" w:rsidP="00225C9D">
      <w:pPr>
        <w:spacing w:before="120" w:after="120" w:line="360" w:lineRule="auto"/>
        <w:rPr>
          <w:rFonts w:eastAsia="Calibri"/>
          <w:i/>
          <w:iCs/>
          <w:szCs w:val="22"/>
          <w:lang w:eastAsia="en-US"/>
        </w:rPr>
      </w:pPr>
      <w:r w:rsidRPr="003A69AF">
        <w:rPr>
          <w:rFonts w:eastAsia="Calibri"/>
          <w:i/>
          <w:iCs/>
          <w:szCs w:val="22"/>
          <w:lang w:eastAsia="en-US"/>
        </w:rPr>
        <w:br w:type="page"/>
      </w:r>
    </w:p>
    <w:p w14:paraId="62491B40"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lastRenderedPageBreak/>
        <w:t>9 artikla</w:t>
      </w:r>
      <w:r w:rsidRPr="003A69AF">
        <w:rPr>
          <w:rFonts w:eastAsia="Calibri"/>
          <w:i/>
          <w:szCs w:val="22"/>
          <w:lang w:eastAsia="en-US"/>
        </w:rPr>
        <w:br/>
        <w:t>Täytäntöönpanokertomus</w:t>
      </w:r>
    </w:p>
    <w:p w14:paraId="29A741AA"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w:t>
      </w:r>
      <w:r w:rsidRPr="003A69AF">
        <w:rPr>
          <w:rFonts w:eastAsia="Calibri"/>
          <w:szCs w:val="22"/>
          <w:lang w:eastAsia="en-US"/>
        </w:rPr>
        <w:tab/>
        <w:t>Edellä olevan 3 artiklan 1 kohdan g alakohdan vii alakohdan nojalla toimitettujen kertomusten ja 8 artiklan nojalla toimitettujen tilastotietojen perusteella komissio laatii viimeistään ... päivänä ...kuuta ... [18 kuukautta tämän asetuksen voimaantulopäivästä] kertomuksen tämän asetuksen täytäntöönpanosta sekä toimittaa ja esittää sen Euroopan parlamentille ja neuvostolle.</w:t>
      </w:r>
    </w:p>
    <w:p w14:paraId="108EE151"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w:t>
      </w:r>
      <w:r w:rsidRPr="003A69AF">
        <w:rPr>
          <w:rFonts w:eastAsia="Calibri"/>
          <w:szCs w:val="22"/>
          <w:lang w:eastAsia="en-US"/>
        </w:rPr>
        <w:tab/>
        <w:t>Täytäntöönpanokertomuksessa komissio tarkastelee erityisesti seuraavia:</w:t>
      </w:r>
    </w:p>
    <w:p w14:paraId="546689A3"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a)</w:t>
      </w:r>
      <w:r w:rsidRPr="003A69AF">
        <w:rPr>
          <w:rFonts w:eastAsia="Calibri"/>
          <w:szCs w:val="22"/>
          <w:lang w:eastAsia="en-US"/>
        </w:rPr>
        <w:tab/>
        <w:t>edellä olevan 3 artiklan 1 kohdan a alakohdan ii alakohdassa ja b, c ja d alakohdassa vahvistetut henkilötietojen ja muiden tietojen käsittelyn edellytykset;</w:t>
      </w:r>
    </w:p>
    <w:p w14:paraId="7CBB084E"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b)</w:t>
      </w:r>
      <w:r w:rsidRPr="003A69AF">
        <w:rPr>
          <w:rFonts w:eastAsia="Calibri"/>
          <w:szCs w:val="22"/>
          <w:lang w:eastAsia="en-US"/>
        </w:rPr>
        <w:tab/>
        <w:t>tässä asetuksessa säädetyn poikkeuksen oikeasuhteisuus, mukaan lukien jäsenvaltioiden 8 artiklan nojalla toimittamien tilastotietojen arviointi;</w:t>
      </w:r>
    </w:p>
    <w:p w14:paraId="2E3A8D3A" w14:textId="77777777" w:rsidR="00225C9D" w:rsidRPr="003A69AF" w:rsidRDefault="00225C9D" w:rsidP="00225C9D">
      <w:pPr>
        <w:spacing w:before="120" w:after="120" w:line="360" w:lineRule="auto"/>
        <w:ind w:left="1417" w:hanging="567"/>
        <w:rPr>
          <w:rFonts w:eastAsia="Calibri"/>
          <w:szCs w:val="22"/>
          <w:lang w:eastAsia="en-US"/>
        </w:rPr>
      </w:pPr>
      <w:r w:rsidRPr="003A69AF">
        <w:rPr>
          <w:rFonts w:eastAsia="Calibri"/>
          <w:szCs w:val="22"/>
          <w:lang w:eastAsia="en-US"/>
        </w:rPr>
        <w:t>c)</w:t>
      </w:r>
      <w:r w:rsidRPr="003A69AF">
        <w:rPr>
          <w:rFonts w:eastAsia="Calibri"/>
          <w:szCs w:val="22"/>
          <w:lang w:eastAsia="en-US"/>
        </w:rPr>
        <w:tab/>
        <w:t>tämän asetuksen soveltamisalaan kuuluviin toimiin liittyvä teknologinen kehitys ja se, missä määrin tämä kehitys parantaa tarkkuutta ja vähentää virheiden (väärien positiivisten osumien) lukumäärää ja alentaa virhetasoa.</w:t>
      </w:r>
    </w:p>
    <w:p w14:paraId="1748AB56" w14:textId="77777777" w:rsidR="00225C9D" w:rsidRPr="003A69AF" w:rsidRDefault="00225C9D" w:rsidP="00225C9D">
      <w:pPr>
        <w:spacing w:after="160" w:line="259" w:lineRule="auto"/>
        <w:rPr>
          <w:rFonts w:eastAsia="Calibri"/>
          <w:i/>
          <w:iCs/>
          <w:szCs w:val="22"/>
          <w:lang w:eastAsia="en-US"/>
        </w:rPr>
      </w:pPr>
      <w:r w:rsidRPr="003A69AF">
        <w:rPr>
          <w:rFonts w:eastAsia="Calibri"/>
          <w:szCs w:val="22"/>
          <w:lang w:eastAsia="en-US"/>
        </w:rPr>
        <w:br w:type="page"/>
      </w:r>
    </w:p>
    <w:p w14:paraId="59E1BDBC"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lastRenderedPageBreak/>
        <w:t>10 artikla</w:t>
      </w:r>
      <w:r w:rsidRPr="003A69AF">
        <w:rPr>
          <w:rFonts w:eastAsia="Calibri"/>
          <w:i/>
          <w:szCs w:val="22"/>
          <w:lang w:eastAsia="en-US"/>
        </w:rPr>
        <w:br/>
        <w:t>Komiteamenettely</w:t>
      </w:r>
    </w:p>
    <w:p w14:paraId="4438B7AE"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1.</w:t>
      </w:r>
      <w:r w:rsidRPr="003A69AF">
        <w:rPr>
          <w:rFonts w:eastAsia="Calibri"/>
          <w:szCs w:val="22"/>
          <w:lang w:eastAsia="en-US"/>
        </w:rPr>
        <w:tab/>
        <w:t>Komissiota avustaa komitea. Tämä komitea on asetuksessa (EU) N:o 182/2011 tarkoitettu komitea.</w:t>
      </w:r>
    </w:p>
    <w:p w14:paraId="4EEB54A5" w14:textId="77777777" w:rsidR="00225C9D" w:rsidRPr="003A69AF" w:rsidRDefault="00225C9D" w:rsidP="00225C9D">
      <w:pPr>
        <w:spacing w:before="120" w:after="120" w:line="360" w:lineRule="auto"/>
        <w:ind w:left="850" w:hanging="850"/>
        <w:rPr>
          <w:rFonts w:eastAsia="Calibri"/>
          <w:szCs w:val="22"/>
          <w:lang w:eastAsia="en-US"/>
        </w:rPr>
      </w:pPr>
      <w:r w:rsidRPr="003A69AF">
        <w:rPr>
          <w:rFonts w:eastAsia="Calibri"/>
          <w:szCs w:val="22"/>
          <w:lang w:eastAsia="en-US"/>
        </w:rPr>
        <w:t>2.</w:t>
      </w:r>
      <w:r w:rsidRPr="003A69AF">
        <w:rPr>
          <w:rFonts w:eastAsia="Calibri"/>
          <w:szCs w:val="22"/>
          <w:lang w:eastAsia="en-US"/>
        </w:rPr>
        <w:tab/>
        <w:t>Kun viitataan tähän kohtaan, sovelletaan asetuksen (EU) N:o 182/2011 4 artiklaa.</w:t>
      </w:r>
    </w:p>
    <w:p w14:paraId="351B0DE4" w14:textId="77777777" w:rsidR="00225C9D" w:rsidRPr="003A69AF" w:rsidRDefault="00225C9D" w:rsidP="00225C9D">
      <w:pPr>
        <w:keepNext/>
        <w:spacing w:before="360" w:after="120" w:line="360" w:lineRule="auto"/>
        <w:jc w:val="center"/>
        <w:rPr>
          <w:rFonts w:eastAsia="Calibri"/>
          <w:i/>
          <w:iCs/>
          <w:szCs w:val="22"/>
          <w:lang w:eastAsia="en-US"/>
        </w:rPr>
      </w:pPr>
      <w:r w:rsidRPr="003A69AF">
        <w:rPr>
          <w:rFonts w:eastAsia="Calibri"/>
          <w:i/>
          <w:szCs w:val="22"/>
          <w:lang w:eastAsia="en-US"/>
        </w:rPr>
        <w:t>11 artikla</w:t>
      </w:r>
      <w:r w:rsidRPr="003A69AF">
        <w:rPr>
          <w:rFonts w:eastAsia="Calibri"/>
          <w:i/>
          <w:szCs w:val="22"/>
          <w:lang w:eastAsia="en-US"/>
        </w:rPr>
        <w:br/>
        <w:t>Voimaantulo ja soveltaminen</w:t>
      </w:r>
    </w:p>
    <w:p w14:paraId="69F0B666"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 xml:space="preserve">Tämä asetus tulee voimaan kolmantena päivänä sen jälkeen, kun se on julkaistu </w:t>
      </w:r>
      <w:r w:rsidRPr="003A69AF">
        <w:rPr>
          <w:rFonts w:eastAsia="Calibri"/>
          <w:i/>
          <w:szCs w:val="22"/>
          <w:lang w:eastAsia="en-US"/>
        </w:rPr>
        <w:t>Euroopan unionin virallisessa lehdessä</w:t>
      </w:r>
      <w:r w:rsidRPr="003A69AF">
        <w:rPr>
          <w:rFonts w:eastAsia="Calibri"/>
          <w:szCs w:val="22"/>
          <w:lang w:eastAsia="en-US"/>
        </w:rPr>
        <w:t>.</w:t>
      </w:r>
    </w:p>
    <w:p w14:paraId="52924756" w14:textId="77777777" w:rsidR="00225C9D" w:rsidRPr="003A69AF" w:rsidRDefault="00225C9D" w:rsidP="00225C9D">
      <w:pPr>
        <w:spacing w:before="120" w:after="120" w:line="360" w:lineRule="auto"/>
        <w:rPr>
          <w:rFonts w:eastAsia="Calibri"/>
          <w:szCs w:val="22"/>
          <w:lang w:eastAsia="en-US"/>
        </w:rPr>
      </w:pPr>
      <w:r w:rsidRPr="003A69AF">
        <w:rPr>
          <w:rFonts w:eastAsia="Calibri"/>
          <w:szCs w:val="22"/>
          <w:lang w:eastAsia="en-US"/>
        </w:rPr>
        <w:t>Sitä sovelletaan 3 päivään huhtikuuta 2028.</w:t>
      </w:r>
    </w:p>
    <w:p w14:paraId="50C797BE" w14:textId="77777777" w:rsidR="00225C9D" w:rsidRPr="003A69AF" w:rsidRDefault="00225C9D" w:rsidP="00225C9D">
      <w:pPr>
        <w:spacing w:before="480" w:after="120" w:line="360" w:lineRule="auto"/>
        <w:rPr>
          <w:rFonts w:eastAsia="Calibri"/>
          <w:szCs w:val="22"/>
          <w:lang w:eastAsia="en-US"/>
        </w:rPr>
      </w:pPr>
      <w:r w:rsidRPr="003A69AF">
        <w:rPr>
          <w:rFonts w:eastAsia="Calibri"/>
          <w:szCs w:val="22"/>
          <w:lang w:eastAsia="en-US"/>
        </w:rPr>
        <w:t>Tämä asetus on kaikilta osiltaan velvoittava, ja sitä sovelletaan sellaisenaan kaikissa jäsenvaltioissa.</w:t>
      </w:r>
    </w:p>
    <w:p w14:paraId="14152446" w14:textId="77777777" w:rsidR="00225C9D" w:rsidRPr="003A69AF" w:rsidRDefault="00225C9D" w:rsidP="00225C9D">
      <w:pPr>
        <w:keepNext/>
        <w:spacing w:before="120" w:line="360" w:lineRule="auto"/>
        <w:rPr>
          <w:szCs w:val="22"/>
          <w:lang w:eastAsia="en-US"/>
        </w:rPr>
      </w:pPr>
      <w:r w:rsidRPr="003A69AF">
        <w:rPr>
          <w:rFonts w:eastAsia="Calibri"/>
          <w:szCs w:val="22"/>
          <w:lang w:eastAsia="en-US"/>
        </w:rPr>
        <w:t>Tehty …</w:t>
      </w:r>
      <w:bookmarkStart w:id="10" w:name="_Hlk191288065"/>
      <w:proofErr w:type="spellStart"/>
      <w:r w:rsidRPr="003A69AF">
        <w:rPr>
          <w:rFonts w:eastAsia="Calibri"/>
          <w:szCs w:val="22"/>
          <w:lang w:eastAsia="en-US"/>
        </w:rPr>
        <w:t>ssa</w:t>
      </w:r>
      <w:proofErr w:type="spellEnd"/>
      <w:r w:rsidRPr="003A69AF">
        <w:rPr>
          <w:rFonts w:eastAsia="Calibri"/>
          <w:szCs w:val="22"/>
          <w:lang w:eastAsia="en-US"/>
        </w:rPr>
        <w:t>/</w:t>
      </w:r>
      <w:proofErr w:type="spellStart"/>
      <w:r w:rsidRPr="003A69AF">
        <w:rPr>
          <w:rFonts w:eastAsia="Calibri"/>
          <w:szCs w:val="22"/>
          <w:lang w:eastAsia="en-US"/>
        </w:rPr>
        <w:t>ssä</w:t>
      </w:r>
      <w:proofErr w:type="spellEnd"/>
      <w:r w:rsidRPr="003A69AF">
        <w:rPr>
          <w:rFonts w:eastAsia="Calibri"/>
          <w:szCs w:val="22"/>
          <w:lang w:eastAsia="en-US"/>
        </w:rPr>
        <w:t xml:space="preserve"> ... päivänä ...kuuta ...</w:t>
      </w:r>
      <w:bookmarkEnd w:id="10"/>
    </w:p>
    <w:p w14:paraId="0A1D5984" w14:textId="77777777" w:rsidR="00225C9D" w:rsidRPr="003A69AF" w:rsidRDefault="00225C9D" w:rsidP="00225C9D">
      <w:pPr>
        <w:keepNext/>
        <w:tabs>
          <w:tab w:val="left" w:pos="5669"/>
        </w:tabs>
        <w:spacing w:before="720" w:line="360" w:lineRule="auto"/>
        <w:rPr>
          <w:rFonts w:eastAsia="Calibri"/>
          <w:i/>
          <w:iCs/>
          <w:szCs w:val="22"/>
          <w:lang w:eastAsia="en-US"/>
        </w:rPr>
      </w:pPr>
      <w:r w:rsidRPr="003A69AF">
        <w:rPr>
          <w:rFonts w:eastAsia="Calibri"/>
          <w:i/>
          <w:szCs w:val="22"/>
          <w:lang w:eastAsia="en-US"/>
        </w:rPr>
        <w:t>Euroopan parlamentin puolesta</w:t>
      </w:r>
      <w:r w:rsidRPr="003A69AF">
        <w:rPr>
          <w:rFonts w:eastAsia="Calibri"/>
          <w:i/>
          <w:szCs w:val="22"/>
          <w:lang w:eastAsia="en-US"/>
        </w:rPr>
        <w:tab/>
        <w:t>Neuvoston puolesta</w:t>
      </w:r>
    </w:p>
    <w:p w14:paraId="22FFC664" w14:textId="77777777" w:rsidR="00225C9D" w:rsidRPr="00225C9D" w:rsidRDefault="00225C9D" w:rsidP="00225C9D">
      <w:pPr>
        <w:tabs>
          <w:tab w:val="left" w:pos="5669"/>
        </w:tabs>
        <w:spacing w:line="360" w:lineRule="auto"/>
        <w:rPr>
          <w:rFonts w:eastAsia="Calibri"/>
          <w:i/>
          <w:iCs/>
          <w:szCs w:val="22"/>
          <w:lang w:eastAsia="en-US"/>
        </w:rPr>
      </w:pPr>
      <w:r w:rsidRPr="003A69AF">
        <w:rPr>
          <w:rFonts w:eastAsia="Calibri"/>
          <w:i/>
          <w:szCs w:val="22"/>
          <w:lang w:eastAsia="en-US"/>
        </w:rPr>
        <w:t>Puhemies</w:t>
      </w:r>
      <w:r w:rsidRPr="003A69AF">
        <w:rPr>
          <w:rFonts w:eastAsia="Calibri"/>
          <w:i/>
          <w:szCs w:val="22"/>
          <w:lang w:eastAsia="en-US"/>
        </w:rPr>
        <w:tab/>
        <w:t>Puheenjohtaja</w:t>
      </w:r>
    </w:p>
    <w:p w14:paraId="496AAEF6" w14:textId="77777777" w:rsidR="00225C9D" w:rsidRPr="00225C9D" w:rsidRDefault="00225C9D" w:rsidP="00225C9D">
      <w:pPr>
        <w:pBdr>
          <w:bottom w:val="single" w:sz="4" w:space="0" w:color="000000"/>
        </w:pBdr>
        <w:spacing w:before="360" w:after="120" w:line="360" w:lineRule="auto"/>
        <w:ind w:left="3400" w:right="3400"/>
        <w:jc w:val="center"/>
        <w:rPr>
          <w:rFonts w:eastAsia="Calibri"/>
          <w:b/>
          <w:szCs w:val="22"/>
          <w:lang w:eastAsia="en-US"/>
        </w:rPr>
      </w:pPr>
    </w:p>
    <w:p w14:paraId="6A9BA59F" w14:textId="77777777" w:rsidR="00225C9D" w:rsidRDefault="00225C9D" w:rsidP="00225C9D"/>
    <w:sectPr w:rsidR="00225C9D" w:rsidSect="00520CAE">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47E49" w14:textId="77777777" w:rsidR="00C153DE" w:rsidRPr="00C153DE" w:rsidRDefault="00C153DE" w:rsidP="009C4014">
      <w:r w:rsidRPr="00C153DE">
        <w:separator/>
      </w:r>
    </w:p>
  </w:endnote>
  <w:endnote w:type="continuationSeparator" w:id="0">
    <w:p w14:paraId="0B9E22F7" w14:textId="77777777" w:rsidR="00C153DE" w:rsidRPr="00C153DE" w:rsidRDefault="00C153DE" w:rsidP="009C4014">
      <w:r w:rsidRPr="00C153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B59E9" w14:textId="77777777" w:rsidR="00185E15" w:rsidRPr="00C153DE"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C780A" w14:textId="77777777" w:rsidR="00C153DE" w:rsidRPr="00C153DE" w:rsidRDefault="00C153DE" w:rsidP="009C4014">
      <w:r w:rsidRPr="00C153DE">
        <w:separator/>
      </w:r>
    </w:p>
  </w:footnote>
  <w:footnote w:type="continuationSeparator" w:id="0">
    <w:p w14:paraId="2B57D5B2" w14:textId="77777777" w:rsidR="00C153DE" w:rsidRPr="00C153DE" w:rsidRDefault="00C153DE" w:rsidP="009C4014">
      <w:r w:rsidRPr="00C153DE">
        <w:continuationSeparator/>
      </w:r>
    </w:p>
  </w:footnote>
  <w:footnote w:id="1">
    <w:p w14:paraId="3E9BE8B8" w14:textId="3D92ED4D" w:rsidR="00C153DE" w:rsidRPr="00225C9D" w:rsidRDefault="00C153DE" w:rsidP="00225C9D">
      <w:pPr>
        <w:pStyle w:val="FootnoteText"/>
        <w:ind w:left="851" w:hanging="851"/>
        <w:rPr>
          <w:sz w:val="24"/>
          <w:szCs w:val="24"/>
        </w:rPr>
      </w:pPr>
      <w:r w:rsidRPr="00225C9D">
        <w:rPr>
          <w:rStyle w:val="FootnoteReference"/>
          <w:sz w:val="24"/>
          <w:szCs w:val="24"/>
        </w:rPr>
        <w:footnoteRef/>
      </w:r>
      <w:bookmarkStart w:id="8" w:name="_Hlk212814778"/>
      <w:r w:rsidRPr="00225C9D">
        <w:rPr>
          <w:sz w:val="24"/>
          <w:szCs w:val="24"/>
        </w:rPr>
        <w:t xml:space="preserve"> </w:t>
      </w:r>
      <w:r w:rsidRPr="00225C9D">
        <w:rPr>
          <w:sz w:val="24"/>
          <w:szCs w:val="24"/>
        </w:rPr>
        <w:tab/>
        <w:t>E</w:t>
      </w:r>
      <w:r w:rsidR="00201BE1" w:rsidRPr="00225C9D">
        <w:rPr>
          <w:sz w:val="24"/>
          <w:szCs w:val="24"/>
        </w:rPr>
        <w:t>UVL</w:t>
      </w:r>
      <w:r w:rsidR="00201BE1" w:rsidRPr="00225C9D">
        <w:rPr>
          <w:color w:val="333333"/>
          <w:sz w:val="24"/>
          <w:szCs w:val="24"/>
          <w:shd w:val="clear" w:color="auto" w:fill="FFFFFF"/>
        </w:rPr>
        <w:t xml:space="preserve"> C, C/2026/1966, 28.4.2026, </w:t>
      </w:r>
      <w:r w:rsidR="00520CAE" w:rsidRPr="00225C9D">
        <w:rPr>
          <w:color w:val="333333"/>
          <w:sz w:val="24"/>
          <w:szCs w:val="24"/>
          <w:shd w:val="clear" w:color="auto" w:fill="FFFFFF"/>
        </w:rPr>
        <w:t xml:space="preserve">ELI: </w:t>
      </w:r>
      <w:hyperlink r:id="rId1" w:history="1">
        <w:r w:rsidR="003D2FCC" w:rsidRPr="00D13B12">
          <w:rPr>
            <w:rStyle w:val="Hyperlink"/>
            <w:sz w:val="24"/>
            <w:szCs w:val="24"/>
            <w:shd w:val="clear" w:color="auto" w:fill="FFFFFF"/>
          </w:rPr>
          <w:t>http://data.europa.eu/eli/C/2026/1966/oj</w:t>
        </w:r>
      </w:hyperlink>
      <w:r w:rsidR="003D2FCC">
        <w:rPr>
          <w:color w:val="333333"/>
          <w:sz w:val="24"/>
          <w:szCs w:val="24"/>
          <w:shd w:val="clear" w:color="auto" w:fill="FFFFFF"/>
        </w:rPr>
        <w:t>.</w:t>
      </w:r>
      <w:bookmarkEnd w:id="8"/>
    </w:p>
  </w:footnote>
  <w:footnote w:id="2">
    <w:p w14:paraId="3C288621" w14:textId="6DE3D95F" w:rsidR="00C153DE" w:rsidRPr="00225C9D" w:rsidRDefault="00C153DE" w:rsidP="00225C9D">
      <w:pPr>
        <w:pStyle w:val="FootnoteText"/>
        <w:ind w:left="851" w:hanging="851"/>
        <w:rPr>
          <w:sz w:val="24"/>
          <w:szCs w:val="24"/>
        </w:rPr>
      </w:pPr>
      <w:r w:rsidRPr="00225C9D">
        <w:rPr>
          <w:rStyle w:val="FootnoteReference"/>
          <w:sz w:val="24"/>
          <w:szCs w:val="24"/>
        </w:rPr>
        <w:footnoteRef/>
      </w:r>
      <w:r w:rsidRPr="00225C9D">
        <w:rPr>
          <w:sz w:val="24"/>
          <w:szCs w:val="24"/>
        </w:rPr>
        <w:tab/>
        <w:t xml:space="preserve">Hyväksytyt tekstit, </w:t>
      </w:r>
      <w:r w:rsidR="00201BE1" w:rsidRPr="00225C9D">
        <w:rPr>
          <w:sz w:val="24"/>
          <w:szCs w:val="24"/>
        </w:rPr>
        <w:t>26.3.2026</w:t>
      </w:r>
      <w:r w:rsidRPr="00225C9D">
        <w:rPr>
          <w:sz w:val="24"/>
          <w:szCs w:val="24"/>
        </w:rPr>
        <w:t>, P10_</w:t>
      </w:r>
      <w:proofErr w:type="gramStart"/>
      <w:r w:rsidRPr="00225C9D">
        <w:rPr>
          <w:sz w:val="24"/>
          <w:szCs w:val="24"/>
        </w:rPr>
        <w:t>TA(</w:t>
      </w:r>
      <w:proofErr w:type="gramEnd"/>
      <w:r w:rsidR="00201BE1" w:rsidRPr="00225C9D">
        <w:rPr>
          <w:sz w:val="24"/>
          <w:szCs w:val="24"/>
        </w:rPr>
        <w:t>2026</w:t>
      </w:r>
      <w:r w:rsidRPr="00225C9D">
        <w:rPr>
          <w:sz w:val="24"/>
          <w:szCs w:val="24"/>
        </w:rPr>
        <w:t>)00</w:t>
      </w:r>
      <w:r w:rsidR="00201BE1" w:rsidRPr="00225C9D">
        <w:rPr>
          <w:sz w:val="24"/>
          <w:szCs w:val="24"/>
        </w:rPr>
        <w:t>95.</w:t>
      </w:r>
    </w:p>
  </w:footnote>
  <w:footnote w:id="3">
    <w:p w14:paraId="1CC6FBE5" w14:textId="77777777" w:rsidR="00225C9D" w:rsidRPr="003A69AF" w:rsidRDefault="00225C9D" w:rsidP="00225C9D">
      <w:pPr>
        <w:pStyle w:val="FootnoteText"/>
        <w:ind w:left="851" w:hanging="851"/>
        <w:rPr>
          <w:sz w:val="24"/>
          <w:szCs w:val="24"/>
        </w:rPr>
      </w:pPr>
      <w:r w:rsidRPr="00225C9D">
        <w:rPr>
          <w:rStyle w:val="FootnoteReference"/>
          <w:sz w:val="24"/>
          <w:szCs w:val="24"/>
        </w:rPr>
        <w:footnoteRef/>
      </w:r>
      <w:r w:rsidRPr="003A69AF">
        <w:rPr>
          <w:sz w:val="24"/>
          <w:szCs w:val="24"/>
        </w:rPr>
        <w:tab/>
        <w:t>EUVL C, C/2026/2546, 22.5.2026, ELI: </w:t>
      </w:r>
      <w:hyperlink r:id="rId2" w:history="1">
        <w:r w:rsidRPr="003A69AF">
          <w:rPr>
            <w:rStyle w:val="Hyperlink"/>
            <w:sz w:val="24"/>
            <w:szCs w:val="24"/>
          </w:rPr>
          <w:t>http://data.europa.eu/eli/C/2026/2546/oj</w:t>
        </w:r>
      </w:hyperlink>
      <w:r w:rsidRPr="003A69AF">
        <w:rPr>
          <w:sz w:val="24"/>
          <w:szCs w:val="24"/>
        </w:rPr>
        <w:t>.</w:t>
      </w:r>
    </w:p>
  </w:footnote>
  <w:footnote w:id="4">
    <w:p w14:paraId="18BA4295" w14:textId="1E9551BF" w:rsidR="00225C9D" w:rsidRPr="00225C9D" w:rsidRDefault="00225C9D" w:rsidP="00225C9D">
      <w:pPr>
        <w:pStyle w:val="FootnoteText"/>
        <w:ind w:left="851" w:hanging="851"/>
        <w:rPr>
          <w:sz w:val="24"/>
          <w:szCs w:val="24"/>
        </w:rPr>
      </w:pPr>
      <w:r w:rsidRPr="00225C9D">
        <w:rPr>
          <w:rStyle w:val="FootnoteReference"/>
          <w:sz w:val="24"/>
          <w:szCs w:val="24"/>
        </w:rPr>
        <w:footnoteRef/>
      </w:r>
      <w:r w:rsidRPr="00225C9D">
        <w:rPr>
          <w:sz w:val="24"/>
          <w:szCs w:val="24"/>
        </w:rPr>
        <w:tab/>
        <w:t xml:space="preserve">Euroopan parlamentin kanta, vahvistettu </w:t>
      </w:r>
      <w:r w:rsidR="0076118D">
        <w:rPr>
          <w:sz w:val="24"/>
          <w:szCs w:val="24"/>
        </w:rPr>
        <w:t>26. maaliskuuta 2026</w:t>
      </w:r>
      <w:r w:rsidRPr="00225C9D">
        <w:rPr>
          <w:sz w:val="24"/>
          <w:szCs w:val="24"/>
        </w:rPr>
        <w:t xml:space="preserve"> (ei vielä julkaistu virallisessa lehdessä), ja neuvoston ensimmäisen käsittelyn kanta, vahvistettu 2. heinäkuuta 2026 (ei vielä julkaistu virallisessa lehdessä). Euroopan parlamentin kanta, vahvistettu </w:t>
      </w:r>
      <w:r w:rsidR="0076118D">
        <w:rPr>
          <w:sz w:val="24"/>
          <w:szCs w:val="24"/>
        </w:rPr>
        <w:t>9. heinäkuuta 2026</w:t>
      </w:r>
      <w:r w:rsidRPr="00225C9D">
        <w:rPr>
          <w:sz w:val="24"/>
          <w:szCs w:val="24"/>
        </w:rPr>
        <w:t>.</w:t>
      </w:r>
    </w:p>
  </w:footnote>
  <w:footnote w:id="5">
    <w:p w14:paraId="3C98FF0F" w14:textId="77777777" w:rsidR="00225C9D" w:rsidRPr="00225C9D" w:rsidRDefault="00225C9D" w:rsidP="00225C9D">
      <w:pPr>
        <w:pStyle w:val="FootnoteText"/>
        <w:ind w:left="851" w:hanging="851"/>
        <w:rPr>
          <w:sz w:val="24"/>
          <w:szCs w:val="24"/>
        </w:rPr>
      </w:pPr>
      <w:r w:rsidRPr="00225C9D">
        <w:rPr>
          <w:rStyle w:val="FootnoteReference"/>
          <w:sz w:val="24"/>
          <w:szCs w:val="24"/>
        </w:rPr>
        <w:footnoteRef/>
      </w:r>
      <w:r w:rsidRPr="00225C9D">
        <w:rPr>
          <w:sz w:val="24"/>
          <w:szCs w:val="24"/>
        </w:rPr>
        <w:tab/>
        <w:t>Euroopan parlamentin ja neuvoston direktiivi 2002/58/EY, annettu 12 päivänä heinäkuuta 2002, henkilötietojen käsittelystä ja yksityisyyden suojasta sähköisen viestinnän alalla (sähköisen viestinnän tietosuojadirektiivi) (EYVL L 201, 31.7.2002, s. 37, ELI: </w:t>
      </w:r>
      <w:hyperlink r:id="rId3" w:history="1">
        <w:r w:rsidRPr="00225C9D">
          <w:rPr>
            <w:rStyle w:val="Hyperlink"/>
            <w:sz w:val="24"/>
            <w:szCs w:val="24"/>
          </w:rPr>
          <w:t>http://data.europa.eu/eli/dir/2002/58/oj</w:t>
        </w:r>
      </w:hyperlink>
      <w:r w:rsidRPr="00225C9D">
        <w:rPr>
          <w:sz w:val="24"/>
          <w:szCs w:val="24"/>
        </w:rPr>
        <w:t>).</w:t>
      </w:r>
    </w:p>
  </w:footnote>
  <w:footnote w:id="6">
    <w:p w14:paraId="547DAD60" w14:textId="77777777" w:rsidR="00225C9D" w:rsidRPr="00225C9D" w:rsidRDefault="00225C9D" w:rsidP="00225C9D">
      <w:pPr>
        <w:pStyle w:val="FootnoteText"/>
        <w:ind w:left="851" w:hanging="851"/>
        <w:rPr>
          <w:sz w:val="24"/>
          <w:szCs w:val="24"/>
        </w:rPr>
      </w:pPr>
      <w:r w:rsidRPr="00225C9D">
        <w:rPr>
          <w:rStyle w:val="FootnoteReference"/>
          <w:sz w:val="24"/>
          <w:szCs w:val="24"/>
        </w:rPr>
        <w:footnoteRef/>
      </w:r>
      <w:r w:rsidRPr="00225C9D">
        <w:rPr>
          <w:sz w:val="24"/>
          <w:szCs w:val="24"/>
        </w:rPr>
        <w:tab/>
        <w:t xml:space="preserve">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 ELI: </w:t>
      </w:r>
      <w:hyperlink r:id="rId4" w:history="1">
        <w:r w:rsidRPr="00225C9D">
          <w:rPr>
            <w:rStyle w:val="Hyperlink"/>
            <w:sz w:val="24"/>
            <w:szCs w:val="24"/>
          </w:rPr>
          <w:t>http://data.europa.eu/eli/reg/2016/679/oj</w:t>
        </w:r>
      </w:hyperlink>
      <w:r w:rsidRPr="00225C9D">
        <w:rPr>
          <w:sz w:val="24"/>
          <w:szCs w:val="24"/>
        </w:rPr>
        <w:t>).</w:t>
      </w:r>
    </w:p>
  </w:footnote>
  <w:footnote w:id="7">
    <w:p w14:paraId="74712E4A" w14:textId="77777777" w:rsidR="00225C9D" w:rsidRPr="00225C9D" w:rsidRDefault="00225C9D" w:rsidP="00225C9D">
      <w:pPr>
        <w:pStyle w:val="FootnoteText"/>
        <w:ind w:left="851" w:hanging="851"/>
        <w:rPr>
          <w:sz w:val="24"/>
          <w:szCs w:val="24"/>
        </w:rPr>
      </w:pPr>
      <w:r w:rsidRPr="00225C9D">
        <w:rPr>
          <w:rStyle w:val="FootnoteReference"/>
          <w:sz w:val="24"/>
          <w:szCs w:val="24"/>
        </w:rPr>
        <w:footnoteRef/>
      </w:r>
      <w:r w:rsidRPr="00225C9D">
        <w:rPr>
          <w:sz w:val="24"/>
          <w:szCs w:val="24"/>
        </w:rPr>
        <w:tab/>
        <w:t xml:space="preserve">Euroopan parlamentin ja neuvoston direktiivi 2002/21/EY, annettu 7 päivänä maaliskuuta 2002, sähköisten viestintäverkkojen ja -palvelujen yhteisestä sääntelyjärjestelmästä (puitedirektiivi) (EYVL L 108, 24.4.2002, s. 33, </w:t>
      </w:r>
      <w:hyperlink r:id="rId5" w:history="1">
        <w:r w:rsidRPr="00225C9D">
          <w:rPr>
            <w:rStyle w:val="Hyperlink"/>
            <w:sz w:val="24"/>
            <w:szCs w:val="24"/>
          </w:rPr>
          <w:t>http://data.europa.eu/eli/dir/2002/21/oj</w:t>
        </w:r>
      </w:hyperlink>
      <w:r w:rsidRPr="00225C9D">
        <w:rPr>
          <w:sz w:val="24"/>
          <w:szCs w:val="24"/>
        </w:rPr>
        <w:t>).</w:t>
      </w:r>
    </w:p>
  </w:footnote>
  <w:footnote w:id="8">
    <w:p w14:paraId="3509B4BC" w14:textId="77777777" w:rsidR="00225C9D" w:rsidRPr="00225C9D" w:rsidRDefault="00225C9D" w:rsidP="00225C9D">
      <w:pPr>
        <w:pStyle w:val="FootnoteText"/>
        <w:ind w:left="851" w:hanging="851"/>
        <w:rPr>
          <w:sz w:val="24"/>
          <w:szCs w:val="24"/>
        </w:rPr>
      </w:pPr>
      <w:r w:rsidRPr="00225C9D">
        <w:rPr>
          <w:rStyle w:val="FootnoteReference"/>
          <w:sz w:val="24"/>
          <w:szCs w:val="24"/>
        </w:rPr>
        <w:footnoteRef/>
      </w:r>
      <w:r w:rsidRPr="00225C9D">
        <w:rPr>
          <w:sz w:val="24"/>
          <w:szCs w:val="24"/>
        </w:rPr>
        <w:tab/>
        <w:t xml:space="preserve">Euroopan parlamentin ja neuvoston direktiivi (EU) 2018/1972, annettu 11 päivänä joulukuuta 2018, eurooppalaisesta sähköisen viestinnän säännöstöstä (EUVL L 321, 17.12.2018, s. 36, ELI: </w:t>
      </w:r>
      <w:hyperlink r:id="rId6" w:history="1">
        <w:r w:rsidRPr="00225C9D">
          <w:rPr>
            <w:rStyle w:val="Hyperlink"/>
            <w:sz w:val="24"/>
            <w:szCs w:val="24"/>
          </w:rPr>
          <w:t>http://data.europa.eu/eli/dir/2018/1972/oj</w:t>
        </w:r>
      </w:hyperlink>
      <w:r w:rsidRPr="00225C9D">
        <w:rPr>
          <w:sz w:val="24"/>
          <w:szCs w:val="24"/>
        </w:rPr>
        <w:t>).</w:t>
      </w:r>
    </w:p>
  </w:footnote>
  <w:footnote w:id="9">
    <w:p w14:paraId="506760D8" w14:textId="77777777" w:rsidR="00225C9D" w:rsidRPr="00225C9D" w:rsidRDefault="00225C9D" w:rsidP="00225C9D">
      <w:pPr>
        <w:pStyle w:val="FootnoteText"/>
        <w:ind w:left="851" w:hanging="851"/>
        <w:rPr>
          <w:sz w:val="24"/>
          <w:szCs w:val="24"/>
        </w:rPr>
      </w:pPr>
      <w:r w:rsidRPr="00225C9D">
        <w:rPr>
          <w:rStyle w:val="FootnoteReference"/>
          <w:sz w:val="24"/>
          <w:szCs w:val="24"/>
        </w:rPr>
        <w:footnoteRef/>
      </w:r>
      <w:r w:rsidRPr="00225C9D">
        <w:rPr>
          <w:sz w:val="24"/>
          <w:szCs w:val="24"/>
        </w:rPr>
        <w:tab/>
        <w:t xml:space="preserve">Euroopan parlamentin ja neuvoston direktiivi 2011/93/EU, annettu 13 päivänä joulukuuta 2011, lasten seksuaalisen hyväksikäytön ja seksuaalisen riiston sekä lapsipornografian torjumisesta ja neuvoston puitepäätöksen 2004/68/YOS korvaamisesta (EUVL L 335, 17.12.2011, s. 1, ELI: </w:t>
      </w:r>
      <w:hyperlink r:id="rId7" w:history="1">
        <w:r w:rsidRPr="00225C9D">
          <w:rPr>
            <w:rStyle w:val="Hyperlink"/>
            <w:sz w:val="24"/>
            <w:szCs w:val="24"/>
          </w:rPr>
          <w:t>http://data.europa.eu/eli/dir/2011/93/oj</w:t>
        </w:r>
      </w:hyperlink>
      <w:r w:rsidRPr="00225C9D">
        <w:rPr>
          <w:sz w:val="24"/>
          <w:szCs w:val="24"/>
        </w:rPr>
        <w:t>).</w:t>
      </w:r>
    </w:p>
  </w:footnote>
  <w:footnote w:id="10">
    <w:p w14:paraId="28FB226D" w14:textId="77777777" w:rsidR="00225C9D" w:rsidRPr="00225C9D" w:rsidRDefault="00225C9D" w:rsidP="00225C9D">
      <w:pPr>
        <w:pStyle w:val="FootnoteText"/>
        <w:ind w:left="851" w:hanging="851"/>
        <w:rPr>
          <w:sz w:val="24"/>
          <w:szCs w:val="24"/>
        </w:rPr>
      </w:pPr>
      <w:r w:rsidRPr="00225C9D">
        <w:rPr>
          <w:rStyle w:val="FootnoteReference"/>
          <w:sz w:val="24"/>
          <w:szCs w:val="24"/>
        </w:rPr>
        <w:footnoteRef/>
      </w:r>
      <w:r w:rsidRPr="00225C9D">
        <w:rPr>
          <w:sz w:val="24"/>
          <w:szCs w:val="24"/>
        </w:rPr>
        <w:tab/>
        <w:t xml:space="preserve">Euroopan parlamentin ja neuvoston asetus (EU) 2021/1232, annettu 14 päivänä heinäkuuta 2021, tilapäisestä poikkeuksesta direktiivin 2002/58/EY tiettyihin säännöksiin siltä osin kuin on kyse teknologioista, joita numeroista riippumattomien henkilöiden välisten viestintäpalvelujen tarjoajat käyttävät henkilötietojen ja muiden tietojen käsittelyyn verkossa tapahtuvan lasten seksuaalisen hyväksikäytön torjumiseksi, EUVL L 274, 30.7.2021, s. 41, ELI: </w:t>
      </w:r>
      <w:hyperlink r:id="rId8" w:history="1">
        <w:r w:rsidRPr="00225C9D">
          <w:rPr>
            <w:rStyle w:val="Hyperlink"/>
            <w:sz w:val="24"/>
            <w:szCs w:val="24"/>
          </w:rPr>
          <w:t>http://data.europa.eu/eli/reg/2021/1232/oj</w:t>
        </w:r>
      </w:hyperlink>
      <w:r w:rsidRPr="00225C9D">
        <w:rPr>
          <w:sz w:val="24"/>
          <w:szCs w:val="24"/>
        </w:rPr>
        <w:t>).</w:t>
      </w:r>
    </w:p>
  </w:footnote>
  <w:footnote w:id="11">
    <w:p w14:paraId="45646EE9" w14:textId="77777777" w:rsidR="00225C9D" w:rsidRPr="00225C9D" w:rsidRDefault="00225C9D" w:rsidP="00225C9D">
      <w:pPr>
        <w:pStyle w:val="FootnoteText"/>
        <w:ind w:left="851" w:hanging="851"/>
        <w:rPr>
          <w:sz w:val="24"/>
          <w:szCs w:val="24"/>
        </w:rPr>
      </w:pPr>
      <w:r w:rsidRPr="00225C9D">
        <w:rPr>
          <w:rStyle w:val="FootnoteReference"/>
          <w:sz w:val="24"/>
          <w:szCs w:val="24"/>
        </w:rPr>
        <w:footnoteRef/>
      </w:r>
      <w:r w:rsidRPr="00225C9D">
        <w:rPr>
          <w:sz w:val="24"/>
          <w:szCs w:val="24"/>
        </w:rPr>
        <w:tab/>
        <w:t>Euroopan parlamentin ja neuvoston asetus (EU) 2024/1307, annettu 29 päivänä huhtikuuta 2024, tilapäisestä poikkeuksesta direktiivin 2002/58/EY tiettyihin säännöksiin siltä osin kuin on kyse teknologioista, joita numeroista riippumattomien henkilöiden välisten viestintäpalvelujen tarjoajat käyttävät henkilötietojen ja muiden tietojen käsittelyyn verkossa tapahtuvan lasten seksuaalisen hyväksikäytön torjumiseksi annetun asetuksen (EU) 2021/1232 muuttamisesta, EUVL L, 2024/1307, 14.5.2024, ELI: </w:t>
      </w:r>
      <w:hyperlink r:id="rId9" w:history="1">
        <w:r w:rsidRPr="00225C9D">
          <w:rPr>
            <w:rStyle w:val="Hyperlink"/>
            <w:sz w:val="24"/>
            <w:szCs w:val="24"/>
          </w:rPr>
          <w:t>http://data.europa.eu/eli/reg/2024/1307/oj</w:t>
        </w:r>
      </w:hyperlink>
      <w:r w:rsidRPr="00225C9D">
        <w:rPr>
          <w:sz w:val="24"/>
          <w:szCs w:val="24"/>
        </w:rPr>
        <w:t>).</w:t>
      </w:r>
    </w:p>
  </w:footnote>
  <w:footnote w:id="12">
    <w:p w14:paraId="38FFCD24" w14:textId="77777777" w:rsidR="00225C9D" w:rsidRPr="00225C9D" w:rsidRDefault="00225C9D" w:rsidP="00225C9D">
      <w:pPr>
        <w:pStyle w:val="FootnoteText"/>
        <w:ind w:left="851" w:hanging="851"/>
        <w:rPr>
          <w:sz w:val="24"/>
          <w:szCs w:val="24"/>
        </w:rPr>
      </w:pPr>
      <w:r w:rsidRPr="00225C9D">
        <w:rPr>
          <w:rStyle w:val="FootnoteReference"/>
          <w:sz w:val="24"/>
          <w:szCs w:val="24"/>
        </w:rPr>
        <w:footnoteRef/>
      </w:r>
      <w:r w:rsidRPr="00225C9D">
        <w:rPr>
          <w:sz w:val="24"/>
          <w:szCs w:val="24"/>
        </w:rPr>
        <w:tab/>
        <w:t>Euroopan parlamentin ja neuvoston asetus (EU) N:o 182/2011, annettu 16 päivänä helmikuuta 2011, yleisistä säännöistä ja periaatteista, joiden mukaisesti jäsenvaltiot valvovat komission täytäntöönpanovallan käyttöä (EUVL L 55, 28.2.2011, s. 13, ELI: </w:t>
      </w:r>
      <w:hyperlink r:id="rId10" w:history="1">
        <w:r w:rsidRPr="00225C9D">
          <w:rPr>
            <w:rStyle w:val="Hyperlink"/>
            <w:sz w:val="24"/>
            <w:szCs w:val="24"/>
          </w:rPr>
          <w:t>http://data.europa.eu/eli/reg/2011/182/oj</w:t>
        </w:r>
      </w:hyperlink>
      <w:r w:rsidRPr="00225C9D">
        <w:rPr>
          <w:sz w:val="24"/>
          <w:szCs w:val="24"/>
        </w:rPr>
        <w:t>).</w:t>
      </w:r>
    </w:p>
  </w:footnote>
  <w:footnote w:id="13">
    <w:p w14:paraId="486DB884" w14:textId="77777777" w:rsidR="00225C9D" w:rsidRPr="00225C9D" w:rsidRDefault="00225C9D" w:rsidP="00225C9D">
      <w:pPr>
        <w:pStyle w:val="FootnoteText"/>
        <w:ind w:left="851" w:hanging="851"/>
        <w:rPr>
          <w:sz w:val="24"/>
          <w:szCs w:val="24"/>
        </w:rPr>
      </w:pPr>
      <w:r w:rsidRPr="00225C9D">
        <w:rPr>
          <w:rStyle w:val="FootnoteReference"/>
          <w:sz w:val="24"/>
          <w:szCs w:val="24"/>
        </w:rPr>
        <w:footnoteRef/>
      </w:r>
      <w:r w:rsidRPr="00225C9D">
        <w:rPr>
          <w:sz w:val="24"/>
          <w:szCs w:val="24"/>
        </w:rPr>
        <w:tab/>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 39, ELI: </w:t>
      </w:r>
      <w:hyperlink r:id="rId11" w:history="1">
        <w:r w:rsidRPr="00225C9D">
          <w:rPr>
            <w:rStyle w:val="Hyperlink"/>
            <w:sz w:val="24"/>
            <w:szCs w:val="24"/>
          </w:rPr>
          <w:t>http://data.europa.eu/eli/reg/2018/1725/oj</w:t>
        </w:r>
      </w:hyperlink>
      <w:r w:rsidRPr="00225C9D">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863323660">
    <w:abstractNumId w:val="3"/>
  </w:num>
  <w:num w:numId="2" w16cid:durableId="1361009462">
    <w:abstractNumId w:val="2"/>
  </w:num>
  <w:num w:numId="3" w16cid:durableId="1123815508">
    <w:abstractNumId w:val="1"/>
  </w:num>
  <w:num w:numId="4" w16cid:durableId="357396762">
    <w:abstractNumId w:val="0"/>
  </w:num>
  <w:num w:numId="5" w16cid:durableId="2042972098">
    <w:abstractNumId w:val="6"/>
  </w:num>
  <w:num w:numId="6" w16cid:durableId="2015452982">
    <w:abstractNumId w:val="5"/>
  </w:num>
  <w:num w:numId="7" w16cid:durableId="889537479">
    <w:abstractNumId w:val="4"/>
  </w:num>
  <w:num w:numId="8" w16cid:durableId="59595799">
    <w:abstractNumId w:val="7"/>
  </w:num>
  <w:num w:numId="9" w16cid:durableId="18098567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3DE"/>
    <w:rsid w:val="00013B2A"/>
    <w:rsid w:val="00080FA4"/>
    <w:rsid w:val="000A4317"/>
    <w:rsid w:val="000C2BFE"/>
    <w:rsid w:val="000F27A9"/>
    <w:rsid w:val="000F4A86"/>
    <w:rsid w:val="000F6208"/>
    <w:rsid w:val="00125CBC"/>
    <w:rsid w:val="001433CD"/>
    <w:rsid w:val="00172070"/>
    <w:rsid w:val="00185E15"/>
    <w:rsid w:val="00187566"/>
    <w:rsid w:val="001A7608"/>
    <w:rsid w:val="001D4BBF"/>
    <w:rsid w:val="001D63A8"/>
    <w:rsid w:val="00201BE1"/>
    <w:rsid w:val="00216DFF"/>
    <w:rsid w:val="00225C9D"/>
    <w:rsid w:val="00241C8B"/>
    <w:rsid w:val="002924A9"/>
    <w:rsid w:val="002A1D4E"/>
    <w:rsid w:val="002B4B13"/>
    <w:rsid w:val="002B4BCF"/>
    <w:rsid w:val="002F1925"/>
    <w:rsid w:val="00300C61"/>
    <w:rsid w:val="00312A38"/>
    <w:rsid w:val="003202DD"/>
    <w:rsid w:val="003775B9"/>
    <w:rsid w:val="00397B2A"/>
    <w:rsid w:val="003A69AF"/>
    <w:rsid w:val="003D2FCC"/>
    <w:rsid w:val="003E1189"/>
    <w:rsid w:val="003F4DFE"/>
    <w:rsid w:val="00425111"/>
    <w:rsid w:val="00451C48"/>
    <w:rsid w:val="0047030E"/>
    <w:rsid w:val="004D5670"/>
    <w:rsid w:val="004E6A17"/>
    <w:rsid w:val="004F2EA7"/>
    <w:rsid w:val="00520780"/>
    <w:rsid w:val="00520CAE"/>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B526D"/>
    <w:rsid w:val="006B6C86"/>
    <w:rsid w:val="006E5420"/>
    <w:rsid w:val="006F135E"/>
    <w:rsid w:val="00751383"/>
    <w:rsid w:val="00757DD5"/>
    <w:rsid w:val="00760EC5"/>
    <w:rsid w:val="0076118D"/>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5953"/>
    <w:rsid w:val="00907FE0"/>
    <w:rsid w:val="009865B7"/>
    <w:rsid w:val="009B7584"/>
    <w:rsid w:val="009B7E10"/>
    <w:rsid w:val="009C4014"/>
    <w:rsid w:val="009F28EF"/>
    <w:rsid w:val="00A05D76"/>
    <w:rsid w:val="00A1739E"/>
    <w:rsid w:val="00AA0C29"/>
    <w:rsid w:val="00B03902"/>
    <w:rsid w:val="00B24E22"/>
    <w:rsid w:val="00B54C72"/>
    <w:rsid w:val="00B85C1E"/>
    <w:rsid w:val="00C153DE"/>
    <w:rsid w:val="00C15516"/>
    <w:rsid w:val="00C16C81"/>
    <w:rsid w:val="00C57739"/>
    <w:rsid w:val="00C65BE8"/>
    <w:rsid w:val="00CA4FC0"/>
    <w:rsid w:val="00CB451F"/>
    <w:rsid w:val="00CC4897"/>
    <w:rsid w:val="00D202A4"/>
    <w:rsid w:val="00D91669"/>
    <w:rsid w:val="00DA6CE6"/>
    <w:rsid w:val="00DD0972"/>
    <w:rsid w:val="00DF097A"/>
    <w:rsid w:val="00DF53A8"/>
    <w:rsid w:val="00E039BF"/>
    <w:rsid w:val="00E11822"/>
    <w:rsid w:val="00E450DC"/>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A3327"/>
  <w15:chartTrackingRefBased/>
  <w15:docId w15:val="{35D521C7-0DB0-49FB-B6AB-8E8B0DF9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i-FI"/>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link w:val="FootnoteTextChar"/>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erChar">
    <w:name w:val="Footer Char"/>
    <w:basedOn w:val="DefaultParagraphFont"/>
    <w:link w:val="Footer"/>
    <w:rsid w:val="00C153DE"/>
    <w:rPr>
      <w:sz w:val="22"/>
      <w:lang w:val="fi-FI"/>
    </w:rPr>
  </w:style>
  <w:style w:type="character" w:customStyle="1" w:styleId="FootnoteTextChar">
    <w:name w:val="Footnote Text Char"/>
    <w:link w:val="FootnoteText"/>
    <w:semiHidden/>
    <w:rsid w:val="00C153DE"/>
    <w:rPr>
      <w:sz w:val="22"/>
      <w:lang w:val="fi-FI"/>
    </w:rPr>
  </w:style>
  <w:style w:type="paragraph" w:customStyle="1" w:styleId="NormalHanging12a">
    <w:name w:val="NormalHanging12a"/>
    <w:basedOn w:val="Normal"/>
    <w:rsid w:val="00C153DE"/>
    <w:pPr>
      <w:widowControl w:val="0"/>
      <w:spacing w:after="240"/>
      <w:ind w:left="567" w:hanging="567"/>
    </w:pPr>
  </w:style>
  <w:style w:type="character" w:styleId="Hyperlink">
    <w:name w:val="Hyperlink"/>
    <w:basedOn w:val="DefaultParagraphFont"/>
    <w:uiPriority w:val="99"/>
    <w:unhideWhenUsed/>
    <w:rsid w:val="00201BE1"/>
    <w:rPr>
      <w:color w:val="0000FF"/>
      <w:u w:val="single"/>
    </w:rPr>
  </w:style>
  <w:style w:type="paragraph" w:styleId="Revision">
    <w:name w:val="Revision"/>
    <w:hidden/>
    <w:uiPriority w:val="99"/>
    <w:semiHidden/>
    <w:rsid w:val="006B526D"/>
    <w:rPr>
      <w:sz w:val="24"/>
      <w:lang w:val="fi-FI"/>
    </w:rPr>
  </w:style>
  <w:style w:type="character" w:styleId="CommentReference">
    <w:name w:val="annotation reference"/>
    <w:basedOn w:val="DefaultParagraphFont"/>
    <w:rsid w:val="00187566"/>
    <w:rPr>
      <w:sz w:val="16"/>
      <w:szCs w:val="16"/>
    </w:rPr>
  </w:style>
  <w:style w:type="paragraph" w:styleId="CommentText">
    <w:name w:val="annotation text"/>
    <w:basedOn w:val="Normal"/>
    <w:link w:val="CommentTextChar"/>
    <w:rsid w:val="00187566"/>
    <w:rPr>
      <w:sz w:val="20"/>
    </w:rPr>
  </w:style>
  <w:style w:type="character" w:customStyle="1" w:styleId="CommentTextChar">
    <w:name w:val="Comment Text Char"/>
    <w:basedOn w:val="DefaultParagraphFont"/>
    <w:link w:val="CommentText"/>
    <w:rsid w:val="00187566"/>
    <w:rPr>
      <w:lang w:val="fi-FI"/>
    </w:rPr>
  </w:style>
  <w:style w:type="paragraph" w:styleId="CommentSubject">
    <w:name w:val="annotation subject"/>
    <w:basedOn w:val="CommentText"/>
    <w:next w:val="CommentText"/>
    <w:link w:val="CommentSubjectChar"/>
    <w:rsid w:val="00187566"/>
    <w:rPr>
      <w:b/>
      <w:bCs/>
    </w:rPr>
  </w:style>
  <w:style w:type="character" w:customStyle="1" w:styleId="CommentSubjectChar">
    <w:name w:val="Comment Subject Char"/>
    <w:basedOn w:val="CommentTextChar"/>
    <w:link w:val="CommentSubject"/>
    <w:rsid w:val="00187566"/>
    <w:rPr>
      <w:b/>
      <w:bCs/>
      <w:lang w:val="fi-FI"/>
    </w:rPr>
  </w:style>
  <w:style w:type="character" w:styleId="UnresolvedMention">
    <w:name w:val="Unresolved Mention"/>
    <w:basedOn w:val="DefaultParagraphFont"/>
    <w:uiPriority w:val="99"/>
    <w:semiHidden/>
    <w:unhideWhenUsed/>
    <w:rsid w:val="003D2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163786">
      <w:bodyDiv w:val="1"/>
      <w:marLeft w:val="0"/>
      <w:marRight w:val="0"/>
      <w:marTop w:val="0"/>
      <w:marBottom w:val="0"/>
      <w:divBdr>
        <w:top w:val="none" w:sz="0" w:space="0" w:color="auto"/>
        <w:left w:val="none" w:sz="0" w:space="0" w:color="auto"/>
        <w:bottom w:val="none" w:sz="0" w:space="0" w:color="auto"/>
        <w:right w:val="none" w:sz="0" w:space="0" w:color="auto"/>
      </w:divBdr>
    </w:div>
    <w:div w:id="1336108525">
      <w:bodyDiv w:val="1"/>
      <w:marLeft w:val="0"/>
      <w:marRight w:val="0"/>
      <w:marTop w:val="0"/>
      <w:marBottom w:val="0"/>
      <w:divBdr>
        <w:top w:val="none" w:sz="0" w:space="0" w:color="auto"/>
        <w:left w:val="none" w:sz="0" w:space="0" w:color="auto"/>
        <w:bottom w:val="none" w:sz="0" w:space="0" w:color="auto"/>
        <w:right w:val="none" w:sz="0" w:space="0" w:color="auto"/>
      </w:divBdr>
    </w:div>
    <w:div w:id="1357265831">
      <w:bodyDiv w:val="1"/>
      <w:marLeft w:val="0"/>
      <w:marRight w:val="0"/>
      <w:marTop w:val="0"/>
      <w:marBottom w:val="0"/>
      <w:divBdr>
        <w:top w:val="none" w:sz="0" w:space="0" w:color="auto"/>
        <w:left w:val="none" w:sz="0" w:space="0" w:color="auto"/>
        <w:bottom w:val="none" w:sz="0" w:space="0" w:color="auto"/>
        <w:right w:val="none" w:sz="0" w:space="0" w:color="auto"/>
      </w:divBdr>
    </w:div>
    <w:div w:id="1846095992">
      <w:bodyDiv w:val="1"/>
      <w:marLeft w:val="0"/>
      <w:marRight w:val="0"/>
      <w:marTop w:val="0"/>
      <w:marBottom w:val="0"/>
      <w:divBdr>
        <w:top w:val="none" w:sz="0" w:space="0" w:color="auto"/>
        <w:left w:val="none" w:sz="0" w:space="0" w:color="auto"/>
        <w:bottom w:val="none" w:sz="0" w:space="0" w:color="auto"/>
        <w:right w:val="none" w:sz="0" w:space="0" w:color="auto"/>
      </w:divBdr>
    </w:div>
    <w:div w:id="1983147150">
      <w:bodyDiv w:val="1"/>
      <w:marLeft w:val="0"/>
      <w:marRight w:val="0"/>
      <w:marTop w:val="0"/>
      <w:marBottom w:val="0"/>
      <w:divBdr>
        <w:top w:val="none" w:sz="0" w:space="0" w:color="auto"/>
        <w:left w:val="none" w:sz="0" w:space="0" w:color="auto"/>
        <w:bottom w:val="none" w:sz="0" w:space="0" w:color="auto"/>
        <w:right w:val="none" w:sz="0" w:space="0" w:color="auto"/>
      </w:divBdr>
    </w:div>
    <w:div w:id="206401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232/oj" TargetMode="External"/><Relationship Id="rId3" Type="http://schemas.openxmlformats.org/officeDocument/2006/relationships/hyperlink" Target="http://data.europa.eu/eli/dir/2002/58/oj" TargetMode="External"/><Relationship Id="rId7" Type="http://schemas.openxmlformats.org/officeDocument/2006/relationships/hyperlink" Target="http://data.europa.eu/eli/dir/2011/93/oj" TargetMode="External"/><Relationship Id="rId2" Type="http://schemas.openxmlformats.org/officeDocument/2006/relationships/hyperlink" Target="http://data.europa.eu/eli/C/2026/2546/oj" TargetMode="External"/><Relationship Id="rId1" Type="http://schemas.openxmlformats.org/officeDocument/2006/relationships/hyperlink" Target="http://data.europa.eu/eli/C/2026/1966/oj" TargetMode="External"/><Relationship Id="rId6" Type="http://schemas.openxmlformats.org/officeDocument/2006/relationships/hyperlink" Target="http://data.europa.eu/eli/dir/2018/1972/oj" TargetMode="External"/><Relationship Id="rId11" Type="http://schemas.openxmlformats.org/officeDocument/2006/relationships/hyperlink" Target="http://data.europa.eu/eli/reg/2018/1725/oj" TargetMode="External"/><Relationship Id="rId5" Type="http://schemas.openxmlformats.org/officeDocument/2006/relationships/hyperlink" Target="http://data.europa.eu/eli/dir/2002/21/oj" TargetMode="External"/><Relationship Id="rId10" Type="http://schemas.openxmlformats.org/officeDocument/2006/relationships/hyperlink" Target="http://data.europa.eu/eli/reg/2011/182/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reg/2024/130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6</TotalTime>
  <Pages>37</Pages>
  <Words>7575</Words>
  <Characters>43179</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KINNUNEN Hannele</dc:creator>
  <cp:keywords/>
  <cp:lastModifiedBy>KINNUNEN Hannele</cp:lastModifiedBy>
  <cp:revision>2</cp:revision>
  <cp:lastPrinted>2014-08-07T13:15:00Z</cp:lastPrinted>
  <dcterms:created xsi:type="dcterms:W3CDTF">2026-07-14T08:21:00Z</dcterms:created>
  <dcterms:modified xsi:type="dcterms:W3CDTF">2026-07-14T08:21:00Z</dcterms:modified>
</cp:coreProperties>
</file>