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9F9166" w14:textId="77777777" w:rsidTr="00425111">
        <w:tblPrEx>
          <w:tblW w:w="9072" w:type="dxa"/>
          <w:tblLook w:val="01E0"/>
        </w:tblPrEx>
        <w:trPr>
          <w:trHeight w:hRule="exact" w:val="1418"/>
        </w:trPr>
        <w:tc>
          <w:tcPr>
            <w:tcW w:w="6804" w:type="dxa"/>
            <w:vAlign w:val="center"/>
          </w:tcPr>
          <w:p w:rsidR="00757DD5" w:rsidRPr="00695D15" w:rsidP="00425111" w14:paraId="6237EE36" w14:textId="77777777">
            <w:pPr>
              <w:pStyle w:val="EPName"/>
              <w:rPr>
                <w:lang w:val="en-GB"/>
              </w:rPr>
            </w:pPr>
            <w:r>
              <w:rPr>
                <w:lang w:val="en-GB"/>
              </w:rPr>
              <w:t>Parlament Europejski</w:t>
            </w:r>
          </w:p>
          <w:p w:rsidR="00757DD5" w:rsidRPr="00695D15" w:rsidP="00425111" w14:paraId="16BA7A31" w14:textId="77777777">
            <w:pPr>
              <w:pStyle w:val="EPTerm"/>
              <w:rPr>
                <w:rStyle w:val="HideTWBExt"/>
                <w:vanish w:val="0"/>
                <w:lang w:val="en-GB"/>
              </w:rPr>
            </w:pPr>
            <w:r>
              <w:rPr>
                <w:lang w:val="en-GB"/>
              </w:rPr>
              <w:t>2024-2029</w:t>
            </w:r>
          </w:p>
        </w:tc>
        <w:tc>
          <w:tcPr>
            <w:tcW w:w="2268" w:type="dxa"/>
          </w:tcPr>
          <w:p w:rsidR="00757DD5" w:rsidRPr="00695D15" w:rsidP="00425111" w14:paraId="0AEE64D9" w14:textId="77777777">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P="008E7632" w14:paraId="6299FB93" w14:textId="77777777">
      <w:pPr>
        <w:pStyle w:val="LineTop"/>
        <w:rPr>
          <w:lang w:val="en-GB"/>
        </w:rPr>
      </w:pPr>
    </w:p>
    <w:p w:rsidR="008E7632" w:rsidRPr="00C51212" w:rsidP="008E7632" w14:paraId="48552A9E" w14:textId="77777777">
      <w:pPr>
        <w:pStyle w:val="ZSessionDoc"/>
        <w:rPr>
          <w:b/>
          <w:i w:val="0"/>
          <w:lang w:val="pl-PL"/>
        </w:rPr>
      </w:pPr>
      <w:r w:rsidRPr="00C51212">
        <w:rPr>
          <w:b/>
          <w:i w:val="0"/>
          <w:lang w:val="pl-PL"/>
        </w:rPr>
        <w:t>TEKSTY PRZYJĘTE</w:t>
      </w:r>
    </w:p>
    <w:p w:rsidR="008E7632" w:rsidRPr="00C51212" w:rsidP="008E7632" w14:paraId="0650BEAD" w14:textId="77777777">
      <w:pPr>
        <w:pStyle w:val="LineBottom"/>
        <w:rPr>
          <w:lang w:val="pl-PL"/>
        </w:rPr>
      </w:pPr>
      <w:r w:rsidRPr="00C51212">
        <w:rPr>
          <w:rFonts w:cs="Arial"/>
          <w:i/>
          <w:sz w:val="20"/>
          <w:szCs w:val="22"/>
          <w:lang w:val="pl-PL"/>
        </w:rPr>
        <w:t xml:space="preserve"> </w:t>
      </w:r>
    </w:p>
    <w:p w:rsidR="009C4014" w:rsidRPr="00C51212" w:rsidP="00A23E0F" w14:paraId="62AFAD11" w14:textId="6295C708">
      <w:pPr>
        <w:pStyle w:val="ATHeading1"/>
        <w:rPr>
          <w:lang w:val="pl-PL"/>
        </w:rPr>
      </w:pPr>
      <w:bookmarkStart w:id="0" w:name="TA_Heading"/>
      <w:r w:rsidRPr="00C51212">
        <w:rPr>
          <w:lang w:val="pl-PL"/>
        </w:rPr>
        <w:t>P10_TA(2026)</w:t>
      </w:r>
      <w:bookmarkStart w:id="1" w:name="TANumber"/>
      <w:bookmarkEnd w:id="0"/>
      <w:r w:rsidRPr="00C51212">
        <w:rPr>
          <w:lang w:val="pl-PL"/>
        </w:rPr>
        <w:t>0</w:t>
      </w:r>
      <w:bookmarkEnd w:id="1"/>
      <w:r w:rsidR="000F4822">
        <w:rPr>
          <w:lang w:val="pl-PL"/>
        </w:rPr>
        <w:t>266</w:t>
      </w:r>
    </w:p>
    <w:p w:rsidR="009C4014" w:rsidRPr="007B1E92" w:rsidP="00A23E0F" w14:paraId="088F4430" w14:textId="2424E7C5">
      <w:pPr>
        <w:pStyle w:val="ATHeading2"/>
        <w:rPr>
          <w:lang w:val="pl-PL"/>
        </w:rPr>
      </w:pPr>
      <w:r w:rsidRPr="007B1E92">
        <w:rPr>
          <w:lang w:val="pl-PL"/>
        </w:rPr>
        <w:t>Tymczasowe odstępstwo od dyrektywy o prywatności i łączności elektronicznej</w:t>
      </w:r>
      <w:bookmarkStart w:id="2" w:name="Etoiles"/>
      <w:bookmarkEnd w:id="2"/>
    </w:p>
    <w:p w:rsidR="009C4014" w:rsidRPr="007B1E92" w:rsidP="009C4014" w14:paraId="7B37A533" w14:textId="77777777">
      <w:pPr>
        <w:rPr>
          <w:i/>
          <w:vanish/>
          <w:lang w:val="pl-PL"/>
        </w:rPr>
      </w:pPr>
      <w:r>
        <w:rPr>
          <w:i/>
        </w:rPr>
        <w:fldChar w:fldCharType="begin"/>
      </w:r>
      <w:r w:rsidRPr="007B1E92">
        <w:rPr>
          <w:i/>
          <w:lang w:val="pl-PL"/>
        </w:rPr>
        <w:instrText xml:space="preserve"> TC"</w:instrText>
      </w:r>
      <w:bookmarkStart w:id="3" w:name="DocNumber"/>
      <w:r w:rsidRPr="007B1E92" w:rsidR="00A23E0F">
        <w:rPr>
          <w:i/>
          <w:lang w:val="pl-PL"/>
        </w:rPr>
        <w:instrText>(C10-0178/2026)</w:instrText>
      </w:r>
      <w:bookmarkEnd w:id="3"/>
      <w:r w:rsidRPr="007B1E92">
        <w:rPr>
          <w:i/>
          <w:lang w:val="pl-PL"/>
        </w:rPr>
        <w:instrText xml:space="preserve">"\l3 \n&gt; \* MERGEFORMAT </w:instrText>
      </w:r>
      <w:r>
        <w:rPr>
          <w:i/>
        </w:rPr>
        <w:fldChar w:fldCharType="end"/>
      </w:r>
    </w:p>
    <w:p w:rsidR="00A23E0F" w:rsidRPr="007B1E92" w:rsidP="009C4014" w14:paraId="20C98579" w14:textId="77777777">
      <w:pPr>
        <w:rPr>
          <w:vanish/>
          <w:lang w:val="pl-PL"/>
        </w:rPr>
      </w:pPr>
      <w:bookmarkStart w:id="4" w:name="Commission"/>
      <w:r w:rsidRPr="007B1E92">
        <w:rPr>
          <w:vanish/>
          <w:lang w:val="pl-PL"/>
        </w:rPr>
        <w:t>Komisja Wolności Obywatelskich, Sprawiedliwości i Spraw Wewnętrznych</w:t>
      </w:r>
    </w:p>
    <w:p w:rsidR="009C4014" w:rsidRPr="007B1E92" w:rsidP="009C4014" w14:paraId="6E1234D1" w14:textId="6937DC92">
      <w:pPr>
        <w:rPr>
          <w:vanish/>
          <w:lang w:val="pl-PL"/>
        </w:rPr>
      </w:pPr>
      <w:bookmarkStart w:id="5" w:name="PE"/>
      <w:bookmarkEnd w:id="4"/>
      <w:r w:rsidRPr="007B1E92">
        <w:rPr>
          <w:vanish/>
          <w:lang w:val="pl-PL"/>
        </w:rPr>
        <w:t>PE</w:t>
      </w:r>
      <w:r w:rsidR="004E73F2">
        <w:rPr>
          <w:vanish/>
          <w:lang w:val="pl-PL"/>
        </w:rPr>
        <w:t>790</w:t>
      </w:r>
      <w:r w:rsidRPr="007B1E92">
        <w:rPr>
          <w:vanish/>
          <w:lang w:val="pl-PL"/>
        </w:rPr>
        <w:t>.</w:t>
      </w:r>
      <w:bookmarkEnd w:id="5"/>
      <w:r w:rsidR="004E73F2">
        <w:rPr>
          <w:vanish/>
          <w:lang w:val="pl-PL"/>
        </w:rPr>
        <w:t>735</w:t>
      </w:r>
    </w:p>
    <w:p w:rsidR="00A23E0F" w:rsidRPr="005A3BE3" w:rsidP="00A23E0F" w14:paraId="1E47DE33" w14:textId="6AECA046">
      <w:pPr>
        <w:pStyle w:val="ATHeading3"/>
        <w:rPr>
          <w:lang w:val="pl-PL"/>
        </w:rPr>
      </w:pPr>
      <w:bookmarkStart w:id="6" w:name="Sujet"/>
      <w:r w:rsidRPr="007B1E92">
        <w:rPr>
          <w:lang w:val="pl-PL"/>
        </w:rPr>
        <w:t>Rezolucja ustawodawcza Parlamentu Europejskiego z dnia</w:t>
      </w:r>
      <w:r w:rsidRPr="007B1E92">
        <w:rPr>
          <w:lang w:val="pl-PL"/>
        </w:rPr>
        <w:t xml:space="preserve"> 9 </w:t>
      </w:r>
      <w:r w:rsidRPr="007B1E92">
        <w:rPr>
          <w:lang w:val="pl-PL"/>
        </w:rPr>
        <w:t>lipca</w:t>
      </w:r>
      <w:r w:rsidRPr="007B1E92">
        <w:rPr>
          <w:lang w:val="pl-PL"/>
        </w:rPr>
        <w:t xml:space="preserve"> 2026</w:t>
      </w:r>
      <w:r w:rsidRPr="007B1E92">
        <w:rPr>
          <w:lang w:val="pl-PL"/>
        </w:rPr>
        <w:t xml:space="preserve"> r</w:t>
      </w:r>
      <w:r w:rsidR="003B35E1">
        <w:rPr>
          <w:lang w:val="pl-PL"/>
        </w:rPr>
        <w:t xml:space="preserve">. </w:t>
      </w:r>
      <w:r w:rsidRPr="007B1E92">
        <w:rPr>
          <w:lang w:val="pl-PL"/>
        </w:rPr>
        <w:t>w sprawie stanowiska Rady w pierwszym czytaniu w sprawie przyjęcia rozporządzenia Parlamentu Europejskiego i Rady dotyczącego</w:t>
      </w:r>
      <w:r w:rsidRPr="007B1E92">
        <w:rPr>
          <w:lang w:val="pl-PL"/>
        </w:rPr>
        <w:t xml:space="preserve"> </w:t>
      </w:r>
      <w:r w:rsidRPr="007B1E92" w:rsidR="00AA108F">
        <w:rPr>
          <w:bCs/>
          <w:lang w:val="pl-PL"/>
        </w:rPr>
        <w:t>tymczasowego odstępstwa od niektórych przepisów dyrektywy 2002/58/WE w odniesieniu do stosowania technologii przez dostawców usług łączności interpersonalnej niewykorzystujących numerów do przetwarzania danych osobowych i innych danych do celów zwalczania niegodziwego traktowania dzieci w celach seksualnych w internecie</w:t>
      </w:r>
      <w:r w:rsidRPr="007B1E92">
        <w:rPr>
          <w:lang w:val="pl-PL"/>
        </w:rPr>
        <w:t>(11261/1/2026 – C10</w:t>
      </w:r>
      <w:r w:rsidRPr="00541A58" w:rsidR="00541A58">
        <w:rPr>
          <w:lang w:val="pl-PL"/>
        </w:rPr>
        <w:noBreakHyphen/>
      </w:r>
      <w:r w:rsidRPr="007B1E92">
        <w:rPr>
          <w:lang w:val="pl-PL"/>
        </w:rPr>
        <w:t>0178/2026 – 2025/0429(COD)</w:t>
      </w:r>
      <w:r w:rsidRPr="005A3BE3">
        <w:rPr>
          <w:lang w:val="pl-PL"/>
        </w:rPr>
        <w:t>)</w:t>
      </w:r>
      <w:bookmarkEnd w:id="6"/>
    </w:p>
    <w:p w:rsidR="00A23E0F" w:rsidRPr="00174BA6" w:rsidP="00A23E0F" w14:paraId="22A27905" w14:textId="013D67F2">
      <w:pPr>
        <w:pStyle w:val="NormalBold"/>
        <w:rPr>
          <w:lang w:val="pl-PL"/>
        </w:rPr>
      </w:pPr>
      <w:bookmarkStart w:id="7" w:name="References"/>
      <w:r w:rsidRPr="00174BA6">
        <w:rPr>
          <w:lang w:val="pl-PL"/>
        </w:rPr>
        <w:t>(</w:t>
      </w:r>
      <w:r w:rsidRPr="00174BA6" w:rsidR="00174BA6">
        <w:rPr>
          <w:lang w:val="pl-PL"/>
        </w:rPr>
        <w:t>Zwykła procedura ustawodawcza: drugie czytanie</w:t>
      </w:r>
      <w:r w:rsidRPr="00174BA6">
        <w:rPr>
          <w:lang w:val="pl-PL"/>
        </w:rPr>
        <w:t>)</w:t>
      </w:r>
      <w:bookmarkStart w:id="8" w:name="TextBodyBegin"/>
      <w:bookmarkEnd w:id="7"/>
      <w:bookmarkEnd w:id="8"/>
    </w:p>
    <w:p w:rsidR="00A23E0F" w:rsidRPr="00C51212" w:rsidP="00A23E0F" w14:paraId="4806BA72" w14:textId="77777777">
      <w:pPr>
        <w:pStyle w:val="Normal12"/>
        <w:spacing w:before="360"/>
        <w:rPr>
          <w:i/>
          <w:szCs w:val="24"/>
          <w:lang w:val="pl-PL"/>
        </w:rPr>
      </w:pPr>
      <w:r w:rsidRPr="00C51212">
        <w:rPr>
          <w:i/>
          <w:szCs w:val="24"/>
          <w:lang w:val="pl-PL"/>
        </w:rPr>
        <w:t>Parlament Europejski,</w:t>
      </w:r>
    </w:p>
    <w:p w:rsidR="00A23E0F" w:rsidRPr="00174BA6" w:rsidP="00A23E0F" w14:paraId="024ED9C2" w14:textId="20913BB6">
      <w:pPr>
        <w:pStyle w:val="Normal12Hanging"/>
        <w:widowControl/>
        <w:ind w:left="567" w:hanging="567"/>
        <w:rPr>
          <w:lang w:val="pl-PL"/>
        </w:rPr>
      </w:pPr>
      <w:r w:rsidRPr="00174BA6">
        <w:rPr>
          <w:lang w:val="pl-PL"/>
        </w:rPr>
        <w:t>–</w:t>
      </w:r>
      <w:r w:rsidRPr="00174BA6">
        <w:rPr>
          <w:lang w:val="pl-PL"/>
        </w:rPr>
        <w:tab/>
      </w:r>
      <w:r w:rsidRPr="00174BA6" w:rsidR="00174BA6">
        <w:rPr>
          <w:lang w:val="pl-PL"/>
        </w:rPr>
        <w:t>uwzględniając stanowisko Rady w pierwszym czytaniu</w:t>
      </w:r>
      <w:r w:rsidRPr="00174BA6">
        <w:rPr>
          <w:lang w:val="pl-PL"/>
        </w:rPr>
        <w:t xml:space="preserve"> (11261/1/2026 – C10-0178/2026),</w:t>
      </w:r>
    </w:p>
    <w:p w:rsidR="00A23E0F" w:rsidRPr="00174BA6" w:rsidP="00A23E0F" w14:paraId="2604A54B" w14:textId="3E0C3085">
      <w:pPr>
        <w:pStyle w:val="Normal12Hanging"/>
        <w:widowControl/>
        <w:ind w:left="567" w:hanging="567"/>
        <w:rPr>
          <w:lang w:val="pl-PL"/>
        </w:rPr>
      </w:pPr>
      <w:r w:rsidRPr="00174BA6">
        <w:rPr>
          <w:lang w:val="pl-PL"/>
        </w:rPr>
        <w:t>–</w:t>
      </w:r>
      <w:r w:rsidRPr="00174BA6">
        <w:rPr>
          <w:lang w:val="pl-PL"/>
        </w:rPr>
        <w:tab/>
      </w:r>
      <w:r w:rsidRPr="00174BA6" w:rsidR="00174BA6">
        <w:rPr>
          <w:lang w:val="pl-PL"/>
        </w:rPr>
        <w:t>uwzględniając opinię Europejskiego Komitetu Ekonomiczno-Społecznego z dnia 2</w:t>
      </w:r>
      <w:r w:rsidR="00174BA6">
        <w:rPr>
          <w:lang w:val="pl-PL"/>
        </w:rPr>
        <w:t>1</w:t>
      </w:r>
      <w:r w:rsidRPr="00174BA6" w:rsidR="00174BA6">
        <w:rPr>
          <w:lang w:val="pl-PL"/>
        </w:rPr>
        <w:t xml:space="preserve"> </w:t>
      </w:r>
      <w:r w:rsidR="00174BA6">
        <w:rPr>
          <w:lang w:val="pl-PL"/>
        </w:rPr>
        <w:t>stycznia</w:t>
      </w:r>
      <w:r w:rsidRPr="00174BA6">
        <w:rPr>
          <w:lang w:val="pl-PL"/>
        </w:rPr>
        <w:t xml:space="preserve"> 2026</w:t>
      </w:r>
      <w:r w:rsidR="00174BA6">
        <w:rPr>
          <w:lang w:val="pl-PL"/>
        </w:rPr>
        <w:t xml:space="preserve"> r.</w:t>
      </w:r>
      <w:r>
        <w:rPr>
          <w:rStyle w:val="FootnoteReference"/>
        </w:rPr>
        <w:footnoteReference w:id="2"/>
      </w:r>
      <w:r w:rsidRPr="00174BA6">
        <w:rPr>
          <w:lang w:val="pl-PL"/>
        </w:rPr>
        <w:t>,</w:t>
      </w:r>
    </w:p>
    <w:p w:rsidR="00A23E0F" w:rsidRPr="00174BA6" w:rsidP="00A23E0F" w14:paraId="1B460278" w14:textId="1B075380">
      <w:pPr>
        <w:pStyle w:val="Normal12Hanging"/>
        <w:widowControl/>
        <w:ind w:left="567" w:hanging="567"/>
        <w:rPr>
          <w:lang w:val="pl-PL"/>
        </w:rPr>
      </w:pPr>
      <w:r w:rsidRPr="00174BA6">
        <w:rPr>
          <w:lang w:val="pl-PL"/>
        </w:rPr>
        <w:t>–</w:t>
      </w:r>
      <w:r w:rsidRPr="00174BA6">
        <w:rPr>
          <w:lang w:val="pl-PL"/>
        </w:rPr>
        <w:tab/>
      </w:r>
      <w:r w:rsidRPr="00174BA6" w:rsidR="00174BA6">
        <w:rPr>
          <w:lang w:val="pl-PL"/>
        </w:rPr>
        <w:t>uwzględniając swoje stanowisko w pierwszym czytaniu</w:t>
      </w:r>
      <w:r>
        <w:rPr>
          <w:rStyle w:val="FootnoteReference"/>
        </w:rPr>
        <w:footnoteReference w:id="3"/>
      </w:r>
      <w:r w:rsidRPr="00174BA6">
        <w:rPr>
          <w:lang w:val="pl-PL"/>
        </w:rPr>
        <w:t xml:space="preserve"> </w:t>
      </w:r>
      <w:r w:rsidRPr="00174BA6" w:rsidR="00174BA6">
        <w:rPr>
          <w:lang w:val="pl-PL"/>
        </w:rPr>
        <w:t>w sprawie wniosku Komisji przedstawionego Parlamentowi Europejskiemu i Radzie</w:t>
      </w:r>
      <w:r w:rsidRPr="00174BA6">
        <w:rPr>
          <w:lang w:val="pl-PL"/>
        </w:rPr>
        <w:t xml:space="preserve"> (COM(2025)0797),</w:t>
      </w:r>
    </w:p>
    <w:p w:rsidR="00A932C2" w:rsidRPr="007B1E92" w:rsidP="00A23E0F" w14:paraId="760F5248" w14:textId="12ECC856">
      <w:pPr>
        <w:pStyle w:val="Normal12Hanging"/>
        <w:widowControl/>
        <w:ind w:left="567" w:hanging="567"/>
        <w:rPr>
          <w:lang w:val="pl-PL"/>
        </w:rPr>
      </w:pPr>
      <w:r w:rsidRPr="007B1E92">
        <w:rPr>
          <w:lang w:val="pl-PL"/>
        </w:rPr>
        <w:t>–</w:t>
      </w:r>
      <w:r w:rsidRPr="007B1E92">
        <w:rPr>
          <w:lang w:val="pl-PL"/>
        </w:rPr>
        <w:tab/>
      </w:r>
      <w:bookmarkStart w:id="9" w:name="OLE_LINK1"/>
      <w:r w:rsidRPr="007B1E92">
        <w:rPr>
          <w:lang w:val="pl-PL"/>
        </w:rPr>
        <w:t>uwzględniając art. 294 ust. 7 Traktatu o funkcjonowaniu Unii Europejskiej,</w:t>
      </w:r>
    </w:p>
    <w:bookmarkEnd w:id="9"/>
    <w:p w:rsidR="00A23E0F" w:rsidRPr="00174BA6" w:rsidP="00A23E0F" w14:paraId="1F0496A6" w14:textId="615CA6B7">
      <w:pPr>
        <w:pStyle w:val="Normal12Hanging"/>
        <w:widowControl/>
        <w:ind w:left="567" w:hanging="567"/>
        <w:rPr>
          <w:lang w:val="pl-PL"/>
        </w:rPr>
      </w:pPr>
      <w:r w:rsidRPr="00174BA6">
        <w:rPr>
          <w:lang w:val="pl-PL"/>
        </w:rPr>
        <w:t>–</w:t>
      </w:r>
      <w:r w:rsidRPr="00174BA6">
        <w:rPr>
          <w:lang w:val="pl-PL"/>
        </w:rPr>
        <w:tab/>
      </w:r>
      <w:r w:rsidRPr="00174BA6" w:rsidR="00174BA6">
        <w:rPr>
          <w:lang w:val="pl-PL"/>
        </w:rPr>
        <w:t>uwzględniając art. 68 i</w:t>
      </w:r>
      <w:r w:rsidRPr="00174BA6">
        <w:rPr>
          <w:lang w:val="pl-PL"/>
        </w:rPr>
        <w:t xml:space="preserve"> </w:t>
      </w:r>
      <w:r w:rsidRPr="00174BA6" w:rsidR="00174BA6">
        <w:rPr>
          <w:lang w:val="pl-PL"/>
        </w:rPr>
        <w:t xml:space="preserve">art. </w:t>
      </w:r>
      <w:r w:rsidRPr="00174BA6">
        <w:rPr>
          <w:lang w:val="pl-PL"/>
        </w:rPr>
        <w:t xml:space="preserve">170 </w:t>
      </w:r>
      <w:r w:rsidRPr="00174BA6" w:rsidR="00174BA6">
        <w:rPr>
          <w:lang w:val="pl-PL"/>
        </w:rPr>
        <w:t>Regulaminu</w:t>
      </w:r>
      <w:r w:rsidRPr="00174BA6">
        <w:rPr>
          <w:lang w:val="pl-PL"/>
        </w:rPr>
        <w:t>,</w:t>
      </w:r>
    </w:p>
    <w:p w:rsidR="001F6830" w:rsidRPr="007B1E92" w:rsidP="00A23E0F" w14:paraId="61D456FE" w14:textId="3643D414">
      <w:pPr>
        <w:pStyle w:val="Normal12Hanging"/>
        <w:widowControl/>
        <w:ind w:left="567" w:hanging="567"/>
        <w:rPr>
          <w:lang w:val="pl-PL"/>
        </w:rPr>
      </w:pPr>
      <w:r w:rsidRPr="007B1E92">
        <w:rPr>
          <w:lang w:val="pl-PL"/>
        </w:rPr>
        <w:t>1.</w:t>
      </w:r>
      <w:r w:rsidRPr="007B1E92">
        <w:rPr>
          <w:lang w:val="pl-PL"/>
        </w:rPr>
        <w:tab/>
        <w:t>zatwierdza stanowisko Rady przyjęte w pierwszym czytaniu;</w:t>
      </w:r>
    </w:p>
    <w:p w:rsidR="004E73F2" w:rsidP="00A23E0F" w14:paraId="1F1C528A" w14:textId="77777777">
      <w:pPr>
        <w:pStyle w:val="Normal12"/>
        <w:widowControl/>
        <w:ind w:left="567" w:hanging="567"/>
        <w:rPr>
          <w:lang w:val="pl-PL"/>
        </w:rPr>
        <w:sectPr w:rsidSect="00666512">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Pr>
          <w:lang w:val="pl-PL"/>
        </w:rPr>
        <w:t>2</w:t>
      </w:r>
      <w:r w:rsidRPr="007B1E92" w:rsidR="00A23E0F">
        <w:rPr>
          <w:lang w:val="pl-PL"/>
        </w:rPr>
        <w:t>.</w:t>
      </w:r>
      <w:r w:rsidRPr="007B1E92" w:rsidR="00A23E0F">
        <w:rPr>
          <w:lang w:val="pl-PL"/>
        </w:rPr>
        <w:tab/>
      </w:r>
      <w:r w:rsidRPr="007B1E92" w:rsidR="001F6830">
        <w:rPr>
          <w:lang w:val="pl-PL"/>
        </w:rPr>
        <w:t>zobowiązuje swoją przewodniczącą do przekazania stanowiska Parlamentu Radzie i Komisji oraz parlamentom narodowym.</w:t>
      </w:r>
    </w:p>
    <w:p w:rsidR="00677FB1" w:rsidRPr="00677FB1" w:rsidP="00677FB1" w14:paraId="4C2677EC" w14:textId="77777777">
      <w:pPr>
        <w:widowControl w:val="0"/>
        <w:ind w:left="709" w:hanging="709"/>
        <w:rPr>
          <w:rFonts w:eastAsia="Calibri"/>
          <w:b/>
          <w:szCs w:val="24"/>
          <w:lang w:val="pl-PL"/>
        </w:rPr>
      </w:pPr>
      <w:r w:rsidRPr="00677FB1">
        <w:rPr>
          <w:rFonts w:eastAsia="Calibri"/>
          <w:b/>
          <w:szCs w:val="24"/>
          <w:lang w:val="pl-PL"/>
        </w:rPr>
        <w:t>P10_TC2-COD(2025)0429</w:t>
      </w:r>
    </w:p>
    <w:p w:rsidR="00677FB1" w:rsidRPr="00A67679" w:rsidP="00A67679" w14:paraId="63F0C36A" w14:textId="44FF41EB">
      <w:pPr>
        <w:spacing w:before="240"/>
        <w:rPr>
          <w:b/>
          <w:lang w:val="pl-PL"/>
        </w:rPr>
      </w:pPr>
      <w:r>
        <w:rPr>
          <w:b/>
          <w:lang w:val="pl-PL"/>
        </w:rPr>
        <w:t xml:space="preserve">Stanowisko Parlamentu Europejskiego </w:t>
      </w:r>
      <w:r w:rsidRPr="00291A00">
        <w:rPr>
          <w:b/>
          <w:lang w:val="pl-PL"/>
        </w:rPr>
        <w:t xml:space="preserve">przyjęte w </w:t>
      </w:r>
      <w:r w:rsidR="00A67679">
        <w:rPr>
          <w:b/>
          <w:lang w:val="pl-PL"/>
        </w:rPr>
        <w:t>drugim</w:t>
      </w:r>
      <w:r w:rsidRPr="00291A00">
        <w:rPr>
          <w:b/>
          <w:lang w:val="pl-PL"/>
        </w:rPr>
        <w:t xml:space="preserve"> czytaniu w dniu </w:t>
      </w:r>
      <w:r>
        <w:rPr>
          <w:b/>
          <w:lang w:val="pl-PL"/>
        </w:rPr>
        <w:t>9 lipca 2026 r.</w:t>
      </w:r>
      <w:r w:rsidRPr="00291A00">
        <w:rPr>
          <w:b/>
          <w:lang w:val="pl-PL"/>
        </w:rPr>
        <w:t xml:space="preserve"> </w:t>
      </w:r>
      <w:r w:rsidRPr="00741191">
        <w:rPr>
          <w:b/>
          <w:lang w:val="pl-PL"/>
        </w:rPr>
        <w:t>w celu przyjęcia rozporządzenia Parlamentu Europ</w:t>
      </w:r>
      <w:r>
        <w:rPr>
          <w:b/>
          <w:lang w:val="pl-PL"/>
        </w:rPr>
        <w:t>ejskiego i Rady (UE) 2026/...</w:t>
      </w:r>
      <w:r w:rsidRPr="00741191">
        <w:rPr>
          <w:b/>
          <w:lang w:val="pl-PL"/>
        </w:rPr>
        <w:t xml:space="preserve"> </w:t>
      </w:r>
      <w:r w:rsidRPr="00A67679" w:rsidR="00A67679">
        <w:rPr>
          <w:b/>
          <w:lang w:val="pl-PL"/>
        </w:rPr>
        <w:t>w sprawie tymczasowego odstępstwa od niektórych przepisów dyrektywy 2002/58/WE w odniesieniu do wykorzystywania technologii przez dostawców usług łączności interpersonalnej niewykorzystujących numerów do przetwarzania danych osobowych i innych danych do celów niegodziwego traktowania dzieci w celach seksualnych w internecie</w:t>
      </w:r>
    </w:p>
    <w:p w:rsidR="00677FB1" w:rsidRPr="00A67679" w:rsidP="00677FB1" w14:paraId="0C34DB09" w14:textId="77777777">
      <w:pPr>
        <w:pStyle w:val="Sous-titreobjet"/>
        <w:rPr>
          <w:b w:val="0"/>
          <w:bCs/>
        </w:rPr>
      </w:pPr>
      <w:r w:rsidRPr="00A67679">
        <w:rPr>
          <w:b w:val="0"/>
          <w:bCs/>
        </w:rPr>
        <w:t>(Tekst mający znaczenie dla EOG)</w:t>
      </w:r>
    </w:p>
    <w:p w:rsidR="00677FB1" w:rsidRPr="00C23440" w:rsidP="00677FB1" w14:paraId="62C399CC" w14:textId="77777777">
      <w:pPr>
        <w:pStyle w:val="Institutionquiagit"/>
      </w:pPr>
      <w:r w:rsidRPr="00C23440">
        <w:t>PARLAMENT EUROPEJSKI I RADA UNII EUROPEJSKIEJ,</w:t>
      </w:r>
    </w:p>
    <w:p w:rsidR="00677FB1" w:rsidRPr="00677FB1" w:rsidP="00A67679" w14:paraId="04F0036D" w14:textId="77777777">
      <w:pPr>
        <w:spacing w:before="120" w:after="120" w:line="360" w:lineRule="auto"/>
        <w:rPr>
          <w:lang w:val="pl-PL"/>
        </w:rPr>
      </w:pPr>
      <w:r w:rsidRPr="00677FB1">
        <w:rPr>
          <w:lang w:val="pl-PL"/>
        </w:rPr>
        <w:t>uwzględniając Traktat o funkcjonowaniu Unii Europejskiej, w szczególności jego art. 16 ust. 2 w związku z art. 114 ust. 1,</w:t>
      </w:r>
    </w:p>
    <w:p w:rsidR="00677FB1" w:rsidRPr="00677FB1" w:rsidP="00A67679" w14:paraId="06C017AF" w14:textId="77777777">
      <w:pPr>
        <w:spacing w:before="120" w:after="120" w:line="360" w:lineRule="auto"/>
        <w:rPr>
          <w:lang w:val="pl-PL"/>
        </w:rPr>
      </w:pPr>
      <w:r w:rsidRPr="00677FB1">
        <w:rPr>
          <w:lang w:val="pl-PL"/>
        </w:rPr>
        <w:t>uwzględniając wniosek Komisji Europejskiej,</w:t>
      </w:r>
    </w:p>
    <w:p w:rsidR="00677FB1" w:rsidRPr="00677FB1" w:rsidP="00A67679" w14:paraId="12595910" w14:textId="77777777">
      <w:pPr>
        <w:spacing w:before="120" w:after="120" w:line="360" w:lineRule="auto"/>
        <w:rPr>
          <w:lang w:val="pl-PL"/>
        </w:rPr>
      </w:pPr>
      <w:r w:rsidRPr="00677FB1">
        <w:rPr>
          <w:lang w:val="pl-PL"/>
        </w:rPr>
        <w:t>po przekazaniu projektu aktu ustawodawczego parlamentom narodowym,</w:t>
      </w:r>
    </w:p>
    <w:p w:rsidR="00677FB1" w:rsidRPr="00677FB1" w:rsidP="00A67679" w14:paraId="08BA6F0B" w14:textId="77777777">
      <w:pPr>
        <w:spacing w:before="120" w:after="120" w:line="360" w:lineRule="auto"/>
        <w:rPr>
          <w:lang w:val="pl-PL"/>
        </w:rPr>
      </w:pPr>
      <w:r w:rsidRPr="00677FB1">
        <w:rPr>
          <w:lang w:val="pl-PL"/>
        </w:rPr>
        <w:t>uwzględniając opinię Europejskiego Komitetu Ekonomiczno-Społecznego</w:t>
      </w:r>
      <w:r>
        <w:rPr>
          <w:rStyle w:val="FootnoteReference"/>
        </w:rPr>
        <w:footnoteReference w:id="4"/>
      </w:r>
      <w:r w:rsidRPr="00677FB1">
        <w:rPr>
          <w:lang w:val="pl-PL"/>
        </w:rPr>
        <w:t>,</w:t>
      </w:r>
    </w:p>
    <w:p w:rsidR="00677FB1" w:rsidRPr="00677FB1" w:rsidP="00A67679" w14:paraId="73429D42" w14:textId="77777777">
      <w:pPr>
        <w:spacing w:before="120" w:after="120" w:line="360" w:lineRule="auto"/>
        <w:rPr>
          <w:lang w:val="pl-PL"/>
        </w:rPr>
      </w:pPr>
      <w:r w:rsidRPr="00677FB1">
        <w:rPr>
          <w:lang w:val="pl-PL"/>
        </w:rPr>
        <w:t>stanowiąc zgodnie ze zwykłą procedurą ustawodawczą</w:t>
      </w:r>
      <w:r>
        <w:rPr>
          <w:rStyle w:val="FootnoteReference"/>
        </w:rPr>
        <w:footnoteReference w:id="5"/>
      </w:r>
      <w:r w:rsidRPr="00677FB1">
        <w:rPr>
          <w:lang w:val="pl-PL"/>
        </w:rPr>
        <w:t>,</w:t>
      </w:r>
    </w:p>
    <w:p w:rsidR="00677FB1" w:rsidRPr="00677FB1" w:rsidP="00677FB1" w14:paraId="5D97E9E1" w14:textId="77777777">
      <w:pPr>
        <w:rPr>
          <w:lang w:val="pl-PL"/>
        </w:rPr>
      </w:pPr>
      <w:r w:rsidRPr="00677FB1">
        <w:rPr>
          <w:lang w:val="pl-PL"/>
        </w:rPr>
        <w:br w:type="page"/>
      </w:r>
    </w:p>
    <w:p w:rsidR="00677FB1" w:rsidRPr="00677FB1" w:rsidP="00677FB1" w14:paraId="27F45526" w14:textId="77777777">
      <w:pPr>
        <w:rPr>
          <w:lang w:val="pl-PL"/>
        </w:rPr>
      </w:pPr>
      <w:r w:rsidRPr="00677FB1">
        <w:rPr>
          <w:lang w:val="pl-PL"/>
        </w:rPr>
        <w:t>a także mając na uwadze, co następuje:</w:t>
      </w:r>
    </w:p>
    <w:p w:rsidR="00677FB1" w:rsidRPr="00C23440" w:rsidP="00677FB1" w14:paraId="637368AC" w14:textId="77777777">
      <w:pPr>
        <w:pStyle w:val="ManualConsidrant"/>
      </w:pPr>
      <w:r w:rsidRPr="00C23440">
        <w:t>(1)</w:t>
      </w:r>
      <w:r w:rsidRPr="00C23440">
        <w:tab/>
        <w:t>W dyrektywie 2002/58/WE Parlamentu Europejskiego i Rady</w:t>
      </w:r>
      <w:r>
        <w:rPr>
          <w:rStyle w:val="FootnoteReference"/>
          <w:bCs/>
        </w:rPr>
        <w:footnoteReference w:id="6"/>
      </w:r>
      <w:r w:rsidRPr="00C23440">
        <w:t xml:space="preserve"> ustanowiono przepisy zapewniające prawo do prywatności i poufności w odniesieniu do przetwarzania danych osobowych w ramach wymiany danych w sektorze łączności elektronicznej. Dyrektywa ta stanowi dookreślenie i uzupełnienie rozporządzenia Parlamentu Europejskiego i Rady (UE) 2016/679</w:t>
      </w:r>
      <w:r>
        <w:rPr>
          <w:rStyle w:val="FootnoteReference"/>
          <w:bCs/>
        </w:rPr>
        <w:footnoteReference w:id="7"/>
      </w:r>
      <w:r w:rsidRPr="00C23440">
        <w:t>.</w:t>
      </w:r>
    </w:p>
    <w:p w:rsidR="00677FB1" w:rsidRPr="00677FB1" w:rsidP="00677FB1" w14:paraId="5D836E77" w14:textId="77777777">
      <w:pPr>
        <w:spacing w:after="160" w:line="259" w:lineRule="auto"/>
        <w:rPr>
          <w:lang w:val="pl-PL"/>
        </w:rPr>
      </w:pPr>
      <w:r w:rsidRPr="00677FB1">
        <w:rPr>
          <w:lang w:val="pl-PL"/>
        </w:rPr>
        <w:br w:type="page"/>
      </w:r>
    </w:p>
    <w:p w:rsidR="00677FB1" w:rsidRPr="00C23440" w:rsidP="00677FB1" w14:paraId="1631BF39" w14:textId="77777777">
      <w:pPr>
        <w:pStyle w:val="ManualConsidrant"/>
      </w:pPr>
      <w:r w:rsidRPr="00C23440">
        <w:t>(2)</w:t>
      </w:r>
      <w:r w:rsidRPr="00C23440">
        <w:tab/>
        <w:t>Dyrektywę 2002/58/WE stosuje się do przetwarzania danych osobowych w związku z dostarczaniem publicznie dostępnych usług łączności elektronicznej. Do dnia 21 grudnia 2020 r. zastosowanie miała definicja „usługi łączności elektronicznej” zawarta w art. 2 lit. c) dyrektywy 2002/21/WE Parlamentu Europejskiego i Rady</w:t>
      </w:r>
      <w:r>
        <w:rPr>
          <w:rStyle w:val="FootnoteReference"/>
          <w:bCs/>
        </w:rPr>
        <w:footnoteReference w:id="8"/>
      </w:r>
      <w:r w:rsidRPr="00C23440">
        <w:t>. Tego dnia dyrektywa 2002/21/WE została uchylona na mocy dyrektywy Parlamentu Europejskiego i Rady (UE) 2018/1972</w:t>
      </w:r>
      <w:r>
        <w:rPr>
          <w:rStyle w:val="FootnoteReference"/>
          <w:bCs/>
        </w:rPr>
        <w:footnoteReference w:id="9"/>
      </w:r>
      <w:r w:rsidRPr="00C23440">
        <w:t>. Definicja „usługi łączności elektronicznej” zawarta w art. 2 pkt 4 dyrektywy (UE) 2018/1972 obejmuje usługi łączności interpersonalnej niewykorzystujące numerów zdefiniowane w art. 2 pkt 7 tej dyrektywy. Usługi łączności interpersonalnej niewykorzystujące numerów, obejmujące na przykład telefonię internetową, usługi komunikatorów internetowych i poczty elektronicznej w przeglądarce internetowej, zostały zatem objęte zakresem stosowania dyrektywy 2002/58/WE w dniu 21 grudnia 2020 r.</w:t>
      </w:r>
    </w:p>
    <w:p w:rsidR="00677FB1" w:rsidRPr="00C23440" w:rsidP="00677FB1" w14:paraId="0D81A814" w14:textId="77777777">
      <w:pPr>
        <w:pStyle w:val="ManualConsidrant"/>
      </w:pPr>
      <w:r w:rsidRPr="00C23440">
        <w:t>(3)</w:t>
      </w:r>
      <w:r w:rsidRPr="00C23440">
        <w:tab/>
        <w:t>Zgodnie z art. 6 ust. 1 Traktatu o Unii Europejskiej (TUE) Unia uznaje prawa, wolności i zasady określone w Karcie praw podstawowych Unii Europejskiej (zwanej dalej „Kartą”). Art. 7 Karty chroni prawo podstawowe każdej osoby do poszanowania życia prywatnego i rodzinnego, domu i komunikowania się, co obejmuje również poufność komunikacji. Art. 8 Karty zawiera prawo do ochrony danych osobowych.</w:t>
      </w:r>
    </w:p>
    <w:p w:rsidR="00677FB1" w:rsidRPr="00677FB1" w:rsidP="00677FB1" w14:paraId="4219CDD9" w14:textId="77777777">
      <w:pPr>
        <w:spacing w:after="160" w:line="259" w:lineRule="auto"/>
        <w:rPr>
          <w:lang w:val="pl-PL"/>
        </w:rPr>
      </w:pPr>
      <w:r w:rsidRPr="00677FB1">
        <w:rPr>
          <w:lang w:val="pl-PL"/>
        </w:rPr>
        <w:br w:type="page"/>
      </w:r>
    </w:p>
    <w:p w:rsidR="00677FB1" w:rsidRPr="00C23440" w:rsidP="00677FB1" w14:paraId="72FADBB7" w14:textId="77777777">
      <w:pPr>
        <w:pStyle w:val="ManualConsidrant"/>
      </w:pPr>
      <w:r w:rsidRPr="00C23440">
        <w:t>(4)</w:t>
      </w:r>
      <w:r w:rsidRPr="00C23440">
        <w:tab/>
        <w:t>Art. 3 ust. 1 Konwencji Organizacji Narodów Zjednoczonych o prawach dziecka z 1989 r. (zwanej dalej „Konwencją o prawach dziecka”) oraz art. 24 ust. 2 Karty stanowią, że we wszystkich działaniach dotyczących dzieci, zarówno podejmowanych przez władze publiczne, jak i instytucje prywatne, należy przede wszystkim uwzględnić najlepszy interes dziecka. Art. 3 ust. 2 Konwencji o prawach dziecka i art. 24 ust. 1 Karty przywołują ponadto prawo dzieci do takiej ochrony i opieki, jaka jest konieczna dla ich dobra.</w:t>
      </w:r>
    </w:p>
    <w:p w:rsidR="00677FB1" w:rsidRPr="00C23440" w:rsidP="00677FB1" w14:paraId="1CCBEC2D" w14:textId="77777777">
      <w:pPr>
        <w:pStyle w:val="ManualConsidrant"/>
      </w:pPr>
      <w:r w:rsidRPr="00C23440">
        <w:t>(5)</w:t>
      </w:r>
      <w:r w:rsidRPr="00C23440">
        <w:tab/>
        <w:t>Ochrona dzieci, zarówno w internecie, jak i poza nim, jest jednym z priorytetów Unii. Niegodziwe traktowanie w celach seksualnych i wykorzystywanie seksualne dzieci stanowią poważne naruszenia praw człowieka i praw podstawowych, w szczególności praw dzieci do ochrony przed wszelkimi formami przemocy, niegodziwego traktowania i zaniedbania, złego traktowania lub wykorzystywania, w tym niegodziwego traktowania w celach seksualnych, zgodnie z Konwencją o prawach dziecka i Kartą. Digitalizacja przyniosła społeczeństwu i gospodarce wiele korzyści, ale przyniosła ona także wyzwania, a wśród nich nasilenie zjawiska niegodziwego traktowania dzieci w celach seksualnych w internecie. W dniu 24 lipca 2020 r. Komisja przyjęła komunikat zatytułowany „Strategia UE na rzecz skuteczniejszej walki z niegodziwym traktowaniem dzieci w celach seksualnych” (zwana dalej „Strategią”). Celem Strategii jest zapewnienie skutecznej reakcji na poziomie Unii na przestępstwo, jakim jest niegodziwe traktowanie dzieci w celach seksualnych.</w:t>
      </w:r>
    </w:p>
    <w:p w:rsidR="00677FB1" w:rsidRPr="00677FB1" w:rsidP="00677FB1" w14:paraId="56303504" w14:textId="77777777">
      <w:pPr>
        <w:spacing w:after="160" w:line="259" w:lineRule="auto"/>
        <w:rPr>
          <w:lang w:val="pl-PL"/>
        </w:rPr>
      </w:pPr>
      <w:r w:rsidRPr="00677FB1">
        <w:rPr>
          <w:lang w:val="pl-PL"/>
        </w:rPr>
        <w:br w:type="page"/>
      </w:r>
    </w:p>
    <w:p w:rsidR="00677FB1" w:rsidRPr="00C23440" w:rsidP="00677FB1" w14:paraId="126EBCE9" w14:textId="77777777">
      <w:pPr>
        <w:pStyle w:val="ManualConsidrant"/>
      </w:pPr>
      <w:r w:rsidRPr="00C23440">
        <w:t>(6)</w:t>
      </w:r>
      <w:r w:rsidRPr="00C23440">
        <w:tab/>
        <w:t>Zgodnie z dyrektywą Parlamentu Europejskiego i Rady 2011/93/UE</w:t>
      </w:r>
      <w:r>
        <w:rPr>
          <w:rStyle w:val="FootnoteReference"/>
          <w:bCs/>
        </w:rPr>
        <w:footnoteReference w:id="10"/>
      </w:r>
      <w:r w:rsidRPr="00C23440">
        <w:t xml:space="preserve"> niniejsze rozporządzenie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w:t>
      </w:r>
    </w:p>
    <w:p w:rsidR="00677FB1" w:rsidRPr="00677FB1" w:rsidP="00677FB1" w14:paraId="3D52040C" w14:textId="77777777">
      <w:pPr>
        <w:spacing w:after="160" w:line="259" w:lineRule="auto"/>
        <w:rPr>
          <w:lang w:val="pl-PL"/>
        </w:rPr>
      </w:pPr>
      <w:r w:rsidRPr="00677FB1">
        <w:rPr>
          <w:lang w:val="pl-PL"/>
        </w:rPr>
        <w:br w:type="page"/>
      </w:r>
    </w:p>
    <w:p w:rsidR="00677FB1" w:rsidRPr="00C8338D" w:rsidP="00677FB1" w14:paraId="0E720C31" w14:textId="77777777">
      <w:pPr>
        <w:pStyle w:val="ManualConsidrant"/>
        <w:rPr>
          <w:sz w:val="23"/>
          <w:szCs w:val="23"/>
        </w:rPr>
      </w:pPr>
      <w:r w:rsidRPr="00C8338D">
        <w:rPr>
          <w:sz w:val="23"/>
          <w:szCs w:val="23"/>
        </w:rPr>
        <w:t>(7)</w:t>
      </w:r>
      <w:r w:rsidRPr="00C8338D">
        <w:rPr>
          <w:sz w:val="23"/>
          <w:szCs w:val="23"/>
        </w:rPr>
        <w:tab/>
        <w:t>Niektórzy dostawcy pewnych usług łączności interpersonalnej niewykorzystujących numerów (zwani dalej „dostawcami”), takich jak usługi aplikacji webmail i usługi komunikatorów internetowych, stosują dobrowolnie specjalne technologie do wykrywania w swoich usługach przypadków niegodziwego traktowania dzieci w celach seksualnych w internecie i do zgłaszania takich przypadków organom ścigania i organizacjom działającym w interesie publicznym przeciwko niegodziwemu traktowaniu dzieci w celach seksualnych, poprzez skanowanie treści, takich jak zdjęcia i tekst, albo danych o ruchu pochodzących z łączności elektronicznej z wykorzystaniem, w niektórych przypadkach, danych historycznych. Technologią stosowaną w tych działaniach może być technologia haszowania zdjęć i filmów oraz klasyfikatory i sztuczna inteligencja do analizy tekstu lub danych o ruchu. Gdy stosowana jest technologia haszowania, materiały przedstawiające niegodziwe traktowanie dzieci w celach seksualnych w internecie są zgłaszane w przypadku trafienia, które oznacza zgodność stwierdzoną w wyniku porównania zdjęcia lub filmu z niepowtarzalnym, nieprzekształcalnym podpisem cyfrowym (zwanym dalej „skrótem”) z bazy danych prowadzonej przez organizację działającą w interesie publicznym przeciwko niegodziwemu traktowaniu dzieci w celach seksualnych, która to baza zawiera zweryfikowane materiały przedstawiające niegodziwe traktowanie dzieci w celach seksualnych w internecie. Dostawcy ci kontaktują się z krajowymi numerami interwencyjnymi służącymi zgłaszaniu materiałów przedstawiających niegodziwe traktowanie dzieci w celach seksualnych w internecie oraz z organizacjami, znajdującymi się zarówno w Unii, jak i w państwach trzecich, których celem jest identyfikacja dzieci, ograniczenie wykorzystywania seksualnego dzieci oraz ich niegodziwego traktowania w celach seksualnych i zapobieganie wiktymizacji dzieci. Takie organizacje mogą nie być objęte zakresem stosowania rozporządzenia (UE) 2016/679. W ujęciu zbiorczym takie dobrowolne działania odgrywają znaczącą rolę w umożliwianiu identyfikacji i ratowania ofiar, których prawa podstawowe do godności człowieka oraz do integralności cielesnej i psychicznej są poważnie naruszane. Takie dobrowolne działania mają również istotne znaczenie dla ograniczania dalszego rozpowszechniania materiałów przedstawiających niegodziwe traktowanie dzieci w celach seksualnych w internecie, dla przyczyniania się do identyfikacji sprawców i prowadzenia w ich sprawach postępowań przygotowawczych w sprawach karnych oraz dla zapobiegania przestępstwom związanym z niegodziwym traktowaniem dzieci w celach seksualnych, wykrywania i ścigania takich przestępstw oraz prowadzenia w ich sprawach postępowań przygotowawczych w sprawach karnych.</w:t>
      </w:r>
    </w:p>
    <w:p w:rsidR="00677FB1" w:rsidRPr="00677FB1" w:rsidP="00677FB1" w14:paraId="484A6062" w14:textId="77777777">
      <w:pPr>
        <w:spacing w:after="160" w:line="259" w:lineRule="auto"/>
        <w:rPr>
          <w:lang w:val="pl-PL"/>
        </w:rPr>
      </w:pPr>
      <w:r w:rsidRPr="00677FB1">
        <w:rPr>
          <w:lang w:val="pl-PL"/>
        </w:rPr>
        <w:br w:type="page"/>
      </w:r>
    </w:p>
    <w:p w:rsidR="00677FB1" w:rsidRPr="00C23440" w:rsidP="00677FB1" w14:paraId="68606C5C" w14:textId="77777777">
      <w:pPr>
        <w:pStyle w:val="ManualConsidrant"/>
      </w:pPr>
      <w:r w:rsidRPr="00C23440">
        <w:t>(8)</w:t>
      </w:r>
      <w:r w:rsidRPr="00C23440">
        <w:tab/>
        <w:t>Niezależnie od ich uzasadnionego celu dobrowolne działania dostawców w celu wykrywania w swoich usługach przypadków niegodziwego traktowania dzieci w celach seksualnych w internecie i zgłaszania takich przypadków stanowią ingerencję w podstawowe prawa do poszanowania życia prywatnego i rodzinnego oraz do ochrony danych osobowych wszystkich użytkowników usług łączności interpersonalnej niewykorzystujących numerów (zwanych dalej „użytkownikami”). Żadne ograniczenie w korzystaniu z podstawowego prawa do poszanowania życia prywatnego i rodzinnego, w tym do poufności komunikacji, nie może być uzasadnione wyłącznie tym, że dostawcy stosowali pewne technologie w czasie, gdy usługi łączności interpersonalnej niewykorzystujące numerów nie były objęte zakresem definicji „usługi łączności elektronicznej”. Takie ograniczenia są dopuszczalne wyłącznie pod pewnymi warunkami. Zgodnie z art. 52 ust. 1 Karty, takie ograniczenia muszą być przewidziane ustawą i szanować istotę prawa do życia prywatnego i rodzinnego oraz do ochrony danych osobowych, a także, z zastrzeżeniem zasady proporcjonalności, muszą być konieczne i rzeczywiście odpowiadać celom interesu ogólnego uznawanym przez Unię lub potrzebom ochrony praw i wolności innych osób. Jeżeli takie ograniczenia wiążą się trwale z ogólnym i powszechnym monitorowaniem i analizowaniem komunikatów wszystkich użytkowników, wówczas naruszają one prawo do poufności komunikacji.</w:t>
      </w:r>
    </w:p>
    <w:p w:rsidR="00677FB1" w:rsidRPr="00C23440" w:rsidP="00677FB1" w14:paraId="562A00AE" w14:textId="77777777">
      <w:pPr>
        <w:pStyle w:val="ManualConsidrant"/>
      </w:pPr>
      <w:r w:rsidRPr="00C23440">
        <w:t>(9)</w:t>
      </w:r>
      <w:r w:rsidRPr="00C23440">
        <w:tab/>
        <w:t>Do dnia 20 grudnia 2020 r. przetwarzanie danych osobowych przez dostawców za pomocą dobrowolnych środków na potrzeby wykrywania w swoich usługach przypadków niegodziwego traktowania dzieci w celach seksualnych w internecie i zgłaszania takich przypadków oraz usuwania materiałów przedstawiających niegodziwe traktowanie dzieci w celach seksualnych w internecie ze swoich usług było regulowane wyłącznie rozporządzeniem (UE) 2016/679. Zgodnie z dyrektywą (UE) 2018/1972, której termin transpozycji upływał w dniu 20 grudnia 2020 r., dostawcy zostali objęci zakresem stosowania dyrektywy 2002/58/WE.</w:t>
      </w:r>
    </w:p>
    <w:p w:rsidR="00677FB1" w:rsidRPr="00677FB1" w:rsidP="00677FB1" w14:paraId="2468E556" w14:textId="77777777">
      <w:pPr>
        <w:spacing w:after="160" w:line="259" w:lineRule="auto"/>
        <w:rPr>
          <w:lang w:val="pl-PL"/>
        </w:rPr>
      </w:pPr>
      <w:r w:rsidRPr="00677FB1">
        <w:rPr>
          <w:lang w:val="pl-PL"/>
        </w:rPr>
        <w:br w:type="page"/>
      </w:r>
    </w:p>
    <w:p w:rsidR="00677FB1" w:rsidRPr="00C23440" w:rsidP="00677FB1" w14:paraId="6732CAB7" w14:textId="77777777">
      <w:pPr>
        <w:pStyle w:val="ManualConsidrant"/>
      </w:pPr>
      <w:r w:rsidRPr="00C23440">
        <w:t>(10)</w:t>
      </w:r>
      <w:r w:rsidRPr="00C23440">
        <w:tab/>
        <w:t>W rozporządzeniu Parlamentu Europejskiego i Rady (UE) 2021/1232</w:t>
      </w:r>
      <w:r>
        <w:rPr>
          <w:rStyle w:val="FootnoteReference"/>
        </w:rPr>
        <w:footnoteReference w:id="11"/>
      </w:r>
      <w:r w:rsidRPr="00C23440">
        <w:t xml:space="preserve"> przewidziano tymczasowy system w odniesieniu do wykorzystywania technologii przez dostawców publicznie dostępnych, niewykorzystujących numerów usług łączności interpersonalnej do celów zwalczania niegodziwego traktowania dzieci w celach seksualnych w internecie, w oczekiwaniu na przyjęcie długoterminowych ram prawnych dotyczących przeciwdziałania niegodziwemu traktowaniu dzieci w celach seksualnych w internecie i jego zwalczania (zwanych dalej „długoterminowymi ramami prawnymi”). Rozporządzenie (UE) 2021/1232 zostało zmienione rozporządzeniem Parlamentu Europejskiego i Rady (UE) 2024/1307</w:t>
      </w:r>
      <w:r>
        <w:rPr>
          <w:rStyle w:val="FootnoteReference"/>
        </w:rPr>
        <w:footnoteReference w:id="12"/>
      </w:r>
      <w:r w:rsidRPr="00C23440">
        <w:t xml:space="preserve"> przedłużającym okres stosowania tego rozporządzenia do dnia 3 kwietnia 2026 r.</w:t>
      </w:r>
    </w:p>
    <w:p w:rsidR="00677FB1" w:rsidRPr="00C23440" w:rsidP="00677FB1" w14:paraId="2297AA58" w14:textId="77777777">
      <w:pPr>
        <w:pStyle w:val="ManualConsidrant"/>
      </w:pPr>
      <w:r w:rsidRPr="00C23440">
        <w:t>(11)</w:t>
      </w:r>
      <w:r w:rsidRPr="00C23440">
        <w:tab/>
        <w:t>Celem przyjętego przez Komisję dnia 11 maja 2022 r. wniosku dotyczącego rozporządzenia Parlamentu Europejskiego i Rady ustanawiającego przepisy mające na celu zapobieganie niegodziwemu traktowaniu dzieci w celach seksualnych i jego zwalczanie, jest zapewnienie tych długoterminowych ram prawnych. Negocjacje międzyinstytucjonalne dotyczące tego wniosku są nadal w toku.</w:t>
      </w:r>
    </w:p>
    <w:p w:rsidR="00677FB1" w:rsidRPr="00677FB1" w:rsidP="00677FB1" w14:paraId="2F6EBFF8" w14:textId="77777777">
      <w:pPr>
        <w:spacing w:after="160" w:line="259" w:lineRule="auto"/>
        <w:rPr>
          <w:lang w:val="pl-PL"/>
        </w:rPr>
      </w:pPr>
      <w:r w:rsidRPr="00677FB1">
        <w:rPr>
          <w:lang w:val="pl-PL"/>
        </w:rPr>
        <w:br w:type="page"/>
      </w:r>
    </w:p>
    <w:p w:rsidR="00677FB1" w:rsidRPr="00C23440" w:rsidP="00677FB1" w14:paraId="46C76A4E" w14:textId="77777777">
      <w:pPr>
        <w:pStyle w:val="ManualConsidrant"/>
      </w:pPr>
      <w:r w:rsidRPr="00C23440">
        <w:t>(12)</w:t>
      </w:r>
      <w:r w:rsidRPr="00C23440">
        <w:tab/>
        <w:t>W dniu 19 grudnia 2025 r. Komisja zaproponowała przedłużenie okresu stosowania rozporządzenia (UE) 2021/1232 o dwa lata, do dnia 3 kwietnia 2028 r. Ponieważ współprawodawcy nie byli w stanie osiągnąć porozumienia w sprawie tego wniosku do dnia 3 kwietnia 2026 r., rozporządzenie (UE) 2021/1232 wygasło.</w:t>
      </w:r>
    </w:p>
    <w:p w:rsidR="00677FB1" w:rsidRPr="00C23440" w:rsidP="00677FB1" w14:paraId="6B460AAD" w14:textId="77777777">
      <w:pPr>
        <w:pStyle w:val="ManualConsidrant"/>
      </w:pPr>
      <w:r w:rsidRPr="00C23440">
        <w:t>(13)</w:t>
      </w:r>
      <w:r w:rsidRPr="00C23440">
        <w:tab/>
        <w:t>Ze względu na znaczenie skutecznego zwalczania niegodziwego traktowania dzieci w celach seksualnych w internecie oraz w oczekiwaniu na przyjęcie i stosowanie długoterminowych ram prawnych należy zezwolić na tymczasowe odstępstwo od art. 5 ust. 1 i art. 6 ust. 1 dyrektywy 2002/58/WE zgodnie z warunkami określonymi w niniejszym rozporządzeniu. Biorąc pod uwagę szczególne okoliczności, okres stosowania niniejszego rozporządzenia powinien być ograniczony do czasu niezbędnego do przyjęcia i rozpoczęcia stosowania długoterminowych ram prawnych.</w:t>
      </w:r>
    </w:p>
    <w:p w:rsidR="00677FB1" w:rsidRPr="00C23440" w:rsidP="00677FB1" w14:paraId="79146E9A" w14:textId="77777777">
      <w:pPr>
        <w:pStyle w:val="ManualConsidrant"/>
      </w:pPr>
      <w:r w:rsidRPr="00C23440">
        <w:br w:type="page"/>
      </w:r>
    </w:p>
    <w:p w:rsidR="00677FB1" w:rsidRPr="00C23440" w:rsidP="00677FB1" w14:paraId="1FE40F8B" w14:textId="77777777">
      <w:pPr>
        <w:pStyle w:val="ManualConsidrant"/>
      </w:pPr>
      <w:r w:rsidRPr="00C23440">
        <w:t>(14)</w:t>
      </w:r>
      <w:r w:rsidRPr="00C23440">
        <w:tab/>
        <w:t>Dyrektywa 2002/58/WE nie zawiera żadnych szczegółowych przepisów dotyczących przetwarzania danych osobowych przez dostawców w związku ze świadczeniem usług łączności elektronicznej na potrzeby wykrywania w ich usługach przypadków niegodziwego traktowania dzieci w celach seksualnych w internecie i zgłaszania takich przypadków oraz usuwania materiałów przedstawiających niegodziwe traktowanie dzieci w celach seksualnych w internecie z ich usług. Zgodnie z art. 15 ust. 1 dyrektywy 2002/58/WE państwa członkowskie mogą jednak uchwalić środki ustawodawcze w celu ograniczenia zakresu praw i obowiązków przewidzianych między innymi w art. 5 i 6 tej dyrektywy, które dotyczą poufności komunikacji i danych o ruchu, na potrzeby zapobiegania przestępstwom związanym z niegodziwym traktowaniem dzieci w celach seksualnych, wykrywania ich, prowadzenia w ich sprawach postępowań przygotowawczych w sprawach karnych oraz ich ścigania. Wobec braku takich krajowych środków ustawodawczych oraz w oczekiwaniu na przyjęcie długoterminowych ram prawnych na poziomie Unii służących zwalczaniu niegodziwego traktowania dzieci w celach seksualnych, po dniu 21 grudnia 2020 r. dostawcy nie mogą już opierać się na rozporządzeniu (UE) 2016/679 jako podstawie do dalszego stosowania dobrowolnych środków na potrzeby wykrywania w swoich usługach przypadków niegodziwego traktowania dzieci w celach seksualnych w internecie i zgłaszania takich przypadków oraz usuwania materiałów przedstawiających niegodziwe traktowanie dzieci w celach seksualnych w internecie ze swoich usług. Niniejsze rozporządzenie nie stanowi podstawy prawnej przetwarzania danych osobowych przez dostawców, którego jedynym celem jest wykrywanie w ich usługach przypadków niegodziwego traktowania dzieci w celach seksualnych w internecie i zgłaszanie takich przypadków oraz usuwanie materiałów przedstawiających niegodziwe traktowanie dzieci w celach seksualnych w internecie z ich usług, jednak przewiduje odstępstwo od niektórych przepisów dyrektywy 2002/58/WE. Niniejsze rozporządzenie ustanawia dodatkowe zabezpieczenia, których muszą przestrzegać dostawcy, jeżeli chcą powoływać się na jego przepisy.</w:t>
      </w:r>
    </w:p>
    <w:p w:rsidR="00677FB1" w:rsidRPr="00677FB1" w:rsidP="00677FB1" w14:paraId="0B351C3E" w14:textId="77777777">
      <w:pPr>
        <w:spacing w:after="160" w:line="259" w:lineRule="auto"/>
        <w:rPr>
          <w:lang w:val="pl-PL"/>
        </w:rPr>
      </w:pPr>
      <w:r w:rsidRPr="00677FB1">
        <w:rPr>
          <w:lang w:val="pl-PL"/>
        </w:rPr>
        <w:br w:type="page"/>
      </w:r>
    </w:p>
    <w:p w:rsidR="00677FB1" w:rsidRPr="00C23440" w:rsidP="00677FB1" w14:paraId="0F893AB6" w14:textId="77777777">
      <w:pPr>
        <w:pStyle w:val="ManualConsidrant"/>
      </w:pPr>
      <w:r w:rsidRPr="00C23440">
        <w:t>(15)</w:t>
      </w:r>
      <w:r w:rsidRPr="00C23440">
        <w:tab/>
        <w:t>Przetwarzanie danych do celów niniejszego rozporządzenia może wiązać się z przetwarzaniem szczególnych kategorii danych osobowych określonych w rozporządzeniu (UE) 2016/679. Przetwarzanie zdjęć i filmów za pomocą specjalnych środków technicznych umożliwiających jednoznaczną identyfikację osoby fizycznej lub potwierdzenie jej tożsamości uznaje się za przetwarzanie szczególnych kategorii danych osobowych.</w:t>
      </w:r>
    </w:p>
    <w:p w:rsidR="00677FB1" w:rsidRPr="00C23440" w:rsidP="00677FB1" w14:paraId="1E9E16D6" w14:textId="77777777">
      <w:pPr>
        <w:pStyle w:val="ManualConsidrant"/>
      </w:pPr>
      <w:r w:rsidRPr="00C23440">
        <w:t>(16)</w:t>
      </w:r>
      <w:r w:rsidRPr="00C23440">
        <w:tab/>
        <w:t>Niniejsze rozporządzenie przewiduje tymczasowe odstępstwo od art. 5 ust. 1 i art. 6 ust. 1 dyrektywy 2002/58/WE, które chronią poufność komunikacji i dane o ruchu. Dobrowolne korzystanie przez dostawców z technologii przetwarzania danych osobowych i innych danych w zakresie niezbędnym do wykrywania w ich usługach przypadków niegodziwego traktowania dzieci w celach seksualnych w internecie i zgłaszania takich przypadków oraz usuwania materiałów przedstawiających niegodziwe traktowanie dzieci w celach seksualnych w internecie z ich usług podlega odstępstwu przewidzianemu w niniejszym rozporządzeniu, pod warunkiem że spełnia warunki określone w niniejszym rozporządzeniu, a zatem podlega gwarancjom i warunkom określonym w rozporządzeniu (UE) 2016/679.</w:t>
      </w:r>
    </w:p>
    <w:p w:rsidR="00677FB1" w:rsidRPr="00C23440" w:rsidP="00677FB1" w14:paraId="31DEC47E" w14:textId="77777777">
      <w:pPr>
        <w:pStyle w:val="ManualConsidrant"/>
      </w:pPr>
      <w:r w:rsidRPr="00C23440">
        <w:t>(17)</w:t>
      </w:r>
      <w:r w:rsidRPr="00C23440">
        <w:tab/>
        <w:t>Dyrektywa 2002/58/WE została przyjęta na podstawie art. 114 Traktatu o funkcjonowaniu Unii Europejskiej (TFUE). Ponadto nie wszystkie państwa członkowskie wprowadziły środki ustawodawcze zgodnie z dyrektywą 2002/58/WE w celu ograniczenia zakresu praw i obowiązków dotyczących poufności komunikacji i danych o ruchu określonych w tej dyrektywie, a wprowadzenie takich środków wiąże się ze znacznym ryzykiem rozdrobnienia, które może negatywnie wpłynąć na rynek wewnętrzny. W związku z tym niniejsze rozporządzenie powinno opierać się na art. 114 TFUE.</w:t>
      </w:r>
    </w:p>
    <w:p w:rsidR="00677FB1" w:rsidRPr="00677FB1" w:rsidP="00677FB1" w14:paraId="4A24EAD1" w14:textId="77777777">
      <w:pPr>
        <w:spacing w:after="160" w:line="259" w:lineRule="auto"/>
        <w:rPr>
          <w:lang w:val="pl-PL"/>
        </w:rPr>
      </w:pPr>
      <w:r w:rsidRPr="00677FB1">
        <w:rPr>
          <w:lang w:val="pl-PL"/>
        </w:rPr>
        <w:br w:type="page"/>
      </w:r>
    </w:p>
    <w:p w:rsidR="00677FB1" w:rsidRPr="00C23440" w:rsidP="00677FB1" w14:paraId="055133FD" w14:textId="77777777">
      <w:pPr>
        <w:pStyle w:val="ManualConsidrant"/>
      </w:pPr>
      <w:r w:rsidRPr="00C23440">
        <w:t>(18)</w:t>
      </w:r>
      <w:r w:rsidRPr="00C23440">
        <w:tab/>
        <w:t>Ponieważ dane związane z łącznością elektroniczną z udziałem osób fizycznych zazwyczaj kwalifikują się jako dane osobowe, podstawą niniejszego rozporządzenia powinien również być art. 16 TFUE, który stanowi szczególną podstawę prawną na potrzeby przyjęcia zasad dotyczących ochrony osób fizycznych w zakresie przetwarzania danych osobowych przez instytucje, organy i jednostki organizacyjne Unii oraz przez państwa członkowskie w wykonywaniu działań wchodzących w zakres stosowania prawa Unii, a także zasad dotyczących swobodnego przepływu takich danych.</w:t>
      </w:r>
    </w:p>
    <w:p w:rsidR="00677FB1" w:rsidRPr="00C23440" w:rsidP="00677FB1" w14:paraId="17441F25" w14:textId="77777777">
      <w:pPr>
        <w:pStyle w:val="ManualConsidrant"/>
      </w:pPr>
      <w:r w:rsidRPr="00C23440">
        <w:t>(19)</w:t>
      </w:r>
      <w:r w:rsidRPr="00C23440">
        <w:tab/>
        <w:t>Rozporządzenie (UE) 2016/679 stosuje się do przetwarzania danych osobowych w związku ze świadczeniem usług łączności elektronicznej przez dostawców, którego jedynym celem jest wykrywanie w ich usługach przypadków niegodziwego traktowania dzieci w celach seksualnych w internecie i zgłaszanie ich oraz usuwanie materiałów przedstawiających niegodziwe traktowanie dzieci w celach seksualnych w internecie z ich usług, w zakresie, w jakim przetwarzanie to wchodzi w zakres odstępstwa przewidzianego w niniejszym rozporządzeniu.</w:t>
      </w:r>
    </w:p>
    <w:p w:rsidR="00677FB1" w:rsidRPr="00C23440" w:rsidP="00677FB1" w14:paraId="2B6B84B1" w14:textId="77777777">
      <w:pPr>
        <w:pStyle w:val="ManualConsidrant"/>
      </w:pPr>
      <w:r w:rsidRPr="00C23440">
        <w:t>(20)</w:t>
      </w:r>
      <w:r w:rsidRPr="00C23440">
        <w:tab/>
        <w:t>Rodzaje technologii wykorzystywanych na potrzeby niniejszego rozporządzenia powinny powodować jak najmniejszą ingerencję w prywatność zgodnie z aktualnym stanem techniki w branży. Technologie te nie powinny być wykorzystywane do systematycznego filtrowania ani skanowania tekstu w komunikatach, chyba że ma to na celu wyłącznie wykrywanie schematów dających ewentualne konkretne powody, aby podejrzewać przypadki wystąpienia niegodziwego traktowania dzieci w celach seksualnych w internecie i nie powinny one pozwalać na wydedukowanie treści komunikatów. W przypadku technologii wykorzystywanej do identyfikacji nagabywania dzieci takie konkretne powody do podejrzeń powinny opierać się na obiektywnie określonych czynnikach ryzyka, takich jak różnica wieku i prawdopodobny udział dziecka w skanowanej komunikacji.</w:t>
      </w:r>
    </w:p>
    <w:p w:rsidR="00677FB1" w:rsidRPr="00677FB1" w:rsidP="00677FB1" w14:paraId="56CE4142" w14:textId="77777777">
      <w:pPr>
        <w:spacing w:after="160" w:line="259" w:lineRule="auto"/>
        <w:rPr>
          <w:lang w:val="pl-PL"/>
        </w:rPr>
      </w:pPr>
      <w:r w:rsidRPr="00677FB1">
        <w:rPr>
          <w:lang w:val="pl-PL"/>
        </w:rPr>
        <w:br w:type="page"/>
      </w:r>
    </w:p>
    <w:p w:rsidR="00677FB1" w:rsidRPr="00C23440" w:rsidP="00677FB1" w14:paraId="41AA5B57" w14:textId="77777777">
      <w:pPr>
        <w:pStyle w:val="ManualConsidrant"/>
      </w:pPr>
      <w:r w:rsidRPr="00C23440">
        <w:t>(21)</w:t>
      </w:r>
      <w:r w:rsidRPr="00C23440">
        <w:tab/>
        <w:t>Powinny istnieć odpowiednie procedury i mechanizmy ochrony prawnej zapewniające osobom fizycznym składanie skarg do dostawców. Takie procedury i mechanizmy mają znaczenie, w szczególności, w przypadku usunięcia treści, które nie stanowią niegodziwego traktowania dzieci w celach seksualnych w internecie, lub w przypadku zgłoszenia ich organom ścigania lub organizacji działającej w interesie publicznym przeciwko niegodziwemu traktowaniu dzieci w celach seksualnych.</w:t>
      </w:r>
    </w:p>
    <w:p w:rsidR="00677FB1" w:rsidRPr="00C23440" w:rsidP="00677FB1" w14:paraId="3F7EF4B1" w14:textId="77777777">
      <w:pPr>
        <w:pStyle w:val="ManualConsidrant"/>
      </w:pPr>
      <w:r w:rsidRPr="00C23440">
        <w:t>(22)</w:t>
      </w:r>
      <w:r w:rsidRPr="00C23440">
        <w:tab/>
        <w:t>W celu zapewnienia jak największej dokładności i wiarygodności technologia wykorzystywana na potrzeby niniejszego rozporządzenia powinna, zgodnie z aktualnym stanem techniki w branży, ograniczać liczbę i współczynniki błędów (wyniki fałszywie dodatnie) w możliwie jak największym stopniu oraz, w razie potrzeby, powinna niezwłocznie korygować wszelkie takie błędy, które mimo wszystko mogą wystąpić.</w:t>
      </w:r>
    </w:p>
    <w:p w:rsidR="00677FB1" w:rsidRPr="00C23440" w:rsidP="00677FB1" w14:paraId="047E0D36" w14:textId="77777777">
      <w:pPr>
        <w:pStyle w:val="ManualConsidrant"/>
      </w:pPr>
      <w:r w:rsidRPr="00C23440">
        <w:t>(23)</w:t>
      </w:r>
      <w:r w:rsidRPr="00C23440">
        <w:tab/>
        <w:t>Dane dotyczące treści i dane o ruchu oraz dane osobowe wygenerowane podczas wykonywania działań objętych zakresem stosowania niniejszego rozporządzenia oraz okres, w którym dane te są następnie przechowywane w przypadku, gdy zachodzi podejrzenie niegodziwego traktowania dzieci w celach seksualnych w internecie, powinny pozostawać ograniczone do tego, co jest bezwzględnie konieczne do wykonywania tych działań. Wszelkie dane należy natychmiast trwale usunąć z chwilą, gdy nie są one już bezwzględnie konieczne do jednego z celów określonych w niniejszym rozporządzeniu, w tym w przypadkach gdy nie zachodzi podejrzenie niegodziwego traktowania dzieci w celach seksualnych w internecie, a w każdym razie nie później niż 12 miesięcy od dnia wykrycia przypadku, co do którego zachodzi podejrzenie niegodziwego traktowania dzieci w celach seksualnych w internecie. Powinno to pozostawać bez uszczerbku dla możliwości przechowywania odpowiednich danych dotyczących treści i danych o ruchu zgodnie z dyrektywą 2002/58/WE. Niniejsze rozporządzenie nie wpływa na stosowanie obowiązków prawnych do zabezpieczenia danych, które mają zastosowanie do dostawców na podstawie prawa Unii lub prawa krajowego.</w:t>
      </w:r>
    </w:p>
    <w:p w:rsidR="00677FB1" w:rsidRPr="00677FB1" w:rsidP="00677FB1" w14:paraId="72CD7B19" w14:textId="77777777">
      <w:pPr>
        <w:spacing w:after="160" w:line="259" w:lineRule="auto"/>
        <w:rPr>
          <w:lang w:val="pl-PL"/>
        </w:rPr>
      </w:pPr>
      <w:r w:rsidRPr="00677FB1">
        <w:rPr>
          <w:lang w:val="pl-PL"/>
        </w:rPr>
        <w:br w:type="page"/>
      </w:r>
    </w:p>
    <w:p w:rsidR="00677FB1" w:rsidRPr="00C23440" w:rsidP="00677FB1" w14:paraId="4FF86DE9" w14:textId="77777777">
      <w:pPr>
        <w:pStyle w:val="ManualConsidrant"/>
      </w:pPr>
      <w:r w:rsidRPr="00C23440">
        <w:t>(24)</w:t>
      </w:r>
      <w:r w:rsidRPr="00C23440">
        <w:tab/>
        <w:t>Niniejsze rozporządzenie nie uniemożliwia dostawcom, którzy zgłosili organom ścigania przypadki niegodziwego traktowania dzieci w celach seksualnych w internecie, zwracania się do tych organów o potwierdzenie przyjęcia zgłoszenia.</w:t>
      </w:r>
    </w:p>
    <w:p w:rsidR="00677FB1" w:rsidRPr="00C23440" w:rsidP="00677FB1" w14:paraId="089D58FE" w14:textId="77777777">
      <w:pPr>
        <w:pStyle w:val="ManualConsidrant"/>
      </w:pPr>
      <w:r w:rsidRPr="00C23440">
        <w:t>(25)</w:t>
      </w:r>
      <w:r w:rsidRPr="00C23440">
        <w:tab/>
        <w:t>Aby zapewnić przejrzystość i odpowiedzialność w odniesieniu do działań podejmowanych na mocy odstępstwa przewidzianego w niniejszym rozporządzeniu, dostawcy powinni – w terminie sześciu miesięcy od daty jego wejścia w życie, a następnie do 31 stycznia każdego roku –publikować sprawozdania i przedkładać je właściwemu organowi nadzorczemu wyznaczonemu zgodnie z rozporządzeniem (UE) 2016/679 (zwanemu dalej „organem nadzorczym”) i Komisji. Takie sprawozdania powinny obejmować przetwarzanie objęte zakresem stosowania niniejszego rozporządzenia, w tym informacje dotyczące rodzaju i ilości przetwarzanych danych, konkretnych podstaw przetwarzania danych osobowych na mocy rozporządzenia (UE) 2016/679, podstaw przekazywania danych osobowych poza Unię na mocy rozdziału V rozporządzenia (UE) 2016/679 w stosownych przypadkach, liczby zidentyfikowanych przypadków niegodziwego traktowania dzieci w celach seksualnych w internecie z rozróżnieniem między materiałami przedstawiającymi niegodziwe traktowanie dzieci w celach seksualnych w internecie a nagabywaniem dzieci, liczby skarg złożonych przez użytkowników w ramach wewnętrznego mechanizmu ochrony prawnej lub przypadków skorzystania ze środka ochrony prawnej przed sądem oraz sposobu rozstrzygnięcia takich skarg i postępowań sądowych, liczby i współczynników błędów (wyniki fałszywie dodatnie) dotyczących poszczególnych zastosowanych technologii, środków zastosowanych w celu ograniczenia poziomu błędu i osiągniętego poziomu błędu, polityki zatrzymywania danych oraz zastosowanych zabezpieczeń w zakresie ochrony danych na mocy rozporządzenia (UE) 2016/679, oraz nazw organizacji działających w interesie publicznym przeciwko niegodziwemu traktowaniu dzieci w celach seksualnych, którym udostępniono dane na mocy niniejszego rozporządzenia.</w:t>
      </w:r>
    </w:p>
    <w:p w:rsidR="00677FB1" w:rsidRPr="00677FB1" w:rsidP="00677FB1" w14:paraId="176BB77B" w14:textId="77777777">
      <w:pPr>
        <w:spacing w:after="160" w:line="259" w:lineRule="auto"/>
        <w:rPr>
          <w:lang w:val="pl-PL"/>
        </w:rPr>
      </w:pPr>
      <w:r w:rsidRPr="00677FB1">
        <w:rPr>
          <w:lang w:val="pl-PL"/>
        </w:rPr>
        <w:br w:type="page"/>
      </w:r>
    </w:p>
    <w:p w:rsidR="00677FB1" w:rsidRPr="00C23440" w:rsidP="00677FB1" w14:paraId="1A6AADCC" w14:textId="77777777">
      <w:pPr>
        <w:pStyle w:val="ManualConsidrant"/>
      </w:pPr>
      <w:r w:rsidRPr="00C23440">
        <w:t>(26)</w:t>
      </w:r>
      <w:r w:rsidRPr="00C23440">
        <w:tab/>
        <w:t>Konieczne jest zapewnienie, by w Komisji sprawozdania składane były zarówno przez państwa członkowskie, jak i przez dostawców usług łączności interpersonalnej niewykorzystujących numerów. Należy również podkreślić, że Komisja powinna w odpowiednim czasie przedstawić sprawozdanie z wykonania niniejszego rozporządzenia.</w:t>
      </w:r>
    </w:p>
    <w:p w:rsidR="00677FB1" w:rsidRPr="00C23440" w:rsidP="00677FB1" w14:paraId="099A22DC" w14:textId="77777777">
      <w:pPr>
        <w:pStyle w:val="ManualConsidrant"/>
      </w:pPr>
      <w:r w:rsidRPr="00C23440">
        <w:t>(27)</w:t>
      </w:r>
      <w:r w:rsidRPr="00C23440">
        <w:tab/>
        <w:t>Aby ułatwić dostawcom usług łączności interpersonalnej niewykorzystujących numerów sprawozdawczość, w szczególności w celu zapewnienia, aby ich sprawozdania nadawały się do odczytu maszynowego i były łatwo dostępne, należy ustanowić wspólny format sprawozdawczości tych sprawozdań.</w:t>
      </w:r>
    </w:p>
    <w:p w:rsidR="00677FB1" w:rsidRPr="00C23440" w:rsidP="00677FB1" w14:paraId="79380ACA" w14:textId="77777777">
      <w:pPr>
        <w:pStyle w:val="ManualConsidrant"/>
      </w:pPr>
      <w:r w:rsidRPr="00C23440">
        <w:t>(28)</w:t>
      </w:r>
      <w:r w:rsidRPr="00C23440">
        <w:tab/>
        <w:t>W celu zapewnienia jednolitych warunków wykonania art. 3 ust. 1 lit. g) pkt (vii) niniejszego rozporządzenia należy powierzyć Komisji uprawnienia wykonawcze. Uprawnienia te powinny być wykonywane zgodnie z rozporządzeniem Parlamentu Europejskiego i Rady (UE) nr 182/2011</w:t>
      </w:r>
      <w:r>
        <w:rPr>
          <w:rStyle w:val="FootnoteReference"/>
        </w:rPr>
        <w:footnoteReference w:id="13"/>
      </w:r>
      <w:r w:rsidRPr="00C23440">
        <w:t>.</w:t>
      </w:r>
    </w:p>
    <w:p w:rsidR="00677FB1" w:rsidRPr="00677FB1" w:rsidP="00677FB1" w14:paraId="7602E269" w14:textId="77777777">
      <w:pPr>
        <w:spacing w:after="160" w:line="259" w:lineRule="auto"/>
        <w:rPr>
          <w:lang w:val="pl-PL"/>
        </w:rPr>
      </w:pPr>
      <w:r w:rsidRPr="00677FB1">
        <w:rPr>
          <w:lang w:val="pl-PL"/>
        </w:rPr>
        <w:br w:type="page"/>
      </w:r>
    </w:p>
    <w:p w:rsidR="00677FB1" w:rsidRPr="00C23440" w:rsidP="00677FB1" w14:paraId="67B4E03C" w14:textId="77777777">
      <w:pPr>
        <w:pStyle w:val="ManualConsidrant"/>
      </w:pPr>
      <w:r w:rsidRPr="00C23440">
        <w:t>(29)</w:t>
      </w:r>
      <w:r w:rsidRPr="00C23440">
        <w:tab/>
        <w:t>Aby wspierać organy nadzorcze w wykonywaniu ich zadań, Komisja powinna zwrócić się do Europejskiej Rady Ochrony Danych o wydanie wytycznych dotyczących zgodności przetwarzania objętego odstępstwem określonym w niniejszym rozporządzeniu z rozporządzeniem (UE) 2016/679. Przy dokonywaniu przez organy nadzorcze oceny, czy ugruntowana lub nowo powstająca technologia, która ma być wykorzystana, jest zgodna z aktualnym stanem techniki w branży, powoduje jak najmniejszą ingerencję w prywatność oraz jest stosowana w oparciu o odpowiednią podstawę prawną zgodnie z rozporządzeniem (UE) 2016/679, wytyczne te powinny, w szczególności, pomóc organom nadzorczym w doradztwie w ramach procedury uprzednich konsultacji przewidzianej w tym rozporządzeniu.</w:t>
      </w:r>
    </w:p>
    <w:p w:rsidR="00677FB1" w:rsidRPr="00C23440" w:rsidP="00677FB1" w14:paraId="210B5503" w14:textId="77777777">
      <w:pPr>
        <w:pStyle w:val="ManualConsidrant"/>
      </w:pPr>
      <w:r w:rsidRPr="00C23440">
        <w:t>(30)</w:t>
      </w:r>
      <w:r w:rsidRPr="00C23440">
        <w:tab/>
        <w:t>Niniejsze rozporządzenie ogranicza prawo do ochrony poufności komunikacji i stanowi odstępstwo od decyzji podjętej na mocy dyrektyw (UE) 2018/1972, zgodnie z którą usługi łączności interpersonalnej niewykorzystujące numerów podlegają tym samym przepisom co wszystkie inne usługi łączności elektronicznej w odniesieniu do prywatności, gdy jedynym celem jest wykrywanie w tych usługach przypadków niegodziwego traktowania dzieci w celach seksualnych w internecie i zgłaszanie ich organom ścigania lub organizacjom działającym w interesie publicznym przeciwko niegodziwemu traktowaniu dzieci w celach seksualnych oraz usuwanie materiałów przedstawiających niegodziwe traktowanie dzieci w celach seksualnych w internecie z tych usług.</w:t>
      </w:r>
    </w:p>
    <w:p w:rsidR="00677FB1" w:rsidRPr="00C23440" w:rsidP="00677FB1" w14:paraId="4AC90731" w14:textId="77777777">
      <w:pPr>
        <w:pStyle w:val="ManualConsidrant"/>
      </w:pPr>
      <w:r w:rsidRPr="00C23440">
        <w:t>(31)</w:t>
      </w:r>
      <w:r w:rsidRPr="00C23440">
        <w:tab/>
        <w:t>W odniesieniu do wszelkich innych działań objętych zakresem stosowania dyrektywy 2002/58/WE, dostawcy powinni podlegać szczegółowym obowiązkom określonym w tej dyrektywie, a w konsekwencji właściwym uprawnionym organom wyznaczonym na podstawie tej dyrektywy do monitorowania i prowadzenia postępowań wyjaśniających.</w:t>
      </w:r>
    </w:p>
    <w:p w:rsidR="00677FB1" w:rsidRPr="00677FB1" w:rsidP="00677FB1" w14:paraId="1D25B7FF" w14:textId="77777777">
      <w:pPr>
        <w:spacing w:after="160" w:line="259" w:lineRule="auto"/>
        <w:rPr>
          <w:lang w:val="pl-PL"/>
        </w:rPr>
      </w:pPr>
      <w:r w:rsidRPr="00677FB1">
        <w:rPr>
          <w:lang w:val="pl-PL"/>
        </w:rPr>
        <w:br w:type="page"/>
      </w:r>
    </w:p>
    <w:p w:rsidR="00677FB1" w:rsidRPr="00C23440" w:rsidP="00677FB1" w14:paraId="4B107945" w14:textId="77777777">
      <w:pPr>
        <w:pStyle w:val="ManualConsidrant"/>
      </w:pPr>
      <w:r w:rsidRPr="00C23440">
        <w:t>(32)</w:t>
      </w:r>
      <w:r w:rsidRPr="00C23440">
        <w:tab/>
        <w:t>Pełne szyfrowanie transmisji jest ważnym narzędziem służącym zapewnieniu bezpieczeństwa i poufności komunikacji użytkowników, w tym dzieci. Jakiekolwiek ograniczenie szyfrowania mogłoby być potencjalnie wykorzystywane przez osoby trzecie działające w złej wierze. Żaden z przepisów niniejszego rozporządzenia nie powinien być zatem interpretowany jako zakaz lub ograniczenie pełnego szyfrowania transmisji.</w:t>
      </w:r>
    </w:p>
    <w:p w:rsidR="00677FB1" w:rsidRPr="00C23440" w:rsidP="00677FB1" w14:paraId="5209186B" w14:textId="77777777">
      <w:pPr>
        <w:pStyle w:val="ManualConsidrant"/>
      </w:pPr>
      <w:r w:rsidRPr="00C23440">
        <w:t>(33)</w:t>
      </w:r>
      <w:r w:rsidRPr="00C23440">
        <w:tab/>
        <w:t>Prawo do poszanowania życia prywatnego i rodzinnego, w tym poufność komunikacji, jest podstawowym prawem gwarantowanym na podstawie art. 7 Karty. Jest to zatem również warunek wstępny bezpiecznej komunikacji między ofiarami niegodziwego traktowania dzieci w celach seksualnych a zaufanymi osobami dorosłymi lub organizacjami zaangażowanymi w walkę z takim traktowaniem dzieci oraz komunikacji między ofiarami a ich prawnikami.</w:t>
      </w:r>
    </w:p>
    <w:p w:rsidR="00677FB1" w:rsidRPr="00C23440" w:rsidP="00677FB1" w14:paraId="41FA9E3B" w14:textId="77777777">
      <w:pPr>
        <w:pStyle w:val="ManualConsidrant"/>
      </w:pPr>
      <w:r w:rsidRPr="00C23440">
        <w:t>(34)</w:t>
      </w:r>
      <w:r w:rsidRPr="00C23440">
        <w:tab/>
        <w:t>Niniejsze rozporządzenie nie powinno naruszać przepisów prawa krajowego dotyczących tajemnicy zawodowej, na przykład przepisów dotyczących ochrony komunikacji zawodowej między lekarzami a pacjentami, między dziennikarzami a informatorami lub między prawnikami a klientami, zwłaszcza że poufność komunikacji między prawnikami a klientami ma kluczowe znaczenie dla zapewnienia skutecznego korzystania z prawa do obrony, stanowiącego zasadniczą część prawa do rzetelnego procesu sądowego. Niniejsze rozporządzenie powinno także pozostawać bez uszczerbku dla przepisów krajowych dotyczących rejestrów organów publicznych lub organizacji oferujących doradztwo osobom znajdującym się w trudnej sytuacji.</w:t>
      </w:r>
    </w:p>
    <w:p w:rsidR="00677FB1" w:rsidRPr="00677FB1" w:rsidP="00677FB1" w14:paraId="469523B6" w14:textId="77777777">
      <w:pPr>
        <w:spacing w:after="160" w:line="259" w:lineRule="auto"/>
        <w:rPr>
          <w:lang w:val="pl-PL"/>
        </w:rPr>
      </w:pPr>
      <w:r w:rsidRPr="00677FB1">
        <w:rPr>
          <w:lang w:val="pl-PL"/>
        </w:rPr>
        <w:br w:type="page"/>
      </w:r>
    </w:p>
    <w:p w:rsidR="00677FB1" w:rsidRPr="00C23440" w:rsidP="00677FB1" w14:paraId="6287D4A2" w14:textId="77777777">
      <w:pPr>
        <w:pStyle w:val="ManualConsidrant"/>
      </w:pPr>
      <w:r w:rsidRPr="00C23440">
        <w:t>(35)</w:t>
      </w:r>
      <w:r w:rsidRPr="00C23440">
        <w:tab/>
        <w:t>Dostawcy powinni przekazać Komisji nazwy organizacji działających w interesie publicznym przeciwko niegodziwemu traktowaniu dzieci w celach seksualnych, którym zgłaszają – na podstawie niniejszego rozporządzenia – potencjalne przypadki niegodziwego traktowania dzieci w celach seksualnych w internecie. Wprawdzie wyłącznie dostawcy działający w charakterze administratorów są odpowiedzialni za ocenę, którym stronom trzecim mogą udostępnić dane osobowe na podstawie rozporządzenia (UE) 2016/679, jednak Komisja powinna zapewnić przejrzystość przekazywania informacji o potencjalnych przypadkach niegodziwego traktowania dzieci w celach seksualnych w internecie, publikując na swoich stronach internetowych wykaz zgłoszonych jej organizacji działających w interesie publicznym przeciwko niegodziwemu traktowaniu dzieci w celach seksualnych. Ten publiczny wykaz powinien być łatwo dostępny. Powinno być także możliwe używanie tego wykazu przez dostawców do identyfikowania odpowiednich organizacji do celów globalnej walki z niegodziwym traktowaniem dzieci w celach seksualnych w internecie. Wykaz ten powinien pozostawać bez uszczerbku dla obowiązków dostawców działających w charakterze administratorów na podstawie rozporządzenia (UE) 2016/679, w tym w odniesieniu do obowiązku, zgodnie z którym przekazywanie danych osobowych poza Unię musi odbywać się zgodnie z rozdziałem V tego rozporządzenia, oraz do spełniania wszystkich obowiązków określonych w rozdziale IV tego rozporządzenia.</w:t>
      </w:r>
    </w:p>
    <w:p w:rsidR="00677FB1" w:rsidRPr="00C23440" w:rsidP="00677FB1" w14:paraId="0FF52AB0" w14:textId="77777777">
      <w:pPr>
        <w:pStyle w:val="ManualConsidrant"/>
      </w:pPr>
      <w:r w:rsidRPr="00C23440">
        <w:t>(36)</w:t>
      </w:r>
      <w:r w:rsidRPr="00C23440">
        <w:tab/>
        <w:t>Dane statystyczne, które mają być dostarczone przez państwa członkowskie na mocy niniejszego rozporządzenia, są ważnymi wskaźnikami służącymi ocenie polityki, w tym środków ustawodawczych. Ponadto ważne jest, aby dostrzec wpływ wtórnej wiktymizacji nieodłącznie związanej z udostępnianiem zdjęć i filmów przedstawiających ofiary niegodziwego traktowania dzieci w celach seksualnych, gdyż takie zdjęcia i filmy mogą być rozpowszechniane przez lata, co nie znajduje pełnego odbicia w takich statystykach.</w:t>
      </w:r>
    </w:p>
    <w:p w:rsidR="00677FB1" w:rsidRPr="00677FB1" w:rsidP="00677FB1" w14:paraId="4B7361A0" w14:textId="77777777">
      <w:pPr>
        <w:spacing w:after="160" w:line="259" w:lineRule="auto"/>
        <w:rPr>
          <w:lang w:val="pl-PL"/>
        </w:rPr>
      </w:pPr>
      <w:r w:rsidRPr="00677FB1">
        <w:rPr>
          <w:lang w:val="pl-PL"/>
        </w:rPr>
        <w:br w:type="page"/>
      </w:r>
    </w:p>
    <w:p w:rsidR="00677FB1" w:rsidRPr="00C23440" w:rsidP="00677FB1" w14:paraId="2475201A" w14:textId="77777777">
      <w:pPr>
        <w:pStyle w:val="ManualConsidrant"/>
      </w:pPr>
      <w:r w:rsidRPr="00C23440">
        <w:t>(37)</w:t>
      </w:r>
      <w:r w:rsidRPr="00C23440">
        <w:tab/>
        <w:t>Zgodnie z wymogami określonymi w rozporządzeniu (UE) 2016/679, w szczególności z wymogiem, by państwa członkowskie zapewniały organom nadzorczym zasoby kadrowe, techniczne i finansowe niezbędne do skutecznego wykonywania ich zadań i uprawnień, państwa członkowskie powinny zapewnić organom nadzorczym analogiczne zasoby wystarczające do skutecznego wykonywania zadań i uprawnień na mocy niniejszego rozporządzenia.</w:t>
      </w:r>
    </w:p>
    <w:p w:rsidR="00677FB1" w:rsidRPr="00C23440" w:rsidP="00677FB1" w14:paraId="3C5D4B47" w14:textId="77777777">
      <w:pPr>
        <w:pStyle w:val="ManualConsidrant"/>
      </w:pPr>
      <w:r w:rsidRPr="00C23440">
        <w:t>(38)</w:t>
      </w:r>
      <w:r w:rsidRPr="00C23440">
        <w:tab/>
        <w:t>Jeżeli dostawca przeprowadził ocenę skutków dla ochrony danych i skonsultował się z organami nadzorczymi w związku z daną technologią zgodnie z rozporządzeniem (UE) 2016/679 przed wejściem w życie niniejszego rozporządzenia, dostawca ten nie powinien mieć – na podstawie niniejszego rozporządzenia – obowiązku przeprowadzenia dodatkowej oceny skutków dla ochrony danych lub dodatkowej konsultacji, pod warunkiem że organy nadzorcze stwierdziły, że przetwarzanie danych za pomocą tej technologii nie spowoduje wysokiego ryzyka naruszenia praw i wolności osób fizycznych lub że administrator zastosował środki w celu zminimalizowania takiego ryzyka.</w:t>
      </w:r>
    </w:p>
    <w:p w:rsidR="00677FB1" w:rsidRPr="00C23440" w:rsidP="00677FB1" w14:paraId="621DC7B8" w14:textId="77777777">
      <w:pPr>
        <w:pStyle w:val="ManualConsidrant"/>
      </w:pPr>
      <w:r w:rsidRPr="00C23440">
        <w:t>(39)</w:t>
      </w:r>
      <w:r w:rsidRPr="00C23440">
        <w:tab/>
        <w:t>Użytkownicy powinni mieć prawo do skutecznego środka ochrony prawnej przed sądem, w przypadku gdy ich prawa zostały naruszone w wyniku przetwarzania danych osobowych i innych danych na potrzeby wykrywania przypadków niegodziwego traktowania dzieci w celach seksualnych w internecie w ramach usług łączności interpersonalnej niewykorzystujących numerów i zgłaszania ich oraz usuwania materiałów przedstawiających niegodziwe traktowanie dzieci w celach seksualnych w internecie z tych usług, na przykład gdy treści użytkownika lub jego tożsamość zostały zgłoszone organizacji działającej w interesie publicznym przeciwko niegodziwemu traktowaniu dzieci w celach seksualnych lub organom ścigania lub gdy treści użytkownika zostały usunięte, jego konto zostało zablokowane lub usługa oferowana użytkownikowi została zawieszona.</w:t>
      </w:r>
    </w:p>
    <w:p w:rsidR="00677FB1" w:rsidRPr="00677FB1" w:rsidP="00677FB1" w14:paraId="2B83D162" w14:textId="77777777">
      <w:pPr>
        <w:spacing w:after="160" w:line="259" w:lineRule="auto"/>
        <w:rPr>
          <w:lang w:val="pl-PL"/>
        </w:rPr>
      </w:pPr>
      <w:r w:rsidRPr="00677FB1">
        <w:rPr>
          <w:lang w:val="pl-PL"/>
        </w:rPr>
        <w:br w:type="page"/>
      </w:r>
    </w:p>
    <w:p w:rsidR="00677FB1" w:rsidRPr="00C23440" w:rsidP="00677FB1" w14:paraId="7B0479E2" w14:textId="77777777">
      <w:pPr>
        <w:pStyle w:val="ManualConsidrant"/>
      </w:pPr>
      <w:r w:rsidRPr="00C23440">
        <w:t>(40)</w:t>
      </w:r>
      <w:r w:rsidRPr="00C23440">
        <w:tab/>
        <w:t>Zgodnie z dyrektywą 2002/58/WE i zasadą minimalizacji danych przetwarzanie danych osobowych i innych danych powinno zostać ograniczone do danych dotyczących treści i powiązanych danych o ruchu, w takim zakresie, w jakim jest to bezwzględnie konieczne do osiągnięcia celu niniejszego rozporządzenia.</w:t>
      </w:r>
    </w:p>
    <w:p w:rsidR="00677FB1" w:rsidRPr="00C23440" w:rsidP="00677FB1" w14:paraId="75C4D8C5" w14:textId="77777777">
      <w:pPr>
        <w:pStyle w:val="ManualConsidrant"/>
      </w:pPr>
      <w:r w:rsidRPr="00C23440">
        <w:t>(41)</w:t>
      </w:r>
      <w:r w:rsidRPr="00C23440">
        <w:tab/>
        <w:t>Odstępstwo przewidziane w niniejszym rozporządzeniu powinno obejmować kategorie danych, o których mowa w art. 5 ust. 1 i art. 6 ust. 1 dyrektywy 2002/58/WE, które mają zastosowanie do danych zarówno osobowych, jak i nieosobowych, przetwarzanych w kontekście świadczenia usług łączności interpersonalnej niewykorzystujących numerów.</w:t>
      </w:r>
    </w:p>
    <w:p w:rsidR="00677FB1" w:rsidRPr="00C23440" w:rsidP="00677FB1" w14:paraId="1BBCFF92" w14:textId="77777777">
      <w:pPr>
        <w:pStyle w:val="ManualConsidrant"/>
      </w:pPr>
      <w:r w:rsidRPr="00C23440">
        <w:t>(42)</w:t>
      </w:r>
      <w:r w:rsidRPr="00C23440">
        <w:tab/>
        <w:t>Celem niniejszego rozporządzenia jest ustanowienie tymczasowego odstępstwa od niektórych przepisów dyrektywy 2002/58/WE, nie powodując rozdrobnienia na rynku wewnętrznym. Ponadto przepisy krajowe prawdopodobnie nie zostałyby przyjęte na czas we wszystkich państwach członkowskich. Ponieważ cel ten nie może zostać osiągnięty w sposób wystarczający przez państwa członkowskie, natomiast możliwe jest jego lepsze osiągnięcie na poziomie Unii, może ona podjąć działania zgodnie z zasadą pomocniczości określoną w art. 5 TUE. Zgodnie z zasadą proporcjonalności określoną w tym artykule, niniejsze rozporządzenie nie wykracza poza to, co jest konieczne do osiągnięcia tego celu. Wprowadza ono tymczasowe i ściśle ograniczone odstępstwo od stosowania art. 5 ust. 1 i art. 6 ust. 1 dyrektywy 2002/58/WE, wraz z szeregiem zabezpieczeń w celu zapewnienia, że nie wykracza ono poza to, co jest konieczne do osiągnięcia wyznaczonego celu.</w:t>
      </w:r>
    </w:p>
    <w:p w:rsidR="00677FB1" w:rsidRPr="00677FB1" w:rsidP="00677FB1" w14:paraId="3CA53D36" w14:textId="77777777">
      <w:pPr>
        <w:spacing w:after="160" w:line="259" w:lineRule="auto"/>
        <w:rPr>
          <w:lang w:val="pl-PL"/>
        </w:rPr>
      </w:pPr>
      <w:r w:rsidRPr="00677FB1">
        <w:rPr>
          <w:lang w:val="pl-PL"/>
        </w:rPr>
        <w:br w:type="page"/>
      </w:r>
    </w:p>
    <w:p w:rsidR="00677FB1" w:rsidRPr="00C23440" w:rsidP="00677FB1" w14:paraId="2A2A0ACC" w14:textId="77777777">
      <w:pPr>
        <w:pStyle w:val="ManualConsidrant"/>
      </w:pPr>
      <w:r w:rsidRPr="00C23440">
        <w:t>(43)</w:t>
      </w:r>
      <w:r w:rsidRPr="00C23440">
        <w:tab/>
        <w:t>Uwzględniając potrzebę zapewnienia w odpowiednim czasie pewności prawa, w kontekście wygaśnięcia rozporządzenia (UE) 2021/1232, należy przewidzieć, żeby niniejsze rozporządzenie weszło w życie jak najszybciej.</w:t>
      </w:r>
    </w:p>
    <w:p w:rsidR="00677FB1" w:rsidRPr="00C23440" w:rsidP="00677FB1" w14:paraId="29ED0735" w14:textId="77777777">
      <w:pPr>
        <w:pStyle w:val="ManualConsidrant"/>
      </w:pPr>
      <w:r w:rsidRPr="00C23440">
        <w:t>(44)</w:t>
      </w:r>
      <w:r w:rsidRPr="00C23440">
        <w:tab/>
        <w:t>Zgodnie z art. 42 ust. 1 rozporządzenia Parlamentu Europejskiego i Rady (UE) 2018/1725</w:t>
      </w:r>
      <w:r>
        <w:rPr>
          <w:rStyle w:val="FootnoteReference"/>
          <w:bCs/>
        </w:rPr>
        <w:footnoteReference w:id="14"/>
      </w:r>
      <w:r w:rsidRPr="00C23440">
        <w:t xml:space="preserve"> skonsultowano się z Europejskim Inspektorem Ochrony Danych, który wydał opinię dnia 16 lutego 2026 r.,</w:t>
      </w:r>
    </w:p>
    <w:p w:rsidR="00677FB1" w:rsidRPr="00C23440" w:rsidP="00677FB1" w14:paraId="053A4098" w14:textId="77777777">
      <w:pPr>
        <w:pStyle w:val="Formuledadoption"/>
      </w:pPr>
      <w:r w:rsidRPr="00C23440">
        <w:t>PRZYJMUJĄ NINIEJSZE ROZPORZĄDZENIE:</w:t>
      </w:r>
    </w:p>
    <w:p w:rsidR="00677FB1" w:rsidRPr="00677FB1" w:rsidP="00677FB1" w14:paraId="26CCAD82" w14:textId="77777777">
      <w:pPr>
        <w:rPr>
          <w:i/>
          <w:iCs/>
          <w:lang w:val="pl-PL"/>
        </w:rPr>
      </w:pPr>
      <w:r w:rsidRPr="00677FB1">
        <w:rPr>
          <w:i/>
          <w:iCs/>
          <w:lang w:val="pl-PL"/>
        </w:rPr>
        <w:br w:type="page"/>
      </w:r>
    </w:p>
    <w:p w:rsidR="00677FB1" w:rsidRPr="00C23440" w:rsidP="00677FB1" w14:paraId="1529271A" w14:textId="77777777">
      <w:pPr>
        <w:pStyle w:val="Titrearticle"/>
        <w:rPr>
          <w:iCs/>
        </w:rPr>
      </w:pPr>
      <w:r w:rsidRPr="00C23440">
        <w:t>Artykuł 1</w:t>
      </w:r>
      <w:r w:rsidRPr="00C23440">
        <w:br/>
        <w:t>Przedmiot i zakres stosowania</w:t>
      </w:r>
    </w:p>
    <w:p w:rsidR="00677FB1" w:rsidRPr="00C23440" w:rsidP="00677FB1" w14:paraId="66CDBFDF" w14:textId="77777777">
      <w:pPr>
        <w:pStyle w:val="ManualNumPar1"/>
      </w:pPr>
      <w:r w:rsidRPr="00C23440">
        <w:t>1.</w:t>
      </w:r>
      <w:r w:rsidRPr="00C23440">
        <w:tab/>
        <w:t>W niniejszym rozporządzeniu ustanawia się tymczasowe i ściśle ograniczone zasady stanowiące odstępstwo od niektórych obowiązków określonych w dyrektywie 2002/58/WE, którego jedynym celem jest umożliwienie dostawcom świadczącym niektóre usługi łączności interpersonalnej niewykorzystujące numerów (zwanym dalej „dostawcami”) stosowania, bez uszczerbku dla rozporządzenia (UE) 2016/679, określonych technologii przetwarzania danych osobowych i innych danych w zakresie bezwzględnie koniecznym do wykrywania w ich usługach przypadków niegodziwego traktowania dzieci w celach seksualnych w internecie i zgłaszania ich oraz usuwania materiałów przedstawiających niegodziwe traktowanie dzieci w celach seksualnych w internecie z ich usług.</w:t>
      </w:r>
    </w:p>
    <w:p w:rsidR="00677FB1" w:rsidP="00677FB1" w14:paraId="7E46CD63" w14:textId="77777777">
      <w:pPr>
        <w:pStyle w:val="ManualNumPar1"/>
      </w:pPr>
      <w:r w:rsidRPr="00C23440">
        <w:t>2.</w:t>
      </w:r>
      <w:r w:rsidRPr="00C23440">
        <w:tab/>
        <w:t>Niniejsze rozporządzenie nie ma zastosowania do skanowania komunikacji audio.</w:t>
      </w:r>
    </w:p>
    <w:p w:rsidR="00A67679" w:rsidRPr="00A67679" w:rsidP="00A67679" w14:paraId="07241F14" w14:textId="01A4C6C3">
      <w:pPr>
        <w:pStyle w:val="ManualNumPar1"/>
        <w:rPr>
          <w:b/>
        </w:rPr>
      </w:pPr>
      <w:r w:rsidRPr="00F374E1">
        <w:rPr>
          <w:b/>
          <w:i/>
        </w:rPr>
        <w:t>2a.</w:t>
      </w:r>
      <w:r>
        <w:rPr>
          <w:b/>
          <w:i/>
        </w:rPr>
        <w:tab/>
      </w:r>
      <w:r w:rsidRPr="00F374E1">
        <w:rPr>
          <w:b/>
          <w:i/>
        </w:rPr>
        <w:t xml:space="preserve">Niniejsze </w:t>
      </w:r>
      <w:r w:rsidRPr="00A67679">
        <w:t>rozporządzenie</w:t>
      </w:r>
      <w:r w:rsidRPr="00F374E1">
        <w:rPr>
          <w:b/>
          <w:i/>
        </w:rPr>
        <w:t xml:space="preserve"> nie ma zastosowania do łączności interpersonalnej, w której stosowane jest, było lub będzie pełne szyfrowanie transmisji.</w:t>
      </w:r>
      <w:r>
        <w:rPr>
          <w:b/>
        </w:rPr>
        <w:t xml:space="preserve"> [Popr. 30]</w:t>
      </w:r>
    </w:p>
    <w:p w:rsidR="00677FB1" w:rsidRPr="00C23440" w:rsidP="00677FB1" w14:paraId="7D424712" w14:textId="77777777">
      <w:pPr>
        <w:pStyle w:val="Titrearticle"/>
        <w:rPr>
          <w:iCs/>
        </w:rPr>
      </w:pPr>
      <w:r w:rsidRPr="00C23440">
        <w:t>Artykuł 2</w:t>
      </w:r>
      <w:r w:rsidRPr="00C23440">
        <w:br/>
        <w:t>Definicje</w:t>
      </w:r>
    </w:p>
    <w:p w:rsidR="00677FB1" w:rsidRPr="00677FB1" w:rsidP="00677FB1" w14:paraId="72AD8455" w14:textId="77777777">
      <w:pPr>
        <w:rPr>
          <w:lang w:val="pl-PL"/>
        </w:rPr>
      </w:pPr>
      <w:r w:rsidRPr="00677FB1">
        <w:rPr>
          <w:lang w:val="pl-PL"/>
        </w:rPr>
        <w:t>Do celów niniejszego rozporządzenia stosuje się następujące definicje:</w:t>
      </w:r>
    </w:p>
    <w:p w:rsidR="00677FB1" w:rsidRPr="00C23440" w:rsidP="00677FB1" w14:paraId="05BAA865" w14:textId="77777777">
      <w:pPr>
        <w:pStyle w:val="Point0"/>
      </w:pPr>
      <w:r w:rsidRPr="00C23440">
        <w:t>1)</w:t>
      </w:r>
      <w:r w:rsidRPr="00C23440">
        <w:tab/>
        <w:t>„usługa łączności interpersonalnej niewykorzystująca numerów” oznacza usługę łączności interpersonalnej niewykorzystującą numerów zdefiniowaną w art. 2 pkt 7 dyrektywy (UE) 2018/1972;</w:t>
      </w:r>
    </w:p>
    <w:p w:rsidR="00677FB1" w:rsidRPr="00C23440" w:rsidP="00677FB1" w14:paraId="64DAD360" w14:textId="77777777">
      <w:pPr>
        <w:pStyle w:val="Point0"/>
      </w:pPr>
      <w:r w:rsidRPr="00C23440">
        <w:t>2)</w:t>
      </w:r>
      <w:r w:rsidRPr="00C23440">
        <w:tab/>
        <w:t>„materiały przedstawiające niegodziwe traktowanie dzieci w celach seksualnych w internecie” oznaczają:</w:t>
      </w:r>
    </w:p>
    <w:p w:rsidR="00677FB1" w:rsidRPr="00C23440" w:rsidP="00677FB1" w14:paraId="39EBFBEB" w14:textId="77777777">
      <w:pPr>
        <w:pStyle w:val="Point1"/>
      </w:pPr>
      <w:r w:rsidRPr="00C23440">
        <w:t>a)</w:t>
      </w:r>
      <w:r w:rsidRPr="00C23440">
        <w:tab/>
        <w:t>pornografię dziecięcą zdefiniowaną w art. 2 lit. c) dyrektywy 2011/93/UE;</w:t>
      </w:r>
    </w:p>
    <w:p w:rsidR="00677FB1" w:rsidRPr="00677FB1" w:rsidP="00677FB1" w14:paraId="2D2C2B62" w14:textId="77777777">
      <w:pPr>
        <w:spacing w:after="160" w:line="259" w:lineRule="auto"/>
        <w:rPr>
          <w:lang w:val="pl-PL"/>
        </w:rPr>
      </w:pPr>
      <w:r w:rsidRPr="00677FB1">
        <w:rPr>
          <w:lang w:val="pl-PL"/>
        </w:rPr>
        <w:br w:type="page"/>
      </w:r>
    </w:p>
    <w:p w:rsidR="00677FB1" w:rsidRPr="00C23440" w:rsidP="00677FB1" w14:paraId="12890D3F" w14:textId="77777777">
      <w:pPr>
        <w:pStyle w:val="Point1"/>
      </w:pPr>
      <w:r w:rsidRPr="00C23440">
        <w:t>b)</w:t>
      </w:r>
      <w:r w:rsidRPr="00C23440">
        <w:tab/>
        <w:t>przedstawienie pornograficzne zdefiniowane w art. 2 lit. e) dyrektywy 2011/93/UE;</w:t>
      </w:r>
    </w:p>
    <w:p w:rsidR="00677FB1" w:rsidRPr="00C23440" w:rsidP="00677FB1" w14:paraId="2ECDD7AB" w14:textId="77777777">
      <w:pPr>
        <w:pStyle w:val="Point0"/>
      </w:pPr>
      <w:r w:rsidRPr="00C23440">
        <w:t>3)</w:t>
      </w:r>
      <w:r w:rsidRPr="00C23440">
        <w:tab/>
        <w:t>„nagabywanie dzieci” oznacza jakiekolwiek działanie umyślne stanowiące przestępstwo zgodnie z art. 6 dyrektywy 2011/93/UE;</w:t>
      </w:r>
    </w:p>
    <w:p w:rsidR="00677FB1" w:rsidRPr="00C23440" w:rsidP="00677FB1" w14:paraId="29D7944A" w14:textId="77777777">
      <w:pPr>
        <w:pStyle w:val="Point0"/>
      </w:pPr>
      <w:r w:rsidRPr="00C23440">
        <w:t>4)</w:t>
      </w:r>
      <w:r w:rsidRPr="00C23440">
        <w:tab/>
        <w:t>„niegodziwe traktowanie dzieci w celach seksualnych w internecie” oznacza materiały przedstawiające niegodziwe traktowanie dzieci w celach seksualnych w internecie oraz nagabywanie dzieci.</w:t>
      </w:r>
    </w:p>
    <w:p w:rsidR="00677FB1" w:rsidRPr="00C23440" w:rsidP="00677FB1" w14:paraId="4E609434" w14:textId="77777777">
      <w:pPr>
        <w:pStyle w:val="Titrearticle"/>
        <w:rPr>
          <w:iCs/>
        </w:rPr>
      </w:pPr>
      <w:r w:rsidRPr="00C23440">
        <w:t>Artykuł 3</w:t>
      </w:r>
      <w:r w:rsidRPr="00C23440">
        <w:br/>
        <w:t>Zakres odstępstwa</w:t>
      </w:r>
    </w:p>
    <w:p w:rsidR="00677FB1" w:rsidRPr="00C23440" w:rsidP="00677FB1" w14:paraId="6A226701" w14:textId="77777777">
      <w:pPr>
        <w:pStyle w:val="ManualNumPar1"/>
      </w:pPr>
      <w:r w:rsidRPr="00C23440">
        <w:t>1.</w:t>
      </w:r>
      <w:r w:rsidRPr="00C23440">
        <w:tab/>
        <w:t>Art. 5 ust. 1 i art. 6 ust. 1 dyrektywy 2002/58/WE nie stosuje się do poufności komunikacji związanej z przetwarzaniem przez dostawców danych osobowych i innych danych w związku ze świadczeniem usług łączności interpersonalnej niewykorzystujących numerów, jeżeli:</w:t>
      </w:r>
    </w:p>
    <w:p w:rsidR="00677FB1" w:rsidRPr="00C23440" w:rsidP="00677FB1" w14:paraId="44D68294" w14:textId="77777777">
      <w:pPr>
        <w:pStyle w:val="Point1"/>
      </w:pPr>
      <w:r w:rsidRPr="00C23440">
        <w:t>a)</w:t>
      </w:r>
      <w:r w:rsidRPr="00C23440">
        <w:tab/>
        <w:t>przetwarzanie jest:</w:t>
      </w:r>
    </w:p>
    <w:p w:rsidR="00677FB1" w:rsidP="00677FB1" w14:paraId="745C5336" w14:textId="77777777">
      <w:pPr>
        <w:pStyle w:val="Point2"/>
      </w:pPr>
      <w:r w:rsidRPr="00C23440">
        <w:t>(i)</w:t>
      </w:r>
      <w:r w:rsidRPr="00C23440">
        <w:tab/>
        <w:t>bezwzględnie konieczne do zastosowania określonej technologii wyłącznie w celu wykrywania i usuwania materiałów przedstawiających niegodziwe traktowanie dzieci w celach seksualnych w internecie oraz zgłaszania ich organom ścigania oraz organizacjom działającym w interesie publicznym przeciwko niegodziwemu traktowaniu dzieci w celach seksualnych oraz wykrywania nagabywania dzieci i zgłaszania go organom ścigania lub organizacjom działającym w interesie publicznym przeciwko niegodziwemu traktowaniu dzieci w celach seksualnych;</w:t>
      </w:r>
    </w:p>
    <w:p w:rsidR="00A67679" w:rsidRPr="00A67679" w:rsidP="00677FB1" w14:paraId="230644DD" w14:textId="14B63414">
      <w:pPr>
        <w:pStyle w:val="Point2"/>
        <w:rPr>
          <w:b/>
        </w:rPr>
      </w:pPr>
      <w:r w:rsidRPr="00286C6D">
        <w:rPr>
          <w:b/>
          <w:i/>
        </w:rPr>
        <w:t>(i</w:t>
      </w:r>
      <w:r>
        <w:rPr>
          <w:b/>
          <w:i/>
        </w:rPr>
        <w:t>a</w:t>
      </w:r>
      <w:r w:rsidRPr="00286C6D">
        <w:rPr>
          <w:b/>
          <w:i/>
        </w:rPr>
        <w:t>)</w:t>
      </w:r>
      <w:r w:rsidRPr="00286C6D">
        <w:tab/>
      </w:r>
      <w:r w:rsidRPr="00286C6D">
        <w:rPr>
          <w:b/>
          <w:i/>
        </w:rPr>
        <w:t>nie dotyczy łączności interpersonalnej, w której stosowane jest, było lub będzie pełne szyfrowanie transmisji;</w:t>
      </w:r>
      <w:r>
        <w:rPr>
          <w:b/>
        </w:rPr>
        <w:t xml:space="preserve"> [Popr. 26c</w:t>
      </w:r>
      <w:r w:rsidR="00B06ECC">
        <w:rPr>
          <w:b/>
        </w:rPr>
        <w:t>o</w:t>
      </w:r>
      <w:r>
        <w:rPr>
          <w:b/>
        </w:rPr>
        <w:t>3, 31c</w:t>
      </w:r>
      <w:r w:rsidR="00B06ECC">
        <w:rPr>
          <w:b/>
        </w:rPr>
        <w:t>o</w:t>
      </w:r>
      <w:r>
        <w:rPr>
          <w:b/>
        </w:rPr>
        <w:t>3, 6 i 21]</w:t>
      </w:r>
    </w:p>
    <w:p w:rsidR="00677FB1" w:rsidRPr="00677FB1" w:rsidP="00677FB1" w14:paraId="14F12A98" w14:textId="77777777">
      <w:pPr>
        <w:spacing w:after="160" w:line="259" w:lineRule="auto"/>
        <w:rPr>
          <w:lang w:val="pl-PL"/>
        </w:rPr>
      </w:pPr>
      <w:r w:rsidRPr="00677FB1">
        <w:rPr>
          <w:lang w:val="pl-PL"/>
        </w:rPr>
        <w:br w:type="page"/>
      </w:r>
    </w:p>
    <w:p w:rsidR="00677FB1" w:rsidRPr="00C23440" w:rsidP="00677FB1" w14:paraId="02FBB2F5" w14:textId="77777777">
      <w:pPr>
        <w:pStyle w:val="Point2"/>
      </w:pPr>
      <w:r w:rsidRPr="00C23440">
        <w:t>(ii)</w:t>
      </w:r>
      <w:r w:rsidRPr="00C23440">
        <w:tab/>
        <w:t>proporcjonalne i ograniczone do technologii stosowanych przez dostawców do osiągnięcia celów określonych w pkt (i);</w:t>
      </w:r>
    </w:p>
    <w:p w:rsidR="00677FB1" w:rsidRPr="00C23440" w:rsidP="00677FB1" w14:paraId="0D0D1B27" w14:textId="77777777">
      <w:pPr>
        <w:pStyle w:val="Point2"/>
      </w:pPr>
      <w:r w:rsidRPr="00C23440">
        <w:t>(iii)</w:t>
      </w:r>
      <w:r w:rsidRPr="00C23440">
        <w:tab/>
        <w:t>ograniczone do danych dotyczących treści i powiązanych danych o ruchu, które są bezwzględnie konieczne do osiągnięcia celów określonych w pkt (i);</w:t>
      </w:r>
    </w:p>
    <w:p w:rsidR="00677FB1" w:rsidRPr="00C23440" w:rsidP="00677FB1" w14:paraId="4AD758D9" w14:textId="77777777">
      <w:pPr>
        <w:pStyle w:val="Point2"/>
      </w:pPr>
      <w:r w:rsidRPr="00C23440">
        <w:t>(iv)</w:t>
      </w:r>
      <w:r w:rsidRPr="00C23440">
        <w:tab/>
        <w:t>ograniczone do tego, co jest bezwzględnie konieczne do osiągnięcia celów określonych w pkt (i);</w:t>
      </w:r>
    </w:p>
    <w:p w:rsidR="00677FB1" w:rsidRPr="00C23440" w:rsidP="00677FB1" w14:paraId="427857B6" w14:textId="77777777">
      <w:pPr>
        <w:pStyle w:val="Point1"/>
      </w:pPr>
      <w:r w:rsidRPr="00C23440">
        <w:t>b)</w:t>
      </w:r>
      <w:r w:rsidRPr="00C23440">
        <w:tab/>
        <w:t>technologie wykorzystywane na potrzeby celów określonych w lit. a) pkt (i) niniejszego ustępu są zgodne z aktualnym stanem techniki w branży i powodują jak najmniejszą ingerencję w prywatność, w tym w odniesieniu do zasady ochrony danych w fazie projektowania i domyślnej ochrony danych, określonej w art. 25 rozporządzenia (UE) 2016/679, oraz – w zakresie, w jakim są wykorzystywane do skanowania tekstów w komunikatach – nie pozwalają wydedukować rzeczywistej treści komunikatów, a pozwalają jedynie wykryć schematy wskazujące na możliwe niegodziwe traktowanie dzieci w celach seksualnych w internecie;</w:t>
      </w:r>
    </w:p>
    <w:p w:rsidR="00677FB1" w:rsidRPr="00C23440" w:rsidP="00677FB1" w14:paraId="1DC9B856" w14:textId="77777777">
      <w:pPr>
        <w:pStyle w:val="Point1"/>
      </w:pPr>
      <w:r w:rsidRPr="00C23440">
        <w:t>c)</w:t>
      </w:r>
      <w:r w:rsidRPr="00C23440">
        <w:tab/>
        <w:t>w odniesieniu do każdej określonej technologii wykorzystywanej na potrzeby celów określonych w lit. a) pkt (i) niniejszego ustępu przeprowadzono uprzednią ocenę skutków dla ochrony danych, o której mowa w art. 35 rozporządzenia (UE) 2016/679, oraz procedurę uprzednich konsultacji, o której mowa w art. 36 tego rozporządzenia;</w:t>
      </w:r>
    </w:p>
    <w:p w:rsidR="00677FB1" w:rsidRPr="00677FB1" w:rsidP="00677FB1" w14:paraId="5EB17F33" w14:textId="77777777">
      <w:pPr>
        <w:spacing w:after="160" w:line="259" w:lineRule="auto"/>
        <w:rPr>
          <w:lang w:val="pl-PL"/>
        </w:rPr>
      </w:pPr>
      <w:r w:rsidRPr="00677FB1">
        <w:rPr>
          <w:lang w:val="pl-PL"/>
        </w:rPr>
        <w:br w:type="page"/>
      </w:r>
    </w:p>
    <w:p w:rsidR="00677FB1" w:rsidRPr="00C23440" w:rsidP="00677FB1" w14:paraId="5A69BE10" w14:textId="77777777">
      <w:pPr>
        <w:pStyle w:val="Point1"/>
      </w:pPr>
      <w:r w:rsidRPr="00C23440">
        <w:t>d)</w:t>
      </w:r>
      <w:r w:rsidRPr="00C23440">
        <w:tab/>
        <w:t>w odniesieniu do nowej technologii, to jest technologii stosowanej na potrzeby wykrywania materiałów przedstawiających niegodziwe traktowanie dzieci w celach seksualnych w internecie, która nie była stosowana przez żadnego dostawcę w związku z usługami świadczonymi użytkownikom usług łączności interpersonalnej niewykorzystujących numerów (zwanym dalej „użytkownikami”) w Unii przed dniem … [data wejścia w życie niniejszego rozporządzenia], oraz w odniesieniu do technologii stosowanej na potrzeby identyfikacji potencjalnego nagabywania dzieci – dostawca składa właściwemu organowi sprawozdanie dotyczące środków podjętych w celu wykazania zgodności z pisemnym zaleceniem wydanym zgodnie z art. 36 ust. 2 rozporządzenia (UE) 2016/679 przez właściwy organ nadzorczy, wyznaczony zgodnie z rozdziałem VI sekcja 1 tego rozporządzenia (zwany dalej „organem nadzorczym”), w toku procedury uprzednich konsultacji;</w:t>
      </w:r>
    </w:p>
    <w:p w:rsidR="00677FB1" w:rsidRPr="00C23440" w:rsidP="00677FB1" w14:paraId="25AD534A" w14:textId="77777777">
      <w:pPr>
        <w:pStyle w:val="Point1"/>
      </w:pPr>
      <w:r w:rsidRPr="00C23440">
        <w:t>e)</w:t>
      </w:r>
      <w:r w:rsidRPr="00C23440">
        <w:tab/>
        <w:t>zastosowane technologie są wystarczająco wiarygodne, to znaczy ograniczają one w jak największym stopniu poziom błędów dotyczących wykrywania treści przedstawiających niegodziwe traktowanie dzieci w celach seksualnych w internecie, a w przypadku wystąpienia takich błędów ich skutki są niezwłocznie korygowane;</w:t>
      </w:r>
    </w:p>
    <w:p w:rsidR="00677FB1" w:rsidRPr="00C23440" w:rsidP="00677FB1" w14:paraId="056111CE" w14:textId="77777777">
      <w:pPr>
        <w:pStyle w:val="Point1"/>
      </w:pPr>
      <w:r w:rsidRPr="00C23440">
        <w:t>f)</w:t>
      </w:r>
      <w:r w:rsidRPr="00C23440">
        <w:tab/>
        <w:t>technologie stosowane do wykrywania schematów potencjalnego nagabywania dzieci ograniczają się do stosowania odpowiednich kluczowych wskaźników i obiektywnie zidentyfikowanych czynników ryzyka, takich jak różnica wieku i prawdopodobny udział dziecka w skanowanej komunikacji, bez uszczerbku dla prawa do weryfikacji przez człowieka;</w:t>
      </w:r>
    </w:p>
    <w:p w:rsidR="00677FB1" w:rsidRPr="00677FB1" w:rsidP="00677FB1" w14:paraId="77F4D018" w14:textId="77777777">
      <w:pPr>
        <w:spacing w:after="160" w:line="259" w:lineRule="auto"/>
        <w:rPr>
          <w:lang w:val="pl-PL"/>
        </w:rPr>
      </w:pPr>
      <w:r w:rsidRPr="00677FB1">
        <w:rPr>
          <w:lang w:val="pl-PL"/>
        </w:rPr>
        <w:br w:type="page"/>
      </w:r>
    </w:p>
    <w:p w:rsidR="00677FB1" w:rsidRPr="00C23440" w:rsidP="00677FB1" w14:paraId="05E014C5" w14:textId="77777777">
      <w:pPr>
        <w:pStyle w:val="Point1"/>
      </w:pPr>
      <w:r w:rsidRPr="00C23440">
        <w:t>g)</w:t>
      </w:r>
      <w:r w:rsidRPr="00C23440">
        <w:tab/>
        <w:t>dostawcy:</w:t>
      </w:r>
    </w:p>
    <w:p w:rsidR="00677FB1" w:rsidRPr="00C23440" w:rsidP="00677FB1" w14:paraId="00897A59" w14:textId="77777777">
      <w:pPr>
        <w:pStyle w:val="Point2"/>
      </w:pPr>
      <w:r w:rsidRPr="00C23440">
        <w:t>(i)</w:t>
      </w:r>
      <w:r w:rsidRPr="00C23440">
        <w:tab/>
        <w:t>ustanowili procedury wewnętrzne w celu zapobiegania nadużyciom danych osobowych i innych danych, nieuprawnionemu dostępowi do takich danych i ich nieuprawnionemu przekazywaniu;</w:t>
      </w:r>
    </w:p>
    <w:p w:rsidR="00677FB1" w:rsidRPr="00C23440" w:rsidP="00677FB1" w14:paraId="35276553" w14:textId="77777777">
      <w:pPr>
        <w:pStyle w:val="Point2"/>
      </w:pPr>
      <w:r w:rsidRPr="00C23440">
        <w:t>(ii)</w:t>
      </w:r>
      <w:r w:rsidRPr="00C23440">
        <w:tab/>
        <w:t>zapewniają nadzór ludzki oraz, w razie potrzeby, interwencję ludzką przy przetwarzaniu danych osobowych i innych danych przy użyciu technologii objętych zakresem stosowania niniejszego rozporządzenia;</w:t>
      </w:r>
    </w:p>
    <w:p w:rsidR="00677FB1" w:rsidRPr="00C23440" w:rsidP="00677FB1" w14:paraId="4366F573" w14:textId="77777777">
      <w:pPr>
        <w:pStyle w:val="Point2"/>
      </w:pPr>
      <w:r w:rsidRPr="00C23440">
        <w:t>(iii)</w:t>
      </w:r>
      <w:r w:rsidRPr="00C23440">
        <w:tab/>
        <w:t>zapewniają, aby materiały, który nie zostały wcześniej zidentyfikowane jako materiały przedstawiające niegodziwe traktowanie dzieci w celach seksualnych w internecie lub jako nagabywanie dzieci, nie były zgłaszane organom ścigania lub organizacjom działającym w interesie publicznym przeciwko niegodziwemu traktowaniu dzieci w celach seksualnych bez uprzedniego potwierdzenia takiego charakteru materiałów przez człowieka;</w:t>
      </w:r>
    </w:p>
    <w:p w:rsidR="00677FB1" w:rsidRPr="00C23440" w:rsidP="00677FB1" w14:paraId="5FE30904" w14:textId="77777777">
      <w:pPr>
        <w:pStyle w:val="Point2"/>
      </w:pPr>
      <w:r w:rsidRPr="00C23440">
        <w:t>(iv)</w:t>
      </w:r>
      <w:r w:rsidRPr="00C23440">
        <w:tab/>
        <w:t>ustanowili odpowiednie procedury i mechanizmy ochrony prawnej zapewniające użytkownikom możliwość składania do nich skarg w rozsądnym terminie w celu przedstawienia swojego stanowiska;</w:t>
      </w:r>
    </w:p>
    <w:p w:rsidR="00677FB1" w:rsidRPr="00677FB1" w:rsidP="00677FB1" w14:paraId="23DDC482" w14:textId="77777777">
      <w:pPr>
        <w:spacing w:after="160" w:line="259" w:lineRule="auto"/>
        <w:rPr>
          <w:lang w:val="pl-PL"/>
        </w:rPr>
      </w:pPr>
      <w:r w:rsidRPr="00677FB1">
        <w:rPr>
          <w:lang w:val="pl-PL"/>
        </w:rPr>
        <w:br w:type="page"/>
      </w:r>
    </w:p>
    <w:p w:rsidR="00677FB1" w:rsidRPr="00C23440" w:rsidP="00677FB1" w14:paraId="0DC871D7" w14:textId="77777777">
      <w:pPr>
        <w:pStyle w:val="Point2"/>
      </w:pPr>
      <w:r w:rsidRPr="00C23440">
        <w:t>(v)</w:t>
      </w:r>
      <w:r w:rsidRPr="00C23440">
        <w:tab/>
        <w:t>informują użytkowników w jasny, widoczny i zrozumiały sposób o fakcie, że powołali się oni, zgodnie z niniejszym rozporządzeniem, na odstępstwo od art. 5 ust. 1 i art. 6 ust. 1 dyrektywy 2002/58/WE dotyczące poufności komunikacji użytkowników, wyłącznie do osiągnięcia celów określonych w lit. a) pkt (i) niniejszego ustępu, o logice stojącej za środkami, które podjęli na mocy odstępstwa i wpływie na poufność komunikacji użytkowników, w tym możliwości udostępniania danych osobowych organom ścigania i organizacjom działającym w interesie publicznym przeciwko niegodziwemu traktowaniu dzieci w celach seksualnych;</w:t>
      </w:r>
    </w:p>
    <w:p w:rsidR="00677FB1" w:rsidRPr="00C23440" w:rsidP="00677FB1" w14:paraId="5DC40AF0" w14:textId="77777777">
      <w:pPr>
        <w:pStyle w:val="Point2"/>
      </w:pPr>
      <w:r w:rsidRPr="00C23440">
        <w:t>(vi)</w:t>
      </w:r>
      <w:r w:rsidRPr="00C23440">
        <w:tab/>
        <w:t>informują użytkowników – w przypadku usunięcia ich treści, zablokowania ich konta lub zawieszenia oferowanej im usługi – o:</w:t>
      </w:r>
    </w:p>
    <w:p w:rsidR="00677FB1" w:rsidRPr="00C23440" w:rsidP="00677FB1" w14:paraId="44E47E1E" w14:textId="77777777">
      <w:pPr>
        <w:pStyle w:val="Point3"/>
      </w:pPr>
      <w:r w:rsidRPr="00C23440">
        <w:t>1)</w:t>
      </w:r>
      <w:r w:rsidRPr="00C23440">
        <w:tab/>
        <w:t>sposobach dochodzenia wobec nich ochrony prawnej;</w:t>
      </w:r>
    </w:p>
    <w:p w:rsidR="00677FB1" w:rsidRPr="00C23440" w:rsidP="00677FB1" w14:paraId="0CC71214" w14:textId="77777777">
      <w:pPr>
        <w:pStyle w:val="Point3"/>
      </w:pPr>
      <w:r w:rsidRPr="00C23440">
        <w:t>2)</w:t>
      </w:r>
      <w:r w:rsidRPr="00C23440">
        <w:tab/>
        <w:t>możliwości złożenia skargi do organu nadzorczego; oraz</w:t>
      </w:r>
    </w:p>
    <w:p w:rsidR="00677FB1" w:rsidRPr="00C23440" w:rsidP="00677FB1" w14:paraId="4C0D4030" w14:textId="77777777">
      <w:pPr>
        <w:pStyle w:val="Point3"/>
      </w:pPr>
      <w:r w:rsidRPr="00C23440">
        <w:t>3)</w:t>
      </w:r>
      <w:r w:rsidRPr="00C23440">
        <w:tab/>
        <w:t>prawie do ochrony prawnej przed sądem;</w:t>
      </w:r>
    </w:p>
    <w:p w:rsidR="00677FB1" w:rsidRPr="00C23440" w:rsidP="00677FB1" w14:paraId="336450BF" w14:textId="77777777">
      <w:pPr>
        <w:pStyle w:val="Point2"/>
      </w:pPr>
      <w:r w:rsidRPr="00C23440">
        <w:t>(vii)</w:t>
      </w:r>
      <w:r w:rsidRPr="00C23440">
        <w:tab/>
        <w:t>do dnia … [sześć miesięcy po dacie wejścia w życie niniejszego rozporządzenia], oraz następnie do dnia 31 stycznia każdego roku, publikują i przedkładają właściwemu organowi nadzorczemu oraz Komisji sprawozdanie dotyczące przetwarzania danych osobowych na podstawie niniejszego rozporządzenia, w tym:</w:t>
      </w:r>
    </w:p>
    <w:p w:rsidR="00677FB1" w:rsidRPr="00C23440" w:rsidP="00677FB1" w14:paraId="2A7A8B07" w14:textId="77777777">
      <w:pPr>
        <w:pStyle w:val="Point3"/>
      </w:pPr>
      <w:r w:rsidRPr="00C23440">
        <w:t>1)</w:t>
      </w:r>
      <w:r w:rsidRPr="00C23440">
        <w:tab/>
        <w:t>rodzaju i ilości przetwarzanych danych;</w:t>
      </w:r>
    </w:p>
    <w:p w:rsidR="00677FB1" w:rsidRPr="00677FB1" w:rsidP="00677FB1" w14:paraId="3A3444A4" w14:textId="77777777">
      <w:pPr>
        <w:spacing w:after="160" w:line="259" w:lineRule="auto"/>
        <w:rPr>
          <w:lang w:val="pl-PL"/>
        </w:rPr>
      </w:pPr>
      <w:r w:rsidRPr="00677FB1">
        <w:rPr>
          <w:lang w:val="pl-PL"/>
        </w:rPr>
        <w:br w:type="page"/>
      </w:r>
    </w:p>
    <w:p w:rsidR="00677FB1" w:rsidRPr="00C23440" w:rsidP="00677FB1" w14:paraId="023A0ACB" w14:textId="77777777">
      <w:pPr>
        <w:pStyle w:val="Point3"/>
      </w:pPr>
      <w:r w:rsidRPr="00C23440">
        <w:t>2)</w:t>
      </w:r>
      <w:r w:rsidRPr="00C23440">
        <w:tab/>
        <w:t>konkretnej podstawy przetwarzania zgodnie z rozporządzeniem (UE) 2016/679;</w:t>
      </w:r>
    </w:p>
    <w:p w:rsidR="00677FB1" w:rsidRPr="00C23440" w:rsidP="00677FB1" w14:paraId="07BCBE9A" w14:textId="77777777">
      <w:pPr>
        <w:pStyle w:val="Point3"/>
      </w:pPr>
      <w:r w:rsidRPr="00C23440">
        <w:t>3)</w:t>
      </w:r>
      <w:r w:rsidRPr="00C23440">
        <w:tab/>
        <w:t>podstawy przekazywania, w stosownych przypadkach, danych osobowych poza Unię zgodnie z rozdziałem V rozporządzenia (UE) 2016/679;</w:t>
      </w:r>
    </w:p>
    <w:p w:rsidR="00677FB1" w:rsidRPr="00C23440" w:rsidP="00677FB1" w14:paraId="6EE8DDE8" w14:textId="77777777">
      <w:pPr>
        <w:pStyle w:val="Point3"/>
      </w:pPr>
      <w:r w:rsidRPr="00C23440">
        <w:t>4)</w:t>
      </w:r>
      <w:r w:rsidRPr="00C23440">
        <w:tab/>
        <w:t>liczby zidentyfikowanych przypadków niegodziwego traktowania dzieci w celach seksualnych w internecie, z rozróżnieniem między materiałami przedstawiającymi niegodziwe traktowanie dzieci w celach seksualnych w internecie a nagabywaniem dzieci;</w:t>
      </w:r>
    </w:p>
    <w:p w:rsidR="00677FB1" w:rsidRPr="00C23440" w:rsidP="00677FB1" w14:paraId="7695F472" w14:textId="77777777">
      <w:pPr>
        <w:pStyle w:val="Point3"/>
      </w:pPr>
      <w:r w:rsidRPr="00C23440">
        <w:t>5)</w:t>
      </w:r>
      <w:r w:rsidRPr="00C23440">
        <w:tab/>
        <w:t>liczby spraw, w których użytkownicy złożyli skargę w ramach wewnętrznego mechanizmu ochrony prawnej lub do organu sądowego oraz sposobu załatwienia takich skarg;</w:t>
      </w:r>
    </w:p>
    <w:p w:rsidR="00677FB1" w:rsidRPr="00C23440" w:rsidP="00677FB1" w14:paraId="71CFAEF9" w14:textId="77777777">
      <w:pPr>
        <w:pStyle w:val="Point3"/>
      </w:pPr>
      <w:r w:rsidRPr="00C23440">
        <w:t>6)</w:t>
      </w:r>
      <w:r w:rsidRPr="00C23440">
        <w:tab/>
        <w:t>liczby i współczynników błędów (wyniki fałszywie dodatnie) dotyczących poszczególnych zastosowanych technologii;</w:t>
      </w:r>
    </w:p>
    <w:p w:rsidR="00677FB1" w:rsidRPr="00C23440" w:rsidP="00677FB1" w14:paraId="47788682" w14:textId="77777777">
      <w:pPr>
        <w:pStyle w:val="Point3"/>
      </w:pPr>
      <w:r w:rsidRPr="00C23440">
        <w:t>7)</w:t>
      </w:r>
      <w:r w:rsidRPr="00C23440">
        <w:tab/>
        <w:t>środków zastosowanych w celu ograniczenia poziomu błędu i osiągniętego poziomu błędu;</w:t>
      </w:r>
    </w:p>
    <w:p w:rsidR="00677FB1" w:rsidRPr="00C23440" w:rsidP="00677FB1" w14:paraId="75CD1366" w14:textId="77777777">
      <w:pPr>
        <w:pStyle w:val="Point3"/>
      </w:pPr>
      <w:r w:rsidRPr="00C23440">
        <w:t>8)</w:t>
      </w:r>
      <w:r w:rsidRPr="00C23440">
        <w:tab/>
        <w:t>polityki zatrzymywania danych oraz zastosowanych zabezpieczeń w zakresie ochrony danych zgodnie z rozporządzeniem (UE) 2016/679;</w:t>
      </w:r>
    </w:p>
    <w:p w:rsidR="00677FB1" w:rsidRPr="00C23440" w:rsidP="00677FB1" w14:paraId="576E18A7" w14:textId="77777777">
      <w:pPr>
        <w:pStyle w:val="Point3"/>
      </w:pPr>
      <w:r w:rsidRPr="00C23440">
        <w:t>9)</w:t>
      </w:r>
      <w:r w:rsidRPr="00C23440">
        <w:tab/>
        <w:t>nazw organizacji działających w interesie publicznym przeciwko niegodziwemu traktowaniu dzieci w celach seksualnych, którym udostępniono dane na mocy niniejszego rozporządzenia;</w:t>
      </w:r>
    </w:p>
    <w:p w:rsidR="00677FB1" w:rsidRPr="00677FB1" w:rsidP="00677FB1" w14:paraId="35B4AE63" w14:textId="77777777">
      <w:pPr>
        <w:rPr>
          <w:lang w:val="pl-PL"/>
        </w:rPr>
      </w:pPr>
      <w:r w:rsidRPr="00677FB1">
        <w:rPr>
          <w:lang w:val="pl-PL"/>
        </w:rPr>
        <w:br w:type="page"/>
      </w:r>
    </w:p>
    <w:p w:rsidR="00677FB1" w:rsidRPr="00C23440" w:rsidP="00677FB1" w14:paraId="6F92DF22" w14:textId="77777777">
      <w:pPr>
        <w:pStyle w:val="Point1"/>
      </w:pPr>
      <w:r w:rsidRPr="00C23440">
        <w:t>h)</w:t>
      </w:r>
      <w:r w:rsidRPr="00C23440">
        <w:tab/>
        <w:t>w przypadku gdy zidentyfikowano podejrzenie niegodziwego traktowania dzieci w celach seksualnych w internecie, dane dotyczące treści oraz powiązane dane o ruchu przetwarzane na potrzeby celów określonych w lit. a) pkt (i), oraz wygenerowane w wyniku takiego przetwarzania dane osobowe są przechowywane w bezpieczny sposób, wyłącznie do celów:</w:t>
      </w:r>
    </w:p>
    <w:p w:rsidR="00677FB1" w:rsidRPr="00C23440" w:rsidP="00677FB1" w14:paraId="70870D04" w14:textId="77777777">
      <w:pPr>
        <w:pStyle w:val="Point2"/>
      </w:pPr>
      <w:r w:rsidRPr="00C23440">
        <w:t>(i)</w:t>
      </w:r>
      <w:r w:rsidRPr="00C23440">
        <w:tab/>
        <w:t>bezzwłocznego zgłoszenia podejrzenia niegodziwego traktowania dzieci w celach seksualnych w internecie właściwym organom ścigania i organom sądowym lub organizacjom działającym w interesie publicznym przeciwko niegodziwemu traktowaniu dzieci w celach seksualnych;</w:t>
      </w:r>
    </w:p>
    <w:p w:rsidR="00677FB1" w:rsidRPr="00C23440" w:rsidP="00677FB1" w14:paraId="080B416D" w14:textId="77777777">
      <w:pPr>
        <w:pStyle w:val="Point2"/>
      </w:pPr>
      <w:r w:rsidRPr="00C23440">
        <w:t>(ii)</w:t>
      </w:r>
      <w:r w:rsidRPr="00C23440">
        <w:tab/>
        <w:t>zablokowania konta, zawieszenia lub zakończenia świadczenia usług danemu użytkownikowi;</w:t>
      </w:r>
    </w:p>
    <w:p w:rsidR="00677FB1" w:rsidRPr="00C23440" w:rsidP="00677FB1" w14:paraId="32D9A686" w14:textId="77777777">
      <w:pPr>
        <w:pStyle w:val="Point2"/>
      </w:pPr>
      <w:r w:rsidRPr="00C23440">
        <w:t>(iii)</w:t>
      </w:r>
      <w:r w:rsidRPr="00C23440">
        <w:tab/>
        <w:t>stworzenia niepowtarzalnego, nieprzekształcalnego podpisu cyfrowego (zwanego dalej „skrótem”) dla danych wiarygodnie zidentyfikowanych jako materiały przedstawiające niegodziwe traktowanie dzieci w celach seksualnych w internecie;</w:t>
      </w:r>
    </w:p>
    <w:p w:rsidR="00677FB1" w:rsidRPr="00C23440" w:rsidP="00677FB1" w14:paraId="62D637CC" w14:textId="77777777">
      <w:pPr>
        <w:pStyle w:val="Point2"/>
      </w:pPr>
      <w:r w:rsidRPr="00C23440">
        <w:t>(iv)</w:t>
      </w:r>
      <w:r w:rsidRPr="00C23440">
        <w:tab/>
        <w:t>umożliwienia danemu użytkownikowi dochodzenia wobec dostawcy ochrony prawnej lub skorzystania z administracyjnych lub sądowych środków ochrony prawnej w sprawach związanych z podejrzeniem o niegodziwe traktowanie dzieci w celach seksualnych w internecie; lub</w:t>
      </w:r>
    </w:p>
    <w:p w:rsidR="00677FB1" w:rsidRPr="00C23440" w:rsidP="00677FB1" w14:paraId="4F277423" w14:textId="77777777">
      <w:pPr>
        <w:pStyle w:val="Point2"/>
      </w:pPr>
      <w:r w:rsidRPr="00C23440">
        <w:t>(v)</w:t>
      </w:r>
      <w:r w:rsidRPr="00C23440">
        <w:tab/>
        <w:t>udzielenia odpowiedzi na wnioski skierowane przez właściwe organy ścigania i organy sądowe zgodnie z obowiązującym prawem w celu dostarczenia im danych niezbędnych do zapobiegania przestępstwom określonym w dyrektywie 2011/93/UE, wykrywania ich, prowadzenia w ich sprawach postępowań przygotowawczych lub ścigania ich;</w:t>
      </w:r>
    </w:p>
    <w:p w:rsidR="00677FB1" w:rsidRPr="00677FB1" w:rsidP="00677FB1" w14:paraId="379F3330" w14:textId="77777777">
      <w:pPr>
        <w:rPr>
          <w:lang w:val="pl-PL"/>
        </w:rPr>
      </w:pPr>
      <w:r w:rsidRPr="00677FB1">
        <w:rPr>
          <w:lang w:val="pl-PL"/>
        </w:rPr>
        <w:br w:type="page"/>
      </w:r>
    </w:p>
    <w:p w:rsidR="00677FB1" w:rsidRPr="00C23440" w:rsidP="00677FB1" w14:paraId="717B956C" w14:textId="77777777">
      <w:pPr>
        <w:pStyle w:val="Point1"/>
      </w:pPr>
      <w:r w:rsidRPr="00C23440">
        <w:t>i)</w:t>
      </w:r>
      <w:r w:rsidRPr="00C23440">
        <w:tab/>
        <w:t>dane te są przechowywane nie dłużej, niż jest to bezwzględnie konieczne do odpowiednich celów określonych w lit. h), a w żadnym wypadku nie dłużej niż 12 miesięcy od dnia identyfikacji podejrzenia niegodziwego traktowania dzieci w celach seksualnych w internecie;</w:t>
      </w:r>
    </w:p>
    <w:p w:rsidR="00677FB1" w:rsidRPr="00C23440" w:rsidP="00677FB1" w14:paraId="2D203A09" w14:textId="77777777">
      <w:pPr>
        <w:pStyle w:val="Point1"/>
      </w:pPr>
      <w:r w:rsidRPr="00C23440">
        <w:t>j)</w:t>
      </w:r>
      <w:r w:rsidRPr="00C23440">
        <w:tab/>
        <w:t>każdy przypadek uzasadnionego i zweryfikowanego podejrzenia niegodziwego traktowania dzieci w celach seksualnych w internecie jest niezwłocznie zgłaszany właściwym krajowym organom ścigania lub organizacjom działającym w interesie publicznym przeciwko niegodziwemu traktowaniu dzieci w celach seksualnych.</w:t>
      </w:r>
    </w:p>
    <w:p w:rsidR="00677FB1" w:rsidRPr="00C23440" w:rsidP="00677FB1" w14:paraId="485F3107" w14:textId="77777777">
      <w:pPr>
        <w:pStyle w:val="ManualNumPar1"/>
      </w:pPr>
      <w:r w:rsidRPr="00C23440">
        <w:t>2.</w:t>
      </w:r>
      <w:r w:rsidRPr="00C23440">
        <w:tab/>
        <w:t>Do dnia … [osiem miesięcy po dacie wejścia w życie niniejszego rozporządzenia] warunku określonego w ust. 1 lit. c) nie stosuje się do dostawców, którzy:</w:t>
      </w:r>
    </w:p>
    <w:p w:rsidR="00677FB1" w:rsidRPr="00C23440" w:rsidP="00677FB1" w14:paraId="06E8B782" w14:textId="77777777">
      <w:pPr>
        <w:pStyle w:val="Point1"/>
      </w:pPr>
      <w:r w:rsidRPr="00C23440">
        <w:t>a)</w:t>
      </w:r>
      <w:r w:rsidRPr="00C23440">
        <w:tab/>
        <w:t>korzystali z określonej technologii przed dniem … [data wejścia w życie niniejszego rozporządzenia] na potrzeby celów określonych w ust. 1 lit. a) pkt (i), bez zakończenia procedury uprzednich konsultacji w odniesieniu do tej technologii;</w:t>
      </w:r>
    </w:p>
    <w:p w:rsidR="00677FB1" w:rsidRPr="00C23440" w:rsidP="00677FB1" w14:paraId="28D4A12A" w14:textId="77777777">
      <w:pPr>
        <w:pStyle w:val="Point1"/>
      </w:pPr>
      <w:r w:rsidRPr="00C23440">
        <w:t>b)</w:t>
      </w:r>
      <w:r w:rsidRPr="00C23440">
        <w:tab/>
        <w:t>rozpoczynają taką procedurę uprzednich konsultacji przed dniem … [jeden miesiąc po dacie wejścia w życie niniejszego rozporządzenia]; oraz</w:t>
      </w:r>
    </w:p>
    <w:p w:rsidR="00677FB1" w:rsidRPr="00C23440" w:rsidP="00677FB1" w14:paraId="00377ECF" w14:textId="77777777">
      <w:pPr>
        <w:pStyle w:val="Point1"/>
      </w:pPr>
      <w:r w:rsidRPr="00C23440">
        <w:t>c)</w:t>
      </w:r>
      <w:r w:rsidRPr="00C23440">
        <w:tab/>
        <w:t>należycie współpracują z właściwym organem nadzorczym w związku z procedurą uprzednich konsultacji, o której mowa w lit. b).</w:t>
      </w:r>
    </w:p>
    <w:p w:rsidR="00677FB1" w:rsidRPr="00677FB1" w:rsidP="00677FB1" w14:paraId="6C0887AA" w14:textId="77777777">
      <w:pPr>
        <w:spacing w:after="160" w:line="259" w:lineRule="auto"/>
        <w:rPr>
          <w:lang w:val="pl-PL"/>
        </w:rPr>
      </w:pPr>
      <w:r w:rsidRPr="00677FB1">
        <w:rPr>
          <w:lang w:val="pl-PL"/>
        </w:rPr>
        <w:br w:type="page"/>
      </w:r>
    </w:p>
    <w:p w:rsidR="00677FB1" w:rsidRPr="00C23440" w:rsidP="00677FB1" w14:paraId="1E497501" w14:textId="77777777">
      <w:pPr>
        <w:pStyle w:val="ManualNumPar1"/>
      </w:pPr>
      <w:r w:rsidRPr="00C23440">
        <w:t>3.</w:t>
      </w:r>
      <w:r w:rsidRPr="00C23440">
        <w:tab/>
        <w:t>Do dnia … [osiem miesięcy po dacie wejścia w życie niniejszego rozporządzenia] warunku określonego w ust. 1 lit. d) nie stosuje się do dostawców, którzy:</w:t>
      </w:r>
    </w:p>
    <w:p w:rsidR="00677FB1" w:rsidRPr="00C23440" w:rsidP="00677FB1" w14:paraId="031A6CFA" w14:textId="77777777">
      <w:pPr>
        <w:pStyle w:val="Point1"/>
      </w:pPr>
      <w:r w:rsidRPr="00C23440">
        <w:t>a)</w:t>
      </w:r>
      <w:r w:rsidRPr="00C23440">
        <w:tab/>
        <w:t>korzystali z technologii, o której mowa w ust. 1 lit. d), przed dniem … [data wejścia w życie niniejszego rozporządzenia] bez zakończenia procedury uprzednich konsultacji w odniesieniu do tej technologii;</w:t>
      </w:r>
    </w:p>
    <w:p w:rsidR="00677FB1" w:rsidRPr="00C23440" w:rsidP="00677FB1" w14:paraId="27D35C7B" w14:textId="77777777">
      <w:pPr>
        <w:pStyle w:val="Point1"/>
      </w:pPr>
      <w:r w:rsidRPr="00C23440">
        <w:t>b)</w:t>
      </w:r>
      <w:r w:rsidRPr="00C23440">
        <w:tab/>
        <w:t>rozpoczynają procedurę, o której mowa w ust. 1 lit. d), przed dniem … [jeden miesiąc po dacie wejścia w życie niniejszego rozporządzenia]; oraz</w:t>
      </w:r>
    </w:p>
    <w:p w:rsidR="00677FB1" w:rsidRPr="00C23440" w:rsidP="00677FB1" w14:paraId="728FB439" w14:textId="77777777">
      <w:pPr>
        <w:pStyle w:val="Point1"/>
      </w:pPr>
      <w:r w:rsidRPr="00C23440">
        <w:t>c)</w:t>
      </w:r>
      <w:r w:rsidRPr="00C23440">
        <w:tab/>
        <w:t>należycie współpracują z właściwym organem nadzorczym w związku z procedurą, o której mowa w ust. 1 lit. d).</w:t>
      </w:r>
    </w:p>
    <w:p w:rsidR="00677FB1" w:rsidRPr="00C23440" w:rsidP="00677FB1" w14:paraId="0E01E1E0" w14:textId="77777777">
      <w:pPr>
        <w:pStyle w:val="Text1"/>
      </w:pPr>
      <w:r w:rsidRPr="00C23440">
        <w:t>Dane znajdujące się w sprawozdaniu, o których mowa w ust. 1 lit. g) pkt (vii), przekazuje się na piśmie za pomocą standardowego formularza. Do dnia… [trzy miesiące po dacie wejścia w życie niniejszego rozporządzenia] Komisja określa treść i prezentację tego formularza w drodze aktów wykonawczych. Czyniąc to, Komisja może podzielić kategorie danych wymienionych w ust. 1 lit. g) pkt (vii) na podkategorie.</w:t>
      </w:r>
    </w:p>
    <w:p w:rsidR="00677FB1" w:rsidRPr="00C23440" w:rsidP="00677FB1" w14:paraId="794308E4" w14:textId="77777777">
      <w:pPr>
        <w:pStyle w:val="Text1"/>
      </w:pPr>
      <w:r w:rsidRPr="00C23440">
        <w:t>Te akty wykonawcze przyjmuje się zgodnie z procedurą doradczą, o której mowa w art. 10 ust. 2.</w:t>
      </w:r>
    </w:p>
    <w:p w:rsidR="00677FB1" w:rsidRPr="00677FB1" w:rsidP="00677FB1" w14:paraId="1BB90DB7" w14:textId="77777777">
      <w:pPr>
        <w:spacing w:after="160" w:line="259" w:lineRule="auto"/>
        <w:rPr>
          <w:i/>
          <w:iCs/>
          <w:lang w:val="pl-PL"/>
        </w:rPr>
      </w:pPr>
      <w:r w:rsidRPr="00677FB1">
        <w:rPr>
          <w:lang w:val="pl-PL"/>
        </w:rPr>
        <w:br w:type="page"/>
      </w:r>
    </w:p>
    <w:p w:rsidR="00677FB1" w:rsidRPr="00C23440" w:rsidP="00677FB1" w14:paraId="254FD4C3" w14:textId="77777777">
      <w:pPr>
        <w:pStyle w:val="Titrearticle"/>
        <w:rPr>
          <w:iCs/>
        </w:rPr>
      </w:pPr>
      <w:r w:rsidRPr="00C23440">
        <w:t>Artykuł 4</w:t>
      </w:r>
      <w:r w:rsidRPr="00C23440">
        <w:br/>
        <w:t>Wytyczne Europejskiej Rady Ochrony Danych</w:t>
      </w:r>
    </w:p>
    <w:p w:rsidR="00677FB1" w:rsidRPr="00677FB1" w:rsidP="00677FB1" w14:paraId="02A207EC" w14:textId="77777777">
      <w:pPr>
        <w:rPr>
          <w:lang w:val="pl-PL"/>
        </w:rPr>
      </w:pPr>
      <w:r w:rsidRPr="00677FB1">
        <w:rPr>
          <w:lang w:val="pl-PL"/>
        </w:rPr>
        <w:t>Do dnia … [jeden miesiąc po dacie wejścia w życie niniejszego rozporządzenia] i zgodnie z art. 70 rozporządzenia (UE) 2016/679 Komisja zwraca się do Europejskiej Rady Ochrony Danych o opublikowanie wytycznych zapewniających właściwym organom nadzorczym wsparcie przy ocenie, czy przetwarzanie objęte zakresem stosowania niniejszego rozporządzenia – w odniesieniu do istniejących i nowych technologii wykorzystywanych na potrzeby celów określonych w art. 3 ust. 1 lit. a) pkt (i) niniejszego rozporządzenia – jest zgodne z rozporządzeniem (UE) 2016/679.</w:t>
      </w:r>
    </w:p>
    <w:p w:rsidR="00677FB1" w:rsidRPr="00C23440" w:rsidP="00677FB1" w14:paraId="1D169C5D" w14:textId="77777777">
      <w:pPr>
        <w:pStyle w:val="Titrearticle"/>
        <w:rPr>
          <w:iCs/>
        </w:rPr>
      </w:pPr>
      <w:r w:rsidRPr="00C23440">
        <w:t>Artykuł 5</w:t>
      </w:r>
      <w:r w:rsidRPr="00C23440">
        <w:br/>
        <w:t>Skuteczne środki ochrony prawnej przed sądem</w:t>
      </w:r>
    </w:p>
    <w:p w:rsidR="00677FB1" w:rsidRPr="00677FB1" w:rsidP="00677FB1" w14:paraId="07795509" w14:textId="77777777">
      <w:pPr>
        <w:rPr>
          <w:lang w:val="pl-PL"/>
        </w:rPr>
      </w:pPr>
      <w:r w:rsidRPr="00677FB1">
        <w:rPr>
          <w:lang w:val="pl-PL"/>
        </w:rPr>
        <w:t>Zgodnie z art. 79 rozporządzenia (UE) 2016/679 oraz art. 15 ust. 2 dyrektywy 2002/58/WE użytkownicy mają prawo do skutecznego środka ochrony prawnej przed sądem, jeżeli uznają, że ich prawa zostały naruszone w wyniku przetwarzania danych osobowych i innych danych na potrzeby celów określonych w art. 3 ust. 1 lit. a) pkt (i) niniejszego rozporządzenia.</w:t>
      </w:r>
    </w:p>
    <w:p w:rsidR="00677FB1" w:rsidRPr="00677FB1" w:rsidP="00677FB1" w14:paraId="54BFFC0E" w14:textId="77777777">
      <w:pPr>
        <w:spacing w:after="160" w:line="259" w:lineRule="auto"/>
        <w:rPr>
          <w:i/>
          <w:iCs/>
          <w:lang w:val="pl-PL"/>
        </w:rPr>
      </w:pPr>
      <w:r w:rsidRPr="00677FB1">
        <w:rPr>
          <w:lang w:val="pl-PL"/>
        </w:rPr>
        <w:br w:type="page"/>
      </w:r>
    </w:p>
    <w:p w:rsidR="00677FB1" w:rsidRPr="00C23440" w:rsidP="00677FB1" w14:paraId="6435915B" w14:textId="77777777">
      <w:pPr>
        <w:pStyle w:val="Titrearticle"/>
        <w:rPr>
          <w:iCs/>
        </w:rPr>
      </w:pPr>
      <w:r w:rsidRPr="00C23440">
        <w:t>Artykuł 6</w:t>
      </w:r>
      <w:r w:rsidRPr="00C23440">
        <w:br/>
        <w:t>Organy nadzorcze</w:t>
      </w:r>
    </w:p>
    <w:p w:rsidR="00677FB1" w:rsidRPr="00677FB1" w:rsidP="00677FB1" w14:paraId="76163BF4" w14:textId="77777777">
      <w:pPr>
        <w:rPr>
          <w:lang w:val="pl-PL"/>
        </w:rPr>
      </w:pPr>
      <w:r w:rsidRPr="00677FB1">
        <w:rPr>
          <w:lang w:val="pl-PL"/>
        </w:rPr>
        <w:t>Organy nadzorcze wyznaczone na podstawie rozdziału VI sekcja 1 rozporządzenia (UE) 2016/679 monitorują przetwarzanie objęte zakresem stosowania niniejszego rozporządzenia zgodnie ze swoimi kompetencjami i uprawnieniami wynikającymi z tego rozdziału.</w:t>
      </w:r>
    </w:p>
    <w:p w:rsidR="00677FB1" w:rsidRPr="00C23440" w:rsidP="00677FB1" w14:paraId="4E06EF0F" w14:textId="77777777">
      <w:pPr>
        <w:pStyle w:val="Titrearticle"/>
        <w:rPr>
          <w:iCs/>
        </w:rPr>
      </w:pPr>
      <w:r w:rsidRPr="00C23440">
        <w:t>Artykuł 7</w:t>
      </w:r>
      <w:r w:rsidRPr="00C23440">
        <w:br/>
        <w:t xml:space="preserve">Publiczny wykaz organizacji działających w interesie publicznym </w:t>
      </w:r>
      <w:r w:rsidRPr="00C23440">
        <w:br/>
        <w:t>przeciwko niegodziwemu traktowaniu dzieci w celach seksualnych</w:t>
      </w:r>
    </w:p>
    <w:p w:rsidR="00677FB1" w:rsidRPr="00C23440" w:rsidP="00677FB1" w14:paraId="7B0DF02E" w14:textId="77777777">
      <w:pPr>
        <w:pStyle w:val="ManualNumPar1"/>
      </w:pPr>
      <w:r w:rsidRPr="00C23440">
        <w:t>1.</w:t>
      </w:r>
      <w:r w:rsidRPr="00C23440">
        <w:tab/>
        <w:t>Do dnia … [jeden miesiąc po dacie wejścia w życie niniejszego rozporządzenia] dostawcy przekazują Komisji wykaz nazw organizacji działających w interesie publicznym przeciwko niegodziwemu traktowaniu dzieci w celach seksualnych, którym zgłaszają, na mocy niniejszego rozporządzenia, przypadki niegodziwego traktowania dzieci w celach seksualnych w internecie. Dostawcy regularnie powiadamiają Komisję o wszelkich zmianach w tym zakresie.</w:t>
      </w:r>
    </w:p>
    <w:p w:rsidR="00677FB1" w:rsidRPr="00C23440" w:rsidP="00677FB1" w14:paraId="60C41DD4" w14:textId="77777777">
      <w:pPr>
        <w:pStyle w:val="ManualNumPar1"/>
      </w:pPr>
      <w:r w:rsidRPr="00C23440">
        <w:t>2.</w:t>
      </w:r>
      <w:r w:rsidRPr="00C23440">
        <w:tab/>
        <w:t>Do dnia … [dwa miesiące po dacie wejścia w życie niniejszego rozporządzenia] Komisja podaje do publicznej wiadomości wykaz nazw organizacji działających w interesie publicznym przeciwko niegodziwemu traktowaniu dzieci w celach seksualnych, które zostały jej przekazane na mocy ust. 1. Komisja aktualizuje ten publiczny wykaz.</w:t>
      </w:r>
    </w:p>
    <w:p w:rsidR="00677FB1" w:rsidRPr="00677FB1" w:rsidP="00677FB1" w14:paraId="5EB93770" w14:textId="77777777">
      <w:pPr>
        <w:rPr>
          <w:i/>
          <w:iCs/>
          <w:lang w:val="pl-PL"/>
        </w:rPr>
      </w:pPr>
      <w:r w:rsidRPr="00677FB1">
        <w:rPr>
          <w:i/>
          <w:iCs/>
          <w:lang w:val="pl-PL"/>
        </w:rPr>
        <w:br w:type="page"/>
      </w:r>
    </w:p>
    <w:p w:rsidR="00677FB1" w:rsidRPr="00C23440" w:rsidP="00677FB1" w14:paraId="0290B356" w14:textId="77777777">
      <w:pPr>
        <w:pStyle w:val="Titrearticle"/>
        <w:rPr>
          <w:iCs/>
        </w:rPr>
      </w:pPr>
      <w:r w:rsidRPr="00C23440">
        <w:t>Artykuł 8</w:t>
      </w:r>
      <w:r w:rsidRPr="00C23440">
        <w:br/>
        <w:t>Dane statystyczne</w:t>
      </w:r>
    </w:p>
    <w:p w:rsidR="00677FB1" w:rsidRPr="00C23440" w:rsidP="00677FB1" w14:paraId="043C9016" w14:textId="77777777">
      <w:pPr>
        <w:pStyle w:val="ManualNumPar1"/>
      </w:pPr>
      <w:r w:rsidRPr="00C23440">
        <w:t>1.</w:t>
      </w:r>
      <w:r w:rsidRPr="00C23440">
        <w:tab/>
        <w:t>Do dnia … [jeden rok po dacie wejścia w życie niniejszego rozporządzenia], a następnie co roku, państwa członkowskie podają do wiadomości publicznej i przedkładają Komisji sprawozdania zawierające dane statystyczne dotyczące:</w:t>
      </w:r>
    </w:p>
    <w:p w:rsidR="00677FB1" w:rsidRPr="00C23440" w:rsidP="00677FB1" w14:paraId="2270450F" w14:textId="77777777">
      <w:pPr>
        <w:pStyle w:val="Point1"/>
      </w:pPr>
      <w:r w:rsidRPr="00C23440">
        <w:t>a)</w:t>
      </w:r>
      <w:r w:rsidRPr="00C23440">
        <w:tab/>
        <w:t>łącznej liczby zgłoszeń wykrytych przypadków niegodziwego traktowania dzieci w celach seksualnych w internecie, które zostały przekazane przez dostawców i organizacje działające w interesie publicznym przeciwko niegodziwemu traktowaniu dzieci w celach seksualnych właściwym krajowym organom ścigania z rozróżnieniem, jeżeli takie informacje są dostępne, na bezwzględną liczbę przypadków i przypadki zgłoszone kilkakrotnie oraz rodzaju dostawcy, w którego usługach wykryto przypadki niegodziwego traktowania dzieci w celach seksualnych w internecie;</w:t>
      </w:r>
    </w:p>
    <w:p w:rsidR="00677FB1" w:rsidRPr="00C23440" w:rsidP="00677FB1" w14:paraId="4816093C" w14:textId="77777777">
      <w:pPr>
        <w:pStyle w:val="Point1"/>
      </w:pPr>
      <w:r w:rsidRPr="00C23440">
        <w:t>b)</w:t>
      </w:r>
      <w:r w:rsidRPr="00C23440">
        <w:tab/>
        <w:t>liczby dzieci zidentyfikowanych w drodze działań na podstawie art. 3, z rozróżnieniem na płeć;</w:t>
      </w:r>
    </w:p>
    <w:p w:rsidR="00677FB1" w:rsidRPr="00C23440" w:rsidP="00677FB1" w14:paraId="106D279E" w14:textId="77777777">
      <w:pPr>
        <w:pStyle w:val="Point1"/>
      </w:pPr>
      <w:r w:rsidRPr="00C23440">
        <w:t>c)</w:t>
      </w:r>
      <w:r w:rsidRPr="00C23440">
        <w:tab/>
        <w:t>liczby skazanych sprawców.</w:t>
      </w:r>
    </w:p>
    <w:p w:rsidR="00677FB1" w:rsidRPr="00C23440" w:rsidP="00677FB1" w14:paraId="469587E7" w14:textId="77777777">
      <w:pPr>
        <w:pStyle w:val="ManualNumPar1"/>
      </w:pPr>
      <w:r w:rsidRPr="00C23440">
        <w:t>2.</w:t>
      </w:r>
      <w:r w:rsidRPr="00C23440">
        <w:tab/>
        <w:t>Komisja gromadzi dane statystyczne, o których mowa w ust. 1 niniejszego artykułu, i uwzględnia je podczas przygotowywania sprawozdania z wdrażania zgodnie z art. 9.</w:t>
      </w:r>
    </w:p>
    <w:p w:rsidR="00677FB1" w:rsidRPr="00677FB1" w:rsidP="00677FB1" w14:paraId="718B88E6" w14:textId="77777777">
      <w:pPr>
        <w:rPr>
          <w:i/>
          <w:iCs/>
          <w:lang w:val="pl-PL"/>
        </w:rPr>
      </w:pPr>
      <w:r w:rsidRPr="00677FB1">
        <w:rPr>
          <w:i/>
          <w:iCs/>
          <w:lang w:val="pl-PL"/>
        </w:rPr>
        <w:br w:type="page"/>
      </w:r>
    </w:p>
    <w:p w:rsidR="00677FB1" w:rsidRPr="00C23440" w:rsidP="00677FB1" w14:paraId="110FD38C" w14:textId="77777777">
      <w:pPr>
        <w:pStyle w:val="Titrearticle"/>
        <w:rPr>
          <w:iCs/>
        </w:rPr>
      </w:pPr>
      <w:r w:rsidRPr="00C23440">
        <w:t>Artykuł 9</w:t>
      </w:r>
      <w:r w:rsidRPr="00C23440">
        <w:br/>
        <w:t>Sprawozdanie z wdrażania</w:t>
      </w:r>
    </w:p>
    <w:p w:rsidR="00677FB1" w:rsidRPr="00C23440" w:rsidP="00677FB1" w14:paraId="27335C3B" w14:textId="77777777">
      <w:pPr>
        <w:pStyle w:val="ManualNumPar1"/>
      </w:pPr>
      <w:r w:rsidRPr="00C23440">
        <w:t>1.</w:t>
      </w:r>
      <w:r w:rsidRPr="00C23440">
        <w:tab/>
        <w:t>Na podstawie sprawozdań przedkładanych zgodnie z art. 3 ust. 1 lit. g) pkt (vii) i danych statystycznych przekazywanych zgodnie z art. 8, do dnia … [18 miesięcy po dacie wejścia w życie niniejszego rozporządzenia] Komisja przygotowuje sprawozdanie z wykonania niniejszego rozporządzenia oraz przedkłada i przedstawia je Parlamentowi Europejskiemu i Radzie.</w:t>
      </w:r>
    </w:p>
    <w:p w:rsidR="00677FB1" w:rsidRPr="00C23440" w:rsidP="00677FB1" w14:paraId="78660A03" w14:textId="77777777">
      <w:pPr>
        <w:pStyle w:val="ManualNumPar1"/>
      </w:pPr>
      <w:r w:rsidRPr="00C23440">
        <w:t>2.</w:t>
      </w:r>
      <w:r w:rsidRPr="00C23440">
        <w:tab/>
        <w:t>W sprawozdaniu z wdrażania Komisja analizuje, w szczególności:</w:t>
      </w:r>
    </w:p>
    <w:p w:rsidR="00677FB1" w:rsidRPr="00C23440" w:rsidP="00677FB1" w14:paraId="7D9B1956" w14:textId="77777777">
      <w:pPr>
        <w:pStyle w:val="Point1"/>
      </w:pPr>
      <w:r w:rsidRPr="00C23440">
        <w:t>a)</w:t>
      </w:r>
      <w:r w:rsidRPr="00C23440">
        <w:tab/>
        <w:t>warunki przetwarzania danych osobowych i innych danych określone w art. 3 ust. 1 lit. a) pkt (ii) oraz lit. b), c) i d);</w:t>
      </w:r>
    </w:p>
    <w:p w:rsidR="00677FB1" w:rsidRPr="00C23440" w:rsidP="00677FB1" w14:paraId="4227E902" w14:textId="77777777">
      <w:pPr>
        <w:pStyle w:val="Point1"/>
      </w:pPr>
      <w:r w:rsidRPr="00C23440">
        <w:t>b)</w:t>
      </w:r>
      <w:r w:rsidRPr="00C23440">
        <w:tab/>
        <w:t>proporcjonalność odstępstwa przewidzianego w niniejszym rozporządzeniu, w tym ocenę danych statystycznych przedłożonych przez państwa członkowskie zgodnie z art. 8;</w:t>
      </w:r>
    </w:p>
    <w:p w:rsidR="00677FB1" w:rsidRPr="00C23440" w:rsidP="00677FB1" w14:paraId="1022D9CE" w14:textId="77777777">
      <w:pPr>
        <w:pStyle w:val="Point1"/>
      </w:pPr>
      <w:r w:rsidRPr="00C23440">
        <w:t>c)</w:t>
      </w:r>
      <w:r w:rsidRPr="00C23440">
        <w:tab/>
        <w:t>zmiany związane z postępem technologicznym w zakresie działań objętych zakresem stosowania niniejszego rozporządzenia oraz stopień, w jakim postęp ten poprawia dokładność i zmniejsza liczbę i współczynniki błędów (wyniki fałszywie dodatnie).</w:t>
      </w:r>
    </w:p>
    <w:p w:rsidR="00677FB1" w:rsidRPr="00677FB1" w:rsidP="00677FB1" w14:paraId="240A72C7" w14:textId="77777777">
      <w:pPr>
        <w:spacing w:after="160" w:line="259" w:lineRule="auto"/>
        <w:rPr>
          <w:i/>
          <w:iCs/>
          <w:lang w:val="pl-PL"/>
        </w:rPr>
      </w:pPr>
      <w:r w:rsidRPr="00677FB1">
        <w:rPr>
          <w:lang w:val="pl-PL"/>
        </w:rPr>
        <w:br w:type="page"/>
      </w:r>
    </w:p>
    <w:p w:rsidR="00677FB1" w:rsidRPr="00C23440" w:rsidP="00677FB1" w14:paraId="3FE205F3" w14:textId="77777777">
      <w:pPr>
        <w:pStyle w:val="Titrearticle"/>
        <w:rPr>
          <w:iCs/>
        </w:rPr>
      </w:pPr>
      <w:r w:rsidRPr="00C23440">
        <w:t>Artykuł 10</w:t>
      </w:r>
      <w:r w:rsidRPr="00C23440">
        <w:br/>
        <w:t>Procedura komitetowa</w:t>
      </w:r>
    </w:p>
    <w:p w:rsidR="00677FB1" w:rsidRPr="00C23440" w:rsidP="00677FB1" w14:paraId="5D0B03F5" w14:textId="77777777">
      <w:pPr>
        <w:pStyle w:val="ManualNumPar1"/>
      </w:pPr>
      <w:r w:rsidRPr="00C23440">
        <w:t>1.</w:t>
      </w:r>
      <w:r w:rsidRPr="00C23440">
        <w:tab/>
        <w:t>Komisję wspomaga komitet. Komitet ten jest komitetem w rozumieniu rozporządzenia (UE) nr 182/2011.</w:t>
      </w:r>
    </w:p>
    <w:p w:rsidR="00677FB1" w:rsidRPr="00C23440" w:rsidP="00677FB1" w14:paraId="0AA3AF31" w14:textId="77777777">
      <w:pPr>
        <w:pStyle w:val="ManualNumPar1"/>
      </w:pPr>
      <w:r w:rsidRPr="00C23440">
        <w:t>2.</w:t>
      </w:r>
      <w:r w:rsidRPr="00C23440">
        <w:tab/>
        <w:t>W przypadku odesłania do niniejszego ustępu stosuje się art. 4 rozporządzenia (UE) nr 182/2011.</w:t>
      </w:r>
    </w:p>
    <w:p w:rsidR="00677FB1" w:rsidRPr="00C23440" w:rsidP="00677FB1" w14:paraId="44848E77" w14:textId="77777777">
      <w:pPr>
        <w:pStyle w:val="Titrearticle"/>
        <w:rPr>
          <w:iCs/>
        </w:rPr>
      </w:pPr>
      <w:r w:rsidRPr="00C23440">
        <w:t>Artykuł 11</w:t>
      </w:r>
      <w:r w:rsidRPr="00C23440">
        <w:br/>
        <w:t>Wejście w życie i stosowanie</w:t>
      </w:r>
    </w:p>
    <w:p w:rsidR="00677FB1" w:rsidRPr="00677FB1" w:rsidP="00677FB1" w14:paraId="2C5A56C1" w14:textId="77777777">
      <w:pPr>
        <w:rPr>
          <w:lang w:val="pl-PL"/>
        </w:rPr>
      </w:pPr>
      <w:r w:rsidRPr="00677FB1">
        <w:rPr>
          <w:lang w:val="pl-PL"/>
        </w:rPr>
        <w:t>Niniejsze rozporządzenie wchodzi w życie trzeciego dnia po jego opublikowaniu w </w:t>
      </w:r>
      <w:r w:rsidRPr="00677FB1">
        <w:rPr>
          <w:i/>
          <w:lang w:val="pl-PL"/>
        </w:rPr>
        <w:t>Dzienniku Urzędowym Unii Europejskiej</w:t>
      </w:r>
      <w:r w:rsidRPr="00677FB1">
        <w:rPr>
          <w:lang w:val="pl-PL"/>
        </w:rPr>
        <w:t>.</w:t>
      </w:r>
    </w:p>
    <w:p w:rsidR="00677FB1" w:rsidRPr="00677FB1" w:rsidP="00677FB1" w14:paraId="20BEF6B1" w14:textId="77777777">
      <w:pPr>
        <w:rPr>
          <w:lang w:val="pl-PL"/>
        </w:rPr>
      </w:pPr>
      <w:r w:rsidRPr="00677FB1">
        <w:rPr>
          <w:lang w:val="pl-PL"/>
        </w:rPr>
        <w:t>Niniejsze rozporządzenie stosuje się do dnia 3 kwietnia 2028 r.</w:t>
      </w:r>
    </w:p>
    <w:p w:rsidR="00677FB1" w:rsidRPr="00C23440" w:rsidP="00677FB1" w14:paraId="590AB034" w14:textId="77777777">
      <w:pPr>
        <w:pStyle w:val="Applicationdirecte"/>
      </w:pPr>
      <w:r w:rsidRPr="00C23440">
        <w:t>Niniejsze rozporządzenie wiąże w całości i jest bezpośrednio stosowane we wszystkich państwach członkowskich.</w:t>
      </w:r>
    </w:p>
    <w:p w:rsidR="00677FB1" w:rsidRPr="00C23440" w:rsidP="00677FB1" w14:paraId="0A1694CF" w14:textId="77777777">
      <w:pPr>
        <w:pStyle w:val="Fait"/>
        <w:rPr>
          <w:rFonts w:eastAsia="Times New Roman"/>
        </w:rPr>
      </w:pPr>
      <w:r w:rsidRPr="00C23440">
        <w:t>Sporządzono w …</w:t>
      </w:r>
    </w:p>
    <w:p w:rsidR="00677FB1" w:rsidRPr="00C23440" w:rsidP="00677FB1" w14:paraId="1F577B7A" w14:textId="77777777">
      <w:pPr>
        <w:pStyle w:val="Institutionquisigne"/>
        <w:rPr>
          <w:iCs/>
        </w:rPr>
      </w:pPr>
      <w:r w:rsidRPr="00C23440">
        <w:t>W imieniu Parlamentu Europejskiego</w:t>
      </w:r>
      <w:r w:rsidRPr="00C23440">
        <w:tab/>
        <w:t>W imieniu Rady</w:t>
      </w:r>
    </w:p>
    <w:p w:rsidR="00677FB1" w:rsidRPr="00C23440" w:rsidP="00677FB1" w14:paraId="7A28CC96" w14:textId="77777777">
      <w:pPr>
        <w:pStyle w:val="Personnequisigne"/>
        <w:rPr>
          <w:iCs/>
        </w:rPr>
      </w:pPr>
      <w:r w:rsidRPr="00C23440">
        <w:t>Przewodnicząca</w:t>
      </w:r>
      <w:r w:rsidRPr="00C23440">
        <w:tab/>
        <w:t>Przewodniczący / Przewodnicząca</w:t>
      </w:r>
    </w:p>
    <w:p w:rsidR="00677FB1" w:rsidRPr="00C23440" w:rsidP="00677FB1" w14:paraId="0A3D8B75" w14:textId="77777777">
      <w:pPr>
        <w:pStyle w:val="Lignefinal"/>
      </w:pPr>
    </w:p>
    <w:p w:rsidR="009F28EF" w:rsidRPr="00A67679" w:rsidP="00A67679" w14:paraId="054D9A72" w14:textId="671CB180">
      <w:pPr>
        <w:rPr>
          <w:b/>
          <w:lang w:val="pl-PL"/>
        </w:rPr>
      </w:pPr>
    </w:p>
    <w:sectPr w:rsidSect="004E73F2">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73A5441"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742B72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7DB43D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4823" w:rsidP="009C4014" w14:paraId="2647E9E0" w14:textId="77777777">
      <w:r>
        <w:separator/>
      </w:r>
    </w:p>
  </w:footnote>
  <w:footnote w:type="continuationSeparator" w:id="1">
    <w:p w:rsidR="000B4823" w:rsidP="009C4014" w14:paraId="5763ACC9" w14:textId="77777777">
      <w:r>
        <w:continuationSeparator/>
      </w:r>
    </w:p>
  </w:footnote>
  <w:footnote w:id="2">
    <w:p w:rsidR="00A23E0F" w:rsidRPr="00277C4A" w:rsidP="00A67679" w14:paraId="11A4A05A" w14:textId="74EB9801">
      <w:pPr>
        <w:pStyle w:val="FootnoteText"/>
        <w:ind w:left="851" w:hanging="851"/>
        <w:rPr>
          <w:sz w:val="24"/>
          <w:szCs w:val="24"/>
          <w:lang w:val="pl-PL"/>
        </w:rPr>
      </w:pPr>
      <w:r>
        <w:rPr>
          <w:rStyle w:val="FootnoteReference"/>
        </w:rPr>
        <w:footnoteRef/>
      </w:r>
      <w:r w:rsidRPr="00277C4A">
        <w:rPr>
          <w:lang w:val="pl-PL"/>
        </w:rPr>
        <w:t xml:space="preserve"> </w:t>
      </w:r>
      <w:r w:rsidRPr="00277C4A">
        <w:rPr>
          <w:lang w:val="pl-PL"/>
        </w:rPr>
        <w:tab/>
      </w:r>
      <w:r w:rsidR="00174BA6">
        <w:rPr>
          <w:color w:val="333333"/>
          <w:sz w:val="24"/>
          <w:szCs w:val="24"/>
          <w:shd w:val="clear" w:color="auto" w:fill="FFFFFF"/>
          <w:lang w:val="pl-PL"/>
        </w:rPr>
        <w:t>Dz</w:t>
      </w:r>
      <w:r w:rsidR="003B35E1">
        <w:rPr>
          <w:color w:val="333333"/>
          <w:sz w:val="24"/>
          <w:szCs w:val="24"/>
          <w:shd w:val="clear" w:color="auto" w:fill="FFFFFF"/>
          <w:lang w:val="pl-PL"/>
        </w:rPr>
        <w:t>.</w:t>
      </w:r>
      <w:r w:rsidR="00174BA6">
        <w:rPr>
          <w:color w:val="333333"/>
          <w:sz w:val="24"/>
          <w:szCs w:val="24"/>
          <w:shd w:val="clear" w:color="auto" w:fill="FFFFFF"/>
          <w:lang w:val="pl-PL"/>
        </w:rPr>
        <w:t>U.</w:t>
      </w:r>
      <w:r w:rsidRPr="00277C4A">
        <w:rPr>
          <w:color w:val="333333"/>
          <w:sz w:val="24"/>
          <w:szCs w:val="24"/>
          <w:shd w:val="clear" w:color="auto" w:fill="FFFFFF"/>
          <w:lang w:val="pl-PL"/>
        </w:rPr>
        <w:t>C, C/2026/1966, 28.4.2026, ELI: </w:t>
      </w:r>
      <w:hyperlink r:id="rId1" w:tgtFrame="_blank" w:tooltip="Gives access to this document through its ELI URI." w:history="1">
        <w:r w:rsidRPr="00277C4A">
          <w:rPr>
            <w:rStyle w:val="Hyperlink"/>
            <w:color w:val="0E47CB"/>
            <w:sz w:val="24"/>
            <w:szCs w:val="24"/>
            <w:lang w:val="pl-PL"/>
          </w:rPr>
          <w:t>http://data.europa.eu/eli/C/2026/1966/oj</w:t>
        </w:r>
      </w:hyperlink>
      <w:r w:rsidRPr="00277C4A">
        <w:rPr>
          <w:sz w:val="24"/>
          <w:szCs w:val="24"/>
          <w:lang w:val="pl-PL"/>
        </w:rPr>
        <w:t>.</w:t>
      </w:r>
    </w:p>
  </w:footnote>
  <w:footnote w:id="3">
    <w:p w:rsidR="00A23E0F" w:rsidRPr="002E4DEE" w:rsidP="00A67679" w14:paraId="73A86A9E" w14:textId="4D660126">
      <w:pPr>
        <w:pStyle w:val="FootnoteText"/>
        <w:keepLines w:val="0"/>
        <w:ind w:left="851" w:hanging="851"/>
        <w:rPr>
          <w:sz w:val="24"/>
          <w:szCs w:val="24"/>
          <w:lang w:val="pl-PL"/>
        </w:rPr>
      </w:pPr>
      <w:r w:rsidRPr="001A5BAA">
        <w:rPr>
          <w:rStyle w:val="FootnoteReference"/>
          <w:sz w:val="24"/>
          <w:szCs w:val="24"/>
        </w:rPr>
        <w:footnoteRef/>
      </w:r>
      <w:r w:rsidRPr="002E4DEE">
        <w:rPr>
          <w:sz w:val="24"/>
          <w:szCs w:val="24"/>
          <w:lang w:val="pl-PL"/>
        </w:rPr>
        <w:t xml:space="preserve"> </w:t>
      </w:r>
      <w:r w:rsidRPr="002E4DEE">
        <w:rPr>
          <w:sz w:val="24"/>
          <w:szCs w:val="24"/>
          <w:lang w:val="pl-PL"/>
        </w:rPr>
        <w:tab/>
        <w:t>Te</w:t>
      </w:r>
      <w:r w:rsidRPr="002E4DEE" w:rsidR="00174BA6">
        <w:rPr>
          <w:sz w:val="24"/>
          <w:szCs w:val="24"/>
          <w:lang w:val="pl-PL"/>
        </w:rPr>
        <w:t>ksty</w:t>
      </w:r>
      <w:r w:rsidRPr="002E4DEE">
        <w:rPr>
          <w:sz w:val="24"/>
          <w:szCs w:val="24"/>
          <w:lang w:val="pl-PL"/>
        </w:rPr>
        <w:t xml:space="preserve"> </w:t>
      </w:r>
      <w:r w:rsidRPr="002E4DEE" w:rsidR="00174BA6">
        <w:rPr>
          <w:sz w:val="24"/>
          <w:szCs w:val="24"/>
          <w:lang w:val="pl-PL"/>
        </w:rPr>
        <w:t>przyjęte</w:t>
      </w:r>
      <w:r w:rsidRPr="002E4DEE">
        <w:rPr>
          <w:sz w:val="24"/>
          <w:szCs w:val="24"/>
          <w:lang w:val="pl-PL"/>
        </w:rPr>
        <w:t>, 26.3.2026, P10_TA(2026)0095.</w:t>
      </w:r>
    </w:p>
  </w:footnote>
  <w:footnote w:id="4">
    <w:p w:rsidR="00677FB1" w:rsidRPr="00677FB1" w:rsidP="00A67679" w14:paraId="761BCFCF" w14:textId="77777777">
      <w:pPr>
        <w:pStyle w:val="FootnoteText"/>
        <w:ind w:left="851" w:hanging="851"/>
        <w:rPr>
          <w:szCs w:val="24"/>
          <w:lang w:val="pl-PL"/>
        </w:rPr>
      </w:pPr>
      <w:r w:rsidRPr="00760B4E">
        <w:rPr>
          <w:rStyle w:val="FootnoteReference"/>
          <w:bCs/>
          <w:szCs w:val="24"/>
        </w:rPr>
        <w:footnoteRef/>
      </w:r>
      <w:r w:rsidRPr="00677FB1">
        <w:rPr>
          <w:lang w:val="pl-PL"/>
        </w:rPr>
        <w:tab/>
        <w:t xml:space="preserve">Dz.U. C, C/2026/2546, 22.5.2026, </w:t>
      </w:r>
      <w:r w:rsidRPr="00677FB1">
        <w:rPr>
          <w:szCs w:val="24"/>
          <w:lang w:val="pl-PL"/>
        </w:rPr>
        <w:t>ELI: </w:t>
      </w:r>
      <w:hyperlink r:id="rId2" w:tooltip="Gives access to this document through its ELI URI." w:history="1">
        <w:r w:rsidRPr="00677FB1">
          <w:rPr>
            <w:rStyle w:val="Hyperlink"/>
            <w:szCs w:val="24"/>
            <w:lang w:val="pl-PL"/>
          </w:rPr>
          <w:t>http://data.europa.eu/eli/C/2026/2546/oj</w:t>
        </w:r>
      </w:hyperlink>
      <w:r w:rsidRPr="00677FB1">
        <w:rPr>
          <w:lang w:val="pl-PL"/>
        </w:rPr>
        <w:t>.</w:t>
      </w:r>
    </w:p>
  </w:footnote>
  <w:footnote w:id="5">
    <w:p w:rsidR="00677FB1" w:rsidRPr="00677FB1" w:rsidP="00A67679" w14:paraId="24001CE8" w14:textId="531670C7">
      <w:pPr>
        <w:pStyle w:val="FootnoteText"/>
        <w:ind w:left="851" w:hanging="851"/>
        <w:rPr>
          <w:szCs w:val="24"/>
          <w:lang w:val="pl-PL"/>
        </w:rPr>
      </w:pPr>
      <w:r w:rsidRPr="00760B4E">
        <w:rPr>
          <w:rStyle w:val="FootnoteReference"/>
          <w:bCs/>
          <w:szCs w:val="24"/>
        </w:rPr>
        <w:footnoteRef/>
      </w:r>
      <w:r w:rsidRPr="00677FB1">
        <w:rPr>
          <w:lang w:val="pl-PL"/>
        </w:rPr>
        <w:tab/>
        <w:t xml:space="preserve">Stanowisko Parlamentu Europejskiego z dnia </w:t>
      </w:r>
      <w:r w:rsidR="002E4DEE">
        <w:rPr>
          <w:lang w:val="pl-PL"/>
        </w:rPr>
        <w:t>26 marca 2025 r.</w:t>
      </w:r>
      <w:r w:rsidRPr="00677FB1">
        <w:rPr>
          <w:lang w:val="pl-PL"/>
        </w:rPr>
        <w:t xml:space="preserve"> (dotychczas nieopublikowane w Dzienniku Urzędowym) oraz stanowisko Rady w pierwszym czytaniu z dnia 2 lipca 2026 r (dotychczas nieopublikowane w Dzienniku Urzędowym). Stanowisko Parlamentu Europejskiego z dnia </w:t>
      </w:r>
      <w:r w:rsidR="002E4DEE">
        <w:rPr>
          <w:lang w:val="pl-PL"/>
        </w:rPr>
        <w:t>9 lipca 2026 r.</w:t>
      </w:r>
      <w:r w:rsidRPr="00677FB1">
        <w:rPr>
          <w:lang w:val="pl-PL"/>
        </w:rPr>
        <w:t xml:space="preserve"> (dotychczas nieopublikowane w Dzienniku Urzędowym).</w:t>
      </w:r>
    </w:p>
  </w:footnote>
  <w:footnote w:id="6">
    <w:p w:rsidR="00677FB1" w:rsidRPr="00677FB1" w:rsidP="00A67679" w14:paraId="3361A88E" w14:textId="77777777">
      <w:pPr>
        <w:pStyle w:val="FootnoteText"/>
        <w:ind w:left="851" w:hanging="851"/>
        <w:rPr>
          <w:szCs w:val="24"/>
          <w:lang w:val="pl-PL"/>
        </w:rPr>
      </w:pPr>
      <w:r w:rsidRPr="00760B4E">
        <w:rPr>
          <w:rStyle w:val="FootnoteReference"/>
          <w:szCs w:val="24"/>
        </w:rPr>
        <w:footnoteRef/>
      </w:r>
      <w:r w:rsidRPr="00677FB1">
        <w:rPr>
          <w:lang w:val="pl-PL"/>
        </w:rPr>
        <w:tab/>
        <w:t>Dyrektywa 2002/58/WE Parlamentu Europejskiego i Rady z dnia 12 lipca 2002 r. dotycząca przetwarzania danych osobowych i ochrony prywatności w sektorze łączności elektronicznej (dyrektywa o prywatności i łączności elektronicznej) (Dz.U. L 201 z 31.7.2002, s. 37, ELI: </w:t>
      </w:r>
      <w:hyperlink r:id="rId3" w:history="1">
        <w:r w:rsidRPr="00677FB1">
          <w:rPr>
            <w:rStyle w:val="Hyperlink"/>
            <w:lang w:val="pl-PL"/>
          </w:rPr>
          <w:t>http://data.europa.eu/eli/dir/2002/58/oj</w:t>
        </w:r>
      </w:hyperlink>
      <w:r w:rsidRPr="00677FB1">
        <w:rPr>
          <w:lang w:val="pl-PL"/>
        </w:rPr>
        <w:t>).</w:t>
      </w:r>
    </w:p>
  </w:footnote>
  <w:footnote w:id="7">
    <w:p w:rsidR="00677FB1" w:rsidRPr="00677FB1" w:rsidP="00A67679" w14:paraId="448C12DF" w14:textId="77777777">
      <w:pPr>
        <w:pStyle w:val="FootnoteText"/>
        <w:ind w:left="851" w:hanging="851"/>
        <w:rPr>
          <w:szCs w:val="24"/>
          <w:lang w:val="pl-PL"/>
        </w:rPr>
      </w:pPr>
      <w:r w:rsidRPr="00760B4E">
        <w:rPr>
          <w:rStyle w:val="FootnoteReference"/>
          <w:szCs w:val="24"/>
        </w:rPr>
        <w:footnoteRef/>
      </w:r>
      <w:r w:rsidRPr="00677FB1">
        <w:rPr>
          <w:lang w:val="pl-PL"/>
        </w:rPr>
        <w:tab/>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w:t>
      </w:r>
      <w:hyperlink r:id="rId4" w:history="1">
        <w:r w:rsidRPr="00677FB1">
          <w:rPr>
            <w:rStyle w:val="Hyperlink"/>
            <w:lang w:val="pl-PL"/>
          </w:rPr>
          <w:t>http://data.europa.eu/eli/reg/2016/679/oj</w:t>
        </w:r>
      </w:hyperlink>
      <w:r w:rsidRPr="00677FB1">
        <w:rPr>
          <w:lang w:val="pl-PL"/>
        </w:rPr>
        <w:t>).</w:t>
      </w:r>
    </w:p>
  </w:footnote>
  <w:footnote w:id="8">
    <w:p w:rsidR="00677FB1" w:rsidRPr="00677FB1" w:rsidP="00A67679" w14:paraId="4CBCD332" w14:textId="77777777">
      <w:pPr>
        <w:pStyle w:val="FootnoteText"/>
        <w:ind w:left="851" w:hanging="851"/>
        <w:rPr>
          <w:szCs w:val="24"/>
          <w:lang w:val="pl-PL"/>
        </w:rPr>
      </w:pPr>
      <w:r w:rsidRPr="00760B4E">
        <w:rPr>
          <w:rStyle w:val="FootnoteReference"/>
          <w:szCs w:val="24"/>
        </w:rPr>
        <w:footnoteRef/>
      </w:r>
      <w:r w:rsidRPr="00677FB1">
        <w:rPr>
          <w:lang w:val="pl-PL"/>
        </w:rPr>
        <w:tab/>
        <w:t>Dyrektywa 2002/21/WE Parlamentu Europejskiego i Rady z dnia 7 marca 2002 r. w sprawie wspólnych ram regulacyjnych sieci i usług łączności elektronicznej (dyrektywa ramowa) (Dz.U. L 108 z 24.4.2002, s. 33), ELI: </w:t>
      </w:r>
      <w:hyperlink r:id="rId5" w:history="1">
        <w:r w:rsidRPr="00677FB1">
          <w:rPr>
            <w:rStyle w:val="Hyperlink"/>
            <w:lang w:val="pl-PL"/>
          </w:rPr>
          <w:t>http://data.europa.eu/eli/dir/2002/21/oj</w:t>
        </w:r>
      </w:hyperlink>
      <w:r w:rsidRPr="00677FB1">
        <w:rPr>
          <w:lang w:val="pl-PL"/>
        </w:rPr>
        <w:t>).</w:t>
      </w:r>
    </w:p>
  </w:footnote>
  <w:footnote w:id="9">
    <w:p w:rsidR="00677FB1" w:rsidRPr="00677FB1" w:rsidP="00A67679" w14:paraId="02FF0B5F" w14:textId="77777777">
      <w:pPr>
        <w:pStyle w:val="FootnoteText"/>
        <w:ind w:left="851" w:hanging="851"/>
        <w:rPr>
          <w:szCs w:val="24"/>
          <w:lang w:val="pl-PL"/>
        </w:rPr>
      </w:pPr>
      <w:r w:rsidRPr="00760B4E">
        <w:rPr>
          <w:rStyle w:val="FootnoteReference"/>
          <w:szCs w:val="24"/>
        </w:rPr>
        <w:footnoteRef/>
      </w:r>
      <w:r w:rsidRPr="00677FB1">
        <w:rPr>
          <w:lang w:val="pl-PL"/>
        </w:rPr>
        <w:tab/>
        <w:t>Dyrektywa Parlamentu Europejskiego i Rady (UE) 2018/1972 z dnia 11 grudnia 2018 r. ustanawiająca Europejski kodeks łączności elektronicznej (Dz.U. L 321 z 17.12.2018, s. 36, ELI: </w:t>
      </w:r>
      <w:hyperlink r:id="rId6" w:history="1">
        <w:r w:rsidRPr="00677FB1">
          <w:rPr>
            <w:rStyle w:val="Hyperlink"/>
            <w:lang w:val="pl-PL"/>
          </w:rPr>
          <w:t>http://data.europa.eu/eli/dir/2018/1972/oj</w:t>
        </w:r>
      </w:hyperlink>
      <w:r w:rsidRPr="00677FB1">
        <w:rPr>
          <w:lang w:val="pl-PL"/>
        </w:rPr>
        <w:t>).</w:t>
      </w:r>
    </w:p>
  </w:footnote>
  <w:footnote w:id="10">
    <w:p w:rsidR="00677FB1" w:rsidRPr="00677FB1" w:rsidP="00A67679" w14:paraId="0D63E5B3" w14:textId="77777777">
      <w:pPr>
        <w:pStyle w:val="FootnoteText"/>
        <w:ind w:left="851" w:hanging="851"/>
        <w:rPr>
          <w:szCs w:val="24"/>
          <w:lang w:val="pl-PL"/>
        </w:rPr>
      </w:pPr>
      <w:r w:rsidRPr="00760B4E">
        <w:rPr>
          <w:rStyle w:val="FootnoteReference"/>
          <w:bCs/>
          <w:szCs w:val="24"/>
        </w:rPr>
        <w:footnoteRef/>
      </w:r>
      <w:r w:rsidRPr="00677FB1">
        <w:rPr>
          <w:lang w:val="pl-PL"/>
        </w:rPr>
        <w:tab/>
        <w:t>Dyrektywa Parlamentu Europejskiego i Rady 2011/93/UE z dnia 13 grudnia 2011 r. w sprawie zwalczania niegodziwego traktowania w celach seksualnych i wykorzystywania seksualnego dzieci oraz pornografii dziecięcej, zastępująca decyzję ramową Rady 2004/68/WSiSW (Dz.U. L 335 z 17.12.2011, s. 1, ELI: </w:t>
      </w:r>
      <w:hyperlink r:id="rId7" w:history="1">
        <w:r w:rsidRPr="00677FB1">
          <w:rPr>
            <w:rStyle w:val="Hyperlink"/>
            <w:lang w:val="pl-PL"/>
          </w:rPr>
          <w:t>http://data.europa.eu/eli/dir/2011/93/oj</w:t>
        </w:r>
      </w:hyperlink>
      <w:r w:rsidRPr="00677FB1">
        <w:rPr>
          <w:lang w:val="pl-PL"/>
        </w:rPr>
        <w:t>).</w:t>
      </w:r>
    </w:p>
  </w:footnote>
  <w:footnote w:id="11">
    <w:p w:rsidR="00677FB1" w:rsidRPr="00677FB1" w:rsidP="00A67679" w14:paraId="4C6FC19F" w14:textId="77777777">
      <w:pPr>
        <w:pStyle w:val="FootnoteText"/>
        <w:ind w:left="851" w:hanging="851"/>
        <w:rPr>
          <w:lang w:val="pl-PL"/>
        </w:rPr>
      </w:pPr>
      <w:r w:rsidRPr="00760B4E">
        <w:rPr>
          <w:rStyle w:val="FootnoteReference"/>
          <w:bCs/>
        </w:rPr>
        <w:footnoteRef/>
      </w:r>
      <w:r w:rsidRPr="00677FB1">
        <w:rPr>
          <w:lang w:val="pl-PL"/>
        </w:rPr>
        <w:tab/>
        <w:t>Rozporządzenie Parlamentu Europejskiego i Rady (UE) 2021/1232 z dnia 14 lipca 2021 r.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internecie, (Dz.U. L 274 z 30.7.2021, s. 41, ELI: </w:t>
      </w:r>
      <w:hyperlink r:id="rId8" w:history="1">
        <w:r w:rsidRPr="00677FB1">
          <w:rPr>
            <w:rStyle w:val="Hyperlink"/>
            <w:lang w:val="pl-PL"/>
          </w:rPr>
          <w:t>http://data.europa.eu/eli/reg/2021/1232/oj</w:t>
        </w:r>
      </w:hyperlink>
      <w:r w:rsidRPr="00677FB1">
        <w:rPr>
          <w:lang w:val="pl-PL"/>
        </w:rPr>
        <w:t>).</w:t>
      </w:r>
    </w:p>
  </w:footnote>
  <w:footnote w:id="12">
    <w:p w:rsidR="00677FB1" w:rsidRPr="00677FB1" w:rsidP="00A67679" w14:paraId="7663C713" w14:textId="77777777">
      <w:pPr>
        <w:pStyle w:val="FootnoteText"/>
        <w:ind w:left="851" w:hanging="851"/>
        <w:rPr>
          <w:lang w:val="pl-PL"/>
        </w:rPr>
      </w:pPr>
      <w:r w:rsidRPr="00760B4E">
        <w:rPr>
          <w:rStyle w:val="FootnoteReference"/>
        </w:rPr>
        <w:footnoteRef/>
      </w:r>
      <w:r w:rsidRPr="00677FB1">
        <w:rPr>
          <w:lang w:val="pl-PL"/>
        </w:rPr>
        <w:tab/>
        <w:t>Rozporządzenie Parlamentu Europejskiego i Rady (UE) 2024/1307 z dnia 29 kwietnia 2024 r. w sprawie zmiany rozporządzenia (UE) 2021/1232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internecie (Dz.U. L, 2024/1307, 14.5.2024, ELI: </w:t>
      </w:r>
      <w:hyperlink r:id="rId9" w:history="1">
        <w:r w:rsidRPr="00677FB1">
          <w:rPr>
            <w:rStyle w:val="Hyperlink"/>
            <w:lang w:val="pl-PL"/>
          </w:rPr>
          <w:t>http://data.europa.eu/eli/reg/2024/1307/oj</w:t>
        </w:r>
      </w:hyperlink>
      <w:r w:rsidRPr="00677FB1">
        <w:rPr>
          <w:lang w:val="pl-PL"/>
        </w:rPr>
        <w:t>).</w:t>
      </w:r>
    </w:p>
  </w:footnote>
  <w:footnote w:id="13">
    <w:p w:rsidR="00677FB1" w:rsidRPr="00677FB1" w:rsidP="00A67679" w14:paraId="6CD92DB1" w14:textId="77777777">
      <w:pPr>
        <w:pStyle w:val="FootnoteText"/>
        <w:ind w:left="851" w:hanging="851"/>
        <w:rPr>
          <w:lang w:val="pl-PL"/>
        </w:rPr>
      </w:pPr>
      <w:r w:rsidRPr="00760B4E">
        <w:rPr>
          <w:rStyle w:val="FootnoteReference"/>
        </w:rPr>
        <w:footnoteRef/>
      </w:r>
      <w:r w:rsidRPr="00677FB1">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 ELI: </w:t>
      </w:r>
      <w:hyperlink r:id="rId10" w:history="1">
        <w:r w:rsidRPr="00677FB1">
          <w:rPr>
            <w:rStyle w:val="Hyperlink"/>
            <w:lang w:val="pl-PL"/>
          </w:rPr>
          <w:t>http://data.europa.eu/eli/reg/2011/182/oj</w:t>
        </w:r>
      </w:hyperlink>
      <w:r w:rsidRPr="00677FB1">
        <w:rPr>
          <w:lang w:val="pl-PL"/>
        </w:rPr>
        <w:t>).</w:t>
      </w:r>
    </w:p>
  </w:footnote>
  <w:footnote w:id="14">
    <w:p w:rsidR="00677FB1" w:rsidRPr="00677FB1" w:rsidP="00A67679" w14:paraId="62BAE100" w14:textId="77777777">
      <w:pPr>
        <w:pStyle w:val="FootnoteText"/>
        <w:ind w:left="851" w:hanging="851"/>
        <w:rPr>
          <w:szCs w:val="24"/>
          <w:lang w:val="pl-PL"/>
        </w:rPr>
      </w:pPr>
      <w:r w:rsidRPr="00760B4E">
        <w:rPr>
          <w:rStyle w:val="FootnoteReference"/>
          <w:bCs/>
          <w:szCs w:val="24"/>
        </w:rPr>
        <w:footnoteRef/>
      </w:r>
      <w:r w:rsidRPr="00677FB1">
        <w:rPr>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w:t>
      </w:r>
      <w:hyperlink r:id="rId11" w:history="1">
        <w:r w:rsidRPr="00677FB1">
          <w:rPr>
            <w:rStyle w:val="Hyperlink"/>
            <w:lang w:val="pl-PL"/>
          </w:rPr>
          <w:t>http://data.europa.eu/eli/reg/2018/1725/oj</w:t>
        </w:r>
      </w:hyperlink>
      <w:r w:rsidRPr="00677FB1">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7C6874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03457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514CDC1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2126457701">
    <w:abstractNumId w:val="3"/>
  </w:num>
  <w:num w:numId="2" w16cid:durableId="2097558657">
    <w:abstractNumId w:val="2"/>
  </w:num>
  <w:num w:numId="3" w16cid:durableId="954944049">
    <w:abstractNumId w:val="1"/>
  </w:num>
  <w:num w:numId="4" w16cid:durableId="66390773">
    <w:abstractNumId w:val="0"/>
  </w:num>
  <w:num w:numId="5" w16cid:durableId="106169080">
    <w:abstractNumId w:val="6"/>
  </w:num>
  <w:num w:numId="6" w16cid:durableId="1532259003">
    <w:abstractNumId w:val="5"/>
  </w:num>
  <w:num w:numId="7" w16cid:durableId="968585866">
    <w:abstractNumId w:val="4"/>
  </w:num>
  <w:num w:numId="8" w16cid:durableId="1255362134">
    <w:abstractNumId w:val="7"/>
  </w:num>
  <w:num w:numId="9" w16cid:durableId="11785432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Page"/>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E0F"/>
    <w:rsid w:val="00013B2A"/>
    <w:rsid w:val="00061199"/>
    <w:rsid w:val="000867AE"/>
    <w:rsid w:val="000B4823"/>
    <w:rsid w:val="000C2BFE"/>
    <w:rsid w:val="000F27A9"/>
    <w:rsid w:val="000F4822"/>
    <w:rsid w:val="000F6208"/>
    <w:rsid w:val="00125CBC"/>
    <w:rsid w:val="001279C5"/>
    <w:rsid w:val="00172070"/>
    <w:rsid w:val="00174BA6"/>
    <w:rsid w:val="00185E15"/>
    <w:rsid w:val="001D4BBF"/>
    <w:rsid w:val="001D63A8"/>
    <w:rsid w:val="001F6830"/>
    <w:rsid w:val="0022763E"/>
    <w:rsid w:val="00277C4A"/>
    <w:rsid w:val="00286C6D"/>
    <w:rsid w:val="00291A00"/>
    <w:rsid w:val="002924A9"/>
    <w:rsid w:val="002A1D4E"/>
    <w:rsid w:val="002B4BCF"/>
    <w:rsid w:val="002C20CC"/>
    <w:rsid w:val="002E4DEE"/>
    <w:rsid w:val="002F1925"/>
    <w:rsid w:val="00300C61"/>
    <w:rsid w:val="00312A38"/>
    <w:rsid w:val="003202DD"/>
    <w:rsid w:val="00325EFE"/>
    <w:rsid w:val="003775B9"/>
    <w:rsid w:val="00397B2A"/>
    <w:rsid w:val="003B35E1"/>
    <w:rsid w:val="003E1189"/>
    <w:rsid w:val="003F4DFE"/>
    <w:rsid w:val="00425111"/>
    <w:rsid w:val="00451C48"/>
    <w:rsid w:val="0047030E"/>
    <w:rsid w:val="004D0F2D"/>
    <w:rsid w:val="004E6A17"/>
    <w:rsid w:val="004E73F2"/>
    <w:rsid w:val="004F2EA7"/>
    <w:rsid w:val="00520780"/>
    <w:rsid w:val="00525ED0"/>
    <w:rsid w:val="00534CAB"/>
    <w:rsid w:val="00541A58"/>
    <w:rsid w:val="00547BB1"/>
    <w:rsid w:val="00591365"/>
    <w:rsid w:val="005A2421"/>
    <w:rsid w:val="005A3BE3"/>
    <w:rsid w:val="005B23C9"/>
    <w:rsid w:val="005F0CA1"/>
    <w:rsid w:val="005F35F8"/>
    <w:rsid w:val="00603B14"/>
    <w:rsid w:val="006656E5"/>
    <w:rsid w:val="00666512"/>
    <w:rsid w:val="00677FB1"/>
    <w:rsid w:val="00683F78"/>
    <w:rsid w:val="00695D15"/>
    <w:rsid w:val="006A1E82"/>
    <w:rsid w:val="006A7C85"/>
    <w:rsid w:val="006A7CE5"/>
    <w:rsid w:val="006B1646"/>
    <w:rsid w:val="006E5420"/>
    <w:rsid w:val="006F135E"/>
    <w:rsid w:val="00702C16"/>
    <w:rsid w:val="00741191"/>
    <w:rsid w:val="00751383"/>
    <w:rsid w:val="00757DD5"/>
    <w:rsid w:val="00760EC5"/>
    <w:rsid w:val="007713FD"/>
    <w:rsid w:val="00774A9B"/>
    <w:rsid w:val="00774CC0"/>
    <w:rsid w:val="007906DB"/>
    <w:rsid w:val="007B16FE"/>
    <w:rsid w:val="007B1E92"/>
    <w:rsid w:val="007C3388"/>
    <w:rsid w:val="00837786"/>
    <w:rsid w:val="008512F3"/>
    <w:rsid w:val="00857458"/>
    <w:rsid w:val="00873A0F"/>
    <w:rsid w:val="00895FA0"/>
    <w:rsid w:val="008B1C2E"/>
    <w:rsid w:val="008C2080"/>
    <w:rsid w:val="008D7C16"/>
    <w:rsid w:val="008E7632"/>
    <w:rsid w:val="008F0108"/>
    <w:rsid w:val="008F7F1C"/>
    <w:rsid w:val="00907FE0"/>
    <w:rsid w:val="009865B7"/>
    <w:rsid w:val="0099126A"/>
    <w:rsid w:val="00993112"/>
    <w:rsid w:val="009B7E10"/>
    <w:rsid w:val="009C4014"/>
    <w:rsid w:val="009F28EF"/>
    <w:rsid w:val="00A1739E"/>
    <w:rsid w:val="00A23E0F"/>
    <w:rsid w:val="00A67679"/>
    <w:rsid w:val="00A932C2"/>
    <w:rsid w:val="00AA108F"/>
    <w:rsid w:val="00B06ECC"/>
    <w:rsid w:val="00B54C72"/>
    <w:rsid w:val="00B85C1E"/>
    <w:rsid w:val="00C15516"/>
    <w:rsid w:val="00C16C81"/>
    <w:rsid w:val="00C23440"/>
    <w:rsid w:val="00C51212"/>
    <w:rsid w:val="00C57739"/>
    <w:rsid w:val="00C65BE8"/>
    <w:rsid w:val="00C8338D"/>
    <w:rsid w:val="00CB451F"/>
    <w:rsid w:val="00CC4897"/>
    <w:rsid w:val="00D202A4"/>
    <w:rsid w:val="00D91669"/>
    <w:rsid w:val="00DF097A"/>
    <w:rsid w:val="00DF53A8"/>
    <w:rsid w:val="00E039BF"/>
    <w:rsid w:val="00E11822"/>
    <w:rsid w:val="00E73B02"/>
    <w:rsid w:val="00E74BF3"/>
    <w:rsid w:val="00EF3610"/>
    <w:rsid w:val="00F177A4"/>
    <w:rsid w:val="00F374E1"/>
    <w:rsid w:val="00F97E29"/>
    <w:rsid w:val="00FB1507"/>
    <w:rsid w:val="00FB360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66683F81"/>
  <w15:chartTrackingRefBased/>
  <w15:docId w15:val="{764D9B7E-6649-4F17-B821-10A40CB93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A23E0F"/>
    <w:rPr>
      <w:sz w:val="22"/>
      <w:lang w:val="fr-FR"/>
    </w:rPr>
  </w:style>
  <w:style w:type="character" w:styleId="CommentReference">
    <w:name w:val="annotation reference"/>
    <w:basedOn w:val="DefaultParagraphFont"/>
    <w:rsid w:val="00A23E0F"/>
    <w:rPr>
      <w:sz w:val="16"/>
      <w:szCs w:val="16"/>
    </w:rPr>
  </w:style>
  <w:style w:type="paragraph" w:styleId="CommentText">
    <w:name w:val="annotation text"/>
    <w:basedOn w:val="Normal"/>
    <w:link w:val="CommentTextChar"/>
    <w:rsid w:val="00A23E0F"/>
    <w:rPr>
      <w:sz w:val="20"/>
    </w:rPr>
  </w:style>
  <w:style w:type="character" w:customStyle="1" w:styleId="CommentTextChar">
    <w:name w:val="Comment Text Char"/>
    <w:basedOn w:val="DefaultParagraphFont"/>
    <w:link w:val="CommentText"/>
    <w:rsid w:val="00A23E0F"/>
    <w:rPr>
      <w:lang w:val="fr-FR"/>
    </w:rPr>
  </w:style>
  <w:style w:type="character" w:styleId="Hyperlink">
    <w:name w:val="Hyperlink"/>
    <w:basedOn w:val="DefaultParagraphFont"/>
    <w:uiPriority w:val="99"/>
    <w:unhideWhenUsed/>
    <w:rsid w:val="00A23E0F"/>
    <w:rPr>
      <w:color w:val="0000FF"/>
      <w:u w:val="single"/>
    </w:rPr>
  </w:style>
  <w:style w:type="paragraph" w:styleId="Revision">
    <w:name w:val="Revision"/>
    <w:hidden/>
    <w:uiPriority w:val="99"/>
    <w:semiHidden/>
    <w:rsid w:val="00A932C2"/>
    <w:rPr>
      <w:sz w:val="24"/>
      <w:lang w:val="fr-FR"/>
    </w:rPr>
  </w:style>
  <w:style w:type="paragraph" w:customStyle="1" w:styleId="AmDocTypeTab">
    <w:name w:val="AmDocTypeTab"/>
    <w:basedOn w:val="Normal"/>
    <w:rsid w:val="004E73F2"/>
    <w:pPr>
      <w:widowControl w:val="0"/>
      <w:tabs>
        <w:tab w:val="right" w:pos="9071"/>
      </w:tabs>
    </w:pPr>
    <w:rPr>
      <w:b/>
      <w:lang w:val="pl-PL"/>
    </w:rPr>
  </w:style>
  <w:style w:type="paragraph" w:customStyle="1" w:styleId="Normal12a">
    <w:name w:val="Normal12a"/>
    <w:basedOn w:val="Normal"/>
    <w:rsid w:val="004E73F2"/>
    <w:pPr>
      <w:widowControl w:val="0"/>
      <w:spacing w:after="240"/>
    </w:pPr>
    <w:rPr>
      <w:lang w:val="pl-PL"/>
    </w:rPr>
  </w:style>
  <w:style w:type="character" w:customStyle="1" w:styleId="HideTWBInt">
    <w:name w:val="HideTWBInt"/>
    <w:rsid w:val="004E73F2"/>
    <w:rPr>
      <w:rFonts w:ascii="Arial" w:hAnsi="Arial"/>
      <w:vanish/>
      <w:color w:val="808080"/>
      <w:sz w:val="20"/>
    </w:rPr>
  </w:style>
  <w:style w:type="paragraph" w:customStyle="1" w:styleId="AmOrLang">
    <w:name w:val="AmOrLang"/>
    <w:basedOn w:val="Normal"/>
    <w:rsid w:val="004E73F2"/>
    <w:pPr>
      <w:widowControl w:val="0"/>
      <w:spacing w:before="240" w:after="240"/>
      <w:jc w:val="right"/>
    </w:pPr>
    <w:rPr>
      <w:lang w:val="pl-PL"/>
    </w:rPr>
  </w:style>
  <w:style w:type="paragraph" w:customStyle="1" w:styleId="Normal6a">
    <w:name w:val="Normal6a"/>
    <w:basedOn w:val="Normal"/>
    <w:rsid w:val="004E73F2"/>
    <w:pPr>
      <w:widowControl w:val="0"/>
      <w:spacing w:after="120"/>
    </w:pPr>
    <w:rPr>
      <w:lang w:val="pl-PL"/>
    </w:rPr>
  </w:style>
  <w:style w:type="paragraph" w:customStyle="1" w:styleId="AmColumnHeading">
    <w:name w:val="AmColumnHeading"/>
    <w:basedOn w:val="Normal"/>
    <w:rsid w:val="004E73F2"/>
    <w:pPr>
      <w:widowControl w:val="0"/>
      <w:spacing w:after="240"/>
      <w:jc w:val="center"/>
    </w:pPr>
    <w:rPr>
      <w:i/>
      <w:lang w:val="pl-PL"/>
    </w:rPr>
  </w:style>
  <w:style w:type="paragraph" w:customStyle="1" w:styleId="AmNumberTabs">
    <w:name w:val="AmNumberTabs"/>
    <w:basedOn w:val="Normal"/>
    <w:rsid w:val="004E73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pl-PL"/>
    </w:rPr>
  </w:style>
  <w:style w:type="paragraph" w:customStyle="1" w:styleId="Text1">
    <w:name w:val="Text 1"/>
    <w:basedOn w:val="Normal"/>
    <w:rsid w:val="00677FB1"/>
    <w:pPr>
      <w:spacing w:before="120" w:after="120" w:line="360" w:lineRule="auto"/>
      <w:ind w:left="850"/>
    </w:pPr>
    <w:rPr>
      <w:rFonts w:eastAsiaTheme="minorHAnsi"/>
      <w:szCs w:val="22"/>
      <w:lang w:val="pl-PL" w:eastAsia="en-US"/>
    </w:rPr>
  </w:style>
  <w:style w:type="paragraph" w:customStyle="1" w:styleId="Point0">
    <w:name w:val="Point 0"/>
    <w:basedOn w:val="Normal"/>
    <w:rsid w:val="00677FB1"/>
    <w:pPr>
      <w:spacing w:before="120" w:after="120" w:line="360" w:lineRule="auto"/>
      <w:ind w:left="850" w:hanging="850"/>
    </w:pPr>
    <w:rPr>
      <w:rFonts w:eastAsiaTheme="minorHAnsi"/>
      <w:szCs w:val="22"/>
      <w:lang w:val="pl-PL" w:eastAsia="en-US"/>
    </w:rPr>
  </w:style>
  <w:style w:type="paragraph" w:customStyle="1" w:styleId="Point1">
    <w:name w:val="Point 1"/>
    <w:basedOn w:val="Normal"/>
    <w:rsid w:val="00677FB1"/>
    <w:pPr>
      <w:spacing w:before="120" w:after="120" w:line="360" w:lineRule="auto"/>
      <w:ind w:left="1417" w:hanging="567"/>
    </w:pPr>
    <w:rPr>
      <w:rFonts w:eastAsiaTheme="minorHAnsi"/>
      <w:szCs w:val="22"/>
      <w:lang w:val="pl-PL" w:eastAsia="en-US"/>
    </w:rPr>
  </w:style>
  <w:style w:type="paragraph" w:customStyle="1" w:styleId="Point2">
    <w:name w:val="Point 2"/>
    <w:basedOn w:val="Normal"/>
    <w:rsid w:val="00677FB1"/>
    <w:pPr>
      <w:spacing w:before="120" w:after="120" w:line="360" w:lineRule="auto"/>
      <w:ind w:left="1984" w:hanging="567"/>
    </w:pPr>
    <w:rPr>
      <w:rFonts w:eastAsiaTheme="minorHAnsi"/>
      <w:szCs w:val="22"/>
      <w:lang w:val="pl-PL" w:eastAsia="en-US"/>
    </w:rPr>
  </w:style>
  <w:style w:type="paragraph" w:customStyle="1" w:styleId="Point3">
    <w:name w:val="Point 3"/>
    <w:basedOn w:val="Normal"/>
    <w:rsid w:val="00677FB1"/>
    <w:pPr>
      <w:spacing w:before="120" w:after="120" w:line="360" w:lineRule="auto"/>
      <w:ind w:left="2551" w:hanging="567"/>
    </w:pPr>
    <w:rPr>
      <w:rFonts w:eastAsiaTheme="minorHAnsi"/>
      <w:szCs w:val="22"/>
      <w:lang w:val="pl-PL" w:eastAsia="en-US"/>
    </w:rPr>
  </w:style>
  <w:style w:type="paragraph" w:customStyle="1" w:styleId="ManualNumPar1">
    <w:name w:val="Manual NumPar 1"/>
    <w:basedOn w:val="Normal"/>
    <w:next w:val="Text1"/>
    <w:rsid w:val="00677FB1"/>
    <w:pPr>
      <w:spacing w:before="120" w:after="120" w:line="360" w:lineRule="auto"/>
      <w:ind w:left="850" w:hanging="850"/>
    </w:pPr>
    <w:rPr>
      <w:rFonts w:eastAsiaTheme="minorHAnsi"/>
      <w:szCs w:val="22"/>
      <w:lang w:val="pl-PL" w:eastAsia="en-US"/>
    </w:rPr>
  </w:style>
  <w:style w:type="paragraph" w:customStyle="1" w:styleId="Applicationdirecte">
    <w:name w:val="Application directe"/>
    <w:basedOn w:val="Normal"/>
    <w:next w:val="Fait"/>
    <w:rsid w:val="00677FB1"/>
    <w:pPr>
      <w:spacing w:before="480" w:after="120" w:line="360" w:lineRule="auto"/>
    </w:pPr>
    <w:rPr>
      <w:rFonts w:eastAsiaTheme="minorHAnsi"/>
      <w:szCs w:val="22"/>
      <w:lang w:val="pl-PL" w:eastAsia="en-US"/>
    </w:rPr>
  </w:style>
  <w:style w:type="paragraph" w:customStyle="1" w:styleId="Datedadoption">
    <w:name w:val="Date d'adoption"/>
    <w:basedOn w:val="Normal"/>
    <w:next w:val="Titreobjet"/>
    <w:rsid w:val="00677FB1"/>
    <w:pPr>
      <w:spacing w:before="360" w:line="360" w:lineRule="auto"/>
      <w:jc w:val="center"/>
    </w:pPr>
    <w:rPr>
      <w:rFonts w:eastAsiaTheme="minorHAnsi"/>
      <w:b/>
      <w:szCs w:val="22"/>
      <w:lang w:val="pl-PL" w:eastAsia="en-US"/>
    </w:rPr>
  </w:style>
  <w:style w:type="paragraph" w:customStyle="1" w:styleId="Fait">
    <w:name w:val="Fait à"/>
    <w:basedOn w:val="Normal"/>
    <w:next w:val="Institutionquisigne"/>
    <w:rsid w:val="00677FB1"/>
    <w:pPr>
      <w:keepNext/>
      <w:spacing w:before="120" w:line="360" w:lineRule="auto"/>
    </w:pPr>
    <w:rPr>
      <w:rFonts w:eastAsiaTheme="minorHAnsi"/>
      <w:szCs w:val="22"/>
      <w:lang w:val="pl-PL" w:eastAsia="en-US"/>
    </w:rPr>
  </w:style>
  <w:style w:type="paragraph" w:customStyle="1" w:styleId="Formuledadoption">
    <w:name w:val="Formule d'adoption"/>
    <w:basedOn w:val="Normal"/>
    <w:next w:val="Titrearticle"/>
    <w:rsid w:val="00677FB1"/>
    <w:pPr>
      <w:keepNext/>
      <w:spacing w:before="120" w:after="120" w:line="360" w:lineRule="auto"/>
    </w:pPr>
    <w:rPr>
      <w:rFonts w:eastAsiaTheme="minorHAnsi"/>
      <w:szCs w:val="22"/>
      <w:lang w:val="pl-PL" w:eastAsia="en-US"/>
    </w:rPr>
  </w:style>
  <w:style w:type="paragraph" w:customStyle="1" w:styleId="Institutionquiagit">
    <w:name w:val="Institution qui agit"/>
    <w:basedOn w:val="Normal"/>
    <w:next w:val="Normal"/>
    <w:rsid w:val="00677FB1"/>
    <w:pPr>
      <w:keepNext/>
      <w:spacing w:before="600" w:after="120" w:line="360" w:lineRule="auto"/>
    </w:pPr>
    <w:rPr>
      <w:rFonts w:eastAsiaTheme="minorHAnsi"/>
      <w:szCs w:val="22"/>
      <w:lang w:val="pl-PL" w:eastAsia="en-US"/>
    </w:rPr>
  </w:style>
  <w:style w:type="paragraph" w:customStyle="1" w:styleId="Institutionquisigne">
    <w:name w:val="Institution qui signe"/>
    <w:basedOn w:val="Normal"/>
    <w:next w:val="Personnequisigne"/>
    <w:rsid w:val="00677FB1"/>
    <w:pPr>
      <w:keepNext/>
      <w:tabs>
        <w:tab w:val="left" w:pos="5669"/>
      </w:tabs>
      <w:spacing w:before="720" w:line="360" w:lineRule="auto"/>
    </w:pPr>
    <w:rPr>
      <w:rFonts w:eastAsiaTheme="minorHAnsi"/>
      <w:i/>
      <w:szCs w:val="22"/>
      <w:lang w:val="pl-PL" w:eastAsia="en-US"/>
    </w:rPr>
  </w:style>
  <w:style w:type="paragraph" w:customStyle="1" w:styleId="ManualConsidrant">
    <w:name w:val="Manual Considérant"/>
    <w:basedOn w:val="Normal"/>
    <w:rsid w:val="00677FB1"/>
    <w:pPr>
      <w:spacing w:before="120" w:after="120" w:line="360" w:lineRule="auto"/>
      <w:ind w:left="850" w:hanging="850"/>
    </w:pPr>
    <w:rPr>
      <w:rFonts w:eastAsiaTheme="minorHAnsi"/>
      <w:szCs w:val="22"/>
      <w:lang w:val="pl-PL" w:eastAsia="en-US"/>
    </w:rPr>
  </w:style>
  <w:style w:type="paragraph" w:customStyle="1" w:styleId="Personnequisigne">
    <w:name w:val="Personne qui signe"/>
    <w:basedOn w:val="Normal"/>
    <w:next w:val="Institutionquisigne"/>
    <w:rsid w:val="00677FB1"/>
    <w:pPr>
      <w:tabs>
        <w:tab w:val="left" w:pos="5669"/>
      </w:tabs>
      <w:spacing w:line="360" w:lineRule="auto"/>
    </w:pPr>
    <w:rPr>
      <w:rFonts w:eastAsiaTheme="minorHAnsi"/>
      <w:i/>
      <w:szCs w:val="22"/>
      <w:lang w:val="pl-PL" w:eastAsia="en-US"/>
    </w:rPr>
  </w:style>
  <w:style w:type="paragraph" w:customStyle="1" w:styleId="Sous-titreobjet">
    <w:name w:val="Sous-titre objet"/>
    <w:basedOn w:val="Normal"/>
    <w:rsid w:val="00677FB1"/>
    <w:pPr>
      <w:spacing w:line="360" w:lineRule="auto"/>
      <w:jc w:val="center"/>
    </w:pPr>
    <w:rPr>
      <w:rFonts w:eastAsiaTheme="minorHAnsi"/>
      <w:b/>
      <w:szCs w:val="22"/>
      <w:lang w:val="pl-PL" w:eastAsia="en-US"/>
    </w:rPr>
  </w:style>
  <w:style w:type="paragraph" w:customStyle="1" w:styleId="Titrearticle">
    <w:name w:val="Titre article"/>
    <w:basedOn w:val="Normal"/>
    <w:next w:val="Normal"/>
    <w:rsid w:val="00677FB1"/>
    <w:pPr>
      <w:keepNext/>
      <w:spacing w:before="360" w:after="120" w:line="360" w:lineRule="auto"/>
      <w:jc w:val="center"/>
    </w:pPr>
    <w:rPr>
      <w:rFonts w:eastAsiaTheme="minorHAnsi"/>
      <w:i/>
      <w:szCs w:val="22"/>
      <w:lang w:val="pl-PL" w:eastAsia="en-US"/>
    </w:rPr>
  </w:style>
  <w:style w:type="paragraph" w:customStyle="1" w:styleId="Titreobjet">
    <w:name w:val="Titre objet"/>
    <w:basedOn w:val="Normal"/>
    <w:next w:val="Sous-titreobjet"/>
    <w:rsid w:val="00677FB1"/>
    <w:pPr>
      <w:spacing w:before="360" w:after="360" w:line="360" w:lineRule="auto"/>
      <w:jc w:val="center"/>
    </w:pPr>
    <w:rPr>
      <w:rFonts w:eastAsiaTheme="minorHAnsi"/>
      <w:b/>
      <w:szCs w:val="22"/>
      <w:lang w:val="pl-PL" w:eastAsia="en-US"/>
    </w:rPr>
  </w:style>
  <w:style w:type="paragraph" w:customStyle="1" w:styleId="Typedudocument">
    <w:name w:val="Type du document"/>
    <w:basedOn w:val="Normal"/>
    <w:next w:val="Datedadoption"/>
    <w:rsid w:val="00677FB1"/>
    <w:pPr>
      <w:spacing w:before="360" w:line="360" w:lineRule="auto"/>
      <w:jc w:val="center"/>
    </w:pPr>
    <w:rPr>
      <w:rFonts w:eastAsiaTheme="minorHAnsi"/>
      <w:b/>
      <w:szCs w:val="22"/>
      <w:lang w:val="pl-PL" w:eastAsia="en-US"/>
    </w:rPr>
  </w:style>
  <w:style w:type="paragraph" w:customStyle="1" w:styleId="Lignefinal">
    <w:name w:val="Ligne final"/>
    <w:basedOn w:val="Normal"/>
    <w:next w:val="Normal"/>
    <w:rsid w:val="00677FB1"/>
    <w:pPr>
      <w:pBdr>
        <w:bottom w:val="single" w:sz="4" w:space="0" w:color="000000"/>
      </w:pBdr>
      <w:spacing w:before="360" w:after="120" w:line="360" w:lineRule="auto"/>
      <w:ind w:left="3400" w:right="3400"/>
      <w:jc w:val="center"/>
    </w:pPr>
    <w:rPr>
      <w:rFonts w:eastAsiaTheme="minorHAnsi"/>
      <w:b/>
      <w:szCs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8</TotalTime>
  <Pages>37</Pages>
  <Words>7646</Words>
  <Characters>43584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5</cp:revision>
  <cp:lastPrinted>2014-08-07T13:15:00Z</cp:lastPrinted>
  <dcterms:created xsi:type="dcterms:W3CDTF">2026-07-14T10:57:00Z</dcterms:created>
  <dcterms:modified xsi:type="dcterms:W3CDTF">2026-09-29T08:22:00Z</dcterms:modified>
</cp:coreProperties>
</file>