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392DDF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B0879" w:rsidP="0010095E" w14:paraId="7D2CE715" w14:textId="77777777">
            <w:pPr>
              <w:pStyle w:val="EPName"/>
            </w:pPr>
            <w:r w:rsidRPr="00AB0879">
              <w:t>Parlament Ewropew</w:t>
            </w:r>
          </w:p>
          <w:p w:rsidR="00751A4A" w:rsidRPr="00AB0879" w:rsidP="005F1B17" w14:paraId="3EAA1DD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0879">
              <w:t>2024</w:t>
            </w:r>
            <w:r w:rsidRPr="00AB0879" w:rsidR="00817416">
              <w:t>-202</w:t>
            </w:r>
            <w:r w:rsidRPr="00AB08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B0879" w:rsidP="0010095E" w14:paraId="1F48B6A0" w14:textId="77777777">
            <w:pPr>
              <w:pStyle w:val="EPLogo"/>
            </w:pPr>
            <w:r w:rsidRPr="00AB087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B0879" w:rsidP="004C5D52" w14:paraId="7459E4EE" w14:textId="77777777">
      <w:pPr>
        <w:pStyle w:val="LineTop"/>
      </w:pPr>
    </w:p>
    <w:p w:rsidR="00680577" w:rsidRPr="00AB0879" w:rsidP="00680577" w14:paraId="37B07200" w14:textId="77777777">
      <w:pPr>
        <w:pStyle w:val="EPBodyTA1"/>
      </w:pPr>
      <w:r w:rsidRPr="00AB0879">
        <w:t>TESTI ADOTTATI</w:t>
      </w:r>
    </w:p>
    <w:p w:rsidR="00D058B8" w:rsidRPr="00AB0879" w:rsidP="00D058B8" w14:paraId="07124770" w14:textId="77777777">
      <w:pPr>
        <w:pStyle w:val="LineBottom"/>
      </w:pPr>
    </w:p>
    <w:p w:rsidR="00360438" w:rsidRPr="00AB0879" w:rsidP="00360438" w14:paraId="634B5A91" w14:textId="7AC0A11C">
      <w:pPr>
        <w:pStyle w:val="ATHeading1"/>
      </w:pPr>
      <w:bookmarkStart w:id="0" w:name="TANumber"/>
      <w:r w:rsidRPr="00AB0879">
        <w:t>P10_TA(2026)0</w:t>
      </w:r>
      <w:bookmarkEnd w:id="0"/>
      <w:r w:rsidR="00B046A9">
        <w:t>268</w:t>
      </w:r>
    </w:p>
    <w:p w:rsidR="00360438" w:rsidRPr="00AB0879" w:rsidP="00360438" w14:paraId="5CDE666F" w14:textId="77777777">
      <w:pPr>
        <w:pStyle w:val="ATHeading2"/>
      </w:pPr>
      <w:bookmarkStart w:id="1" w:name="title"/>
      <w:r w:rsidRPr="00AB0879">
        <w:t xml:space="preserve">Il-persekuzzjoni li għaddejja bħalissa tal-Insara fin-Niġerja, b’mod partikolari l-massakru fir-raħal ta’ </w:t>
      </w:r>
      <w:r w:rsidRPr="00AB0879">
        <w:t>Kawel</w:t>
      </w:r>
      <w:bookmarkEnd w:id="1"/>
    </w:p>
    <w:p w:rsidR="00360438" w:rsidRPr="00AB0879" w:rsidP="00360438" w14:paraId="5B0C9088" w14:textId="5537A24E">
      <w:pPr>
        <w:rPr>
          <w:i/>
          <w:vanish/>
        </w:rPr>
      </w:pPr>
      <w:r>
        <w:rPr>
          <w:i/>
        </w:rPr>
        <w:fldChar w:fldCharType="begin"/>
      </w:r>
      <w:r w:rsidRPr="00AB0879">
        <w:rPr>
          <w:i/>
        </w:rPr>
        <w:instrText xml:space="preserve"> TC"(</w:instrText>
      </w:r>
      <w:bookmarkStart w:id="2" w:name="DocNumber"/>
      <w:r w:rsidRPr="00AB0879">
        <w:rPr>
          <w:i/>
        </w:rPr>
        <w:instrText>B10-0345</w:instrText>
      </w:r>
      <w:r w:rsidR="004432FE">
        <w:rPr>
          <w:i/>
        </w:rPr>
        <w:instrText>, 0353, 0355 u 0356</w:instrText>
      </w:r>
      <w:r w:rsidRPr="00AB0879">
        <w:rPr>
          <w:i/>
        </w:rPr>
        <w:instrText>/2026</w:instrText>
      </w:r>
      <w:bookmarkEnd w:id="2"/>
      <w:r w:rsidRPr="00AB087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60438" w:rsidRPr="00AB0879" w:rsidP="00360438" w14:paraId="0C1193F1" w14:textId="77777777">
      <w:pPr>
        <w:rPr>
          <w:vanish/>
        </w:rPr>
      </w:pPr>
      <w:bookmarkStart w:id="3" w:name="PE"/>
      <w:r w:rsidRPr="00AB0879">
        <w:rPr>
          <w:vanish/>
        </w:rPr>
        <w:t>PE783.408</w:t>
      </w:r>
      <w:bookmarkEnd w:id="3"/>
    </w:p>
    <w:p w:rsidR="00360438" w:rsidRPr="00AB0879" w:rsidP="004432FE" w14:paraId="5A515FA8" w14:textId="1772E077">
      <w:pPr>
        <w:pStyle w:val="ATHeading3"/>
      </w:pPr>
      <w:bookmarkStart w:id="4" w:name="Sujet"/>
      <w:r w:rsidRPr="00AB0879">
        <w:t xml:space="preserve">Riżoluzzjoni tal-Parlament Ewropew </w:t>
      </w:r>
      <w:r w:rsidR="004432FE">
        <w:t>tad-9 ta’ Lulju</w:t>
      </w:r>
      <w:r w:rsidRPr="00AB0879">
        <w:t xml:space="preserve"> 2026 dwar il-persekuzzjoni li għaddejja bħalissa tal-Insara fin-Niġerja, b’mod partikolari l-massakru fir-raħal ta’ </w:t>
      </w:r>
      <w:r w:rsidRPr="00AB0879">
        <w:t>Kawel</w:t>
      </w:r>
      <w:bookmarkEnd w:id="4"/>
      <w:r w:rsidRPr="00AB0879">
        <w:t xml:space="preserve"> </w:t>
      </w:r>
      <w:bookmarkStart w:id="5" w:name="References"/>
      <w:r w:rsidRPr="00AB0879">
        <w:t>(2026/2800(RSP))</w:t>
      </w:r>
      <w:bookmarkEnd w:id="5"/>
    </w:p>
    <w:p w:rsidR="005904D8" w:rsidRPr="00AB0879" w:rsidP="005904D8" w14:paraId="6520F712" w14:textId="77777777">
      <w:pPr>
        <w:pStyle w:val="EPComma"/>
      </w:pPr>
      <w:bookmarkStart w:id="6" w:name="TextBodyBegin"/>
      <w:bookmarkEnd w:id="6"/>
      <w:r w:rsidRPr="00AB0879">
        <w:rPr>
          <w:i/>
        </w:rPr>
        <w:t>Il-Parlament Ewropew</w:t>
      </w:r>
      <w:r w:rsidRPr="00AB0879">
        <w:t>,</w:t>
      </w:r>
    </w:p>
    <w:p w:rsidR="005904D8" w:rsidRPr="00AB0879" w:rsidP="005904D8" w14:paraId="3CB34AFA" w14:textId="77777777">
      <w:pPr>
        <w:pStyle w:val="NormalHanging12a"/>
      </w:pPr>
      <w:r w:rsidRPr="00AB0879">
        <w:t>–</w:t>
      </w:r>
      <w:r w:rsidRPr="00AB0879">
        <w:tab/>
        <w:t>wara li kkunsidra l-Artikolu 150(5) u l-Artikolu 136(4) tar-Regoli ta’ Proċedura tiegħu,</w:t>
      </w:r>
    </w:p>
    <w:p w:rsidR="005904D8" w:rsidRPr="00AB0879" w:rsidP="005904D8" w14:paraId="45501FB4" w14:textId="77777777">
      <w:pPr>
        <w:pStyle w:val="NormalHanging12a"/>
      </w:pPr>
      <w:r w:rsidRPr="00AB0879">
        <w:t>A.</w:t>
      </w:r>
      <w:r w:rsidRPr="00AB0879">
        <w:tab/>
        <w:t xml:space="preserve">billi f’Ġunju 2026, attakk armat brutali fuq persuni ċivili fir-raħal ta’ </w:t>
      </w:r>
      <w:r w:rsidRPr="00AB0879">
        <w:t>Kawel</w:t>
      </w:r>
      <w:r w:rsidRPr="00AB0879">
        <w:t xml:space="preserve">, l-Istat ta’ </w:t>
      </w:r>
      <w:r w:rsidRPr="00AB0879">
        <w:t>Plateau</w:t>
      </w:r>
      <w:r w:rsidRPr="00AB0879">
        <w:t>, ikkawża għexieren ta’ mwiet fost il-komunità Nisranija lokali, bosta korrimenti, u ħsara fl-infrastruttura, li jirrifletti l-</w:t>
      </w:r>
      <w:r w:rsidRPr="00AB0879">
        <w:t>intersezzjoni</w:t>
      </w:r>
      <w:r w:rsidRPr="00AB0879">
        <w:t xml:space="preserve"> </w:t>
      </w:r>
      <w:r w:rsidRPr="00AB0879">
        <w:t>traġika</w:t>
      </w:r>
      <w:r w:rsidRPr="00AB0879">
        <w:t xml:space="preserve"> ta’ tensjonijiet etniċi u reliġjużi u kunflitti dwar ir-riżorsi;</w:t>
      </w:r>
    </w:p>
    <w:p w:rsidR="005904D8" w:rsidRPr="00AB0879" w:rsidP="005904D8" w14:paraId="2DDD0FCA" w14:textId="77777777">
      <w:pPr>
        <w:pStyle w:val="NormalHanging12a"/>
      </w:pPr>
      <w:r w:rsidRPr="00AB0879">
        <w:t>B.</w:t>
      </w:r>
      <w:r w:rsidRPr="00AB0879">
        <w:tab/>
        <w:t>billi, minkejja twissijiet ripetuti minn komunitajiet lokali, knejjes, u organizzazzjonijiet tad-drittijiet tal-bniedem u tas-soċjetà ċivili, l-awtoritajiet Niġerjani ma setgħux jipprevjenu attakki bħal dawn, jipprovdu protezzjoni adegwata lill-popolazzjonijiet Nsara vulnerabbli u lill-komunitajiet vulnerabbli b’mod ġenerali, jiżguraw intervent f’waqtu u effettiv, jew iwettqu investigazzjonijiet u prosekuzzjonijiet bir-reqqa;</w:t>
      </w:r>
    </w:p>
    <w:p w:rsidR="005904D8" w:rsidRPr="00AB0879" w:rsidP="005904D8" w14:paraId="14B3723B" w14:textId="77777777">
      <w:pPr>
        <w:pStyle w:val="NormalHanging12a"/>
      </w:pPr>
      <w:r w:rsidRPr="00AB0879">
        <w:t>C.</w:t>
      </w:r>
      <w:r w:rsidRPr="00AB0879">
        <w:tab/>
        <w:t xml:space="preserve">billi dan l-attakk jifforma parti minn xejra usa’ ta’ vjolenza fl-Istat ta’ </w:t>
      </w:r>
      <w:r w:rsidRPr="00AB0879">
        <w:t>Plateau</w:t>
      </w:r>
      <w:r w:rsidRPr="00AB0879">
        <w:t xml:space="preserve"> u fil-Faxxa Ċentrali, inklużi attakki fuq komunitajiet tal-biedja fil-biċċa l-kbira Nsara, mexxejja tradizzjonali, kleru, skejjel, faċilitajiet tas-saħħa u postijiet ta’ qima;</w:t>
      </w:r>
    </w:p>
    <w:p w:rsidR="005904D8" w:rsidRPr="00AB0879" w:rsidP="005904D8" w14:paraId="4331FD9A" w14:textId="77777777">
      <w:pPr>
        <w:pStyle w:val="NormalHanging12a"/>
      </w:pPr>
      <w:r w:rsidRPr="00AB0879">
        <w:t>D.</w:t>
      </w:r>
      <w:r w:rsidRPr="00AB0879">
        <w:tab/>
        <w:t xml:space="preserve">billi l-vjolenza </w:t>
      </w:r>
      <w:r w:rsidRPr="00AB0879">
        <w:t>sistemika</w:t>
      </w:r>
      <w:r w:rsidRPr="00AB0879">
        <w:t xml:space="preserve"> fil-Faxxa Ċentrali tan-Niġerja hija xprunata minn taħlita kumplessa ta’ tensjonijiet reliġjużi, etniċi u </w:t>
      </w:r>
      <w:r w:rsidRPr="00AB0879">
        <w:t>interkomunali</w:t>
      </w:r>
      <w:r w:rsidRPr="00AB0879">
        <w:t xml:space="preserve">, </w:t>
      </w:r>
      <w:r w:rsidRPr="00AB0879">
        <w:t>kunflitti</w:t>
      </w:r>
      <w:r w:rsidRPr="00AB0879">
        <w:t xml:space="preserve"> bejn il-bdiewa u r-raħħala, tilwim dwar l-art u l-ilma, kriminalità organizzata, attività </w:t>
      </w:r>
      <w:r w:rsidRPr="00AB0879">
        <w:t>estremista</w:t>
      </w:r>
      <w:r w:rsidRPr="00AB0879">
        <w:t xml:space="preserve">, pressjonijiet </w:t>
      </w:r>
      <w:r w:rsidRPr="00AB0879">
        <w:t>klimatiċi</w:t>
      </w:r>
      <w:r w:rsidRPr="00AB0879">
        <w:t xml:space="preserve"> u impunità persistenti;</w:t>
      </w:r>
    </w:p>
    <w:p w:rsidR="005904D8" w:rsidRPr="00AB0879" w:rsidP="005904D8" w14:paraId="6FDAD150" w14:textId="13E050A2">
      <w:pPr>
        <w:pStyle w:val="NormalHanging12a"/>
      </w:pPr>
      <w:r w:rsidRPr="00AB0879">
        <w:t>E.</w:t>
      </w:r>
      <w:r w:rsidRPr="00AB0879">
        <w:tab/>
        <w:t>billi l-Insara huma l-aktar grupp reliġjuż ppersegwitat globalment, u n-nuqqas li tiġi indirizzata din il-persekuzzjoni jimmina l-protezzjoni tal-libertà tar-reliġjon jew tat-twemmin;</w:t>
      </w:r>
    </w:p>
    <w:p w:rsidR="005904D8" w:rsidRPr="00AB0879" w:rsidP="005904D8" w14:paraId="389CD822" w14:textId="77777777">
      <w:pPr>
        <w:pStyle w:val="NormalHanging12a"/>
        <w:rPr>
          <w:bCs/>
        </w:rPr>
      </w:pPr>
      <w:r w:rsidRPr="00AB0879">
        <w:t>1.</w:t>
      </w:r>
      <w:r w:rsidRPr="00AB0879">
        <w:tab/>
        <w:t>Jikkundanna bil-qawwa l-vjolenza kollha mwettqa kontra ċ-ċivili f’</w:t>
      </w:r>
      <w:r w:rsidRPr="00AB0879">
        <w:t>Kawel</w:t>
      </w:r>
      <w:r w:rsidRPr="00AB0879">
        <w:t xml:space="preserve"> u l-Faxxa Ċentrali usa’; jiddeplora b’mod partikolari l-impatt sproporzjonat fuq in-nisa u l-bniet, u </w:t>
      </w:r>
      <w:r w:rsidRPr="00AB0879">
        <w:t>jiddenunzja</w:t>
      </w:r>
      <w:r w:rsidRPr="00AB0879">
        <w:t xml:space="preserve"> bil-qawwa ż-żieda </w:t>
      </w:r>
      <w:r w:rsidRPr="00AB0879">
        <w:t>allarmanti</w:t>
      </w:r>
      <w:r w:rsidRPr="00AB0879">
        <w:t xml:space="preserve"> fis-sekwestri u l-ħtif immirati; jesprimi l-kondoljanzi sinċiera tiegħu lill-familji tal-vittmi kollha u lil dawk kollha affettwati minn dan l-attakk </w:t>
      </w:r>
      <w:r w:rsidRPr="00AB0879">
        <w:t>orribbli</w:t>
      </w:r>
      <w:r w:rsidRPr="00AB0879">
        <w:t xml:space="preserve">, inkluża l-komunità Nisranija tal-Istat ta’ </w:t>
      </w:r>
      <w:r w:rsidRPr="00AB0879">
        <w:t>Plateau</w:t>
      </w:r>
      <w:r w:rsidRPr="00AB0879">
        <w:t>;</w:t>
      </w:r>
    </w:p>
    <w:p w:rsidR="005904D8" w:rsidRPr="00AB0879" w:rsidP="005904D8" w14:paraId="741C63BE" w14:textId="77777777">
      <w:pPr>
        <w:pStyle w:val="NormalHanging12a"/>
      </w:pPr>
      <w:r w:rsidRPr="00AB0879">
        <w:t>2.</w:t>
      </w:r>
      <w:r w:rsidRPr="00AB0879">
        <w:tab/>
        <w:t xml:space="preserve">Iħeġġeġ lill-awtoritajiet federali u statali Niġerjani jwettqu investigazzjoni bir-reqqa, trasparenti u indipendenti dwar il-massakru ta’ </w:t>
      </w:r>
      <w:r w:rsidRPr="00AB0879">
        <w:t>Kawel</w:t>
      </w:r>
      <w:r w:rsidRPr="00AB0879">
        <w:t xml:space="preserve"> biex iressqu lill-awturi tar-reati quddiem il-ġustizzja u jtemmu l-kultura ta’ impunità;</w:t>
      </w:r>
    </w:p>
    <w:p w:rsidR="005904D8" w:rsidRPr="00AB0879" w:rsidP="005904D8" w14:paraId="002B7699" w14:textId="77777777">
      <w:pPr>
        <w:pStyle w:val="NormalHanging12a"/>
      </w:pPr>
      <w:r w:rsidRPr="00AB0879">
        <w:t>3.</w:t>
      </w:r>
      <w:r w:rsidRPr="00AB0879">
        <w:tab/>
        <w:t>Jistieden lill-Gvern Niġerjan isaħħaħ kemm l-operazzjonijiet kontra t-terroriżmu kontra l-militanti armati, b’mod partikolari fir-reġjun tal-Faxxa Ċentrali, kif ukoll l-isforzi biex jiġu miġġielda l-</w:t>
      </w:r>
      <w:r w:rsidRPr="00AB0879">
        <w:t>Boko</w:t>
      </w:r>
      <w:r w:rsidRPr="00AB0879">
        <w:t xml:space="preserve"> </w:t>
      </w:r>
      <w:r w:rsidRPr="00AB0879">
        <w:t>Haram</w:t>
      </w:r>
      <w:r w:rsidRPr="00AB0879">
        <w:t xml:space="preserve"> u l-Istat Iżlamiku fil-Provinċja tal-Afrika tal-Punent;</w:t>
      </w:r>
    </w:p>
    <w:p w:rsidR="005904D8" w:rsidRPr="00AB0879" w:rsidP="005904D8" w14:paraId="1E7187C0" w14:textId="77777777">
      <w:pPr>
        <w:pStyle w:val="NormalHanging12a"/>
      </w:pPr>
      <w:r w:rsidRPr="00AB0879">
        <w:t>4.</w:t>
      </w:r>
      <w:r w:rsidRPr="00AB0879">
        <w:tab/>
        <w:t xml:space="preserve">Jistieden lill-Gvern Niġerjan jirrimedja l-fallimenti tal-intelligence, itejjeb il-kondiviżjoni tat-twissija bikrija, isaħħaħ il-protezzjoni ċivili mmexxija mill-Istat, jinvesti fil-medjazzjoni reġjonali, jimplimenta politiki sostenibbli dwar </w:t>
      </w:r>
      <w:r w:rsidRPr="00AB0879">
        <w:t>il-ġestjoni</w:t>
      </w:r>
      <w:r w:rsidRPr="00AB0879">
        <w:t xml:space="preserve"> tal-art, </w:t>
      </w:r>
      <w:r w:rsidRPr="00AB0879">
        <w:t>irawwem</w:t>
      </w:r>
      <w:r w:rsidRPr="00AB0879">
        <w:t xml:space="preserve"> is-sigurtà tal-ikel u jindirizza l-</w:t>
      </w:r>
      <w:r w:rsidRPr="00AB0879">
        <w:t>ixprunaturi</w:t>
      </w:r>
      <w:r w:rsidRPr="00AB0879">
        <w:t xml:space="preserve"> ekoloġiċi;</w:t>
      </w:r>
    </w:p>
    <w:p w:rsidR="005904D8" w:rsidRPr="00AB0879" w:rsidP="005904D8" w14:paraId="0471A520" w14:textId="77777777">
      <w:pPr>
        <w:pStyle w:val="NormalHanging12a"/>
      </w:pPr>
      <w:r w:rsidRPr="00AB0879">
        <w:t>5.</w:t>
      </w:r>
      <w:r w:rsidRPr="00AB0879">
        <w:tab/>
        <w:t>Jappoġġja l-isforzi biex jiġi stabbilit djalogu nazzjonali sinifikanti u inklużiv biex tiġi indirizzata l-vjolenza li għaddejja f’diversi reġjuni, u jissottolinja l-ħtieġa li jiġu indirizzati l-fatturi soċjoekonomiċi marbuta ma’ dawn l-attakki;</w:t>
      </w:r>
    </w:p>
    <w:p w:rsidR="005904D8" w:rsidRPr="00AB0879" w:rsidP="005904D8" w14:paraId="16D86C5B" w14:textId="77777777">
      <w:pPr>
        <w:pStyle w:val="NormalHanging12a"/>
      </w:pPr>
      <w:r w:rsidRPr="00AB0879">
        <w:t>6.</w:t>
      </w:r>
      <w:r w:rsidRPr="00AB0879">
        <w:tab/>
        <w:t>Jafferma mill-ġdid l-impenn sod tiegħu favur il-libertà tal-ħsieb, tal-kuxjenza u tar-reliġjon;</w:t>
      </w:r>
    </w:p>
    <w:p w:rsidR="005904D8" w:rsidRPr="00AB0879" w:rsidP="005904D8" w14:paraId="07C1AD96" w14:textId="77777777">
      <w:pPr>
        <w:pStyle w:val="NormalHanging12a"/>
      </w:pPr>
      <w:r w:rsidRPr="00AB0879">
        <w:t>7.</w:t>
      </w:r>
      <w:r w:rsidRPr="00AB0879">
        <w:tab/>
        <w:t>Jistieden lill-Mibgħut Speċjali tal-UE għall-promozzjoni tal-libertà tar-reliġjon jew tat-twemmin barra mill-UE jagħti attenzjoni partikolari lis-sitwazzjoni li qed tiddeterjora tal-Insara u tal-komunitajiet reliġjużi ppersegwitati kollha fin-Niġerja;</w:t>
      </w:r>
    </w:p>
    <w:p w:rsidR="005904D8" w:rsidRPr="00AB0879" w:rsidP="005904D8" w14:paraId="2C2D14C2" w14:textId="77777777">
      <w:pPr>
        <w:pStyle w:val="NormalHanging12a"/>
      </w:pPr>
      <w:r w:rsidRPr="00AB0879">
        <w:t>8.</w:t>
      </w:r>
      <w:r w:rsidRPr="00AB0879">
        <w:tab/>
        <w:t>Iħeġġeġ lill-Gvern Niġerjan jindirizza s-sitwazzjoni tal-persuni spostati internament b’mod effettiv billi jipprovdi kenn temporanju adegwat u jipprijoritizza r-ritorn sikur tagħhom lejn il-komunitajiet ta’ oriġini tagħhom;</w:t>
      </w:r>
    </w:p>
    <w:p w:rsidR="00E365E1" w:rsidRPr="00AB0879" w:rsidP="004432FE" w14:paraId="79EEECEF" w14:textId="2D1A009C">
      <w:pPr>
        <w:pStyle w:val="NormalHanging12a"/>
      </w:pPr>
      <w:r w:rsidRPr="00AB0879">
        <w:t>9.</w:t>
      </w:r>
      <w:r w:rsidRPr="00AB0879">
        <w:tab/>
        <w:t>Jagħti istruzzjonijiet lill-President tiegħu biex tgħaddi din ir-riżoluzzjoni lill-Kunsill, lill-Kummissjoni, lill-VP/RGħ u lill-Gvern u l-Parlament tar-Repubblika Federali tan-Niġerja.</w:t>
      </w:r>
    </w:p>
    <w:sectPr w:rsidSect="00AB08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879" w14:paraId="2151673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879" w14:paraId="385B0F0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879" w14:paraId="00DC8CD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879" w14:paraId="4866002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879" w14:paraId="482C7C4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879" w14:paraId="4BAA11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7946298">
    <w:abstractNumId w:val="9"/>
  </w:num>
  <w:num w:numId="2" w16cid:durableId="15935356">
    <w:abstractNumId w:val="9"/>
  </w:num>
  <w:num w:numId="3" w16cid:durableId="1016883041">
    <w:abstractNumId w:val="7"/>
  </w:num>
  <w:num w:numId="4" w16cid:durableId="1280842133">
    <w:abstractNumId w:val="7"/>
  </w:num>
  <w:num w:numId="5" w16cid:durableId="2067072031">
    <w:abstractNumId w:val="6"/>
  </w:num>
  <w:num w:numId="6" w16cid:durableId="858540591">
    <w:abstractNumId w:val="6"/>
  </w:num>
  <w:num w:numId="7" w16cid:durableId="354229771">
    <w:abstractNumId w:val="5"/>
  </w:num>
  <w:num w:numId="8" w16cid:durableId="2017535004">
    <w:abstractNumId w:val="5"/>
  </w:num>
  <w:num w:numId="9" w16cid:durableId="1003046012">
    <w:abstractNumId w:val="4"/>
  </w:num>
  <w:num w:numId="10" w16cid:durableId="921449640">
    <w:abstractNumId w:val="4"/>
  </w:num>
  <w:num w:numId="11" w16cid:durableId="697240388">
    <w:abstractNumId w:val="8"/>
  </w:num>
  <w:num w:numId="12" w16cid:durableId="27992270">
    <w:abstractNumId w:val="8"/>
  </w:num>
  <w:num w:numId="13" w16cid:durableId="2136174705">
    <w:abstractNumId w:val="3"/>
  </w:num>
  <w:num w:numId="14" w16cid:durableId="1044059985">
    <w:abstractNumId w:val="3"/>
  </w:num>
  <w:num w:numId="15" w16cid:durableId="870607763">
    <w:abstractNumId w:val="2"/>
  </w:num>
  <w:num w:numId="16" w16cid:durableId="1895509406">
    <w:abstractNumId w:val="2"/>
  </w:num>
  <w:num w:numId="17" w16cid:durableId="698093089">
    <w:abstractNumId w:val="1"/>
  </w:num>
  <w:num w:numId="18" w16cid:durableId="1912278334">
    <w:abstractNumId w:val="1"/>
  </w:num>
  <w:num w:numId="19" w16cid:durableId="544098488">
    <w:abstractNumId w:val="0"/>
  </w:num>
  <w:num w:numId="20" w16cid:durableId="841898174">
    <w:abstractNumId w:val="0"/>
  </w:num>
  <w:num w:numId="21" w16cid:durableId="315958929">
    <w:abstractNumId w:val="9"/>
  </w:num>
  <w:num w:numId="22" w16cid:durableId="630551358">
    <w:abstractNumId w:val="7"/>
  </w:num>
  <w:num w:numId="23" w16cid:durableId="1138839074">
    <w:abstractNumId w:val="6"/>
  </w:num>
  <w:num w:numId="24" w16cid:durableId="1619798264">
    <w:abstractNumId w:val="5"/>
  </w:num>
  <w:num w:numId="25" w16cid:durableId="692003275">
    <w:abstractNumId w:val="4"/>
  </w:num>
  <w:num w:numId="26" w16cid:durableId="951665861">
    <w:abstractNumId w:val="8"/>
  </w:num>
  <w:num w:numId="27" w16cid:durableId="881281891">
    <w:abstractNumId w:val="3"/>
  </w:num>
  <w:num w:numId="28" w16cid:durableId="1457022566">
    <w:abstractNumId w:val="2"/>
  </w:num>
  <w:num w:numId="29" w16cid:durableId="1188325899">
    <w:abstractNumId w:val="1"/>
  </w:num>
  <w:num w:numId="30" w16cid:durableId="1976643540">
    <w:abstractNumId w:val="0"/>
  </w:num>
  <w:num w:numId="31" w16cid:durableId="1366447225">
    <w:abstractNumId w:val="9"/>
  </w:num>
  <w:num w:numId="32" w16cid:durableId="750200238">
    <w:abstractNumId w:val="7"/>
  </w:num>
  <w:num w:numId="33" w16cid:durableId="2086997503">
    <w:abstractNumId w:val="6"/>
  </w:num>
  <w:num w:numId="34" w16cid:durableId="701127977">
    <w:abstractNumId w:val="5"/>
  </w:num>
  <w:num w:numId="35" w16cid:durableId="1017389633">
    <w:abstractNumId w:val="4"/>
  </w:num>
  <w:num w:numId="36" w16cid:durableId="859204658">
    <w:abstractNumId w:val="8"/>
  </w:num>
  <w:num w:numId="37" w16cid:durableId="794641058">
    <w:abstractNumId w:val="3"/>
  </w:num>
  <w:num w:numId="38" w16cid:durableId="1389298698">
    <w:abstractNumId w:val="2"/>
  </w:num>
  <w:num w:numId="39" w16cid:durableId="378014893">
    <w:abstractNumId w:val="1"/>
  </w:num>
  <w:num w:numId="40" w16cid:durableId="726219385">
    <w:abstractNumId w:val="0"/>
  </w:num>
  <w:num w:numId="41" w16cid:durableId="1281885093">
    <w:abstractNumId w:val="10"/>
  </w:num>
  <w:num w:numId="42" w16cid:durableId="2004698447">
    <w:abstractNumId w:val="10"/>
  </w:num>
  <w:num w:numId="43" w16cid:durableId="19472147">
    <w:abstractNumId w:val="10"/>
  </w:num>
  <w:num w:numId="44" w16cid:durableId="1427461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38"/>
    <w:rsid w:val="00002272"/>
    <w:rsid w:val="00064002"/>
    <w:rsid w:val="000677B9"/>
    <w:rsid w:val="000831BA"/>
    <w:rsid w:val="000A42CC"/>
    <w:rsid w:val="000E7DD9"/>
    <w:rsid w:val="0010095E"/>
    <w:rsid w:val="00125B37"/>
    <w:rsid w:val="00173942"/>
    <w:rsid w:val="00187494"/>
    <w:rsid w:val="001F32AE"/>
    <w:rsid w:val="00252D5E"/>
    <w:rsid w:val="002767FF"/>
    <w:rsid w:val="002B18FE"/>
    <w:rsid w:val="002B5493"/>
    <w:rsid w:val="00343214"/>
    <w:rsid w:val="00360438"/>
    <w:rsid w:val="00361C00"/>
    <w:rsid w:val="00395FA1"/>
    <w:rsid w:val="003E15D4"/>
    <w:rsid w:val="004024BA"/>
    <w:rsid w:val="00411CCE"/>
    <w:rsid w:val="0041666E"/>
    <w:rsid w:val="00421060"/>
    <w:rsid w:val="004432F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4D8"/>
    <w:rsid w:val="005C2568"/>
    <w:rsid w:val="005F1B17"/>
    <w:rsid w:val="006037C0"/>
    <w:rsid w:val="006631B6"/>
    <w:rsid w:val="006650B0"/>
    <w:rsid w:val="00680577"/>
    <w:rsid w:val="006A22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879"/>
    <w:rsid w:val="00AB441E"/>
    <w:rsid w:val="00AB6293"/>
    <w:rsid w:val="00AE0928"/>
    <w:rsid w:val="00AF3B82"/>
    <w:rsid w:val="00B046A9"/>
    <w:rsid w:val="00B12E95"/>
    <w:rsid w:val="00B219BC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5/2026"/>
    <w:docVar w:name="dvlangue" w:val="MT"/>
    <w:docVar w:name="dvnumam" w:val="0"/>
    <w:docVar w:name="dvpe" w:val="783.408"/>
    <w:docVar w:name="dvtitre" w:val="Riżoluzzjoni tal-Parlament Ewropew xx xx xxxx 2026 dwar il-persekuzzjoni li għaddejja bħalissa tal-Insara fin-Niġerja, b’mod partikolari l-massakru fir-raħal ta’ Kawel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01A14B4"/>
  <w15:chartTrackingRefBased/>
  <w15:docId w15:val="{D7438249-0F01-4BD2-9827-6353195A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904D8"/>
    <w:pPr>
      <w:spacing w:after="240"/>
      <w:ind w:left="567" w:hanging="567"/>
    </w:pPr>
  </w:style>
  <w:style w:type="paragraph" w:customStyle="1" w:styleId="EPComma">
    <w:name w:val="EPComma"/>
    <w:basedOn w:val="Normal"/>
    <w:rsid w:val="005904D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904D8"/>
    <w:rPr>
      <w:sz w:val="24"/>
      <w:lang w:val="mt-MT"/>
    </w:rPr>
  </w:style>
  <w:style w:type="paragraph" w:styleId="Revision">
    <w:name w:val="Revision"/>
    <w:hidden/>
    <w:uiPriority w:val="99"/>
    <w:semiHidden/>
    <w:rsid w:val="004432F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2026-07-09T13:49:00Z</dcterms:created>
  <dcterms:modified xsi:type="dcterms:W3CDTF">2026-07-09T13:49:00Z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B10-0345/2026</vt:lpwstr>
  </property>
  <property fmtid="{D5CDD505-2E9C-101B-9397-08002B2CF9AE}" pid="4" name="&lt;Type&gt;">
    <vt:lpwstr>RR</vt:lpwstr>
  </property>
</Properties>
</file>