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91CFF3B" w14:textId="77777777" w:rsidTr="0010095E">
        <w:tblPrEx>
          <w:tblW w:w="9072" w:type="dxa"/>
          <w:tblLook w:val="01E0"/>
        </w:tblPrEx>
        <w:trPr>
          <w:trHeight w:hRule="exact" w:val="1418"/>
        </w:trPr>
        <w:tc>
          <w:tcPr>
            <w:tcW w:w="6804" w:type="dxa"/>
            <w:shd w:val="clear" w:color="auto" w:fill="auto"/>
            <w:vAlign w:val="center"/>
          </w:tcPr>
          <w:p w:rsidR="00751A4A" w:rsidRPr="00A50059" w:rsidP="0010095E" w14:paraId="5CB122D4" w14:textId="77777777">
            <w:pPr>
              <w:pStyle w:val="EPName"/>
            </w:pPr>
            <w:r w:rsidRPr="00A50059">
              <w:t>Ευρωπαϊκό Κοινοβούλιο</w:t>
            </w:r>
          </w:p>
          <w:p w:rsidR="00751A4A" w:rsidRPr="00A50059" w:rsidP="005F1B17" w14:paraId="1291FC01" w14:textId="77777777">
            <w:pPr>
              <w:pStyle w:val="EPTerm"/>
              <w:rPr>
                <w:rStyle w:val="HideTWBExt"/>
                <w:noProof w:val="0"/>
                <w:vanish w:val="0"/>
                <w:color w:val="auto"/>
              </w:rPr>
            </w:pPr>
            <w:r w:rsidRPr="00A50059">
              <w:t>2024</w:t>
            </w:r>
            <w:r w:rsidRPr="00A50059" w:rsidR="00817416">
              <w:t>-202</w:t>
            </w:r>
            <w:r w:rsidRPr="00A50059">
              <w:t>9</w:t>
            </w:r>
          </w:p>
        </w:tc>
        <w:tc>
          <w:tcPr>
            <w:tcW w:w="2268" w:type="dxa"/>
            <w:shd w:val="clear" w:color="auto" w:fill="auto"/>
          </w:tcPr>
          <w:p w:rsidR="00751A4A" w:rsidRPr="00A50059" w:rsidP="0010095E" w14:paraId="057D75CD" w14:textId="77777777">
            <w:pPr>
              <w:pStyle w:val="EPLogo"/>
            </w:pPr>
            <w:r w:rsidRPr="00A5005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50059" w:rsidP="004C5D52" w14:paraId="28785865" w14:textId="77777777">
      <w:pPr>
        <w:pStyle w:val="LineTop"/>
      </w:pPr>
    </w:p>
    <w:p w:rsidR="00680577" w:rsidRPr="00A50059" w:rsidP="00680577" w14:paraId="2BE3EBFD" w14:textId="77777777">
      <w:pPr>
        <w:pStyle w:val="EPBodyTA1"/>
      </w:pPr>
      <w:r w:rsidRPr="00A50059">
        <w:t>ΚΕΙΜΕΝΑ ΠΟΥ ΕΓΚΡΙΘΗΚΑΝ</w:t>
      </w:r>
    </w:p>
    <w:p w:rsidR="00D058B8" w:rsidRPr="00A50059" w:rsidP="00D058B8" w14:paraId="61E125D2" w14:textId="77777777">
      <w:pPr>
        <w:pStyle w:val="LineBottom"/>
      </w:pPr>
    </w:p>
    <w:p w:rsidR="00005EAC" w:rsidRPr="00A50059" w:rsidP="00005EAC" w14:paraId="1574CC1F" w14:textId="4369D6EA">
      <w:pPr>
        <w:pStyle w:val="ATHeading1"/>
      </w:pPr>
      <w:bookmarkStart w:id="0" w:name="TANumber"/>
      <w:r w:rsidRPr="00A50059">
        <w:t>P10_TA(2026)0</w:t>
      </w:r>
      <w:r w:rsidRPr="00A50059" w:rsidR="006800F5">
        <w:t>27</w:t>
      </w:r>
      <w:r w:rsidRPr="00A50059">
        <w:t>0</w:t>
      </w:r>
      <w:bookmarkEnd w:id="0"/>
    </w:p>
    <w:p w:rsidR="00005EAC" w:rsidRPr="00A50059" w:rsidP="00DA6838" w14:paraId="3CC78B24" w14:textId="6A9DA005">
      <w:pPr>
        <w:pStyle w:val="ATHeading2"/>
      </w:pPr>
      <w:bookmarkStart w:id="1" w:name="title"/>
      <w:r w:rsidRPr="00A50059">
        <w:t>Σκοπιμότητα ενός 28ου φορολογικού καθεστώτος και δυνατότητες που προσφέρει για τη στήριξη της ανταγωνιστικότητας της ΕΕ</w:t>
      </w:r>
      <w:bookmarkEnd w:id="1"/>
    </w:p>
    <w:p w:rsidR="00005EAC" w:rsidRPr="00A50059" w:rsidP="00005EAC" w14:paraId="4E31C1AA" w14:textId="77777777">
      <w:pPr>
        <w:rPr>
          <w:i/>
          <w:vanish/>
        </w:rPr>
      </w:pPr>
      <w:r>
        <w:rPr>
          <w:i/>
        </w:rPr>
        <w:fldChar w:fldCharType="begin"/>
      </w:r>
      <w:r w:rsidRPr="00A50059">
        <w:rPr>
          <w:i/>
        </w:rPr>
        <w:instrText xml:space="preserve"> TC"(</w:instrText>
      </w:r>
      <w:bookmarkStart w:id="2" w:name="DocNumber"/>
      <w:r w:rsidRPr="00A50059">
        <w:rPr>
          <w:i/>
        </w:rPr>
        <w:instrText>A10-0167/2026</w:instrText>
      </w:r>
      <w:bookmarkEnd w:id="2"/>
      <w:r w:rsidRPr="00A50059">
        <w:rPr>
          <w:i/>
        </w:rPr>
        <w:instrText xml:space="preserve"> - Εισηγητής: Ľudovít Ódor)"\l3 \n&gt; \* MERGEFORMAT </w:instrText>
      </w:r>
      <w:r>
        <w:rPr>
          <w:i/>
        </w:rPr>
        <w:fldChar w:fldCharType="end"/>
      </w:r>
    </w:p>
    <w:p w:rsidR="00005EAC" w:rsidRPr="00A50059" w:rsidP="00005EAC" w14:paraId="65DF6B93" w14:textId="77777777">
      <w:pPr>
        <w:rPr>
          <w:vanish/>
        </w:rPr>
      </w:pPr>
      <w:bookmarkStart w:id="3" w:name="Commission"/>
      <w:r w:rsidRPr="00A50059">
        <w:rPr>
          <w:vanish/>
        </w:rPr>
        <w:t>Επιτροπή Οικονομικής και Νομισματικής Πολιτικής</w:t>
      </w:r>
      <w:bookmarkEnd w:id="3"/>
    </w:p>
    <w:p w:rsidR="00005EAC" w:rsidRPr="00A50059" w:rsidP="00005EAC" w14:paraId="472ED7EB" w14:textId="77777777">
      <w:pPr>
        <w:rPr>
          <w:vanish/>
        </w:rPr>
      </w:pPr>
      <w:bookmarkStart w:id="4" w:name="PE"/>
      <w:r w:rsidRPr="00A50059">
        <w:rPr>
          <w:vanish/>
        </w:rPr>
        <w:t>PE785.418</w:t>
      </w:r>
      <w:bookmarkEnd w:id="4"/>
    </w:p>
    <w:p w:rsidR="00005EAC" w:rsidRPr="00A50059" w:rsidP="00005EAC" w14:paraId="6B1E3353" w14:textId="57E122DC">
      <w:pPr>
        <w:pStyle w:val="ATHeading3"/>
      </w:pPr>
      <w:bookmarkStart w:id="5" w:name="Sujet"/>
      <w:r w:rsidRPr="00A50059">
        <w:t xml:space="preserve">Ψήφισμα του Ευρωπαϊκού Κοινοβουλίου της </w:t>
      </w:r>
      <w:r w:rsidRPr="00A50059" w:rsidR="00832550">
        <w:t>9</w:t>
      </w:r>
      <w:r w:rsidRPr="00A50059" w:rsidR="002040FD">
        <w:t>ης Ιουλίου</w:t>
      </w:r>
      <w:r w:rsidRPr="00A50059">
        <w:t xml:space="preserve"> 2026 σχετικά με τη σκοπιμότητα ενός 28ου φορολογικού καθεστώτος και τις δυνατότητες που προσφέρει για τη στήριξη της ανταγωνιστικότητας της ΕΕ</w:t>
      </w:r>
      <w:bookmarkEnd w:id="5"/>
      <w:r w:rsidRPr="00A50059">
        <w:t xml:space="preserve"> </w:t>
      </w:r>
      <w:bookmarkStart w:id="6" w:name="References"/>
      <w:r w:rsidRPr="00A50059">
        <w:t>(2025/2211(INI))</w:t>
      </w:r>
      <w:bookmarkEnd w:id="6"/>
    </w:p>
    <w:p w:rsidR="00020FD2" w:rsidRPr="00A50059" w:rsidP="00020FD2" w14:paraId="4B38A8BC" w14:textId="77777777">
      <w:pPr>
        <w:pStyle w:val="NormalBold12a"/>
      </w:pPr>
    </w:p>
    <w:p w:rsidR="00020FD2" w:rsidRPr="00A50059" w:rsidP="00020FD2" w14:paraId="57AE096A" w14:textId="77777777">
      <w:pPr>
        <w:pStyle w:val="Normal12"/>
        <w:rPr>
          <w:i/>
          <w:iCs/>
        </w:rPr>
      </w:pPr>
      <w:r w:rsidRPr="00A50059">
        <w:rPr>
          <w:i/>
          <w:iCs/>
        </w:rPr>
        <w:t>Το Ευρωπαϊκό Κοινοβούλιο,</w:t>
      </w:r>
    </w:p>
    <w:p w:rsidR="00020FD2" w:rsidRPr="00A50059" w:rsidP="002040FD" w14:paraId="4AAC0E89" w14:textId="46BC903E">
      <w:pPr>
        <w:pStyle w:val="NormalHanging"/>
        <w:widowControl/>
        <w:ind w:left="567" w:hanging="567"/>
      </w:pPr>
      <w:r w:rsidRPr="00A50059">
        <w:t>–</w:t>
      </w:r>
      <w:r w:rsidRPr="00A50059">
        <w:tab/>
        <w:t xml:space="preserve">έχοντας υπόψη </w:t>
      </w:r>
      <w:r w:rsidRPr="00A50059" w:rsidR="002040FD">
        <w:t xml:space="preserve">το </w:t>
      </w:r>
      <w:r w:rsidRPr="00A50059">
        <w:t>άρθρ</w:t>
      </w:r>
      <w:r w:rsidRPr="00A50059" w:rsidR="002040FD">
        <w:t>ο</w:t>
      </w:r>
      <w:r w:rsidRPr="00A50059">
        <w:t xml:space="preserve"> 4 παράγραφος 2 στοιχείο α), </w:t>
      </w:r>
      <w:r w:rsidRPr="00A50059" w:rsidR="002040FD">
        <w:t xml:space="preserve">το άρθρο </w:t>
      </w:r>
      <w:r w:rsidRPr="00A50059">
        <w:t xml:space="preserve">5, </w:t>
      </w:r>
      <w:r w:rsidRPr="00A50059" w:rsidR="002040FD">
        <w:t xml:space="preserve">το άρθρο </w:t>
      </w:r>
      <w:r w:rsidRPr="00A50059">
        <w:t xml:space="preserve">6 στοιχείο ζ), </w:t>
      </w:r>
      <w:r w:rsidRPr="00A50059" w:rsidR="002040FD">
        <w:t xml:space="preserve">το άρθρο </w:t>
      </w:r>
      <w:r w:rsidRPr="00A50059">
        <w:t xml:space="preserve">50, </w:t>
      </w:r>
      <w:r w:rsidRPr="00A50059" w:rsidR="002040FD">
        <w:t xml:space="preserve">το άρθρο </w:t>
      </w:r>
      <w:r w:rsidRPr="00A50059">
        <w:t xml:space="preserve">113, </w:t>
      </w:r>
      <w:r w:rsidRPr="00A50059" w:rsidR="002040FD">
        <w:t xml:space="preserve">το άρθρο </w:t>
      </w:r>
      <w:r w:rsidRPr="00A50059">
        <w:t xml:space="preserve">114 παράγραφος 1, </w:t>
      </w:r>
      <w:r w:rsidRPr="00A50059" w:rsidR="002040FD">
        <w:t xml:space="preserve">και τα άρθρα </w:t>
      </w:r>
      <w:r w:rsidRPr="00A50059">
        <w:t>115, 116 και 225 της Συνθήκης για τη λειτουργία της Ευρωπαϊκής Ένωσης,</w:t>
      </w:r>
    </w:p>
    <w:p w:rsidR="00020FD2" w:rsidRPr="00A50059" w:rsidP="002040FD" w14:paraId="45B66E3E" w14:textId="6CA9DC25">
      <w:pPr>
        <w:pStyle w:val="NormalHanging"/>
        <w:widowControl/>
        <w:ind w:left="567" w:hanging="567"/>
      </w:pPr>
      <w:r w:rsidRPr="00A50059">
        <w:t>–</w:t>
      </w:r>
      <w:r w:rsidRPr="00A50059">
        <w:tab/>
        <w:t>έχοντας υπόψη την πρόταση της Επιτροπής, της 18ης Μαρτίου 2026, για κανονισμό του Ευρωπαϊκού Κοινοβουλίου και του Συμβουλίου σχετικά με το εταιρικό νομικό πλαίσιο του 28ου καθεστώτος – «EU Inc.» (COM(2026)0321),</w:t>
      </w:r>
    </w:p>
    <w:p w:rsidR="00020FD2" w:rsidRPr="00A50059" w:rsidP="002040FD" w14:paraId="02B01D83" w14:textId="67971D55">
      <w:pPr>
        <w:pStyle w:val="NormalHanging"/>
        <w:widowControl/>
        <w:ind w:left="567" w:hanging="567"/>
      </w:pPr>
      <w:r w:rsidRPr="00A50059">
        <w:t>–</w:t>
      </w:r>
      <w:r w:rsidRPr="00A50059">
        <w:tab/>
        <w:t>έχοντας υπόψη το ψήφισμά του της 20ής Ιανουαρίου 2026 που περιέχει συστάσεις προς την Επιτροπή σχετικά με το 28ο καθεστώς: ένα νέο νομικό πλαίσιο για καινοτόμες επιχειρήσεις</w:t>
      </w:r>
      <w:r>
        <w:rPr>
          <w:rStyle w:val="FootnoteReference"/>
        </w:rPr>
        <w:footnoteReference w:id="2"/>
      </w:r>
    </w:p>
    <w:p w:rsidR="00020FD2" w:rsidRPr="00A50059" w:rsidP="002040FD" w14:paraId="3968EE07" w14:textId="523916AA">
      <w:pPr>
        <w:pStyle w:val="NormalHanging"/>
        <w:widowControl/>
        <w:ind w:left="567" w:hanging="567"/>
      </w:pPr>
      <w:r w:rsidRPr="00A50059">
        <w:t>–</w:t>
      </w:r>
      <w:r w:rsidRPr="00A50059">
        <w:tab/>
        <w:t>έχοντας υπόψη την ανακοίνωση της Επιτροπής, της 21ης Οκτωβρίου 2025, με τίτλο «Πρόγραμμα εργασίας της Επιτροπής για το 2026 – Ώρα για μια Ευρώπη Ανεξάρτητη» (COM(20</w:t>
      </w:r>
      <w:r w:rsidR="00E32552">
        <w:t>2</w:t>
      </w:r>
      <w:r w:rsidRPr="00A50059">
        <w:t>5)0870),</w:t>
      </w:r>
    </w:p>
    <w:p w:rsidR="00020FD2" w:rsidRPr="00A50059" w:rsidP="002040FD" w14:paraId="0980484F" w14:textId="662CCA26">
      <w:pPr>
        <w:pStyle w:val="NormalHanging"/>
        <w:widowControl/>
        <w:ind w:left="567" w:hanging="567"/>
      </w:pPr>
      <w:r w:rsidRPr="00A50059">
        <w:t>–</w:t>
      </w:r>
      <w:r w:rsidRPr="00A50059">
        <w:tab/>
        <w:t>έχοντας υπόψη την ανακοίνωση της Επιτροπής, της 19ης Μαρτίου 2025, με τίτλο «Ένωση Αποταμιεύσεων και Επενδύσεων – Στρατηγική για την προώθηση της δημιουργίας πλούτου για τους πολίτες και της οικονομικής ανταγωνιστικότητας στην ΕΕ» (COM(2025)0124)</w:t>
      </w:r>
      <w:r w:rsidRPr="00A50059" w:rsidR="002040FD">
        <w:t>,</w:t>
      </w:r>
    </w:p>
    <w:p w:rsidR="00020FD2" w:rsidRPr="00A50059" w:rsidP="002040FD" w14:paraId="1962A6F0" w14:textId="43EA27B9">
      <w:pPr>
        <w:pStyle w:val="NormalHanging"/>
        <w:widowControl/>
        <w:ind w:left="567" w:hanging="567"/>
      </w:pPr>
      <w:r w:rsidRPr="00A50059">
        <w:t>–</w:t>
      </w:r>
      <w:r w:rsidRPr="00A50059">
        <w:tab/>
        <w:t>έχοντας υπόψη την ανακοίνωση της Επιτροπής, της 29ης Ιανουαρίου 2025, με τίτλο «Πυξίδα Ανταγωνιστικότητας για την ΕΕ» (COM(2025)0030),</w:t>
      </w:r>
    </w:p>
    <w:p w:rsidR="00020FD2" w:rsidRPr="00A50059" w:rsidP="002040FD" w14:paraId="78AB0D6A" w14:textId="4B2A4E0C">
      <w:pPr>
        <w:pStyle w:val="NormalHanging"/>
        <w:widowControl/>
        <w:ind w:left="567" w:hanging="567"/>
      </w:pPr>
      <w:r w:rsidRPr="00A50059">
        <w:t>–</w:t>
      </w:r>
      <w:r w:rsidRPr="00A50059">
        <w:tab/>
        <w:t xml:space="preserve">έχοντας υπόψη την ανακοίνωση της Επιτροπής, της 28ης Μαΐου 2025, με τίτλο «Στρατηγική της ΕΕ για τις νεοφυείς και τις αναπτυσσόμενες νέες επιχειρήσεις – </w:t>
      </w:r>
      <w:r w:rsidRPr="00A50059">
        <w:t>Επιλέξτε την Ευρώπη για να ιδρύσετε και να αναπτύξετε την επιχείρησή σας» (COM(2025)0270),</w:t>
      </w:r>
    </w:p>
    <w:p w:rsidR="00020FD2" w:rsidRPr="00A50059" w:rsidP="002040FD" w14:paraId="552E9F9B" w14:textId="5F54126F">
      <w:pPr>
        <w:pStyle w:val="NormalHanging"/>
        <w:widowControl/>
        <w:ind w:left="567" w:hanging="567"/>
      </w:pPr>
      <w:r w:rsidRPr="00A50059">
        <w:t>–</w:t>
      </w:r>
      <w:r w:rsidRPr="00A50059">
        <w:tab/>
        <w:t>έχοντας υπόψη την έκθεση του Mario Draghi, της 9ης Σεπτεμβρίου 2024, με τίτλο «The future of European competitiveness» (Το μέλλον της ευρωπαϊκής ανταγωνιστικότητας) (έκθεση Draghi),</w:t>
      </w:r>
    </w:p>
    <w:p w:rsidR="00020FD2" w:rsidRPr="00A50059" w:rsidP="002040FD" w14:paraId="78ADE023" w14:textId="352519FA">
      <w:pPr>
        <w:pStyle w:val="NormalHanging"/>
        <w:widowControl/>
        <w:ind w:left="567" w:hanging="567"/>
      </w:pPr>
      <w:r w:rsidRPr="00A50059">
        <w:t>–</w:t>
      </w:r>
      <w:r w:rsidRPr="00A50059">
        <w:tab/>
        <w:t>έχοντας υπόψη την έκθεση του Enrico Letta, της 17ης Απριλίου 2024, με τίτλο «Much more than a market» (Πολύ περισσότερο από μια απλή αγορά)</w:t>
      </w:r>
      <w:r w:rsidRPr="00A50059" w:rsidR="002040FD">
        <w:t xml:space="preserve"> (έκθεση Letta)</w:t>
      </w:r>
      <w:r w:rsidRPr="00A50059">
        <w:t>,</w:t>
      </w:r>
    </w:p>
    <w:p w:rsidR="00020FD2" w:rsidRPr="00A50059" w:rsidP="002040FD" w14:paraId="417C8EF5" w14:textId="40477FDE">
      <w:pPr>
        <w:pStyle w:val="NormalHanging"/>
        <w:widowControl/>
        <w:ind w:left="567" w:hanging="567"/>
      </w:pPr>
      <w:r w:rsidRPr="00A50059">
        <w:t>–</w:t>
      </w:r>
      <w:r w:rsidRPr="00A50059">
        <w:tab/>
        <w:t>έχοντας υπόψη την πρόταση της Επιτροπής, της 12ης Σεπτεμβρίου 2023, για οδηγία του Συμβουλίου σχετικά με τις επιχειρήσεις στην Ευρώπη: Πλαίσιο για τη φορολογία εισοδήματος (BEFIT) (COM(2023)0532),</w:t>
      </w:r>
    </w:p>
    <w:p w:rsidR="00020FD2" w:rsidRPr="00A50059" w:rsidP="002040FD" w14:paraId="62852ABD" w14:textId="34C628F0">
      <w:pPr>
        <w:pStyle w:val="NormalHanging"/>
        <w:widowControl/>
        <w:ind w:left="567" w:hanging="567"/>
      </w:pPr>
      <w:r w:rsidRPr="00A50059">
        <w:t>–</w:t>
      </w:r>
      <w:r w:rsidRPr="00A50059">
        <w:tab/>
        <w:t>έχοντας υπόψη το ψήφισμά του, της 13ης Νοεμβρίου 2025, σχετικά με την πρόταση οδηγίας του Συμβουλίου που αφορά τις επιχειρήσεις στην Ευρώπη: Πλαίσιο για τη φορολογία εισοδήματος (BEFIT)</w:t>
      </w:r>
      <w:r>
        <w:rPr>
          <w:rStyle w:val="FootnoteReference"/>
        </w:rPr>
        <w:footnoteReference w:id="3"/>
      </w:r>
      <w:r w:rsidRPr="00A50059">
        <w:t>,</w:t>
      </w:r>
    </w:p>
    <w:p w:rsidR="00020FD2" w:rsidRPr="00A50059" w:rsidP="002040FD" w14:paraId="29C5776B" w14:textId="57061564">
      <w:pPr>
        <w:pStyle w:val="NormalHanging"/>
        <w:widowControl/>
        <w:ind w:left="567" w:hanging="567"/>
      </w:pPr>
      <w:r w:rsidRPr="00A50059">
        <w:t>–</w:t>
      </w:r>
      <w:r w:rsidRPr="00A50059">
        <w:tab/>
        <w:t>έχοντας υπόψη την πρόταση της Επιτροπής, της 12ης Σεπτεμβρίου 2023, για οδηγία του Συμβουλίου για τη θέσπιση φορολογικού συστήματος με βάση την έδρα για τις πολύ μικρές, μικρές και μεσαίες επιχειρήσεις και για την τροποποίηση της οδηγίας 2011/16/ΕΕ (COM(2023)0528),</w:t>
      </w:r>
    </w:p>
    <w:p w:rsidR="00020FD2" w:rsidRPr="00A50059" w:rsidP="002040FD" w14:paraId="178306C9" w14:textId="54A5DF41">
      <w:pPr>
        <w:pStyle w:val="NormalHanging"/>
        <w:widowControl/>
        <w:ind w:left="567" w:hanging="567"/>
      </w:pPr>
      <w:r w:rsidRPr="00A50059">
        <w:t>–</w:t>
      </w:r>
      <w:r w:rsidRPr="00A50059">
        <w:tab/>
        <w:t>έχοντας υπόψη τη θέση του της 10ης Απριλίου 2024 σχετικά με την πρόταση οδηγίας του Συμβουλίου για τη θέσπιση φορολογικού συστήματος με βάση την έδρα για τις πολύ μικρές, μικρές και μεσαίες επιχειρήσεις και για την τροποποίηση της οδηγίας 2011/16/ΕΕ</w:t>
      </w:r>
      <w:r>
        <w:rPr>
          <w:rStyle w:val="FootnoteReference"/>
        </w:rPr>
        <w:footnoteReference w:id="4"/>
      </w:r>
    </w:p>
    <w:p w:rsidR="00020FD2" w:rsidRPr="00A50059" w:rsidP="002040FD" w14:paraId="18A8085E" w14:textId="11164B7D">
      <w:pPr>
        <w:pStyle w:val="NormalHanging"/>
        <w:widowControl/>
        <w:ind w:left="567" w:hanging="567"/>
      </w:pPr>
      <w:r w:rsidRPr="00A50059">
        <w:t>–</w:t>
      </w:r>
      <w:r w:rsidRPr="00A50059">
        <w:tab/>
        <w:t>έχοντας υπόψη την πρόταση της Επιτροπής, της 25ης Οκτωβρίου 2016, για την έκδοση οδηγίας του Συμβουλίου σχετικά με την κοινή ενοποιημένη βάση φορολογίας εταιρειών (ΚΕΒΦΕ) (COM(2016)0683),</w:t>
      </w:r>
    </w:p>
    <w:p w:rsidR="00020FD2" w:rsidRPr="00A50059" w:rsidP="002040FD" w14:paraId="0155AC3C" w14:textId="0C45944F">
      <w:pPr>
        <w:pStyle w:val="NormalHanging"/>
        <w:widowControl/>
        <w:ind w:left="567" w:hanging="567"/>
      </w:pPr>
      <w:r w:rsidRPr="00A50059">
        <w:t>–</w:t>
      </w:r>
      <w:r w:rsidRPr="00A50059">
        <w:tab/>
        <w:t>έχοντας υπόψη την πρόταση της Επιτροπής, της 25ης Οκτωβρίου 2016, για την έκδοση οδηγίας του Συμβουλίου σχετικά με κοινή βάση φορολογίας εταιρειών (COM(2016)0685),</w:t>
      </w:r>
    </w:p>
    <w:p w:rsidR="00020FD2" w:rsidRPr="00A50059" w:rsidP="002040FD" w14:paraId="4EBD221C" w14:textId="04872436">
      <w:pPr>
        <w:pStyle w:val="NormalHanging"/>
        <w:widowControl/>
        <w:ind w:left="567" w:hanging="567"/>
      </w:pPr>
      <w:r w:rsidRPr="00A50059">
        <w:t>–</w:t>
      </w:r>
      <w:r w:rsidRPr="00A50059">
        <w:tab/>
        <w:t>έχοντας υπόψη την πρόταση της Επιτροπής, της 11ης Μαΐου 2022, για οδηγία του Συμβουλίου σχετικά με τη θέσπιση κανόνων για έκπτωση φόρου για τη μείωση της στρέβλωσης που προκαλείται από την ευνοϊκή μεταχείριση του χρέους έναντι του μετοχικού κεφαλαίου και για τον περιορισμό της δυνατότητας έκπτωσης τόκων για σκοπούς φόρου εισοδήματος εταιρειών (COM(2022)0216),</w:t>
      </w:r>
    </w:p>
    <w:p w:rsidR="00020FD2" w:rsidRPr="00A50059" w:rsidP="002040FD" w14:paraId="48D25B5F" w14:textId="77777777">
      <w:pPr>
        <w:pStyle w:val="NormalHanging"/>
        <w:widowControl/>
        <w:ind w:left="567" w:hanging="567"/>
      </w:pPr>
      <w:r w:rsidRPr="00A50059">
        <w:t>–</w:t>
      </w:r>
      <w:r w:rsidRPr="00A50059">
        <w:tab/>
        <w:t>έχοντας υπόψη τη σύσταση της Επιτροπής, της 18ης Μαρτίου 2026, σχετικά με τους ορισμούς των καινοτόμων επιχειρήσεων, των καινοτόμων νεοφυών επιχειρήσεων και των καινοτόμων επεκτεινόμενων επιχειρήσεων,</w:t>
      </w:r>
    </w:p>
    <w:p w:rsidR="00020FD2" w:rsidRPr="00A50059" w:rsidP="002040FD" w14:paraId="49083097" w14:textId="77777777">
      <w:pPr>
        <w:pStyle w:val="NormalHanging"/>
        <w:widowControl/>
        <w:ind w:left="567" w:hanging="567"/>
      </w:pPr>
      <w:r w:rsidRPr="00A50059">
        <w:t>–</w:t>
      </w:r>
      <w:r w:rsidRPr="00A50059">
        <w:tab/>
        <w:t>έχοντας υπόψη το Έκτακτο Ευρωβαρόμετρο 559, από τον Φεβρουάριο έως τον Απρίλιο του 2025, με τίτλο «Startups, scaleups and entrepreneurship» (Νεοφυείς επιχειρήσεις, επεκτεινόμενες επιχειρήσεις και επιχειρηματικότητα),</w:t>
      </w:r>
    </w:p>
    <w:p w:rsidR="00020FD2" w:rsidRPr="00A50059" w:rsidP="002040FD" w14:paraId="5A3CEBF8" w14:textId="77777777">
      <w:pPr>
        <w:pStyle w:val="NormalHanging"/>
        <w:widowControl/>
        <w:ind w:left="567" w:hanging="567"/>
      </w:pPr>
      <w:r w:rsidRPr="00A50059">
        <w:t>–</w:t>
      </w:r>
      <w:r w:rsidRPr="00A50059">
        <w:tab/>
        <w:t>έχοντας υπόψη τα συμπεράσματα του Ευρωπαϊκού Συμβουλίου της 19ης Μαρτίου 2026,</w:t>
      </w:r>
    </w:p>
    <w:p w:rsidR="00020FD2" w:rsidRPr="00A50059" w:rsidP="002040FD" w14:paraId="6E355E23" w14:textId="77777777">
      <w:pPr>
        <w:pStyle w:val="NormalHanging"/>
        <w:widowControl/>
        <w:ind w:left="567" w:hanging="567"/>
      </w:pPr>
      <w:r w:rsidRPr="00A50059">
        <w:t>–</w:t>
      </w:r>
      <w:r w:rsidRPr="00A50059">
        <w:tab/>
        <w:t>έχοντας υπόψη το άρθρο 55 του Κανονισμού του,</w:t>
      </w:r>
    </w:p>
    <w:p w:rsidR="00020FD2" w:rsidRPr="00A50059" w:rsidP="002040FD" w14:paraId="106944C7" w14:textId="77777777">
      <w:pPr>
        <w:pStyle w:val="NormalHanging"/>
        <w:widowControl/>
        <w:ind w:left="567" w:hanging="567"/>
      </w:pPr>
      <w:r w:rsidRPr="00A50059">
        <w:t>–</w:t>
      </w:r>
      <w:r w:rsidRPr="00A50059">
        <w:tab/>
        <w:t>έχοντας υπόψη την έκθεση της Επιτροπής Οικονομικής και Νομισματικής Πολιτικής (A10-0167/2026),</w:t>
      </w:r>
    </w:p>
    <w:p w:rsidR="00020FD2" w:rsidRPr="00A50059" w:rsidP="002040FD" w14:paraId="318034AD" w14:textId="79659CF2">
      <w:pPr>
        <w:pStyle w:val="NormalHanging"/>
        <w:widowControl/>
        <w:ind w:left="567" w:hanging="567"/>
      </w:pPr>
      <w:r w:rsidRPr="00A50059">
        <w:t>Α.</w:t>
      </w:r>
      <w:r w:rsidRPr="00A50059">
        <w:tab/>
        <w:t>λαμβάνοντας υπόψη ότι η ΕΕ, ως η μεγαλύτερη ολοκληρωμένη αγορά στον κόσμο, με περισσότερους από 450 εκατομμύρια καταναλωτές, χάνει το οικονομικό ανταγωνιστικό της πλεονέκτημα</w:t>
      </w:r>
      <w:r>
        <w:rPr>
          <w:rStyle w:val="FootnoteReference"/>
        </w:rPr>
        <w:footnoteReference w:id="5"/>
      </w:r>
      <w:r w:rsidRPr="00A50059">
        <w:t xml:space="preserve"> λόγω του συνδυασμού διαρθρωτικών αδυναμιών, του ολοένα και πιο έντονου παγκόσμιου ανταγωνισμού για τη προσέλκυση κεφαλαίων, επιχειρήσεων και ταλέντων, και ενός σύνθετου και κατακερματισμένου ρυθμιστικού πλαισίου·</w:t>
      </w:r>
    </w:p>
    <w:p w:rsidR="00020FD2" w:rsidRPr="00A50059" w:rsidP="002040FD" w14:paraId="1E719509" w14:textId="77777777">
      <w:pPr>
        <w:pStyle w:val="NormalHanging"/>
        <w:widowControl/>
        <w:ind w:left="567" w:hanging="567"/>
      </w:pPr>
      <w:r w:rsidRPr="00A50059">
        <w:t>Β.</w:t>
      </w:r>
      <w:r w:rsidRPr="00A50059">
        <w:tab/>
        <w:t>λαμβάνοντας υπόψη ότι η οικονομική ανταγωνιστικότητα – η οποία βρίσκεται στο επίκεντρο των σημαντικότερων πολιτικών της ΕΕ και αποτελεί επείγουσα πολιτική προτεραιότητα, όπως καταδεικνύεται από την ολοκλήρωση της εσωτερικής αγοράς, την αύξηση της παραγωγικότητας, τις σημαντικές δημόσιες και ιδιωτικές επενδύσεις και την ψηφιακή και πράσινη μετάβαση – μπορεί να ενισχύσει την ευημερία της ΕΕ με τη δημιουργία θέσεων εργασίας υψηλής ποιότητας, να διατηρήσει το οικονομικό και κοινωνικό μας μοντέλο και, κατά συνέπεια, να τονώσει την ευημερία των πολιτών και των κοινωνιών μας·</w:t>
      </w:r>
    </w:p>
    <w:p w:rsidR="00020FD2" w:rsidRPr="00A50059" w:rsidP="002040FD" w14:paraId="066F38FD" w14:textId="258B6BE6">
      <w:pPr>
        <w:pStyle w:val="NormalHanging"/>
        <w:widowControl/>
        <w:ind w:left="567" w:hanging="567"/>
      </w:pPr>
      <w:r w:rsidRPr="00A50059">
        <w:t>Γ.</w:t>
      </w:r>
      <w:r w:rsidRPr="00A50059">
        <w:tab/>
        <w:t>λαμβάνοντας υπόψη ότι οι εσωτερικοί εμπορικοί φραγμοί στην ενιαία αγορά της ΕΕ εκτιμάται ότι ισοδυναμούν με δασμολογικό συντελεστή 44 % για τα εμπορεύματα και 110 % για τις υπηρεσίες</w:t>
      </w:r>
      <w:r>
        <w:rPr>
          <w:rStyle w:val="FootnoteReference"/>
        </w:rPr>
        <w:footnoteReference w:id="6"/>
      </w:r>
      <w:r w:rsidRPr="00A50059">
        <w:t>, κάτι που εξακολουθεί να αποτελεί σημαντική επιβάρυνση για την ανάπτυξη των επιχειρήσεων και τις επενδύσεις στην ΕΕ και καταδεικνύει το κόστος του ρυθμιστικού κατακερματισμού και την ανάγκη μετάβασης σε ένα πιο ολοκληρωμένο, απλοποιημένο και φιλόδοξο πλαίσιο·</w:t>
      </w:r>
    </w:p>
    <w:p w:rsidR="00020FD2" w:rsidRPr="00A50059" w:rsidP="002040FD" w14:paraId="73E9F6A8" w14:textId="77777777">
      <w:pPr>
        <w:pStyle w:val="NormalHanging"/>
        <w:widowControl/>
        <w:ind w:left="567" w:hanging="567"/>
      </w:pPr>
      <w:r w:rsidRPr="00A50059">
        <w:t>Δ.</w:t>
      </w:r>
      <w:r w:rsidRPr="00A50059">
        <w:tab/>
        <w:t xml:space="preserve">λαμβάνοντας υπόψη ότι η ικανότητα επίτευξης μεγαλύτερης εναρμόνισης στον τομέα της φορολογίας και του ρυθμιστικού πλαισίου εξακολουθεί να περιορίζεται από την απαίτηση ομοφωνίας που ισχύει σε αυτόν τον τομέα πολιτικής· λαμβάνοντας υπόψη ότι η περαιτέρω εναρμόνιση και η εμβάθυνση της εσωτερικής αγοράς είναι καθοριστικής σημασίας για την τόνωση της ανταγωνιστικότητας της ΕΕ και τη μείωση του διοικητικού φόρτου και του κόστους της διασυνοριακής οικονομικής δραστηριότητας· λαμβάνοντας υπόψη ότι η μείωση των κενών που ανοίγουν τον δρόμο στον επιθετικό φορολογικό σχεδιασμό και σε άλλες πρακτικές φοροαποφυγής θα πρέπει να συμβάλουν </w:t>
      </w:r>
      <w:r w:rsidRPr="00A50059">
        <w:t>στην τόνωση της ανταγωνιστικότητας της ΕΕ, όπως προβλέπεται στο θεματολόγιο «Μία Ευρώπη, μία αγορά»·</w:t>
      </w:r>
    </w:p>
    <w:p w:rsidR="00020FD2" w:rsidRPr="00A50059" w:rsidP="002040FD" w14:paraId="71A8866F" w14:textId="77777777">
      <w:pPr>
        <w:pStyle w:val="NormalHanging"/>
        <w:widowControl/>
        <w:ind w:left="567" w:hanging="567"/>
      </w:pPr>
      <w:r w:rsidRPr="00A50059">
        <w:t>Ε.</w:t>
      </w:r>
      <w:r w:rsidRPr="00A50059">
        <w:tab/>
        <w:t>λαμβάνοντας υπόψη ότι η ενίσχυση της ανταγωνιστικότητας της Ένωσης συνδέεται στενά με την εδραίωση της στρατηγικής αυτονομίας της και την ικανότητα μείωσης των εξωτερικών οικονομικών εξαρτήσεων σε στρατηγικούς και κρίσιμους τομείς·</w:t>
      </w:r>
    </w:p>
    <w:p w:rsidR="00020FD2" w:rsidRPr="00A50059" w:rsidP="002040FD" w14:paraId="693A56D1" w14:textId="796429A4">
      <w:pPr>
        <w:pStyle w:val="NormalHanging"/>
        <w:widowControl/>
        <w:ind w:left="567" w:hanging="567"/>
      </w:pPr>
      <w:r w:rsidRPr="00A50059">
        <w:t>ΣΤ.</w:t>
      </w:r>
      <w:r w:rsidRPr="00A50059">
        <w:tab/>
        <w:t>λαμβάνοντας υπόψη ότι οι επιχειρήσεις στην ΕΕ, ιδίως οι μικρές και μεσαίες επιχειρήσεις (ΜΜΕ), οι νεοφυείς και οι επεκτεινόμενες επιχειρήσεις ασφυκτιούν και το δυναμικό τους για καινοτομία δεν υλοποιείται, εξαιτίας διαρθρωτικών φραγμών που προκύπτουν από τον συνεχιζόμενο κατακερματισμό των ρυθμιστικών πλαισίων μεταξύ των κρατών μελών· λαμβάνοντας υπόψη ότι η ρυθμιστική και η φορολογική πολυμορφία και το κόστος της διαχείρισης άγνωστων, διακριτών και συχνά ασύμβατων εθνικών πλαισίων παρεμποδίζουν τη χρηματοδότηση και την επέκταση των επιχειρήσεων σε πανευρωπαϊκό επίπεδο, και ότι υπάρχει επείγουσα ανάγκη να καλυφθεί αυτό το κενό ανταγωνιστικότητας</w:t>
      </w:r>
      <w:r>
        <w:rPr>
          <w:rStyle w:val="FootnoteReference"/>
        </w:rPr>
        <w:footnoteReference w:id="7"/>
      </w:r>
      <w:r w:rsidRPr="00A50059">
        <w:t>· λαμβάνοντας υπόψη ότι ένα ευνοϊκό, σαφώς προκαθορισμένο και αναλογικό ρυθμιστικό περιβάλλον είναι απαραίτητο για να μπορούν οι εταιρείες να επενδύουν, να αναπτύσσονται και να ανταγωνίζονται σε παγκόσμιο επίπεδο· λαμβάνοντας υπόψη ότι η ΕΕ θα πρέπει να ενισχύσει τη δέσμευσή της υπέρ της επιχειρηματικής ελευθερίας και της άρσης των φραγμών· λαμβάνοντας υπόψη ότι, με την παροχή εναρμονισμένου πλαισίου, το 28ο καθεστώς θα διευκολύνει την πρόσβαση των ΜΜΕ της ΕΕ σε κεφάλαια, θα συμβάλει στη μείωση των οικονομικών και εδαφικών ανισοτήτων στην ΕΕ, θα διασφαλίσει ισόρροπες συνθήκες πρόσβασης και ανάπτυξης μεταξύ των διαφόρων περιφερειών και θα διευκολύνει τους επενδυτές να παρέχουν χρηματοδότηση σε επιχειρήσεις που βρίσκονται σε άλλο κράτος μέλος·</w:t>
      </w:r>
    </w:p>
    <w:p w:rsidR="00020FD2" w:rsidRPr="00A50059" w:rsidP="002040FD" w14:paraId="7E2191EC" w14:textId="657560C8">
      <w:pPr>
        <w:pStyle w:val="NormalHanging"/>
        <w:widowControl/>
        <w:ind w:left="567" w:hanging="567"/>
      </w:pPr>
      <w:r w:rsidRPr="00A50059">
        <w:t>Ζ.</w:t>
      </w:r>
      <w:r w:rsidRPr="00A50059">
        <w:tab/>
        <w:t>λαμβάνοντας υπόψη ότι η συνολική μείωση του διοικητικού φόρτου που απορρέει από τον προτεινόμενο κανονισμό για τη θέσπιση του 28ου καθεστώτος εκτιμάται σε ένα ποσό μεταξύ 328 και 440 εκατομμυρίων EUR σε διάστημα 10 ετών</w:t>
      </w:r>
      <w:r>
        <w:rPr>
          <w:rStyle w:val="FootnoteReference"/>
        </w:rPr>
        <w:footnoteReference w:id="8"/>
      </w:r>
      <w:r w:rsidRPr="00A50059">
        <w:t>·</w:t>
      </w:r>
    </w:p>
    <w:p w:rsidR="00020FD2" w:rsidRPr="00A50059" w:rsidP="002040FD" w14:paraId="68E8108E" w14:textId="4E75BE1F">
      <w:pPr>
        <w:pStyle w:val="NormalHanging"/>
        <w:widowControl/>
        <w:ind w:left="567" w:hanging="567"/>
      </w:pPr>
      <w:r w:rsidRPr="00A50059">
        <w:t>Η.</w:t>
      </w:r>
      <w:r w:rsidRPr="00A50059">
        <w:tab/>
        <w:t>λαμβάνοντας υπόψη ότι για τις ΜΜΕ, τις νεοφυείς και τις επεκτεινόμενες επιχειρήσεις, οι δυσκολίες στην κατανόηση των διαφορετικών επιχειρηματικών περιβαλλόντων στην ΕΕ – μεταξύ άλλων λόγω γλωσσικών φραγμών, λόγω έλλειψης πρόσβασης σε πληροφορίες ή λόγω κανόνων και απαιτήσεων, φορολογικών ζητημάτων και ζητημάτων που σχετίζονται με τη χορήγηση άδειας επιχειρηματικής λειτουργίας – αποτελούν τα σημαντικότερα εμπόδια για τις διασυνοριακές τους δραστηριότητες και την επέκτασή τους εντός της ΕΕ· λαμβάνοντας υπόψη ότι η φορολογία, ιδίως τα ζητήματα που σχετίζονται με τον φόρο προστιθέμενης αξίας (ΦΠΑ), τις άδειες και τις εγκρίσεις αποτελούν τα κύρια εμπόδια για την επέκτασή τους σε άλλες χώρες της ΕΕ</w:t>
      </w:r>
      <w:r>
        <w:rPr>
          <w:rStyle w:val="FootnoteReference"/>
        </w:rPr>
        <w:footnoteReference w:id="9"/>
      </w:r>
      <w:r w:rsidRPr="00A50059">
        <w:t>·</w:t>
      </w:r>
    </w:p>
    <w:p w:rsidR="00020FD2" w:rsidRPr="00A50059" w:rsidP="002040FD" w14:paraId="29D00150" w14:textId="7129D0DE">
      <w:pPr>
        <w:pStyle w:val="NormalHanging"/>
        <w:widowControl/>
        <w:ind w:left="567" w:hanging="567"/>
      </w:pPr>
      <w:r w:rsidRPr="00A50059">
        <w:t>Θ.</w:t>
      </w:r>
      <w:r w:rsidRPr="00A50059">
        <w:tab/>
        <w:t>λαμβάνοντας υπόψη ότι, το 2025, η Ευρώπη διέθετε μόλις 331 εταιρείες-μονόκερους, έναντι 1 963 στις Ηνωμένες Πολιτείες, και ότι, μεταξύ 2008 και 2021, σχεδόν το 30 % των ευρωπαϊκών εταιρειών-μονοκέρων μετέφεραν την έδρα τους εκτός ΕΕ· λαμβάνοντας υπόψη ότι μεγάλο ποσοστό εταιρειών εγκαταλείπει την ΕΕ για να βρει το αναγκαίο κεφάλαιο σε άλλες δικαιοδοσίες· λαμβάνοντας υπόψη ότι αυτό οφείλεται στην καλύτερη πρόσβαση σε μεγάλες αγορές, σε ένα υποστηρικτικό επιχειρηματικό περιβάλλον, σε καλύτερη πρόσβαση σε επιχειρηματικά κεφάλαια, στην αυξημένη διαθεσιμότητα και κινητικότητα ταλαντούχων και ειδικευμένων εργαζομένων, σε ένα μη κατακερματισμένο ρυθμιστικό πλαίσιο και σε ένα λιγότερο πολύπλοκο φορολογικό περιβάλλον, καθώς και στη μεγαλύτερη διαθεσιμότητα καθεστώτων συμμετοχής των εργαζομένων στο κεφάλαιο της επιχείρησης, γεγονός που ευνοεί τις διασυνοριακές επενδύσεις και την προσέλκυση και διατήρηση οικονομικών και βιομηχανικών δραστηριοτήτων στις οικονομίες τους</w:t>
      </w:r>
      <w:r>
        <w:rPr>
          <w:rStyle w:val="FootnoteReference"/>
        </w:rPr>
        <w:footnoteReference w:id="10"/>
      </w:r>
      <w:r w:rsidRPr="00A50059">
        <w:t>·</w:t>
      </w:r>
    </w:p>
    <w:p w:rsidR="00020FD2" w:rsidRPr="00A50059" w:rsidP="002040FD" w14:paraId="2BCF18DB" w14:textId="6F1A7CA4">
      <w:pPr>
        <w:pStyle w:val="NormalHanging"/>
        <w:widowControl/>
        <w:ind w:left="567" w:hanging="567"/>
      </w:pPr>
      <w:r w:rsidRPr="00A50059">
        <w:t>Ι.</w:t>
      </w:r>
      <w:r w:rsidRPr="00A50059">
        <w:tab/>
        <w:t>λαμβάνοντας υπόψη ότι, όπως αναφέρεται στην έκθεση Draghi, για τις καινοτόμες εταιρείες, στο πλαίσιο της ενισχυμένης συνεργασίας θα μπορούσε να διερευνηθεί ένα εθελοντικό 28ο εγχειρίδιο κανόνων για τις εταιρείες, το οποίο θα εναρμονίζει τη νομοθεσία για το εταιρικό δίκαιο, την αφερεγγυότητα, καθώς και ορισμένες βασικές πτυχές της φορολογίας, και που θα καταστεί σταδιακά πιο φιλόδοξο</w:t>
      </w:r>
      <w:r>
        <w:rPr>
          <w:rStyle w:val="FootnoteReference"/>
        </w:rPr>
        <w:footnoteReference w:id="11"/>
      </w:r>
      <w:r w:rsidRPr="00A50059">
        <w:t>·</w:t>
      </w:r>
    </w:p>
    <w:p w:rsidR="00020FD2" w:rsidRPr="00A50059" w:rsidP="002040FD" w14:paraId="42F94547" w14:textId="25D0F253">
      <w:pPr>
        <w:pStyle w:val="NormalHanging"/>
        <w:widowControl/>
        <w:ind w:left="567" w:hanging="567"/>
      </w:pPr>
      <w:r w:rsidRPr="00A50059">
        <w:t>ΙΑ.</w:t>
      </w:r>
      <w:r w:rsidRPr="00A50059">
        <w:tab/>
        <w:t>λαμβάνοντας υπόψη ότι, όπως αναφέρεται στην έκθεση Letta, η φορολογία είναι ένας άλλος τομέας όπου η πολυπλοκότητα αποτελεί σημαντικό εμπόδιο για το διασυνοριακό εμπόριο και τις επενδύσεις, και ο ρυθμιστικός κατακερματισμός μπορεί να καταστήσει την ενιαία αγορά εμπόδιο για τις ΜΜΕ· λαμβάνοντας υπόψη ότι η έκθεση προσδιορίζει το 28ο καθεστώς ως βασικό εργαλείο που θα τους επιτρέψει να επωφεληθούν πλήρως από την ενιαία αγορά</w:t>
      </w:r>
      <w:r>
        <w:rPr>
          <w:rStyle w:val="FootnoteReference"/>
        </w:rPr>
        <w:footnoteReference w:id="12"/>
      </w:r>
      <w:r w:rsidRPr="00A50059">
        <w:t>·</w:t>
      </w:r>
    </w:p>
    <w:p w:rsidR="00020FD2" w:rsidRPr="00A50059" w:rsidP="002040FD" w14:paraId="6FE385B7" w14:textId="77777777">
      <w:pPr>
        <w:pStyle w:val="NormalHanging"/>
        <w:widowControl/>
        <w:ind w:left="567" w:hanging="567"/>
      </w:pPr>
      <w:r w:rsidRPr="00A50059">
        <w:t>ΙΒ.</w:t>
      </w:r>
      <w:r w:rsidRPr="00A50059">
        <w:tab/>
        <w:t>λαμβάνοντας υπόψη ότι η φορολογική διάσταση του 28ου καθεστώτος θα πρέπει να σέβεται το πλαίσιο αρμοδιοτήτων που προβλέπεται από τις Συνθήκες και να είναι σχεδιασμένο για τη στήριξη του πλήρους κύκλου ζωής των επιχειρήσεων· λαμβάνοντας υπόψη ότι η έκθεση Draghi καταδεικνύει ότι η ΕΕ υστερεί σε επενδύσεις επιχειρηματικών κεφαλαίων σε κάθε στάδιο ανάπτυξης των νεοφυών επιχειρήσεων (αρχικό στάδιο χρηματοδότησης, πρώιμο στάδιο και μεταγενέστερο στάδιο) ως αποτέλεσμα της έλλειψης δυνατοτήτων επέκτασης·</w:t>
      </w:r>
    </w:p>
    <w:p w:rsidR="00020FD2" w:rsidRPr="00A50059" w:rsidP="002040FD" w14:paraId="068D9DEB" w14:textId="77777777">
      <w:pPr>
        <w:pStyle w:val="NormalHanging"/>
        <w:widowControl/>
        <w:ind w:left="567" w:hanging="567"/>
      </w:pPr>
      <w:r w:rsidRPr="00A50059">
        <w:t>ΙΓ.</w:t>
      </w:r>
      <w:r w:rsidRPr="00A50059">
        <w:tab/>
        <w:t xml:space="preserve">λαμβάνοντας υπόψη ότι τα δυνητικά οφέλη ενός προαιρετικού καθεστώτος για τις επιχειρήσεις σε πανευρωπαϊκό επίπεδο, το οποίο απλουστεύει σε μεγάλο βαθμό ολόκληρη τη διαδικασία μελλοντικής επέκτασης σε νέες αγορές, τόσο εντός όσο και εκτός της ΕΕ, συνίστανται στην ενίσχυση της ασφάλειας δικαίου, στη μείωση του κόστους συμμόρφωσης και στην απλούστευση των κανονιστικών και των φορολογικών διαδικασιών, καθώς και στη διασφάλιση ισότιμων όρων ανταγωνισμού έναντι ανταγωνιστικών δικαιοδοσιών εκτός της ΕΕ· λαμβάνοντας υπόψη ότι είναι αναγκαίο να διασφαλιστεί σαφήνεια και ασφάλεια δικαίου για Ευρωπαίους και ξένους επενδυτές με τη θέσπιση απλούστερων και καλύτερα εναρμονισμένων κανόνων, μεταξύ άλλων στον </w:t>
      </w:r>
      <w:r w:rsidRPr="00A50059">
        <w:t>τομέα της φορολογίας, που θα τους επιτρέπουν να πραγματοποιούν διασυνοριακές επενδύσεις με εμπιστοσύνη·</w:t>
      </w:r>
    </w:p>
    <w:p w:rsidR="00020FD2" w:rsidRPr="00A50059" w:rsidP="002040FD" w14:paraId="01EFEB29" w14:textId="77777777">
      <w:pPr>
        <w:pStyle w:val="NormalHanging"/>
        <w:widowControl/>
        <w:ind w:left="567" w:hanging="567"/>
      </w:pPr>
      <w:r w:rsidRPr="00A50059">
        <w:t>ΙΔ.</w:t>
      </w:r>
      <w:r w:rsidRPr="00A50059">
        <w:tab/>
        <w:t>λαμβάνοντας υπόψη ότι, προκειμένου να υλοποιήσουν αυτές τις πολιτικές και να επιτύχουν αυτούς τους πολιτικούς στόχους, η ΕΕ και τα κράτη μέλη της πρέπει να ενεργούν βάσει προσέγγισης που θα είναι συντονισμένη, φιλόδοξη και προσανατολισμένη στα αποτελέσματα·</w:t>
      </w:r>
    </w:p>
    <w:p w:rsidR="00020FD2" w:rsidRPr="00A50059" w:rsidP="002040FD" w14:paraId="6C1D2C81" w14:textId="77777777">
      <w:pPr>
        <w:pStyle w:val="NormalHanging"/>
        <w:widowControl/>
        <w:ind w:left="567" w:hanging="567"/>
      </w:pPr>
      <w:r w:rsidRPr="00A50059">
        <w:t>ΙΕ.</w:t>
      </w:r>
      <w:r w:rsidRPr="00A50059">
        <w:tab/>
        <w:t>λαμβάνοντας υπόψη ότι η ολοκλήρωση της Ένωσης Αποταμιεύσεων και Επενδύσεων είναι απαραίτητη για την κινητοποίηση των ιδιωτικών κεφαλαίων που υπάρχουν στην ΕΕ και την αποτελεσματική διοχέτευσή τους στην οικονομία, ιδίως προς τις ΜΜΕ, τις νεοφυείς και τις επεκτεινόμενες επιχειρήσεις· λαμβάνοντας υπόψη ότι μια βαθύτερη, πιο ολοκληρωμένη και πιο προσβάσιμη κεφαλαιαγορά θα διευκόλυνε την πρόσβαση σε χρηματοδότηση και θα ενθάρρυνε τις μακροπρόθεσμες επενδύσεις· λαμβάνοντας υπόψη ότι έχει ζωτική σημασία η πληρέστερη ολοκλήρωση των ευρωπαϊκών χρηματοπιστωτικών αγορών διότι ενισχύεται η ανταγωνιστικότητα της ΕΕ, προλαμβάνεται η φυγή επιχειρήσεων σε άλλες δικαιοδοσίες και διασφαλίζεται ότι η ευρωπαϊκή αποταμίευση χρηματοδοτεί την ανάπτυξη και την καινοτομία στο πλαίσιο της ενιαίας αγοράς·</w:t>
      </w:r>
    </w:p>
    <w:p w:rsidR="00020FD2" w:rsidRPr="00A50059" w:rsidP="002040FD" w14:paraId="36413BF0" w14:textId="77777777">
      <w:pPr>
        <w:pStyle w:val="NormalHanging"/>
        <w:widowControl/>
        <w:ind w:left="567" w:hanging="567"/>
      </w:pPr>
      <w:r w:rsidRPr="00A50059">
        <w:t>ΙΣΤ.</w:t>
      </w:r>
      <w:r w:rsidRPr="00A50059">
        <w:tab/>
        <w:t>λαμβάνοντας υπόψη ότι οι πρόσθετες ενότητες, που απορρέουν από το 28ο καθεστώς, μπορούν να διαδραματίσουν ρόλο στη στήριξη της διασυνοριακής ανάπτυξης μακροπρόθεσμων αποταμιεύσεων και συνταξιοδοτικών προϊόντων· λαμβάνοντας υπόψη ότι, στο πλαίσιο της φορολογίας, τα καθεστώτα αυτά θα πρέπει να αλληλεπιδρούν συνεκτικά με τα εθνικά φορολογικά πλαίσια·</w:t>
      </w:r>
    </w:p>
    <w:p w:rsidR="00020FD2" w:rsidRPr="00A50059" w:rsidP="002040FD" w14:paraId="7FA54651" w14:textId="77777777">
      <w:pPr>
        <w:pStyle w:val="Normal12a"/>
        <w:ind w:left="567" w:hanging="567"/>
      </w:pPr>
      <w:r w:rsidRPr="00A50059">
        <w:rPr>
          <w:b/>
          <w:i/>
        </w:rPr>
        <w:t>Γενικές αρχές</w:t>
      </w:r>
    </w:p>
    <w:p w:rsidR="00020FD2" w:rsidRPr="00A50059" w:rsidP="00A50059" w14:paraId="0287935B" w14:textId="0E458EC7">
      <w:pPr>
        <w:pStyle w:val="NormalHanging12a"/>
        <w:ind w:left="570" w:hanging="570"/>
      </w:pPr>
      <w:r w:rsidRPr="00A50059">
        <w:t>1.</w:t>
      </w:r>
      <w:r w:rsidRPr="00A50059">
        <w:tab/>
      </w:r>
      <w:r w:rsidRPr="00A50059">
        <w:t>εκφράζει την ικανοποίησή του για τη νομοθετική πρόταση της Επιτροπής για ένα 28ο καθεστώς («EU Inc») για τις επιχειρήσεις· αναγνωρίζει τον δυνητικό συστημικό αντίκτυπό της στη λειτουργία της ενιαίας αγοράς και στη συνολική ανταγωνιστικότητα της οικονομίας της ΕΕ· υπογραμμίζει, ωστόσο, ότι η πρόταση για το 28ο καθεστώς δεν πρέπει να αντικαταστήσει οιεσδήποτε περαιτέρω νομοθετικές προσπάθειες για τη μείωση του κατακερματισμού και των ανισοτήτων μεταξύ των ρυθμιστικών πλαισίων των κρατών μελών·</w:t>
      </w:r>
    </w:p>
    <w:p w:rsidR="00020FD2" w:rsidRPr="00A50059" w:rsidP="00A50059" w14:paraId="262CBC56" w14:textId="5B8812C9">
      <w:pPr>
        <w:pStyle w:val="NormalHanging12a"/>
        <w:ind w:left="570" w:hanging="570"/>
      </w:pPr>
      <w:r w:rsidRPr="00A50059">
        <w:t>2.</w:t>
      </w:r>
      <w:r w:rsidRPr="00A50059">
        <w:tab/>
      </w:r>
      <w:r w:rsidRPr="00A50059">
        <w:t>Επισημαίνει ότι έχει εγκρίνει ψήφισμα που περιέχει συστάσεις προς την Επιτροπή σχετικά με το 28ο καθεστώς: ένα νέο νομικό πλαίσιο για καινοτόμες επιχειρήσεις·</w:t>
      </w:r>
    </w:p>
    <w:p w:rsidR="00020FD2" w:rsidRPr="00A50059" w:rsidP="00A50059" w14:paraId="1D420484" w14:textId="68B0A3C8">
      <w:pPr>
        <w:pStyle w:val="NormalHanging12a"/>
        <w:ind w:left="570" w:hanging="570"/>
      </w:pPr>
      <w:r w:rsidRPr="00A50059">
        <w:t>3.</w:t>
      </w:r>
      <w:r w:rsidRPr="00A50059">
        <w:tab/>
      </w:r>
      <w:r w:rsidRPr="00A50059">
        <w:t>χαιρετίζει την έγκριση του θεματολογίου «Μία Ευρώπη, μία αγορά» για την απελευθέρωση του δυναμικού της ενιαίας αγοράς· λαμβάνει υπό σημείωση την έκκληση του Ευρωπαϊκού Συμβουλίου για την έγκριση 28ου καθεστώτος εταιρικού δικαίου· σημειώνει την έλλειψη αναφορών από το</w:t>
      </w:r>
      <w:r w:rsidRPr="00A50059" w:rsidR="002040FD">
        <w:t xml:space="preserve"> </w:t>
      </w:r>
      <w:r w:rsidRPr="00A50059">
        <w:t>Ευρωπαϊκό Συμβούλιο</w:t>
      </w:r>
      <w:r w:rsidRPr="00A50059" w:rsidR="002040FD">
        <w:t xml:space="preserve"> </w:t>
      </w:r>
      <w:r w:rsidRPr="00A50059">
        <w:t>σε μια στοχευμένη εναρμόνιση των φορολογικών πολιτικών στο πλαίσιο του θεματολογίου αυτού, ιδίως δεδομένου ότι οι ΜΜΕ υπέδειξαν τον κατακερματισμό της φορολογίας και του ΦΠΑ ως το κυριότερο εμπόδιο για την επέκταση·</w:t>
      </w:r>
    </w:p>
    <w:p w:rsidR="00020FD2" w:rsidRPr="00A50059" w:rsidP="00A50059" w14:paraId="08B3FB32" w14:textId="54129A27">
      <w:pPr>
        <w:pStyle w:val="NormalHanging12a"/>
        <w:ind w:left="570" w:hanging="570"/>
      </w:pPr>
      <w:r w:rsidRPr="00A50059">
        <w:t>4.</w:t>
      </w:r>
      <w:r w:rsidRPr="00A50059">
        <w:tab/>
      </w:r>
      <w:r w:rsidRPr="00A50059">
        <w:t xml:space="preserve">τονίζει το γεγονός ότι η φορολογία αποτελεί, στις περισσότερες περιπτώσεις, αποκλειστική αρμοδιότητα των κρατών μελών, αλλά ότι υπάρχει  και γίνεται ευρέως σεβαστή η εθνική κυριαρχία, αλλά ότι ωστόσο υπάρχει – ιδίως όσον αφορά τις διαδικασίες – περιθώριο για περαιτέρω απλούστευση ή στοχευμένη εναρμόνιση για την </w:t>
      </w:r>
      <w:r w:rsidRPr="00A50059">
        <w:t>αντιμετώπιση των διαφορετικών καθεστώτων συμμόρφωσης, της πολύπλοκης και κατακερματισμένης φορολογικής μεταχείρισης των εταιρειών, των υποχρεώσεων υποβολής εκθέσεων και των διοικητικών εμποδίων στη μεταχείριση των διασυνοριακών επενδύσεων· επισημαίνει τη θετική συμβολή προηγούμενων νομοθετικών πρωτοβουλιών της ΕΕ για τη φορολογία, ιδίως όσον αφορά την αντιμετώπιση της φοροδιαφυγής, της φοροαποφυγής και της απάτης, οι οποίες συμπληρώνουν τα εθνικά νομικά πλαίσια·</w:t>
      </w:r>
    </w:p>
    <w:p w:rsidR="00020FD2" w:rsidRPr="00A50059" w:rsidP="00A50059" w14:paraId="7BB86C53" w14:textId="0F33DF85">
      <w:pPr>
        <w:pStyle w:val="NormalHanging12a"/>
        <w:ind w:left="570" w:hanging="570"/>
      </w:pPr>
      <w:r w:rsidRPr="00A50059">
        <w:t>5.</w:t>
      </w:r>
      <w:r w:rsidRPr="00A50059">
        <w:tab/>
      </w:r>
      <w:r w:rsidRPr="00A50059">
        <w:t>ζητεί όπως η πρωτοβουλία για το 28ο καθεστώς είναι φιλόδοξη με ουσιαστικό τρόπο, μεταξύ άλλων όσον αφορά τις φορολογικές πτυχές, σεβόμενη παράλληλα πλήρως τις Συνθήκες, προκειμένου να δίνεται η δυνατότητα στις ΜΜΕ, τις μικρές επιχειρήσεις μεσαίας κεφαλαιοποίησης και τις καινοτόμες επιχειρήσεις να επεκτείνονται και να λειτουργούν απρόσκοπτα χωρίς διασυνοριακούς φραγμούς σε ολόκληρη την ενιαία αγορά της ΕΕ·</w:t>
      </w:r>
    </w:p>
    <w:p w:rsidR="00020FD2" w:rsidRPr="00A50059" w:rsidP="00A50059" w14:paraId="6D20B113" w14:textId="64E3B8C2">
      <w:pPr>
        <w:pStyle w:val="NormalHanging12a"/>
        <w:ind w:left="570" w:hanging="570"/>
      </w:pPr>
      <w:r w:rsidRPr="00A50059">
        <w:t>6.</w:t>
      </w:r>
      <w:r w:rsidRPr="00A50059">
        <w:tab/>
      </w:r>
      <w:r w:rsidRPr="00A50059">
        <w:t>υπογραμμίζει ότι το 28ο καθεστώς δεν πρέπει, σε καμία περίπτωση, να επιτρέπει την καταστρατήγηση της υποχρεωτικής εγχώριας προστασίας των εργαζομένων, των κοινωνικών δικαιωμάτων τους, των εκπροσώπων τους και των συνδικαλιστικών τους οργανώσεων, ούτε να καταστεί όχημα για την υπονόμευση, τη μείωση ή την αποδυνάμωση των υφιστάμενων επιπέδων προστασίας σε ενωσιακό ή εθνικό επίπεδο· επισημαίνει ότι το 28ο καθεστώς θα πρέπει να στηρίζει την καινοτομία, τη διαφάνεια των επιχειρηματικών πολιτικών και τη διαστατική ανάπτυξη και επεκτασιμότητα των επιχειρήσεων, ενθαρρύνοντας την άρση των νομικών και φορολογικών εμποδίων που περιορίζουν τη διασυνοριακή ανάπτυξη και επέκταση, καθώς και τη φορολογική δικαιοσύνη, αποτρέποντας παράλληλα αποτελεσματικά τις φορολογικές, κοινωνικές και ρυθμιστικές ανισότητες·</w:t>
      </w:r>
    </w:p>
    <w:p w:rsidR="00020FD2" w:rsidRPr="00A50059" w:rsidP="00A50059" w14:paraId="1A3608BC" w14:textId="1BF36E86">
      <w:pPr>
        <w:pStyle w:val="NormalHanging12a"/>
        <w:ind w:left="570" w:hanging="570"/>
      </w:pPr>
      <w:r w:rsidRPr="00A50059">
        <w:t>7.</w:t>
      </w:r>
      <w:r w:rsidRPr="00A50059">
        <w:tab/>
      </w:r>
      <w:r w:rsidRPr="00A50059">
        <w:t>τονίζει ότι τα οφέλη της ψηφιοποίησης και της απλούστευσης των απαιτήσεων συμμόρφωσης που θα θεσπιστούν στο πλαίσιο της φορολογικής ενότητας του 28ου καθεστώτος («φορολογική ενότητα») θα πρέπει να καταστούν διαθέσιμα σε όλες τις επιχειρήσεις στο πλαίσιο της «EU Inc.»·</w:t>
      </w:r>
    </w:p>
    <w:p w:rsidR="00020FD2" w:rsidRPr="00A50059" w:rsidP="00A50059" w14:paraId="25F9DE41" w14:textId="17045311">
      <w:pPr>
        <w:pStyle w:val="NormalHanging12a"/>
        <w:ind w:left="570" w:hanging="570"/>
      </w:pPr>
      <w:r w:rsidRPr="00A50059">
        <w:t>8.</w:t>
      </w:r>
      <w:r w:rsidRPr="00A50059">
        <w:tab/>
      </w:r>
      <w:r w:rsidRPr="00A50059">
        <w:t>θεωρεί ότι το 28ο καθεστώς αποτελεί στρατηγικό βήμα προς την περαιτέρω εμβάθυνση της ενιαίας αγοράς, το οποίο προωθεί την ευρωπαϊκή ολοκλήρωση και βελτιώνει τη λειτουργία της ενιαίας αγοράς και την ανταγωνιστική δυναμική της·</w:t>
      </w:r>
    </w:p>
    <w:p w:rsidR="00020FD2" w:rsidRPr="00A50059" w:rsidP="00A50059" w14:paraId="7DD021CD" w14:textId="32A5A053">
      <w:pPr>
        <w:pStyle w:val="NormalHanging12a"/>
        <w:ind w:left="570" w:hanging="570"/>
      </w:pPr>
      <w:r w:rsidRPr="00A50059">
        <w:t>9.</w:t>
      </w:r>
      <w:r w:rsidRPr="00A50059">
        <w:tab/>
      </w:r>
      <w:r w:rsidRPr="00A50059">
        <w:t>τονίζει ότι το 28ο καθεστώς θα πρέπει να θεσπιστεί μέσω μιας σπονδυλωτής προσέγγισης· κατανοεί ότι ο προτεινόμενος κανονισμός για τη θέσπιση νομικού πλαισίου για τις επιχειρήσεις («EU Inc.») είναι ένα πρώτο βήμα στο οποίο μπορούν να προστεθούν και άλλες ενότητες, μεταξύ άλλων για τη φορολογία (φορολογική ενότητα)· θεωρεί ότι οι μελλοντικές αυτές ενότητες θα πρέπει να καλύπτουν τις σχετικές πτυχές ολόκληρου του κύκλου ζωής των επιχειρήσεων και να αξιολογούνται συνεχώς με βάση διεθνή κριτήρια αναφοράς·</w:t>
      </w:r>
    </w:p>
    <w:p w:rsidR="00020FD2" w:rsidRPr="00A50059" w:rsidP="00A50059" w14:paraId="34ADAC89" w14:textId="104498C6">
      <w:pPr>
        <w:pStyle w:val="NormalHanging12a"/>
        <w:ind w:left="570" w:hanging="570"/>
      </w:pPr>
      <w:r w:rsidRPr="00A50059">
        <w:t>10.</w:t>
      </w:r>
      <w:r w:rsidRPr="00A50059">
        <w:tab/>
      </w:r>
      <w:r w:rsidRPr="00A50059">
        <w:t xml:space="preserve">θεωρεί ότι η φορολογική ενότητα θα μπορούσε να προστεθεί στη νομοθετική πρόταση κανονισμού για τη θέσπιση νομικού πλαισίου για τις επιχειρήσεις («EU Inc.»), το οποίο θα πρέπει να επεκταθεί στον τομέα της φορολογίας, με στοχευμένο, φιλόδοξο και αναλογικό τρόπο· θεωρεί ότι στα δυνητικά οφέλη της φορολογικής ενότητας περιλαμβάνονται το χαμηλότερο κόστος συμμόρφωσης, οι απλουστευμένες κανονιστικές διαδικασίες, η ενισχυμένη ασφάλεια δικαίου, η προβλεψιμότητα και η </w:t>
      </w:r>
      <w:r w:rsidRPr="00A50059">
        <w:t>ευκολότερη πρόσβαση στις διασυνοριακές αγορές, ώστε να βελτιωθεί και να εμβαθυνθεί η ευρωπαϊκή ενιαία αγορά·</w:t>
      </w:r>
    </w:p>
    <w:p w:rsidR="00020FD2" w:rsidRPr="00A50059" w:rsidP="00A50059" w14:paraId="05C0CF60" w14:textId="18B5C49E">
      <w:pPr>
        <w:pStyle w:val="NormalHanging12a"/>
        <w:ind w:left="570" w:hanging="570"/>
      </w:pPr>
      <w:r w:rsidRPr="00A50059">
        <w:t>11.</w:t>
      </w:r>
      <w:r w:rsidRPr="00A50059">
        <w:tab/>
      </w:r>
      <w:r w:rsidRPr="00A50059">
        <w:t>σημειώνει ότι, για να μπορεί να θεσπιστεί μια φορολογική ενότητα βάσει του υφιστάμενου πλαισίου της Συνθήκης, και όταν η εφαρμοστέα νομοθετική διαδικασία δεν αποφέρει αποτελέσματα, θα πρέπει να εξεταστεί είτε μια δομή προαιρετικής συμμετοχής στη σχετική νομοθεσία είτε η ενισχυμένη συνεργασία ως έσχατη λύση, προκειμένου να αντιμετωπιστούν οι ελλείψεις της φορολογικής πολιτικής· σημειώνει ότι η φορολογική πολιτική εξακολουθεί να υπόκειται σε ομοφωνία στο Συμβούλιο της ΕΕ· είναι της άποψης ότι η μετάβαση στη χρήση της ψηφοφορίας με ειδική πλειοψηφία είναι αναγκαία σε ορισμένες πτυχές της φορολογικής πολιτικής, όπως κατά την εφαρμογή διεθνών συμφωνιών που έχουν υπογραφεί από όλα τα κράτη μέλη, ορισμένων διοικητικών διαδικασιών ή νομικών ορισμών, προκειμένου να αποτραπεί το ενδεχόμενο η ομοφωνία να περιορίσει τη ρυθμιστική εναρμόνιση και να εμποδίσει τους πολίτες και τις επιχειρήσεις να επωφεληθούν πλήρως από την ενιαία αγορά· σημειώνει ότι μια τέτοια ενότητα θα πρέπει να σχεδιαστεί ως ένα προαιρετικό, σαφές και νομικά ασφαλές σύστημα, ανοικτό στην προσχώρηση άλλων κρατών μελών ανά πάσα στιγμή, αποφεύγοντας τον περαιτέρω κατακερματισμό και διασφαλίζοντας τη συνοχή της ενιαίας αγοράς·</w:t>
      </w:r>
    </w:p>
    <w:p w:rsidR="00020FD2" w:rsidRPr="00A50059" w:rsidP="00A50059" w14:paraId="50E053EA" w14:textId="766841EB">
      <w:pPr>
        <w:pStyle w:val="NormalHanging12a"/>
        <w:ind w:left="570" w:hanging="570"/>
      </w:pPr>
      <w:r w:rsidRPr="00A50059">
        <w:t>12.</w:t>
      </w:r>
      <w:r w:rsidRPr="00A50059">
        <w:tab/>
      </w:r>
      <w:r w:rsidRPr="00A50059">
        <w:t>τονίζει ότι το 28ο καθεστώς πρέπει να μειώσει αποτελεσματικά τις πολύπλοκες διαδικασίες συμμόρφωσης για τις συμμετέχουσες επιχειρήσεις και δεν πρέπει να οδηγήσει στη δημιουργία ενός παράλληλου εγχειριδίου κανόνων επιπλέον των εθνικών νομικών συστημάτων, επιφέροντας αύξηση των νομικών στρεβλώσεων, των αλληλεπικαλύψεων ή των ασυνεπειών, ή πρόσθετη διοικητική επιβάρυνση· υπενθυμίζει ότι ο πρωταρχικός σκοπός του νέου καθεστώτος είναι η απλούστευση και η ανταγωνιστικότητα και η διασφάλιση ότι αυτές είναι εφικτές ανά πάσα στιγμή, με παράλληλη προσπάθεια για ανοδική κοινωνική σύγκλιση·</w:t>
      </w:r>
    </w:p>
    <w:p w:rsidR="00020FD2" w:rsidRPr="00A50059" w:rsidP="00A50059" w14:paraId="49002122" w14:textId="2C73ED6D">
      <w:pPr>
        <w:pStyle w:val="NormalHanging12a"/>
        <w:ind w:left="570" w:hanging="570"/>
      </w:pPr>
      <w:r w:rsidRPr="00A50059">
        <w:t>13.</w:t>
      </w:r>
      <w:r w:rsidRPr="00A50059">
        <w:tab/>
      </w:r>
      <w:r w:rsidRPr="00A50059">
        <w:t>τονίζει ότι ο στόχος τόσο του 28ου καθεστώτος όσο και της φορολογικής του ενότητας δεν είναι η δημιουργία αθέμιτου φορολογικού πλεονεκτήματος για τις επιχειρήσεις ή τους εργαζομένους τους, αλλά η σημαντική μείωση της πολυπλοκότητας και του διοικητικού φόρτου που προκύπτουν από τις διαφορετικές υποχρεώσεις, με παράλληλο σεβασμό των ειδικών χαρακτηριστικών των εν λόγω επιχειρήσεων·</w:t>
      </w:r>
    </w:p>
    <w:p w:rsidR="00020FD2" w:rsidRPr="00A50059" w:rsidP="00A50059" w14:paraId="2503E920" w14:textId="01FEF119">
      <w:pPr>
        <w:pStyle w:val="NormalHanging12a"/>
        <w:ind w:left="570" w:hanging="570"/>
      </w:pPr>
      <w:r w:rsidRPr="00A50059">
        <w:t>14.</w:t>
      </w:r>
      <w:r w:rsidRPr="00A50059">
        <w:tab/>
      </w:r>
      <w:r w:rsidRPr="00A50059">
        <w:t>τονίζει ότι, προκειμένου να αποφευχθεί περαιτέρω πολυπλοκότητα, οι διατάξεις του 28ου καθεστώτος θα πρέπει να συνάδουν με οποιεσδήποτε άλλες σημαντικές προτάσεις της Επιτροπής και τις σχετικές κατευθυντήριες γραμμές του Οργανισμού Οικονομικής Συνεργασίας και Ανάπτυξης (ΟΟΣΑ) σχετικά με τη μεγαλύτερη ολοκλήρωση εντός της ενιαίας αγοράς, συγκεκριμένα στον τομέα της φορολογίας και της εφαρμοστέας φορολογικής νομοθεσίας, ιδίως στα πλαίσια της ΕΕ για την καταπολέμηση της φοροαποφυγής και της φοροδιαφυγής, συμπεριλαμβανομένης της οδηγίας κατά της φοροαποφυγής</w:t>
      </w:r>
      <w:r>
        <w:rPr>
          <w:rStyle w:val="FootnoteReference"/>
        </w:rPr>
        <w:footnoteReference w:id="13"/>
      </w:r>
      <w:r w:rsidRPr="00A50059">
        <w:t xml:space="preserve"> (ATAD)·</w:t>
      </w:r>
    </w:p>
    <w:p w:rsidR="00020FD2" w:rsidRPr="00A50059" w:rsidP="00A50059" w14:paraId="221326F3" w14:textId="421A320D">
      <w:pPr>
        <w:pStyle w:val="NormalHanging12a"/>
        <w:ind w:left="570" w:hanging="570"/>
      </w:pPr>
      <w:r w:rsidRPr="00A50059">
        <w:t>15.</w:t>
      </w:r>
      <w:r w:rsidRPr="00A50059">
        <w:tab/>
      </w:r>
      <w:r w:rsidRPr="00A50059">
        <w:t xml:space="preserve">ζητεί μια σπονδυλωτή και πιλοτική προσέγγιση για το 28ο καθεστώς που θα θέτει το εταιρικό δίκαιο στην πρώτη γραμμή· τονίζει ότι οι εν λόγω ενότητες πρέπει να </w:t>
      </w:r>
      <w:r w:rsidRPr="00A50059">
        <w:t>μειώνουν αποτελεσματικά την πολυπλοκότητα της συμμόρφωσης για τις συμμετέχουσες επιχειρήσεις, αλλά επιμένει στην έγκριση ενός χάρτη πορείας, σχετικά με το τι θα πρέπει να προστεθεί και πότε, ο οποίος θα πρέπει να είναι γνωστός εξαρχής και να προσαρμόζεται συνεχώς στο πλαίσιο μιας περιοδικής διαδικασίας δημοκρατικής επανεξέτασης·</w:t>
      </w:r>
    </w:p>
    <w:p w:rsidR="00020FD2" w:rsidRPr="00A50059" w:rsidP="00A50059" w14:paraId="53CA0634" w14:textId="6047EB49">
      <w:pPr>
        <w:pStyle w:val="NormalHanging12a"/>
        <w:ind w:left="570" w:hanging="570"/>
      </w:pPr>
      <w:r w:rsidRPr="00A50059">
        <w:t>16.</w:t>
      </w:r>
      <w:r w:rsidRPr="00A50059">
        <w:tab/>
      </w:r>
      <w:r w:rsidRPr="00A50059">
        <w:t>τονίζει, στο πλαίσιο αυτό, ότι, προκειμένου να διασφαλιστεί η (πολιτική) σκοπιμότητα και να διατηρηθεί ο έλεγχος των κρατών μελών επί σημαντικού μέρους της φορολογικής τους πολιτικής, όπως προβλέπεται από τα ισχύοντα νομικά πλαίσια, το πεδίο εφαρμογής της φορολογικής ενότητας θα πρέπει να περιοριστεί, ως σημείο εκκίνησης, σε ένα υποσύνολο επιχειρήσεων, όπως οι διασυνοριακές νεοφυείς και επεκτεινόμενες επιχειρήσεις που προσανατολίζονται στην ανάπτυξη και οι οποίες συνήθως παράγουν περιορισμένα μόνο έσοδα από τον φόρο εισοδήματος εταιρειών για τα κράτη μέλη· σημειώνει τη σύσταση της Επιτροπής, της 18ης Μαρτίου 2026, για τη θέσπιση ορισμού των εν λόγω εταιρειών με τη χρήση κριτηρίων όπως οι δαπάνες τους για έρευνα και ανάπτυξη (Ε&amp;Α) και το μέγεθός τους, η οποία συνόδευε την πρόταση «EU Inc.»·</w:t>
      </w:r>
    </w:p>
    <w:p w:rsidR="00020FD2" w:rsidRPr="00A50059" w:rsidP="00A50059" w14:paraId="085CCF23" w14:textId="72A5DE23">
      <w:pPr>
        <w:pStyle w:val="NormalHanging12a"/>
        <w:ind w:left="570" w:hanging="570"/>
      </w:pPr>
      <w:r w:rsidRPr="00A50059">
        <w:t>17.</w:t>
      </w:r>
      <w:r w:rsidRPr="00A50059">
        <w:tab/>
      </w:r>
      <w:r w:rsidRPr="00A50059">
        <w:t>υπογραμμίζει ότι όλα τα φορολογικά κίνητρα στο πλαίσιο του 28ου καθεστώτος πρέπει να είναι πλήρως συμβατά με τους κανόνες περί κρατικών ενισχύσεων και να σχεδιάζονται κατά τρόπο που αποφεύγει τον επιζήμιο φορολογικό ανταγωνισμό, διασφαλίζοντας παράλληλα ισότιμους όρους ανταγωνισμού εντός της ενιαίας αγοράς·</w:t>
      </w:r>
    </w:p>
    <w:p w:rsidR="00020FD2" w:rsidRPr="00A50059" w:rsidP="00A50059" w14:paraId="6B8327D0" w14:textId="529D2BCB">
      <w:pPr>
        <w:pStyle w:val="NormalHanging12a"/>
        <w:ind w:left="570" w:hanging="570"/>
      </w:pPr>
      <w:r w:rsidRPr="00A50059">
        <w:t>18.</w:t>
      </w:r>
      <w:r w:rsidRPr="00A50059">
        <w:tab/>
      </w:r>
      <w:r w:rsidRPr="00A50059">
        <w:t>επαναλαμβάνει ότι οι εταιρείες που επιλέγουν οικειοθελώς να ενταχθούν στο 28ο καθεστώς και στη φορολογική του ενότητα θα πρέπει να δεσμεύονται από τους κανόνες του και ότι η επιλογή τους να συμμετάσχουν πρέπει να αναγνωρίζεται αυτόματα από τα νομικά πλαίσια όλων των κρατών μελών, ώστε να μπορούν να λειτουργούν στην αγορά κάθε κράτους μέλους ως οποιαδήποτε άλλη επιχείρηση καταχωρισμένη σε εθνικό επίπεδο· υπενθυμίζει ότι η είσοδος στο 28ο καθεστώς θα πρέπει να είναι προαιρετική, αλλά η έξοδος από αυτό θα πρέπει να είναι υποχρεωτική μετά την επίτευξη σαφώς καθορισμένων κριτηρίων, συμπεριλαμβανομένης μιας αρχικής δημόσιας προσφοράς· επισημαίνει, στο πλαίσιο αυτό, ότι θα πρέπει να εφαρμόζεται η αρχή της απαγόρευσης των διακρίσεων έναντι των εθνικών νομικών μορφών των εταιρειών·</w:t>
      </w:r>
    </w:p>
    <w:p w:rsidR="00020FD2" w:rsidRPr="00A50059" w:rsidP="00A50059" w14:paraId="219B35F3" w14:textId="1016B7FD">
      <w:pPr>
        <w:pStyle w:val="NormalHanging12a"/>
        <w:ind w:left="570" w:hanging="570"/>
      </w:pPr>
      <w:r w:rsidRPr="00A50059">
        <w:t>19.</w:t>
      </w:r>
      <w:r w:rsidRPr="00A50059">
        <w:tab/>
      </w:r>
      <w:r w:rsidRPr="00A50059">
        <w:t>σημειώνει ότι πρέπει να θεσπιστούν προϋποθέσεις εξόδου για τις εταιρείες που αποφασίζουν να εξαιρεθούν με δική τους πρωτοβουλία, συμπεριλαμβανομένων των απαιτήσεων κοινοποίησης, των πιθανών ελάχιστων περιόδων συμμετοχής και της έναρξης ισχύος της αποχώρησης, και ότι, μόλις εκπληρώνονται τα σχετικά κριτήρια εξόδου, πρέπει να παρέχεται επαρκής χρόνος ώστε να είναι δυνατός ο αναγκαίος μετασχηματισμός των επιχειρήσεων, με διασφάλιση μιας προβλέψιμης και σταδιακής μετάβασης και με παράλληλη ελαχιστοποίηση των δυνατοτήτων ρυθμιστικού αρμπιτράζ·</w:t>
      </w:r>
    </w:p>
    <w:p w:rsidR="00020FD2" w:rsidRPr="00A50059" w:rsidP="00A50059" w14:paraId="5A716798" w14:textId="5106E1F1">
      <w:pPr>
        <w:pStyle w:val="NormalHanging12a"/>
        <w:ind w:left="570" w:hanging="570"/>
      </w:pPr>
      <w:r w:rsidRPr="00A50059">
        <w:t>20.</w:t>
      </w:r>
      <w:r w:rsidRPr="00A50059">
        <w:tab/>
      </w:r>
      <w:r w:rsidRPr="00A50059">
        <w:t>αναγνωρίζει ότι η ουδετερότητα ως προς τη νομική μορφή και η φορολογική απαγόρευση των διακρίσεων είναι ουσιαστικής σημασίας για τη διασφάλιση επαρκούς ζήτησης για το καθεστώς· καλεί την Επιτροπή, εφόσον χρειάζεται, να τροποποιήσει το κεκτημένο της ΕΕ για τη φορολογία, είτε άμεσα είτε έμμεσα, προκειμένου να διασφαλιστεί ότι οι επιχειρήσεις που λειτουργούν υπό το 28ο καθεστώς μπορούν να εμπίπτουν στο δικό τους πεδίο εφαρμογής, και να απλουστεύσει και να εναρμονίσει περαιτέρω τις διαδικασίες πρόσβασης στα οφέλη των εν λόγω οδηγιών·</w:t>
      </w:r>
    </w:p>
    <w:p w:rsidR="00020FD2" w:rsidRPr="00A50059" w:rsidP="00A50059" w14:paraId="4BA01486" w14:textId="7BB10482">
      <w:pPr>
        <w:pStyle w:val="NormalHanging12a"/>
        <w:ind w:left="570" w:hanging="570"/>
      </w:pPr>
      <w:r w:rsidRPr="00A50059">
        <w:t>21.</w:t>
      </w:r>
      <w:r w:rsidRPr="00A50059">
        <w:tab/>
      </w:r>
      <w:r w:rsidRPr="00A50059">
        <w:t>θεωρεί ότι στα πρώτα στάδια του κύκλου ζωής μιας επιχείρησης, προκειμένου μια καινοτόμος ιδέα να μετουσιωθεί σε βιώσιμη οντότητα, είναι ζωτικής σημασία η ταχύτητα και η απλότητα, χωρίς να απαιτείται η σύσταση χωριστών νομικών μορφών σε καθένα από τα κράτη μέλη· τονίζει ότι, για το 28ο καθεστώς, πρέπει να θεσπιστεί εξ ορισμού μια ενιαία, πλήρως ψηφιακή καταχώριση στην μονοαπευθυντική θυρίδα, σε συνδυασμό με την παροχή ενιαίου αριθμού φορολογικού μητρώου, συμπεριλαμβανομένων πλήρως τυποποιημένων δικαιολογητικών, υποδειγμάτων και ενιαίας διεπαφής για την υποβολή φορολογικών δηλώσεων, και να τηρείται η αρχή «προτεραιότητα στην αγγλική γλώσσα» στην επικοινωνία, χωρίς να διακυβεύονται οι άλλες επίσημες γλώσσες της ΕΕ· υπενθυμίζει ότι το 28ο καθεστώς θα πρέπει να συνδυάζει σαφή νομική αρχιτεκτονική, ουσιαστικό και εκ των προτέρων ποσοτικοποιήσιμο όφελος για τις επιχειρήσεις και ισχυρή θεσμική στήριξη· επισημαίνει τις συνέργειες με την πρόταση σχετικά με τη θέσπιση ευρωπαϊκών πορτοφολιών επιχειρήσεων (COM(2025)0838), η οποία έχει σχεδιαστεί για τη δημιουργία ενός απρόσκοπτου και ασφαλούς περιβάλλοντος για την ψηφιακή αλληλεπίδραση μεταξύ των οικονομικών φορέων και των φορέων του δημόσιου τομέα·</w:t>
      </w:r>
    </w:p>
    <w:p w:rsidR="00020FD2" w:rsidRPr="00A50059" w:rsidP="00A50059" w14:paraId="57403E82" w14:textId="3A7D8055">
      <w:pPr>
        <w:pStyle w:val="NormalHanging12a"/>
        <w:ind w:left="570" w:hanging="570"/>
      </w:pPr>
      <w:r w:rsidRPr="00A50059">
        <w:t>22.</w:t>
      </w:r>
      <w:r w:rsidRPr="00A50059">
        <w:tab/>
      </w:r>
      <w:r w:rsidRPr="00A50059">
        <w:t>σημειώνει ότι η μονοαπευθυντική θυρίδα, ή εναλλακτικά ένας διαφορετικός κεντρικός κόμβος, θα πρέπει επίσης να λειτουργεί ως ψηφιακή πλατφόρμα για τη στήριξη των επιχειρήσεων καθ’ όλη τη διάρκεια του κύκλου ζωής τους στο πλαίσιο του 28ου καθεστώτος και των διαφόρων ενοτήτων του· επισημαίνει ότι θα πρέπει να παρέχει εξορθολογισμένη πρόσβαση σε σχετικές ρυθμιστικές, φορολογικές και διοικητικές πληροφορίες σε όλα τα κράτη μέλη, διασφαλίζοντας τη διαφάνεια και την ασφάλεια δικαίου, και να περιλαμβάνει τη δυνατότητα ένταξης, διαχείρισης και διάλυσης δραστηριοτήτων·</w:t>
      </w:r>
    </w:p>
    <w:p w:rsidR="00020FD2" w:rsidRPr="00A50059" w:rsidP="00A50059" w14:paraId="56AAD54C" w14:textId="1D53FF80">
      <w:pPr>
        <w:pStyle w:val="NormalHanging12a"/>
        <w:ind w:left="570" w:hanging="570"/>
      </w:pPr>
      <w:r w:rsidRPr="00A50059">
        <w:t>23.</w:t>
      </w:r>
      <w:r w:rsidRPr="00A50059">
        <w:tab/>
      </w:r>
      <w:r w:rsidRPr="00A50059">
        <w:t>με την επιφύλαξη τυχόν περαιτέρω προστατευτικών μέτρων, τονίζει ότι τα μέτρα κατά της φοροαποφυγής που προβλέπονται από την ισχύουσα νομοθεσία της ΕΕ πρέπει να εφαρμόζονται αυστηρά· τονίζει ότι μόνον οι επιχειρήσεις με πραγματικές οικονομικές δραστηριότητες εντός της ΕΕ θα πρέπει να έχουν πρόσβαση στη φορολογική ενότητα και ότι η ενότητα αυτή δεν θα πρέπει να οδηγεί στη δημιουργία εικονικών εταιρειών ή εταιρειών-βιτρινών, καθώς οι πρακτικές αυτές υπονομεύουν τη ρυθμιστική ακεραιότητα, στρεβλώνουν τον θεμιτό ανταγωνισμό και διαβρώνουν την πραγματική οικονομική δραστηριότητα εντός της ΕΕ· υπογραμμίζει ότι η φορολογική ενότητα δεν θα πρέπει να καταστεί εργαλείο «φορολογικού τουρισμού» και δεν πρέπει, σε καμία περίπτωση, να καταστεί μέσο για την αδικαιολόγητη μείωση ή παράκαμψη των υφιστάμενων φορολογικών επιπέδων σε ενωσιακό ή εθνικό επίπεδο·</w:t>
      </w:r>
    </w:p>
    <w:p w:rsidR="00020FD2" w:rsidRPr="00A50059" w:rsidP="00A50059" w14:paraId="72C596CE" w14:textId="1EF44DA9">
      <w:pPr>
        <w:pStyle w:val="NormalHanging12a"/>
        <w:ind w:left="570" w:hanging="570"/>
      </w:pPr>
      <w:r w:rsidRPr="00A50059">
        <w:t>24.</w:t>
      </w:r>
      <w:r w:rsidRPr="00A50059">
        <w:tab/>
      </w:r>
      <w:r w:rsidRPr="00A50059">
        <w:t>θεωρεί ότι μια επιχείρηση για την οποία έχει διαπιστωθεί επισήμως ότι παραβίασε δεσμευτικούς κανόνες όσον αφορά την απάτη, τη φορολογία, την εισφοροδιαφυγή ή τη συμμετοχή των εργαζομένων δεν θα πρέπει να έχει τη δυνατότητα συμμετοχής στη φορολογική ενότητα·</w:t>
      </w:r>
    </w:p>
    <w:p w:rsidR="00020FD2" w:rsidRPr="00A50059" w:rsidP="00A50059" w14:paraId="213740A5" w14:textId="6238251A">
      <w:pPr>
        <w:pStyle w:val="NormalHanging12a"/>
        <w:ind w:left="570" w:hanging="570"/>
      </w:pPr>
      <w:r w:rsidRPr="00A50059">
        <w:t>25.</w:t>
      </w:r>
      <w:r w:rsidRPr="00A50059">
        <w:tab/>
      </w:r>
      <w:r w:rsidRPr="00A50059">
        <w:t>επισημαίνει ότι είναι αναγκαίο ένα διαφανές, υπεύθυνο και αποτελεσματικό πλαίσιο χρηματοοικονομικής πληροφόρησης, και ότι τα ενιαία λογιστικά πρότυπα θα πρέπει να εφαρμόζονται εξ ορισμού για όλες τις επιχειρήσεις που λειτουργούν υπό το 28ο καθεστώς σε όλα τα συμμετέχοντα κράτη μέλη, με βάση διεθνώς αναγνωρισμένα πρότυπα, όπως τα Διεθνή Πρότυπα Χρηματοοικονομικής Αναφοράς, κατά περίπτωση·</w:t>
      </w:r>
    </w:p>
    <w:p w:rsidR="00020FD2" w:rsidRPr="00A50059" w:rsidP="007A5D7D" w14:paraId="5FB7AB51" w14:textId="77777777">
      <w:pPr>
        <w:pStyle w:val="Normal12a"/>
      </w:pPr>
      <w:r w:rsidRPr="00A50059">
        <w:rPr>
          <w:b/>
          <w:i/>
        </w:rPr>
        <w:t>Φορολόγηση εισοδήματος εταιρειών</w:t>
      </w:r>
    </w:p>
    <w:p w:rsidR="00020FD2" w:rsidRPr="00A50059" w:rsidP="00A50059" w14:paraId="2434372B" w14:textId="2C5F61D0">
      <w:pPr>
        <w:pStyle w:val="NormalHanging12a"/>
        <w:ind w:left="570" w:hanging="570"/>
      </w:pPr>
      <w:r w:rsidRPr="00A50059">
        <w:t>26.</w:t>
      </w:r>
      <w:r w:rsidRPr="00A50059">
        <w:tab/>
      </w:r>
      <w:r w:rsidRPr="00A50059">
        <w:t>θεωρεί ότι η έλλειψη εναρμόνισης των πολιτικών όσον αφορά τον φόρο εταιρειών αποτελεί σημαντικό εμπόδιο για τη διασυνοριακή οικονομική δραστηριότητα εντός της ΕΕ, ενώ παράλληλα αυξάνει τους κινδύνους επιθετικού φορολογικού σχεδιασμού· προτείνει, συνεπώς, προκειμένου να παρασχεθεί ένα σαφές, αποτελεσματικό και διαφανές φορολογικό καθεστώς, η μελλοντική φορολογική ενότητα θα πρέπει να αποβλέπει σε μια ενιαία ενοποιημένη βάση φόρου εταιρειών για τις συμμετέχουσες επιχειρήσεις σε ολόκληρη την ΕΕ· υπενθυμίζει προηγούμενες πρωτοβουλίες, όπως η κοινή βάση φορολογίας εταιρειών, η ΚΕΒΦΕ, το πλαίσιο BEFIT και το μοντέλο του φορολογικού συστήματος με βάση την έδρα για τις ΜΜΕ, και προτείνει η φορολογική ενότητα να παρέχει μια ενιαία μέθοδο προσδιορισμού του φορολογητέου εισοδήματος που συνάδει με τις κατευθυντήριες γραμμές του ΟΟΣΑ, προκειμένου να εξαλειφθεί ο κατακερματισμός κατά τον υπολογισμό της φορολογικής βάσης και να μειωθεί η διασυνοριακή αβεβαιότητα· τονίζει ότι η φορολογική ενότητα δεν πρέπει να περιορίζει περαιτέρω τη διακριτική ευχέρεια των κρατών μελών να ορίζουν συντελεστές φορολογίας των εταιρειών· τονίζει ότι το 28ο καθεστώς θα πρέπει να δώσει προτεραιότητα στην πραγματική ενοποίηση, προκειμένου να διασφαλιστεί η αποτελεσματική διασυνοριακή αντιστάθμιση των ζημιών, παρέχοντας έτσι κίνητρα για διασυνοριακές επενδύσεις·</w:t>
      </w:r>
    </w:p>
    <w:p w:rsidR="00020FD2" w:rsidRPr="00A50059" w:rsidP="00A50059" w14:paraId="02351FF3" w14:textId="5403AF0D">
      <w:pPr>
        <w:pStyle w:val="NormalHanging12a"/>
        <w:ind w:left="570" w:hanging="570"/>
      </w:pPr>
      <w:r w:rsidRPr="00A50059">
        <w:t>27.</w:t>
      </w:r>
      <w:r w:rsidRPr="00A50059">
        <w:tab/>
      </w:r>
      <w:r w:rsidRPr="00A50059">
        <w:t>σημειώνει ότι, σε ό,τι αφορά την πρόταση που αφορά έκπτωση φόρου για τη μείωση της φορολογικής στρέβλωσης που προκαλείται από την ευνοϊκή μεταχείριση του χρέους έναντι του μετοχικού κεφαλαίου, η ενότητα θα πρέπει να προωθεί την ουδετερότητα μεταξύ της χρηματοδότησης από δανειακά και από ίδια κεφάλαια, προκειμένου να αρθούν οι διαρθρωτικές φορολογικές μεροληψίες και να ενισχυθούν οι επενδύσεις που βασίζονται σε ίδια κεφάλαια, γεγονός που είναι ιδιαίτερα σημαντικό για τις νεοφυείς και τις επεκτεινόμενες επιχειρήσεις που βασίζονται κυρίως στη χρηματοδότηση με ίδια κεφάλαια κατά τα πρώτα στάδια της ανάπτυξής τους·</w:t>
      </w:r>
    </w:p>
    <w:p w:rsidR="00020FD2" w:rsidRPr="00A50059" w:rsidP="00A50059" w14:paraId="4B177103" w14:textId="755B8B80">
      <w:pPr>
        <w:pStyle w:val="NormalHanging12a"/>
        <w:ind w:left="570" w:hanging="570"/>
      </w:pPr>
      <w:r w:rsidRPr="00A50059">
        <w:t>28.</w:t>
      </w:r>
      <w:r w:rsidRPr="00A50059">
        <w:tab/>
      </w:r>
      <w:r w:rsidRPr="00A50059">
        <w:t>προτείνει όπως το 28ο καθεστώς επιδιώξει την απλούστευση της φορολογικής διοίκησης και τη μείωση της διασυνοριακής αβεβαιότητας, μεταξύ άλλων, όπου είναι δυνατόν, με την τυποποίηση των φορολογικών δηλώσεων, την αποφυγή των αλληλεπικαλυπτόμενων δηλώσεων, τη βελτίωση της επικοινωνίας μεταξύ των φορολογικών αρχών και την εφαρμογή της αρχής «προτεραιότητα στον ψηφιακό τομέα»·</w:t>
      </w:r>
    </w:p>
    <w:p w:rsidR="00020FD2" w:rsidRPr="00A50059" w:rsidP="00A50059" w14:paraId="5D5761B9" w14:textId="6FBE5F51">
      <w:pPr>
        <w:pStyle w:val="NormalHanging12a"/>
        <w:ind w:left="570" w:hanging="570"/>
      </w:pPr>
      <w:r w:rsidRPr="00A50059">
        <w:t>29.</w:t>
      </w:r>
      <w:r w:rsidRPr="00A50059">
        <w:tab/>
      </w:r>
      <w:r w:rsidRPr="00A50059">
        <w:t>προτείνει να υιοθετηθεί η ενοποιημένη φορολογική βάση μεταξύ των κρατών μελών με τη χρήση ενός προσυμφωνημένου μαθηματικού τύπου που θα αντικατοπτρίζει την πραγματική οικονομική δραστηριότητα, όπως οι πωλήσεις, η εργασία, τα ενσώματα πάγια περιουσιακά στοιχεία και η ψηφιακή παρουσία, αντικαθιστώντας τις πολύπλοκες αντιδικίες σχετικά με την ενδοομιλική μεταβιβαστική τιμολόγηση εντός του καθεστώτος με μια διαφανή μέθοδο κατανομής, σύμφωνα με τις κατευθυντήριες γραμμές του ΟΟΣΑ· τονίζει ότι αυτό θα αποτελούσε, αφενός, απλούστευση, και, αφετέρου, εργαλείο για την καταπολέμηση της φοροαποφυγής·</w:t>
      </w:r>
    </w:p>
    <w:p w:rsidR="00020FD2" w:rsidRPr="00A50059" w:rsidP="00A50059" w14:paraId="7C4CDAAF" w14:textId="3FC7D18A">
      <w:pPr>
        <w:pStyle w:val="NormalHanging12a"/>
        <w:ind w:left="570" w:hanging="570"/>
      </w:pPr>
      <w:r w:rsidRPr="00A50059">
        <w:t>30.</w:t>
      </w:r>
      <w:r w:rsidRPr="00A50059">
        <w:tab/>
      </w:r>
      <w:r w:rsidRPr="00A50059">
        <w:t>υπενθυμίζει ότι οι φορολογικοί συντελεστές πρέπει να παραμείνουν στην αρμοδιότητα των κρατών μελών· σημειώνει, ωστόσο, ότι θα μπορούσαν να υποβάλλονται μέσω μιας ενιαίας διεπαφής υποβολής·</w:t>
      </w:r>
    </w:p>
    <w:p w:rsidR="00020FD2" w:rsidRPr="00A50059" w:rsidP="00A50059" w14:paraId="2B6E5BAB" w14:textId="129A2D48">
      <w:pPr>
        <w:pStyle w:val="NormalHanging12a"/>
        <w:ind w:left="570" w:hanging="570"/>
      </w:pPr>
      <w:r w:rsidRPr="00A50059">
        <w:t>31.</w:t>
      </w:r>
      <w:r w:rsidRPr="00A50059">
        <w:tab/>
      </w:r>
      <w:r w:rsidRPr="00A50059">
        <w:t xml:space="preserve">τονίζει ότι η διπλή φορολόγηση πρέπει να αποφευχθεί στην πράξη, για παράδειγμα, μέσω του ενιαίου ορισμού και της ενιαίας ταξινόμησης των κεφαλαιακών κερδών, των </w:t>
      </w:r>
      <w:r w:rsidRPr="00A50059">
        <w:t>πληρωμών εντός του καθεστώτος ή της αυτόματης αμοιβαίας αναγνώρισης του φορολογικού καθεστώτος·</w:t>
      </w:r>
    </w:p>
    <w:p w:rsidR="00020FD2" w:rsidRPr="00A50059" w:rsidP="00A50059" w14:paraId="43BF7EC5" w14:textId="6C1C3E98">
      <w:pPr>
        <w:pStyle w:val="NormalHanging12a"/>
        <w:ind w:left="570" w:hanging="570"/>
      </w:pPr>
      <w:r w:rsidRPr="00A50059">
        <w:t>32.</w:t>
      </w:r>
      <w:r w:rsidRPr="00A50059">
        <w:tab/>
      </w:r>
      <w:r w:rsidRPr="00A50059">
        <w:t>προτείνει στα κράτη μέλη να εξετάσουν το ενδεχόμενο θέσπισης ειδικών ομάδων στο πλαίσιο των εθνικών τους δικαστηρίων αφιερωμένων στις αντιδικίες που αφορούν τη φορολογική ενότητα, και οι εν λόγω ομάδες να έχουν τη δυνατότητα να διεξάγουν διαδικασίες επίλυσης των διαφορών στην αγγλική γλώσσα·</w:t>
      </w:r>
    </w:p>
    <w:p w:rsidR="00020FD2" w:rsidRPr="00A50059" w:rsidP="00A50059" w14:paraId="246F28A1" w14:textId="5DCBBCF0">
      <w:pPr>
        <w:pStyle w:val="NormalHanging12a"/>
        <w:ind w:left="570" w:hanging="570"/>
      </w:pPr>
      <w:r w:rsidRPr="00A50059">
        <w:t>33.</w:t>
      </w:r>
      <w:r w:rsidRPr="00A50059">
        <w:tab/>
      </w:r>
      <w:r w:rsidRPr="00A50059">
        <w:t>επισημαίνει ότι η διασυνοριακή επέκταση μπορεί να συνεπάγεται συχνές εκδηλώσεις και αναδιοργανώσεις εταιρικής κινητικότητας, και ότι, με την πρόθεση να επωφεληθεί από το τρέχον πλαίσιο για φορολογικά ουδέτερες πράξεις, η φορολογική ενότητα θα πρέπει να περιλαμβάνει την επέκταση του ισχύοντος δικαίου της Ένωσης και να αντιμετωπίζει τις φορολογικές τριβές που σχετίζονται με την κινητικότητα μέσω ενισχυμένου διοικητικού συντονισμού και μεγαλύτερης ουσιαστικής βεβαιότητας, διασφαλίζοντας παράλληλα ότι οιαδήποτε μέτρα απλούστευσης εξακολουθούν να υπόκεινται σε κατάλληλες διασφαλίσεις κατά της κατάχρησης</w:t>
      </w:r>
      <w:r>
        <w:rPr>
          <w:rStyle w:val="FootnoteReference"/>
        </w:rPr>
        <w:footnoteReference w:id="14"/>
      </w:r>
      <w:r w:rsidRPr="00A50059">
        <w:t>·</w:t>
      </w:r>
    </w:p>
    <w:p w:rsidR="00020FD2" w:rsidRPr="00A50059" w:rsidP="007A5D7D" w14:paraId="577672E4" w14:textId="77777777">
      <w:pPr>
        <w:pStyle w:val="Normal12a"/>
      </w:pPr>
      <w:r w:rsidRPr="00A50059">
        <w:rPr>
          <w:b/>
          <w:i/>
        </w:rPr>
        <w:t>Φόρος προστιθέμενης αξίας</w:t>
      </w:r>
    </w:p>
    <w:p w:rsidR="00020FD2" w:rsidRPr="00A50059" w:rsidP="00A50059" w14:paraId="76227CD3" w14:textId="60F623E4">
      <w:pPr>
        <w:pStyle w:val="NormalHanging12a"/>
        <w:ind w:left="570" w:hanging="570"/>
      </w:pPr>
      <w:r w:rsidRPr="00A50059">
        <w:t>34.</w:t>
      </w:r>
      <w:r w:rsidRPr="00A50059">
        <w:tab/>
      </w:r>
      <w:r w:rsidRPr="00A50059">
        <w:t>τονίζει ότι, για να μειωθεί ο φόρτος συμμόρφωσης, οι συμμετέχοντες στο καθεστώς πρέπει να λειτουργούν εντός ενός κεντρικού πλαισίου ΦΠΑ, όπου ένας ενιαίος ενωσιακός αριθμός ΦΠΑ και μια ψηφιακή μονοαπευθυντική θυρίδα</w:t>
      </w:r>
      <w:r>
        <w:rPr>
          <w:rStyle w:val="FootnoteReference"/>
        </w:rPr>
        <w:footnoteReference w:id="15"/>
      </w:r>
      <w:r w:rsidRPr="00A50059">
        <w:t xml:space="preserve"> πρέπει να καλύπτουν τις δηλώσεις και τις επιστροφές σε όλα τα κράτη μέλη, μεταξύ άλλων μέσω έγκαιρων και αποτελεσματικών διαδικασιών επιστροφής και μειωμένης ανάγκης πολλαπλών εγγραφών· τονίζει τη σημασία της προώθησης της χρήσης διαλειτουργικών ψηφιακών λύσεων, συμπεριλαμβανομένης της ηλεκτρονικής τιμολόγησης, για την απλούστευση της συμμόρφωσης, την ενίσχυση της διαφάνειας και τη μείωση του διοικητικού κόστους· υπενθυμίζει ότι ο στόχος στο πλαίσιο της φορολογικής ενότητας θα πρέπει να είναι η απλούστευση των διαδικασιών και όχι η εναρμόνιση των συντελεστών ΦΠΑ, ώστε οι επιχειρήσεις να έχουν τη δυνατότητα να επεκτείνονται, χωρίς να πολλαπλασιάζονται οι διοικητικές διεπαφές·</w:t>
      </w:r>
    </w:p>
    <w:p w:rsidR="00020FD2" w:rsidRPr="00A50059" w:rsidP="007A5D7D" w14:paraId="241BAF5A" w14:textId="77777777">
      <w:pPr>
        <w:pStyle w:val="Normal12a"/>
      </w:pPr>
      <w:r w:rsidRPr="00A50059">
        <w:rPr>
          <w:b/>
          <w:i/>
        </w:rPr>
        <w:t>Παρακράτηση φόρου</w:t>
      </w:r>
    </w:p>
    <w:p w:rsidR="00020FD2" w:rsidRPr="00A50059" w:rsidP="00A50059" w14:paraId="5522DD8B" w14:textId="6842AD10">
      <w:pPr>
        <w:pStyle w:val="NormalHanging12a"/>
        <w:ind w:left="570" w:hanging="570"/>
      </w:pPr>
      <w:r w:rsidRPr="00A50059">
        <w:t>35.</w:t>
      </w:r>
      <w:r w:rsidRPr="00A50059">
        <w:tab/>
      </w:r>
      <w:r w:rsidRPr="00A50059">
        <w:t xml:space="preserve">επισημαίνει ότι οι διασυνοριακές ροές κεφαλαίων εντός της ενότητας θα πρέπει να επωφελούνται από μια πιο συντονισμένη και πιο αποτελεσματική μεταχείριση, στο πλαίσιο της οποίας τα μερίσματα, οι τόκοι και τα δικαιώματα μεταξύ των συμμετεχουσών οντοτήτων και των οικείων συνδεδεμένων επενδυτικών φορέων θα πρέπει να επωφελούνται από, και να υπόκεινται σε, μια κοινή απλουστευμένη διαδικασία παρακράτησης φόρου και ελάχιστη πραγματική φορολόγηση· προτείνει η άμεση αναγνώριση της φορολογικής κατοικίας να επιτυγχάνεται μέσω ενός κεντρικού ψηφιακού μητρώου της ΕΕ, το οποίο θα επιτρέπει εξορθολογισμένες διαδικασίες ψηφιακής εκκαθάρισης και θα εξαλείψει τις καθυστερήσεις στην καταβολή επιστροφών </w:t>
      </w:r>
      <w:r w:rsidRPr="00A50059">
        <w:t>οι οποίες οφείλονται σε μη αυτοματοποιημένες διαδικασίες, οι οποίες έχουν προσδιοριστεί ως βασικός φραγμός για την επέκταση στην ΕΕ</w:t>
      </w:r>
      <w:r>
        <w:rPr>
          <w:rStyle w:val="FootnoteReference"/>
        </w:rPr>
        <w:footnoteReference w:id="16"/>
      </w:r>
      <w:r w:rsidRPr="00A50059">
        <w:t>·</w:t>
      </w:r>
    </w:p>
    <w:p w:rsidR="00020FD2" w:rsidRPr="00A50059" w:rsidP="00A50059" w14:paraId="359A1322" w14:textId="0F631C55">
      <w:pPr>
        <w:pStyle w:val="NormalHanging12a"/>
        <w:ind w:left="570" w:hanging="570"/>
      </w:pPr>
      <w:r w:rsidRPr="00A50059">
        <w:t>36.</w:t>
      </w:r>
      <w:r w:rsidRPr="00A50059">
        <w:tab/>
      </w:r>
      <w:r w:rsidRPr="00A50059">
        <w:t>ζητεί την ανάπτυξη ενός σαφούς και διαφανούς ορισμού της πραγματικής κυριότητας για φορολογικούς σκοπούς, ο οποίος να επιτρέπει την ταυτοποίηση των πραγματικών ιδιοκτητών των επιχειρήσεων, ή τουλάχιστον ενός κατανοητού και ευρέως αποδεκτού συνόλου κριτηρίων βάσει των οποίων θα παρέχεται ελάφρυνση της παρακράτησης φόρου στην πηγή, θα πρέπει δε να αποφεύγονται οι χρονοβόρες διαδικασίες επιστροφής αλλά να διατηρούνται σε καταστάσεις όπου δεν πληρούται κανένα από τα κριτήρια·</w:t>
      </w:r>
    </w:p>
    <w:p w:rsidR="00020FD2" w:rsidRPr="00A50059" w:rsidP="007A5D7D" w14:paraId="72DCDFEE" w14:textId="77777777">
      <w:pPr>
        <w:pStyle w:val="Normal12a"/>
      </w:pPr>
      <w:r w:rsidRPr="00A50059">
        <w:rPr>
          <w:b/>
          <w:i/>
        </w:rPr>
        <w:t>Φορολόγηση των εργαζομένων</w:t>
      </w:r>
    </w:p>
    <w:p w:rsidR="00020FD2" w:rsidRPr="00A50059" w:rsidP="00A50059" w14:paraId="1E87B2D6" w14:textId="5F35008D">
      <w:pPr>
        <w:pStyle w:val="NormalHanging12a"/>
        <w:ind w:left="570" w:hanging="570"/>
      </w:pPr>
      <w:r w:rsidRPr="00A50059">
        <w:t>37.</w:t>
      </w:r>
      <w:r w:rsidRPr="00A50059">
        <w:tab/>
      </w:r>
      <w:r w:rsidRPr="00A50059">
        <w:t>χαιρετίζει την πρόταση της Επιτροπής για την προαιρετική χρήση των δικαιωμάτων προαιρέσεως σε μετοχές για τους εργαζομένους της ΕΕ στο πλαίσιο της ευρύτερης πρότασης «EU Inc.» και ιδίως την αρχή της σύμφωνα με την οποία η φορολογία θα πρέπει να λαμβάνει χώρα κατά την παραχώρηση και να έχει την ίδια φορολογική μεταχείριση που ισχύει για άλλα δικαιώματα προαιρέσεως σε μετοχές για τους εργαζομένους ή παρόμοια μέσα βάσει της εθνικής νομοθεσίας· πιστεύει, ωστόσο, ότι η εφαρμογή ενός συστήματος δικαιωμάτων προαίρεσης μετοχών για τους εργαζομένους της ΕΕ θα πρέπει να είναι υποχρεωτική στο πλαίσιο της φορολογικής ενότητας· σημειώνει ότι τα κέρδη θα πρέπει να αντιμετωπίζονται ως εισόδημα από κεφάλαιο και όχι ως εισόδημα από εργασία, ώστε να ευθυγραμμίζονται τα κίνητρα των εργαζομένων με τη μακροπρόθεσμη ανάπτυξη της επιχείρησης και να εξαλείφεται η στρεβλωτική επίδραση της αρχικής φορολόγησης· υποστηρίζει την αντιμετώπιση του ζητήματος της μετατρεψιμότητας μέσω συστημάτων δικαιωμάτων προαίρεσης μετοχών σε ολόκληρη την Ευρώπη, ώστε να διευκολυνθεί η μετάβαση των υφιστάμενων επιχειρήσεων στο 28ο καθεστώς·</w:t>
      </w:r>
    </w:p>
    <w:p w:rsidR="00020FD2" w:rsidRPr="00A50059" w:rsidP="00A50059" w14:paraId="56E47B81" w14:textId="61679E69">
      <w:pPr>
        <w:pStyle w:val="NormalHanging12a"/>
        <w:ind w:left="570" w:hanging="570"/>
      </w:pPr>
      <w:r w:rsidRPr="00A50059">
        <w:t>38.</w:t>
      </w:r>
      <w:r w:rsidRPr="00A50059">
        <w:tab/>
      </w:r>
      <w:r w:rsidRPr="00A50059">
        <w:t>τονίζει τον ρόλο των συστημάτων συμμετοχής των εργαζομένων στο μετοχικό κεφάλαιο και παρόμοιων μηχανισμών στη δημιουργία κινήτρων για την προσέλκυση ταλέντων και βασικού προσωπικού εντός των εν λόγω επιχειρήσεων· επισημαίνει ότι το βασικό προσωπικό περιλαμβάνει τους ιδρυτές και άλλους βασικούς υπαλλήλους των οποίων οι δεξιότητες και η εμπειρογνωσία είναι ζωτικής σημασίας για την ανάπτυξη της επιχείρησης· τονίζει ότι ένα διαφανές, οικονομικά υγιές και προβλέψιμο φορολογικό καθεστώς για τα μέσα αυτά είναι απαραίτητο για τη διατήρηση των εν λόγω επιχειρήσεων εντός της ΕΕ και για την προσέλκυση και διατήρηση ταλέντων με όρους παρόμοιους με αυτούς που υπάρχουν σε άλλες ανταγωνιστικές δικαιοδοσίες·</w:t>
      </w:r>
    </w:p>
    <w:p w:rsidR="00020FD2" w:rsidRPr="00A50059" w:rsidP="00A50059" w14:paraId="1662F3CF" w14:textId="24BC286D">
      <w:pPr>
        <w:pStyle w:val="NormalHanging12a"/>
        <w:ind w:left="570" w:hanging="570"/>
      </w:pPr>
      <w:r w:rsidRPr="00A50059">
        <w:t>39.</w:t>
      </w:r>
      <w:r w:rsidRPr="00A50059">
        <w:tab/>
      </w:r>
      <w:r w:rsidRPr="00A50059">
        <w:t>ζητεί μια τυποποιημένη μέθοδο αποτίμησης της ΕΕ που θα προβλέπει κανόνες περί ασφαλούς λιμένα για τον προσδιορισμό της αξίας των μετοχών, καθώς και των δικαιωμάτων προαίρεσης αγοράς μετοχών σε μη εισηγμένες εταιρείες, ώστε να αποτρέπονται οι αναδρομικές επαναξιολογήσεις και να μειωθεί η ανασφάλεια δικαίου· θεωρεί ότι οι εν λόγω αποτιμήσεις θα πρέπει να αναγνωρίζονται από τις συμμετέχουσες φορολογικές διοικήσεις, εκτός εάν αποδεικνύεται κατάχρηση, απάτη ή πρόδηλο σφάλμα·</w:t>
      </w:r>
    </w:p>
    <w:p w:rsidR="00020FD2" w:rsidRPr="00A50059" w:rsidP="00A50059" w14:paraId="6D300DE9" w14:textId="6796F183">
      <w:pPr>
        <w:pStyle w:val="NormalHanging12a"/>
        <w:ind w:left="570" w:hanging="570"/>
      </w:pPr>
      <w:r w:rsidRPr="00A50059">
        <w:t>40.</w:t>
      </w:r>
      <w:r w:rsidRPr="00A50059">
        <w:tab/>
      </w:r>
      <w:r w:rsidRPr="00A50059">
        <w:t>υπενθυμίζει ότι οι εισφορές κοινωνικής ασφάλισης και οι φόροι εισοδήματος από συντάξεις που ισχύουν για τους εργαζομένους που ασκούν τις δραστηριότητές τους σε περισσότερα από ένα κράτη μέλη καθορίζονται από το πολυκρατικό πλαίσιο για τους εργαζομένους δυνάμει του άρθρου 13 του κανονισμού (ΕΚ) αριθ. 883/2004</w:t>
      </w:r>
      <w:r>
        <w:rPr>
          <w:rStyle w:val="FootnoteReference"/>
        </w:rPr>
        <w:footnoteReference w:id="17"/>
      </w:r>
      <w:r w:rsidRPr="00A50059">
        <w:t>, σύμφωνα με το οποίο η εφαρμοστέα νομοθεσία καθορίζεται με βάση μια σειρά από παράγοντες, γεγονός που ενισχύει την ασφάλεια δικαίου και μειώνει τον διασυνοριακό διοικητικό φόρτο·</w:t>
      </w:r>
    </w:p>
    <w:p w:rsidR="00020FD2" w:rsidRPr="00A50059" w:rsidP="00A50059" w14:paraId="679288F2" w14:textId="7D158BE8">
      <w:pPr>
        <w:pStyle w:val="NormalHanging12a"/>
        <w:ind w:left="570" w:hanging="570"/>
      </w:pPr>
      <w:r w:rsidRPr="00A50059">
        <w:t>41.</w:t>
      </w:r>
      <w:r w:rsidRPr="00A50059">
        <w:tab/>
      </w:r>
      <w:r w:rsidRPr="00A50059">
        <w:t>ζητεί στοχευμένους κανόνες που θα διασφαλίζουν τη φορολογική ασφάλεια για τους εργαζομένους που μετακινούνται μεταξύ των κρατών μελών, κατά την περίοδο μεταξύ της χορήγησης μετοχικού κεφαλαίου σε εργαζομένους και της πώλησης των υποκείμενων μετοχών, μεταξύ άλλων μέσω της εξορθολογισμένης ενιαίας ψηφιακής υποβολής στοιχείων των εργοδοτών, καθώς και της αποφυγής της διπλής ή πολλαπλής φορολόγησης στο σημείο πώλησης του μετοχικού κεφαλαίου σε εργαζομένους· τονίζει ότι οποιαδήποτε κατανομή φορολογικών δικαιωμάτων θα πρέπει να παραμένει αναλογική, απλή και προβλέψιμη·</w:t>
      </w:r>
    </w:p>
    <w:p w:rsidR="00020FD2" w:rsidRPr="00A50059" w:rsidP="007A5D7D" w14:paraId="7B9C9BEE" w14:textId="77777777">
      <w:pPr>
        <w:pStyle w:val="Normal12a"/>
      </w:pPr>
      <w:r w:rsidRPr="00A50059">
        <w:rPr>
          <w:b/>
          <w:i/>
        </w:rPr>
        <w:t>Μεταβιβαστική τιμολόγηση</w:t>
      </w:r>
    </w:p>
    <w:p w:rsidR="00020FD2" w:rsidRPr="00A50059" w:rsidP="00A50059" w14:paraId="4216E881" w14:textId="2EAB4F7F">
      <w:pPr>
        <w:pStyle w:val="NormalHanging12a"/>
        <w:ind w:left="570" w:hanging="570"/>
      </w:pPr>
      <w:r w:rsidRPr="00A50059">
        <w:t>42.</w:t>
      </w:r>
      <w:r w:rsidRPr="00A50059">
        <w:tab/>
      </w:r>
      <w:r w:rsidRPr="00A50059">
        <w:t>εκφράζει τη λύπη του για το γεγονός ότι, παρόλο που όλα τα κράτη μέλη διαθέτουν εθνική νομοθεσία σύμφωνη με τις κατευθυντήριες γραμμές του ΟΟΣΑ για τη μεταβιβαστική τιμολόγηση, η εφαρμογή των εν λόγω κατευθυντήριων γραμμών παραμένει αποκλίνουσα λόγω της έλλειψης οδηγίας της ΕΕ για τη μεταβιβαστική τιμολόγηση· τονίζει ότι, προκειμένου το κόστος συμμόρφωσης να μην καταστεί διαρθρωτικό εμπόδιο για την επέκταση, η πολυπλοκότητα της μεταβιβαστικής τιμολόγησης θα πρέπει να μειωθεί σημαντικά· θεωρεί ότι είναι αναγκαίο να αξιοποιηθούν στοιχεία της ΚΕΒΦΕ, ώστε να υπάρξει μια συνεκτική βάση για ένα ενοποιημένο ευρωπαϊκό φορολογικό πλαίσιο· προτείνει, στο πλαίσιο της φορολογικής ενότητας, η Επιτροπή να προσδιορίσει σαφώς τους κανόνες μεταβιβαστικής τιμολόγησης που ισχύουν για επιχειρήσεις που επιλέγουν να υπαχθούν στο 28ο καθεστώς, και να προβλέψει συντονισμένα καθεστώτα προστασίας που θα πρέπει να ισχύουν για τις συνήθεις ενδοομιλικές υπηρεσίες και τις συναλλαγές χαμηλού κινδύνου, καθώς και εναρμονισμένες προσεγγίσεις που θα πρέπει να εφαρμόζονται στην αδειοδότηση διανοητικής ιδιοκτησίας και στην κατανομή του κόστους για τον περιορισμό των αντιδικιών, ενώ οι απαιτήσεις τεκμηρίωσης θα πρέπει να είναι αναλογικές προς το μέγεθος και το στάδιο ανάπτυξης της επιχείρησης·</w:t>
      </w:r>
    </w:p>
    <w:p w:rsidR="00020FD2" w:rsidRPr="00A50059" w:rsidP="007A5D7D" w14:paraId="03E27E33" w14:textId="77777777">
      <w:pPr>
        <w:pStyle w:val="Normal12a"/>
      </w:pPr>
      <w:r w:rsidRPr="00A50059">
        <w:rPr>
          <w:b/>
          <w:i/>
        </w:rPr>
        <w:t>Πρόσβαση σε κεφάλαια</w:t>
      </w:r>
    </w:p>
    <w:p w:rsidR="00020FD2" w:rsidRPr="00A50059" w:rsidP="00A50059" w14:paraId="23101C22" w14:textId="4CE95694">
      <w:pPr>
        <w:pStyle w:val="NormalHanging12a"/>
        <w:ind w:left="570" w:hanging="570"/>
      </w:pPr>
      <w:r w:rsidRPr="00A50059">
        <w:t>43.</w:t>
      </w:r>
      <w:r w:rsidRPr="00A50059">
        <w:tab/>
      </w:r>
      <w:r w:rsidRPr="00A50059">
        <w:t xml:space="preserve">ζητεί την εναρμόνιση των ορισμών και της μεταχείρισης των κεφαλαιακών κερδών, καθώς και αποτελεσματικούς μηχανισμούς πρόληψης της διπλής φορολογίας και μείωσης της αβεβαιότητας σε διασυνοριακό επίπεδο· προτείνει να αξιολογηθεί η δυνατότητα θέσπισης ενός ενιαίου και ψηφιακά ελεγχόμενου καθεστώτος επενδυτών βάσει ενός συνόλου κοινών προτύπων, ώστε να διασφαλιστεί ότι η επιλεξιμότητά τους αναγνωρίζεται αυτόματα σε όλα τα κράτη μέλη, προκειμένου να διευκολυνθούν οι διασυνοριακές επενδύσεις· είναι της άποψης ότι θα πρέπει να θεσπιστούν τυποποιημένα επενδυτικά μέσα, συμπεριλαμβανομένων εναρμονισμένων, μετατρέψιμων </w:t>
      </w:r>
      <w:r w:rsidRPr="00A50059">
        <w:t>υποδειγμάτων χρηματοδότησης και υποδειγμάτων συμφωνιών μετόχων, ώστε να μειωθεί το κόστος συναλλαγής και η νομική αβεβαιότητα, με παράλληλη ενίσχυση της προστασίας των επενδυτών και της διαφάνειας της αγοράς·</w:t>
      </w:r>
    </w:p>
    <w:p w:rsidR="00020FD2" w:rsidRPr="00A50059" w:rsidP="00A50059" w14:paraId="3C140145" w14:textId="134B5ADC">
      <w:pPr>
        <w:pStyle w:val="NormalHanging12a"/>
        <w:ind w:left="570" w:hanging="570"/>
      </w:pPr>
      <w:r w:rsidRPr="00A50059">
        <w:t>44.</w:t>
      </w:r>
      <w:r w:rsidRPr="00A50059">
        <w:tab/>
      </w:r>
      <w:r w:rsidRPr="00A50059">
        <w:t>τονίζει ότι ένας από τους στόχους του νέου καθεστώτος είναι να συμβάλει στην ανάπτυξη μιας πραγματικής κεφαλαιαγοράς της ΕΕ, ώστε οι επιχειρήσεις που υπάγονται σε αυτό να μπορούν να λαμβάνουν την αναγκαία χρηματοδότηση, διατηρώντας παράλληλα την παρουσία τους στην ΕΕ· υπογραμμίζει, συνεπώς, την ανάγκη κινητοποίησης του μεγάλου όγκου των αποταμιεύσεων που υπάρχουν στην ΕΕ υπέρ των προαναφερόμενων επενδύσεων, και συγκεκριμένα με την ανάπτυξη ελκυστικών και προσβάσιμων επενδυτικών προϊόντων για ιδιώτες επενδυτές, ενώ παράλληλα θα πρέπει να αποτραπεί ο κίνδυνος διοχέτευσης των αποταμιεύσεων αυτών προς δικαιοδοσίες εκτός ΕΕ· τονίζει ότι η φορολογική ενότητα πρέπει να διευκολύνει τη γεφύρωση του τρέχοντος χρηματοδοτικού κενού στην ΕΕ·</w:t>
      </w:r>
    </w:p>
    <w:p w:rsidR="00020FD2" w:rsidRPr="00A50059" w:rsidP="00A50059" w14:paraId="66818164" w14:textId="32A8DDA2">
      <w:pPr>
        <w:pStyle w:val="NormalHanging12a"/>
        <w:ind w:left="570" w:hanging="570"/>
      </w:pPr>
      <w:r w:rsidRPr="00A50059">
        <w:t>45.</w:t>
      </w:r>
      <w:r w:rsidRPr="00A50059">
        <w:tab/>
      </w:r>
      <w:r w:rsidRPr="00A50059">
        <w:t>τονίζει ότι το 28ο καθεστώς θα πρέπει να αντιμετωπίσει άμεσα τα διαρθρωτικά εμπόδια που περιορίζουν την κινητοποίηση των κεφαλαίων στην Ευρώπη· υπενθυμίζει ότι, από τη σκοπιά των επενδυτών, πρέπει να διασφαλιστεί η κανονιστική και προληπτική ευθυγράμμιση· θεωρεί ότι το 28ο καθεστώς θα πρέπει να περιέχει εναρμονισμένους κανόνες για τους μετοχικούς χρεωστικούς τίτλους, συμπεριλαμβανομένων κανόνων περί αφερεγγυότητας συνδεδεμένων με αυτούς τους τίτλους, ώστε οι επενδυτές να έχουν τη δυνατότητα να επενδύουν σε μια εταιρεία χωρίς να αποκτούν δικαιώματα ελέγχου επί της εν λόγω εταιρείας·</w:t>
      </w:r>
    </w:p>
    <w:p w:rsidR="00020FD2" w:rsidRPr="00A50059" w:rsidP="007A5D7D" w14:paraId="114DC48E" w14:textId="77777777">
      <w:pPr>
        <w:pStyle w:val="Normal12a"/>
      </w:pPr>
      <w:r w:rsidRPr="00A50059">
        <w:rPr>
          <w:b/>
          <w:i/>
        </w:rPr>
        <w:t>Φορολογικά κίνητρα</w:t>
      </w:r>
    </w:p>
    <w:p w:rsidR="00020FD2" w:rsidRPr="00A50059" w:rsidP="00A50059" w14:paraId="6F7A2C49" w14:textId="346C1D32">
      <w:pPr>
        <w:pStyle w:val="NormalHanging12a"/>
        <w:ind w:left="570" w:hanging="570"/>
      </w:pPr>
      <w:r w:rsidRPr="00A50059">
        <w:t>46.</w:t>
      </w:r>
      <w:r w:rsidRPr="00A50059">
        <w:tab/>
      </w:r>
      <w:r w:rsidRPr="00A50059">
        <w:t>τονίζει ότι η φορολογική ενότητα θα πρέπει να θεσπίζει κατάλληλα συντονισμένα και παρεχόμενα υπό αυστηρούς όρους φορολογικά κίνητρα, τα οποία εστιάζονται στην έρευνα, την ανάπτυξη και την επανεπένδυση· σημειώνει ότι θα πρέπει να καθοριστούν κοινοί ορισμοί για την επιλεξιμότητα και ελάχιστα πρότυπα σε όλα τα κράτη μέλη στο πλαίσιο μιας εναρμονισμένης βάσης αναφοράς για τα κίνητρα Ε&amp;Α, στους οποίους θα περιλαμβάνονται, αλλά όχι αποκλειστικά, η κοινωνική αιρεσιμότητα και εργαλεία τακτικής παρακολούθησης και αξιολόγησης των φορολογικών δαπανών, ώστε να διασφαλίζεται ότι: i) είναι κατάλληλοι για τον επιδιωκόμενο σκοπό· ii) αποτελούν έναν οικονομικά αποδοτικό τρόπο προώθησης της καινοτομίας· και iii) δεν έχουν απροσδόκητες ή αρνητικές επιπτώσεις· τονίζει ότι οι επιχειρήσεις που επιλέγουν τη φορολογική ενότητα δεν θα πρέπει να βρίσκονται σε μειονεκτική θέση όσον αφορά την πρόσβαση σε προγράμματα ή κίνητρα των κρατών μελών βάσει της νομικής μορφής τους·</w:t>
      </w:r>
    </w:p>
    <w:p w:rsidR="00020FD2" w:rsidRPr="00A50059" w:rsidP="00A50059" w14:paraId="3D01EF45" w14:textId="03C840D7">
      <w:pPr>
        <w:pStyle w:val="NormalHanging12a"/>
        <w:ind w:left="570" w:hanging="570"/>
      </w:pPr>
      <w:r w:rsidRPr="00A50059">
        <w:t>47.</w:t>
      </w:r>
      <w:r w:rsidRPr="00A50059">
        <w:tab/>
      </w:r>
      <w:r w:rsidRPr="00A50059">
        <w:t>τονίζει, επιπλέον, ότι ο σχεδιασμός των κινήτρων για Ε&amp;Α στο πλαίσιο της φορολογικής ενότητας πρέπει να βαθμονομηθεί ρητά ώστε να είναι συμβατός με το παγκόσμιο ελάχιστο φορολογικό πλαίσιο του δεύτερου πυλώνα του ΟΟΣΑ, και ιδίως ότι πρέπει να εξεταστεί η αλληλεπίδραση με τους κανόνες για την ειδική επιστρεπτέα πίστωση φόρου, ώστε να διασφαλιστεί ότι οι επιχειρήσεις που υπάγονται στο πεδίο εφαρμογής της φορολογικής ενότητας – οι οποίες ενδέχεται να μην έχουν τρέχοντα κέρδη – μπορούν ωστόσο να επωφεληθούν πλήρως από τα κίνητρα χωρίς δυσανάλογο διοικητικό φόρτο·</w:t>
      </w:r>
    </w:p>
    <w:p w:rsidR="00020FD2" w:rsidRPr="00A50059" w:rsidP="00A50059" w14:paraId="0E45028F" w14:textId="4FC99790">
      <w:pPr>
        <w:pStyle w:val="NormalHanging12a"/>
        <w:ind w:left="570" w:hanging="570"/>
      </w:pPr>
      <w:r w:rsidRPr="00A50059">
        <w:t>48.</w:t>
      </w:r>
      <w:r w:rsidRPr="00A50059">
        <w:tab/>
      </w:r>
      <w:r w:rsidRPr="00A50059">
        <w:t xml:space="preserve">υπενθυμίζει την ανάγκη για ισχυρή τόνωση των δραστηριοτήτων επέκτασης· πιστεύει ότι, όταν τα επανεπενδυόμενα κέρδη χρησιμοποιούνται για Ε&amp;Α, ψηφιοποίηση ή </w:t>
      </w:r>
      <w:r w:rsidRPr="00A50059">
        <w:t>πράσινη καινοτομία, θα πρέπει να μπορούν να επωφελούνται από προσωρινές πρόσθετες εκπτώσεις ή αναβολές καταβολής φόρων, παρέχοντας έτσι κίνητρα για τον αναπροσανατολισμό των αδιανέμητων κερδών προς επενδύσεις που ενισχύουν την παραγωγικότητα και όχι προς βραχυπρόθεσμη διανομή, προκειμένου να τονωθούν η τεχνολογική ικανότητα και η ανταγωνιστικότητα· επισημαίνει ότι όλα τα κίνητρα πρέπει να σχεδιάζονται έτσι ώστε να παραμένουν διαφανή, απλά και σύμφωνα με τους κανόνες για τις κρατικές ενισχύσεις·</w:t>
      </w:r>
    </w:p>
    <w:p w:rsidR="00020FD2" w:rsidRPr="00A50059" w:rsidP="007A5D7D" w14:paraId="087FEF49" w14:textId="77777777">
      <w:pPr>
        <w:pStyle w:val="Normal12a"/>
      </w:pPr>
      <w:r w:rsidRPr="00A50059">
        <w:rPr>
          <w:b/>
          <w:i/>
        </w:rPr>
        <w:t>Εκτίμηση επιπτώσεων, επανεξέταση και αξιολόγηση</w:t>
      </w:r>
    </w:p>
    <w:p w:rsidR="00020FD2" w:rsidRPr="00A50059" w:rsidP="00A50059" w14:paraId="2F0B7400" w14:textId="5CAF652F">
      <w:pPr>
        <w:pStyle w:val="NormalHanging12a"/>
        <w:ind w:left="570" w:hanging="570"/>
      </w:pPr>
      <w:r w:rsidRPr="00A50059">
        <w:t>49.</w:t>
      </w:r>
      <w:r w:rsidRPr="00A50059">
        <w:tab/>
      </w:r>
      <w:r w:rsidRPr="00A50059">
        <w:t>καλεί την Επιτροπή να μεριμνά για την ολοκληρωμένη επανεξέταση και, αν είναι αναγκαίο, για αναθεωρήσεις των φορολογικών πτυχών του 28ου καθεστώτος σε τακτά χρονικά διαστήματα, συμπεριλαμβανομένων της δυνατότητας προσθήκης νέων νομοθετικών ενοτήτων στο καθεστώς, της αξιολόγησης των ποσοστών έγκρισής του μεταξύ των επιχειρήσεων, ιδίως των ΜΜΕ, των νεοφυών και των επεκτεινόμενων επιχειρήσεων, καθώς και της ανάπτυξης και της οικονομικής τους μεγέθυνσης, της ευθυγράμμισής του με τις εξελισσόμενες επιχειρηματικές και κοινωνικές ανάγκες, της συνολικής καταλληλότητάς του για τον επιδιωκόμενο σκοπό και των επιπτώσεών του στην ανταγωνιστικότητα της ΕΕ (διεθνής συγκριτική αξιολόγηση)· θεωρεί ότι ο κύκλος επανεξέτασης θα πρέπει να διεξάγεται κάθε τέσσερα έτη, ώστε να διασφαλίζεται η προσαρμοστικότητα στις νέες προκλήσεις·</w:t>
      </w:r>
    </w:p>
    <w:p w:rsidR="00020FD2" w:rsidRPr="00A50059" w:rsidP="002040FD" w14:paraId="656DEB7B" w14:textId="77777777">
      <w:pPr>
        <w:pStyle w:val="NormalCenter12a"/>
        <w:ind w:left="567" w:hanging="567"/>
      </w:pPr>
      <w:r w:rsidRPr="00A50059">
        <w:t>°</w:t>
      </w:r>
    </w:p>
    <w:p w:rsidR="00020FD2" w:rsidRPr="00A50059" w:rsidP="002040FD" w14:paraId="44EFB276" w14:textId="77777777">
      <w:pPr>
        <w:pStyle w:val="NormalCenter12a"/>
        <w:ind w:left="567" w:hanging="567"/>
      </w:pPr>
      <w:r w:rsidRPr="00A50059">
        <w:t>°</w:t>
      </w:r>
      <w:r w:rsidRPr="00A50059">
        <w:tab/>
        <w:t>°</w:t>
      </w:r>
    </w:p>
    <w:p w:rsidR="00F74C1F" w:rsidRPr="00A50059" w:rsidP="00A50059" w14:paraId="3A9E3E78" w14:textId="21A89D83">
      <w:pPr>
        <w:pStyle w:val="NormalHanging12a"/>
        <w:ind w:left="570" w:hanging="570"/>
      </w:pPr>
      <w:r w:rsidRPr="00A50059">
        <w:t>50.</w:t>
      </w:r>
      <w:r w:rsidRPr="00A50059">
        <w:tab/>
      </w:r>
      <w:r w:rsidRPr="00A50059" w:rsidR="00020FD2">
        <w:t>αναθέτει στην Πρόεδρό του να διαβιβάσει το παρόν ψήφισμα στο Συμβούλιο και στην Επιτροπή.</w:t>
      </w:r>
    </w:p>
    <w:p w:rsidR="00E365E1" w:rsidRPr="00A50059" w:rsidP="002040FD" w14:paraId="3224EBCA" w14:textId="5FE48AA8">
      <w:pPr>
        <w:widowControl/>
        <w:spacing w:after="240"/>
        <w:ind w:left="567" w:hanging="567"/>
      </w:pPr>
    </w:p>
    <w:sectPr w:rsidSect="00F74C1F">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74C1F" w14:paraId="17AF6FA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74C1F" w14:paraId="1E0EFCD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74C1F" w14:paraId="3E021C7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05EAC" w:rsidRPr="00F74C1F" w14:paraId="467B5EDC" w14:textId="77777777">
      <w:r w:rsidRPr="00F74C1F">
        <w:separator/>
      </w:r>
    </w:p>
  </w:footnote>
  <w:footnote w:type="continuationSeparator" w:id="1">
    <w:p w:rsidR="00005EAC" w:rsidRPr="00F74C1F" w14:paraId="53DE8A9C" w14:textId="77777777">
      <w:r w:rsidRPr="00F74C1F">
        <w:continuationSeparator/>
      </w:r>
    </w:p>
  </w:footnote>
  <w:footnote w:id="2">
    <w:p w:rsidR="00DA6838" w:rsidRPr="00F74C1F" w:rsidP="002040FD" w14:paraId="70E102CE" w14:textId="4956610D">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Κείμενα που εγκρίθηκαν, P10_TA(2026)0002.</w:t>
      </w:r>
    </w:p>
  </w:footnote>
  <w:footnote w:id="3">
    <w:p w:rsidR="00DA6838" w:rsidRPr="00F74C1F" w:rsidP="002040FD" w14:paraId="021683AD" w14:textId="4D6BF009">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Κείμενα που εγκρίθηκαν, P10_TA(2025)0268.</w:t>
      </w:r>
    </w:p>
  </w:footnote>
  <w:footnote w:id="4">
    <w:p w:rsidR="00DA6838" w:rsidRPr="00DA6838" w:rsidP="002040FD" w14:paraId="659307FA" w14:textId="742699D1">
      <w:pPr>
        <w:pStyle w:val="FootnoteText"/>
        <w:spacing w:line="240" w:lineRule="auto"/>
        <w:ind w:left="567" w:hanging="567"/>
        <w:rPr>
          <w:sz w:val="24"/>
          <w:lang w:val="fi-FI"/>
        </w:rPr>
      </w:pPr>
      <w:r>
        <w:rPr>
          <w:rStyle w:val="FootnoteReference"/>
        </w:rPr>
        <w:footnoteRef/>
      </w:r>
      <w:r w:rsidRPr="00DA6838">
        <w:rPr>
          <w:sz w:val="24"/>
          <w:lang w:val="fi-FI"/>
        </w:rPr>
        <w:t xml:space="preserve"> </w:t>
      </w:r>
      <w:r w:rsidRPr="00DA6838">
        <w:rPr>
          <w:sz w:val="24"/>
          <w:lang w:val="fi-FI"/>
        </w:rPr>
        <w:tab/>
      </w:r>
      <w:r w:rsidRPr="00F74C1F">
        <w:rPr>
          <w:sz w:val="24"/>
          <w:lang w:val="el-GR"/>
        </w:rPr>
        <w:t>ΕΕ</w:t>
      </w:r>
      <w:r w:rsidRPr="00DA6838">
        <w:rPr>
          <w:sz w:val="24"/>
          <w:lang w:val="fi-FI"/>
        </w:rPr>
        <w:t xml:space="preserve"> C, C/2025/1326, 13.3.2025, ELI: </w:t>
      </w:r>
      <w:hyperlink r:id="rId1" w:tgtFrame="http://data.europa.eu/eli/C/2025/1326/oj" w:history="1">
        <w:r w:rsidRPr="00DA6838">
          <w:rPr>
            <w:rStyle w:val="Hyperlink"/>
            <w:sz w:val="24"/>
            <w:lang w:val="fi-FI"/>
          </w:rPr>
          <w:t>http://data.europa.eu/eli/C/2025/1326/oj</w:t>
        </w:r>
      </w:hyperlink>
      <w:r w:rsidRPr="00DA6838">
        <w:rPr>
          <w:sz w:val="24"/>
          <w:lang w:val="fi-FI"/>
        </w:rPr>
        <w:t>.</w:t>
      </w:r>
    </w:p>
  </w:footnote>
  <w:footnote w:id="5">
    <w:p w:rsidR="00DA6838" w:rsidRPr="00F74C1F" w:rsidP="002040FD" w14:paraId="147C235F" w14:textId="01D5052C">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Draghi, M., «The future of European competitiveness» (Το μέλλον της ευρωπαϊκής ανταγωνιστικότητας), 2024.</w:t>
      </w:r>
    </w:p>
  </w:footnote>
  <w:footnote w:id="6">
    <w:p w:rsidR="00DA6838" w:rsidRPr="00F74C1F" w:rsidP="002040FD" w14:paraId="1274CA8E" w14:textId="3D5B54CA">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Ομιλία του Alfred Kammer, διευθυντή του Ευρωπαϊκού Τμήματος του Διεθνούς Νομισματικού Ταμείου, της 16ης Δεκεμβρίου 2024, με τίτλο «Europe’s Choice: Policies for Growth and Resilience» (Η επιλογή της Ευρώπης: Πολιτικές για την ανάπτυξη και την ανθεκτικότητα).</w:t>
      </w:r>
    </w:p>
  </w:footnote>
  <w:footnote w:id="7">
    <w:p w:rsidR="00DA6838" w:rsidRPr="00F74C1F" w:rsidP="002040FD" w14:paraId="60BACD55" w14:textId="6272DA83">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Ψήφισμα του Ευρωπαϊκού Κοινοβουλίου της 20ής Ιανουαρίου 2026 που περιέχει συστάσεις προς την Επιτροπή σχετικά με το 28ο καθεστώς: ένα νέο νομικό πλαίσιο για καινοτόμες επιχειρήσεις.</w:t>
      </w:r>
    </w:p>
  </w:footnote>
  <w:footnote w:id="8">
    <w:p w:rsidR="00DA6838" w:rsidRPr="00F74C1F" w:rsidP="002040FD" w14:paraId="7804A686" w14:textId="49ED5540">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Πρόταση της Επιτροπής για την έκδοση κανονισμού του Ευρωπαϊκού Κοινοβουλίου και του Συμβουλίου σχετικά με το εταιρικό νομικό πλαίσιο του 28ου καθεστώτος – «EU Inc.».</w:t>
      </w:r>
    </w:p>
  </w:footnote>
  <w:footnote w:id="9">
    <w:p w:rsidR="00DA6838" w:rsidRPr="00F74C1F" w:rsidP="002040FD" w14:paraId="3E2C8EF9" w14:textId="55FAA5B7">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Έκθεση της Ευρωπαϊκής Επιτροπής με τίτλο «Έκτακτο Ευρωβαρόμετρο 559 — νεοφυείς επιχειρήσεις, επεκτεινόμενες επιχειρήσεις και επιχειρηματικότητα», 2025.</w:t>
      </w:r>
    </w:p>
  </w:footnote>
  <w:footnote w:id="10">
    <w:p w:rsidR="00DA6838" w:rsidRPr="00F74C1F" w:rsidP="002040FD" w14:paraId="07B2CB31" w14:textId="40283026">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Draghi, M., «The future of European competitiveness» (Το μέλλον της ευρωπαϊκής ανταγωνιστικότητας), 2024.</w:t>
      </w:r>
    </w:p>
  </w:footnote>
  <w:footnote w:id="11">
    <w:p w:rsidR="00DA6838" w:rsidRPr="00F74C1F" w:rsidP="002040FD" w14:paraId="37D485B7" w14:textId="59AFA554">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Draghi, M., «The future of European competitiveness» (Το μέλλον της ευρωπαϊκής ανταγωνιστικότητας), 2024.</w:t>
      </w:r>
    </w:p>
  </w:footnote>
  <w:footnote w:id="12">
    <w:p w:rsidR="00DA6838" w:rsidRPr="00F74C1F" w:rsidP="002040FD" w14:paraId="7A5EE700" w14:textId="3075A80F">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Letta, E., «Much more than a market» (Πολύ περισσότερο από μια απλή αγορά), 2024.</w:t>
      </w:r>
    </w:p>
  </w:footnote>
  <w:footnote w:id="13">
    <w:p w:rsidR="00DA6838" w:rsidRPr="00F74C1F" w:rsidP="002040FD" w14:paraId="7BD814E2" w14:textId="49A0C9C5">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 xml:space="preserve">Οδηγία (ΕΕ) 2016/1164 του Συμβουλίου, της 12ης Ιουλίου 2016, για τη θέσπιση κανόνων κατά πρακτικών φοροαποφυγής που έχουν άμεση επίπτωση στη λειτουργία της εσωτερικής αγοράς (ΕΕ L 193 της 19.7.2016, σ. </w:t>
      </w:r>
      <w:r w:rsidRPr="00F74C1F">
        <w:rPr>
          <w:sz w:val="24"/>
          <w:lang w:val="el-GR"/>
        </w:rPr>
        <w:t xml:space="preserve">1, ELI: </w:t>
      </w:r>
      <w:hyperlink r:id="rId2" w:tgtFrame="http://data.europa.eu/eli/dir/2016/1164/oj" w:history="1">
        <w:r w:rsidRPr="00F74C1F">
          <w:rPr>
            <w:rStyle w:val="Hyperlink"/>
            <w:sz w:val="24"/>
            <w:lang w:val="el-GR"/>
          </w:rPr>
          <w:t>http://data.europa.eu/eli/dir/2016/1164/oj</w:t>
        </w:r>
      </w:hyperlink>
      <w:r w:rsidRPr="00F74C1F">
        <w:rPr>
          <w:sz w:val="24"/>
          <w:lang w:val="el-GR"/>
        </w:rPr>
        <w:t>).</w:t>
      </w:r>
    </w:p>
  </w:footnote>
  <w:footnote w:id="14">
    <w:p w:rsidR="00DA6838" w:rsidRPr="00F74C1F" w:rsidP="002040FD" w14:paraId="04086313" w14:textId="0F3FB778">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Ευρωπαϊκό Κοινοβούλιο, Θεματικό Τμήμα Οικονομίας και Ανάπτυξης· Μελέτη των Filip Debelva, Joris Luts, Anne Mieke Vandekerkhove, Niels Bammens, με τίτλο «Feasibility of a 28th Tax Regime and Its Potential to Support EU Competitiveness» (Σκοπιμότητα του 28ου φορολογικού καθεστώτος και οι δυνατότητές του για τη στήριξη της ανταγωνιστικότητας της ΕΕ), 2026.</w:t>
      </w:r>
    </w:p>
  </w:footnote>
  <w:footnote w:id="15">
    <w:p w:rsidR="00DA6838" w:rsidRPr="00F74C1F" w:rsidP="002040FD" w14:paraId="24A1E889" w14:textId="6D236470">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Δέσμη μέτρων για τον ΦΠΑ στην ψηφιακή εποχή.</w:t>
      </w:r>
    </w:p>
  </w:footnote>
  <w:footnote w:id="16">
    <w:p w:rsidR="00DA6838" w:rsidRPr="00F74C1F" w:rsidP="002040FD" w14:paraId="231D904C" w14:textId="23AEE507">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r>
      <w:r w:rsidRPr="00F74C1F">
        <w:rPr>
          <w:sz w:val="24"/>
          <w:lang w:val="el-GR"/>
        </w:rPr>
        <w:t xml:space="preserve">Οδηγία (ΕΕ) 2025/50 του Συμβουλίου, της 10ης Δεκεμβρίου 2024, σχετικά με την ταχύτερη και ασφαλέστερη ελάφρυνση της υπερβάλλουσας παρακράτησης φόρου (ΕΕ L, 2025/50, 10.1.2025, ELI: </w:t>
      </w:r>
      <w:hyperlink r:id="rId3" w:tgtFrame="http://data.europa.eu/eli/dir/2025/50/oj" w:history="1">
        <w:r w:rsidRPr="00F74C1F">
          <w:rPr>
            <w:rStyle w:val="Hyperlink"/>
            <w:sz w:val="24"/>
            <w:lang w:val="el-GR"/>
          </w:rPr>
          <w:t>http://data.europa.eu/eli/dir/2025/50/oj</w:t>
        </w:r>
      </w:hyperlink>
      <w:r w:rsidRPr="00F74C1F">
        <w:rPr>
          <w:sz w:val="24"/>
          <w:lang w:val="el-GR"/>
        </w:rPr>
        <w:t>).</w:t>
      </w:r>
    </w:p>
  </w:footnote>
  <w:footnote w:id="17">
    <w:p w:rsidR="00DA6838" w:rsidRPr="00F74C1F" w:rsidP="002040FD" w14:paraId="57C40231" w14:textId="40861572">
      <w:pPr>
        <w:pStyle w:val="FootnoteText"/>
        <w:spacing w:line="240" w:lineRule="auto"/>
        <w:ind w:left="567" w:hanging="567"/>
        <w:rPr>
          <w:sz w:val="24"/>
          <w:lang w:val="el-GR"/>
        </w:rPr>
      </w:pPr>
      <w:r>
        <w:rPr>
          <w:rStyle w:val="FootnoteReference"/>
        </w:rPr>
        <w:footnoteRef/>
      </w:r>
      <w:r w:rsidRPr="00F74C1F">
        <w:rPr>
          <w:sz w:val="24"/>
          <w:lang w:val="el-GR"/>
        </w:rPr>
        <w:t xml:space="preserve"> </w:t>
      </w:r>
      <w:r w:rsidRPr="00F74C1F">
        <w:rPr>
          <w:sz w:val="24"/>
          <w:lang w:val="el-GR"/>
        </w:rPr>
        <w:tab/>
        <w:t xml:space="preserve">Κανονισμός (ΕΚ) αριθ. 883/2004 του Ευρωπαϊκού Κοινοβουλίου και του Συμβουλίου, της 29ης Απριλίου 2004, για τον συντονισμό των συστημάτων κοινωνικής ασφάλειας (ΕΕ L 166 της 30.4.2004, σ. </w:t>
      </w:r>
      <w:r w:rsidRPr="00F74C1F">
        <w:rPr>
          <w:sz w:val="24"/>
          <w:lang w:val="el-GR"/>
        </w:rPr>
        <w:t xml:space="preserve">1, ELI: </w:t>
      </w:r>
      <w:hyperlink r:id="rId4" w:tgtFrame="http://data.europa.eu/eli/reg/2004/883/oj" w:history="1">
        <w:r w:rsidRPr="00F74C1F">
          <w:rPr>
            <w:rStyle w:val="Hyperlink"/>
            <w:sz w:val="24"/>
            <w:lang w:val="el-GR"/>
          </w:rPr>
          <w:t>http://data.europa.eu/eli/reg/2004/883/oj</w:t>
        </w:r>
      </w:hyperlink>
      <w:r w:rsidRPr="00F74C1F">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74C1F" w14:paraId="004FF19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74C1F" w14:paraId="1D05BBA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74C1F" w14:paraId="31A4E2B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8D43357"/>
    <w:multiLevelType w:val="hybridMultilevel"/>
    <w:tmpl w:val="D706912C"/>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C7E6818"/>
    <w:multiLevelType w:val="hybridMultilevel"/>
    <w:tmpl w:val="8114558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88648262">
    <w:abstractNumId w:val="9"/>
  </w:num>
  <w:num w:numId="2" w16cid:durableId="1517843934">
    <w:abstractNumId w:val="9"/>
  </w:num>
  <w:num w:numId="3" w16cid:durableId="1171870500">
    <w:abstractNumId w:val="7"/>
  </w:num>
  <w:num w:numId="4" w16cid:durableId="219025466">
    <w:abstractNumId w:val="7"/>
  </w:num>
  <w:num w:numId="5" w16cid:durableId="1940793629">
    <w:abstractNumId w:val="6"/>
  </w:num>
  <w:num w:numId="6" w16cid:durableId="865362344">
    <w:abstractNumId w:val="6"/>
  </w:num>
  <w:num w:numId="7" w16cid:durableId="1185898586">
    <w:abstractNumId w:val="5"/>
  </w:num>
  <w:num w:numId="8" w16cid:durableId="228619185">
    <w:abstractNumId w:val="5"/>
  </w:num>
  <w:num w:numId="9" w16cid:durableId="1526753826">
    <w:abstractNumId w:val="4"/>
  </w:num>
  <w:num w:numId="10" w16cid:durableId="54201842">
    <w:abstractNumId w:val="4"/>
  </w:num>
  <w:num w:numId="11" w16cid:durableId="1749032356">
    <w:abstractNumId w:val="8"/>
  </w:num>
  <w:num w:numId="12" w16cid:durableId="1802771615">
    <w:abstractNumId w:val="8"/>
  </w:num>
  <w:num w:numId="13" w16cid:durableId="1414623355">
    <w:abstractNumId w:val="3"/>
  </w:num>
  <w:num w:numId="14" w16cid:durableId="1263145763">
    <w:abstractNumId w:val="3"/>
  </w:num>
  <w:num w:numId="15" w16cid:durableId="89784573">
    <w:abstractNumId w:val="2"/>
  </w:num>
  <w:num w:numId="16" w16cid:durableId="1890845239">
    <w:abstractNumId w:val="2"/>
  </w:num>
  <w:num w:numId="17" w16cid:durableId="1239249726">
    <w:abstractNumId w:val="1"/>
  </w:num>
  <w:num w:numId="18" w16cid:durableId="1730031443">
    <w:abstractNumId w:val="1"/>
  </w:num>
  <w:num w:numId="19" w16cid:durableId="66341678">
    <w:abstractNumId w:val="0"/>
  </w:num>
  <w:num w:numId="20" w16cid:durableId="589050996">
    <w:abstractNumId w:val="0"/>
  </w:num>
  <w:num w:numId="21" w16cid:durableId="1901942772">
    <w:abstractNumId w:val="9"/>
  </w:num>
  <w:num w:numId="22" w16cid:durableId="897939964">
    <w:abstractNumId w:val="7"/>
  </w:num>
  <w:num w:numId="23" w16cid:durableId="82531324">
    <w:abstractNumId w:val="6"/>
  </w:num>
  <w:num w:numId="24" w16cid:durableId="1092820480">
    <w:abstractNumId w:val="5"/>
  </w:num>
  <w:num w:numId="25" w16cid:durableId="42753834">
    <w:abstractNumId w:val="4"/>
  </w:num>
  <w:num w:numId="26" w16cid:durableId="206651995">
    <w:abstractNumId w:val="8"/>
  </w:num>
  <w:num w:numId="27" w16cid:durableId="941569842">
    <w:abstractNumId w:val="3"/>
  </w:num>
  <w:num w:numId="28" w16cid:durableId="315957800">
    <w:abstractNumId w:val="2"/>
  </w:num>
  <w:num w:numId="29" w16cid:durableId="94636215">
    <w:abstractNumId w:val="1"/>
  </w:num>
  <w:num w:numId="30" w16cid:durableId="1635597931">
    <w:abstractNumId w:val="0"/>
  </w:num>
  <w:num w:numId="31" w16cid:durableId="1259364276">
    <w:abstractNumId w:val="9"/>
  </w:num>
  <w:num w:numId="32" w16cid:durableId="1536575752">
    <w:abstractNumId w:val="7"/>
  </w:num>
  <w:num w:numId="33" w16cid:durableId="1704863122">
    <w:abstractNumId w:val="6"/>
  </w:num>
  <w:num w:numId="34" w16cid:durableId="1351373380">
    <w:abstractNumId w:val="5"/>
  </w:num>
  <w:num w:numId="35" w16cid:durableId="1395852013">
    <w:abstractNumId w:val="4"/>
  </w:num>
  <w:num w:numId="36" w16cid:durableId="2132673993">
    <w:abstractNumId w:val="8"/>
  </w:num>
  <w:num w:numId="37" w16cid:durableId="1181621116">
    <w:abstractNumId w:val="3"/>
  </w:num>
  <w:num w:numId="38" w16cid:durableId="362243374">
    <w:abstractNumId w:val="2"/>
  </w:num>
  <w:num w:numId="39" w16cid:durableId="712383640">
    <w:abstractNumId w:val="1"/>
  </w:num>
  <w:num w:numId="40" w16cid:durableId="1441951302">
    <w:abstractNumId w:val="0"/>
  </w:num>
  <w:num w:numId="41" w16cid:durableId="298800576">
    <w:abstractNumId w:val="10"/>
  </w:num>
  <w:num w:numId="42" w16cid:durableId="725030110">
    <w:abstractNumId w:val="10"/>
  </w:num>
  <w:num w:numId="43" w16cid:durableId="1620650791">
    <w:abstractNumId w:val="10"/>
  </w:num>
  <w:num w:numId="44" w16cid:durableId="1852790866">
    <w:abstractNumId w:val="12"/>
  </w:num>
  <w:num w:numId="45" w16cid:durableId="962542127">
    <w:abstractNumId w:val="13"/>
  </w:num>
  <w:num w:numId="46" w16cid:durableId="21418034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EAC"/>
    <w:rsid w:val="00002272"/>
    <w:rsid w:val="00005EAC"/>
    <w:rsid w:val="00020FD2"/>
    <w:rsid w:val="00064002"/>
    <w:rsid w:val="000677B9"/>
    <w:rsid w:val="000831BA"/>
    <w:rsid w:val="000A42CC"/>
    <w:rsid w:val="000E7DD9"/>
    <w:rsid w:val="0010095E"/>
    <w:rsid w:val="00125B37"/>
    <w:rsid w:val="00187494"/>
    <w:rsid w:val="001E002C"/>
    <w:rsid w:val="001F32AE"/>
    <w:rsid w:val="002040F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71E5"/>
    <w:rsid w:val="006631B6"/>
    <w:rsid w:val="006800F5"/>
    <w:rsid w:val="00680577"/>
    <w:rsid w:val="006F74FA"/>
    <w:rsid w:val="00731ADD"/>
    <w:rsid w:val="00734777"/>
    <w:rsid w:val="00747932"/>
    <w:rsid w:val="00751A4A"/>
    <w:rsid w:val="00756632"/>
    <w:rsid w:val="00762C74"/>
    <w:rsid w:val="00786EC0"/>
    <w:rsid w:val="007A5D7D"/>
    <w:rsid w:val="007D1690"/>
    <w:rsid w:val="007E22AD"/>
    <w:rsid w:val="00817416"/>
    <w:rsid w:val="0083255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05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3C2"/>
    <w:rsid w:val="00D56C11"/>
    <w:rsid w:val="00D834A0"/>
    <w:rsid w:val="00D872DF"/>
    <w:rsid w:val="00D91E21"/>
    <w:rsid w:val="00DA6838"/>
    <w:rsid w:val="00DA7FCD"/>
    <w:rsid w:val="00E32552"/>
    <w:rsid w:val="00E365E1"/>
    <w:rsid w:val="00E820A4"/>
    <w:rsid w:val="00EB006A"/>
    <w:rsid w:val="00EB4772"/>
    <w:rsid w:val="00ED169E"/>
    <w:rsid w:val="00ED4235"/>
    <w:rsid w:val="00F04346"/>
    <w:rsid w:val="00F075DC"/>
    <w:rsid w:val="00F149E9"/>
    <w:rsid w:val="00F5134D"/>
    <w:rsid w:val="00F74202"/>
    <w:rsid w:val="00F74C1F"/>
    <w:rsid w:val="00F87713"/>
    <w:rsid w:val="00FB4360"/>
    <w:rsid w:val="00FD0C70"/>
    <w:rsid w:val="00FE62C5"/>
  </w:rsids>
  <w:docVars>
    <w:docVar w:name="dvdocse" w:val="A10-0167/2026"/>
    <w:docVar w:name="dvlangue" w:val="EL"/>
    <w:docVar w:name="dvnumam" w:val="0"/>
    <w:docVar w:name="dvpe" w:val="785.418"/>
    <w:docVar w:name="dvrapporteur" w:val="Εισηγητής: "/>
    <w:docVar w:name="dvtitre" w:val="Ψήφισμα του Ευρωπαϊκού Κοινοβουλίου της ... 2026 σχετικά με τη σκοπιμότητα ενός 28ου φορολογικού καθεστώτος και τις δυνατότητες που προσφέρει για τη στήριξη της ανταγωνιστικότητας της ΕΕ(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684F032"/>
  <w15:chartTrackingRefBased/>
  <w15:docId w15:val="{BF1CE98D-3D2E-4544-9E92-E5DA960A5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20FD2"/>
    <w:pPr>
      <w:widowControl/>
      <w:spacing w:after="240"/>
    </w:pPr>
    <w:rPr>
      <w:szCs w:val="24"/>
      <w:lang w:eastAsia="en-US"/>
    </w:rPr>
  </w:style>
  <w:style w:type="paragraph" w:customStyle="1" w:styleId="NormalHanging12a">
    <w:name w:val="NormalHanging12a"/>
    <w:basedOn w:val="Normal"/>
    <w:rsid w:val="00020FD2"/>
    <w:pPr>
      <w:widowControl/>
      <w:spacing w:after="240"/>
      <w:ind w:left="566" w:hanging="566"/>
    </w:pPr>
    <w:rPr>
      <w:szCs w:val="24"/>
      <w:lang w:eastAsia="en-US"/>
    </w:rPr>
  </w:style>
  <w:style w:type="paragraph" w:customStyle="1" w:styleId="Normal12">
    <w:name w:val="Normal12"/>
    <w:basedOn w:val="Normal"/>
    <w:rsid w:val="00020FD2"/>
    <w:pPr>
      <w:spacing w:after="240"/>
    </w:pPr>
    <w:rPr>
      <w:szCs w:val="24"/>
      <w:lang w:eastAsia="en-US"/>
    </w:rPr>
  </w:style>
  <w:style w:type="paragraph" w:customStyle="1" w:styleId="NormalHanging">
    <w:name w:val="NormalHanging"/>
    <w:basedOn w:val="Normal"/>
    <w:rsid w:val="00020FD2"/>
    <w:pPr>
      <w:spacing w:after="240"/>
      <w:ind w:left="566" w:hanging="566"/>
    </w:pPr>
    <w:rPr>
      <w:szCs w:val="24"/>
      <w:lang w:eastAsia="en-US"/>
    </w:rPr>
  </w:style>
  <w:style w:type="paragraph" w:customStyle="1" w:styleId="NormalBold12a">
    <w:name w:val="NormalBold12a"/>
    <w:basedOn w:val="Normal"/>
    <w:rsid w:val="00020FD2"/>
    <w:pPr>
      <w:widowControl/>
      <w:spacing w:after="240"/>
    </w:pPr>
    <w:rPr>
      <w:b/>
      <w:szCs w:val="24"/>
      <w:lang w:eastAsia="en-US"/>
    </w:rPr>
  </w:style>
  <w:style w:type="paragraph" w:customStyle="1" w:styleId="NormalCenter12a">
    <w:name w:val="NormalCenter12a"/>
    <w:basedOn w:val="Normal"/>
    <w:rsid w:val="00020FD2"/>
    <w:pPr>
      <w:widowControl/>
      <w:spacing w:after="240"/>
      <w:jc w:val="center"/>
    </w:pPr>
    <w:rPr>
      <w:szCs w:val="24"/>
      <w:lang w:eastAsia="en-US"/>
    </w:rPr>
  </w:style>
  <w:style w:type="character" w:styleId="Hyperlink">
    <w:name w:val="Hyperlink"/>
    <w:basedOn w:val="DefaultParagraphFont"/>
    <w:rsid w:val="00020FD2"/>
    <w:rPr>
      <w:color w:val="0000FF"/>
      <w:u w:val="single"/>
    </w:rPr>
  </w:style>
  <w:style w:type="paragraph" w:styleId="Revision">
    <w:name w:val="Revision"/>
    <w:hidden/>
    <w:uiPriority w:val="99"/>
    <w:semiHidden/>
    <w:rsid w:val="002040FD"/>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6271</Words>
  <Characters>38591</Characters>
  <Application>Microsoft Office Word</Application>
  <DocSecurity>0</DocSecurity>
  <Lines>756</Lines>
  <Paragraphs>227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2026-08-06T09:20:00Z</dcterms:created>
  <dcterms:modified xsi:type="dcterms:W3CDTF">2026-08-06T09:20:00Z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A10-0167/2026</vt:lpwstr>
  </property>
  <property fmtid="{D5CDD505-2E9C-101B-9397-08002B2CF9AE}" pid="4" name="&lt;Type&gt;">
    <vt:lpwstr>RR</vt:lpwstr>
  </property>
</Properties>
</file>