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D0320E6" w14:textId="77777777" w:rsidTr="0010095E">
        <w:tblPrEx>
          <w:tblW w:w="9072" w:type="dxa"/>
          <w:tblLook w:val="01E0"/>
        </w:tblPrEx>
        <w:trPr>
          <w:trHeight w:hRule="exact" w:val="1418"/>
        </w:trPr>
        <w:tc>
          <w:tcPr>
            <w:tcW w:w="6804" w:type="dxa"/>
            <w:shd w:val="clear" w:color="auto" w:fill="auto"/>
            <w:vAlign w:val="center"/>
          </w:tcPr>
          <w:p w:rsidR="00751A4A" w:rsidRPr="004669DF" w:rsidP="0010095E" w14:paraId="6B37238D" w14:textId="77777777">
            <w:pPr>
              <w:pStyle w:val="EPName"/>
            </w:pPr>
            <w:r w:rsidRPr="004669DF">
              <w:t>Euroopa Parlament</w:t>
            </w:r>
          </w:p>
          <w:p w:rsidR="00751A4A" w:rsidRPr="004669DF" w:rsidP="005F1B17" w14:paraId="3D5BC59E" w14:textId="77777777">
            <w:pPr>
              <w:pStyle w:val="EPTerm"/>
              <w:rPr>
                <w:rStyle w:val="HideTWBExt"/>
                <w:noProof w:val="0"/>
                <w:vanish w:val="0"/>
                <w:color w:val="auto"/>
              </w:rPr>
            </w:pPr>
            <w:r w:rsidRPr="004669DF">
              <w:t>2024</w:t>
            </w:r>
            <w:r w:rsidRPr="004669DF" w:rsidR="00817416">
              <w:t>-202</w:t>
            </w:r>
            <w:r w:rsidRPr="004669DF">
              <w:t>9</w:t>
            </w:r>
          </w:p>
        </w:tc>
        <w:tc>
          <w:tcPr>
            <w:tcW w:w="2268" w:type="dxa"/>
            <w:shd w:val="clear" w:color="auto" w:fill="auto"/>
          </w:tcPr>
          <w:p w:rsidR="00751A4A" w:rsidRPr="004669DF" w:rsidP="0010095E" w14:paraId="04B91FBC" w14:textId="77777777">
            <w:pPr>
              <w:pStyle w:val="EPLogo"/>
            </w:pPr>
            <w:r w:rsidRPr="004669D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669DF" w:rsidP="004C5D52" w14:paraId="0C11FAD7" w14:textId="77777777">
      <w:pPr>
        <w:pStyle w:val="LineTop"/>
      </w:pPr>
    </w:p>
    <w:p w:rsidR="00680577" w:rsidRPr="004669DF" w:rsidP="00680577" w14:paraId="28D0B112" w14:textId="77777777">
      <w:pPr>
        <w:pStyle w:val="EPBodyTA1"/>
      </w:pPr>
      <w:r w:rsidRPr="004669DF">
        <w:t>VASTUVÕETUD TEKSTID</w:t>
      </w:r>
    </w:p>
    <w:p w:rsidR="00D058B8" w:rsidRPr="004669DF" w:rsidP="00D058B8" w14:paraId="6925C465" w14:textId="77777777">
      <w:pPr>
        <w:pStyle w:val="LineBottom"/>
      </w:pPr>
    </w:p>
    <w:p w:rsidR="001E4B76" w:rsidRPr="004669DF" w:rsidP="001E4B76" w14:paraId="68EC541F" w14:textId="45932039">
      <w:pPr>
        <w:pStyle w:val="ATHeading1"/>
      </w:pPr>
      <w:bookmarkStart w:id="0" w:name="TANumber"/>
      <w:r w:rsidRPr="004669DF">
        <w:t>P10_TA(2026)0</w:t>
      </w:r>
      <w:bookmarkEnd w:id="0"/>
      <w:r w:rsidRPr="004669DF" w:rsidR="007F2FCA">
        <w:t>270</w:t>
      </w:r>
    </w:p>
    <w:p w:rsidR="001E4B76" w:rsidRPr="004669DF" w:rsidP="001E4B76" w14:paraId="4D6405A6" w14:textId="77777777">
      <w:pPr>
        <w:pStyle w:val="ATHeading2"/>
      </w:pPr>
      <w:bookmarkStart w:id="1" w:name="title"/>
      <w:r w:rsidRPr="004669DF">
        <w:t>28. maksusüsteemi teostatavus ja selle potentsiaal toetada ELi konkurentsivõimet</w:t>
      </w:r>
      <w:bookmarkEnd w:id="1"/>
    </w:p>
    <w:p w:rsidR="001E4B76" w:rsidRPr="004669DF" w:rsidP="001E4B76" w14:paraId="113989B9" w14:textId="77777777">
      <w:pPr>
        <w:rPr>
          <w:i/>
          <w:vanish/>
        </w:rPr>
      </w:pPr>
      <w:r>
        <w:rPr>
          <w:i/>
        </w:rPr>
        <w:fldChar w:fldCharType="begin"/>
      </w:r>
      <w:r w:rsidRPr="004669DF">
        <w:rPr>
          <w:i/>
        </w:rPr>
        <w:instrText xml:space="preserve"> TC"(</w:instrText>
      </w:r>
      <w:bookmarkStart w:id="2" w:name="DocNumber"/>
      <w:r w:rsidRPr="004669DF">
        <w:rPr>
          <w:i/>
        </w:rPr>
        <w:instrText>A10-0167/2026</w:instrText>
      </w:r>
      <w:bookmarkEnd w:id="2"/>
      <w:r w:rsidRPr="004669DF">
        <w:rPr>
          <w:i/>
        </w:rPr>
        <w:instrText xml:space="preserve"> - Raportöör: Ľudovít Ódor)"\l3 \n&gt; \* MERGEFORMAT </w:instrText>
      </w:r>
      <w:r>
        <w:rPr>
          <w:i/>
        </w:rPr>
        <w:fldChar w:fldCharType="end"/>
      </w:r>
    </w:p>
    <w:p w:rsidR="001E4B76" w:rsidRPr="004669DF" w:rsidP="001E4B76" w14:paraId="67653E91" w14:textId="77777777">
      <w:pPr>
        <w:rPr>
          <w:vanish/>
        </w:rPr>
      </w:pPr>
      <w:bookmarkStart w:id="3" w:name="Commission"/>
      <w:r w:rsidRPr="004669DF">
        <w:rPr>
          <w:vanish/>
        </w:rPr>
        <w:t>Majandus- ja rahanduskomisjon</w:t>
      </w:r>
      <w:bookmarkEnd w:id="3"/>
    </w:p>
    <w:p w:rsidR="001E4B76" w:rsidRPr="004669DF" w:rsidP="001E4B76" w14:paraId="321E4201" w14:textId="77777777">
      <w:pPr>
        <w:rPr>
          <w:vanish/>
        </w:rPr>
      </w:pPr>
      <w:bookmarkStart w:id="4" w:name="PE"/>
      <w:r w:rsidRPr="004669DF">
        <w:rPr>
          <w:vanish/>
        </w:rPr>
        <w:t>PE785.418</w:t>
      </w:r>
      <w:bookmarkEnd w:id="4"/>
    </w:p>
    <w:p w:rsidR="001E4B76" w:rsidRPr="004669DF" w:rsidP="001E4B76" w14:paraId="4DD6E778" w14:textId="2B5B898C">
      <w:pPr>
        <w:pStyle w:val="ATHeading3"/>
      </w:pPr>
      <w:bookmarkStart w:id="5" w:name="Sujet"/>
      <w:r w:rsidRPr="004669DF">
        <w:t xml:space="preserve">Euroopa Parlamendi </w:t>
      </w:r>
      <w:r w:rsidRPr="004669DF" w:rsidR="003F517E">
        <w:t>9</w:t>
      </w:r>
      <w:r w:rsidRPr="004669DF">
        <w:t>.</w:t>
      </w:r>
      <w:r w:rsidRPr="004669DF" w:rsidR="00721C7E">
        <w:t> juuli</w:t>
      </w:r>
      <w:r w:rsidRPr="004669DF">
        <w:t xml:space="preserve"> 2026.</w:t>
      </w:r>
      <w:r w:rsidRPr="004669DF" w:rsidR="00721C7E">
        <w:t> </w:t>
      </w:r>
      <w:r w:rsidRPr="004669DF">
        <w:t>aasta resolutsioon 28. maksusüsteemi teostatavuse ja selle potentsiaali kohta toetada ELi konkurentsivõimet</w:t>
      </w:r>
      <w:bookmarkEnd w:id="5"/>
      <w:r w:rsidRPr="004669DF">
        <w:t xml:space="preserve"> </w:t>
      </w:r>
      <w:bookmarkStart w:id="6" w:name="References"/>
      <w:r w:rsidRPr="004669DF">
        <w:t>(2025/2211(INI))</w:t>
      </w:r>
      <w:bookmarkEnd w:id="6"/>
    </w:p>
    <w:p w:rsidR="00746F2F" w:rsidRPr="004669DF" w:rsidP="00746F2F" w14:paraId="4875DCE9" w14:textId="77777777">
      <w:pPr>
        <w:pStyle w:val="Normal12"/>
      </w:pPr>
      <w:r w:rsidRPr="004669DF">
        <w:rPr>
          <w:i/>
        </w:rPr>
        <w:t>Euroopa Parlament</w:t>
      </w:r>
      <w:r w:rsidRPr="004669DF">
        <w:t>,</w:t>
      </w:r>
    </w:p>
    <w:p w:rsidR="00746F2F" w:rsidRPr="004669DF" w:rsidP="00746F2F" w14:paraId="6CA8AAC9" w14:textId="77777777">
      <w:pPr>
        <w:pStyle w:val="NormalHanging"/>
      </w:pPr>
      <w:r w:rsidRPr="004669DF">
        <w:t>–</w:t>
      </w:r>
      <w:r w:rsidRPr="004669DF">
        <w:tab/>
        <w:t>võttes arvesse Euroopa Liidu toimimise lepingu artikli 4 lõike 2 punkti a, artiklit 5, artikli 6 punkti g, artikleid 50 ja 113, artikli 114 lõiget 1 ning artikleid 115, 116 ja 225,</w:t>
      </w:r>
    </w:p>
    <w:p w:rsidR="00746F2F" w:rsidRPr="004669DF" w:rsidP="00746F2F" w14:paraId="1DACE08D" w14:textId="42CAFA28">
      <w:pPr>
        <w:pStyle w:val="NormalHanging"/>
      </w:pPr>
      <w:r w:rsidRPr="004669DF">
        <w:t>–</w:t>
      </w:r>
      <w:r w:rsidRPr="004669DF">
        <w:tab/>
        <w:t>võttes arvesse komisjoni 18. märtsi 2026. aasta ettepanekut võtta vastu Euroopa Parlamendi ja nõukogu määrus, mis käsitleb äriühingute 28. õigusraamistikku – „EU Inc.“ (</w:t>
      </w:r>
      <w:r w:rsidRPr="004669DF" w:rsidR="00721C7E">
        <w:t>COM(2026)0321</w:t>
      </w:r>
      <w:r w:rsidRPr="004669DF">
        <w:t>),</w:t>
      </w:r>
    </w:p>
    <w:p w:rsidR="00746F2F" w:rsidRPr="004669DF" w:rsidP="00746F2F" w14:paraId="0C2F3AB2" w14:textId="3003C7F5">
      <w:pPr>
        <w:pStyle w:val="NormalHanging"/>
      </w:pPr>
      <w:r w:rsidRPr="004669DF">
        <w:t>–</w:t>
      </w:r>
      <w:r w:rsidRPr="004669DF">
        <w:tab/>
        <w:t>võttes arvesse oma 20. jaanuari 2026. aasta resolutsiooni soovitustega komisjonile 28. režiimi kohta: uus õigusraamistik uuenduslike ettevõtete jaoks</w:t>
      </w:r>
      <w:r>
        <w:rPr>
          <w:rStyle w:val="FootnoteReference"/>
        </w:rPr>
        <w:footnoteReference w:id="2"/>
      </w:r>
      <w:r w:rsidRPr="004669DF">
        <w:t>,</w:t>
      </w:r>
    </w:p>
    <w:p w:rsidR="00746F2F" w:rsidRPr="004669DF" w:rsidP="00746F2F" w14:paraId="0AEB7E5B" w14:textId="03CC08A2">
      <w:pPr>
        <w:pStyle w:val="NormalHanging"/>
      </w:pPr>
      <w:r w:rsidRPr="004669DF">
        <w:t>–</w:t>
      </w:r>
      <w:r w:rsidRPr="004669DF">
        <w:tab/>
        <w:t>võttes arvesse komisjoni 21. oktoobri 2025. aasta teatist „Komisjoni 2026. aasta tööprogramm – Euroopa iseseisvuse aeg“ (</w:t>
      </w:r>
      <w:r w:rsidRPr="004669DF" w:rsidR="00721C7E">
        <w:t>COM(2025)0870</w:t>
      </w:r>
      <w:r w:rsidRPr="004669DF">
        <w:t>),</w:t>
      </w:r>
    </w:p>
    <w:p w:rsidR="00746F2F" w:rsidRPr="004669DF" w:rsidP="00746F2F" w14:paraId="075B2BAC" w14:textId="4573E028">
      <w:pPr>
        <w:pStyle w:val="NormalHanging"/>
      </w:pPr>
      <w:r w:rsidRPr="004669DF">
        <w:t>–</w:t>
      </w:r>
      <w:r w:rsidRPr="004669DF">
        <w:tab/>
        <w:t>võttes arvesse komisjoni 19. märtsi 2025. aasta teatist „Hoiuste ja investeeringute liit. ELi kodanike jõukuse ja majandusliku konkurentsivõime kasvatamise strateegia“ (</w:t>
      </w:r>
      <w:r w:rsidRPr="004669DF" w:rsidR="00721C7E">
        <w:t>COM(2025)0124</w:t>
      </w:r>
      <w:r w:rsidRPr="004669DF">
        <w:t>)</w:t>
      </w:r>
      <w:hyperlink r:id="rId7" w:tgtFrame="https://eur-lex.europa.eu/legal-content/EN/TXT/?uri=CELEX:52025DC0124" w:history="1">
        <w:r w:rsidRPr="004669DF">
          <w:rPr>
            <w:rStyle w:val="Hyperlink"/>
          </w:rPr>
          <w:t>,</w:t>
        </w:r>
      </w:hyperlink>
    </w:p>
    <w:p w:rsidR="00746F2F" w:rsidRPr="004669DF" w:rsidP="00746F2F" w14:paraId="4FA72B51" w14:textId="096B25F1">
      <w:pPr>
        <w:pStyle w:val="NormalHanging"/>
      </w:pPr>
      <w:r w:rsidRPr="004669DF">
        <w:t>–</w:t>
      </w:r>
      <w:r w:rsidRPr="004669DF">
        <w:tab/>
        <w:t xml:space="preserve">võttes arvesse komisjoni 29. jaanuari 2025. aasta teatist „ELi konkurentsivõime kompass“ </w:t>
      </w:r>
      <w:r w:rsidRPr="004669DF" w:rsidR="00721C7E">
        <w:t>(COM(2025)0030)</w:t>
      </w:r>
      <w:r w:rsidRPr="004669DF">
        <w:t>,</w:t>
      </w:r>
    </w:p>
    <w:p w:rsidR="00746F2F" w:rsidRPr="004669DF" w:rsidP="00746F2F" w14:paraId="5B35A75A" w14:textId="6E9B45FF">
      <w:pPr>
        <w:pStyle w:val="NormalHanging"/>
      </w:pPr>
      <w:r w:rsidRPr="004669DF">
        <w:t>–</w:t>
      </w:r>
      <w:r w:rsidRPr="004669DF">
        <w:tab/>
        <w:t>võttes arvesse komisjoni 28. mai 2025. aasta teatist „ELi idu- ja kasvufirmade strateegia – Euroopa kui eelistatud alustamis- ja laienemiskoht“ (</w:t>
      </w:r>
      <w:r w:rsidRPr="004669DF" w:rsidR="00721C7E">
        <w:t>COM(2025)0270</w:t>
      </w:r>
      <w:r w:rsidRPr="004669DF">
        <w:t>),</w:t>
      </w:r>
    </w:p>
    <w:p w:rsidR="00746F2F" w:rsidRPr="004669DF" w:rsidP="00746F2F" w14:paraId="34621B3C" w14:textId="77777777">
      <w:pPr>
        <w:pStyle w:val="NormalHanging"/>
      </w:pPr>
      <w:r w:rsidRPr="004669DF">
        <w:t>–</w:t>
      </w:r>
      <w:r w:rsidRPr="004669DF">
        <w:tab/>
        <w:t>võttes arvesse Mario Draghi 9. septembri 2024. aasta aruannet „The future of European competitiveness“ (Euroopa konkurentsivõime tulevik) (edaspidi „Draghi aruanne“),</w:t>
      </w:r>
    </w:p>
    <w:p w:rsidR="00746F2F" w:rsidRPr="004669DF" w:rsidP="00746F2F" w14:paraId="32BBAA15" w14:textId="77777777">
      <w:pPr>
        <w:pStyle w:val="NormalHanging"/>
      </w:pPr>
      <w:r w:rsidRPr="004669DF">
        <w:t>–</w:t>
      </w:r>
      <w:r w:rsidRPr="004669DF">
        <w:tab/>
        <w:t xml:space="preserve">võttes arvesse Enrico Letta 17. aprilli 2024. aasta aruannet „Much more than a market“ </w:t>
      </w:r>
      <w:r w:rsidRPr="004669DF">
        <w:t>(Palju enamat kui turg),</w:t>
      </w:r>
    </w:p>
    <w:p w:rsidR="00746F2F" w:rsidRPr="004669DF" w:rsidP="00746F2F" w14:paraId="6478C6F0" w14:textId="55D9315C">
      <w:pPr>
        <w:pStyle w:val="NormalHanging"/>
      </w:pPr>
      <w:r w:rsidRPr="004669DF">
        <w:t>–</w:t>
      </w:r>
      <w:r w:rsidRPr="004669DF">
        <w:tab/>
        <w:t>võttes arvesse komisjoni 12. septembri 2023. aasta ettepanekut võtta vastu nõukogu direktiiv äritegevuse kohta Euroopas: tulumaksuga maksustamise raamistik (BEFIT) (</w:t>
      </w:r>
      <w:r w:rsidRPr="004669DF" w:rsidR="00721C7E">
        <w:t>COM(2023)0532</w:t>
      </w:r>
      <w:r w:rsidRPr="004669DF">
        <w:t>),</w:t>
      </w:r>
    </w:p>
    <w:p w:rsidR="00746F2F" w:rsidRPr="004669DF" w:rsidP="00746F2F" w14:paraId="0874C0D4" w14:textId="229DAFD1">
      <w:pPr>
        <w:pStyle w:val="NormalHanging"/>
      </w:pPr>
      <w:r w:rsidRPr="004669DF">
        <w:t>–</w:t>
      </w:r>
      <w:r w:rsidRPr="004669DF">
        <w:tab/>
        <w:t>võttes arvesse oma 13. novembri 2025. aasta seisukohta ettepaneku kohta võtta vastu nõukogu direktiiv äritegevuse kohta Euroopas: tulumaksuga maksustamise raamistik (BEFIT)</w:t>
      </w:r>
      <w:r>
        <w:rPr>
          <w:rStyle w:val="FootnoteReference"/>
        </w:rPr>
        <w:footnoteReference w:id="3"/>
      </w:r>
      <w:r w:rsidRPr="004669DF">
        <w:t>,</w:t>
      </w:r>
    </w:p>
    <w:p w:rsidR="00746F2F" w:rsidRPr="004669DF" w:rsidP="00746F2F" w14:paraId="02163E1D" w14:textId="08477BA7">
      <w:pPr>
        <w:pStyle w:val="NormalHanging"/>
      </w:pPr>
      <w:r w:rsidRPr="004669DF">
        <w:t>–</w:t>
      </w:r>
      <w:r w:rsidRPr="004669DF">
        <w:tab/>
        <w:t>võttes arvesse komisjoni 12. septembri 2023. aasta ettepanekut võtta vastu nõukogu direktiiv, millega kehtestatakse mikro-, väikeste ja keskmise suurusega ettevõtjate peakontori maksustamise süsteem ning muudetakse direktiivi 2011/16/EL (</w:t>
      </w:r>
      <w:r w:rsidRPr="004669DF" w:rsidR="00721C7E">
        <w:t>COM(2023)0528</w:t>
      </w:r>
      <w:r w:rsidRPr="004669DF">
        <w:t>),</w:t>
      </w:r>
    </w:p>
    <w:p w:rsidR="00746F2F" w:rsidRPr="004669DF" w:rsidP="00746F2F" w14:paraId="2A59A1BF" w14:textId="3ED6F816">
      <w:pPr>
        <w:pStyle w:val="NormalHanging"/>
      </w:pPr>
      <w:r w:rsidRPr="004669DF">
        <w:t>–</w:t>
      </w:r>
      <w:r w:rsidRPr="004669DF">
        <w:tab/>
        <w:t>võttes arvesse oma 10. aprilli 2024. aasta seisukohta ettepaneku kohta võtta vastu nõukogu direktiiv, millega kehtestatakse mikro-, väikeste ja keskmise suurusega ettevõtjate peakontori maksustamise süsteem ning muudetakse direktiivi 2011/16/EL</w:t>
      </w:r>
      <w:r>
        <w:rPr>
          <w:rStyle w:val="FootnoteReference"/>
        </w:rPr>
        <w:footnoteReference w:id="4"/>
      </w:r>
      <w:r w:rsidRPr="004669DF">
        <w:t>,</w:t>
      </w:r>
    </w:p>
    <w:p w:rsidR="00746F2F" w:rsidRPr="004669DF" w:rsidP="00746F2F" w14:paraId="4B9EF39B" w14:textId="395F785B">
      <w:pPr>
        <w:pStyle w:val="NormalHanging"/>
      </w:pPr>
      <w:r w:rsidRPr="004669DF">
        <w:t>–</w:t>
      </w:r>
      <w:r w:rsidRPr="004669DF">
        <w:tab/>
        <w:t>võttes arvesse komisjoni 25. oktoobri 2016. aasta ettepanekut võtta vastu nõukogu direktiiv äriühingu tulumaksu ühtse konsolideeritud maksubaasi (CCCTB) kohta (</w:t>
      </w:r>
      <w:r w:rsidRPr="004669DF" w:rsidR="00721C7E">
        <w:t>COM(2016)0683</w:t>
      </w:r>
      <w:r w:rsidRPr="004669DF">
        <w:t>),</w:t>
      </w:r>
    </w:p>
    <w:p w:rsidR="00746F2F" w:rsidRPr="004669DF" w:rsidP="00746F2F" w14:paraId="2BF45C46" w14:textId="1E9907DD">
      <w:pPr>
        <w:pStyle w:val="NormalHanging"/>
      </w:pPr>
      <w:r w:rsidRPr="004669DF">
        <w:t>–</w:t>
      </w:r>
      <w:r w:rsidRPr="004669DF">
        <w:tab/>
        <w:t>võttes arvesse komisjoni 25. oktoobri 2016. aasta ettepanekut võtta vastu nõukogu direktiiv äriühingu tulumaksu ühtse maksubaasi kohta (</w:t>
      </w:r>
      <w:r w:rsidRPr="004669DF" w:rsidR="00721C7E">
        <w:t>COM(2016)0685</w:t>
      </w:r>
      <w:r w:rsidRPr="004669DF">
        <w:t>),</w:t>
      </w:r>
    </w:p>
    <w:p w:rsidR="00746F2F" w:rsidRPr="004669DF" w:rsidP="00746F2F" w14:paraId="5884B089" w14:textId="6FCF63BA">
      <w:pPr>
        <w:pStyle w:val="NormalHanging"/>
      </w:pPr>
      <w:r w:rsidRPr="004669DF">
        <w:t>–</w:t>
      </w:r>
      <w:r w:rsidRPr="004669DF">
        <w:tab/>
        <w:t>võttes arvesse komisjoni 11. mai 2022. aasta ettepanekut võtta vastu nõukogu direktiiv, millega sätestatakse eeskirjad laenuvahendite kasutamise soodustamise vähendamiseks ette nähtud kompensatsiooni ja intresside mahaarvamise piiramise kohta äriühingu tulumaksu kohaldamisel (</w:t>
      </w:r>
      <w:r w:rsidRPr="004669DF" w:rsidR="00721C7E">
        <w:t>COM(2022)0216</w:t>
      </w:r>
      <w:r w:rsidRPr="004669DF">
        <w:t>),</w:t>
      </w:r>
    </w:p>
    <w:p w:rsidR="00746F2F" w:rsidRPr="004669DF" w:rsidP="00746F2F" w14:paraId="75756011" w14:textId="77777777">
      <w:pPr>
        <w:pStyle w:val="NormalHanging"/>
      </w:pPr>
      <w:r w:rsidRPr="004669DF">
        <w:t>–</w:t>
      </w:r>
      <w:r w:rsidRPr="004669DF">
        <w:tab/>
        <w:t>võttes arvesse komisjoni 18. märtsi 2026. aasta soovitust innovaatiliste ettevõtjate, innovaatiliste idufirmade ja innovaatiliste kasvufirmade määratluse kohta,</w:t>
      </w:r>
    </w:p>
    <w:p w:rsidR="00746F2F" w:rsidRPr="004669DF" w:rsidP="00746F2F" w14:paraId="32F36663" w14:textId="77777777">
      <w:pPr>
        <w:pStyle w:val="NormalHanging"/>
      </w:pPr>
      <w:r w:rsidRPr="004669DF">
        <w:t>–</w:t>
      </w:r>
      <w:r w:rsidRPr="004669DF">
        <w:tab/>
        <w:t>võttes arvesse Eurobaromeetri 2025. aasta veebruarist aprillini läbi viidud kiiruuringut 559 idu- ja kasvufirmade ning ettevõtluse kohta,</w:t>
      </w:r>
    </w:p>
    <w:p w:rsidR="00746F2F" w:rsidRPr="004669DF" w:rsidP="00746F2F" w14:paraId="3EABA155" w14:textId="77777777">
      <w:pPr>
        <w:pStyle w:val="NormalHanging"/>
      </w:pPr>
      <w:r w:rsidRPr="004669DF">
        <w:t>–</w:t>
      </w:r>
      <w:r w:rsidRPr="004669DF">
        <w:tab/>
        <w:t>võttes arvesse Euroopa Ülemkogu 19. märtsi 2026. aasta järeldusi,</w:t>
      </w:r>
    </w:p>
    <w:p w:rsidR="00746F2F" w:rsidRPr="004669DF" w:rsidP="00746F2F" w14:paraId="59590AA6" w14:textId="77777777">
      <w:pPr>
        <w:pStyle w:val="NormalHanging"/>
      </w:pPr>
      <w:r w:rsidRPr="004669DF">
        <w:t>–</w:t>
      </w:r>
      <w:r w:rsidRPr="004669DF">
        <w:tab/>
        <w:t>võttes arvesse kodukorra artiklit 55,</w:t>
      </w:r>
    </w:p>
    <w:p w:rsidR="00746F2F" w:rsidRPr="004669DF" w:rsidP="00746F2F" w14:paraId="47FA7B2A" w14:textId="77777777">
      <w:pPr>
        <w:pStyle w:val="NormalHanging"/>
      </w:pPr>
      <w:r w:rsidRPr="004669DF">
        <w:t>–</w:t>
      </w:r>
      <w:r w:rsidRPr="004669DF">
        <w:tab/>
        <w:t>võttes arvesse majandus- ja rahanduskomisjoni raportit (A10-0167/2026),</w:t>
      </w:r>
    </w:p>
    <w:p w:rsidR="00746F2F" w:rsidRPr="004669DF" w:rsidP="00746F2F" w14:paraId="6F53D392" w14:textId="498E9F07">
      <w:pPr>
        <w:pStyle w:val="NormalHanging"/>
      </w:pPr>
      <w:r w:rsidRPr="004669DF">
        <w:t>A.</w:t>
      </w:r>
      <w:r w:rsidRPr="004669DF">
        <w:tab/>
        <w:t xml:space="preserve">arvestades, et EL kui maailma suurim integreeritud turg, kus on üle 450 miljoni tarbija, on struktuursete nõrkuste, kapitali, ettevõtete ja talentide ligimeelitamiseks üha intensiivsema ülemaailmse konkurentsi ning keeruka ja killustatud õigusraamistiku tõttu </w:t>
      </w:r>
      <w:r w:rsidRPr="004669DF">
        <w:t>oma majanduslikku konkurentsieelist kaotamas</w:t>
      </w:r>
      <w:r>
        <w:rPr>
          <w:rStyle w:val="FootnoteReference"/>
        </w:rPr>
        <w:footnoteReference w:id="5"/>
      </w:r>
      <w:r w:rsidRPr="004669DF">
        <w:t>;</w:t>
      </w:r>
    </w:p>
    <w:p w:rsidR="00746F2F" w:rsidRPr="004669DF" w:rsidP="00746F2F" w14:paraId="7DE875A8" w14:textId="77777777">
      <w:pPr>
        <w:pStyle w:val="NormalHanging"/>
      </w:pPr>
      <w:r w:rsidRPr="004669DF">
        <w:t>B.</w:t>
      </w:r>
      <w:r w:rsidRPr="004669DF">
        <w:tab/>
        <w:t>arvestades, et majanduslik konkurentsivõime – mis on kõige asjakohasemate ELi poliitikameetmete keskmes ja kiireloomuline poliitiline prioriteet, millele osutavad siseturu integratsioon, tootlikkuse kasv, märkimisväärsed avaliku ja erasektori investeeringud ning digi- ja rohepööre – võib suurendada ELi jõukust, luues kvaliteetseid töökohti, säilitada meie majandus- ja sotsiaalmudeli ning seega parandada meie inimeste ja ühiskonna heaolu;</w:t>
      </w:r>
    </w:p>
    <w:p w:rsidR="00746F2F" w:rsidRPr="004669DF" w:rsidP="00746F2F" w14:paraId="59F6A457" w14:textId="4B96AEE4">
      <w:pPr>
        <w:pStyle w:val="NormalHanging"/>
      </w:pPr>
      <w:r w:rsidRPr="004669DF">
        <w:t>C.</w:t>
      </w:r>
      <w:r w:rsidRPr="004669DF">
        <w:tab/>
        <w:t>arvestades, et sisemised kaubandustõkked ELi ühtsel turul võrduvad kaupade puhul hinnanguliselt 44 % tariifimääraga ja teenuste puhul 110 % tariifimääraga</w:t>
      </w:r>
      <w:r>
        <w:rPr>
          <w:rStyle w:val="FootnoteReference"/>
        </w:rPr>
        <w:footnoteReference w:id="6"/>
      </w:r>
      <w:r w:rsidRPr="004669DF">
        <w:t xml:space="preserve"> ning need kujutavad endast jätkuvalt märkimisväärset takistust ettevõtete kasvule ja investeeringutele ELis ning toovad esile regulatiivse killustatuse kulud ning vajaduse liikuda integreerituma, lihtsama ja ambitsioonikama raamistiku suunas;</w:t>
      </w:r>
    </w:p>
    <w:p w:rsidR="00746F2F" w:rsidRPr="004669DF" w:rsidP="00746F2F" w14:paraId="660B969D" w14:textId="77777777">
      <w:pPr>
        <w:pStyle w:val="NormalHanging"/>
      </w:pPr>
      <w:r w:rsidRPr="004669DF">
        <w:t>D.</w:t>
      </w:r>
      <w:r w:rsidRPr="004669DF">
        <w:tab/>
        <w:t>arvestades, et selle poliitikavaldkonna suhtes kohaldatav ühehäälse otsuse nõue piirab jätkuvalt suutlikkust saavutada maksustamise valdkonnas ja õigusraamistikus suurem ühtlustamine; arvestades, et siseturu edasine ühtlustamine ja süvendamine on väga oluline ELi konkurentsivõime suurendamiseks ning halduskoormuse ja piiriülese majandustegevuse kulude vähendamiseks; arvestades, et agressiivse maksuplaneerimise ja muude maksustamise vältimise tavadega seotud lünkade vähendamine peaks tegevuskava „Üks Euroopa, üks turg“ kohaselt aitama suurendada ELi konkurentsivõimet;</w:t>
      </w:r>
    </w:p>
    <w:p w:rsidR="00746F2F" w:rsidRPr="004669DF" w:rsidP="00746F2F" w14:paraId="659DEC49" w14:textId="77777777">
      <w:pPr>
        <w:pStyle w:val="NormalHanging"/>
      </w:pPr>
      <w:r w:rsidRPr="004669DF">
        <w:t>E.</w:t>
      </w:r>
      <w:r w:rsidRPr="004669DF">
        <w:tab/>
        <w:t>arvestades, et ELi konkurentsivõime suurendamine on tihedalt seotud liidu strateegilise autonoomia tugevdamisega ning võimega vähendada strateegilistes ja elutähtsates sektorites välist majanduslikku sõltuvust;</w:t>
      </w:r>
    </w:p>
    <w:p w:rsidR="00746F2F" w:rsidRPr="004669DF" w:rsidP="00746F2F" w14:paraId="767E91E5" w14:textId="51276623">
      <w:pPr>
        <w:pStyle w:val="NormalHanging"/>
      </w:pPr>
      <w:r w:rsidRPr="004669DF">
        <w:t>F.</w:t>
      </w:r>
      <w:r w:rsidRPr="004669DF">
        <w:tab/>
        <w:t>arvestades, et ELi ettevõtjaid, eelkõige väikeseid ja keskmise suurusega ettevõtjaid (VKEd), idu- ja kasvufirmasid ning nende innovatsioonipotentsiaali pärsib struktuurselt õigusraamistike püsiv killustatus liikmesriikide vahel; arvestades, et regulatiiv</w:t>
      </w:r>
      <w:r w:rsidRPr="004669DF" w:rsidR="00104032">
        <w:t>sed</w:t>
      </w:r>
      <w:r w:rsidRPr="004669DF">
        <w:t xml:space="preserve"> ja maksu</w:t>
      </w:r>
      <w:r w:rsidRPr="004669DF" w:rsidR="00104032">
        <w:t>süsteemide erinevused</w:t>
      </w:r>
      <w:r w:rsidRPr="004669DF">
        <w:t xml:space="preserve"> ja </w:t>
      </w:r>
      <w:r w:rsidRPr="004669DF" w:rsidR="00104032">
        <w:t xml:space="preserve">nendest </w:t>
      </w:r>
      <w:r w:rsidRPr="004669DF">
        <w:t>tulenevad kulud tundmatutes, erinevates ja sageli omavahel kokkusobimatutes riiklikes keskkondades orienteerumisel takistavad ettevõtete üleeuroopalist rahastamist ja laienemist, ning arvestades, et see konkurentsivõime puudujääk tuleb kiiresti kõrvaldada</w:t>
      </w:r>
      <w:r>
        <w:rPr>
          <w:rStyle w:val="FootnoteReference"/>
        </w:rPr>
        <w:footnoteReference w:id="7"/>
      </w:r>
      <w:r w:rsidRPr="004669DF">
        <w:t>; arvestades, et soodne, prognoositav ja proportsionaalne regulatiivne keskkond on oluline, et võimaldada ettevõtetel investeerida, kasvada ja ülemaailmselt konkureerida; arvestades, et EL peaks tugevamalt pühenduma ettevõtlusvabadusele ja tõkete kõrvaldamisele; arvestades, et ühtlustatud raamistiku loomisega hõlbustaks 28. õigusraamistik ELi VKEde juurdepääsu kapitalile, aitaks vähendada majanduslikke ja territoriaalseid erinevusi ELis, tagaks tasakaalustatud juurdepääsu- ja arengutingimused eri piirkondades ning hõlbustaks investoritel teises liikmesriigis asuvate ettevõtete rahastamist;</w:t>
      </w:r>
    </w:p>
    <w:p w:rsidR="00746F2F" w:rsidRPr="004669DF" w:rsidP="00746F2F" w14:paraId="70AFF52D" w14:textId="387975B7">
      <w:pPr>
        <w:pStyle w:val="NormalHanging"/>
      </w:pPr>
      <w:r w:rsidRPr="004669DF">
        <w:t>G.</w:t>
      </w:r>
      <w:r w:rsidRPr="004669DF">
        <w:tab/>
        <w:t>arvestades, et 28. õigusraamistiku kehtestamist käsitleva määruse ettepaneku kohaselt väheneb üldine halduskoormus kümne aasta jooksul hinnanguliselt 328–440 miljoni euro võrra</w:t>
      </w:r>
      <w:r>
        <w:rPr>
          <w:rStyle w:val="FootnoteReference"/>
        </w:rPr>
        <w:footnoteReference w:id="8"/>
      </w:r>
      <w:r w:rsidRPr="004669DF">
        <w:t>;</w:t>
      </w:r>
    </w:p>
    <w:p w:rsidR="00746F2F" w:rsidRPr="004669DF" w:rsidP="00746F2F" w14:paraId="295DAA46" w14:textId="08EB0729">
      <w:pPr>
        <w:pStyle w:val="NormalHanging"/>
      </w:pPr>
      <w:r w:rsidRPr="004669DF">
        <w:t>H.</w:t>
      </w:r>
      <w:r w:rsidRPr="004669DF">
        <w:tab/>
        <w:t>arvestades, et VKEde, väikeste keskmise turukapitalisatsiooniga ettevõtjate ning idu- ja kasvufirmade jaoks on raskused ELi eri ettevõtluskeskkondade mõistmisel, sealhulgas keelebarjääri, teabele juurdepääsu puudumise või normide ja nõuete, maksuküsimuste ja tegevusloa tõttu, nende piiriülese tegevuse ja ELis laienemise kõige olulisemad takistused; arvestades, et maksustamine ning eelkõige käibemaksu ja lubadega seotud küsimused on nende teistesse ELi riikidesse laienemisel peamised takistused</w:t>
      </w:r>
      <w:r>
        <w:rPr>
          <w:rStyle w:val="FootnoteReference"/>
        </w:rPr>
        <w:footnoteReference w:id="9"/>
      </w:r>
      <w:r w:rsidRPr="004669DF">
        <w:t>;</w:t>
      </w:r>
    </w:p>
    <w:p w:rsidR="00746F2F" w:rsidRPr="004669DF" w:rsidP="00746F2F" w14:paraId="0959FAB4" w14:textId="6757DB6C">
      <w:pPr>
        <w:pStyle w:val="NormalHanging"/>
      </w:pPr>
      <w:r w:rsidRPr="004669DF">
        <w:t>I.</w:t>
      </w:r>
      <w:r w:rsidRPr="004669DF">
        <w:tab/>
        <w:t>arvestades, et 2025. aasta seisuga oli Euroopas ainult 331 nn ükssarvikut, samas kui Ameerika Ühendriikides oli neid 1 963, ning arvestades, et aastatel 2008–2021 paigutas peaaegu 30 % Euroopa ükssarvikutest oma peakorteri väljapoole ELi; arvestades, et suur osa ettevõtetest lahkub EList, et leida vajalik kapital teistes jurisdiktsioonides; arvestades, et see on tingitud paremast juurdepääsust suurtele turgudele, toetavast ettevõtluskeskkonnast, paremast juurdepääsust riskikapitalile, andekate ja kvalifitseeritud töötajate suuremast kättesaadavusest ja liikuvusest, killustamata õigusraamistikust ja vähem keerukast maksukeskkonnast ning töötajate osaluskavade laiemast kättesaadavusest, mis soodustaks piiriüleseid investeeringuid ning majandus- ja tööstustegevuse ligimeelitamist ja säilitamist nende majanduses</w:t>
      </w:r>
      <w:r>
        <w:rPr>
          <w:rStyle w:val="FootnoteReference"/>
        </w:rPr>
        <w:footnoteReference w:id="10"/>
      </w:r>
      <w:r w:rsidRPr="004669DF">
        <w:t>;</w:t>
      </w:r>
    </w:p>
    <w:p w:rsidR="00746F2F" w:rsidRPr="004669DF" w:rsidP="00746F2F" w14:paraId="5BF37280" w14:textId="6B626589">
      <w:pPr>
        <w:pStyle w:val="NormalHanging"/>
      </w:pPr>
      <w:r w:rsidRPr="004669DF">
        <w:t>J.</w:t>
      </w:r>
      <w:r w:rsidRPr="004669DF">
        <w:tab/>
        <w:t>arvestades, et nagu on märgitud Draghi aruandes, võiksid huvitatud liikmesriigid tõhustatud koostöö raames uuenduslike ettevõtete puhul uurida vabatahtlikku 28. õigusraamistikku, millega ühtlustatakse äriühinguõigust, maksejõuetust ja maksustamise mõningaid põhiaspekte käsitlevaid õigusakte ning mis muudetakse järk-järgult ambitsioonikamaks</w:t>
      </w:r>
      <w:r>
        <w:rPr>
          <w:rStyle w:val="FootnoteReference"/>
        </w:rPr>
        <w:footnoteReference w:id="11"/>
      </w:r>
      <w:r w:rsidRPr="004669DF">
        <w:t>;</w:t>
      </w:r>
    </w:p>
    <w:p w:rsidR="00746F2F" w:rsidRPr="004669DF" w:rsidP="00746F2F" w14:paraId="257C91A9" w14:textId="5B13880C">
      <w:pPr>
        <w:pStyle w:val="NormalHanging"/>
      </w:pPr>
      <w:r w:rsidRPr="004669DF">
        <w:t>K.</w:t>
      </w:r>
      <w:r w:rsidRPr="004669DF">
        <w:tab/>
        <w:t>arvestades, et nagu on märgitud Letta aruandes, on maksud veel üks valdkond, kus keerukus on piiriülese kaubanduse ja investeeringute peamine takistus, ning regulatiivne killustatus võib muuta ühtse turu VKEde jaoks takistuseks; arvestades, et aruandes märgitakse, et 28. õigusraamistik on peamine vahend, mis võimaldab neil ühtsest turust täiel määral kasu saada</w:t>
      </w:r>
      <w:r>
        <w:rPr>
          <w:rStyle w:val="FootnoteReference"/>
        </w:rPr>
        <w:footnoteReference w:id="12"/>
      </w:r>
      <w:r w:rsidRPr="004669DF">
        <w:t>;</w:t>
      </w:r>
    </w:p>
    <w:p w:rsidR="00746F2F" w:rsidRPr="004669DF" w:rsidP="00746F2F" w14:paraId="36ECCF38" w14:textId="6F863D1B">
      <w:pPr>
        <w:pStyle w:val="NormalHanging"/>
      </w:pPr>
      <w:r w:rsidRPr="004669DF">
        <w:t>L.</w:t>
      </w:r>
      <w:r w:rsidRPr="004669DF">
        <w:tab/>
        <w:t>arvestades, et 28. õigusraamistiku maksu</w:t>
      </w:r>
      <w:r w:rsidRPr="004669DF" w:rsidR="009E24FA">
        <w:t>stamise osa</w:t>
      </w:r>
      <w:r w:rsidRPr="004669DF">
        <w:t xml:space="preserve"> puhul tuleks järgida aluslepingutes sätestatud pädevusraamistikku ja see tuleks kavandada nii, et see toetaks äriühingute kogu elutsüklit; arvestades, et Draghi aruandest nähtub, et ELil on kasvuvõimaluste puudumise tõttu puudu riskikapitaliinvesteeringutest idufirmade arengu igas etapis (stardi-, varajases ja hilises etapis);</w:t>
      </w:r>
    </w:p>
    <w:p w:rsidR="00746F2F" w:rsidRPr="004669DF" w:rsidP="00746F2F" w14:paraId="35D6747B" w14:textId="77777777">
      <w:pPr>
        <w:pStyle w:val="NormalHanging"/>
      </w:pPr>
      <w:r w:rsidRPr="004669DF">
        <w:t>M.</w:t>
      </w:r>
      <w:r w:rsidRPr="004669DF">
        <w:tab/>
        <w:t xml:space="preserve">arvestades, et võimalik kasu vabatahtlikust üleeuroopalisest ettevõtlusraamistikust, mis </w:t>
      </w:r>
      <w:r w:rsidRPr="004669DF">
        <w:t>oluliselt lihtsustab kogu tulevast laienemisprotsessi uutele turgudele nii ELis kui ka väljaspool seda, seisneb suuremas õiguskindluses, väiksemates nõuete täitmisega seotud kuludes, lihtsustatud regulatiivsetes ja maksumenetlustes ning võrdsetes tingimustes konkureerivate jurisdiktsioonidega väljaspool ELi; arvestades, et Euroopa ja välisinvestorite jaoks on vaja tagada selgus ja õiguskindlus, kehtestades lihtsamad ja paremini ühtlustatud reeglid, sealhulgas maksustamise valdkonnas, mis võimaldavad neil turvaliselt piiriüleselt investeerida;</w:t>
      </w:r>
    </w:p>
    <w:p w:rsidR="00746F2F" w:rsidRPr="004669DF" w:rsidP="00746F2F" w14:paraId="7F3F640D" w14:textId="77777777">
      <w:pPr>
        <w:pStyle w:val="NormalHanging"/>
      </w:pPr>
      <w:r w:rsidRPr="004669DF">
        <w:t>N.</w:t>
      </w:r>
      <w:r w:rsidRPr="004669DF">
        <w:tab/>
        <w:t>arvestades, et nende poliitikavaldkondadega tegelemiseks ja poliitiliste eesmärkide saavutamiseks peavad EL ja selle liikmesriigid tegutsema koordineeritud, ambitsioonikat ja tulemustele suunatud lähenemisviisi kasutades;</w:t>
      </w:r>
    </w:p>
    <w:p w:rsidR="00746F2F" w:rsidRPr="004669DF" w:rsidP="00746F2F" w14:paraId="3DEE50F7" w14:textId="77777777">
      <w:pPr>
        <w:pStyle w:val="NormalHanging"/>
      </w:pPr>
      <w:r w:rsidRPr="004669DF">
        <w:t>O.</w:t>
      </w:r>
      <w:r w:rsidRPr="004669DF">
        <w:tab/>
        <w:t>arvestades, et hoiuste ja investeeringute liidu väljakujundamine on oluline ELis erakapitali kaasamiseks ja selle tõhusaks suunamiseks majandusse, eelkõige VKEdesse, idu- ja kasvufirmadesse; arvestades, et sügavam, integreeritum ja kättesaadavam kapitaliturg parandaks juurdepääsu rahastamisele ja soodustaks pikaajalisi investeeringuid; arvestades, et Euroopa finantsturgude edasine integreerimine on keskse tähtsusega, et tugevdada ELi konkurentsivõimet, vältida ettevõtete liikumist teistesse jurisdiktsioonidesse ning tagada, et Euroopa hoiustega rahastatakse majanduskasvu ja innovatsiooni ühtsel turul;</w:t>
      </w:r>
    </w:p>
    <w:p w:rsidR="00746F2F" w:rsidRPr="004669DF" w:rsidP="00746F2F" w14:paraId="7AA4F283" w14:textId="77777777">
      <w:pPr>
        <w:pStyle w:val="NormalHanging"/>
      </w:pPr>
      <w:r w:rsidRPr="004669DF">
        <w:t>P.</w:t>
      </w:r>
      <w:r w:rsidRPr="004669DF">
        <w:tab/>
        <w:t>arvestades, et 28. õigusraamistikust tulenevad lisamoodulid võivad aidata kaasa pikaajaliste säästu- ja pensionitoodete piiriülesele arengule; arvestades, et maksustamise kontekstis peaksid sellised õigusraamistikud toimima kooskõlas riiklike maksuraamistikega;</w:t>
      </w:r>
    </w:p>
    <w:p w:rsidR="00746F2F" w:rsidRPr="004669DF" w:rsidP="00746F2F" w14:paraId="24F8832D" w14:textId="77777777">
      <w:pPr>
        <w:pStyle w:val="Normal12a"/>
      </w:pPr>
      <w:r w:rsidRPr="004669DF">
        <w:rPr>
          <w:b/>
          <w:i/>
        </w:rPr>
        <w:t>Üldpõhimõtted</w:t>
      </w:r>
    </w:p>
    <w:p w:rsidR="00746F2F" w:rsidRPr="004669DF" w:rsidP="00746F2F" w14:paraId="6CCD2B4A" w14:textId="77777777">
      <w:pPr>
        <w:pStyle w:val="NormalHanging12a"/>
      </w:pPr>
      <w:r w:rsidRPr="004669DF">
        <w:t>1.</w:t>
      </w:r>
      <w:r w:rsidRPr="004669DF">
        <w:tab/>
        <w:t>väljendab heameelt komisjoni seadusandliku ettepaneku üle, milles käsitletakse äriühingute 28. õigusraamistikku („EU Inc.“); tunnistab selle võimalikku süsteemset mõju ühtse turu toimimisele ja ELi majanduse üldisele konkurentsivõimele; rõhutab siiski, et 28. õigusraamistikku käsitlev ettepanek ei tohi asendada edasisi seadusandlikke jõupingutusi liikmesriikide õigusraamistike killustatuse ja erinevuste vähendamiseks;</w:t>
      </w:r>
    </w:p>
    <w:p w:rsidR="00746F2F" w:rsidRPr="004669DF" w:rsidP="00746F2F" w14:paraId="16029CD6" w14:textId="3021CC1F">
      <w:pPr>
        <w:pStyle w:val="NormalHanging12a"/>
      </w:pPr>
      <w:r w:rsidRPr="004669DF">
        <w:t>2.</w:t>
      </w:r>
      <w:r w:rsidRPr="004669DF">
        <w:tab/>
        <w:t xml:space="preserve">toonitab, et Euroopa Parlament </w:t>
      </w:r>
      <w:r w:rsidRPr="004669DF" w:rsidR="00580BAE">
        <w:t xml:space="preserve">võttis </w:t>
      </w:r>
      <w:r w:rsidRPr="004669DF">
        <w:t>vastu resolutsiooni soovitustega komisjonile 28. režiimi kohta: uus õigusraamistik uuenduslike ettevõtete jaoks;</w:t>
      </w:r>
    </w:p>
    <w:p w:rsidR="00746F2F" w:rsidRPr="004669DF" w:rsidP="00746F2F" w14:paraId="7D478765" w14:textId="0BE32056">
      <w:pPr>
        <w:pStyle w:val="NormalHanging12a"/>
      </w:pPr>
      <w:r w:rsidRPr="004669DF">
        <w:t>3.</w:t>
      </w:r>
      <w:r w:rsidRPr="004669DF">
        <w:tab/>
        <w:t xml:space="preserve">väljendab heameelt tegevuskava „Üks Euroopa, üks turg“ vastuvõtmise üle, et vallandada ühtse turu potentsiaal; võtab teadmiseks Euroopa Ülemkogu üleskutse võtta vastu äriühinguõigust käsitlev 28. õigusraamistik; märgib, et Euroopa Ülemkogul puuduvad selles tegevuskavas viited maksupoliitika sihipärasele ühtlustamisele, eriti arvestades, et </w:t>
      </w:r>
      <w:r w:rsidRPr="004669DF">
        <w:t>VKEd</w:t>
      </w:r>
      <w:r w:rsidRPr="004669DF">
        <w:t xml:space="preserve"> nimetasid </w:t>
      </w:r>
      <w:r w:rsidRPr="004669DF" w:rsidR="00580BAE">
        <w:t xml:space="preserve">oma tegevuse laiendamise </w:t>
      </w:r>
      <w:r w:rsidRPr="004669DF">
        <w:t>kõige levinumaks takistuseks maksude ja käibemaksu killustatust;</w:t>
      </w:r>
    </w:p>
    <w:p w:rsidR="00746F2F" w:rsidRPr="004669DF" w:rsidP="00746F2F" w14:paraId="3C221CBC" w14:textId="77777777">
      <w:pPr>
        <w:pStyle w:val="NormalHanging12a"/>
      </w:pPr>
      <w:r w:rsidRPr="004669DF">
        <w:t>4.</w:t>
      </w:r>
      <w:r w:rsidRPr="004669DF">
        <w:tab/>
        <w:t xml:space="preserve">rõhutab asjaolu, et maksustamine kuulub enamikul juhtudel liikmesriikide ainupädevusse, kuid eelkõige menetluste osas on ruumi edasiseks lihtsustamiseks või sihipäraseks ühtlustamiseks, et käsitleda erinevaid nõuete täitmise süsteeme, keerukat ja killustatud äriühingu tulumaksu käsitlust, aruandluskohustusi ja haldustõkkeid piiriüleste investeeringute käsitlemisel; tõstab esile varasemate maksustamist käsitlevate ELi seadusandlike algatuste positiivset panust, eelkõige maksudest kõrvalehoidumise, </w:t>
      </w:r>
      <w:r w:rsidRPr="004669DF">
        <w:t>maksustamise vältimise ja pettuse vastu võitlemisel, mis täiendavad riiklikke õigusraamistikke;</w:t>
      </w:r>
    </w:p>
    <w:p w:rsidR="00746F2F" w:rsidRPr="004669DF" w:rsidP="00746F2F" w14:paraId="03B539A2" w14:textId="77777777">
      <w:pPr>
        <w:pStyle w:val="NormalHanging12a"/>
      </w:pPr>
      <w:r w:rsidRPr="004669DF">
        <w:t>5.</w:t>
      </w:r>
      <w:r w:rsidRPr="004669DF">
        <w:tab/>
        <w:t>nõuab, et 28. õigusraamistikku käsitlev algatus oleks sisult ambitsioonikas, sealhulgas maksustamise aspektide osas, järgides samal ajal täielikult aluslepinguid, et võimaldada VKEdel, väikestel keskmise turukapitalisatsiooniga ettevõtjatel ja uuenduslikel ettevõtetel ilma riikidevaheliste tõketeta kogu ELi ühtsel turul laieneda ja sujuvalt tegutseda;</w:t>
      </w:r>
    </w:p>
    <w:p w:rsidR="00746F2F" w:rsidRPr="004669DF" w:rsidP="00746F2F" w14:paraId="5A70AD74" w14:textId="06EAE983">
      <w:pPr>
        <w:pStyle w:val="NormalHanging12a"/>
      </w:pPr>
      <w:r w:rsidRPr="004669DF">
        <w:t>6.</w:t>
      </w:r>
      <w:r w:rsidRPr="004669DF">
        <w:tab/>
        <w:t xml:space="preserve">toonitab, et 28. õigusraamistik ei tohi mingil juhul võimaldada töötajate, nende sotsiaalsete õiguste, esindajate ja ametiühingute kohustuslikust riigisisesest kaitsest kõrvalehoidmist ega muutuda vahendiks, millega õõnestada, vähendada või nõrgendada praegust kaitsetaset ELi või riiklikul tasandil; rõhutab, et 28. õigusraamistik peaks toetama innovatsiooni, äriühingupoliitika läbipaistvust ning äriühingute kasvu ja </w:t>
      </w:r>
      <w:r w:rsidRPr="004669DF" w:rsidR="00580BAE">
        <w:t>laienemisvõimet</w:t>
      </w:r>
      <w:r w:rsidRPr="004669DF">
        <w:t xml:space="preserve">, soodustades piiriülest arengut ja laienemist piiravate õiguslike ja maksutõkete kõrvaldamist ning õiglast maksustamist, </w:t>
      </w:r>
      <w:r w:rsidRPr="004669DF" w:rsidR="00580BAE">
        <w:t xml:space="preserve">hoides </w:t>
      </w:r>
      <w:r w:rsidRPr="004669DF">
        <w:t xml:space="preserve">samal ajal </w:t>
      </w:r>
      <w:r w:rsidRPr="004669DF" w:rsidR="00721C7E">
        <w:t xml:space="preserve">tulemuslikult </w:t>
      </w:r>
      <w:r w:rsidRPr="004669DF" w:rsidR="00580BAE">
        <w:t xml:space="preserve">ära </w:t>
      </w:r>
      <w:r w:rsidRPr="004669DF">
        <w:t>maksualaseid, sotsiaalseid ja regulatiivseid erinevusi;</w:t>
      </w:r>
    </w:p>
    <w:p w:rsidR="00746F2F" w:rsidRPr="004669DF" w:rsidP="00746F2F" w14:paraId="2FBB1E6C" w14:textId="77777777">
      <w:pPr>
        <w:pStyle w:val="NormalHanging12a"/>
      </w:pPr>
      <w:r w:rsidRPr="004669DF">
        <w:t>7.</w:t>
      </w:r>
      <w:r w:rsidRPr="004669DF">
        <w:tab/>
        <w:t>rõhutab, et 28. õigusraamistiku maksumooduli (edaspidi „maksumoodul“) raames kasutusele võetavast digiteerimisest ja vastavusnõuete lihtsustamisest saadav kasu tuleks teha algatuse „EU Inc.“ raames kättesaadavaks kõigile ettevõtjatele;</w:t>
      </w:r>
    </w:p>
    <w:p w:rsidR="00746F2F" w:rsidRPr="004669DF" w:rsidP="00746F2F" w14:paraId="388AE290" w14:textId="77777777">
      <w:pPr>
        <w:pStyle w:val="NormalHanging12a"/>
      </w:pPr>
      <w:r w:rsidRPr="004669DF">
        <w:t>8.</w:t>
      </w:r>
      <w:r w:rsidRPr="004669DF">
        <w:tab/>
        <w:t>on seisukohal, et 28. õigusraamistik on strateegiline samm ühtse turu edasise süvendamise suunas, edendades seeläbi Euroopa integratsiooni ning parandades ühtse turu toimimist ja selle konkurentsivõimet;</w:t>
      </w:r>
    </w:p>
    <w:p w:rsidR="00746F2F" w:rsidRPr="004669DF" w:rsidP="00746F2F" w14:paraId="4322732C" w14:textId="7D0CF1F8">
      <w:pPr>
        <w:pStyle w:val="NormalHanging12a"/>
      </w:pPr>
      <w:r w:rsidRPr="004669DF">
        <w:t>9.</w:t>
      </w:r>
      <w:r w:rsidRPr="004669DF">
        <w:tab/>
        <w:t>rõhutab, et 28. õigusraamistik tuleks kehtestada modulaarse lähenemisviisi abil; mõistab, et kavandatav määrus, millega kehtestatakse äriühingute õigusraamistik („EU Inc.“), on esimene samm, millele saab lisada muid mooduleid, sealhulgas maksustamise valdkonnas (maksumoodul); on seisukohal, et need tulevased moodulid peaksid hõlmama ettevõtete kogu elutsükli asjakohaseid aspekte ning neid tuleks pidevalt hinnata rahvusvaheliste võrdlus</w:t>
      </w:r>
      <w:r w:rsidRPr="004669DF" w:rsidR="00580BAE">
        <w:t>näitajate</w:t>
      </w:r>
      <w:r w:rsidRPr="004669DF">
        <w:t xml:space="preserve"> alusel;</w:t>
      </w:r>
    </w:p>
    <w:p w:rsidR="00746F2F" w:rsidRPr="004669DF" w:rsidP="00746F2F" w14:paraId="1BA9360E" w14:textId="77777777">
      <w:pPr>
        <w:pStyle w:val="NormalHanging12a"/>
      </w:pPr>
      <w:r w:rsidRPr="004669DF">
        <w:t>10.</w:t>
      </w:r>
      <w:r w:rsidRPr="004669DF">
        <w:tab/>
        <w:t>on seisukohal, et maksumooduli võiks lisada seadusandlikule ettepanekule võtta vastu määrus, millega kehtestatakse äriühingute õigusraamistik („EU Inc.“), mis peaks sihipärasel, ambitsioonikal ja proportsionaalsel viisil laienema maksustamise valdkonda; on seisukohal, et maksumooduli võimalik kasu hõlmab väiksemaid nõuete täitmisega seotud kulusid, lihtsustatud regulatiivmenetlusi, suuremat õiguskindlust, prognoositavust ja sujuvamat juurdepääsu piiriülestele turgudele, parandades ja süvendades seeläbi Euroopa ühtset turgu;</w:t>
      </w:r>
    </w:p>
    <w:p w:rsidR="00746F2F" w:rsidRPr="004669DF" w:rsidP="00746F2F" w14:paraId="458B6D1C" w14:textId="77777777">
      <w:pPr>
        <w:pStyle w:val="NormalHanging12a"/>
      </w:pPr>
      <w:r w:rsidRPr="004669DF">
        <w:t>11.</w:t>
      </w:r>
      <w:r w:rsidRPr="004669DF">
        <w:tab/>
        <w:t xml:space="preserve">märgib, et selleks, et maksumoodul oleks kehtiva aluslepingute raamistiku alusel saavutatav, ja kui kohaldatav seadusandlik menetlus ei anna tulemusi, tuleks maksupoliitika puuduste kõrvaldamiseks kaaluda kas asjaomaste õigusaktide vabatahtliku kohaldamise struktuuri või viimase abinõuna tõhustatud koostööd; märgib, et maksupoliitika suhtes kehtib ELi nõukogus endiselt ühehäälsuse nõue; on arvamusel, et üleminek kvalifitseeritud häälteenamusega hääletamisele on vajalik maksupoliitika teatavates aspektides, nagu kõigi liikmesriikide allkirjastatud rahvusvaheliste lepingute rakendamine, teatavad haldusmenetlused või õiguslikud määratlused, et vältida olukorda, kus ühehäälsus piirab õigusnormide ühtlustamist ning takistab kodanikel ja ettevõtjatel ühtsest turust täit kasu saada; märgib, et selline moodul tuleks kavandada </w:t>
      </w:r>
      <w:r w:rsidRPr="004669DF">
        <w:t>vabatahtliku, selge ja õiguslikult turvalise süsteemina, mis on igal ajal avatud ühinemiseks teistele liikmesriikidele, vältides edasist killustumist ja tagades ühtse turu sidususe;</w:t>
      </w:r>
    </w:p>
    <w:p w:rsidR="00746F2F" w:rsidRPr="004669DF" w:rsidP="00746F2F" w14:paraId="10E5A397" w14:textId="6EA24FD9">
      <w:pPr>
        <w:pStyle w:val="NormalHanging12a"/>
      </w:pPr>
      <w:r w:rsidRPr="004669DF">
        <w:t>12.</w:t>
      </w:r>
      <w:r w:rsidRPr="004669DF">
        <w:tab/>
        <w:t xml:space="preserve">rõhutab, et 28. õigusraamistik peab osalevate äriühingute jaoks </w:t>
      </w:r>
      <w:r w:rsidRPr="004669DF" w:rsidR="00721C7E">
        <w:t xml:space="preserve">tulemuslikult </w:t>
      </w:r>
      <w:r w:rsidRPr="004669DF">
        <w:t xml:space="preserve">vähendama nõuete täitmise keerukust ega tohi luua paralleelseid norme, mis lisanduvad riiklikele õigussüsteemidele, mis tooks kaasa õiguslike moonutuste, kattuvuste või vastuolude suurenemise või täiendava halduskoormuse; tuletab meelde, et uue õigusraamistiku peamine eesmärk on lihtsustamine ja konkurentsivõime ning et need tuleb alati tagada, püüdes samal ajal saavutada sotsiaalset </w:t>
      </w:r>
      <w:r w:rsidRPr="004669DF" w:rsidR="00AB1D19">
        <w:t>ülespoole ühtlustumist</w:t>
      </w:r>
      <w:r w:rsidRPr="004669DF">
        <w:t>;</w:t>
      </w:r>
    </w:p>
    <w:p w:rsidR="00746F2F" w:rsidRPr="004669DF" w:rsidP="00746F2F" w14:paraId="54C19838" w14:textId="63DE2573">
      <w:pPr>
        <w:pStyle w:val="NormalHanging12a"/>
      </w:pPr>
      <w:r w:rsidRPr="004669DF">
        <w:t>13.</w:t>
      </w:r>
      <w:r w:rsidRPr="004669DF">
        <w:tab/>
        <w:t>rõhutab, et nii 28. õigusraamistiku kui ka selle maksumooduli eesmärk ei ole luua ettevõtetele või nende töötajatele ebaõiglast maksu</w:t>
      </w:r>
      <w:r w:rsidRPr="004669DF" w:rsidR="006319C4">
        <w:t>eelist</w:t>
      </w:r>
      <w:r w:rsidRPr="004669DF">
        <w:t>, vaid oluliselt vähendada eri kohustustest tulenevat keerukust ja halduskoormust, võttes samal ajal arvesse selliste ettevõtete eripära;</w:t>
      </w:r>
    </w:p>
    <w:p w:rsidR="00746F2F" w:rsidRPr="004669DF" w:rsidP="00746F2F" w14:paraId="21F9774F" w14:textId="2EE71BD9">
      <w:pPr>
        <w:pStyle w:val="NormalHanging12a"/>
      </w:pPr>
      <w:r w:rsidRPr="004669DF">
        <w:t>14.</w:t>
      </w:r>
      <w:r w:rsidRPr="004669DF">
        <w:tab/>
        <w:t>toonitab, et edasise keerukuse vältimiseks peaksid 28. õigusraamistiku sätted olema kooskõlas komisjoni muude oluliste ettepanekutega ning Majandusliku Koostöö ja Arengu Organisatsiooni (OECD) asjakohaste suunistega, mis käsitlevad suuremat integratsiooni ühtsel turul, nimelt maksustamise ja kohaldatavate maksualaste õigusaktide valdkonnas, eelkõige ELi maksustamise vältimise ja maksudest kõrvalehoidmise vastastes raamistikes, sealhulgas maksustamise vältimise vastane direktiiv</w:t>
      </w:r>
      <w:r>
        <w:rPr>
          <w:rStyle w:val="FootnoteReference"/>
        </w:rPr>
        <w:footnoteReference w:id="13"/>
      </w:r>
      <w:r w:rsidRPr="004669DF">
        <w:t>;</w:t>
      </w:r>
    </w:p>
    <w:p w:rsidR="00746F2F" w:rsidRPr="004669DF" w:rsidP="00746F2F" w14:paraId="7A62D8CE" w14:textId="5C4FA316">
      <w:pPr>
        <w:pStyle w:val="NormalHanging12a"/>
      </w:pPr>
      <w:r w:rsidRPr="004669DF">
        <w:t>15.</w:t>
      </w:r>
      <w:r w:rsidRPr="004669DF">
        <w:tab/>
        <w:t xml:space="preserve">nõuab 28. õigusraamistikule moodulitel põhinevat ja katselist lähenemisviisi, kus esiplaanil on äriühinguõigus; rõhutab, et need moodulid peavad </w:t>
      </w:r>
      <w:r w:rsidRPr="004669DF" w:rsidR="00721C7E">
        <w:t xml:space="preserve">tulemuslikult </w:t>
      </w:r>
      <w:r w:rsidRPr="004669DF">
        <w:t>vähendama nõuete täitmise keerukust osalevate ettevõtete jaoks, kuid nõuab siiski, et võetaks vastu tegevuskava selle kohta, mida ja millal tuleks lisada, et see oleks algusest peale teada ja et seda perioodilise demokraatliku läbivaatamise protsessi raames pidevalt kohandataks;</w:t>
      </w:r>
    </w:p>
    <w:p w:rsidR="00746F2F" w:rsidRPr="004669DF" w:rsidP="00746F2F" w14:paraId="3D243F23" w14:textId="3AF6AA8B">
      <w:pPr>
        <w:pStyle w:val="NormalHanging12a"/>
      </w:pPr>
      <w:r w:rsidRPr="004669DF">
        <w:t>16.</w:t>
      </w:r>
      <w:r w:rsidRPr="004669DF">
        <w:tab/>
        <w:t xml:space="preserve">rõhutab sellega seoses, et eesmärgiga tagada (poliitiline) teostatavus ja selleks, et säilitada liikmesriikide kontroll oma maksupoliitika olulise osa üle, nagu on sätestatud kehtivates õigusraamistikes, peaks maksumooduli kohaldamisala olema lähtepunktina piiratud selliste ettevõtjate alarühmaga nagu piiriülesed kasvule suunatud idu- ja kasvufirmad, mis tavaliselt toovad liikmesriikidele vaid piiratud mahus äriühingu tulumaksust saadavat </w:t>
      </w:r>
      <w:r w:rsidRPr="004669DF" w:rsidR="00AB1D19">
        <w:t>maksu</w:t>
      </w:r>
      <w:r w:rsidRPr="004669DF">
        <w:t>tulu; võtab teadmiseks äriühinguvormi „EU Inc.“ käsitlevale ettepanekule lisatud komisjoni 18.</w:t>
      </w:r>
      <w:r w:rsidR="007434DE">
        <w:t xml:space="preserve"> </w:t>
      </w:r>
      <w:r w:rsidRPr="004669DF">
        <w:t>märtsi 2026. aasta soovituse, millega kehtestatakse selliste äriühingute määratlus, kasutades selliseid kriteeriume nagu nende teadus- ja arendustegevuse kulud ja suurus;</w:t>
      </w:r>
    </w:p>
    <w:p w:rsidR="00746F2F" w:rsidRPr="004669DF" w:rsidP="00746F2F" w14:paraId="3296F590" w14:textId="77777777">
      <w:pPr>
        <w:pStyle w:val="NormalHanging12a"/>
      </w:pPr>
      <w:r w:rsidRPr="004669DF">
        <w:t>17.</w:t>
      </w:r>
      <w:r w:rsidRPr="004669DF">
        <w:tab/>
        <w:t>rõhutab, et kõik 28. õigusraamistiku raames tehtavad maksusoodustused peavad olema täielikult kooskõlas riigiabi eeskirjadega ja kavandatud viisil, millega välditakse kahjulikku maksukonkurentsi, tagades samal ajal ühtsel turul võrdsed tingimused;</w:t>
      </w:r>
    </w:p>
    <w:p w:rsidR="00746F2F" w:rsidRPr="004669DF" w:rsidP="00746F2F" w14:paraId="6457529A" w14:textId="77777777">
      <w:pPr>
        <w:pStyle w:val="NormalHanging12a"/>
      </w:pPr>
      <w:r w:rsidRPr="004669DF">
        <w:t>18.</w:t>
      </w:r>
      <w:r w:rsidRPr="004669DF">
        <w:tab/>
        <w:t xml:space="preserve">kordab, et äriühingute jaoks, kes vabatahtlikult valivad 28. õigusraamistiku ja selle maksumooduli, peaksid selle reeglid olema siduvad ning et nende valikut osaleda tuleb </w:t>
      </w:r>
      <w:r w:rsidRPr="004669DF">
        <w:t>automaatselt tunnustada kõigi liikmesriikide õigusraamistikes, et võimaldada neil tegutseda nagu igal teisel riiklikult registreeritud ettevõttel iga liikmesriigi turul; tuletab meelde, et 28. õigusraamistikuga liitumine peaks olema vabatahtlik, kuid sellest lahkumine peaks olema kohustuslik, kui on täidetud selgelt määratletud kriteeriumid, sealhulgas esmane avalik pakkumine; rõhutab sellega seoses, et riiklike äriühingu õiguslike vormide suhtes tuleks kohaldada mittediskrimineerimise põhimõtet;</w:t>
      </w:r>
    </w:p>
    <w:p w:rsidR="00746F2F" w:rsidRPr="004669DF" w:rsidP="00746F2F" w14:paraId="0508CE1E" w14:textId="77777777">
      <w:pPr>
        <w:pStyle w:val="NormalHanging12a"/>
      </w:pPr>
      <w:r w:rsidRPr="004669DF">
        <w:t>19.</w:t>
      </w:r>
      <w:r w:rsidRPr="004669DF">
        <w:tab/>
        <w:t>märgib, et ettevõtete jaoks, kes otsustavad osalemisest loobuda omal algatusel, tuleb kehtestada väljumistingimused, sealhulgas etteteatamise nõuded, võimalikud minimaalsed osalemisperioodid ja väljaastumise jõustumine, ning et kui asjakohased väljumiskriteeriumid on täidetud, tuleb anda piisavalt aega, et võimaldada ettevõtete vajalikku ümberkujundamist, tagades prognoositava ja järkjärgulise ülemineku, minimeerides samal ajal õigusliku arbitraaži võimalusi;</w:t>
      </w:r>
    </w:p>
    <w:p w:rsidR="00746F2F" w:rsidRPr="004669DF" w:rsidP="00746F2F" w14:paraId="3DD80527" w14:textId="77777777">
      <w:pPr>
        <w:pStyle w:val="NormalHanging12a"/>
      </w:pPr>
      <w:r w:rsidRPr="004669DF">
        <w:t>20.</w:t>
      </w:r>
      <w:r w:rsidRPr="004669DF">
        <w:tab/>
        <w:t>tunnistab, et õigusliku vormi neutraalsus ja maksualane mittediskrimineerimine on asjaomase õigusraamistiku järele piisava nõudluse tagamiseks hädavajalikud; kutsub komisjoni üles vajaduse korral muutma maksustamisega seotud ELi õigustikku kas otseselt või kaudselt, tagamaks, et 28. õigusraamistiku alusel tegutsevad äriühingud saaksid kuuluda eraldi kohaldamisalasse, ning lihtsustama ja veelgi ühtlustama nende direktiivide hüvedele juurdepääsu menetlusi;</w:t>
      </w:r>
    </w:p>
    <w:p w:rsidR="00746F2F" w:rsidRPr="004669DF" w:rsidP="00746F2F" w14:paraId="234A821C" w14:textId="066759D1">
      <w:pPr>
        <w:pStyle w:val="NormalHanging12a"/>
      </w:pPr>
      <w:r w:rsidRPr="004669DF">
        <w:t>21.</w:t>
      </w:r>
      <w:r w:rsidRPr="004669DF">
        <w:tab/>
        <w:t>on arvamusel, et ettevõtte elutsükli varajastes etappides on kiirus ja lihtsus ning asjaolu, et igas liikmesriigis ei ole vaja asutada eraldi õiguslikke vorme, uuendusliku kontseptsiooni elujõuliseks üksuseks muutmisel otsustava tähtsusega; rõhutab, et äriühingute 28. õigusraamistiku puhul tuleb vaikimisi kasutusele võtta üksainus ja täielikult digitaalne registreerimine ühtses kontaktpunktis koos ühtse maksukohustuslase numbri andmisega, mis hõlmab täielikult standarditud dokumente, vorme ja ühtset maksudeklaratsiooni liidest ning järgib teabevahetuses inglise keele esikohale seadmise põhimõtet, seadmata ohtu ELi teisi ametlikke keeli; tuletab meelde, et 28. õigusraamistik peaks ühendama selge õigusliku struktuuri, sisulise ja eelnevalt mõõdetava kasu ettevõtetele ning tugeva institutsioonilise toetuse; rõhutab koostoimet ettepanekuga Euroopa ettevõtluskukrute loomise kohta (</w:t>
      </w:r>
      <w:r w:rsidRPr="004669DF" w:rsidR="00721C7E">
        <w:t>COM(2025)0838</w:t>
      </w:r>
      <w:r w:rsidRPr="004669DF">
        <w:t>), mille eesmärk on luua ettevõtjate ja avaliku sektori asutuste vaheliseks digitaalseks suhtluseks toimiv ja turvaline keskkond;</w:t>
      </w:r>
    </w:p>
    <w:p w:rsidR="00746F2F" w:rsidRPr="004669DF" w:rsidP="00746F2F" w14:paraId="7C6E36F2" w14:textId="05E68085">
      <w:pPr>
        <w:pStyle w:val="NormalHanging12a"/>
      </w:pPr>
      <w:r w:rsidRPr="004669DF">
        <w:t>22.</w:t>
      </w:r>
      <w:r w:rsidRPr="004669DF">
        <w:tab/>
        <w:t xml:space="preserve">märgib, et ühtne kontaktpunkt või muu keskus peaks toimima ka digiplatvormina, mis toetab ettevõtteid 28. õigusraamistiku ja selle eri moodulite raames kogu nende elutsükli jooksul; rõhutab, et see peaks tagama ühtlustatud juurdepääsu asjakohasele regulatiivsele, maksu- ja haldusteabele kõigis liikmesriikides, tagades läbipaistvuse ja õiguskindluse ning lisades võimaluse </w:t>
      </w:r>
      <w:r w:rsidRPr="004669DF" w:rsidR="00C23F1A">
        <w:t>asutamis-</w:t>
      </w:r>
      <w:r w:rsidRPr="004669DF">
        <w:t>, juhtimi</w:t>
      </w:r>
      <w:r w:rsidRPr="004669DF" w:rsidR="00C23F1A">
        <w:t>s-</w:t>
      </w:r>
      <w:r w:rsidRPr="004669DF">
        <w:t xml:space="preserve"> ja lõpetamis</w:t>
      </w:r>
      <w:r w:rsidRPr="004669DF" w:rsidR="00C23F1A">
        <w:t>tegevusteks</w:t>
      </w:r>
      <w:r w:rsidRPr="004669DF">
        <w:t>;</w:t>
      </w:r>
    </w:p>
    <w:p w:rsidR="00746F2F" w:rsidRPr="004669DF" w:rsidP="00746F2F" w14:paraId="2B3EECC2" w14:textId="77777777">
      <w:pPr>
        <w:pStyle w:val="NormalHanging12a"/>
      </w:pPr>
      <w:r w:rsidRPr="004669DF">
        <w:t>23.</w:t>
      </w:r>
      <w:r w:rsidRPr="004669DF">
        <w:tab/>
        <w:t>rõhutab, et kehtivates ELi õigusaktides sätestatud maksustamise vältimise vastaseid meetmeid tuleb kohaldada põhjalikult, ilma et see piiraks täiendavate kaitsemeetmete kohaldamist; rõhutab, et maksumoodulile peaks olema juurdepääs ainult äriühingutel, kellel on ELis tegelik majandustegevus, ning et see moodul ei tohiks viia riiuli- või varifirmade loomiseni, kuna sellised tavad õõnestavad regulatiivset terviklikkust, moonutavad ausat konkurentsi ja õõnestavad tõelist majandustegevust ELis; toonitab, et maksumoodulist ei tohiks saada vahendit soodsama maksukohtlemise otsimiseks ning see ei tohi mingil juhul muutuda vahendiks, mille abil ELi või riiklikul tasandil kehtivaid maksustamistasemeid põhjendamatult vähendada või neist kõrvale hoida;</w:t>
      </w:r>
    </w:p>
    <w:p w:rsidR="00746F2F" w:rsidRPr="004669DF" w:rsidP="00746F2F" w14:paraId="280D9848" w14:textId="77777777">
      <w:pPr>
        <w:pStyle w:val="NormalHanging12a"/>
      </w:pPr>
      <w:r w:rsidRPr="004669DF">
        <w:t>24.</w:t>
      </w:r>
      <w:r w:rsidRPr="004669DF">
        <w:tab/>
        <w:t>on seisukohal, et äriühingul, kelle puhul on ametlikult tuvastatud pettus, maksustamisest või sotsiaalkindlustusmaksetest kõrvalehoidmine või töötajate osalemist käsitlevate siduvate eeskirjade rikkumine, ei tohiks olla õigust maksumoodulis osaleda;</w:t>
      </w:r>
    </w:p>
    <w:p w:rsidR="00746F2F" w:rsidRPr="004669DF" w:rsidP="00746F2F" w14:paraId="2C97D8C6" w14:textId="77777777">
      <w:pPr>
        <w:pStyle w:val="NormalHanging12a"/>
      </w:pPr>
      <w:r w:rsidRPr="004669DF">
        <w:t>25.</w:t>
      </w:r>
      <w:r w:rsidRPr="004669DF">
        <w:tab/>
        <w:t>rõhutab, et vaja on läbipaistvat, aruandekohustusega ja tõhusat finantsaruandlusraamistikku ning et ühtseid raamatupidamisstandardeid tuleks vaikimisi kohaldada kõigi 28. õigusraamistiku alusel tegutsevate äriühingute suhtes kõigis osalevates liikmesriikides, tuginedes vajaduse korral rahvusvaheliselt tunnustatud standarditele, nagu rahvusvahelised finantsaruandlusstandardid;</w:t>
      </w:r>
    </w:p>
    <w:p w:rsidR="00746F2F" w:rsidRPr="004669DF" w:rsidP="00746F2F" w14:paraId="5863FCDE" w14:textId="77777777">
      <w:pPr>
        <w:pStyle w:val="Normal12a"/>
      </w:pPr>
      <w:r w:rsidRPr="004669DF">
        <w:rPr>
          <w:b/>
          <w:i/>
        </w:rPr>
        <w:t>Äriühingu tulu maksustamine</w:t>
      </w:r>
    </w:p>
    <w:p w:rsidR="00746F2F" w:rsidRPr="004669DF" w:rsidP="00746F2F" w14:paraId="0EE8C1CB" w14:textId="1B8324A3">
      <w:pPr>
        <w:pStyle w:val="NormalHanging12a"/>
      </w:pPr>
      <w:r w:rsidRPr="004669DF">
        <w:t>26.</w:t>
      </w:r>
      <w:r w:rsidRPr="004669DF">
        <w:tab/>
        <w:t xml:space="preserve">on arvamusel, et äriühingu tulumaksu käsitleva poliitika ühtlustamata jätmine kujutab endast märkimisväärset takistust piiriülesele majandustegevusele ELis ja see suurendab ühtlasi ka agressiivse maksuplaneerimise ohtu; teeb seetõttu ettepaneku, et selge, </w:t>
      </w:r>
      <w:r w:rsidRPr="004669DF" w:rsidR="00721C7E">
        <w:t xml:space="preserve">toimiva </w:t>
      </w:r>
      <w:r w:rsidRPr="004669DF">
        <w:t xml:space="preserve">ja läbipaistva maksusüsteemi tagamiseks peaks tulevase maksumooduli eesmärk olema äriühingu tulumaksu ühtne konsolideeritud maksubaas osalevatele äriühingutele kogu ELis; tuletab meelde varasemaid algatusi, nagu äriühingu tulumaksu ühtne maksubaas, äriühingu tulumaksu ühtne konsolideeritud maksubaas, BEFIT ja VKEde peakontori maksustamise süsteem, ning teeb ettepaneku, et maksumooduliga tuleks ette näha ühtne meetod maksustatava tulu kindlaksmääramiseks kooskõlas OECD suunistega, kõrvaldades seeläbi maksubaasi arvutamise killustatuse ja vähendades piiriülest ebakindlust; rõhutab, et maksumoodul ei tohi veelgi piirata liikmesriikide kaalutlusõigust äriühingu tulumaksu määrade kehtestamisel; rõhutab, et 28. õigusraamistiku puhul tuleks seada esikohale tõeline konsolideerimine, et tagada kahjumi </w:t>
      </w:r>
      <w:r w:rsidRPr="004669DF" w:rsidR="00721C7E">
        <w:t xml:space="preserve">toimiv </w:t>
      </w:r>
      <w:r w:rsidRPr="004669DF">
        <w:t>piiriülene tasaarvestamine, stimuleerides seeläbi piiriüleseid investeeringuid;</w:t>
      </w:r>
    </w:p>
    <w:p w:rsidR="00746F2F" w:rsidRPr="004669DF" w:rsidP="00746F2F" w14:paraId="125F46DD" w14:textId="77777777">
      <w:pPr>
        <w:pStyle w:val="NormalHanging12a"/>
      </w:pPr>
      <w:r w:rsidRPr="004669DF">
        <w:t>27.</w:t>
      </w:r>
      <w:r w:rsidRPr="004669DF">
        <w:tab/>
        <w:t>märgib, et viidates laenuvahendite kasutamise soodustamise vähendamiseks ette nähtud kompensatsiooni käsitlevale ettepanekule, peaks moodul edendama laenuvahendite ja omakapitali kaudu rahastamise vahelist neutraalsust, et kõrvaldada maksustamise struktuurne kallutatus ja tugevdada omakapitalipõhiseid investeeringuid, mis on eriti oluline idu- ja kasvufirmade jaoks, kes sõltuvad oma arengu varajastes etappides peamiselt omakapitali kaudu rahastamisest;</w:t>
      </w:r>
    </w:p>
    <w:p w:rsidR="00746F2F" w:rsidRPr="004669DF" w:rsidP="00746F2F" w14:paraId="6C2E5603" w14:textId="112146FA">
      <w:pPr>
        <w:pStyle w:val="NormalHanging12a"/>
      </w:pPr>
      <w:r w:rsidRPr="004669DF">
        <w:t>28.</w:t>
      </w:r>
      <w:r w:rsidRPr="004669DF">
        <w:tab/>
        <w:t xml:space="preserve">teeb ettepaneku, et 28. õigusraamistikuga tuleks püüda lihtsustada maksuhaldust ja vähendada piiriülest ebakindlust, sealhulgas võimaluse korral maksudeklaratsioonide standardimise, dubleerivate deklaratsioonide vältimise ning maksuhaldurite vahelise teabevahetuse parandamise ja </w:t>
      </w:r>
      <w:r w:rsidRPr="004669DF" w:rsidR="00C23F1A">
        <w:t xml:space="preserve">digitaalsuse esikohale seadmise </w:t>
      </w:r>
      <w:r w:rsidRPr="004669DF">
        <w:t>põhimõtte kohaldamise kaudu;</w:t>
      </w:r>
    </w:p>
    <w:p w:rsidR="00746F2F" w:rsidRPr="004669DF" w:rsidP="00746F2F" w14:paraId="48A6A71A" w14:textId="77777777">
      <w:pPr>
        <w:pStyle w:val="NormalHanging12a"/>
      </w:pPr>
      <w:r w:rsidRPr="004669DF">
        <w:t>29.</w:t>
      </w:r>
      <w:r w:rsidRPr="004669DF">
        <w:tab/>
        <w:t>teeb ettepaneku, et konsolideeritud maksubaas jaotataks liikmesriikide vahel, kasutades eelnevalt kokku lepitud valemit, mis kajastab tegelikku majandustegevust, nagu müük, tööjõud, materiaalne vara ja digitaalne kohalolu, asendades keerulised grupisisesed siirdehindadega seotud vaidlused õigusraamistiku raames läbipaistva jaotamismeetodiga kooskõlas OECD suunistega; rõhutab, et see kujutaks endast ühtlasi nii lihtsustamist kui ka maksustamise vältimise vastu võitlemise vahendit;</w:t>
      </w:r>
    </w:p>
    <w:p w:rsidR="00746F2F" w:rsidRPr="004669DF" w:rsidP="00746F2F" w14:paraId="3C656D95" w14:textId="77777777">
      <w:pPr>
        <w:pStyle w:val="NormalHanging12a"/>
      </w:pPr>
      <w:r w:rsidRPr="004669DF">
        <w:t>30.</w:t>
      </w:r>
      <w:r w:rsidRPr="004669DF">
        <w:tab/>
        <w:t>tuletab meelde, et maksumäärad peavad jääma liikmesriikide pädevusse; märgib siiski, et need saaks esitada ühtse esitamisliidese kaudu;</w:t>
      </w:r>
    </w:p>
    <w:p w:rsidR="00746F2F" w:rsidRPr="004669DF" w:rsidP="00746F2F" w14:paraId="1A29BE81" w14:textId="77777777">
      <w:pPr>
        <w:pStyle w:val="NormalHanging12a"/>
      </w:pPr>
      <w:r w:rsidRPr="004669DF">
        <w:t>31.</w:t>
      </w:r>
      <w:r w:rsidRPr="004669DF">
        <w:tab/>
        <w:t>rõhutab, et topeltmaksustamist tuleb tulemuslikult vältida näiteks kapitali kasvutulu ja õigusraamistiku sees tehtavate maksete ühtse määratlemise ja liigitamise või maksustaatuse automaatse vastastikuse tunnustamise abil;</w:t>
      </w:r>
    </w:p>
    <w:p w:rsidR="00746F2F" w:rsidRPr="004669DF" w:rsidP="00746F2F" w14:paraId="4E7E1861" w14:textId="44AC9C6B">
      <w:pPr>
        <w:pStyle w:val="NormalHanging12a"/>
      </w:pPr>
      <w:r w:rsidRPr="004669DF">
        <w:t>32.</w:t>
      </w:r>
      <w:r w:rsidRPr="004669DF">
        <w:tab/>
        <w:t>teeb ettepaneku, et liikmesriigid kaaluksid oma riiklikes kohtutes maksumooduliga seotud vaidluste jaoks eriko</w:t>
      </w:r>
      <w:r w:rsidRPr="004669DF" w:rsidR="00C23F1A">
        <w:t xml:space="preserve">osseisude </w:t>
      </w:r>
      <w:r w:rsidRPr="004669DF">
        <w:t>loomist ning et sellistel komisjonidel peaks olema võimalik lahendada vaidlusi inglise keeles;</w:t>
      </w:r>
    </w:p>
    <w:p w:rsidR="00746F2F" w:rsidRPr="004669DF" w:rsidP="00746F2F" w14:paraId="567A1FF2" w14:textId="5E917E1D">
      <w:pPr>
        <w:pStyle w:val="NormalHanging12a"/>
      </w:pPr>
      <w:r w:rsidRPr="004669DF">
        <w:t>33.</w:t>
      </w:r>
      <w:r w:rsidRPr="004669DF">
        <w:tab/>
        <w:t xml:space="preserve">toonitab, et piiriülese laienemisega võivad kaasneda sagedased ettevõtete </w:t>
      </w:r>
      <w:r w:rsidRPr="004669DF" w:rsidR="005F6E86">
        <w:t xml:space="preserve">ümberkujundamised ja </w:t>
      </w:r>
      <w:r w:rsidRPr="004669DF" w:rsidR="00C23F1A">
        <w:t>piiriüle</w:t>
      </w:r>
      <w:r w:rsidRPr="004669DF" w:rsidR="005F6E86">
        <w:t>ne</w:t>
      </w:r>
      <w:r w:rsidRPr="004669DF" w:rsidR="00C23F1A">
        <w:t xml:space="preserve"> liikuvus </w:t>
      </w:r>
      <w:r w:rsidRPr="004669DF">
        <w:t>ning selleks, et saada praegusest maksuneutraalse tegevuse raamistikust kasu, peaks maksumoodul hõlmama kehtiva ELi õiguse laiendamist ja käsitlema liikuvusega seotud maksutõketega tõhustatud haldusalase koordineerimise ja suurema sisulise kindluse kaudu, tagades samal ajal, et kõigi lihtsustamismeetmete suhtes kohaldatakse jätkuvalt asjakohaseid kuritarvituste vastaseid kaitsemeetmeid</w:t>
      </w:r>
      <w:r>
        <w:rPr>
          <w:rStyle w:val="FootnoteReference"/>
        </w:rPr>
        <w:footnoteReference w:id="14"/>
      </w:r>
      <w:r w:rsidRPr="004669DF">
        <w:t>;</w:t>
      </w:r>
    </w:p>
    <w:p w:rsidR="00746F2F" w:rsidRPr="004669DF" w:rsidP="00746F2F" w14:paraId="26287788" w14:textId="77777777">
      <w:pPr>
        <w:pStyle w:val="Normal12a"/>
      </w:pPr>
      <w:r w:rsidRPr="004669DF">
        <w:rPr>
          <w:b/>
          <w:i/>
        </w:rPr>
        <w:t>Käibemaks</w:t>
      </w:r>
    </w:p>
    <w:p w:rsidR="00746F2F" w:rsidRPr="004669DF" w:rsidP="00746F2F" w14:paraId="797E7678" w14:textId="5036D6B1">
      <w:pPr>
        <w:pStyle w:val="NormalHanging12a"/>
      </w:pPr>
      <w:r w:rsidRPr="004669DF">
        <w:t>34.</w:t>
      </w:r>
      <w:r w:rsidRPr="004669DF">
        <w:tab/>
        <w:t>rõhutab, et regulatiivse koormuse vähendamiseks peavad õigusraamistikus osalejad tegutsema tsentraliseeritud käibemaksuraamistiku alusel, kus ühtne ELi käibemaksukohustuslasena registreerimise number ja digitaalne ühtse kontaktpunkti</w:t>
      </w:r>
      <w:r>
        <w:rPr>
          <w:rStyle w:val="FootnoteReference"/>
        </w:rPr>
        <w:footnoteReference w:id="15"/>
      </w:r>
      <w:r w:rsidRPr="004669DF">
        <w:t xml:space="preserve"> portaal peavad hõlmama deklaratsioone ja tagasimakseid kõigis liikmesriikides, sealhulgas õigeaegsete ja tõhusate tagasimaksemenetluste kaudu ning vähendades vajadust mitmekordse registreerimise järele; rõhutab, kui oluline on edendada koostalitlusvõimeliste digilahenduste, sealhulgas e-arvete kasutamist, et lihtsustada nõuete täitmist, suurendada läbipaistvust ja vähendada halduskulusid; tuletab meelde, et eesmärk maksumooduli raames peaks olema menetluste lihtsustamine, mitte käibemaksumäärade ühtlustamine, võimaldades ettevõtetel laieneda ilma haldusliideseid mitmekordistamata;</w:t>
      </w:r>
    </w:p>
    <w:p w:rsidR="00746F2F" w:rsidRPr="004669DF" w:rsidP="00746F2F" w14:paraId="0393C02D" w14:textId="371E5606">
      <w:pPr>
        <w:pStyle w:val="Normal12a"/>
      </w:pPr>
      <w:r w:rsidRPr="004669DF">
        <w:rPr>
          <w:b/>
          <w:i/>
        </w:rPr>
        <w:t xml:space="preserve">Kinnipeetav </w:t>
      </w:r>
      <w:r w:rsidRPr="004669DF" w:rsidR="005700A5">
        <w:rPr>
          <w:b/>
          <w:i/>
        </w:rPr>
        <w:t>tulu</w:t>
      </w:r>
      <w:r w:rsidRPr="004669DF">
        <w:rPr>
          <w:b/>
          <w:i/>
        </w:rPr>
        <w:t>maks</w:t>
      </w:r>
    </w:p>
    <w:p w:rsidR="00746F2F" w:rsidRPr="004669DF" w:rsidP="00746F2F" w14:paraId="56402516" w14:textId="31D75AAB">
      <w:pPr>
        <w:pStyle w:val="NormalHanging12a"/>
      </w:pPr>
      <w:r w:rsidRPr="004669DF">
        <w:t>35.</w:t>
      </w:r>
      <w:r w:rsidRPr="004669DF">
        <w:tab/>
        <w:t xml:space="preserve">toonitab, et piiriüleste kapitalivoogude kohtlemine mooduli raames peaks olema koordineeritum ja tõhusam ning selle puhul tuleks osalevate üksuste ja nendega seotud investeerimisstruktuuride vaheliste dividendide, intresside ja litsentsitasude suhtes kohaldada ühist lihtsustatud kinnipeetava </w:t>
      </w:r>
      <w:r w:rsidRPr="004669DF" w:rsidR="005700A5">
        <w:t>tulu</w:t>
      </w:r>
      <w:r w:rsidRPr="004669DF">
        <w:t>maksu menetlust ja minimaalset tegelikku maksustamist; teeb ettepaneku, et maksuresidentsuse viivitamatu tunnustamine tuleb saavutada ELi tsentraliseeritud digiregistri kaudu, mis võimaldab ühtlustatud digitaalseid maksude tasumise menetlusi ja kõrvaldab käsitsi tehtavate tagasimaksetega seotud viivitused, mida peetakse ELis laienemise peamiseks takistuseks</w:t>
      </w:r>
      <w:r>
        <w:rPr>
          <w:rStyle w:val="FootnoteReference"/>
        </w:rPr>
        <w:footnoteReference w:id="16"/>
      </w:r>
      <w:r w:rsidRPr="004669DF">
        <w:t>;</w:t>
      </w:r>
    </w:p>
    <w:p w:rsidR="00746F2F" w:rsidRPr="004669DF" w:rsidP="00746F2F" w14:paraId="75DB934E" w14:textId="2818E279">
      <w:pPr>
        <w:pStyle w:val="NormalHanging12a"/>
      </w:pPr>
      <w:r w:rsidRPr="004669DF">
        <w:t>36.</w:t>
      </w:r>
      <w:r w:rsidRPr="004669DF">
        <w:tab/>
        <w:t>nõuab, et töötataks välja tegeliku kasusaa</w:t>
      </w:r>
      <w:r w:rsidRPr="004669DF" w:rsidR="005700A5">
        <w:t>ja</w:t>
      </w:r>
      <w:r w:rsidRPr="004669DF">
        <w:t xml:space="preserve"> selge ja läbipaistev määratlus</w:t>
      </w:r>
      <w:r w:rsidRPr="004669DF" w:rsidR="005700A5">
        <w:t xml:space="preserve"> maksustamise eesmärgil</w:t>
      </w:r>
      <w:r w:rsidRPr="004669DF">
        <w:t xml:space="preserve">, mis tuvastaks ettevõtete tegelikud omanikud, või vähemalt arusaadavad ja </w:t>
      </w:r>
      <w:r w:rsidRPr="004669DF">
        <w:t xml:space="preserve">laialdaselt aktsepteeritud kriteeriumid, mille alusel tuleks kinnipeetava </w:t>
      </w:r>
      <w:r w:rsidRPr="004669DF" w:rsidR="005700A5">
        <w:t>tulu</w:t>
      </w:r>
      <w:r w:rsidRPr="004669DF">
        <w:t>maksu vähendamist pakkuda tulu tekkimise kohas, ning et välditaks pikki tagastamismenetlusi, kuid need tuleks säilitada olukordades, kus ükski kriteerium ei ole täidetud;</w:t>
      </w:r>
    </w:p>
    <w:p w:rsidR="00746F2F" w:rsidRPr="004669DF" w:rsidP="00746F2F" w14:paraId="03AF2122" w14:textId="77777777">
      <w:pPr>
        <w:pStyle w:val="Normal12a"/>
      </w:pPr>
      <w:r w:rsidRPr="004669DF">
        <w:rPr>
          <w:b/>
          <w:i/>
        </w:rPr>
        <w:t>Töötajate maksustamine</w:t>
      </w:r>
    </w:p>
    <w:p w:rsidR="00746F2F" w:rsidRPr="004669DF" w:rsidP="00746F2F" w14:paraId="7096CA53" w14:textId="77777777">
      <w:pPr>
        <w:pStyle w:val="NormalHanging12a"/>
      </w:pPr>
      <w:r w:rsidRPr="004669DF">
        <w:t>37.</w:t>
      </w:r>
      <w:r w:rsidRPr="004669DF">
        <w:tab/>
        <w:t>väljendab heameelt komisjoni ettepaneku üle kasutada ELi töötajate aktsiaoptsioone vabatahtlikult laiema ettepaneku „EU Inc.“ raames ja eelkõige selle põhimõtte üle, et maksustamine peaks toimuma võõrandamise hetkel ja selle suhtes tuleks kohaldada sama maksustamiskorda, mida kohaldatakse muude töötajate aktsiaoptsioonide või sarnaste vahendite suhtes riigisisese õiguse alusel; on siiski veendunud, et ELi töötajate aktsiaoptsioonide kava rakendamine peaks olema maksumooduli raames kohustuslik; märgib, et kasumit tuleks käsitleda kapitalituluna, mitte palgatuluna, viies seega töötajate stiimulid kooskõlla ettevõtte pikaajalise kasvuga ja kõrvaldades alguses maksustamise moonutava mõju; toetab konverteeritavuse küsimuse käsitlemist aktsiaoptsioonide kavade abil kogu Euroopas, et lihtsustada olemasolevate ettevõtete üleminekut 28. õigusraamistikule;</w:t>
      </w:r>
    </w:p>
    <w:p w:rsidR="00746F2F" w:rsidRPr="004669DF" w:rsidP="00746F2F" w14:paraId="63DCBC19" w14:textId="77777777">
      <w:pPr>
        <w:pStyle w:val="NormalHanging12a"/>
      </w:pPr>
      <w:r w:rsidRPr="004669DF">
        <w:t>38.</w:t>
      </w:r>
      <w:r w:rsidRPr="004669DF">
        <w:tab/>
        <w:t>rõhutab töötajate osaluskavade ja sarnaste mehhanismide rolli sellistesse ettevõtetesse talentide ja võtmetähtsusega töötajate ligimeelitamiseks stiimulite loomisel; rõhutab, et võtmetähtsusega töötajate hulka kuuluvad asutajad ja muud olulised töötajad, kelle oskused ja eksperditeadmised on ettevõtte arengu jaoks kriitilise tähtsusega; rõhutab, et selliste vahendite läbipaistev, majanduslikult usaldusväärne ja prognoositav maksukord on oluline, et hoida neid ettevõtteid ELis ning meelitada ligi ja hoida talente tingimustel, mis on võrreldavad teistes konkureerivates jurisdiktsioonides kehtivate tingimustega;</w:t>
      </w:r>
    </w:p>
    <w:p w:rsidR="00746F2F" w:rsidRPr="004669DF" w:rsidP="00746F2F" w14:paraId="2629054B" w14:textId="2B352E08">
      <w:pPr>
        <w:pStyle w:val="NormalHanging12a"/>
      </w:pPr>
      <w:r w:rsidRPr="004669DF">
        <w:t>39.</w:t>
      </w:r>
      <w:r w:rsidRPr="004669DF">
        <w:tab/>
        <w:t xml:space="preserve">nõuab standarditud ELi hindamismeetodit, millega nähakse ette „safe harbour“-põhimõte, et määrata kindlaks börsil noteerimata äriühingu aktsiate ja aktsiaoptsioonide väärtus, vältides tagasiulatuvaid ümberhindamisi </w:t>
      </w:r>
      <w:r w:rsidRPr="004669DF" w:rsidR="00AD553A">
        <w:t xml:space="preserve">maksustamisel </w:t>
      </w:r>
      <w:r w:rsidRPr="004669DF">
        <w:t>ja vähendades õiguskindlusetust; on seisukohal, et osalevad maksuhaldurid peaksid selliseid hindamisi tunnustama, välja arvatud juhul, kui on tõendatud kuritarvitamine, pettus või ilmne viga;</w:t>
      </w:r>
    </w:p>
    <w:p w:rsidR="00746F2F" w:rsidRPr="004669DF" w:rsidP="00746F2F" w14:paraId="0EBCCB8A" w14:textId="19E604EB">
      <w:pPr>
        <w:pStyle w:val="NormalHanging12a"/>
      </w:pPr>
      <w:r w:rsidRPr="004669DF">
        <w:t>40.</w:t>
      </w:r>
      <w:r w:rsidRPr="004669DF">
        <w:tab/>
        <w:t>tuletab meelde, et rohkem kui ühes liikmesriigis töötavate töötajate suhtes kohaldatavad sotsiaalkindlustusmaksed ja pensionitulu maksud on sätestatud määruse (EÜ) nr 883/2004</w:t>
      </w:r>
      <w:r>
        <w:rPr>
          <w:rStyle w:val="FootnoteReference"/>
        </w:rPr>
        <w:footnoteReference w:id="17"/>
      </w:r>
      <w:r w:rsidRPr="004669DF">
        <w:t xml:space="preserve"> artikli 13 kohases mitmes liikmesriigis töötavate töötajate raamistikus, mille kohaselt määratakse kohaldatavad õigusaktid kindlaks mitme teguri alusel, suurendades seeläbi õiguskindlust ja vähendades piiriülest halduskoormust;</w:t>
      </w:r>
    </w:p>
    <w:p w:rsidR="00746F2F" w:rsidRPr="004669DF" w:rsidP="00746F2F" w14:paraId="7BD936EF" w14:textId="77777777">
      <w:pPr>
        <w:pStyle w:val="NormalHanging12a"/>
      </w:pPr>
      <w:r w:rsidRPr="004669DF">
        <w:t>41.</w:t>
      </w:r>
      <w:r w:rsidRPr="004669DF">
        <w:tab/>
        <w:t>nõuab sihipäraseid reegleid, et tagada liikmesriikide vahel liikuvatele töötajatele maksukindlus töötajatele aktsiate andmise ja aluseks olevate aktsiate müügi vahelisel ajal, sealhulgas tööandjate ühtlustatud ühtse digitaalse aruandluse kaudu ning töötajate aktsiate müügikohas topeltmaksustamise või mitmekordse maksustamise vältimise kaudu; rõhutab, et maksustamisõiguste jaotamine peaks jääma proportsionaalseks, lihtsaks ja prognoositavaks;</w:t>
      </w:r>
    </w:p>
    <w:p w:rsidR="00746F2F" w:rsidRPr="004669DF" w:rsidP="00746F2F" w14:paraId="571D6BCE" w14:textId="77777777">
      <w:pPr>
        <w:pStyle w:val="Normal12a"/>
      </w:pPr>
      <w:r w:rsidRPr="004669DF">
        <w:rPr>
          <w:b/>
          <w:i/>
        </w:rPr>
        <w:t>Siirdehinnad</w:t>
      </w:r>
    </w:p>
    <w:p w:rsidR="00746F2F" w:rsidRPr="004669DF" w:rsidP="00746F2F" w14:paraId="1EBD96C7" w14:textId="77777777">
      <w:pPr>
        <w:pStyle w:val="NormalHanging12a"/>
      </w:pPr>
      <w:r w:rsidRPr="004669DF">
        <w:t>42.</w:t>
      </w:r>
      <w:r w:rsidRPr="004669DF">
        <w:tab/>
        <w:t>peab kahetsusväärseks, et kuigi kõigil liikmesriikidel on OECD siirdehindade alaste suunistega kooskõlas olevad riiklikud õigusaktid, kohaldatakse neid suuniseid ELi siirdehindade direktiivi puudumise tõttu endiselt erinevalt; rõhutab, et selleks, et nõuete täitmisega seotud kulud ei muutuks laienemist takistavaks struktuurseks takistuseks, tuleks siirdehindade keerukust oluliselt vähendada; on seisukohal, et ühtse Euroopa maksuraamistiku ühtse aluse loomiseks on vaja tugineda äriühingu tulumaksu ühtse konsolideeritud maksubaasi elementidele; teeb maksumooduli raames ettepaneku, et komisjon määraks selgelt kindlaks 28. õigusraamistiku valinud äriühingute suhtes kohaldatavad siirdehindade reeglid ning lisaks kooskõlastatud „safe harbour“-põhimõtte, mida tuleks kohaldada tavapäraste kontsernisiseste teenuste ja madala riskiga tehingute suhtes, ning ühtlustatud lähenemisviisid, mida tuleks kohaldada intellektuaalomandi litsentsimise ja kulude jaotamise suhtes, et piirata vaidlusi, samas kui dokumenteerimisnõuded peaksid olema proportsionaalsed äriühingu suuruse ja kasvuetapiga;</w:t>
      </w:r>
    </w:p>
    <w:p w:rsidR="00746F2F" w:rsidRPr="004669DF" w:rsidP="00746F2F" w14:paraId="6A4E1B12" w14:textId="77777777">
      <w:pPr>
        <w:pStyle w:val="Normal12a"/>
      </w:pPr>
      <w:r w:rsidRPr="004669DF">
        <w:rPr>
          <w:b/>
          <w:i/>
        </w:rPr>
        <w:t>Juurdepääs kapitalile</w:t>
      </w:r>
    </w:p>
    <w:p w:rsidR="00746F2F" w:rsidRPr="004669DF" w:rsidP="00746F2F" w14:paraId="51716604" w14:textId="77777777">
      <w:pPr>
        <w:pStyle w:val="NormalHanging12a"/>
      </w:pPr>
      <w:r w:rsidRPr="004669DF">
        <w:t>43.</w:t>
      </w:r>
      <w:r w:rsidRPr="004669DF">
        <w:tab/>
        <w:t>nõuab kapitali kasvutulu määratluste ja käsitlemise ühtlustamist ning tõhusaid mehhanisme topeltmaksustamise vältimiseks ja piiriülese ebakindluse vähendamiseks; soovitab hinnata võimalust kehtestada investorite ühtne digitaalselt kontrollitud staatus, mis põhineb ühistel standarditel, et tagada nende kõlblikkuse automaatne tunnustamine kõigis liikmesriikides ja hõlbustada piiriüleseid investeeringuid; on arvamusel, et tehingukulude ja õiguskindlusetuse vähendamiseks tuleks kasutusele võtta standarditud investeerimisinstrumendid, sealhulgas ühtlustatud konverteeritavad rahastamisvormid ja aktsionäride näidislepingud, tugevdades samal ajal investorite kaitset ja turu läbipaistvust;</w:t>
      </w:r>
    </w:p>
    <w:p w:rsidR="00746F2F" w:rsidRPr="004669DF" w:rsidP="00746F2F" w14:paraId="0663978D" w14:textId="77777777">
      <w:pPr>
        <w:pStyle w:val="NormalHanging12a"/>
      </w:pPr>
      <w:r w:rsidRPr="004669DF">
        <w:t>44.</w:t>
      </w:r>
      <w:r w:rsidRPr="004669DF">
        <w:tab/>
        <w:t>rõhutab, et uue raamistiku üks eesmärke on aidata kaasa tõelise ELi kapitalituru arendamisele, võimaldades selle kohaldamisalasse kuuluvatel ettevõtetel saada vajalikku rahastamist, säilitades samal ajal oma kohaloleku ELis; toonitab seetõttu vajadust kaasata eespool nimetatud investeeringutesse ELis suur hulk sääste, eelkõige töötades jaeinvestorite jaoks välja atraktiivsed ja kättesaadavad investeerimistooted, vältides samal ajal ohtu, et sellised säästud suunatakse ELi-välistesse jurisdiktsioonidesse; rõhutab, et maksumoodul peab hõlbustama praeguse rahastamispuudujäägi kõrvaldamist ELis;</w:t>
      </w:r>
    </w:p>
    <w:p w:rsidR="00746F2F" w:rsidRPr="004669DF" w:rsidP="00746F2F" w14:paraId="35B9A582" w14:textId="77777777">
      <w:pPr>
        <w:pStyle w:val="NormalHanging12a"/>
      </w:pPr>
      <w:r w:rsidRPr="004669DF">
        <w:t>45.</w:t>
      </w:r>
      <w:r w:rsidRPr="004669DF">
        <w:tab/>
        <w:t>rõhutab, et 28. õigusraamistik peaks otseselt tegelema struktuursete takistustega, mis piiravad Euroopas kapitali kaasamist; tuletab meelde, et investorite seisukohast tuleb tagada õigusnormide ja usaldatavusnõuete vastavusse viimine; on seisukohal, et 28. õigusraamistik peaks sisaldama ühtlustatud õigusnorme omakapitalilaadsete võlainstrumentide kohta – sealhulgas nende instrumentidega seotud maksejõuetuse norme –, mis võimaldavad investoritel investeerida äriühingusse, omandamata selle äriühingu üle kontrolliõigust;</w:t>
      </w:r>
    </w:p>
    <w:p w:rsidR="00746F2F" w:rsidRPr="004669DF" w:rsidP="00746F2F" w14:paraId="2E0F494A" w14:textId="77777777">
      <w:pPr>
        <w:pStyle w:val="Normal12a"/>
      </w:pPr>
      <w:r w:rsidRPr="004669DF">
        <w:rPr>
          <w:b/>
          <w:i/>
        </w:rPr>
        <w:t>Maksusoodustused</w:t>
      </w:r>
    </w:p>
    <w:p w:rsidR="00746F2F" w:rsidRPr="004669DF" w:rsidP="00746F2F" w14:paraId="1B7B664A" w14:textId="043AC581">
      <w:pPr>
        <w:pStyle w:val="NormalHanging12a"/>
      </w:pPr>
      <w:r w:rsidRPr="004669DF">
        <w:t>46.</w:t>
      </w:r>
      <w:r w:rsidRPr="004669DF">
        <w:tab/>
        <w:t xml:space="preserve">rõhutab, et maksumooduliga tuleks kehtestada asjakohased kooskõlastatud ja rangelt </w:t>
      </w:r>
      <w:r w:rsidRPr="004669DF" w:rsidR="00563369">
        <w:t xml:space="preserve">tingimuslikud </w:t>
      </w:r>
      <w:r w:rsidRPr="004669DF">
        <w:t xml:space="preserve">maksusoodustused, mis keskenduvad teadus- ja arendustegevusele ning reinvesteerimisele; märgib, et teadus- ja arendustegevuse stiimulite ühtlustatud </w:t>
      </w:r>
      <w:r w:rsidRPr="004669DF">
        <w:t>lähtetasemega tuleks kehtestada kõigis liikmesriikides ühised kõlblikkuse määratlused ja miinimumstandardid, sealhulgas, kuid mitte ainult, sotsiaalne tingimuslikkus ning maksukulu</w:t>
      </w:r>
      <w:r w:rsidRPr="004669DF" w:rsidR="00B454CE">
        <w:t>tust</w:t>
      </w:r>
      <w:r w:rsidRPr="004669DF">
        <w:t>e korrapärase järelevalve ja hindamise vahendid, tagamaks, et: i) need on eesmärgipärased; ii) need on kulutõhus viis innovatsiooni edendamiseks ning iii) neil ei ole ootamatut ega negatiivset mõju; rõhutab, et äriühingud, kes valivad maksumooduli, ei tohiks oma õigusliku vormi tõttu sattuda liikmesriikide programmidele või stiimulitele juurdepääsul ebasoodsasse olukorda;</w:t>
      </w:r>
    </w:p>
    <w:p w:rsidR="00746F2F" w:rsidRPr="004669DF" w:rsidP="00746F2F" w14:paraId="680FE685" w14:textId="77777777">
      <w:pPr>
        <w:pStyle w:val="NormalHanging12a"/>
      </w:pPr>
      <w:r w:rsidRPr="004669DF">
        <w:t>47.</w:t>
      </w:r>
      <w:r w:rsidRPr="004669DF">
        <w:tab/>
        <w:t>rõhutab lisaks, et maksumooduli kohaste teadus- ja arendustegevuse stiimulite ülesehitus tuleb selgelt kalibreerida, et viia see kooskõlla OECD teise samba ülemaailmse minimaalse maksumäära raamistikuga, ning eelkõige tuleb käsitleda koostoimet tingimustele vastava tagastatava maksukrediidi reeglitega, tagamaks, et maksumooduli kohaldamisalasse kuuluvad ettevõtted, kellel ei pruugi praegu olla kasumit, saaksid stiimulitest siiski täiel määral kasu ilma ebaproportsionaalse halduskoormuseta;</w:t>
      </w:r>
    </w:p>
    <w:p w:rsidR="00746F2F" w:rsidRPr="004669DF" w:rsidP="00746F2F" w14:paraId="450B5AA7" w14:textId="77777777">
      <w:pPr>
        <w:pStyle w:val="NormalHanging12a"/>
      </w:pPr>
      <w:r w:rsidRPr="004669DF">
        <w:t>48.</w:t>
      </w:r>
      <w:r w:rsidRPr="004669DF">
        <w:tab/>
        <w:t>tuletab meelde, et kasvumeetmeid on vaja jõuliselt stimuleerida; on veendunud, et kui reinvesteeritud kasumit kasutatakse teadus- ja arendustegevuseks, peaks digitaliseerimise või keskkonnahoidliku innovatsiooni puhul olema õigus ajutisele täiendavale mahaarvamisele või maksude edasilükkamisele, stimuleerides seeläbi jaotamata kasumi ümbersuunamist tootlikkust suurendavatesse investeeringutesse lühiajalise jaotamise asemel, et suurendada tehnoloogilist suutlikkust ja konkurentsivõimet; rõhutab, et kõik stiimulid tuleb kavandada nii, et need oleksid läbipaistvad, lihtsad ja riigiabi eeskirjadega kooskõlas;</w:t>
      </w:r>
    </w:p>
    <w:p w:rsidR="00746F2F" w:rsidRPr="004669DF" w:rsidP="00746F2F" w14:paraId="5FA18671" w14:textId="77777777">
      <w:pPr>
        <w:pStyle w:val="Normal12a"/>
      </w:pPr>
      <w:r w:rsidRPr="004669DF">
        <w:rPr>
          <w:b/>
          <w:i/>
        </w:rPr>
        <w:t>Mõju hindamine, läbivaatamine ja üldine hindamine</w:t>
      </w:r>
    </w:p>
    <w:p w:rsidR="00746F2F" w:rsidRPr="004669DF" w:rsidP="00746F2F" w14:paraId="52AF8BB8" w14:textId="77777777">
      <w:pPr>
        <w:pStyle w:val="NormalHanging12a"/>
      </w:pPr>
      <w:r w:rsidRPr="004669DF">
        <w:t>49.</w:t>
      </w:r>
      <w:r w:rsidRPr="004669DF">
        <w:tab/>
        <w:t>kutsub komisjoni üles tagama 28. õigusraamistiku maksuaspektide põhjaliku läbivaatamise ja vajaduse korral korrapäraste ajavahemike järel läbivaatamise, sealhulgas võimaluse lisada õigusraamistikku uusi mooduleid käsitlevaid õigusakte, hindama selle vastuvõtmise määrasid ettevõtetes, eelkõige VKEdes, idu- ja kasvufirmades, ning nende arengut ja majanduskasvu, selle vastavust muutuvatele äri- ja ühiskondlikele vajadustele, selle üldist eesmärgipärasust ja mõju ELi konkurentsivõimele (rahvusvaheline võrdlusanalüüs); on seisukohal, et läbivaatamistsükkel peaks toimuma iga nelja aasta järel, et tagada kohanemine uute probleemidega;</w:t>
      </w:r>
    </w:p>
    <w:p w:rsidR="00721C7E" w:rsidRPr="004669DF" w:rsidP="00721C7E" w14:paraId="4A7BBBE0" w14:textId="77777777">
      <w:pPr>
        <w:keepLines/>
        <w:spacing w:before="100" w:beforeAutospacing="1" w:after="100" w:afterAutospacing="1"/>
        <w:jc w:val="center"/>
      </w:pPr>
      <w:r w:rsidRPr="004669DF">
        <w:rPr>
          <w:noProof/>
        </w:rPr>
        <w:t>o</w:t>
      </w:r>
      <w:r w:rsidRPr="004669DF">
        <w:rPr>
          <w:noProof/>
        </w:rPr>
        <w:br/>
        <w:t>o   o</w:t>
      </w:r>
    </w:p>
    <w:p w:rsidR="00E365E1" w:rsidRPr="004669DF" w:rsidP="00721C7E" w14:paraId="3F2E6BED" w14:textId="26A84EB8">
      <w:pPr>
        <w:pStyle w:val="NormalHanging12a"/>
      </w:pPr>
      <w:r w:rsidRPr="004669DF">
        <w:t>50.</w:t>
      </w:r>
      <w:r w:rsidRPr="004669DF">
        <w:tab/>
        <w:t>teeb presidendile ülesandeks edastada käesolev resolutsioon nõukogule ja komisjonile.</w:t>
      </w:r>
    </w:p>
    <w:sectPr w:rsidSect="00C0033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338" w14:paraId="38B901F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338" w14:paraId="3F7776F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338" w14:paraId="54078C5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E4B76" w:rsidRPr="00C00338" w14:paraId="271497C4" w14:textId="77777777">
      <w:r w:rsidRPr="00C00338">
        <w:separator/>
      </w:r>
    </w:p>
  </w:footnote>
  <w:footnote w:type="continuationSeparator" w:id="1">
    <w:p w:rsidR="001E4B76" w:rsidRPr="00C00338" w14:paraId="47AC30BF" w14:textId="77777777">
      <w:r w:rsidRPr="00C00338">
        <w:continuationSeparator/>
      </w:r>
    </w:p>
  </w:footnote>
  <w:footnote w:id="2">
    <w:p w:rsidR="00721C7E" w:rsidRPr="004669DF" w:rsidP="00C00338" w14:paraId="0493AA95" w14:textId="4C3D2CFA">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Vastuvõetud tekstid, P10_TA(2026)0002.</w:t>
      </w:r>
    </w:p>
  </w:footnote>
  <w:footnote w:id="3">
    <w:p w:rsidR="00721C7E" w:rsidRPr="004669DF" w:rsidP="00C00338" w14:paraId="1DBE24FD" w14:textId="2BB13AE7">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Vastuvõetud tekstid, P10_TA(2025)0268.</w:t>
      </w:r>
    </w:p>
  </w:footnote>
  <w:footnote w:id="4">
    <w:p w:rsidR="00721C7E" w:rsidRPr="004669DF" w:rsidP="00C00338" w14:paraId="211507BF" w14:textId="6B7CAE20">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 xml:space="preserve">ELT C, C/2025/1326, 13.3.2025, ELI: </w:t>
      </w:r>
      <w:hyperlink r:id="rId1" w:tgtFrame="http://data.europa.eu/eli/C/2025/1326/oj" w:history="1">
        <w:r w:rsidRPr="004669DF">
          <w:rPr>
            <w:rStyle w:val="Hyperlink"/>
            <w:sz w:val="24"/>
            <w:szCs w:val="24"/>
            <w:lang w:val="et-EE"/>
          </w:rPr>
          <w:t>http://data.europa.eu/eli/C/2025/1326/oj</w:t>
        </w:r>
      </w:hyperlink>
      <w:r w:rsidRPr="004669DF">
        <w:rPr>
          <w:sz w:val="24"/>
          <w:szCs w:val="24"/>
          <w:lang w:val="et-EE"/>
        </w:rPr>
        <w:t>.</w:t>
      </w:r>
    </w:p>
  </w:footnote>
  <w:footnote w:id="5">
    <w:p w:rsidR="00721C7E" w:rsidRPr="004669DF" w:rsidP="00C00338" w14:paraId="65CECCAB" w14:textId="2B50F5CB">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Draghi, M., „The future of European competitiveness“ (Euroopa konkurentsivõime tulevik), 2024.</w:t>
      </w:r>
    </w:p>
  </w:footnote>
  <w:footnote w:id="6">
    <w:p w:rsidR="00721C7E" w:rsidRPr="004669DF" w:rsidP="00C00338" w14:paraId="58CD0070" w14:textId="5E3313D4">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Rahvusvahelise Valuutafondi Euroopa osakonna direktori Alfred Kammeri 16. detsembri 2024. aasta kõne „Europe’s Choice: Policies for Growth and Resilience“ (Euroopa valik: majanduskasvu ja vastupanuvõime poliitika).</w:t>
      </w:r>
    </w:p>
  </w:footnote>
  <w:footnote w:id="7">
    <w:p w:rsidR="00721C7E" w:rsidRPr="004669DF" w:rsidP="00C00338" w14:paraId="50B21165" w14:textId="0D59738D">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Euroopa Parlamendi 20. jaanuari 2026. aasta resolutsioon soovitustega komisjonile 28. režiimi kohta: uus õigusraamistik uuenduslike ettevõtete jaoks.</w:t>
      </w:r>
    </w:p>
  </w:footnote>
  <w:footnote w:id="8">
    <w:p w:rsidR="00721C7E" w:rsidRPr="004669DF" w:rsidP="00C00338" w14:paraId="73846090" w14:textId="3F1BFAA3">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Komisjoni ettepanek võtta vastu Euroopa Parlamendi ja nõukogu määrus, mis käsitleb äriühingute 28. õigusraamistikku – „EU Inc.“.</w:t>
      </w:r>
    </w:p>
  </w:footnote>
  <w:footnote w:id="9">
    <w:p w:rsidR="00721C7E" w:rsidRPr="004669DF" w:rsidP="00C00338" w14:paraId="10A0EE84" w14:textId="7D604688">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Euroopa Komisjoni aruanne „Flash Eurobarometer 559 – Startups, scaleups and entrepreneurship“ (Eurobaromeetri kiiruuring 559 – idu- ja kasvufirmad ning ettevõtlus), 2025.</w:t>
      </w:r>
    </w:p>
  </w:footnote>
  <w:footnote w:id="10">
    <w:p w:rsidR="00721C7E" w:rsidRPr="004669DF" w:rsidP="00C00338" w14:paraId="4F255C6F" w14:textId="2ED48670">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Draghi, M., „The future of European competitiveness“ (Euroopa konkurentsivõime tulevik), 2024.</w:t>
      </w:r>
    </w:p>
  </w:footnote>
  <w:footnote w:id="11">
    <w:p w:rsidR="00721C7E" w:rsidRPr="004669DF" w:rsidP="00C00338" w14:paraId="0A153A18" w14:textId="3DDDF56B">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Draghi, M., „The future of European competitiveness“ (Euroopa konkurentsivõime tulevik), 2024.</w:t>
      </w:r>
    </w:p>
  </w:footnote>
  <w:footnote w:id="12">
    <w:p w:rsidR="00721C7E" w:rsidRPr="004669DF" w:rsidP="00C00338" w14:paraId="7AE26A43" w14:textId="01279372">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r>
      <w:r w:rsidRPr="004669DF">
        <w:rPr>
          <w:sz w:val="24"/>
          <w:szCs w:val="24"/>
          <w:lang w:val="et-EE"/>
        </w:rPr>
        <w:t>Letta</w:t>
      </w:r>
      <w:r w:rsidRPr="004669DF">
        <w:rPr>
          <w:sz w:val="24"/>
          <w:szCs w:val="24"/>
          <w:lang w:val="et-EE"/>
        </w:rPr>
        <w:t>, E., „Much more than a market“ (Palju enamat kui turg), 2024.</w:t>
      </w:r>
    </w:p>
  </w:footnote>
  <w:footnote w:id="13">
    <w:p w:rsidR="00721C7E" w:rsidRPr="004669DF" w:rsidP="00C00338" w14:paraId="2C64B7AC" w14:textId="4E4F2D47">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 xml:space="preserve">Nõukogu 12. juuli 2016. aasta direktiiv (EL) 2016/1164, millega nähakse ette siseturu toimimist otseselt mõjutavate maksustamise vältimise viiside vastased eeskirjad (ELT L 193, 19.7.2016, lk 1, ELI: </w:t>
      </w:r>
      <w:hyperlink r:id="rId2" w:tgtFrame="http://data.europa.eu/eli/dir/2016/1164/oj" w:history="1">
        <w:r w:rsidRPr="004669DF">
          <w:rPr>
            <w:rStyle w:val="Hyperlink"/>
            <w:sz w:val="24"/>
            <w:szCs w:val="24"/>
            <w:lang w:val="et-EE"/>
          </w:rPr>
          <w:t>http://data.europa.eu/eli/dir/2016/1164/oj</w:t>
        </w:r>
      </w:hyperlink>
      <w:r w:rsidRPr="004669DF">
        <w:rPr>
          <w:sz w:val="24"/>
          <w:szCs w:val="24"/>
          <w:lang w:val="et-EE"/>
        </w:rPr>
        <w:t>).</w:t>
      </w:r>
    </w:p>
  </w:footnote>
  <w:footnote w:id="14">
    <w:p w:rsidR="00721C7E" w:rsidRPr="004669DF" w:rsidP="00C00338" w14:paraId="3A486482" w14:textId="714FDBBB">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Euroopa Parlament, majanduse ja kasvu poliitikaosakond; Filip Debelva, Joris Luts, Anne Mieke Vandekerkhove, Niels Bammens, uuring „Feasibility of a 28th Tax Regime and Its Potential to Support EU Competitiveness“ (28. maksusüsteemi teostatavus ja selle potentsiaal toetada ELi konkurentsivõimet), 2026.</w:t>
      </w:r>
    </w:p>
  </w:footnote>
  <w:footnote w:id="15">
    <w:p w:rsidR="00721C7E" w:rsidRPr="004669DF" w:rsidP="00C00338" w14:paraId="0DF3775D" w14:textId="7435BF85">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Pakett „Käibemaks digiajastul“.</w:t>
      </w:r>
    </w:p>
  </w:footnote>
  <w:footnote w:id="16">
    <w:p w:rsidR="00721C7E" w:rsidRPr="004669DF" w:rsidP="00C00338" w14:paraId="51AAC714" w14:textId="27F6A42C">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 xml:space="preserve">Nõukogu 10. detsembri 2024. aasta direktiiv (EL) 2025/50 ülemääraselt kinnipeetava maksu vähendamise kiiremate ja turvalisemate menetluste kohta (ELT L, 2025/50, 10.1.2025, ELI: </w:t>
      </w:r>
      <w:hyperlink r:id="rId3" w:tgtFrame="http://data.europa.eu/eli/dir/2025/50/oj" w:history="1">
        <w:r w:rsidRPr="004669DF">
          <w:rPr>
            <w:rStyle w:val="Hyperlink"/>
            <w:sz w:val="24"/>
            <w:szCs w:val="24"/>
            <w:lang w:val="et-EE"/>
          </w:rPr>
          <w:t>http://data.europa.eu/eli/dir/2025/50/oj</w:t>
        </w:r>
      </w:hyperlink>
      <w:r w:rsidRPr="004669DF">
        <w:rPr>
          <w:sz w:val="24"/>
          <w:szCs w:val="24"/>
          <w:lang w:val="et-EE"/>
        </w:rPr>
        <w:t>).</w:t>
      </w:r>
    </w:p>
  </w:footnote>
  <w:footnote w:id="17">
    <w:p w:rsidR="00721C7E" w:rsidRPr="004669DF" w:rsidP="00C00338" w14:paraId="25146150" w14:textId="3D81FE1D">
      <w:pPr>
        <w:pStyle w:val="FootnoteText"/>
        <w:ind w:left="567" w:hanging="567"/>
        <w:rPr>
          <w:sz w:val="24"/>
          <w:szCs w:val="24"/>
          <w:lang w:val="et-EE"/>
        </w:rPr>
      </w:pPr>
      <w:r w:rsidRPr="004669DF">
        <w:rPr>
          <w:rStyle w:val="FootnoteReference"/>
          <w:sz w:val="24"/>
          <w:szCs w:val="24"/>
        </w:rPr>
        <w:footnoteRef/>
      </w:r>
      <w:r w:rsidRPr="004669DF">
        <w:rPr>
          <w:sz w:val="24"/>
          <w:szCs w:val="24"/>
          <w:lang w:val="et-EE"/>
        </w:rPr>
        <w:t xml:space="preserve"> </w:t>
      </w:r>
      <w:r w:rsidRPr="004669DF">
        <w:rPr>
          <w:sz w:val="24"/>
          <w:szCs w:val="24"/>
          <w:lang w:val="et-EE"/>
        </w:rPr>
        <w:tab/>
        <w:t xml:space="preserve">Euroopa Parlamendi ja nõukogu 29. aprilli 2004. aasta määrus (EÜ) nr 883/2004 sotsiaalkindlustussüsteemide koordineerimise kohta (ELT L 166, 30.4.2004, lk 1, ELI: </w:t>
      </w:r>
      <w:hyperlink r:id="rId4" w:tgtFrame="http://data.europa.eu/eli/reg/2004/883/oj" w:history="1">
        <w:r w:rsidRPr="004669DF">
          <w:rPr>
            <w:rStyle w:val="Hyperlink"/>
            <w:sz w:val="24"/>
            <w:szCs w:val="24"/>
            <w:lang w:val="et-EE"/>
          </w:rPr>
          <w:t>http://data.europa.eu/eli/reg/2004/883/oj</w:t>
        </w:r>
      </w:hyperlink>
      <w:r w:rsidRPr="004669D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338" w14:paraId="0BE11CF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338" w14:paraId="74B4485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338" w14:paraId="57FF43D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0486317">
    <w:abstractNumId w:val="9"/>
  </w:num>
  <w:num w:numId="2" w16cid:durableId="1494253116">
    <w:abstractNumId w:val="9"/>
  </w:num>
  <w:num w:numId="3" w16cid:durableId="1616718591">
    <w:abstractNumId w:val="7"/>
  </w:num>
  <w:num w:numId="4" w16cid:durableId="24448176">
    <w:abstractNumId w:val="7"/>
  </w:num>
  <w:num w:numId="5" w16cid:durableId="428547358">
    <w:abstractNumId w:val="6"/>
  </w:num>
  <w:num w:numId="6" w16cid:durableId="2012557706">
    <w:abstractNumId w:val="6"/>
  </w:num>
  <w:num w:numId="7" w16cid:durableId="1095831765">
    <w:abstractNumId w:val="5"/>
  </w:num>
  <w:num w:numId="8" w16cid:durableId="1537044669">
    <w:abstractNumId w:val="5"/>
  </w:num>
  <w:num w:numId="9" w16cid:durableId="1704402185">
    <w:abstractNumId w:val="4"/>
  </w:num>
  <w:num w:numId="10" w16cid:durableId="705065753">
    <w:abstractNumId w:val="4"/>
  </w:num>
  <w:num w:numId="11" w16cid:durableId="405735495">
    <w:abstractNumId w:val="8"/>
  </w:num>
  <w:num w:numId="12" w16cid:durableId="1927104739">
    <w:abstractNumId w:val="8"/>
  </w:num>
  <w:num w:numId="13" w16cid:durableId="1379669413">
    <w:abstractNumId w:val="3"/>
  </w:num>
  <w:num w:numId="14" w16cid:durableId="2005695931">
    <w:abstractNumId w:val="3"/>
  </w:num>
  <w:num w:numId="15" w16cid:durableId="278343927">
    <w:abstractNumId w:val="2"/>
  </w:num>
  <w:num w:numId="16" w16cid:durableId="176116697">
    <w:abstractNumId w:val="2"/>
  </w:num>
  <w:num w:numId="17" w16cid:durableId="1219054796">
    <w:abstractNumId w:val="1"/>
  </w:num>
  <w:num w:numId="18" w16cid:durableId="1255745655">
    <w:abstractNumId w:val="1"/>
  </w:num>
  <w:num w:numId="19" w16cid:durableId="665131998">
    <w:abstractNumId w:val="0"/>
  </w:num>
  <w:num w:numId="20" w16cid:durableId="1179389070">
    <w:abstractNumId w:val="0"/>
  </w:num>
  <w:num w:numId="21" w16cid:durableId="1357922679">
    <w:abstractNumId w:val="9"/>
  </w:num>
  <w:num w:numId="22" w16cid:durableId="284699403">
    <w:abstractNumId w:val="7"/>
  </w:num>
  <w:num w:numId="23" w16cid:durableId="1895117705">
    <w:abstractNumId w:val="6"/>
  </w:num>
  <w:num w:numId="24" w16cid:durableId="1997369373">
    <w:abstractNumId w:val="5"/>
  </w:num>
  <w:num w:numId="25" w16cid:durableId="1299996547">
    <w:abstractNumId w:val="4"/>
  </w:num>
  <w:num w:numId="26" w16cid:durableId="882667841">
    <w:abstractNumId w:val="8"/>
  </w:num>
  <w:num w:numId="27" w16cid:durableId="402605761">
    <w:abstractNumId w:val="3"/>
  </w:num>
  <w:num w:numId="28" w16cid:durableId="1925798526">
    <w:abstractNumId w:val="2"/>
  </w:num>
  <w:num w:numId="29" w16cid:durableId="1938557295">
    <w:abstractNumId w:val="1"/>
  </w:num>
  <w:num w:numId="30" w16cid:durableId="2022003484">
    <w:abstractNumId w:val="0"/>
  </w:num>
  <w:num w:numId="31" w16cid:durableId="201334513">
    <w:abstractNumId w:val="9"/>
  </w:num>
  <w:num w:numId="32" w16cid:durableId="862404227">
    <w:abstractNumId w:val="7"/>
  </w:num>
  <w:num w:numId="33" w16cid:durableId="904612234">
    <w:abstractNumId w:val="6"/>
  </w:num>
  <w:num w:numId="34" w16cid:durableId="1895658128">
    <w:abstractNumId w:val="5"/>
  </w:num>
  <w:num w:numId="35" w16cid:durableId="1560556495">
    <w:abstractNumId w:val="4"/>
  </w:num>
  <w:num w:numId="36" w16cid:durableId="772365382">
    <w:abstractNumId w:val="8"/>
  </w:num>
  <w:num w:numId="37" w16cid:durableId="904679228">
    <w:abstractNumId w:val="3"/>
  </w:num>
  <w:num w:numId="38" w16cid:durableId="1075132072">
    <w:abstractNumId w:val="2"/>
  </w:num>
  <w:num w:numId="39" w16cid:durableId="137304547">
    <w:abstractNumId w:val="1"/>
  </w:num>
  <w:num w:numId="40" w16cid:durableId="329868537">
    <w:abstractNumId w:val="0"/>
  </w:num>
  <w:num w:numId="41" w16cid:durableId="1998072923">
    <w:abstractNumId w:val="10"/>
  </w:num>
  <w:num w:numId="42" w16cid:durableId="92870538">
    <w:abstractNumId w:val="10"/>
  </w:num>
  <w:num w:numId="43" w16cid:durableId="481197284">
    <w:abstractNumId w:val="10"/>
  </w:num>
  <w:num w:numId="44" w16cid:durableId="1763062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B76"/>
    <w:rsid w:val="00002272"/>
    <w:rsid w:val="00064002"/>
    <w:rsid w:val="000677B9"/>
    <w:rsid w:val="000831BA"/>
    <w:rsid w:val="000A42CC"/>
    <w:rsid w:val="000E7DD9"/>
    <w:rsid w:val="0010095E"/>
    <w:rsid w:val="00104032"/>
    <w:rsid w:val="00125B37"/>
    <w:rsid w:val="00187494"/>
    <w:rsid w:val="001E4B76"/>
    <w:rsid w:val="001F32AE"/>
    <w:rsid w:val="002767FF"/>
    <w:rsid w:val="002B18FE"/>
    <w:rsid w:val="002B5493"/>
    <w:rsid w:val="0033257A"/>
    <w:rsid w:val="00343214"/>
    <w:rsid w:val="00361C00"/>
    <w:rsid w:val="00375A81"/>
    <w:rsid w:val="00395FA1"/>
    <w:rsid w:val="003E15D4"/>
    <w:rsid w:val="003F517E"/>
    <w:rsid w:val="00411CCE"/>
    <w:rsid w:val="0041666E"/>
    <w:rsid w:val="00421060"/>
    <w:rsid w:val="004669DF"/>
    <w:rsid w:val="00471C19"/>
    <w:rsid w:val="004867E3"/>
    <w:rsid w:val="00494A28"/>
    <w:rsid w:val="004C0004"/>
    <w:rsid w:val="004C1954"/>
    <w:rsid w:val="004C5D52"/>
    <w:rsid w:val="0050519A"/>
    <w:rsid w:val="005072A1"/>
    <w:rsid w:val="00514517"/>
    <w:rsid w:val="00545827"/>
    <w:rsid w:val="00560270"/>
    <w:rsid w:val="00563369"/>
    <w:rsid w:val="005700A5"/>
    <w:rsid w:val="00580BAE"/>
    <w:rsid w:val="005B7454"/>
    <w:rsid w:val="005C2568"/>
    <w:rsid w:val="005F1B17"/>
    <w:rsid w:val="005F6E86"/>
    <w:rsid w:val="006037C0"/>
    <w:rsid w:val="006319C4"/>
    <w:rsid w:val="006631B6"/>
    <w:rsid w:val="00680577"/>
    <w:rsid w:val="006F74FA"/>
    <w:rsid w:val="00721C7E"/>
    <w:rsid w:val="00731ADD"/>
    <w:rsid w:val="00734777"/>
    <w:rsid w:val="00736A62"/>
    <w:rsid w:val="007434DE"/>
    <w:rsid w:val="00746F2F"/>
    <w:rsid w:val="00747932"/>
    <w:rsid w:val="00751A4A"/>
    <w:rsid w:val="00756632"/>
    <w:rsid w:val="00762C74"/>
    <w:rsid w:val="00786EC0"/>
    <w:rsid w:val="007D1690"/>
    <w:rsid w:val="007E22AD"/>
    <w:rsid w:val="007F2FCA"/>
    <w:rsid w:val="00817416"/>
    <w:rsid w:val="00842779"/>
    <w:rsid w:val="00865F67"/>
    <w:rsid w:val="00881A7B"/>
    <w:rsid w:val="008840E5"/>
    <w:rsid w:val="00887B3E"/>
    <w:rsid w:val="008C2AC6"/>
    <w:rsid w:val="00930C23"/>
    <w:rsid w:val="0093193B"/>
    <w:rsid w:val="009509D8"/>
    <w:rsid w:val="00950B64"/>
    <w:rsid w:val="00981893"/>
    <w:rsid w:val="009E24FA"/>
    <w:rsid w:val="00A1687D"/>
    <w:rsid w:val="00A43E52"/>
    <w:rsid w:val="00A4678D"/>
    <w:rsid w:val="00A778C7"/>
    <w:rsid w:val="00AB1D19"/>
    <w:rsid w:val="00AB441E"/>
    <w:rsid w:val="00AB6293"/>
    <w:rsid w:val="00AD553A"/>
    <w:rsid w:val="00AE0928"/>
    <w:rsid w:val="00AF3B82"/>
    <w:rsid w:val="00B12E95"/>
    <w:rsid w:val="00B22876"/>
    <w:rsid w:val="00B454CE"/>
    <w:rsid w:val="00B558F0"/>
    <w:rsid w:val="00BD48FE"/>
    <w:rsid w:val="00BD69FB"/>
    <w:rsid w:val="00BD7BD8"/>
    <w:rsid w:val="00BE6ADC"/>
    <w:rsid w:val="00C00338"/>
    <w:rsid w:val="00C05BFE"/>
    <w:rsid w:val="00C23CD4"/>
    <w:rsid w:val="00C23F1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26B"/>
    <w:rsid w:val="00F74202"/>
    <w:rsid w:val="00F87713"/>
    <w:rsid w:val="00FB4360"/>
    <w:rsid w:val="00FB7F1F"/>
    <w:rsid w:val="00FD0C70"/>
  </w:rsids>
  <w:docVars>
    <w:docVar w:name="dvdocse" w:val="A10-0167/2026"/>
    <w:docVar w:name="dvlangue" w:val="ET"/>
    <w:docVar w:name="dvnumam" w:val="0"/>
    <w:docVar w:name="dvpe" w:val="785.418"/>
    <w:docVar w:name="dvrapporteur" w:val="Raportöör: "/>
    <w:docVar w:name="dvtitre" w:val="Euroopa Parlamendi .... 2026. aasta resolutsioon 28. maksusüsteemi teostatavuse ja selle potentsiaali kohta toetada ELi konkurentsivõimet(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31B839"/>
  <w15:chartTrackingRefBased/>
  <w15:docId w15:val="{587C0C5D-B355-4F3A-9BFA-05AB97E4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46F2F"/>
    <w:pPr>
      <w:widowControl/>
      <w:spacing w:after="240"/>
    </w:pPr>
    <w:rPr>
      <w:szCs w:val="24"/>
      <w:lang w:eastAsia="en-US"/>
    </w:rPr>
  </w:style>
  <w:style w:type="paragraph" w:customStyle="1" w:styleId="NormalHanging12a">
    <w:name w:val="NormalHanging12a"/>
    <w:basedOn w:val="Normal"/>
    <w:rsid w:val="00746F2F"/>
    <w:pPr>
      <w:widowControl/>
      <w:spacing w:after="240"/>
      <w:ind w:left="566" w:hanging="566"/>
    </w:pPr>
    <w:rPr>
      <w:szCs w:val="24"/>
      <w:lang w:eastAsia="en-US"/>
    </w:rPr>
  </w:style>
  <w:style w:type="paragraph" w:customStyle="1" w:styleId="Normal12">
    <w:name w:val="Normal12"/>
    <w:basedOn w:val="Normal"/>
    <w:rsid w:val="00746F2F"/>
    <w:pPr>
      <w:spacing w:after="240"/>
    </w:pPr>
    <w:rPr>
      <w:szCs w:val="24"/>
      <w:lang w:eastAsia="en-US"/>
    </w:rPr>
  </w:style>
  <w:style w:type="paragraph" w:customStyle="1" w:styleId="NormalHanging">
    <w:name w:val="NormalHanging"/>
    <w:basedOn w:val="Normal"/>
    <w:rsid w:val="00746F2F"/>
    <w:pPr>
      <w:spacing w:after="240"/>
      <w:ind w:left="566" w:hanging="566"/>
    </w:pPr>
    <w:rPr>
      <w:szCs w:val="24"/>
      <w:lang w:eastAsia="en-US"/>
    </w:rPr>
  </w:style>
  <w:style w:type="paragraph" w:customStyle="1" w:styleId="NormalCenter12a">
    <w:name w:val="NormalCenter12a"/>
    <w:basedOn w:val="Normal"/>
    <w:rsid w:val="00746F2F"/>
    <w:pPr>
      <w:widowControl/>
      <w:spacing w:after="240"/>
      <w:jc w:val="center"/>
    </w:pPr>
    <w:rPr>
      <w:szCs w:val="24"/>
      <w:lang w:eastAsia="en-US"/>
    </w:rPr>
  </w:style>
  <w:style w:type="character" w:styleId="Hyperlink">
    <w:name w:val="Hyperlink"/>
    <w:basedOn w:val="DefaultParagraphFont"/>
    <w:rsid w:val="00746F2F"/>
    <w:rPr>
      <w:color w:val="0000FF"/>
      <w:u w:val="single"/>
    </w:rPr>
  </w:style>
  <w:style w:type="paragraph" w:styleId="Revision">
    <w:name w:val="Revision"/>
    <w:hidden/>
    <w:uiPriority w:val="99"/>
    <w:semiHidden/>
    <w:rsid w:val="00721C7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TXT/?uri=CELEX:52025DC0124"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4207</Words>
  <Characters>33482</Characters>
  <Application>Microsoft Office Word</Application>
  <DocSecurity>0</DocSecurity>
  <Lines>2575</Lines>
  <Paragraphs>1507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2026-07-09T13:11:00Z</cp:lastPrinted>
  <dcterms:created xsi:type="dcterms:W3CDTF">2026-08-05T12:54:00Z</dcterms:created>
  <dcterms:modified xsi:type="dcterms:W3CDTF">2026-08-05T12:54:00Z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A10-0167/2026</vt:lpwstr>
  </property>
  <property fmtid="{D5CDD505-2E9C-101B-9397-08002B2CF9AE}" pid="4" name="&lt;Type&gt;">
    <vt:lpwstr>RR</vt:lpwstr>
  </property>
</Properties>
</file>