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334D95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A45A0" w:rsidP="0010095E" w14:paraId="52523F66" w14:textId="77777777">
            <w:pPr>
              <w:pStyle w:val="EPName"/>
            </w:pPr>
            <w:r w:rsidRPr="00AA45A0">
              <w:t>Parlament Ewropew</w:t>
            </w:r>
          </w:p>
          <w:p w:rsidR="00751A4A" w:rsidRPr="00AA45A0" w:rsidP="005F1B17" w14:paraId="38571E19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45A0">
              <w:t>2024</w:t>
            </w:r>
            <w:r w:rsidRPr="00AA45A0" w:rsidR="00817416">
              <w:t>-202</w:t>
            </w:r>
            <w:r w:rsidRPr="00AA45A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A45A0" w:rsidP="0010095E" w14:paraId="012A6A18" w14:textId="77777777">
            <w:pPr>
              <w:pStyle w:val="EPLogo"/>
            </w:pPr>
            <w:r w:rsidRPr="00AA45A0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A45A0" w:rsidP="004C5D52" w14:paraId="2D837292" w14:textId="77777777">
      <w:pPr>
        <w:pStyle w:val="LineTop"/>
      </w:pPr>
    </w:p>
    <w:p w:rsidR="00680577" w:rsidRPr="00AA45A0" w:rsidP="00680577" w14:paraId="26CF094E" w14:textId="77777777">
      <w:pPr>
        <w:pStyle w:val="EPBodyTA1"/>
      </w:pPr>
      <w:r w:rsidRPr="00AA45A0">
        <w:t>TESTI ADOTTATI</w:t>
      </w:r>
    </w:p>
    <w:p w:rsidR="00D058B8" w:rsidRPr="00AA45A0" w:rsidP="00D058B8" w14:paraId="6FA4CD00" w14:textId="77777777">
      <w:pPr>
        <w:pStyle w:val="LineBottom"/>
      </w:pPr>
    </w:p>
    <w:p w:rsidR="007C027B" w:rsidRPr="00AA45A0" w:rsidP="007C027B" w14:paraId="205966C6" w14:textId="63920BA4">
      <w:pPr>
        <w:pStyle w:val="ATHeading1"/>
      </w:pPr>
      <w:bookmarkStart w:id="0" w:name="TANumber"/>
      <w:r w:rsidRPr="00AA45A0">
        <w:t>P10_TA(2026)0</w:t>
      </w:r>
      <w:bookmarkEnd w:id="0"/>
      <w:r w:rsidR="00E151A4">
        <w:t>270</w:t>
      </w:r>
    </w:p>
    <w:p w:rsidR="007C027B" w:rsidRPr="00AA45A0" w:rsidP="007C027B" w14:paraId="20C87174" w14:textId="77777777">
      <w:pPr>
        <w:pStyle w:val="ATHeading2"/>
      </w:pPr>
      <w:bookmarkStart w:id="1" w:name="title"/>
      <w:r w:rsidRPr="00AA45A0">
        <w:t>Il-fattibbiltà tat-28 reġim tat-taxxa u l-potenzjal tiegħu li jappoġġja l-kompetittività tal-UE</w:t>
      </w:r>
      <w:bookmarkEnd w:id="1"/>
    </w:p>
    <w:p w:rsidR="007C027B" w:rsidRPr="00AA45A0" w:rsidP="007C027B" w14:paraId="44B53978" w14:textId="77777777">
      <w:pPr>
        <w:rPr>
          <w:i/>
          <w:vanish/>
        </w:rPr>
      </w:pPr>
      <w:r>
        <w:rPr>
          <w:i/>
        </w:rPr>
        <w:fldChar w:fldCharType="begin"/>
      </w:r>
      <w:r w:rsidRPr="00AA45A0">
        <w:rPr>
          <w:i/>
        </w:rPr>
        <w:instrText xml:space="preserve"> TC"(</w:instrText>
      </w:r>
      <w:bookmarkStart w:id="2" w:name="DocNumber"/>
      <w:r w:rsidRPr="00AA45A0">
        <w:rPr>
          <w:i/>
        </w:rPr>
        <w:instrText>A10-0167/2026</w:instrText>
      </w:r>
      <w:bookmarkEnd w:id="2"/>
      <w:r w:rsidRPr="00AA45A0">
        <w:rPr>
          <w:i/>
        </w:rPr>
        <w:instrText xml:space="preserve"> - Rapporteur: Ľudovít Ódor)"\l3 \n&gt; \* MERGEFORMAT </w:instrText>
      </w:r>
      <w:r>
        <w:rPr>
          <w:i/>
        </w:rPr>
        <w:fldChar w:fldCharType="end"/>
      </w:r>
    </w:p>
    <w:p w:rsidR="007C027B" w:rsidRPr="00AA45A0" w:rsidP="007C027B" w14:paraId="776A919F" w14:textId="77777777">
      <w:pPr>
        <w:rPr>
          <w:vanish/>
        </w:rPr>
      </w:pPr>
      <w:bookmarkStart w:id="3" w:name="Commission"/>
      <w:r w:rsidRPr="00AA45A0">
        <w:rPr>
          <w:vanish/>
        </w:rPr>
        <w:t>Kumitat għall-Affarijiet Ekonomiċi u Monetarji</w:t>
      </w:r>
      <w:bookmarkEnd w:id="3"/>
    </w:p>
    <w:p w:rsidR="007C027B" w:rsidRPr="00AA45A0" w:rsidP="007C027B" w14:paraId="4E618995" w14:textId="77777777">
      <w:pPr>
        <w:rPr>
          <w:vanish/>
        </w:rPr>
      </w:pPr>
      <w:bookmarkStart w:id="4" w:name="PE"/>
      <w:r w:rsidRPr="00AA45A0">
        <w:rPr>
          <w:vanish/>
        </w:rPr>
        <w:t>PE785.418</w:t>
      </w:r>
      <w:bookmarkEnd w:id="4"/>
    </w:p>
    <w:p w:rsidR="007C027B" w:rsidRPr="00AA45A0" w:rsidP="007C027B" w14:paraId="0EE7E6AF" w14:textId="407285FF">
      <w:pPr>
        <w:pStyle w:val="ATHeading3"/>
      </w:pPr>
      <w:bookmarkStart w:id="5" w:name="Sujet"/>
      <w:r w:rsidRPr="00AA45A0">
        <w:t xml:space="preserve">Riżoluzzjoni tal-Parlament Ewropew </w:t>
      </w:r>
      <w:r w:rsidR="007F2040">
        <w:t>ta</w:t>
      </w:r>
      <w:r w:rsidR="00C75A4B">
        <w:t>d</w:t>
      </w:r>
      <w:r w:rsidR="007F2040">
        <w:t>-</w:t>
      </w:r>
      <w:r w:rsidR="00C75A4B">
        <w:t>9</w:t>
      </w:r>
      <w:r w:rsidR="007F2040">
        <w:t xml:space="preserve"> ta’ Lulju</w:t>
      </w:r>
      <w:r w:rsidRPr="00AA45A0">
        <w:t xml:space="preserve"> 2026 dwar il-fattibbiltà tat-28 reġim tat-taxxa u l-potenzjal tiegħu li jappoġġja l-kompetittività tal-UE</w:t>
      </w:r>
      <w:bookmarkEnd w:id="5"/>
      <w:r w:rsidRPr="00AA45A0">
        <w:t xml:space="preserve"> </w:t>
      </w:r>
      <w:bookmarkStart w:id="6" w:name="References"/>
      <w:r w:rsidRPr="00AA45A0">
        <w:t>(2025/2211(INI))</w:t>
      </w:r>
      <w:bookmarkEnd w:id="6"/>
    </w:p>
    <w:p w:rsidR="0087232C" w:rsidRPr="00AA45A0" w:rsidP="0087232C" w14:paraId="273E806A" w14:textId="77777777">
      <w:pPr>
        <w:pStyle w:val="Normal12"/>
      </w:pPr>
      <w:r w:rsidRPr="00AA45A0">
        <w:rPr>
          <w:i/>
        </w:rPr>
        <w:t>Il-Parlament Ewropew</w:t>
      </w:r>
      <w:r w:rsidRPr="00AA45A0">
        <w:t>,</w:t>
      </w:r>
    </w:p>
    <w:p w:rsidR="0087232C" w:rsidRPr="00AA45A0" w:rsidP="0087232C" w14:paraId="23D1250C" w14:textId="77777777">
      <w:pPr>
        <w:pStyle w:val="NormalHanging"/>
      </w:pPr>
      <w:r w:rsidRPr="00AA45A0">
        <w:t>–</w:t>
      </w:r>
      <w:r w:rsidRPr="00AA45A0">
        <w:tab/>
        <w:t>wara li kkunsidra l-Artikoli 4(2)(a), 5, 6(g), 50, 113, 114(1), 115, 116 u 225 tat-Trattat dwar il-Funzjonament tal-Unjoni Ewropea,</w:t>
      </w:r>
    </w:p>
    <w:p w:rsidR="0087232C" w:rsidRPr="00AA45A0" w:rsidP="0087232C" w14:paraId="2986FC3A" w14:textId="6EC48B83">
      <w:pPr>
        <w:pStyle w:val="NormalHanging"/>
      </w:pPr>
      <w:r w:rsidRPr="00AA45A0">
        <w:t>–</w:t>
      </w:r>
      <w:r w:rsidRPr="00AA45A0">
        <w:tab/>
        <w:t xml:space="preserve">wara li kkunsidra l-proposta tal-Kummissjoni tat-18 ta’ Marzu 2026 għal Regolament tal-Parlament Ewropew u tal-Kunsill dwar il-qafas legali korporattiv tat-28 reġim – “EU </w:t>
      </w:r>
      <w:r w:rsidRPr="00AA45A0">
        <w:t>Inc</w:t>
      </w:r>
      <w:r w:rsidRPr="00AA45A0">
        <w:t>.” (</w:t>
      </w:r>
      <w:r w:rsidRPr="007F2040">
        <w:t>COM(2026)0321</w:t>
      </w:r>
      <w:r w:rsidRPr="00AA45A0">
        <w:t>),</w:t>
      </w:r>
    </w:p>
    <w:p w:rsidR="0087232C" w:rsidRPr="00AA45A0" w:rsidP="0087232C" w14:paraId="3A86FFC2" w14:textId="783FCCB1">
      <w:pPr>
        <w:pStyle w:val="NormalHanging"/>
      </w:pPr>
      <w:r w:rsidRPr="00AA45A0">
        <w:t>–</w:t>
      </w:r>
      <w:r w:rsidRPr="00AA45A0">
        <w:tab/>
        <w:t>wara li kkunsidra r-riżoluzzjoni tiegħu tal-20 ta’ Jannar 2026 li tinkludi rakkomandazzjonijiet lill-Kummissjoni dwar it-28 Reġim: qafas legali ġdid għall-kumpaniji innovattivi</w:t>
      </w:r>
      <w:r>
        <w:rPr>
          <w:rStyle w:val="FootnoteReference"/>
        </w:rPr>
        <w:footnoteReference w:id="2"/>
      </w:r>
      <w:r w:rsidRPr="00AA45A0">
        <w:t>,</w:t>
      </w:r>
    </w:p>
    <w:p w:rsidR="0087232C" w:rsidRPr="00AA45A0" w:rsidP="0087232C" w14:paraId="680E8247" w14:textId="12BFA165">
      <w:pPr>
        <w:pStyle w:val="NormalHanging"/>
      </w:pPr>
      <w:r w:rsidRPr="00AA45A0">
        <w:t>–</w:t>
      </w:r>
      <w:r w:rsidRPr="00AA45A0">
        <w:tab/>
        <w:t>wara li kkunsidra l-komunikazzjoni tal-Kummissjoni tas-21 ta’ Ottubru 2025 bit-titolu “Programm ta’ ħidma tal-Kummissjoni 2026 – Il-Mument tal-Indipendenza tal-Ewropa” (</w:t>
      </w:r>
      <w:r w:rsidRPr="007F2040">
        <w:t>COM(2025)0870)</w:t>
      </w:r>
      <w:r w:rsidRPr="00AA45A0">
        <w:t>,</w:t>
      </w:r>
    </w:p>
    <w:p w:rsidR="0087232C" w:rsidRPr="00AA45A0" w:rsidP="0087232C" w14:paraId="0FA8BE9B" w14:textId="67E4832E">
      <w:pPr>
        <w:pStyle w:val="NormalHanging"/>
      </w:pPr>
      <w:r w:rsidRPr="00AA45A0">
        <w:t>–</w:t>
      </w:r>
      <w:r w:rsidRPr="00AA45A0">
        <w:tab/>
        <w:t>wara li kkunsidra l-komunikazzjoni tal-Kummissjoni tad-19 ta’ Marzu 2025 bit-titolu “Unjoni tat-Tfaddil u tal-Investimenti – Strateġija biex Jissaħħu l-Ġid taċ-Ċittadini u l-Kompetittività Ekonomika fl-UE” (</w:t>
      </w:r>
      <w:r w:rsidRPr="007F2040">
        <w:t>COM(2025)</w:t>
      </w:r>
      <w:r w:rsidRPr="00AA45A0">
        <w:t>0124)</w:t>
      </w:r>
      <w:hyperlink r:id="rId7" w:tgtFrame="https://eur-lex.europa.eu/legal-content/MT/TXT/?uri=CELEX:52025DC0124" w:history="1">
        <w:r w:rsidRPr="00AA45A0">
          <w:rPr>
            <w:rStyle w:val="Hyperlink"/>
          </w:rPr>
          <w:t>,</w:t>
        </w:r>
      </w:hyperlink>
    </w:p>
    <w:p w:rsidR="0087232C" w:rsidRPr="00AA45A0" w:rsidP="0087232C" w14:paraId="57A4E77F" w14:textId="6419AE97">
      <w:pPr>
        <w:pStyle w:val="NormalHanging"/>
      </w:pPr>
      <w:r w:rsidRPr="00AA45A0">
        <w:t>–</w:t>
      </w:r>
      <w:r w:rsidRPr="00AA45A0">
        <w:tab/>
        <w:t xml:space="preserve">wara li kkunsidra l-komunikazzjoni tal-Kummissjoni tad-29 ta’ Jannar 2025 bit-titolu “Boxxla għall-Kompetittività tal-UE” </w:t>
      </w:r>
      <w:r w:rsidRPr="007F2040">
        <w:t>(COM(2025)0030</w:t>
      </w:r>
      <w:r w:rsidRPr="00AA45A0">
        <w:t>),</w:t>
      </w:r>
    </w:p>
    <w:p w:rsidR="0087232C" w:rsidRPr="00AA45A0" w:rsidP="0087232C" w14:paraId="6C51CCE6" w14:textId="1E21E7AB">
      <w:pPr>
        <w:pStyle w:val="NormalHanging"/>
      </w:pPr>
      <w:r w:rsidRPr="00AA45A0">
        <w:t>–</w:t>
      </w:r>
      <w:r w:rsidRPr="00AA45A0">
        <w:tab/>
        <w:t>wara li kkunsidra l-komunikazzjoni tal-Kummissjoni tat-28 ta’ Mejju 2025 bit-titolu “L-Istrateġija tal-UE dwar l-</w:t>
      </w:r>
      <w:r w:rsidRPr="00AA45A0">
        <w:t>Istartups</w:t>
      </w:r>
      <w:r w:rsidRPr="00AA45A0">
        <w:t xml:space="preserve"> u l-</w:t>
      </w:r>
      <w:r w:rsidRPr="00AA45A0">
        <w:t>Iscaleups</w:t>
      </w:r>
      <w:r w:rsidRPr="00AA45A0">
        <w:t xml:space="preserve"> – Agħżel l-Ewropa biex tibda jew tespandi negozju” (</w:t>
      </w:r>
      <w:r w:rsidRPr="007F2040">
        <w:t>COM(2025)0270</w:t>
      </w:r>
      <w:r w:rsidRPr="00AA45A0">
        <w:t>),</w:t>
      </w:r>
    </w:p>
    <w:p w:rsidR="0087232C" w:rsidRPr="00AA45A0" w:rsidP="0087232C" w14:paraId="192E84A0" w14:textId="77777777">
      <w:pPr>
        <w:pStyle w:val="NormalHanging"/>
      </w:pPr>
      <w:r w:rsidRPr="00AA45A0">
        <w:t>–</w:t>
      </w:r>
      <w:r w:rsidRPr="00AA45A0">
        <w:tab/>
        <w:t xml:space="preserve">wara li kkunsidra r-rapport tad-9 ta’ Settembru 2024 ta’ Mario </w:t>
      </w:r>
      <w:r w:rsidRPr="00AA45A0">
        <w:t>Draghi</w:t>
      </w:r>
      <w:r w:rsidRPr="00AA45A0">
        <w:t xml:space="preserve"> bit-titolu “</w:t>
      </w:r>
      <w:r w:rsidRPr="00AA45A0">
        <w:t>The</w:t>
      </w:r>
      <w:r w:rsidRPr="00AA45A0">
        <w:t xml:space="preserve"> </w:t>
      </w:r>
      <w:r w:rsidRPr="00AA45A0">
        <w:t>future</w:t>
      </w:r>
      <w:r w:rsidRPr="00AA45A0">
        <w:t xml:space="preserve"> of </w:t>
      </w:r>
      <w:r w:rsidRPr="00AA45A0">
        <w:t>European</w:t>
      </w:r>
      <w:r w:rsidRPr="00AA45A0">
        <w:t xml:space="preserve"> </w:t>
      </w:r>
      <w:r w:rsidRPr="00AA45A0">
        <w:t>competitiveness</w:t>
      </w:r>
      <w:r w:rsidRPr="00AA45A0">
        <w:t>” (Il-futur tal-kompetittività Ewropea) (ir-Rapport Draghi),</w:t>
      </w:r>
    </w:p>
    <w:p w:rsidR="0087232C" w:rsidRPr="00AA45A0" w:rsidP="0087232C" w14:paraId="28A2A559" w14:textId="77777777">
      <w:pPr>
        <w:pStyle w:val="NormalHanging"/>
      </w:pPr>
      <w:r w:rsidRPr="00AA45A0">
        <w:t>–</w:t>
      </w:r>
      <w:r w:rsidRPr="00AA45A0">
        <w:tab/>
        <w:t xml:space="preserve">wara li kkunsidra r-rapport tas-17 ta’ April 2024 ta’ Enrico </w:t>
      </w:r>
      <w:r w:rsidRPr="00AA45A0">
        <w:t>Letta</w:t>
      </w:r>
      <w:r w:rsidRPr="00AA45A0">
        <w:t xml:space="preserve"> bit-titolu “</w:t>
      </w:r>
      <w:r w:rsidRPr="00AA45A0">
        <w:t>Much</w:t>
      </w:r>
      <w:r w:rsidRPr="00AA45A0">
        <w:t xml:space="preserve"> </w:t>
      </w:r>
      <w:r w:rsidRPr="00AA45A0">
        <w:t>more</w:t>
      </w:r>
      <w:r w:rsidRPr="00AA45A0">
        <w:t xml:space="preserve"> </w:t>
      </w:r>
      <w:r w:rsidRPr="00AA45A0">
        <w:t>than</w:t>
      </w:r>
      <w:r w:rsidRPr="00AA45A0">
        <w:t xml:space="preserve"> a </w:t>
      </w:r>
      <w:r w:rsidRPr="00AA45A0">
        <w:t>market</w:t>
      </w:r>
      <w:r w:rsidRPr="00AA45A0">
        <w:t>” (Ħafna aktar milli suq),</w:t>
      </w:r>
    </w:p>
    <w:p w:rsidR="0087232C" w:rsidRPr="00AA45A0" w:rsidP="0087232C" w14:paraId="02AE1C28" w14:textId="5C706FD8">
      <w:pPr>
        <w:pStyle w:val="NormalHanging"/>
      </w:pPr>
      <w:r w:rsidRPr="00AA45A0">
        <w:t>–</w:t>
      </w:r>
      <w:r w:rsidRPr="00AA45A0">
        <w:tab/>
        <w:t>wara li kkunsidra l-proposta tal-Kummissjoni tat-12 ta’ Settembru 2023 għal Direttiva tal-Kunsill dwar in-Negozju fl-Ewropa: Qafas għat-Tassazzjoni tal-Introjtu (BEFIT) (</w:t>
      </w:r>
      <w:r w:rsidRPr="007F2040">
        <w:t>COM(2023)0532</w:t>
      </w:r>
      <w:r w:rsidRPr="00AA45A0">
        <w:t>),</w:t>
      </w:r>
    </w:p>
    <w:p w:rsidR="0087232C" w:rsidRPr="00AA45A0" w:rsidP="0087232C" w14:paraId="6C7ACF52" w14:textId="40528C91">
      <w:pPr>
        <w:pStyle w:val="NormalHanging"/>
      </w:pPr>
      <w:r w:rsidRPr="00AA45A0">
        <w:t>–</w:t>
      </w:r>
      <w:r w:rsidRPr="00AA45A0">
        <w:tab/>
        <w:t>wara li kkunsidra l-pożizzjoni tiegħu tat-13 ta’ Novembru 2025 dwar il-proposta għal direttiva tal-Kunsill dwar in-Negozju fl-Ewropa: Qafas għat-Tassazzjoni tal-Introjtu (BEFIT)</w:t>
      </w:r>
      <w:r>
        <w:rPr>
          <w:rStyle w:val="FootnoteReference"/>
        </w:rPr>
        <w:footnoteReference w:id="3"/>
      </w:r>
      <w:r w:rsidRPr="00AA45A0">
        <w:t>,</w:t>
      </w:r>
    </w:p>
    <w:p w:rsidR="0087232C" w:rsidRPr="00AA45A0" w:rsidP="0087232C" w14:paraId="3E705DC0" w14:textId="10276DF2">
      <w:pPr>
        <w:pStyle w:val="NormalHanging"/>
      </w:pPr>
      <w:r w:rsidRPr="00AA45A0">
        <w:t>–</w:t>
      </w:r>
      <w:r w:rsidRPr="00AA45A0">
        <w:tab/>
        <w:t xml:space="preserve">wara li kkunsidra l-proposta tal-Kummissjoni tat-12 ta’ Settembru 2023 għal Direttiva tal-Kunsill li tistabbilixxi sistema ta’ Taxxa tal-Uffiċċju Reġistrat għall-intrapriżi mikro, żgħar u ta’ daqs medju, u li temenda d-Direttiva 2011/16/UE </w:t>
      </w:r>
      <w:r w:rsidRPr="007F2040">
        <w:t>(COM(2023)0528</w:t>
      </w:r>
      <w:r w:rsidRPr="00AA45A0">
        <w:t>),</w:t>
      </w:r>
    </w:p>
    <w:p w:rsidR="0087232C" w:rsidRPr="00AA45A0" w:rsidP="0087232C" w14:paraId="77C95AF3" w14:textId="19C07CA1">
      <w:pPr>
        <w:pStyle w:val="NormalHanging"/>
      </w:pPr>
      <w:r w:rsidRPr="00AA45A0">
        <w:t>–</w:t>
      </w:r>
      <w:r w:rsidRPr="00AA45A0">
        <w:tab/>
        <w:t>wara li kkunsidra l-pożizzjoni tiegħu tal-10 ta’ April 2024 dwar il-proposta għal direttiva tal-Kunsill li tistabbilixxi sistema ta’ Taxxa tal-Uffiċċju Reġistrat għall-intrapriżi mikro, żgħar u ta’ daqs medju, u li temenda d-Direttiva 2011/16/UE</w:t>
      </w:r>
      <w:r>
        <w:rPr>
          <w:rStyle w:val="FootnoteReference"/>
        </w:rPr>
        <w:footnoteReference w:id="4"/>
      </w:r>
      <w:r w:rsidRPr="00AA45A0">
        <w:t>,</w:t>
      </w:r>
    </w:p>
    <w:p w:rsidR="0087232C" w:rsidRPr="00AA45A0" w:rsidP="0087232C" w14:paraId="02B31212" w14:textId="29FE71E3">
      <w:pPr>
        <w:pStyle w:val="NormalHanging"/>
      </w:pPr>
      <w:r w:rsidRPr="00AA45A0">
        <w:t>–</w:t>
      </w:r>
      <w:r w:rsidRPr="00AA45A0">
        <w:tab/>
        <w:t>wara li kkunsidra l-proposta tal-Kummissjoni tal-25 ta’ Ottubru 2016 għad Direttiva tal-Kunsill dwar Bażi Komuni Konsolidata għat-Taxxa Korporattiva (BKKTK) (</w:t>
      </w:r>
      <w:r w:rsidRPr="007F2040">
        <w:t>COM(2016)0683</w:t>
      </w:r>
      <w:r w:rsidRPr="00AA45A0">
        <w:t>),</w:t>
      </w:r>
    </w:p>
    <w:p w:rsidR="0087232C" w:rsidRPr="00AA45A0" w:rsidP="0087232C" w14:paraId="2AC8DE55" w14:textId="3B9D66D2">
      <w:pPr>
        <w:pStyle w:val="NormalHanging"/>
      </w:pPr>
      <w:r w:rsidRPr="00AA45A0">
        <w:t>–</w:t>
      </w:r>
      <w:r w:rsidRPr="00AA45A0">
        <w:tab/>
        <w:t>wara li kkunsidra l-proposta tal-Kummissjoni tal-25 ta’ Ottubru 2016 għal Direttiva tal-Kunsill dwar Bażi Komuni għat-Taxxa Korporattiva (</w:t>
      </w:r>
      <w:r w:rsidRPr="007F2040">
        <w:t>COM(2016)0685</w:t>
      </w:r>
      <w:r w:rsidRPr="00AA45A0">
        <w:t>),</w:t>
      </w:r>
    </w:p>
    <w:p w:rsidR="0087232C" w:rsidRPr="00AA45A0" w:rsidP="0087232C" w14:paraId="770639A5" w14:textId="368A6BB4">
      <w:pPr>
        <w:pStyle w:val="NormalHanging"/>
      </w:pPr>
      <w:r w:rsidRPr="00AA45A0">
        <w:t>–</w:t>
      </w:r>
      <w:r w:rsidRPr="00AA45A0">
        <w:tab/>
        <w:t xml:space="preserve">wara li kkunsidra l-proposta tal-Kummissjoni tal-11 ta’ Mejju 2022 għal Direttiva tal-Kunsill dwar l-istabbiliment ta’ regoli dwar </w:t>
      </w:r>
      <w:r w:rsidRPr="00AA45A0">
        <w:t>remissjoni</w:t>
      </w:r>
      <w:r w:rsidRPr="00AA45A0">
        <w:t xml:space="preserve"> li tnaqqas il-</w:t>
      </w:r>
      <w:r w:rsidRPr="00AA45A0">
        <w:t>predispożizzjoni</w:t>
      </w:r>
      <w:r w:rsidRPr="00AA45A0">
        <w:t xml:space="preserve"> favur id-dejn, u dwar il-limitazzjoni </w:t>
      </w:r>
      <w:r w:rsidRPr="00AA45A0">
        <w:t>tad-deduċibbiltà</w:t>
      </w:r>
      <w:r w:rsidRPr="00AA45A0">
        <w:t xml:space="preserve"> tal-imgħax għal finijiet ta’ taxxa korporattiva (</w:t>
      </w:r>
      <w:r w:rsidRPr="007F2040">
        <w:t>COM(2022)0216</w:t>
      </w:r>
      <w:r w:rsidRPr="00AA45A0">
        <w:t>),</w:t>
      </w:r>
    </w:p>
    <w:p w:rsidR="0087232C" w:rsidRPr="00AA45A0" w:rsidP="0087232C" w14:paraId="44DE6CD2" w14:textId="77777777">
      <w:pPr>
        <w:pStyle w:val="NormalHanging"/>
      </w:pPr>
      <w:r w:rsidRPr="00AA45A0">
        <w:t>–</w:t>
      </w:r>
      <w:r w:rsidRPr="00AA45A0">
        <w:tab/>
        <w:t xml:space="preserve">wara li kkunsidra r-rakkomandazzjoni tal-Kummissjoni tat-18 ta’ Marzu 2026 dwar id-definizzjoni ta’ intrapriżi innovattivi, </w:t>
      </w:r>
      <w:r w:rsidRPr="00AA45A0">
        <w:t>startups</w:t>
      </w:r>
      <w:r w:rsidRPr="00AA45A0">
        <w:t xml:space="preserve"> innovattivi u </w:t>
      </w:r>
      <w:r w:rsidRPr="00AA45A0">
        <w:t>scaleups</w:t>
      </w:r>
      <w:r w:rsidRPr="00AA45A0">
        <w:t xml:space="preserve"> innovattivi,</w:t>
      </w:r>
    </w:p>
    <w:p w:rsidR="0087232C" w:rsidRPr="00AA45A0" w:rsidP="0087232C" w14:paraId="24019420" w14:textId="77777777">
      <w:pPr>
        <w:pStyle w:val="NormalHanging"/>
      </w:pPr>
      <w:r w:rsidRPr="00AA45A0">
        <w:t>–</w:t>
      </w:r>
      <w:r w:rsidRPr="00AA45A0">
        <w:tab/>
        <w:t>wara li kkunsidra l-</w:t>
      </w:r>
      <w:r w:rsidRPr="00AA45A0">
        <w:t>Ewrobarometru</w:t>
      </w:r>
      <w:r w:rsidRPr="00AA45A0">
        <w:t xml:space="preserve"> </w:t>
      </w:r>
      <w:r w:rsidRPr="00AA45A0">
        <w:t>Flash</w:t>
      </w:r>
      <w:r w:rsidRPr="00AA45A0">
        <w:t xml:space="preserve"> 559, minn Frar sa April 2025 dwar l-</w:t>
      </w:r>
      <w:r w:rsidRPr="00AA45A0">
        <w:t>istart</w:t>
      </w:r>
      <w:r w:rsidRPr="00AA45A0">
        <w:t>-</w:t>
      </w:r>
      <w:r w:rsidRPr="00AA45A0">
        <w:t>ups</w:t>
      </w:r>
      <w:r w:rsidRPr="00AA45A0">
        <w:t>, l-</w:t>
      </w:r>
      <w:r w:rsidRPr="00AA45A0">
        <w:t>iscale</w:t>
      </w:r>
      <w:r w:rsidRPr="00AA45A0">
        <w:t>-</w:t>
      </w:r>
      <w:r w:rsidRPr="00AA45A0">
        <w:t>ups</w:t>
      </w:r>
      <w:r w:rsidRPr="00AA45A0">
        <w:t xml:space="preserve"> u l-</w:t>
      </w:r>
      <w:r w:rsidRPr="00AA45A0">
        <w:t>intraprenditorija</w:t>
      </w:r>
      <w:r w:rsidRPr="00AA45A0">
        <w:t>,</w:t>
      </w:r>
    </w:p>
    <w:p w:rsidR="0087232C" w:rsidRPr="00AA45A0" w:rsidP="0087232C" w14:paraId="6B9C4F50" w14:textId="77777777">
      <w:pPr>
        <w:pStyle w:val="NormalHanging"/>
      </w:pPr>
      <w:r w:rsidRPr="00AA45A0">
        <w:t>–</w:t>
      </w:r>
      <w:r w:rsidRPr="00AA45A0">
        <w:tab/>
        <w:t>wara li kkunsidra l-konklużjonijiet tal-laqgħa tal-Kunsill Ewropew tad-19 ta’ Marzu 2026,</w:t>
      </w:r>
    </w:p>
    <w:p w:rsidR="0087232C" w:rsidRPr="00AA45A0" w:rsidP="0087232C" w14:paraId="669B9909" w14:textId="77777777">
      <w:pPr>
        <w:pStyle w:val="NormalHanging"/>
      </w:pPr>
      <w:r w:rsidRPr="00AA45A0">
        <w:t>–</w:t>
      </w:r>
      <w:r w:rsidRPr="00AA45A0">
        <w:tab/>
        <w:t>wara li kkunsidra l-Artikolu 55 tar-Regoli ta’ Proċedura tiegħu,</w:t>
      </w:r>
    </w:p>
    <w:p w:rsidR="0087232C" w:rsidRPr="00AA45A0" w:rsidP="0087232C" w14:paraId="7A4ADA8A" w14:textId="77777777">
      <w:pPr>
        <w:pStyle w:val="NormalHanging"/>
      </w:pPr>
      <w:r w:rsidRPr="00AA45A0">
        <w:t>–</w:t>
      </w:r>
      <w:r w:rsidRPr="00AA45A0">
        <w:tab/>
        <w:t>wara li kkunsidra r-rapport tal-Kumitat għall-Affarijiet Ekonomiċi u Monetarji (A10-0167/2026),</w:t>
      </w:r>
    </w:p>
    <w:p w:rsidR="0087232C" w:rsidRPr="00AA45A0" w:rsidP="0087232C" w14:paraId="24AECC08" w14:textId="2B9D27BE">
      <w:pPr>
        <w:pStyle w:val="NormalHanging"/>
      </w:pPr>
      <w:r w:rsidRPr="00AA45A0">
        <w:t>A.</w:t>
      </w:r>
      <w:r w:rsidRPr="00AA45A0">
        <w:tab/>
        <w:t xml:space="preserve">billi l-UE, bħala l-akbar suq integrat fid-dinja, b’aktar minn 450 miljun konsumatur, </w:t>
      </w:r>
      <w:r w:rsidRPr="00AA45A0">
        <w:t>qiegħda titlef il-vantaġġ kompetittiv tagħha fil-livell ekonomiku</w:t>
      </w:r>
      <w:r>
        <w:rPr>
          <w:rStyle w:val="FootnoteReference"/>
        </w:rPr>
        <w:footnoteReference w:id="5"/>
      </w:r>
      <w:r w:rsidRPr="00AA45A0">
        <w:t xml:space="preserve"> minħabba taħlita ta’ dgħufijiet strutturali, il-kompetizzjoni globali dejjem aktar </w:t>
      </w:r>
      <w:r w:rsidRPr="00AA45A0">
        <w:t>intensa</w:t>
      </w:r>
      <w:r w:rsidRPr="00AA45A0">
        <w:t xml:space="preserve"> biex tattira l-kapital, in-negozji u t-talent, u qafas regolatorju kumpless u frammentat;</w:t>
      </w:r>
    </w:p>
    <w:p w:rsidR="0087232C" w:rsidRPr="00AA45A0" w:rsidP="0087232C" w14:paraId="60D617F6" w14:textId="77777777">
      <w:pPr>
        <w:pStyle w:val="NormalHanging"/>
      </w:pPr>
      <w:r w:rsidRPr="00AA45A0">
        <w:t>B.</w:t>
      </w:r>
      <w:r w:rsidRPr="00AA45A0">
        <w:tab/>
        <w:t>billi l-kompetittività ekonomika – fil-qalba tal-politiki l-aktar rilevanti tal-UE u l-prijorità politika urġenti, indikata mill-integrazzjoni tas-suq intern, it-tkabbir tal-produttività, l-investiment pubbliku u privat sostanzjali, u t-tranżizzjonijiet diġitali u ekoloġiċi – tista’ ssaħħaħ il-prosperità tal-UE billi toħloq impjiegi ta’ kwalità għolja, tiżgura s-sostenibbiltà tal-mudell ekonomiku u soċjali tagħna, u konsegwentement tagħti spinta lill-benesseri tal-poplu u s-soċjetajiet tagħna;</w:t>
      </w:r>
    </w:p>
    <w:p w:rsidR="0087232C" w:rsidRPr="00AA45A0" w:rsidP="0087232C" w14:paraId="10621608" w14:textId="6A19E445">
      <w:pPr>
        <w:pStyle w:val="NormalHanging"/>
      </w:pPr>
      <w:r w:rsidRPr="00AA45A0">
        <w:t>C.</w:t>
      </w:r>
      <w:r w:rsidRPr="00AA45A0">
        <w:tab/>
        <w:t>billi, skont l-istimi, l-ostakli għall-kummerċ uniku fis-suq uniku tal-UE huma ekwivalenti għal kwota tariffarja ta’ 44 % għall-oġġetti u ta’ 110 % għas-servizzi</w:t>
      </w:r>
      <w:r>
        <w:rPr>
          <w:rStyle w:val="FootnoteReference"/>
        </w:rPr>
        <w:footnoteReference w:id="6"/>
      </w:r>
      <w:r w:rsidRPr="00AA45A0">
        <w:t>, li għadhom ta’ piż sinifikanti għat-tkabbir tan-negozju u l-investiment fl-UE u jenfasizzaw l-ispiża tal-frammentazzjoni regolatorja, u l-ħtieġa li nimxu lejn qafas aktar integrat, simplifikat u ambizzjuż;</w:t>
      </w:r>
    </w:p>
    <w:p w:rsidR="0087232C" w:rsidRPr="00AA45A0" w:rsidP="0087232C" w14:paraId="1DF3E655" w14:textId="77777777">
      <w:pPr>
        <w:pStyle w:val="NormalHanging"/>
      </w:pPr>
      <w:r w:rsidRPr="00AA45A0">
        <w:t>D.</w:t>
      </w:r>
      <w:r w:rsidRPr="00AA45A0">
        <w:tab/>
        <w:t xml:space="preserve">billi l-kapaċità li tinkiseb armonizzazzjoni akbar fil-qasam tat-taxxa, u tal-qafas regolatorju, tibqa’ ristretta mir-rekwiżit ta’ unanimità applikabbli għal dan il-qasam ta’ politika; billi aktar armonizzazzjoni u </w:t>
      </w:r>
      <w:r w:rsidRPr="00AA45A0">
        <w:t>approfondiment</w:t>
      </w:r>
      <w:r w:rsidRPr="00AA45A0">
        <w:t xml:space="preserve"> tas-suq intern huma strumentali biex tingħata spinta lill-kompetittività tal-UE u biex jinkiseb tnaqqis fil-piż amministrattiv u l-kost tal-attività ekonomika transfruntiera; billi l-lakuni li jippermettu ppjanar aggressiv tat-taxxa u prattiki oħra ta’ </w:t>
      </w:r>
      <w:r w:rsidRPr="00AA45A0">
        <w:t>evitar</w:t>
      </w:r>
      <w:r w:rsidRPr="00AA45A0">
        <w:t xml:space="preserve"> tat-taxxa għandhom jitnaqqsu, u dan it-tnaqqis huwa strumentali biex il-kompetittività tal-UE tingħata spinta kif previst fl-aġenda “Ewropa Waħda, Suq Wieħed”;</w:t>
      </w:r>
    </w:p>
    <w:p w:rsidR="0087232C" w:rsidRPr="00AA45A0" w:rsidP="0087232C" w14:paraId="30D811EA" w14:textId="77777777">
      <w:pPr>
        <w:pStyle w:val="NormalHanging"/>
      </w:pPr>
      <w:r w:rsidRPr="00AA45A0">
        <w:t>E.</w:t>
      </w:r>
      <w:r w:rsidRPr="00AA45A0">
        <w:tab/>
        <w:t>billi t-tisħiħ tal-kompetittività tal-UE huwa marbut mill-qrib mal-konsolidazzjoni tal-awtonomija strateġika tagħha u mal-kapaċità li tnaqqas id-dipendenzi ekonomiċi esterni f’setturi strateġiċi u kritiċi;</w:t>
      </w:r>
    </w:p>
    <w:p w:rsidR="0087232C" w:rsidRPr="00AA45A0" w:rsidP="0087232C" w14:paraId="6C33F8F9" w14:textId="52853D27">
      <w:pPr>
        <w:pStyle w:val="NormalHanging"/>
      </w:pPr>
      <w:r w:rsidRPr="00AA45A0">
        <w:t>F.</w:t>
      </w:r>
      <w:r w:rsidRPr="00AA45A0">
        <w:tab/>
        <w:t>billi l-intrapriżi fl-UE, b’mod partikolari l-intrapriżi żgħar u ta’ daqs medju (</w:t>
      </w:r>
      <w:r w:rsidRPr="00AA45A0">
        <w:t>SMEs</w:t>
      </w:r>
      <w:r w:rsidRPr="00AA45A0">
        <w:t>), l-</w:t>
      </w:r>
      <w:r w:rsidRPr="00AA45A0">
        <w:t>istart</w:t>
      </w:r>
      <w:r w:rsidRPr="00AA45A0">
        <w:t>-</w:t>
      </w:r>
      <w:r w:rsidRPr="00AA45A0">
        <w:t>ups</w:t>
      </w:r>
      <w:r w:rsidRPr="00AA45A0">
        <w:t xml:space="preserve"> u l-</w:t>
      </w:r>
      <w:r w:rsidRPr="00AA45A0">
        <w:t>iscale</w:t>
      </w:r>
      <w:r w:rsidRPr="00AA45A0">
        <w:t>-</w:t>
      </w:r>
      <w:r w:rsidRPr="00AA45A0">
        <w:t>ups</w:t>
      </w:r>
      <w:r w:rsidRPr="00AA45A0">
        <w:t xml:space="preserve">, kif ukoll il-potenzjal innovattiv tagħhom, huma </w:t>
      </w:r>
      <w:r w:rsidRPr="00AA45A0">
        <w:t>strutturalment</w:t>
      </w:r>
      <w:r w:rsidRPr="00AA45A0">
        <w:t xml:space="preserve"> </w:t>
      </w:r>
      <w:r w:rsidRPr="00AA45A0">
        <w:t>imxekkla</w:t>
      </w:r>
      <w:r w:rsidRPr="00AA45A0">
        <w:t xml:space="preserve"> mill-</w:t>
      </w:r>
      <w:r w:rsidRPr="00AA45A0">
        <w:t>frammentazzjoni</w:t>
      </w:r>
      <w:r w:rsidRPr="00AA45A0">
        <w:t xml:space="preserve"> persistenti tal-oqfsa regolatorji bejn l-Istati Membri; billi d-diversità regolatorja u fiskali u l-kostijiet assoċjati biex isibu tarf tal-ambjenti nazzjonali mhux familjari, differenti u spiss inkompatibbli jfixklu l-finanzjament </w:t>
      </w:r>
      <w:r w:rsidRPr="00AA45A0">
        <w:t>pan</w:t>
      </w:r>
      <w:r w:rsidRPr="00AA45A0">
        <w:t>-Ewropew u t-tkabbir tal-kumpaniji, u hemm bżonn urġenti li dan id-distakk ta’ kompetittività jiġi indirizzat</w:t>
      </w:r>
      <w:r>
        <w:rPr>
          <w:rStyle w:val="FootnoteReference"/>
        </w:rPr>
        <w:footnoteReference w:id="7"/>
      </w:r>
      <w:r w:rsidRPr="00AA45A0">
        <w:t xml:space="preserve">; billi kuntest regolatorju favorevoli, prevedibbli, u proporzjonat huwa essenzjali biex il-kumpaniji jkunu jistgħu jinvestu, jikbru, u jikkompetu globalment; billi l-UE għandha ssaħħaħ l-impenn tagħha favur il-libertà intraprenditorjali u t-tneħħija tal-ostakli; billi jekk jiġi pprovdut qafas armonizzat, it-28 reġim jiffaċilita l-aċċess tal-SMEs tal-UE għall-kapital, jikkontribwixxi għat-tnaqqis tad-disparitajiet ekonomiċi u territorjali fl-UE, jiżgura kundizzjonijiet </w:t>
      </w:r>
      <w:r w:rsidRPr="00AA45A0">
        <w:t>ibbilanċjati</w:t>
      </w:r>
      <w:r w:rsidRPr="00AA45A0">
        <w:t xml:space="preserve"> ta’ </w:t>
      </w:r>
      <w:r w:rsidRPr="00AA45A0">
        <w:t>aċċess u żvilupp f’reġjuni differenti, u jagħmilha aktar faċli għall-investituri biex jipprovdu finanzjament lil kumpaniji li jinsabu fi Stat Membru ieħor;</w:t>
      </w:r>
    </w:p>
    <w:p w:rsidR="0087232C" w:rsidRPr="00AA45A0" w:rsidP="0087232C" w14:paraId="20E366CA" w14:textId="158E2EA9">
      <w:pPr>
        <w:pStyle w:val="NormalHanging"/>
      </w:pPr>
      <w:r w:rsidRPr="00AA45A0">
        <w:t>G.</w:t>
      </w:r>
      <w:r w:rsidRPr="00AA45A0">
        <w:tab/>
        <w:t>billi t-tnaqqis ġenerali tal-piż amministrattiv tar-regolament propost li jistabbilixxi t-28 reġim huwa stmat għal bejn EUR 328 miljun u EUR 440 miljun fuq perjodu ta’ għaxar snin</w:t>
      </w:r>
      <w:r>
        <w:rPr>
          <w:rStyle w:val="FootnoteReference"/>
        </w:rPr>
        <w:footnoteReference w:id="8"/>
      </w:r>
      <w:r w:rsidRPr="00AA45A0">
        <w:t>;</w:t>
      </w:r>
    </w:p>
    <w:p w:rsidR="0087232C" w:rsidRPr="00AA45A0" w:rsidP="0087232C" w14:paraId="4EEB1073" w14:textId="0AAB7ADD">
      <w:pPr>
        <w:pStyle w:val="NormalHanging"/>
      </w:pPr>
      <w:r w:rsidRPr="00AA45A0">
        <w:t>H.</w:t>
      </w:r>
      <w:r w:rsidRPr="00AA45A0">
        <w:tab/>
        <w:t>billi, għall-SMEs, il-kumpaniji żgħar b’kapitalizzazzjoni medja, l-</w:t>
      </w:r>
      <w:r w:rsidRPr="00AA45A0">
        <w:t>istart</w:t>
      </w:r>
      <w:r w:rsidRPr="00AA45A0">
        <w:t>-</w:t>
      </w:r>
      <w:r w:rsidRPr="00AA45A0">
        <w:t>ups</w:t>
      </w:r>
      <w:r w:rsidRPr="00AA45A0">
        <w:t xml:space="preserve"> u l-</w:t>
      </w:r>
      <w:r w:rsidRPr="00AA45A0">
        <w:t>iscale</w:t>
      </w:r>
      <w:r w:rsidRPr="00AA45A0">
        <w:t>-</w:t>
      </w:r>
      <w:r w:rsidRPr="00AA45A0">
        <w:t>ups</w:t>
      </w:r>
      <w:r w:rsidRPr="00AA45A0">
        <w:t>, id-diffikultajiet li jifhmu l-kuntesti tan-negozju differenti fl-UE – inkluż l-ostakli lingwistiċi, in-nuqqas ta’ aċċess għall-informazzjoni jew għar-regoli u għar-rekwiżiti, il-kwistjonijiet marbuta mat-tassazzjoni u l-awtorizzazzjoni għall-eżerċizzju ta’ negozju – jirrappreżentaw l-ostakli l-aktar sinifikanti għall-operazzjonijiet transfruntieri tagħhom u għall-espansjoni tagħhom fi ħdan l-UE; billi t-tassazzjoni, b’mod partikolari l-kwistjonijiet relatati mat-Taxxa fuq il-Valur Miżjud (VAT), il-permessi u l-awtorizzazzjonijiet jikkostitwixxu l-ostakli ewlenin għat-tkabbir tagħhom f’pajjiżi oħra tal-UE</w:t>
      </w:r>
      <w:r>
        <w:rPr>
          <w:rStyle w:val="FootnoteReference"/>
        </w:rPr>
        <w:footnoteReference w:id="9"/>
      </w:r>
      <w:r w:rsidRPr="00AA45A0">
        <w:t>;</w:t>
      </w:r>
    </w:p>
    <w:p w:rsidR="0087232C" w:rsidRPr="00AA45A0" w:rsidP="0087232C" w14:paraId="2AE2E70B" w14:textId="3A553CCA">
      <w:pPr>
        <w:pStyle w:val="NormalHanging"/>
      </w:pPr>
      <w:r w:rsidRPr="00AA45A0">
        <w:t>I.</w:t>
      </w:r>
      <w:r w:rsidRPr="00AA45A0">
        <w:tab/>
        <w:t xml:space="preserve">billi fl-2025, l-Ewropa kellha biss 331 </w:t>
      </w:r>
      <w:r w:rsidRPr="00AA45A0">
        <w:t>unicorn</w:t>
      </w:r>
      <w:r w:rsidRPr="00AA45A0">
        <w:t xml:space="preserve"> meta mqabbla ma’ 1 963 fl-Istati Uniti u billi bejn l-2008 u l-2021, kważi 30 % tal-</w:t>
      </w:r>
      <w:r w:rsidRPr="00AA45A0">
        <w:t>unicorns</w:t>
      </w:r>
      <w:r w:rsidRPr="00AA45A0">
        <w:t xml:space="preserve"> Ewropej </w:t>
      </w:r>
      <w:r w:rsidRPr="00AA45A0">
        <w:t>irrilokaw</w:t>
      </w:r>
      <w:r w:rsidRPr="00AA45A0">
        <w:t xml:space="preserve"> il-kwartieri ġenerali tagħhom barra mill-UE; billi l-biċċa l-kbira tal-kumpaniji qed jitilqu mill-UE biex isibu l-kapital meħtieġ f’ġuriżdizzjonijiet oħra; billi dan hu dovut għal aċċess aħjar għas-swieq il-kbar, kuntest aktar favorevoli li fih jagħmlu negozju, aċċess aħjar għall-kapital ta’ riskju, aktar disponibbiltà u mobbiltà ta’ ħaddiema </w:t>
      </w:r>
      <w:r w:rsidRPr="00AA45A0">
        <w:t>kkwalifikati</w:t>
      </w:r>
      <w:r w:rsidRPr="00AA45A0">
        <w:t xml:space="preserve"> u b’ħiliet, qafas regolatorju mhux frammentat u kuntest fiskali anqas kumpless, u d-disponibbiltà usa’ ta’ skemi ta’ sjieda għall-impjegati, li jwasslu għal investiment transfruntier u biex jattiraw u jżommu l-attività ekonomika u industrijali fl-ekonomiji tagħhom</w:t>
      </w:r>
      <w:r>
        <w:rPr>
          <w:rStyle w:val="FootnoteReference"/>
        </w:rPr>
        <w:footnoteReference w:id="10"/>
      </w:r>
      <w:r w:rsidRPr="00AA45A0">
        <w:t>;</w:t>
      </w:r>
    </w:p>
    <w:p w:rsidR="0087232C" w:rsidRPr="00AA45A0" w:rsidP="0087232C" w14:paraId="5DC64D9D" w14:textId="7DC52D59">
      <w:pPr>
        <w:pStyle w:val="NormalHanging"/>
      </w:pPr>
      <w:r w:rsidRPr="00AA45A0">
        <w:t>J.</w:t>
      </w:r>
      <w:r w:rsidRPr="00AA45A0">
        <w:tab/>
        <w:t xml:space="preserve">billi, kif imsemmi fir-rapport ta’ Draghi, għall-kumpaniji innovattivi, “tista’ tiġi </w:t>
      </w:r>
      <w:r w:rsidRPr="00AA45A0">
        <w:t>esplorata</w:t>
      </w:r>
      <w:r w:rsidRPr="00AA45A0">
        <w:t xml:space="preserve"> t-28 ġabra ta’ regoli volontarja tal-kumpaniji li tarmonizza l-leġiżlazzjoni dwar id-dritt korporattiv u l-insolvenza, kif ukoll ftit aspetti ewlenin tat-tassazzjoni, li għandhom isiru progressivament aktar ambizzjużi, taħt kooperazzjoni msaħħa minn Stati Membri disposti”</w:t>
      </w:r>
      <w:r>
        <w:rPr>
          <w:rStyle w:val="FootnoteReference"/>
        </w:rPr>
        <w:footnoteReference w:id="11"/>
      </w:r>
      <w:r w:rsidRPr="00AA45A0">
        <w:t>;</w:t>
      </w:r>
    </w:p>
    <w:p w:rsidR="0087232C" w:rsidRPr="00AA45A0" w:rsidP="0087232C" w14:paraId="1B9C57DB" w14:textId="248754D9">
      <w:pPr>
        <w:pStyle w:val="NormalHanging"/>
      </w:pPr>
      <w:r w:rsidRPr="00AA45A0">
        <w:t>K.</w:t>
      </w:r>
      <w:r w:rsidRPr="00AA45A0">
        <w:tab/>
        <w:t xml:space="preserve">billi, kif iddikjarat fir-rapport ta’ </w:t>
      </w:r>
      <w:r w:rsidRPr="00AA45A0">
        <w:t>Letta</w:t>
      </w:r>
      <w:r w:rsidRPr="00AA45A0">
        <w:t>, it-taxxa hija qasam ieħor fejn il-kumplessità hija ostaklu ewlieni għall-kummerċ u l-investiment transfruntiera, u l-frammentazzjoni regolatorja tista’ tbiddel is-suq uniku f’ostaklu għall-SMEs; billi r-rapport jidentifika t-28 reġim bħala għodda ewlenija li tippermettilhom jibbenefikaw bis-sħiħ mis-suq uniku</w:t>
      </w:r>
      <w:r>
        <w:rPr>
          <w:rStyle w:val="FootnoteReference"/>
        </w:rPr>
        <w:footnoteReference w:id="12"/>
      </w:r>
      <w:r w:rsidRPr="00AA45A0">
        <w:t>;</w:t>
      </w:r>
    </w:p>
    <w:p w:rsidR="0087232C" w:rsidRPr="00AA45A0" w:rsidP="0087232C" w14:paraId="57E31B8A" w14:textId="77777777">
      <w:pPr>
        <w:pStyle w:val="NormalHanging"/>
      </w:pPr>
      <w:r w:rsidRPr="00AA45A0">
        <w:t>L.</w:t>
      </w:r>
      <w:r w:rsidRPr="00AA45A0">
        <w:tab/>
        <w:t xml:space="preserve">billi d-dimensjoni tat-taxxa tat-28 reġim għandha tirrispetta l-qafas ta’ kompetenza previst mit-Trattati u tkun imfassla biex tappoġġja ċ-ċiklu tal-ħajja sħiħ tal-kumpaniji; </w:t>
      </w:r>
      <w:r w:rsidRPr="00AA45A0">
        <w:t>billi r-rapport Draghi juri li l-UE ma għandhiex investiment ta’ kapital ta’ riskju f’kull stadju tal-iżvilupp tal-</w:t>
      </w:r>
      <w:r w:rsidRPr="00AA45A0">
        <w:t>istart</w:t>
      </w:r>
      <w:r w:rsidRPr="00AA45A0">
        <w:t>-</w:t>
      </w:r>
      <w:r w:rsidRPr="00AA45A0">
        <w:t>ups</w:t>
      </w:r>
      <w:r w:rsidRPr="00AA45A0">
        <w:t xml:space="preserve"> (stadju ta’ tnissil, stadju bikri u stadju tard) bħala riżultat tan-nuqqas ta’ possibbiltajiet ta’ espansjoni;</w:t>
      </w:r>
    </w:p>
    <w:p w:rsidR="0087232C" w:rsidRPr="00AA45A0" w:rsidP="0087232C" w14:paraId="3EA452B4" w14:textId="77777777">
      <w:pPr>
        <w:pStyle w:val="NormalHanging"/>
      </w:pPr>
      <w:r w:rsidRPr="00AA45A0">
        <w:t>M.</w:t>
      </w:r>
      <w:r w:rsidRPr="00AA45A0">
        <w:tab/>
        <w:t xml:space="preserve">billi l-vantaġġi potenzjali ta’ qafas regolatorju </w:t>
      </w:r>
      <w:r w:rsidRPr="00AA45A0">
        <w:t>fakultattiv</w:t>
      </w:r>
      <w:r w:rsidRPr="00AA45A0">
        <w:t xml:space="preserve"> </w:t>
      </w:r>
      <w:r w:rsidRPr="00AA45A0">
        <w:t>pan</w:t>
      </w:r>
      <w:r w:rsidRPr="00AA45A0">
        <w:t xml:space="preserve">-Ewropew għan-negozju, li </w:t>
      </w:r>
      <w:r w:rsidRPr="00AA45A0">
        <w:t>jissimplifika</w:t>
      </w:r>
      <w:r w:rsidRPr="00AA45A0">
        <w:t xml:space="preserve"> bil-kbir il-proċess kollu tal-espansjoni futura lejn swieq ġodda, kemm fl-UE kif ukoll barra minnha, jikkonsistu f’aktar ċertezza tad-dritt, f’anqas kostijiet tal-konformità u fi proċeduri regolatorji u fiskali simplifikati, u kundizzjonijiet ekwi ma’ ġuriżdizzjonijiet f’kompetizzjoni barra mill-UE; billi huwa neċessarju li jiġu żgurati ċ-ċarezza u ċ-ċertezza tad-dritt għall-investituri Ewropej u barranin billi jiġu pprovduti regoli aktar sempliċi u armonizzati aħjar, inkluż fil-qasam tat-tassazzjoni, li </w:t>
      </w:r>
      <w:r w:rsidRPr="00AA45A0">
        <w:t>jippermettulhom</w:t>
      </w:r>
      <w:r w:rsidRPr="00AA45A0">
        <w:t xml:space="preserve"> jinvestu fil-livell </w:t>
      </w:r>
      <w:r w:rsidRPr="00AA45A0">
        <w:t>transfruntier</w:t>
      </w:r>
      <w:r w:rsidRPr="00AA45A0">
        <w:t xml:space="preserve"> b’kunfidenza;</w:t>
      </w:r>
    </w:p>
    <w:p w:rsidR="0087232C" w:rsidRPr="00AA45A0" w:rsidP="0087232C" w14:paraId="41058780" w14:textId="77777777">
      <w:pPr>
        <w:pStyle w:val="NormalHanging"/>
      </w:pPr>
      <w:r w:rsidRPr="00AA45A0">
        <w:t>N.</w:t>
      </w:r>
      <w:r w:rsidRPr="00AA45A0">
        <w:tab/>
        <w:t>billi, bil-għan li dawn il-politiki u l-għanijiet politiċi jiġu indirizzati, l-UE u l-Istati Membri tagħha jeħtiġilhom jaġixxu b’appoġġ ikkoordinat, ambizzjuż u orjentat lejn ir-riżultati;</w:t>
      </w:r>
    </w:p>
    <w:p w:rsidR="0087232C" w:rsidRPr="00AA45A0" w:rsidP="0087232C" w14:paraId="0C2C179D" w14:textId="77777777">
      <w:pPr>
        <w:pStyle w:val="NormalHanging"/>
      </w:pPr>
      <w:r w:rsidRPr="00AA45A0">
        <w:t>O.</w:t>
      </w:r>
      <w:r w:rsidRPr="00AA45A0">
        <w:tab/>
        <w:t xml:space="preserve">billi t-tlestija tal-Unjoni tat-Tfaddil u tal-Investimenti hija essenzjali biex jiġi </w:t>
      </w:r>
      <w:r w:rsidRPr="00AA45A0">
        <w:t>mmobilizzat</w:t>
      </w:r>
      <w:r w:rsidRPr="00AA45A0">
        <w:t xml:space="preserve"> il-kapital privat fl-UE u jiġi dirett b’mod effiċjenti fl-ekonomija, b’mod partikolari lejn l-</w:t>
      </w:r>
      <w:r w:rsidRPr="00AA45A0">
        <w:t>SMEs</w:t>
      </w:r>
      <w:r w:rsidRPr="00AA45A0">
        <w:t>, l-</w:t>
      </w:r>
      <w:r w:rsidRPr="00AA45A0">
        <w:t>istart</w:t>
      </w:r>
      <w:r w:rsidRPr="00AA45A0">
        <w:t>-</w:t>
      </w:r>
      <w:r w:rsidRPr="00AA45A0">
        <w:t>ups</w:t>
      </w:r>
      <w:r w:rsidRPr="00AA45A0">
        <w:t xml:space="preserve"> u l-</w:t>
      </w:r>
      <w:r w:rsidRPr="00AA45A0">
        <w:t>iscale</w:t>
      </w:r>
      <w:r w:rsidRPr="00AA45A0">
        <w:t>-</w:t>
      </w:r>
      <w:r w:rsidRPr="00AA45A0">
        <w:t>ups</w:t>
      </w:r>
      <w:r w:rsidRPr="00AA45A0">
        <w:t>; billi suq kapitali aktar profond, aktar integrat, u aktar aċċessibbli jtejjeb l-aċċess għall-finanzjament u jħeġġeġ l-investiment fit-tul; billi hija essenzjali aktar integrazzjoni tas-swieq finanzjarji Ewropej biex tissaħħaħ il-kompetittività tal-UE, jiġi evitat li l-kumpaniji jaħarbu lejn ġuriżdizzjonijiet oħra, u jiġi żgurat li t-tfaddil Ewropew jiffinanzja t-tkabbir u l-innovazzjoni fis-suq uniku;</w:t>
      </w:r>
    </w:p>
    <w:p w:rsidR="0087232C" w:rsidRPr="00AA45A0" w:rsidP="0087232C" w14:paraId="12929AE9" w14:textId="77777777">
      <w:pPr>
        <w:pStyle w:val="NormalHanging"/>
      </w:pPr>
      <w:r w:rsidRPr="00AA45A0">
        <w:t>P.</w:t>
      </w:r>
      <w:r w:rsidRPr="00AA45A0">
        <w:tab/>
        <w:t>billi l-moduli addizzjonali, li jirriżultaw mit-28 reġim, jista’ jkollhom rwol fl-appoġġ tal-iżvilupp transfruntier ta’ prodotti tal-pensjoni u tat-tfaddil fit-tul; billi, fil-kuntest tat-tassazzjoni, tali reġimi għandhom jinteraġixxu b’mod koerenti mal-oqfsa tat-taxxa nazzjonali;</w:t>
      </w:r>
    </w:p>
    <w:p w:rsidR="0087232C" w:rsidRPr="00AA45A0" w:rsidP="0087232C" w14:paraId="1D4D8AF4" w14:textId="77777777">
      <w:pPr>
        <w:pStyle w:val="Normal12a"/>
      </w:pPr>
      <w:r w:rsidRPr="00AA45A0">
        <w:rPr>
          <w:b/>
          <w:i/>
        </w:rPr>
        <w:t>Prinċipji ġenerali</w:t>
      </w:r>
    </w:p>
    <w:p w:rsidR="0087232C" w:rsidRPr="00AA45A0" w:rsidP="0087232C" w14:paraId="42D86FDB" w14:textId="77777777">
      <w:pPr>
        <w:pStyle w:val="NormalHanging12a"/>
      </w:pPr>
      <w:r w:rsidRPr="00AA45A0">
        <w:t>1.</w:t>
      </w:r>
      <w:r w:rsidRPr="00AA45A0">
        <w:tab/>
        <w:t xml:space="preserve">Jilqa’ l-proposta leġiżlattiva tal-Kummissjoni dwar it-28 reġim (“EU </w:t>
      </w:r>
      <w:r w:rsidRPr="00AA45A0">
        <w:t>Inc</w:t>
      </w:r>
      <w:r w:rsidRPr="00AA45A0">
        <w:t xml:space="preserve">.”) għall-kumpaniji; jirrikonoxxi l-impatt </w:t>
      </w:r>
      <w:r w:rsidRPr="00AA45A0">
        <w:t>sistemiku</w:t>
      </w:r>
      <w:r w:rsidRPr="00AA45A0">
        <w:t xml:space="preserve"> potenzjali tiegħu fuq il-funzjonament tas-Suq Uniku u l-kompetittività ġenerali tal-ekonomija tal-UE; Jissottolinja, madankollu, li l-proposta dwar it-28 reġim ma tridx tikkostitwixxi sostituzzjoni għal aktar sforzi leġiżlattivi biex jitnaqqsu l-frammentazzjoni u d-disparitajiet bejn l-oqfsa regolatorji tal-Istati Membri;</w:t>
      </w:r>
    </w:p>
    <w:p w:rsidR="0087232C" w:rsidRPr="00AA45A0" w:rsidP="0087232C" w14:paraId="04480DC3" w14:textId="77777777">
      <w:pPr>
        <w:pStyle w:val="NormalHanging12a"/>
      </w:pPr>
      <w:r w:rsidRPr="00AA45A0">
        <w:t>2.</w:t>
      </w:r>
      <w:r w:rsidRPr="00AA45A0">
        <w:tab/>
        <w:t>Jenfasizza li adotta riżoluzzjoni b’rakkomandazzjonijiet lill-Kummissjoni dwar it-28 reġim: qafas ġuridiku ġdid għall-kumpaniji innovattivi;</w:t>
      </w:r>
    </w:p>
    <w:p w:rsidR="0087232C" w:rsidRPr="00AA45A0" w:rsidP="0087232C" w14:paraId="5B44A637" w14:textId="77777777">
      <w:pPr>
        <w:pStyle w:val="NormalHanging12a"/>
      </w:pPr>
      <w:r w:rsidRPr="00AA45A0">
        <w:t>3.</w:t>
      </w:r>
      <w:r w:rsidRPr="00AA45A0">
        <w:tab/>
        <w:t>Jilqa’ l-adozzjoni tal-aġenda “Ewropa Waħda, Suq Wieħed” biex jiġi sfruttat il-potenzjal tas-suq uniku; jieħu nota tat-talba tal-Kunsill Ewropew għall-adozzjoni tat-28 reġim għad-dritt tal-kumpaniji; jinnota n-nuqqas ta’ referenzi tal-Kunsill Ewropew għal armonizzazzjoni mmirata tal-politika tat-tassazzjoni fl-ambitu ta’ din l-aġenda, b’mod partikolari minħabba li l-SMEs għażlu l-frammentazzjoni tat-taxxa u tal-VAT bħala l-aktar ostaklu prevalenti biex jespandu;</w:t>
      </w:r>
    </w:p>
    <w:p w:rsidR="0087232C" w:rsidRPr="00AA45A0" w:rsidP="0087232C" w14:paraId="73A9648B" w14:textId="77777777">
      <w:pPr>
        <w:pStyle w:val="NormalHanging12a"/>
      </w:pPr>
      <w:r w:rsidRPr="00AA45A0">
        <w:t>4.</w:t>
      </w:r>
      <w:r w:rsidRPr="00AA45A0">
        <w:tab/>
        <w:t xml:space="preserve">Jisħaq fuq il-fatt li t-tassazzjoni f’ħafna każijiet hija kompetenza esklużiva tal-Istati Membri, iżda hemm – b’mod partikolari f’termini ta’ proċeduri – lok għal aktar simplifikazzjoni jew armonizzazzjoni mmirata li tindirizza reġimi ta’ konformità differenti, trattament tat-taxxa korporattiva kumpless u frammentat, obbligi ta’ rapportar u ostakli amministrattivi fit-trattament tal-investiment transfruntier; jenfasizza l-kontribut pożittiv tal-inizjattivi leġiżlattivi preċedenti tal-UE dwar it-tassazzjoni, b’mod partikolari </w:t>
      </w:r>
      <w:r w:rsidRPr="00AA45A0">
        <w:t>fl</w:t>
      </w:r>
      <w:r w:rsidRPr="00AA45A0">
        <w:t>-indirizzar tal-evażjoni, l-</w:t>
      </w:r>
      <w:r w:rsidRPr="00AA45A0">
        <w:t>evitar</w:t>
      </w:r>
      <w:r w:rsidRPr="00AA45A0">
        <w:t xml:space="preserve"> u l-frodi tat-taxxa, li huma komplementari għall-oqfsa ġuridiċi nazzjonali;</w:t>
      </w:r>
    </w:p>
    <w:p w:rsidR="0087232C" w:rsidRPr="00AA45A0" w:rsidP="0087232C" w14:paraId="44831D29" w14:textId="77777777">
      <w:pPr>
        <w:pStyle w:val="NormalHanging12a"/>
      </w:pPr>
      <w:r w:rsidRPr="00AA45A0">
        <w:t>5.</w:t>
      </w:r>
      <w:r w:rsidRPr="00AA45A0">
        <w:tab/>
        <w:t>Jitlob li l-inizjattiva tat-28 reġim tkun ambizzjuża fis-sustanza tagħha, anke fir-rigward tal-aspetti tat-tassazzjoni, filwaqt li tirrispetta bis-sħiħ it-Trattati, biex l-SMEs, il-kumpaniji żgħar b’kapitalizzazzjoni medja u l-kumpaniji innovattivi jkunu jistgħu jespandu u joperaw mingħajr ostakli transfruntiera fis-suq uniku tal-UE;</w:t>
      </w:r>
    </w:p>
    <w:p w:rsidR="0087232C" w:rsidRPr="00AA45A0" w:rsidP="0087232C" w14:paraId="750280B0" w14:textId="77777777">
      <w:pPr>
        <w:pStyle w:val="NormalHanging12a"/>
      </w:pPr>
      <w:r w:rsidRPr="00AA45A0">
        <w:t>6.</w:t>
      </w:r>
      <w:r w:rsidRPr="00AA45A0">
        <w:tab/>
        <w:t>Jissottolinja li t-28 reġim ma għandu, taħt l-ebda ċirkostanza, jippermetti ċ-ċirkomvenzjoni tal-protezzjoni domestika obbligatorja għall-ħaddiema, ir-rappreżentanti tagħhom u t-</w:t>
      </w:r>
      <w:r w:rsidRPr="00AA45A0">
        <w:t>trade</w:t>
      </w:r>
      <w:r w:rsidRPr="00AA45A0">
        <w:t xml:space="preserve"> </w:t>
      </w:r>
      <w:r w:rsidRPr="00AA45A0">
        <w:t>unions</w:t>
      </w:r>
      <w:r w:rsidRPr="00AA45A0">
        <w:t>, u lanqas isir mezz biex jimmina, inaqqas jew idgħajjef il-livelli eżistenti ta’ protezzjoni fil-livell tal-UE jew nazzjonali; jenfasizza li t-28 reġim għandu jappoġġja l-innovazzjoni, it-trasparenza tal-politiki tal-kumpaniji u t-tkabbir dimensjonali u l-</w:t>
      </w:r>
      <w:r w:rsidRPr="00AA45A0">
        <w:t>iskalabbiltà</w:t>
      </w:r>
      <w:r w:rsidRPr="00AA45A0">
        <w:t xml:space="preserve"> tal-kumpaniji billi jħeġġeġ it-tneħħija tal-ostakli ġuridiċi u tat-taxxa li jillimitaw l-iżvilupp u l-espansjoni transfruntiera kif ukoll il-ġustizzja fiskali, filwaqt li jipprevjeni b’mod effettiv id-disparitajiet fiskali, soċjali u regolatorji;</w:t>
      </w:r>
    </w:p>
    <w:p w:rsidR="0087232C" w:rsidRPr="00AA45A0" w:rsidP="0087232C" w14:paraId="7C0FD51F" w14:textId="77777777">
      <w:pPr>
        <w:pStyle w:val="NormalHanging12a"/>
      </w:pPr>
      <w:r w:rsidRPr="00AA45A0">
        <w:t>7.</w:t>
      </w:r>
      <w:r w:rsidRPr="00AA45A0">
        <w:tab/>
        <w:t xml:space="preserve">Jisħaq li l-benefiċċji tad-diġitalizzazzjoni u s-simplifikazzjoni tar-rekwiżiti ta’ konformità li se jiġu introdotti taħt il-modulu tat-taxxa tat-28 reġim (minn hawn’ il quddiem il-“modulu tat-taxxa”) għandhom ikunu disponibbli għall-kumpaniji kollha taħt “EU </w:t>
      </w:r>
      <w:r w:rsidRPr="00AA45A0">
        <w:t>Inc</w:t>
      </w:r>
      <w:r w:rsidRPr="00AA45A0">
        <w:t>.”;</w:t>
      </w:r>
    </w:p>
    <w:p w:rsidR="0087232C" w:rsidRPr="00AA45A0" w:rsidP="0087232C" w14:paraId="067009C4" w14:textId="77777777">
      <w:pPr>
        <w:pStyle w:val="NormalHanging12a"/>
      </w:pPr>
      <w:r w:rsidRPr="00AA45A0">
        <w:t>8.</w:t>
      </w:r>
      <w:r w:rsidRPr="00AA45A0">
        <w:tab/>
        <w:t>Iqis li t-28 reġim huwa pass strateġiku lejn l-</w:t>
      </w:r>
      <w:r w:rsidRPr="00AA45A0">
        <w:t>approfondiment</w:t>
      </w:r>
      <w:r w:rsidRPr="00AA45A0">
        <w:t xml:space="preserve"> ulterjuri tas-suq uniku, u b’hekk javvanza l-integrazzjoni Ewropea u jtejjeb il-funzjonament tas-suq uniku u l-kompetittività tiegħu;</w:t>
      </w:r>
    </w:p>
    <w:p w:rsidR="0087232C" w:rsidRPr="00AA45A0" w:rsidP="0087232C" w14:paraId="13334F4A" w14:textId="77777777">
      <w:pPr>
        <w:pStyle w:val="NormalHanging12a"/>
      </w:pPr>
      <w:r w:rsidRPr="00AA45A0">
        <w:t>9.</w:t>
      </w:r>
      <w:r w:rsidRPr="00AA45A0">
        <w:tab/>
        <w:t xml:space="preserve">Jisħaq li t-28 reġim għandu jiġi stabbilit permezz ta’ approċċ </w:t>
      </w:r>
      <w:r w:rsidRPr="00AA45A0">
        <w:t>modulari</w:t>
      </w:r>
      <w:r w:rsidRPr="00AA45A0">
        <w:t xml:space="preserve">; jifhem li r-regolament propost li jistabbilixxi qafas legali </w:t>
      </w:r>
      <w:r w:rsidRPr="00AA45A0">
        <w:t>korporattiv</w:t>
      </w:r>
      <w:r w:rsidRPr="00AA45A0">
        <w:t xml:space="preserve"> (“EU </w:t>
      </w:r>
      <w:r w:rsidRPr="00AA45A0">
        <w:t>Inc</w:t>
      </w:r>
      <w:r w:rsidRPr="00AA45A0">
        <w:t>.”) huwa l-ewwel pass li miegħu jistgħu jiżdiedu moduli oħra, inkluż dwar it-tassazzjoni (modulu tat-taxxa); iqis li dawn il-moduli futuri għandhom ikopru aspetti rilevanti taċ-ċiklu tal-ħajja kollu tal-kumpaniji, u jiġu evalwati kontinwament skont parametri ta’ riferiment internazzjonali;</w:t>
      </w:r>
    </w:p>
    <w:p w:rsidR="0087232C" w:rsidRPr="00AA45A0" w:rsidP="0087232C" w14:paraId="32758E5E" w14:textId="77777777">
      <w:pPr>
        <w:pStyle w:val="NormalHanging12a"/>
      </w:pPr>
      <w:r w:rsidRPr="00AA45A0">
        <w:t>10.</w:t>
      </w:r>
      <w:r w:rsidRPr="00AA45A0">
        <w:tab/>
        <w:t xml:space="preserve">Iqis li l-modulu tat-taxxa jista’ jiżdied mal-proposta leġiżlattiva għal regolament li jistabbilixxi qafas legali </w:t>
      </w:r>
      <w:r w:rsidRPr="00AA45A0">
        <w:t>korporattiv</w:t>
      </w:r>
      <w:r w:rsidRPr="00AA45A0">
        <w:t xml:space="preserve"> (“EU </w:t>
      </w:r>
      <w:r w:rsidRPr="00AA45A0">
        <w:t>Inc</w:t>
      </w:r>
      <w:r w:rsidRPr="00AA45A0">
        <w:t xml:space="preserve">.”), li għandu jiġi estiż għall-qasam tat-tassazzjoni, b’mod immirat, ambizzjuż u proporzjonat; iqis li l-benefiċċji potenzjali tal-modulu tat-taxxa jinkludu anqas kostijiet tal-konformità, proċeduri regolatorji simplifikati, ċertezza ġuridika msaħħa, prevedibbiltà u aċċess aktar faċli għas-swieq transfruntiera, u b’hekk jittejjeb u jiġi </w:t>
      </w:r>
      <w:r w:rsidRPr="00AA45A0">
        <w:t>approfondit</w:t>
      </w:r>
      <w:r w:rsidRPr="00AA45A0">
        <w:t xml:space="preserve"> is-suq uniku Ewropew;</w:t>
      </w:r>
    </w:p>
    <w:p w:rsidR="0087232C" w:rsidRPr="00AA45A0" w:rsidP="0087232C" w14:paraId="62E386BC" w14:textId="77777777">
      <w:pPr>
        <w:pStyle w:val="NormalHanging12a"/>
      </w:pPr>
      <w:r w:rsidRPr="00AA45A0">
        <w:t>11.</w:t>
      </w:r>
      <w:r w:rsidRPr="00AA45A0">
        <w:tab/>
        <w:t xml:space="preserve">Jinnota li biex modulu tat-taxxa jkun jista’ jinkiseb skont il-qafas eżistenti tat-Trattat, u fejn il-proċedura leġiżlattiva applikabbli ma tagħtix riżultati, għandha tiġi </w:t>
      </w:r>
      <w:r w:rsidRPr="00AA45A0">
        <w:t>kkunsidrata</w:t>
      </w:r>
      <w:r w:rsidRPr="00AA45A0">
        <w:t xml:space="preserve"> struttura ta’ inklużjoni fakultattiva tal-leġiżlazzjoni rilevanti, jew kooperazzjoni msaħħa bħala l-aħħar alternattiva, sabiex jiġu indirizzati n-nuqqasijiet tal-politika tat-taxxa; jinnota li l-politika tat-tassazzjoni għadha soġġetta għall-unanimità fil-Kunsill tal-UE; </w:t>
      </w:r>
      <w:r w:rsidRPr="00AA45A0">
        <w:t xml:space="preserve">huwa tal-fehma li t-tranżizzjoni għall-użu tal-votazzjoni b’maġġoranza kwalifikata hija meħtieġa f’ċerti aspetti tal-politika tat-tassazzjoni bħal fl-implimentazzjoni ta’ ftehimiet internazzjonali </w:t>
      </w:r>
      <w:r w:rsidRPr="00AA45A0">
        <w:t>ffirmati</w:t>
      </w:r>
      <w:r w:rsidRPr="00AA45A0">
        <w:t xml:space="preserve"> mill-Istati Membri kollha, ċerti proċeduri amministrattivi jew definizzjonijiet ġuridiċi, sabiex jiġi evitat li l-unanimità tillimita l-armonizzazzjoni regolatorja u twaqqaf liċ-ċittadini u lin-negozji milli jibbenefikaw bis-sħiħ mis-suq uniku; jinnota li tali modulu għandu jitfassal bħala sistema fakultattiva, ċara u legalment sigura, miftuħa għall-adeżjoni ta’ Stati Membri oħra fi kwalunkwe ħin, filwaqt li tiġi evitata aktar </w:t>
      </w:r>
      <w:r w:rsidRPr="00AA45A0">
        <w:t>frammentazzjoni</w:t>
      </w:r>
      <w:r w:rsidRPr="00AA45A0">
        <w:t xml:space="preserve"> u tiġi </w:t>
      </w:r>
      <w:r w:rsidRPr="00AA45A0">
        <w:t>ggarantita</w:t>
      </w:r>
      <w:r w:rsidRPr="00AA45A0">
        <w:t xml:space="preserve"> l-koerenza tas-suq uniku;</w:t>
      </w:r>
    </w:p>
    <w:p w:rsidR="0087232C" w:rsidRPr="00AA45A0" w:rsidP="0087232C" w14:paraId="4DB4CB4A" w14:textId="77777777">
      <w:pPr>
        <w:pStyle w:val="NormalHanging12a"/>
      </w:pPr>
      <w:r w:rsidRPr="00AA45A0">
        <w:t>12.</w:t>
      </w:r>
      <w:r w:rsidRPr="00AA45A0">
        <w:tab/>
        <w:t xml:space="preserve">Jinsisti fuq il-fatt li t-28 reġim irid inaqqas effettivament il-kumplessità tal-konformità għall-kumpaniji parteċipanti u ma jridx joħloq ġabra tar-regoli parallela li </w:t>
      </w:r>
      <w:r w:rsidRPr="00AA45A0">
        <w:t>tikkoinċidi</w:t>
      </w:r>
      <w:r w:rsidRPr="00AA45A0">
        <w:t xml:space="preserve"> mas-sistemi ġuridiċi nazzjonali, li twassal għal żieda </w:t>
      </w:r>
      <w:r w:rsidRPr="00AA45A0">
        <w:t>fid-distorsjonijiet</w:t>
      </w:r>
      <w:r w:rsidRPr="00AA45A0">
        <w:t xml:space="preserve"> ġuridiċi, </w:t>
      </w:r>
      <w:r w:rsidRPr="00AA45A0">
        <w:t>it-trikkib</w:t>
      </w:r>
      <w:r w:rsidRPr="00AA45A0">
        <w:t xml:space="preserve"> jew l-inkonsistenzi, jew piż amministrattiv addizzjonali; ifakkar li l-objettiv ewlieni tar-reġim il-ġdid huwa s-simplifikazzjoni u l-kompetittività u li dawn iridu jiġu żgurati f’kull ħin filwaqt li jsir sforz għal konverġenza soċjali’ l fuq;</w:t>
      </w:r>
    </w:p>
    <w:p w:rsidR="0087232C" w:rsidRPr="00AA45A0" w:rsidP="0087232C" w14:paraId="2BE7AC6D" w14:textId="77777777">
      <w:pPr>
        <w:pStyle w:val="NormalHanging12a"/>
      </w:pPr>
      <w:r w:rsidRPr="00AA45A0">
        <w:t>13.</w:t>
      </w:r>
      <w:r w:rsidRPr="00AA45A0">
        <w:tab/>
        <w:t>Jenfasizza li l-objettiv kemm tat-28 reġim kif ukoll tal-modulu tat-taxxa tiegħu mhuwiex li jinħoloq vantaġġ tat-taxxa inġust għall-kumpaniji jew l-impjegati tagħhom, iżda li jitnaqqsu b’mod sostanzjali l-kumplessità u l-piż amministrattiv li jirriżultaw minn obbligi differenti, filwaqt li jiġu rispettati l-karatteristiċi speċifiċi ta’ tali kumpaniji;</w:t>
      </w:r>
    </w:p>
    <w:p w:rsidR="0087232C" w:rsidRPr="00AA45A0" w:rsidP="0087232C" w14:paraId="71CEA391" w14:textId="7C47C800">
      <w:pPr>
        <w:pStyle w:val="NormalHanging12a"/>
      </w:pPr>
      <w:r w:rsidRPr="00AA45A0">
        <w:t>14.</w:t>
      </w:r>
      <w:r w:rsidRPr="00AA45A0">
        <w:tab/>
        <w:t xml:space="preserve">Jenfasizza li sabiex tiġi evitata aktar kumplessità, id-dispożizzjonijiet tat-28 reġim għandhom ikunu konformi ma’ kwalunkwe proposta ewlenija oħra tal-Kummissjoni u mal-linji gwida rilevanti tal-Organizzazzjoni għall-Kooperazzjoni u l-Iżvilupp Ekonomiċi (OECD) rigward integrazzjoni akbar fis-suq uniku, jiġifieri fil-qasam tat-tassazzjoni u l-leġiżlazzjoni tat-taxxa applikabbli, b’mod partikolari </w:t>
      </w:r>
      <w:r w:rsidRPr="00AA45A0">
        <w:t>fl</w:t>
      </w:r>
      <w:r w:rsidRPr="00AA45A0">
        <w:t>-oqfsa tal-UE kontra l-</w:t>
      </w:r>
      <w:r w:rsidRPr="00AA45A0">
        <w:t>evitar</w:t>
      </w:r>
      <w:r w:rsidRPr="00AA45A0">
        <w:t xml:space="preserve"> u l-evażjoni tat-taxxa, inkluża d-Direttiva kontra l-</w:t>
      </w:r>
      <w:r w:rsidRPr="00AA45A0">
        <w:t>Evitar</w:t>
      </w:r>
      <w:r w:rsidRPr="00AA45A0">
        <w:t xml:space="preserve"> tat-Taxxa</w:t>
      </w:r>
      <w:r>
        <w:rPr>
          <w:rStyle w:val="FootnoteReference"/>
        </w:rPr>
        <w:footnoteReference w:id="13"/>
      </w:r>
      <w:r w:rsidRPr="00AA45A0">
        <w:t xml:space="preserve"> (ATAD);</w:t>
      </w:r>
    </w:p>
    <w:p w:rsidR="0087232C" w:rsidRPr="00AA45A0" w:rsidP="0087232C" w14:paraId="1F65E6F1" w14:textId="77777777">
      <w:pPr>
        <w:pStyle w:val="NormalHanging12a"/>
      </w:pPr>
      <w:r w:rsidRPr="00AA45A0">
        <w:t>15.</w:t>
      </w:r>
      <w:r w:rsidRPr="00AA45A0">
        <w:tab/>
        <w:t xml:space="preserve">Jappella għal approċċ </w:t>
      </w:r>
      <w:r w:rsidRPr="00AA45A0">
        <w:t>modulari</w:t>
      </w:r>
      <w:r w:rsidRPr="00AA45A0">
        <w:t xml:space="preserve"> u </w:t>
      </w:r>
      <w:r w:rsidRPr="00AA45A0">
        <w:t>bbażat</w:t>
      </w:r>
      <w:r w:rsidRPr="00AA45A0">
        <w:t xml:space="preserve"> fuq il-proġetti pilota għat-28 reġim, li fih id-dritt tal-kumpaniji ikun element ewlieni; jisħaq li dawk il-moduli jridu jnaqqsu b’mod effettiv il-kumplessità tal-konformità għall-kumpaniji parteċipanti, iżda jinsisti fuq l-adozzjoni ta’ pjan direzzjonali, rigward dak li għandu jiżdied u meta, li għandu jkun magħruf mill-bidu u aġġustat kontinwament taħt proċess ta’ rieżami demokratiku perjodiku;</w:t>
      </w:r>
    </w:p>
    <w:p w:rsidR="0087232C" w:rsidRPr="00AA45A0" w:rsidP="0087232C" w14:paraId="2359695E" w14:textId="77777777">
      <w:pPr>
        <w:pStyle w:val="NormalHanging12a"/>
      </w:pPr>
      <w:r w:rsidRPr="00AA45A0">
        <w:t>16.</w:t>
      </w:r>
      <w:r w:rsidRPr="00AA45A0">
        <w:tab/>
        <w:t xml:space="preserve">Jenfasizza f’dan il-kuntest li, bl-għan li tiġi żgurata l-fattibbiltà (politika) u sabiex jiġi ppreservat il-kontroll tal-Istati Membri fuq parti sostanzjali tal-politika tat-tassazzjoni tagħhom kif previst fl-oqfsa ġuridiċi attwali, il-kamp ta’ applikazzjoni tal-modulu tat-taxxa għandu jkun limitat, bħala punt tat-tluq, għal </w:t>
      </w:r>
      <w:r w:rsidRPr="00AA45A0">
        <w:t>subsett</w:t>
      </w:r>
      <w:r w:rsidRPr="00AA45A0">
        <w:t xml:space="preserve"> ta’ kumpaniji, bħal start-</w:t>
      </w:r>
      <w:r w:rsidRPr="00AA45A0">
        <w:t>ups</w:t>
      </w:r>
      <w:r w:rsidRPr="00AA45A0">
        <w:t xml:space="preserve"> u </w:t>
      </w:r>
      <w:r w:rsidRPr="00AA45A0">
        <w:t>scale-ups</w:t>
      </w:r>
      <w:r w:rsidRPr="00AA45A0">
        <w:t xml:space="preserve"> transfruntiera orjentati lejn it-tkabbir, li tipikament jiġġeneraw biss dħul limitat mit-taxxa korporattiva fuq l-introjtu għall-Istati Membri; jieħu nota tar-rakkomandazzjoni tal-Kummissjoni tat-18 ta’ Marzu 2026 li tistabbilixxi definizzjoni ta’ tali kumpaniji bl-użu ta’ kriterji bħan-nefqa u d-daqs tar-riċerka u l-iżvilupp (R&amp;Ż) tagħhom, li akkumpanjat il-proposta dwar l-“EU </w:t>
      </w:r>
      <w:r w:rsidRPr="00AA45A0">
        <w:t>Inc</w:t>
      </w:r>
      <w:r w:rsidRPr="00AA45A0">
        <w:t>.”;</w:t>
      </w:r>
    </w:p>
    <w:p w:rsidR="0087232C" w:rsidRPr="00AA45A0" w:rsidP="0087232C" w14:paraId="382C0F5E" w14:textId="77777777">
      <w:pPr>
        <w:pStyle w:val="NormalHanging12a"/>
      </w:pPr>
      <w:r w:rsidRPr="00AA45A0">
        <w:t>17.</w:t>
      </w:r>
      <w:r w:rsidRPr="00AA45A0">
        <w:tab/>
        <w:t xml:space="preserve">Jissottolinja li l-inċentivi fiskali kollha fi ħdan il-qafas tat-28 reġim iridu jkunu kompletament kompatibbli mar-regoli dwar l-għajnuna mill-Istat u mfassla b’mod li tiġi evitata kompetizzjoni tat-taxxa </w:t>
      </w:r>
      <w:r w:rsidRPr="00AA45A0">
        <w:t>dannuża</w:t>
      </w:r>
      <w:r w:rsidRPr="00AA45A0">
        <w:t>, filwaqt li jiġu żgurati kundizzjonijiet ekwi fis-suq uniku;</w:t>
      </w:r>
    </w:p>
    <w:p w:rsidR="0087232C" w:rsidRPr="00AA45A0" w:rsidP="0087232C" w14:paraId="0D566949" w14:textId="77777777">
      <w:pPr>
        <w:pStyle w:val="NormalHanging12a"/>
      </w:pPr>
      <w:r w:rsidRPr="00AA45A0">
        <w:t>18.</w:t>
      </w:r>
      <w:r w:rsidRPr="00AA45A0">
        <w:tab/>
        <w:t xml:space="preserve">Itenni li l-kumpaniji li jagħżlu b’mod volontarju li jipparteċipaw fit-28 reġim għandhom jintrabtu bir-regoli tiegħu u li l-għażla tagħhom li jipparteċipaw fih trid tiġi rikonoxxuta awtomatikament mill-oqfsa ġuridiċi tal-Istati Membri kollha biex joperaw bħal kwalunkwe kumpanija oħra reġistrata </w:t>
      </w:r>
      <w:r w:rsidRPr="00AA45A0">
        <w:t>nazzjonalment</w:t>
      </w:r>
      <w:r w:rsidRPr="00AA45A0">
        <w:t xml:space="preserve"> fi kwalunkwe Stat Membru; ifakkar li d-dħul fit-28 reġim għandu jkun </w:t>
      </w:r>
      <w:r w:rsidRPr="00AA45A0">
        <w:t>fakultattiv</w:t>
      </w:r>
      <w:r w:rsidRPr="00AA45A0">
        <w:t>, iżda l-ħruġ minnu għandu jkun obbligatorju malli jintlaħqu kriterji definiti b’mod ċar, inkluża offerta pubblika inizjali; jenfasizza f’dan il-kuntest li għandu jiġi applikat il-prinċipju tan-nondiskriminazzjoni fil-konfront tal-forom ġuridiċi nazzjonali tal-kumpaniji;</w:t>
      </w:r>
    </w:p>
    <w:p w:rsidR="0087232C" w:rsidRPr="00AA45A0" w:rsidP="0087232C" w14:paraId="4711CAB8" w14:textId="77777777">
      <w:pPr>
        <w:pStyle w:val="NormalHanging12a"/>
      </w:pPr>
      <w:r w:rsidRPr="00AA45A0">
        <w:t>19.</w:t>
      </w:r>
      <w:r w:rsidRPr="00AA45A0">
        <w:tab/>
        <w:t xml:space="preserve">Jinnota li jridu jiġu stabbiliti kundizzjonijiet ta’ ħruġ għall-kumpaniji li jiddeċiedu li jirtiraw fuq inizjattiva tagħhom stess, inklużi rekwiżiti ta’ avviż, perjodi minimi possibbli ta’ parteċipazzjoni, u d-dħul fis-seħħ tal-irtirar u li, ladarba jiġu ssodisfati l-kriterji rilevanti għall-ħruġ, irid jiġi pprovdut biżżejjed żmien biex jippermetti t-trasformazzjoni meħtieġa tal-kumpaniji, filwaqt li tiġi żgurata tranżizzjoni prevedibbli u gradwali filwaqt li jiġu </w:t>
      </w:r>
      <w:r w:rsidRPr="00AA45A0">
        <w:t>minimizzati</w:t>
      </w:r>
      <w:r w:rsidRPr="00AA45A0">
        <w:t xml:space="preserve"> l-opportunitajiet għal arbitraġġ regolatorju;</w:t>
      </w:r>
    </w:p>
    <w:p w:rsidR="0087232C" w:rsidRPr="00AA45A0" w:rsidP="0087232C" w14:paraId="109ACD56" w14:textId="77777777">
      <w:pPr>
        <w:pStyle w:val="NormalHanging12a"/>
      </w:pPr>
      <w:r w:rsidRPr="00AA45A0">
        <w:t>20.</w:t>
      </w:r>
      <w:r w:rsidRPr="00AA45A0">
        <w:tab/>
        <w:t>Jirrikonoxxi li n-newtralità tal-forma ġuridika u n-nondiskriminazzjoni fiskali huma essenzjali biex tiġi żgurata domanda suffiċjenti għar-reġim; jistieden lill-Kummissjoni, jekk ikun meħtieġ, temenda l-</w:t>
      </w:r>
      <w:r w:rsidRPr="00AA45A0">
        <w:rPr>
          <w:i/>
        </w:rPr>
        <w:t>acquis</w:t>
      </w:r>
      <w:r w:rsidRPr="00AA45A0">
        <w:t xml:space="preserve"> tal-UE relatat mat-tassazzjoni, kemm direttament kif ukoll indirettament, sabiex tiżgura li l-kumpaniji li joperaw taħt it-28 reġim ikunu jistgħu jaqgħu fil-kamp ta’ applikazzjoni tagħhom stess, u tissimplifika u tarmonizza aktar il-proċeduri għall-aċċess għall-benefiċċji ta’ dawk id-direttivi;</w:t>
      </w:r>
    </w:p>
    <w:p w:rsidR="0087232C" w:rsidRPr="00AA45A0" w:rsidP="0087232C" w14:paraId="1DC42394" w14:textId="431BC901">
      <w:pPr>
        <w:pStyle w:val="NormalHanging12a"/>
      </w:pPr>
      <w:r w:rsidRPr="00AA45A0">
        <w:t>21.</w:t>
      </w:r>
      <w:r w:rsidRPr="00AA45A0">
        <w:tab/>
        <w:t>Huwa tal-fehma li fl-ewwel fażijiet taċ-ċiklu tal-ħajja ta’ kumpanija, il-veloċità u s-</w:t>
      </w:r>
      <w:r w:rsidRPr="00AA45A0">
        <w:t>sempliċità</w:t>
      </w:r>
      <w:r w:rsidRPr="00AA45A0">
        <w:t xml:space="preserve">, mingħajr il-bżonn li jiġu stabbiliti forom ġuridiċi separati f’kull wieħed </w:t>
      </w:r>
      <w:r w:rsidRPr="00AA45A0">
        <w:t>mill-iStati</w:t>
      </w:r>
      <w:r w:rsidRPr="00AA45A0">
        <w:t xml:space="preserve"> Membri, huma kruċjali biex kunċett innovattiv jiġi </w:t>
      </w:r>
      <w:r w:rsidRPr="00AA45A0">
        <w:t>ttrasformat</w:t>
      </w:r>
      <w:r w:rsidRPr="00AA45A0">
        <w:t xml:space="preserve"> f’entità vijabbli; jisħaq fuq il-fatt li, għat-28 reġim, irid ikun hemm b’mod </w:t>
      </w:r>
      <w:r w:rsidRPr="00AA45A0">
        <w:t>prestabbilit</w:t>
      </w:r>
      <w:r w:rsidRPr="00AA45A0">
        <w:t xml:space="preserve"> reġistrazzjoni unika totalment diġitali fil-punt uniku ta’ servizz, flimkien mal-għoti ta’ numru ta’ identifikazzjoni tat-taxxa uniku, inklużi dokumentazzjoni, mudelli u </w:t>
      </w:r>
      <w:r w:rsidRPr="00AA45A0">
        <w:t>interfaċċja</w:t>
      </w:r>
      <w:r w:rsidRPr="00AA45A0">
        <w:t xml:space="preserve"> unika għall-mili tal-formoli tat-taxxa totalment standardizzati, u li jiġi rrispettat il-prinċipju skont liema l-Ingliż jiġi fl-ewwel post għall-komunikazzjoni, mingħajr ma jiġu kompromessi l-lingwi uffiċjali l-oħra tal-UE; ifakkar li t-28 reġim għandu jikkombina arkitettura ġuridika ċara, benefiċċji </w:t>
      </w:r>
      <w:r w:rsidRPr="00AA45A0">
        <w:t>kwantifikabbli</w:t>
      </w:r>
      <w:r w:rsidRPr="00AA45A0">
        <w:t xml:space="preserve"> </w:t>
      </w:r>
      <w:r w:rsidRPr="00AA45A0">
        <w:t>sinifikattivi</w:t>
      </w:r>
      <w:r w:rsidRPr="00AA45A0">
        <w:t xml:space="preserve"> u ex ante għall-kumpaniji, u appoġġ istituzzjonali robust; jenfasizza s-sinerġiji mal-proposta dwar l-istabbiliment ta’ Kartieri Ewropej tan-Negozju (</w:t>
      </w:r>
      <w:r w:rsidRPr="00887360">
        <w:t>COM(2025)0838</w:t>
      </w:r>
      <w:r w:rsidRPr="00AA45A0">
        <w:t>), imfassla biex tistabbilixxi ambjent bla xkiel u sigur għall-interazzjoni diġitali bejn l-operaturi ekonomiċi u l-korpi tas-settur pubbliku;</w:t>
      </w:r>
    </w:p>
    <w:p w:rsidR="0087232C" w:rsidRPr="00AA45A0" w:rsidP="0087232C" w14:paraId="0895953F" w14:textId="77777777">
      <w:pPr>
        <w:pStyle w:val="NormalHanging12a"/>
      </w:pPr>
      <w:r w:rsidRPr="00AA45A0">
        <w:t>22.</w:t>
      </w:r>
      <w:r w:rsidRPr="00AA45A0">
        <w:tab/>
        <w:t xml:space="preserve">Jinnota li l-Punt Uniku ta’ Servizz, jew </w:t>
      </w:r>
      <w:r w:rsidRPr="00AA45A0">
        <w:t>alternattivament</w:t>
      </w:r>
      <w:r w:rsidRPr="00AA45A0">
        <w:t xml:space="preserve"> ċentru ċentrali differenti, għandu jiffunzjona wkoll bħala pjattaforma diġitali li tappoġġja lill-kumpaniji matul iċ-ċiklu tal-ħajja tagħhom fi ħdan it-28 reġim u l-moduli varji tiegħu; jenfasizza li dan għandu jipprovdi aċċess simplifikat għall-informazzjoni regolatorja, fiskali u amministrattiva rilevanti fl-Istati Membri kollha, filwaqt li jiżgura t-trasparenza u ċ-ċertezza tad-dritt, kif ukoll jinkludi l-possibbiltà li jiġu inkorporati, ġestiti u xolti l-attivitajiet;</w:t>
      </w:r>
    </w:p>
    <w:p w:rsidR="0087232C" w:rsidRPr="00AA45A0" w:rsidP="0087232C" w14:paraId="6D8B595E" w14:textId="77777777">
      <w:pPr>
        <w:pStyle w:val="NormalHanging12a"/>
      </w:pPr>
      <w:r w:rsidRPr="00AA45A0">
        <w:t>23.</w:t>
      </w:r>
      <w:r w:rsidRPr="00AA45A0">
        <w:tab/>
        <w:t>Jenfasizza, mingħajr preġudizzju għal kwalunkwe miżura protettiva ulterjuri, li l-miżuri kontra l-</w:t>
      </w:r>
      <w:r w:rsidRPr="00AA45A0">
        <w:t>evitar</w:t>
      </w:r>
      <w:r w:rsidRPr="00AA45A0">
        <w:t xml:space="preserve"> tat-taxxa stabbiliti mid-dritt attwali tal-UE jridu jiġu applikati bir-reqqa; jisħaq li huma biss il-kumpaniji b’attivitajiet ekonomiċi reali fl-UE li għandu jkollhom aċċess għall-modulu tat-taxxa u li dan il-modulu ma għandux iwassal għall-ħolqien ta’ kumpaniji fittizji jew fantażma, peress li tali prattiki jimminaw l-integrità regolatorja, ifixklu l-kompetizzjoni ġusta u jnaqqsu l-attività ekonomika ġenwina fl-UE; jissottolinja li l-modulu tat-taxxa ma għandux isir għodda għal “tax </w:t>
      </w:r>
      <w:r w:rsidRPr="00AA45A0">
        <w:t>shopping</w:t>
      </w:r>
      <w:r w:rsidRPr="00AA45A0">
        <w:t>” u, fl-ebda ċirkostanza, ma jrid isir mezz biex jitnaqqsu jew jiġu evitati bla bżonn il-livelli attwali ta’ tassazzjoni fil-livell tal-UE jew nazzjonali;</w:t>
      </w:r>
    </w:p>
    <w:p w:rsidR="0087232C" w:rsidRPr="00AA45A0" w:rsidP="0087232C" w14:paraId="15F04FEE" w14:textId="77777777">
      <w:pPr>
        <w:pStyle w:val="NormalHanging12a"/>
      </w:pPr>
      <w:r w:rsidRPr="00AA45A0">
        <w:t>24.</w:t>
      </w:r>
      <w:r w:rsidRPr="00AA45A0">
        <w:tab/>
        <w:t xml:space="preserve">Iqis li kumpanija li għaliha jkun ġie stabbilit uffiċjalment ksur ta’ regoli vinkolanti rigward il-frodi, it-taxxa, l-evażjoni tas-sigurtà soċjali jew il-parteċipazzjoni tal-impjegati, ma għandhiex tkun </w:t>
      </w:r>
      <w:r w:rsidRPr="00AA45A0">
        <w:t>eleġibbli</w:t>
      </w:r>
      <w:r w:rsidRPr="00AA45A0">
        <w:t xml:space="preserve"> biex tipparteċipa fil-modulu tat-taxxa;</w:t>
      </w:r>
    </w:p>
    <w:p w:rsidR="0087232C" w:rsidRPr="00AA45A0" w:rsidP="0087232C" w14:paraId="3F371CC7" w14:textId="77777777">
      <w:pPr>
        <w:pStyle w:val="NormalHanging12a"/>
      </w:pPr>
      <w:r w:rsidRPr="00AA45A0">
        <w:t>25.</w:t>
      </w:r>
      <w:r w:rsidRPr="00AA45A0">
        <w:tab/>
        <w:t xml:space="preserve">Jenfasizza li qafas ta’ rapportar finanzjarju trasparenti, responsabbli u effiċjenti huwa </w:t>
      </w:r>
      <w:r w:rsidRPr="00AA45A0">
        <w:t>neċessità</w:t>
      </w:r>
      <w:r w:rsidRPr="00AA45A0">
        <w:t>, u li l-Istandards Kontabilistiċi Uniċi għandhom jiġu applikati awtomatikament għall-kumpaniji kollha li joperaw taħt it-28 reġim fl-Istati Membri parteċipanti kollha, filwaqt li jibnu fuq standards rikonoxxuti internazzjonalment bħall-Istandards Internazzjonali tar-Rapportar Finanzjarju fejn xieraq;</w:t>
      </w:r>
    </w:p>
    <w:p w:rsidR="0087232C" w:rsidRPr="00AA45A0" w:rsidP="0087232C" w14:paraId="4057C46D" w14:textId="77777777">
      <w:pPr>
        <w:pStyle w:val="Normal12a"/>
      </w:pPr>
      <w:r w:rsidRPr="00AA45A0">
        <w:rPr>
          <w:b/>
          <w:i/>
        </w:rPr>
        <w:t>Impożizzjoni ta’ taxxi fuq l-introjtu tal-kumpaniji</w:t>
      </w:r>
    </w:p>
    <w:p w:rsidR="0087232C" w:rsidRPr="00AA45A0" w:rsidP="0087232C" w14:paraId="0217640A" w14:textId="77777777">
      <w:pPr>
        <w:pStyle w:val="NormalHanging12a"/>
      </w:pPr>
      <w:r w:rsidRPr="00AA45A0">
        <w:t>26.</w:t>
      </w:r>
      <w:r w:rsidRPr="00AA45A0">
        <w:tab/>
        <w:t xml:space="preserve">Huwa tal-opinjoni li n-nuqqas ta’ armonizzazzjoni tal-politika tat-tassazzjoni korporattiva jirrappreżenta ostaklu sinifikanti għall-attività ekonomika transfruntiera fl-UE, filwaqt li jżid ukoll ir-riskji ta’ ppjanar aggressiv tat-taxxa; jipproponi, għalhekk, biex jiġi pprovdut reġim tat-taxxa ċar, effettiv u trasparenti, il-modulu tat-taxxa futur għandu jimmira għal bażi unika konsolidata għat-taxxa korporattiva għall-kumpaniji parteċipanti fl-UE kollha; ifakkar fl-inizjattivi preċedenti, pereżempju l-Bażi Komuni għat-Taxxa Korporattiva, il-BKKTK, il-BEFIT u l-mudell tas-sistema ta’ Taxxa tal-Uffiċċju Reġistrat għall-SMEs, u jipproponi li l-modulu tat-taxxa għandu joffri metodu uniformi biex jiġi ddeterminat l-introjtu taxxabbli f’konformità mal-linji gwida tal-OECD, b’hekk tiġi eliminata l-frammentazzjoni fil-kalkoli tal-bażi tat-taxxa u tonqos l-inċertezza transfruntiera; jisħaq li l-modulu tat-taxxa ma jridx jillimita aktar id-diskrezzjoni tal-Istati Membri li jistabbilixxu rati tat-taxxa korporattiva; jisħaq li t-28 reġim għandu jagħti prijorità lill-konsolidazzjoni ġenwina sabiex jiġi żgurat il-kumpens transfruntier effettiv għat-telf, u b’hekk jiġi </w:t>
      </w:r>
      <w:r w:rsidRPr="00AA45A0">
        <w:t>inċentivat</w:t>
      </w:r>
      <w:r w:rsidRPr="00AA45A0">
        <w:t xml:space="preserve"> l-investiment </w:t>
      </w:r>
      <w:r w:rsidRPr="00AA45A0">
        <w:t>transfruntier</w:t>
      </w:r>
      <w:r w:rsidRPr="00AA45A0">
        <w:t>;</w:t>
      </w:r>
    </w:p>
    <w:p w:rsidR="0087232C" w:rsidRPr="00AA45A0" w:rsidP="0087232C" w14:paraId="56659053" w14:textId="77777777">
      <w:pPr>
        <w:pStyle w:val="NormalHanging12a"/>
      </w:pPr>
      <w:r w:rsidRPr="00AA45A0">
        <w:t>27.</w:t>
      </w:r>
      <w:r w:rsidRPr="00AA45A0">
        <w:tab/>
        <w:t xml:space="preserve">Jinnota li, fir-rigward tal-proposta għal </w:t>
      </w:r>
      <w:r w:rsidRPr="00AA45A0">
        <w:t>remissjoni</w:t>
      </w:r>
      <w:r w:rsidRPr="00AA45A0">
        <w:t xml:space="preserve"> li tnaqqas il-</w:t>
      </w:r>
      <w:r w:rsidRPr="00AA45A0">
        <w:t>predispożizzjoni</w:t>
      </w:r>
      <w:r w:rsidRPr="00AA45A0">
        <w:t xml:space="preserve"> favur id-dejn, il-modulu għandu jippromwovi n-newtralità bejn il-finanzjament tad-dejn u tal-ekwità, sabiex jitneħħew il-preġudizzji fiskali strutturali u jissaħħaħ l-investiment ibbażat fuq l-ekwità, li huwa partikolarment importanti </w:t>
      </w:r>
      <w:r w:rsidRPr="00AA45A0">
        <w:t>għall-istart-ups</w:t>
      </w:r>
      <w:r w:rsidRPr="00AA45A0">
        <w:t xml:space="preserve"> u l-</w:t>
      </w:r>
      <w:r w:rsidRPr="00AA45A0">
        <w:t>iscale</w:t>
      </w:r>
      <w:r w:rsidRPr="00AA45A0">
        <w:t>-</w:t>
      </w:r>
      <w:r w:rsidRPr="00AA45A0">
        <w:t>ups</w:t>
      </w:r>
      <w:r w:rsidRPr="00AA45A0">
        <w:t xml:space="preserve"> li jiddependu primarjament fuq il-finanzjament tal-ekwità fl-istadji bikrin tal-iżvilupp tagħhom;</w:t>
      </w:r>
    </w:p>
    <w:p w:rsidR="0087232C" w:rsidRPr="00AA45A0" w:rsidP="0087232C" w14:paraId="115E9EF1" w14:textId="77777777">
      <w:pPr>
        <w:pStyle w:val="NormalHanging12a"/>
      </w:pPr>
      <w:r w:rsidRPr="00AA45A0">
        <w:t>28.</w:t>
      </w:r>
      <w:r w:rsidRPr="00AA45A0">
        <w:tab/>
        <w:t xml:space="preserve">Jipproponi li t-28 reġim għandu jfittex li </w:t>
      </w:r>
      <w:r w:rsidRPr="00AA45A0">
        <w:t>jissimplifika</w:t>
      </w:r>
      <w:r w:rsidRPr="00AA45A0">
        <w:t xml:space="preserve"> l-amministrazzjoni tat-taxxa u jnaqqas l-inċertezza transfruntiera, inkluż, fejn possibbli, billi </w:t>
      </w:r>
      <w:r w:rsidRPr="00AA45A0">
        <w:t>jistandardizza</w:t>
      </w:r>
      <w:r w:rsidRPr="00AA45A0">
        <w:t xml:space="preserve"> d-dikjarazzjonijiet tat-taxxa, jevita dikjarazzjonijiet </w:t>
      </w:r>
      <w:r w:rsidRPr="00AA45A0">
        <w:t>duplikati</w:t>
      </w:r>
      <w:r w:rsidRPr="00AA45A0">
        <w:t>, u jtejjeb il-komunikazzjoni fost l-awtoritajiet tat-taxxa, u l-applikazzjoni tal-prinċipju “diġitali l-ewwel”;</w:t>
      </w:r>
    </w:p>
    <w:p w:rsidR="0087232C" w:rsidRPr="00AA45A0" w:rsidP="0087232C" w14:paraId="76044569" w14:textId="77777777">
      <w:pPr>
        <w:pStyle w:val="NormalHanging12a"/>
      </w:pPr>
      <w:r w:rsidRPr="00AA45A0">
        <w:t>29.</w:t>
      </w:r>
      <w:r w:rsidRPr="00AA45A0">
        <w:tab/>
        <w:t>Jipproponi li l-bażi konsolidata għat-taxxa tkun mqassma fost l-Istati Membri li jużaw formula maqbula minn qabel li tirrifletti l-attività ekonomika reali, bħall-bejgħ, ix-</w:t>
      </w:r>
      <w:r w:rsidRPr="00AA45A0">
        <w:t>xogħol, l-assi tanġibbli u l-preżenza diġitali, li tieħu post tilwim kumpless bejn il-gruppi fil-qasam tal-ipprezzar ta’ trasferiment fi ħdan ir-reġim b’metodu ta’ allokazzjoni trasparenti, f’konformità mal-linji gwida tal-OECD; jisħaq li dan ikun kemm għodda ta’ simplifikazzjoni kif ukoll għodda kontra l-</w:t>
      </w:r>
      <w:r w:rsidRPr="00AA45A0">
        <w:t>evitar</w:t>
      </w:r>
      <w:r w:rsidRPr="00AA45A0">
        <w:t xml:space="preserve"> tat-taxxa;</w:t>
      </w:r>
    </w:p>
    <w:p w:rsidR="0087232C" w:rsidRPr="00AA45A0" w:rsidP="0087232C" w14:paraId="1CE7C063" w14:textId="77777777">
      <w:pPr>
        <w:pStyle w:val="NormalHanging12a"/>
      </w:pPr>
      <w:r w:rsidRPr="00AA45A0">
        <w:t>30.</w:t>
      </w:r>
      <w:r w:rsidRPr="00AA45A0">
        <w:tab/>
        <w:t xml:space="preserve">Ifakkar li r-rati tat-taxxa jridu jibqgħu fil-kompetenza tal-Istati Membri; jinnota, madankollu, li dawn jistgħu jiġu ppreżentati permezz ta’ </w:t>
      </w:r>
      <w:r w:rsidRPr="00AA45A0">
        <w:t>interfaċċja</w:t>
      </w:r>
      <w:r w:rsidRPr="00AA45A0">
        <w:t xml:space="preserve"> unika għall-mili tal-formoli;</w:t>
      </w:r>
    </w:p>
    <w:p w:rsidR="0087232C" w:rsidRPr="00AA45A0" w:rsidP="0087232C" w14:paraId="01CC5788" w14:textId="77777777">
      <w:pPr>
        <w:pStyle w:val="NormalHanging12a"/>
      </w:pPr>
      <w:r w:rsidRPr="00AA45A0">
        <w:t>31.</w:t>
      </w:r>
      <w:r w:rsidRPr="00AA45A0">
        <w:tab/>
        <w:t xml:space="preserve">Jisħaq fuq il-fatt li t-tassazzjoni doppja trid tiġi evitata b’mod effettiv permezz, ngħidu aħna, id-definizzjoni u l-klassifikazzjoni uniformi tal-gwadanji kapitali, tal-pagamenti </w:t>
      </w:r>
      <w:r w:rsidRPr="00AA45A0">
        <w:t>intrareġim</w:t>
      </w:r>
      <w:r w:rsidRPr="00AA45A0">
        <w:t>, jew ir-rikonoxximent reċiproku awtomatiku tal-istatus tat-taxxa;</w:t>
      </w:r>
    </w:p>
    <w:p w:rsidR="0087232C" w:rsidRPr="00AA45A0" w:rsidP="0087232C" w14:paraId="1746AD6A" w14:textId="77777777">
      <w:pPr>
        <w:pStyle w:val="NormalHanging12a"/>
      </w:pPr>
      <w:r w:rsidRPr="00AA45A0">
        <w:t>32.</w:t>
      </w:r>
      <w:r w:rsidRPr="00AA45A0">
        <w:tab/>
        <w:t>Jipproponi li l-Istati Membri jikkunsidraw l-introduzzjoni ta’ bordijiet speċjali fi ħdan il-qrati nazzjonali tagħhom iddedikati għal tilwim dwar il-modulu tat-taxxa, u li dawn il-bordijiet ikunu jistgħu jwettqu s-soluzzjoni tat-tilwim bl-Ingliż;</w:t>
      </w:r>
    </w:p>
    <w:p w:rsidR="0087232C" w:rsidRPr="00AA45A0" w:rsidP="0087232C" w14:paraId="0D77670C" w14:textId="46A9DE48">
      <w:pPr>
        <w:pStyle w:val="NormalHanging12a"/>
      </w:pPr>
      <w:r w:rsidRPr="00AA45A0">
        <w:t>33.</w:t>
      </w:r>
      <w:r w:rsidRPr="00AA45A0">
        <w:tab/>
        <w:t xml:space="preserve">Jenfasizza li l-espansjoni transfruntiera tista’ tinvolvi avvenimenti u </w:t>
      </w:r>
      <w:r w:rsidRPr="00AA45A0">
        <w:t>riorganizzazzjonijiet</w:t>
      </w:r>
      <w:r w:rsidRPr="00AA45A0">
        <w:t xml:space="preserve"> frekwenti tal-mobbiltà korporattiva, u li, bl-intenzjoni li jittieħed benefiċċju mill-qafas attwali għal operazzjonijiet newtrali għat-taxxa, il-modulu tat-taxxa għandu jinvolvi l-estensjoni tad-dritt attwali tal-UE u għandu jindirizza </w:t>
      </w:r>
      <w:r w:rsidRPr="00AA45A0">
        <w:t>frizzjonijiet</w:t>
      </w:r>
      <w:r w:rsidRPr="00AA45A0">
        <w:t xml:space="preserve"> tat-taxxa relatati mal-mobbiltà permezz ta’ koordinazzjoni amministrattiva msaħħa u ċertezza </w:t>
      </w:r>
      <w:r w:rsidRPr="00AA45A0">
        <w:t>sostantiva</w:t>
      </w:r>
      <w:r w:rsidRPr="00AA45A0">
        <w:t xml:space="preserve"> akbar filwaqt li jiżgura li kwalunkwe miżura ta’ simplifikazzjoni tibqa’ soġġetta għal salvagwardji xierqa kontra l-abbuż</w:t>
      </w:r>
      <w:r>
        <w:rPr>
          <w:rStyle w:val="FootnoteReference"/>
        </w:rPr>
        <w:footnoteReference w:id="14"/>
      </w:r>
      <w:r w:rsidRPr="00AA45A0">
        <w:t>;</w:t>
      </w:r>
    </w:p>
    <w:p w:rsidR="0087232C" w:rsidRPr="00AA45A0" w:rsidP="0087232C" w14:paraId="38B8EFEE" w14:textId="77777777">
      <w:pPr>
        <w:pStyle w:val="Normal12a"/>
      </w:pPr>
      <w:r w:rsidRPr="00AA45A0">
        <w:rPr>
          <w:b/>
          <w:i/>
        </w:rPr>
        <w:t>Taxxa fuq il-valur miżjud</w:t>
      </w:r>
    </w:p>
    <w:p w:rsidR="0087232C" w:rsidRPr="00AA45A0" w:rsidP="0087232C" w14:paraId="29D95C9F" w14:textId="776943F8">
      <w:pPr>
        <w:pStyle w:val="NormalHanging12a"/>
      </w:pPr>
      <w:r w:rsidRPr="00AA45A0">
        <w:t>34.</w:t>
      </w:r>
      <w:r w:rsidRPr="00AA45A0">
        <w:tab/>
        <w:t>Jenfasizza li, biex jonqsu l-piżijiet marbutin mal-konformità, il-parteċipanti fir-reġim jeħtiġilhom joperaw f’qafas tal-VAT ċentralizzat, li fih numru uniku tal-VAT tal-UE u punt uniku diġitali ta’ servizz</w:t>
      </w:r>
      <w:r>
        <w:rPr>
          <w:rStyle w:val="FootnoteReference"/>
        </w:rPr>
        <w:footnoteReference w:id="15"/>
      </w:r>
      <w:r w:rsidRPr="00AA45A0">
        <w:t xml:space="preserve"> fil-livell tal-UE jridu jkopru d-dikjarazzjonijiet u r-</w:t>
      </w:r>
      <w:r w:rsidRPr="00AA45A0">
        <w:t>rifużjonijiet</w:t>
      </w:r>
      <w:r w:rsidRPr="00AA45A0">
        <w:t xml:space="preserve"> fl-Istati Membri kollha, inkluż permezz ta’ proċeduri ta’ rifużjoni fil-ħin u effiċjenti u ħtieġa mnaqqsa ta’ reġistrazzjonijiet multipli; jenfasizza l-importanza li jiġi promoss l-użu ta’ soluzzjonijiet diġitali </w:t>
      </w:r>
      <w:r w:rsidRPr="00AA45A0">
        <w:t>interoperabbli</w:t>
      </w:r>
      <w:r w:rsidRPr="00AA45A0">
        <w:t>, inkluża l-</w:t>
      </w:r>
      <w:r w:rsidRPr="00AA45A0">
        <w:t>fatturazzjoni</w:t>
      </w:r>
      <w:r w:rsidRPr="00AA45A0">
        <w:t xml:space="preserve"> elettronika, biex tiġi </w:t>
      </w:r>
      <w:r w:rsidRPr="00AA45A0">
        <w:t>ssimplifikata</w:t>
      </w:r>
      <w:r w:rsidRPr="00AA45A0">
        <w:t xml:space="preserve"> l-konformità, tissaħħaħ it-trasparenza u jitnaqqsu l-ispejjeż amministrattivi; ifakkar li l-objettiv taħt il-modulu tat-taxxa għandu jkun is-simplifikazzjoni proċedurali pjuttost milli l-armonizzazzjoni tar-rati tal-VAT, biex b’hekk il-kumpaniji jkunu jistgħu jespandu mingħajr ma jiġu </w:t>
      </w:r>
      <w:r w:rsidRPr="00AA45A0">
        <w:t>mmultiplikati</w:t>
      </w:r>
      <w:r w:rsidRPr="00AA45A0">
        <w:t xml:space="preserve"> l-</w:t>
      </w:r>
      <w:r w:rsidRPr="00AA45A0">
        <w:t>interfaċċji</w:t>
      </w:r>
      <w:r w:rsidRPr="00AA45A0">
        <w:t xml:space="preserve"> amministrattivi;</w:t>
      </w:r>
    </w:p>
    <w:p w:rsidR="0087232C" w:rsidRPr="00AA45A0" w:rsidP="0087232C" w14:paraId="12C30D77" w14:textId="77777777">
      <w:pPr>
        <w:pStyle w:val="Normal12a"/>
      </w:pPr>
      <w:r w:rsidRPr="00AA45A0">
        <w:rPr>
          <w:b/>
          <w:i/>
        </w:rPr>
        <w:t>Taxxa minn ras il-għajn</w:t>
      </w:r>
    </w:p>
    <w:p w:rsidR="0087232C" w:rsidRPr="00AA45A0" w:rsidP="0087232C" w14:paraId="5FE84F91" w14:textId="2F60F63C">
      <w:pPr>
        <w:pStyle w:val="NormalHanging12a"/>
      </w:pPr>
      <w:r w:rsidRPr="00AA45A0">
        <w:t>35.</w:t>
      </w:r>
      <w:r w:rsidRPr="00AA45A0">
        <w:tab/>
        <w:t xml:space="preserve">Jenfasizza li l-flussi transfruntiera tal-kapital fi ħdan il-modulu tat-taxxa għandhom jibbenefikaw minn trattament aktar ikkoordinat u effiċjenti, li abbażi tiegħu d-dividendi, l-imgħax u r-royalties bejn l-entitajiet parteċipanti u l-veikoli ta’ investiment assoċjati tagħhom għandhom jibbenefikaw u jkunu soġġetti għal proċedura komuni </w:t>
      </w:r>
      <w:r w:rsidRPr="00AA45A0">
        <w:t>simplifikata</w:t>
      </w:r>
      <w:r w:rsidRPr="00AA45A0">
        <w:t xml:space="preserve"> </w:t>
      </w:r>
      <w:r w:rsidRPr="00AA45A0">
        <w:t xml:space="preserve">tat-taxxa f’ras il-għajn u tassazzjoni minima effettiva; jipproponi li r-rikonoxximent immedjat tar-residenza għal finijiet ta’ taxxa jrid jinkiseb permezz ta’ reġistru diġitali ċentralizzat tal-UE, li jippermetti proċeduri ta’ awtorizzazzjoni diġitali simplifikati u jelimina d-dewmien minħabba </w:t>
      </w:r>
      <w:r w:rsidRPr="00AA45A0">
        <w:t>rifużjonijiet</w:t>
      </w:r>
      <w:r w:rsidRPr="00AA45A0">
        <w:t xml:space="preserve"> manwali identifikat bħala ostaklu ewlieni għall-espansjoni fl-UE</w:t>
      </w:r>
      <w:r>
        <w:rPr>
          <w:rStyle w:val="FootnoteReference"/>
        </w:rPr>
        <w:footnoteReference w:id="16"/>
      </w:r>
      <w:r w:rsidRPr="00AA45A0">
        <w:t>;</w:t>
      </w:r>
    </w:p>
    <w:p w:rsidR="0087232C" w:rsidRPr="00AA45A0" w:rsidP="0087232C" w14:paraId="6E41567F" w14:textId="77777777">
      <w:pPr>
        <w:pStyle w:val="NormalHanging12a"/>
      </w:pPr>
      <w:r w:rsidRPr="00AA45A0">
        <w:t>36.</w:t>
      </w:r>
      <w:r w:rsidRPr="00AA45A0">
        <w:tab/>
        <w:t xml:space="preserve">Jitlob li tiġi żviluppata definizzjoni ċara u trasparenti </w:t>
      </w:r>
      <w:r w:rsidRPr="00AA45A0">
        <w:t>tas-sjieda</w:t>
      </w:r>
      <w:r w:rsidRPr="00AA45A0">
        <w:t xml:space="preserve"> </w:t>
      </w:r>
      <w:r w:rsidRPr="00AA45A0">
        <w:t>benefiċjarja</w:t>
      </w:r>
      <w:r w:rsidRPr="00AA45A0">
        <w:t xml:space="preserve"> għal finijiet ta’ taxxa li tidentifika s-sidien reali tad-ditti, jew tal-anqas sett ta’ kriterji </w:t>
      </w:r>
      <w:r w:rsidRPr="00AA45A0">
        <w:t>komprensibbli</w:t>
      </w:r>
      <w:r w:rsidRPr="00AA45A0">
        <w:t xml:space="preserve"> u aċċettat b’mod wiesa’ li fuqu għandu jiġi offrut il-ħelsien mit-taxxa f’ras l-għajn, u għandhom jiġu evitati proċeduri twal ta’ rifużjoni, iżda dawn għandhom jinżammu f’sitwazzjonijiet fejn l-ebda wieħed mill-kriterji ma jiġi ssodisfat;</w:t>
      </w:r>
    </w:p>
    <w:p w:rsidR="0087232C" w:rsidRPr="00AA45A0" w:rsidP="0087232C" w14:paraId="5BA04AC2" w14:textId="77777777">
      <w:pPr>
        <w:pStyle w:val="Normal12a"/>
      </w:pPr>
      <w:r w:rsidRPr="00AA45A0">
        <w:rPr>
          <w:b/>
          <w:i/>
        </w:rPr>
        <w:t>Tassazzjoni fuq l-impjegati</w:t>
      </w:r>
    </w:p>
    <w:p w:rsidR="0087232C" w:rsidRPr="00AA45A0" w:rsidP="0087232C" w14:paraId="2F60E1CC" w14:textId="77777777">
      <w:pPr>
        <w:pStyle w:val="NormalHanging12a"/>
      </w:pPr>
      <w:r w:rsidRPr="00AA45A0">
        <w:t>37.</w:t>
      </w:r>
      <w:r w:rsidRPr="00AA45A0">
        <w:tab/>
        <w:t xml:space="preserve">Jilqa’ l-proposta tal-Kummissjoni għall-użu </w:t>
      </w:r>
      <w:r w:rsidRPr="00AA45A0">
        <w:t>fakultattiv</w:t>
      </w:r>
      <w:r w:rsidRPr="00AA45A0">
        <w:t xml:space="preserve"> tal-opzjonijiet ta’ stokk għall-impjegati tal-UE fi ħdan il-proposta </w:t>
      </w:r>
      <w:r w:rsidRPr="00AA45A0">
        <w:t>usa</w:t>
      </w:r>
      <w:r w:rsidRPr="00AA45A0">
        <w:t xml:space="preserve">’ “EU </w:t>
      </w:r>
      <w:r w:rsidRPr="00AA45A0">
        <w:t>Inc</w:t>
      </w:r>
      <w:r w:rsidRPr="00AA45A0">
        <w:t xml:space="preserve">.” u b’mod partikolari l-prinċipju ta’ tassazzjoni li sseħħ </w:t>
      </w:r>
      <w:r w:rsidRPr="00AA45A0">
        <w:t>maċ-ċessjoni</w:t>
      </w:r>
      <w:r w:rsidRPr="00AA45A0">
        <w:t xml:space="preserve"> u tibbenefika mill-istess trattament tat-taxxa kif applikabbli għal opzjonijiet oħra ta’ </w:t>
      </w:r>
      <w:r w:rsidRPr="00AA45A0">
        <w:t>stokks</w:t>
      </w:r>
      <w:r w:rsidRPr="00AA45A0">
        <w:t xml:space="preserve"> għall-impjegati jew strumenti simili skont id-dritt nazzjonali; jemmen, madankollu, li l-implimentazzjoni ta’ skema ta’ opzjonijiet ta’ stokk għall-impjegati tal-UE għandha tkun obbligatorja taħt il-modulu tat-taxxa; jinnota li l-gwadanji għandhom jiġu ttrattati bħala introjtu minn kapital u mhux introjtu mill-impjieg, biex b’hekk l-inċentivi għall-impjegati jkunu allinjati mat-tkabbir fit-tul tal-kumpaniji u jitneħħa l-effett </w:t>
      </w:r>
      <w:r w:rsidRPr="00AA45A0">
        <w:t>distorsiv</w:t>
      </w:r>
      <w:r w:rsidRPr="00AA45A0">
        <w:t xml:space="preserve"> tat-tassazzjoni </w:t>
      </w:r>
      <w:r w:rsidRPr="00AA45A0">
        <w:t>antiċipata</w:t>
      </w:r>
      <w:r w:rsidRPr="00AA45A0">
        <w:t>; jappoġġja l-indirizzar tal-kwistjoni tal-</w:t>
      </w:r>
      <w:r w:rsidRPr="00AA45A0">
        <w:t>konvertibbiltà</w:t>
      </w:r>
      <w:r w:rsidRPr="00AA45A0">
        <w:t xml:space="preserve"> ma’ skemi ta’ opzjonijiet ta’ stokk madwar l-Ewropa biex tiġi ffaċilitata l-konverżjoni ta’ kumpaniji eżistenti għat-28 reġim;</w:t>
      </w:r>
    </w:p>
    <w:p w:rsidR="0087232C" w:rsidRPr="00AA45A0" w:rsidP="0087232C" w14:paraId="32C32979" w14:textId="77777777">
      <w:pPr>
        <w:pStyle w:val="NormalHanging12a"/>
      </w:pPr>
      <w:r w:rsidRPr="00AA45A0">
        <w:t>38.</w:t>
      </w:r>
      <w:r w:rsidRPr="00AA45A0">
        <w:tab/>
        <w:t>Jisħaq fuq ir-rwol tal-iskemi ta’ ishma għall-impjegati u mekkaniżmi simili fil-ħolqien ta’ inċentivi biex jattiraw it-talent u l-persunal ewlieni lejn dawn il-kumpaniji; jenfasizza li persunal ewlieni, inkluż fundaturi u impjegati essenzjali oħra li l-ħiliet u l-għarfien espert tagħhom huma kritiċi għall-iżvilupp tal-kumpanija; jenfasizza li reġim tat-taxxa trasparenti, ekonomikament sod u prevedibbli għal tali strumenti huwa essenzjali biex dawn il-kumpaniji jinżammu fl-UE u biex jiġi attirat u jinżamm it-talent fuq termini komparabbli ma’ dawk disponibbli f’ġuriżdizzjonijiet kompetituri oħra;</w:t>
      </w:r>
    </w:p>
    <w:p w:rsidR="0087232C" w:rsidRPr="00AA45A0" w:rsidP="0087232C" w14:paraId="041AE30C" w14:textId="77777777">
      <w:pPr>
        <w:pStyle w:val="NormalHanging12a"/>
      </w:pPr>
      <w:r w:rsidRPr="00AA45A0">
        <w:t>39.</w:t>
      </w:r>
      <w:r w:rsidRPr="00AA45A0">
        <w:tab/>
        <w:t xml:space="preserve">Jitlob li jkun hemm metodu ta’ </w:t>
      </w:r>
      <w:r w:rsidRPr="00AA45A0">
        <w:t>valwazzjoni</w:t>
      </w:r>
      <w:r w:rsidRPr="00AA45A0">
        <w:t xml:space="preserve"> </w:t>
      </w:r>
      <w:r w:rsidRPr="00AA45A0">
        <w:t>standardizzat</w:t>
      </w:r>
      <w:r w:rsidRPr="00AA45A0">
        <w:t xml:space="preserve"> tal-UE li joffri regoli ta’ “port sikur” biex jiġi ddeterminat il-valur tal-opzjoni fuq l-ishma u ta’ stokk fil-kumpaniji mhux ikkwotati, jipprevjeni r-</w:t>
      </w:r>
      <w:r w:rsidRPr="00AA45A0">
        <w:t>rivalutazzjonijiet</w:t>
      </w:r>
      <w:r w:rsidRPr="00AA45A0">
        <w:t xml:space="preserve"> </w:t>
      </w:r>
      <w:r w:rsidRPr="00AA45A0">
        <w:t>retroattivi</w:t>
      </w:r>
      <w:r w:rsidRPr="00AA45A0">
        <w:t xml:space="preserve"> u jnaqqas l-inċertezza tad-dritt; iqis li tali valutazzjonijiet għandhom jiġu rikonoxxuti mill-amministrazzjonijiet tat-taxxa parteċipanti sakemm ma </w:t>
      </w:r>
      <w:r w:rsidRPr="00AA45A0">
        <w:t>jintweriex</w:t>
      </w:r>
      <w:r w:rsidRPr="00AA45A0">
        <w:t xml:space="preserve"> li hemm abbuż, frodi jew żball evidenti;</w:t>
      </w:r>
    </w:p>
    <w:p w:rsidR="0087232C" w:rsidRPr="00AA45A0" w:rsidP="0087232C" w14:paraId="1684FFE7" w14:textId="7C39BFAA">
      <w:pPr>
        <w:pStyle w:val="NormalHanging12a"/>
      </w:pPr>
      <w:r w:rsidRPr="00AA45A0">
        <w:t>40.</w:t>
      </w:r>
      <w:r w:rsidRPr="00AA45A0">
        <w:tab/>
        <w:t xml:space="preserve">Ifakkar li l-kontribuzzjonijiet tas-sigurtà soċjali u t-taxxi fuq l-introjtu tal-pensjoni applikabbli għall-ħaddiema li jwettqu l-attivitajiet tagħhom f’aktar minn Stat Membru wieħed huma stabbiliti mill-qafas tal-ħaddiem </w:t>
      </w:r>
      <w:r w:rsidRPr="00AA45A0">
        <w:t>multistatali</w:t>
      </w:r>
      <w:r w:rsidRPr="00AA45A0">
        <w:t xml:space="preserve"> skont l-Artikolu 13 tar-Regolament (KE) Nru 883/2004</w:t>
      </w:r>
      <w:r>
        <w:rPr>
          <w:rStyle w:val="FootnoteReference"/>
        </w:rPr>
        <w:footnoteReference w:id="17"/>
      </w:r>
      <w:r w:rsidRPr="00AA45A0">
        <w:t xml:space="preserve">, fejn il-leġiżlazzjoni applikabbli tiġi ddeterminata </w:t>
      </w:r>
      <w:r w:rsidRPr="00AA45A0">
        <w:t>f’konformità ma’ għadd ta’ fatturi, u b’hekk tissaħħaħ iċ-ċertezza ġuridika u jitnaqqsu l-piżijiet amministrattivi transfruntiera;</w:t>
      </w:r>
    </w:p>
    <w:p w:rsidR="0087232C" w:rsidRPr="00AA45A0" w:rsidP="0087232C" w14:paraId="075A11C5" w14:textId="77777777">
      <w:pPr>
        <w:pStyle w:val="NormalHanging12a"/>
      </w:pPr>
      <w:r w:rsidRPr="00AA45A0">
        <w:t>41.</w:t>
      </w:r>
      <w:r w:rsidRPr="00AA45A0">
        <w:tab/>
        <w:t>Jappella għal regoli mmirati li jiżguraw iċ-ċertezza tat-taxxa għall-impjegati li jiċċaqilqu bejn l-Istati Membri, matul il-perjodu bejn l-għoti ta’ ekwità tal-impjegati u l-bejgħ tal-ishma sottostanti, inkluż permezz ta’ rapportar diġitali simplifikat uniku tal-</w:t>
      </w:r>
      <w:r w:rsidRPr="00AA45A0">
        <w:t>impjegaturi</w:t>
      </w:r>
      <w:r w:rsidRPr="00AA45A0">
        <w:t xml:space="preserve"> kif ukoll l-</w:t>
      </w:r>
      <w:r w:rsidRPr="00AA45A0">
        <w:t>evitar</w:t>
      </w:r>
      <w:r w:rsidRPr="00AA45A0">
        <w:t xml:space="preserve"> ta’ tassazzjoni doppja jew multipla fil-punt tal-bejgħ tal-ekwità tal-impjegati; jisħaq li kwalunkwe allokazzjoni tad-drittijiet ta’ tassazzjoni għandha tibqa’ proporzjonata, sempliċi u prevedibbli;</w:t>
      </w:r>
    </w:p>
    <w:p w:rsidR="0087232C" w:rsidRPr="00AA45A0" w:rsidP="0087232C" w14:paraId="256865AB" w14:textId="77777777">
      <w:pPr>
        <w:pStyle w:val="Normal12a"/>
      </w:pPr>
      <w:r w:rsidRPr="00AA45A0">
        <w:rPr>
          <w:b/>
          <w:i/>
        </w:rPr>
        <w:t>Ipprezzar ta’ trasferiment</w:t>
      </w:r>
    </w:p>
    <w:p w:rsidR="0087232C" w:rsidRPr="00AA45A0" w:rsidP="0087232C" w14:paraId="31112651" w14:textId="77777777">
      <w:pPr>
        <w:pStyle w:val="NormalHanging12a"/>
      </w:pPr>
      <w:r w:rsidRPr="00AA45A0">
        <w:t>42.</w:t>
      </w:r>
      <w:r w:rsidRPr="00AA45A0">
        <w:tab/>
        <w:t xml:space="preserve">Jesprimi dispjaċir għall-fatt li għalkemm l-Istati Membri kollha għandhom leġiżlazzjoni nazzjonali f’konformità mal-linji gwida tal-OECD dwar l-ipprezzar tat-trasferimenti, l-applikazzjoni ta’ dawk il-linji gwida tibqa’ diverġenti minħabba n-nuqqas ta’ direttiva tal-UE dwar l-ipprezzar tat-trasferimenti; jisħaq li sabiex jiġi evitat li l-kostijiet ta’ konformità jsiru ostaklu strutturali għall-espansjoni, il-kumplessità tal-ipprezzar ta’ trasferiment għandha tonqos </w:t>
      </w:r>
      <w:r w:rsidRPr="00AA45A0">
        <w:t>konsiderevolment</w:t>
      </w:r>
      <w:r w:rsidRPr="00AA45A0">
        <w:t xml:space="preserve">; iqis li hemm bżonn li jintużaw elementi tal-BKKTK biex tiġi pprovduta bażi koerenti għal qafas fiskali Ewropew </w:t>
      </w:r>
      <w:r w:rsidRPr="00AA45A0">
        <w:t>unifikat</w:t>
      </w:r>
      <w:r w:rsidRPr="00AA45A0">
        <w:t xml:space="preserve">; jipproponi, fi ħdan il-modulu tat-taxxa, li l-Kummissjoni għandha tispeċifika b’mod ċar ir-regoli tal-ipprezzar ta’ trasferiment applikabbli għall-kumpaniji li jagħżlu t-28 reġim, u tinkludi “portijiet sikuri” kkoordinati li għandhom japplikaw għas-servizzi </w:t>
      </w:r>
      <w:r w:rsidRPr="00AA45A0">
        <w:t>intragrupp</w:t>
      </w:r>
      <w:r w:rsidRPr="00AA45A0">
        <w:t xml:space="preserve"> ta’ rutina u għat-tranżazzjonijiet b’riskju baxx, u approċċi armonizzati li għandhom japplikaw għall-ħruġ ta’ liċenzji għall-proprjetà intellettwali u l-allokazzjoni tal-kostijiet biex jiġi limitat it-tilwim, filwaqt li r-rekwiżiti tad-dokumentazzjoni għandhom ikunu proporzjonati għad-daqs tal-kumpanija u l-istadju tat-tkabbir;</w:t>
      </w:r>
    </w:p>
    <w:p w:rsidR="0087232C" w:rsidRPr="00AA45A0" w:rsidP="0087232C" w14:paraId="79F7B90E" w14:textId="77777777">
      <w:pPr>
        <w:pStyle w:val="Normal12a"/>
      </w:pPr>
      <w:r w:rsidRPr="00AA45A0">
        <w:rPr>
          <w:b/>
          <w:i/>
        </w:rPr>
        <w:t>Aċċess għall-kapital</w:t>
      </w:r>
    </w:p>
    <w:p w:rsidR="0087232C" w:rsidRPr="00AA45A0" w:rsidP="0087232C" w14:paraId="2F8340CD" w14:textId="77777777">
      <w:pPr>
        <w:pStyle w:val="NormalHanging12a"/>
      </w:pPr>
      <w:r w:rsidRPr="00AA45A0">
        <w:t>43.</w:t>
      </w:r>
      <w:r w:rsidRPr="00AA45A0">
        <w:tab/>
        <w:t xml:space="preserve">Jitlob li jiġu armonizzati d-definizzjonijiet u t-trattament għall-gwadanji kapitali, kif ukoll mekkaniżmi effiċjenti għall-prevenzjoni ta’ taxxa doppja u biex tonqos l-inċertezza transfruntiera; jissuġġerixxi valutazzjoni tal-possibbiltà li jiġi stabbilit status uniku vverifikat </w:t>
      </w:r>
      <w:r w:rsidRPr="00AA45A0">
        <w:t>diġitalment</w:t>
      </w:r>
      <w:r w:rsidRPr="00AA45A0">
        <w:t xml:space="preserve"> tal-investituri abbażi ta’ sett ta’ standards komuni, biex jiġi żgurat li l-eliġibbiltà tagħhom tiġi rikonoxxuta awtomatikament fl-Istati Membri kollha sabiex jiġu ffaċilitati l-investimenti transfruntiera; huwa tal-fehma li l-istrumenti ta’ investiment standardizzati, fosthom mudelli ta’ finanzjament armonizzati u konvertibbli u mudelli ta’ ftehimiet tal-azzjonisti, għandhom jiddaħħlu biex jonqsu l-kostijiet ta’ </w:t>
      </w:r>
      <w:r w:rsidRPr="00AA45A0">
        <w:t>tranżazzjon</w:t>
      </w:r>
      <w:r w:rsidRPr="00AA45A0">
        <w:t xml:space="preserve"> u l-inċertezza ġuridika, filwaqt li jissaħħu l-protezzjoni tal-investitur u t-trasparenza tas-suq;</w:t>
      </w:r>
    </w:p>
    <w:p w:rsidR="0087232C" w:rsidRPr="00AA45A0" w:rsidP="0087232C" w14:paraId="5959D5E8" w14:textId="77777777">
      <w:pPr>
        <w:pStyle w:val="NormalHanging12a"/>
      </w:pPr>
      <w:r w:rsidRPr="00AA45A0">
        <w:t>44.</w:t>
      </w:r>
      <w:r w:rsidRPr="00AA45A0">
        <w:tab/>
        <w:t xml:space="preserve">Jisħaq li wieħed mill-għanijiet tar-reġim il-ġdid huwa li jikkontribwixxi għall-iżvilupp ta’ suq kapitali ġenwin tal-UE, li jippermetti lid-ditti fil-kamp ta’ applikazzjoni tiegħu jiksbu l-finanzjament meħtieġ filwaqt li jżommu l-preżenza tagħhom fl-UE; jissottolinja, għalhekk, il-ħtieġa li jiġi </w:t>
      </w:r>
      <w:r w:rsidRPr="00AA45A0">
        <w:t>mmobbilizzat</w:t>
      </w:r>
      <w:r w:rsidRPr="00AA45A0">
        <w:t xml:space="preserve"> il-volum għoli ta’ tfaddil eżistenti fl-UE lejn l-investiment imsemmi, b’mod partikolari permezz tal-iżvilupp ta’ prodotti ta’ investiment attraenti u aċċessibbli għall-investituri bl-imnut, filwaqt li jiġi evitat ir-riskju li tali tfaddil jiġi dirett lejn ġuriżdizzjonijiet mhux tal-UE; jisħaq li l-modulu tat-taxxa jrid jiffaċilita l-għeluq tad-diskrepanza attwali fil-finanzjament fl-UE;</w:t>
      </w:r>
    </w:p>
    <w:p w:rsidR="0087232C" w:rsidRPr="00AA45A0" w:rsidP="0087232C" w14:paraId="66701286" w14:textId="77777777">
      <w:pPr>
        <w:pStyle w:val="NormalHanging12a"/>
      </w:pPr>
      <w:r w:rsidRPr="00AA45A0">
        <w:t>45.</w:t>
      </w:r>
      <w:r w:rsidRPr="00AA45A0">
        <w:tab/>
        <w:t xml:space="preserve">Jenfasizza li t-28 reġim għandu jindirizza direttament l-ostakli strutturali li jillimitaw il-mobilizzazzjoni tal-kapital fl-Ewropa; ifakkar li minn perspettiva ta’ investitur, irid jiġi </w:t>
      </w:r>
      <w:r w:rsidRPr="00AA45A0">
        <w:t>żgurat allinjament regolatorju u prudenzjali; iqis li t-28 reġim għandu jkun fih regoli armonizzati dwar strumenti ta’ dejn simili għal ekwità, inklużi regoli tal-insolvenza marbuta ma’ dawk l-istrumenti, li jippermettu lill-investituri jinvestu f’kumpanija mingħajr ma jiksbu drittijiet ta’ kontroll fuq dik il-kumpanija;</w:t>
      </w:r>
    </w:p>
    <w:p w:rsidR="0087232C" w:rsidRPr="00AA45A0" w:rsidP="0087232C" w14:paraId="7483986F" w14:textId="77777777">
      <w:pPr>
        <w:pStyle w:val="Normal12a"/>
      </w:pPr>
      <w:r w:rsidRPr="00AA45A0">
        <w:rPr>
          <w:b/>
          <w:i/>
        </w:rPr>
        <w:t>Inċentivi fiskali</w:t>
      </w:r>
    </w:p>
    <w:p w:rsidR="0087232C" w:rsidRPr="00AA45A0" w:rsidP="0087232C" w14:paraId="777BE0E4" w14:textId="77777777">
      <w:pPr>
        <w:pStyle w:val="NormalHanging12a"/>
      </w:pPr>
      <w:r w:rsidRPr="00AA45A0">
        <w:t>46.</w:t>
      </w:r>
      <w:r w:rsidRPr="00AA45A0">
        <w:tab/>
        <w:t xml:space="preserve">Jisħaq li l-modulu tat-taxxa għandu jintroduċi inċentivi tat-taxxa xierqa, </w:t>
      </w:r>
      <w:r w:rsidRPr="00AA45A0">
        <w:t>ikkoordinati</w:t>
      </w:r>
      <w:r w:rsidRPr="00AA45A0">
        <w:t xml:space="preserve"> u </w:t>
      </w:r>
      <w:r w:rsidRPr="00AA45A0">
        <w:t>kundizzjonati</w:t>
      </w:r>
      <w:r w:rsidRPr="00AA45A0">
        <w:t xml:space="preserve"> b’mod strett </w:t>
      </w:r>
      <w:r w:rsidRPr="00AA45A0">
        <w:t>iċċentrati</w:t>
      </w:r>
      <w:r w:rsidRPr="00AA45A0">
        <w:t xml:space="preserve"> fuq ir-riċerka, l-iżvilupp u r-</w:t>
      </w:r>
      <w:r w:rsidRPr="00AA45A0">
        <w:t>reinvestiment</w:t>
      </w:r>
      <w:r w:rsidRPr="00AA45A0">
        <w:t>; josserva li xenarju bażi armonizzat għall-inċentivi fil-qasam R&amp;Ż għandu jistabbilixxi definizzjonijiet komuni tal-</w:t>
      </w:r>
      <w:r w:rsidRPr="00AA45A0">
        <w:t>eleġibbiltà</w:t>
      </w:r>
      <w:r w:rsidRPr="00AA45A0">
        <w:t xml:space="preserve"> u standards minimi fl-Istati Membri kollha, inklużi iżda mhux limitati għall-kundizzjonalità soċjali, għodod regolari ta’ monitoraġġ u evalwazzjoni tan-nefqa tat-taxxa biex jiġi żgurat li: (i) huma adattati għall-iskop tagħhom; (</w:t>
      </w:r>
      <w:r w:rsidRPr="00AA45A0">
        <w:t>ii</w:t>
      </w:r>
      <w:r w:rsidRPr="00AA45A0">
        <w:t xml:space="preserve">) huma mod </w:t>
      </w:r>
      <w:r w:rsidRPr="00AA45A0">
        <w:t>kosteffettiv</w:t>
      </w:r>
      <w:r w:rsidRPr="00AA45A0">
        <w:t xml:space="preserve"> biex titrawwem l-innovazzjoni; u (iii) ma jkollhom l-ebda implikazzjoni mhux mistennija jew negattiva; jenfasizza li d-ditti li jagħżlu l-modulu tat-taxxa m’għandhomx ikunu żvantaġġati biex jaċċessaw il-programmi jew l-inċentivi tal-Istati Membri abbażi tal-forma ġuridika tagħhom;</w:t>
      </w:r>
    </w:p>
    <w:p w:rsidR="0087232C" w:rsidRPr="00AA45A0" w:rsidP="0087232C" w14:paraId="666F93B8" w14:textId="77777777">
      <w:pPr>
        <w:pStyle w:val="NormalHanging12a"/>
      </w:pPr>
      <w:r w:rsidRPr="00AA45A0">
        <w:t>47.</w:t>
      </w:r>
      <w:r w:rsidRPr="00AA45A0">
        <w:tab/>
        <w:t xml:space="preserve">Jisħaq ukoll li t-tfassil tal-inċentivi fil-qasam R&amp;Ż fl-ambitu tal-modulu tat-taxxa jrid jiġi </w:t>
      </w:r>
      <w:r w:rsidRPr="00AA45A0">
        <w:t>kkalibrat</w:t>
      </w:r>
      <w:r w:rsidRPr="00AA45A0">
        <w:t xml:space="preserve"> b’mod espliċitu biex ikun allinjat mal-qafas globali tat-taxxa minima tat-Tieni Pilastru tal-OECD, u b’mod partikolari li trid tiġi indirizzata l-interazzjoni mar-regoli dwar il-Kreditu ta’ Taxxa </w:t>
      </w:r>
      <w:r w:rsidRPr="00AA45A0">
        <w:t>Rimborżabbli</w:t>
      </w:r>
      <w:r w:rsidRPr="00AA45A0">
        <w:t xml:space="preserve"> Kwalifikat biex jiġi żgurat li ditti li jaqgħu fl-ambitu tal-modulu tat-taxxa – li jista’ ma jkollhom l-ebda profitt attwali – ikunu jistgħu madankollu jibbenefikaw bis-sħiħ mill-inċentivi mingħajr piż amministrattiv sproporzjonat;</w:t>
      </w:r>
    </w:p>
    <w:p w:rsidR="0087232C" w:rsidRPr="00AA45A0" w:rsidP="0087232C" w14:paraId="6182F4A6" w14:textId="77777777">
      <w:pPr>
        <w:pStyle w:val="NormalHanging12a"/>
      </w:pPr>
      <w:r w:rsidRPr="00AA45A0">
        <w:t>48.</w:t>
      </w:r>
      <w:r w:rsidRPr="00AA45A0">
        <w:tab/>
        <w:t xml:space="preserve">Ifakkar fil-ħtieġa ta’ </w:t>
      </w:r>
      <w:r w:rsidRPr="00AA45A0">
        <w:t>stimulazzjoni</w:t>
      </w:r>
      <w:r w:rsidRPr="00AA45A0">
        <w:t xml:space="preserve"> qawwija tal-attivitajiet ta’ espansjoni; jemmen li meta l-profitti investiti mill-ġdid jintużaw għal R&amp;Ż, id-diġitalizzazzjoni jew l-innovazzjoni ekoloġika għandhom ikunu eliġibbli li jirċievu tnaqqis addizzjonali temporanju jew </w:t>
      </w:r>
      <w:r w:rsidRPr="00AA45A0">
        <w:t>differimenti</w:t>
      </w:r>
      <w:r w:rsidRPr="00AA45A0">
        <w:t xml:space="preserve"> tat-taxxa, u b’hekk </w:t>
      </w:r>
      <w:r w:rsidRPr="00AA45A0">
        <w:t>jinċentivaw</w:t>
      </w:r>
      <w:r w:rsidRPr="00AA45A0">
        <w:t xml:space="preserve"> </w:t>
      </w:r>
      <w:r w:rsidRPr="00AA45A0">
        <w:t>ir-ridirezzjonar</w:t>
      </w:r>
      <w:r w:rsidRPr="00AA45A0">
        <w:t xml:space="preserve"> tal-qligħ </w:t>
      </w:r>
      <w:r w:rsidRPr="00AA45A0">
        <w:t>imfaddal</w:t>
      </w:r>
      <w:r w:rsidRPr="00AA45A0">
        <w:t xml:space="preserve"> lejn investiment li jsaħħaħ il-produttività aktar milli distribuzzjoni fuq terminu qasir, sabiex tingħata spinta lill-kapaċità teknoloġika u l-kompetittività; jenfasizza li l-inċentivi kollha jridu jitfasslu biex jibqgħu trasparenti, sempliċi, u konformi mar-regoli dwar l-għajnuna mill-Istat;</w:t>
      </w:r>
    </w:p>
    <w:p w:rsidR="0087232C" w:rsidRPr="00AA45A0" w:rsidP="0087232C" w14:paraId="77F07957" w14:textId="77777777">
      <w:pPr>
        <w:pStyle w:val="Normal12a"/>
      </w:pPr>
      <w:r w:rsidRPr="00AA45A0">
        <w:rPr>
          <w:b/>
          <w:i/>
        </w:rPr>
        <w:t>Valutazzjoni tal-impatt, rieżami u evalwazzjoni</w:t>
      </w:r>
    </w:p>
    <w:p w:rsidR="0087232C" w:rsidRPr="00AA45A0" w:rsidP="0087232C" w14:paraId="5F6BF42B" w14:textId="77777777">
      <w:pPr>
        <w:pStyle w:val="NormalHanging12a"/>
      </w:pPr>
      <w:r w:rsidRPr="00AA45A0">
        <w:t>49.</w:t>
      </w:r>
      <w:r w:rsidRPr="00AA45A0">
        <w:tab/>
        <w:t>Jistieden lill-Kummissjoni tiżgura rieżami komprensiv u, meta jkun neċessarju, reviżjonijiet tal-aspetti relatati mat-taxxa tat-28 reġim f’intervalli regolari, inkluż il-potenzjal tiżdied leġiżlazzjoni ġdida dwar il-moduli ġodda mar-reġim, valutazzjoni tar-rati ta’ adozzjoni tiegħu fost il-kumpaniji, b’mod partikolari l-</w:t>
      </w:r>
      <w:r w:rsidRPr="00AA45A0">
        <w:t>SMEs</w:t>
      </w:r>
      <w:r w:rsidRPr="00AA45A0">
        <w:t>, l-</w:t>
      </w:r>
      <w:r w:rsidRPr="00AA45A0">
        <w:t>istart</w:t>
      </w:r>
      <w:r w:rsidRPr="00AA45A0">
        <w:t>-</w:t>
      </w:r>
      <w:r w:rsidRPr="00AA45A0">
        <w:t>ups</w:t>
      </w:r>
      <w:r w:rsidRPr="00AA45A0">
        <w:t xml:space="preserve"> u l-</w:t>
      </w:r>
      <w:r w:rsidRPr="00AA45A0">
        <w:t>iscale</w:t>
      </w:r>
      <w:r w:rsidRPr="00AA45A0">
        <w:t>-</w:t>
      </w:r>
      <w:r w:rsidRPr="00AA45A0">
        <w:t>ups</w:t>
      </w:r>
      <w:r w:rsidRPr="00AA45A0">
        <w:t>, u tal-iżvilupp u t-tkabbir ekonomiku tagħhom, l-allinjament tiegħu mal-ħtiġijiet tan-negozju u tas-soċjetà li qed jevolvu, l-idoneità ġenerali tiegħu għall-iskop u l-effett tiegħu fuq il-kompetittività tal-UE (valutazzjoni komparattiva internazzjonali); iqis li ċ-ċiklu ta’ rieżami għandu jseħħ kull erba’ snin biex tiġi żgurata l-</w:t>
      </w:r>
      <w:r w:rsidRPr="00AA45A0">
        <w:t>adattabbiltà</w:t>
      </w:r>
      <w:r w:rsidRPr="00AA45A0">
        <w:t xml:space="preserve"> għal sfidi ġodda;</w:t>
      </w:r>
    </w:p>
    <w:p w:rsidR="0087232C" w:rsidRPr="00AA45A0" w:rsidP="0087232C" w14:paraId="4B82EF4F" w14:textId="77777777">
      <w:pPr>
        <w:pStyle w:val="NormalCenter12a"/>
      </w:pPr>
      <w:r w:rsidRPr="00AA45A0">
        <w:t>°</w:t>
      </w:r>
    </w:p>
    <w:p w:rsidR="0087232C" w:rsidRPr="00AA45A0" w:rsidP="0087232C" w14:paraId="792393CB" w14:textId="77777777">
      <w:pPr>
        <w:pStyle w:val="NormalCenter12a"/>
      </w:pPr>
      <w:r w:rsidRPr="00AA45A0">
        <w:t>°</w:t>
      </w:r>
      <w:r w:rsidRPr="00AA45A0">
        <w:tab/>
        <w:t>°</w:t>
      </w:r>
    </w:p>
    <w:p w:rsidR="00AA45A0" w:rsidRPr="00AA45A0" w:rsidP="00AA45A0" w14:paraId="64E9DABD" w14:textId="14FB614F">
      <w:pPr>
        <w:pStyle w:val="NormalHanging12a"/>
      </w:pPr>
      <w:r w:rsidRPr="00AA45A0">
        <w:t>50.</w:t>
      </w:r>
      <w:r w:rsidRPr="00AA45A0">
        <w:tab/>
        <w:t>Jagħti istruzzjonijiet lill-President tiegħu biex tgħaddi din ir-riżoluzzjoni lill-Kunsill u lill-Kummissjoni.</w:t>
      </w:r>
    </w:p>
    <w:p w:rsidR="00E365E1" w:rsidRPr="00AA45A0" w:rsidP="007C027B" w14:paraId="1C0B5945" w14:textId="5CF6B59F"/>
    <w:sectPr w:rsidSect="00AA45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A45A0" w14:paraId="325F01D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A45A0" w14:paraId="2D8A4F5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A45A0" w14:paraId="438E7525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C027B" w:rsidRPr="00AA45A0" w14:paraId="47BB54A7" w14:textId="77777777">
      <w:r w:rsidRPr="00AA45A0">
        <w:separator/>
      </w:r>
    </w:p>
  </w:footnote>
  <w:footnote w:type="continuationSeparator" w:id="1">
    <w:p w:rsidR="007C027B" w:rsidRPr="00AA45A0" w14:paraId="62E53944" w14:textId="77777777">
      <w:r w:rsidRPr="00AA45A0">
        <w:continuationSeparator/>
      </w:r>
    </w:p>
  </w:footnote>
  <w:footnote w:id="2">
    <w:p w:rsidR="007F2040" w:rsidRPr="00AA45A0" w:rsidP="00AA45A0" w14:paraId="3FA0007F" w14:textId="0F3B135E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ab/>
        <w:t>Testi adottati, P10_TA(2026)0002.</w:t>
      </w:r>
    </w:p>
  </w:footnote>
  <w:footnote w:id="3">
    <w:p w:rsidR="007F2040" w:rsidRPr="00AA45A0" w:rsidP="00AA45A0" w14:paraId="72C9BC87" w14:textId="7D085E50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ab/>
        <w:t>Testi adottati, P10_TA(2025)0268.</w:t>
      </w:r>
    </w:p>
  </w:footnote>
  <w:footnote w:id="4">
    <w:p w:rsidR="007F2040" w:rsidRPr="00AA45A0" w:rsidP="00AA45A0" w14:paraId="1B54A812" w14:textId="47C28AB2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ab/>
        <w:t xml:space="preserve">ĠU C, C/2025/1326, 13.3.2025, ELI: </w:t>
      </w:r>
      <w:hyperlink r:id="rId1" w:tgtFrame="http://data.europa.eu/eli/C/2025/1326/oj" w:history="1">
        <w:r w:rsidRPr="00AA45A0">
          <w:rPr>
            <w:rStyle w:val="Hyperlink"/>
            <w:sz w:val="24"/>
            <w:lang w:val="mt-MT"/>
          </w:rPr>
          <w:t>http://data.europa.eu/eli/C/2025/1326/oj</w:t>
        </w:r>
      </w:hyperlink>
      <w:r w:rsidRPr="00AA45A0">
        <w:rPr>
          <w:sz w:val="24"/>
          <w:lang w:val="mt-MT"/>
        </w:rPr>
        <w:t>.</w:t>
      </w:r>
    </w:p>
  </w:footnote>
  <w:footnote w:id="5">
    <w:p w:rsidR="007F2040" w:rsidRPr="00AA45A0" w:rsidP="00AA45A0" w14:paraId="21E364C2" w14:textId="73FF2D55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ab/>
        <w:t>Draghi, M., “</w:t>
      </w:r>
      <w:r w:rsidRPr="00AA45A0">
        <w:rPr>
          <w:sz w:val="24"/>
          <w:lang w:val="mt-MT"/>
        </w:rPr>
        <w:t>The</w:t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>future</w:t>
      </w:r>
      <w:r w:rsidRPr="00AA45A0">
        <w:rPr>
          <w:sz w:val="24"/>
          <w:lang w:val="mt-MT"/>
        </w:rPr>
        <w:t xml:space="preserve"> of </w:t>
      </w:r>
      <w:r w:rsidRPr="00AA45A0">
        <w:rPr>
          <w:sz w:val="24"/>
          <w:lang w:val="mt-MT"/>
        </w:rPr>
        <w:t>European</w:t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>competitiveness</w:t>
      </w:r>
      <w:r w:rsidRPr="00AA45A0">
        <w:rPr>
          <w:sz w:val="24"/>
          <w:lang w:val="mt-MT"/>
        </w:rPr>
        <w:t>” (Il-futur tal-kompetittività Ewropea), 2024.</w:t>
      </w:r>
    </w:p>
  </w:footnote>
  <w:footnote w:id="6">
    <w:p w:rsidR="007F2040" w:rsidRPr="00AA45A0" w:rsidP="00AA45A0" w14:paraId="75EEED7E" w14:textId="6FB3D84A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ab/>
        <w:t xml:space="preserve">Diskors tas-16 ta’ Diċembru 2024 ta’ Alfred </w:t>
      </w:r>
      <w:r w:rsidRPr="00AA45A0">
        <w:rPr>
          <w:sz w:val="24"/>
          <w:lang w:val="mt-MT"/>
        </w:rPr>
        <w:t>Kammer</w:t>
      </w:r>
      <w:r w:rsidRPr="00AA45A0">
        <w:rPr>
          <w:sz w:val="24"/>
          <w:lang w:val="mt-MT"/>
        </w:rPr>
        <w:t>, Direttur tal-Dipartiment Ewropew tal-Fond Monetarju Internazzjonali, bit-titolu “</w:t>
      </w:r>
      <w:r w:rsidRPr="00AA45A0">
        <w:rPr>
          <w:sz w:val="24"/>
          <w:lang w:val="mt-MT"/>
        </w:rPr>
        <w:t>Europe</w:t>
      </w:r>
      <w:r w:rsidRPr="00AA45A0">
        <w:rPr>
          <w:sz w:val="24"/>
          <w:lang w:val="mt-MT"/>
        </w:rPr>
        <w:t xml:space="preserve">’s </w:t>
      </w:r>
      <w:r w:rsidRPr="00AA45A0">
        <w:rPr>
          <w:sz w:val="24"/>
          <w:lang w:val="mt-MT"/>
        </w:rPr>
        <w:t>Choice</w:t>
      </w:r>
      <w:r w:rsidRPr="00AA45A0">
        <w:rPr>
          <w:sz w:val="24"/>
          <w:lang w:val="mt-MT"/>
        </w:rPr>
        <w:t xml:space="preserve">: </w:t>
      </w:r>
      <w:r w:rsidRPr="00AA45A0">
        <w:rPr>
          <w:sz w:val="24"/>
          <w:lang w:val="mt-MT"/>
        </w:rPr>
        <w:t>Policies</w:t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>for</w:t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>Growth</w:t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>and</w:t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>Resilience</w:t>
      </w:r>
      <w:r w:rsidRPr="00AA45A0">
        <w:rPr>
          <w:sz w:val="24"/>
          <w:lang w:val="mt-MT"/>
        </w:rPr>
        <w:t>” (L-għażla tal-Ewropa: politiki għat-tkabbir u għar-reżiljenza).</w:t>
      </w:r>
    </w:p>
  </w:footnote>
  <w:footnote w:id="7">
    <w:p w:rsidR="007F2040" w:rsidRPr="00AA45A0" w:rsidP="00AA45A0" w14:paraId="07794629" w14:textId="65790FE9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ab/>
        <w:t>Ir-riżoluzzjoni tal-Parlament Ewropew tal-20 ta’ Jannar 2026 li tinkludi rakkomandazzjonijiet lill-Kummissjoni dwar it-28 Reġim: qafas legali ġdid għall-kumpaniji innovattivi.</w:t>
      </w:r>
    </w:p>
  </w:footnote>
  <w:footnote w:id="8">
    <w:p w:rsidR="007F2040" w:rsidRPr="00AA45A0" w:rsidP="00AA45A0" w14:paraId="2466C487" w14:textId="54B3DA96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ab/>
        <w:t xml:space="preserve">Proposta tal-Kummissjoni għal Regolament tal-Parlament Ewropew u tal-Kunsill dwar il-qafas legali korporattiv tat-28 reġim – “EU </w:t>
      </w:r>
      <w:r w:rsidRPr="00AA45A0">
        <w:rPr>
          <w:sz w:val="24"/>
          <w:lang w:val="mt-MT"/>
        </w:rPr>
        <w:t>Inc</w:t>
      </w:r>
      <w:r w:rsidRPr="00AA45A0">
        <w:rPr>
          <w:sz w:val="24"/>
          <w:lang w:val="mt-MT"/>
        </w:rPr>
        <w:t>.”</w:t>
      </w:r>
    </w:p>
  </w:footnote>
  <w:footnote w:id="9">
    <w:p w:rsidR="007F2040" w:rsidRPr="00AA45A0" w:rsidP="00AA45A0" w14:paraId="10FB1042" w14:textId="46928CA2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ab/>
        <w:t>Ir-rapport tal-Kummissjoni Ewropea “</w:t>
      </w:r>
      <w:r w:rsidRPr="00AA45A0">
        <w:rPr>
          <w:sz w:val="24"/>
          <w:lang w:val="mt-MT"/>
        </w:rPr>
        <w:t>Flash</w:t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>Eurobarometer</w:t>
      </w:r>
      <w:r w:rsidRPr="00AA45A0">
        <w:rPr>
          <w:sz w:val="24"/>
          <w:lang w:val="mt-MT"/>
        </w:rPr>
        <w:t xml:space="preserve"> 559 – </w:t>
      </w:r>
      <w:r w:rsidRPr="00AA45A0">
        <w:rPr>
          <w:sz w:val="24"/>
          <w:lang w:val="mt-MT"/>
        </w:rPr>
        <w:t>Startups</w:t>
      </w:r>
      <w:r w:rsidRPr="00AA45A0">
        <w:rPr>
          <w:sz w:val="24"/>
          <w:lang w:val="mt-MT"/>
        </w:rPr>
        <w:t xml:space="preserve">, </w:t>
      </w:r>
      <w:r w:rsidRPr="00AA45A0">
        <w:rPr>
          <w:sz w:val="24"/>
          <w:lang w:val="mt-MT"/>
        </w:rPr>
        <w:t>scaleups</w:t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>and</w:t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>entrepreneurship</w:t>
      </w:r>
      <w:r w:rsidRPr="00AA45A0">
        <w:rPr>
          <w:sz w:val="24"/>
          <w:lang w:val="mt-MT"/>
        </w:rPr>
        <w:t>” (</w:t>
      </w:r>
      <w:r w:rsidRPr="00AA45A0">
        <w:rPr>
          <w:sz w:val="24"/>
          <w:lang w:val="mt-MT"/>
        </w:rPr>
        <w:t>Ewrobarometru</w:t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>Flash</w:t>
      </w:r>
      <w:r w:rsidRPr="00AA45A0">
        <w:rPr>
          <w:sz w:val="24"/>
          <w:lang w:val="mt-MT"/>
        </w:rPr>
        <w:t xml:space="preserve"> 559 – L-</w:t>
      </w:r>
      <w:r w:rsidRPr="00AA45A0">
        <w:rPr>
          <w:sz w:val="24"/>
          <w:lang w:val="mt-MT"/>
        </w:rPr>
        <w:t>istartups</w:t>
      </w:r>
      <w:r w:rsidRPr="00AA45A0">
        <w:rPr>
          <w:sz w:val="24"/>
          <w:lang w:val="mt-MT"/>
        </w:rPr>
        <w:t>, l-</w:t>
      </w:r>
      <w:r w:rsidRPr="00AA45A0">
        <w:rPr>
          <w:sz w:val="24"/>
          <w:lang w:val="mt-MT"/>
        </w:rPr>
        <w:t>iscaleups</w:t>
      </w:r>
      <w:r w:rsidRPr="00AA45A0">
        <w:rPr>
          <w:sz w:val="24"/>
          <w:lang w:val="mt-MT"/>
        </w:rPr>
        <w:t xml:space="preserve"> u l-</w:t>
      </w:r>
      <w:r w:rsidRPr="00AA45A0">
        <w:rPr>
          <w:sz w:val="24"/>
          <w:lang w:val="mt-MT"/>
        </w:rPr>
        <w:t>intraprenditorija</w:t>
      </w:r>
      <w:r w:rsidRPr="00AA45A0">
        <w:rPr>
          <w:sz w:val="24"/>
          <w:lang w:val="mt-MT"/>
        </w:rPr>
        <w:t>), 2025.</w:t>
      </w:r>
    </w:p>
  </w:footnote>
  <w:footnote w:id="10">
    <w:p w:rsidR="007F2040" w:rsidRPr="00AA45A0" w:rsidP="00AA45A0" w14:paraId="2FE68A52" w14:textId="5ADA462F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ab/>
        <w:t>Draghi, M., “</w:t>
      </w:r>
      <w:r w:rsidRPr="00AA45A0">
        <w:rPr>
          <w:sz w:val="24"/>
          <w:lang w:val="mt-MT"/>
        </w:rPr>
        <w:t>The</w:t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>future</w:t>
      </w:r>
      <w:r w:rsidRPr="00AA45A0">
        <w:rPr>
          <w:sz w:val="24"/>
          <w:lang w:val="mt-MT"/>
        </w:rPr>
        <w:t xml:space="preserve"> of </w:t>
      </w:r>
      <w:r w:rsidRPr="00AA45A0">
        <w:rPr>
          <w:sz w:val="24"/>
          <w:lang w:val="mt-MT"/>
        </w:rPr>
        <w:t>European</w:t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>competitiveness</w:t>
      </w:r>
      <w:r w:rsidRPr="00AA45A0">
        <w:rPr>
          <w:sz w:val="24"/>
          <w:lang w:val="mt-MT"/>
        </w:rPr>
        <w:t>” (Il-futur tal-kompetittività Ewropea), 2024.</w:t>
      </w:r>
    </w:p>
  </w:footnote>
  <w:footnote w:id="11">
    <w:p w:rsidR="007F2040" w:rsidRPr="00AA45A0" w:rsidP="00AA45A0" w14:paraId="671A79F2" w14:textId="430C9AAB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ab/>
        <w:t>Draghi, M., “</w:t>
      </w:r>
      <w:r w:rsidRPr="00AA45A0">
        <w:rPr>
          <w:sz w:val="24"/>
          <w:lang w:val="mt-MT"/>
        </w:rPr>
        <w:t>The</w:t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>future</w:t>
      </w:r>
      <w:r w:rsidRPr="00AA45A0">
        <w:rPr>
          <w:sz w:val="24"/>
          <w:lang w:val="mt-MT"/>
        </w:rPr>
        <w:t xml:space="preserve"> of </w:t>
      </w:r>
      <w:r w:rsidRPr="00AA45A0">
        <w:rPr>
          <w:sz w:val="24"/>
          <w:lang w:val="mt-MT"/>
        </w:rPr>
        <w:t>European</w:t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>competitiveness</w:t>
      </w:r>
      <w:r w:rsidRPr="00AA45A0">
        <w:rPr>
          <w:sz w:val="24"/>
          <w:lang w:val="mt-MT"/>
        </w:rPr>
        <w:t>” (Il-futur tal-kompetittività Ewropea), 2024.</w:t>
      </w:r>
    </w:p>
  </w:footnote>
  <w:footnote w:id="12">
    <w:p w:rsidR="007F2040" w:rsidRPr="00AA45A0" w:rsidP="00AA45A0" w14:paraId="51FAFB4B" w14:textId="77624E9B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ab/>
      </w:r>
      <w:r w:rsidRPr="00AA45A0">
        <w:rPr>
          <w:sz w:val="24"/>
          <w:lang w:val="mt-MT"/>
        </w:rPr>
        <w:t>Letta</w:t>
      </w:r>
      <w:r w:rsidRPr="00AA45A0">
        <w:rPr>
          <w:sz w:val="24"/>
          <w:lang w:val="mt-MT"/>
        </w:rPr>
        <w:t>, E., “</w:t>
      </w:r>
      <w:r w:rsidRPr="00AA45A0">
        <w:rPr>
          <w:sz w:val="24"/>
          <w:lang w:val="mt-MT"/>
        </w:rPr>
        <w:t>Much</w:t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>more</w:t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>than</w:t>
      </w:r>
      <w:r w:rsidRPr="00AA45A0">
        <w:rPr>
          <w:sz w:val="24"/>
          <w:lang w:val="mt-MT"/>
        </w:rPr>
        <w:t xml:space="preserve"> a </w:t>
      </w:r>
      <w:r w:rsidRPr="00AA45A0">
        <w:rPr>
          <w:sz w:val="24"/>
          <w:lang w:val="mt-MT"/>
        </w:rPr>
        <w:t>market</w:t>
      </w:r>
      <w:r w:rsidRPr="00AA45A0">
        <w:rPr>
          <w:sz w:val="24"/>
          <w:lang w:val="mt-MT"/>
        </w:rPr>
        <w:t>” (Ħafna aktar milli suq), 2024.</w:t>
      </w:r>
    </w:p>
  </w:footnote>
  <w:footnote w:id="13">
    <w:p w:rsidR="007F2040" w:rsidRPr="00AA45A0" w:rsidP="00AA45A0" w14:paraId="433FA91E" w14:textId="25EEBA5E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ab/>
        <w:t xml:space="preserve">Id-Direttiva tal-Kunsill (UE) 2016/1164 tat-12 ta’ Lulju 2016 li tistabbilixxi regoli kontra l-prattiki ta’ </w:t>
      </w:r>
      <w:r w:rsidRPr="00AA45A0">
        <w:rPr>
          <w:sz w:val="24"/>
          <w:lang w:val="mt-MT"/>
        </w:rPr>
        <w:t>evitar</w:t>
      </w:r>
      <w:r w:rsidRPr="00AA45A0">
        <w:rPr>
          <w:sz w:val="24"/>
          <w:lang w:val="mt-MT"/>
        </w:rPr>
        <w:t xml:space="preserve"> tat-taxxa li jaffettwaw direttament il-funzjonament tas-suq intern, (ĠU L 193, 19.7.2016, p. 1, ELI: </w:t>
      </w:r>
      <w:hyperlink r:id="rId2" w:tgtFrame="http://data.europa.eu/eli/dir/2016/1164/oj" w:history="1">
        <w:r w:rsidRPr="00AA45A0">
          <w:rPr>
            <w:rStyle w:val="Hyperlink"/>
            <w:sz w:val="24"/>
            <w:lang w:val="mt-MT"/>
          </w:rPr>
          <w:t>http://data.europa.eu/eli/dir/2016/1164/oj</w:t>
        </w:r>
      </w:hyperlink>
      <w:r w:rsidRPr="00AA45A0">
        <w:rPr>
          <w:sz w:val="24"/>
          <w:lang w:val="mt-MT"/>
        </w:rPr>
        <w:t>).</w:t>
      </w:r>
    </w:p>
  </w:footnote>
  <w:footnote w:id="14">
    <w:p w:rsidR="007F2040" w:rsidRPr="00AA45A0" w:rsidP="00AA45A0" w14:paraId="2CEACC3C" w14:textId="7B5D4C03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ab/>
        <w:t xml:space="preserve">Il-Parlament Ewropew, id-Dipartiment Tematiku għall-Ekonomija u t-Tkabbir; L-istudju ta’ Filip </w:t>
      </w:r>
      <w:r w:rsidRPr="00AA45A0">
        <w:rPr>
          <w:sz w:val="24"/>
          <w:lang w:val="mt-MT"/>
        </w:rPr>
        <w:t>Debelva</w:t>
      </w:r>
      <w:r w:rsidRPr="00AA45A0">
        <w:rPr>
          <w:sz w:val="24"/>
          <w:lang w:val="mt-MT"/>
        </w:rPr>
        <w:t xml:space="preserve">, </w:t>
      </w:r>
      <w:r w:rsidRPr="00AA45A0">
        <w:rPr>
          <w:sz w:val="24"/>
          <w:lang w:val="mt-MT"/>
        </w:rPr>
        <w:t>Joris</w:t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>Luts</w:t>
      </w:r>
      <w:r w:rsidRPr="00AA45A0">
        <w:rPr>
          <w:sz w:val="24"/>
          <w:lang w:val="mt-MT"/>
        </w:rPr>
        <w:t xml:space="preserve">, Anne </w:t>
      </w:r>
      <w:r w:rsidRPr="00AA45A0">
        <w:rPr>
          <w:sz w:val="24"/>
          <w:lang w:val="mt-MT"/>
        </w:rPr>
        <w:t>Mieke</w:t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>Vandekerkhove</w:t>
      </w:r>
      <w:r w:rsidRPr="00AA45A0">
        <w:rPr>
          <w:sz w:val="24"/>
          <w:lang w:val="mt-MT"/>
        </w:rPr>
        <w:t xml:space="preserve">, Niels </w:t>
      </w:r>
      <w:r w:rsidRPr="00AA45A0">
        <w:rPr>
          <w:sz w:val="24"/>
          <w:lang w:val="mt-MT"/>
        </w:rPr>
        <w:t>Bammens</w:t>
      </w:r>
      <w:r w:rsidRPr="00AA45A0">
        <w:rPr>
          <w:sz w:val="24"/>
          <w:lang w:val="mt-MT"/>
        </w:rPr>
        <w:t xml:space="preserve"> bit-titolu “</w:t>
      </w:r>
      <w:r w:rsidRPr="00AA45A0">
        <w:rPr>
          <w:sz w:val="24"/>
          <w:lang w:val="mt-MT"/>
        </w:rPr>
        <w:t>Feasibility</w:t>
      </w:r>
      <w:r w:rsidRPr="00AA45A0">
        <w:rPr>
          <w:sz w:val="24"/>
          <w:lang w:val="mt-MT"/>
        </w:rPr>
        <w:t xml:space="preserve"> of a 28th Tax </w:t>
      </w:r>
      <w:r w:rsidRPr="00AA45A0">
        <w:rPr>
          <w:sz w:val="24"/>
          <w:lang w:val="mt-MT"/>
        </w:rPr>
        <w:t>Regime</w:t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>and</w:t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>Its</w:t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>Potential</w:t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>to</w:t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>Support</w:t>
      </w:r>
      <w:r w:rsidRPr="00AA45A0">
        <w:rPr>
          <w:sz w:val="24"/>
          <w:lang w:val="mt-MT"/>
        </w:rPr>
        <w:t xml:space="preserve"> EU </w:t>
      </w:r>
      <w:r w:rsidRPr="00AA45A0">
        <w:rPr>
          <w:sz w:val="24"/>
          <w:lang w:val="mt-MT"/>
        </w:rPr>
        <w:t>Competitiveness</w:t>
      </w:r>
      <w:r w:rsidRPr="00AA45A0">
        <w:rPr>
          <w:sz w:val="24"/>
          <w:lang w:val="mt-MT"/>
        </w:rPr>
        <w:t>” (Il-fattibbiltà tat-28 Reġim tat-Taxxa u l-Potenzjal Tiegħu li Jappoġġja l-Kompetittività tal-UE), 2026</w:t>
      </w:r>
    </w:p>
  </w:footnote>
  <w:footnote w:id="15">
    <w:p w:rsidR="007F2040" w:rsidRPr="00AA45A0" w:rsidP="00AA45A0" w14:paraId="083BC10A" w14:textId="5FFE1C92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ab/>
        <w:t>Il-pakkett “Il-VAT fl-Era Diġitali” (</w:t>
      </w:r>
      <w:r w:rsidRPr="00AA45A0">
        <w:rPr>
          <w:sz w:val="24"/>
          <w:lang w:val="mt-MT"/>
        </w:rPr>
        <w:t>ViDA</w:t>
      </w:r>
      <w:r w:rsidRPr="00AA45A0">
        <w:rPr>
          <w:sz w:val="24"/>
          <w:lang w:val="mt-MT"/>
        </w:rPr>
        <w:t>).</w:t>
      </w:r>
    </w:p>
  </w:footnote>
  <w:footnote w:id="16">
    <w:p w:rsidR="007F2040" w:rsidRPr="00AA45A0" w:rsidP="00AA45A0" w14:paraId="719D01F5" w14:textId="0F481C13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ab/>
        <w:t>Id-Direttiva tal-Kunsill</w:t>
      </w:r>
      <w:r w:rsidR="009E762E">
        <w:rPr>
          <w:sz w:val="24"/>
          <w:lang w:val="mt-MT"/>
        </w:rPr>
        <w:t xml:space="preserve"> (UE) </w:t>
      </w:r>
      <w:r w:rsidRPr="00AA45A0">
        <w:rPr>
          <w:sz w:val="24"/>
          <w:lang w:val="mt-MT"/>
        </w:rPr>
        <w:t xml:space="preserve">2025/50 tal-10 ta’ Diċembru 2024 dwar ħelsien aktar rapidu u aktar sikur mit-taxxi f’ras l-għajn eċċessivi, (ĠU L, 2025/50, 10.1.2025, ELI: </w:t>
      </w:r>
      <w:hyperlink r:id="rId3" w:tgtFrame="http://data.europa.eu/eli/dir/2025/50/oj" w:history="1">
        <w:r w:rsidRPr="00AA45A0">
          <w:rPr>
            <w:rStyle w:val="Hyperlink"/>
            <w:sz w:val="24"/>
            <w:lang w:val="mt-MT"/>
          </w:rPr>
          <w:t>http://data.europa.eu/eli/dir/2025/50/oj</w:t>
        </w:r>
      </w:hyperlink>
      <w:r w:rsidRPr="00AA45A0">
        <w:rPr>
          <w:sz w:val="24"/>
          <w:lang w:val="mt-MT"/>
        </w:rPr>
        <w:t>).</w:t>
      </w:r>
    </w:p>
  </w:footnote>
  <w:footnote w:id="17">
    <w:p w:rsidR="007F2040" w:rsidRPr="00AA45A0" w:rsidP="00AA45A0" w14:paraId="603C168B" w14:textId="58791230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AA45A0">
        <w:rPr>
          <w:sz w:val="24"/>
          <w:lang w:val="mt-MT"/>
        </w:rPr>
        <w:t xml:space="preserve"> </w:t>
      </w:r>
      <w:r w:rsidRPr="00AA45A0">
        <w:rPr>
          <w:sz w:val="24"/>
          <w:lang w:val="mt-MT"/>
        </w:rPr>
        <w:tab/>
        <w:t xml:space="preserve">Ir-Regolament (KE) Nru 883/2004 tal-Parlament Ewropew u tal-Kunsill tad-29 ta’ April 2004 dwar il-koordinazzjoni ta’ sistemi ta’ sigurtà soċjali (ĠU L 166, 30.4.2004, p. 1, ELI: </w:t>
      </w:r>
      <w:hyperlink r:id="rId4" w:tgtFrame="https://eur-lex.europa.eu/legal-content/MT/TXT/?uri=CELEX:32004R0883" w:history="1">
        <w:r w:rsidRPr="00AA45A0">
          <w:rPr>
            <w:rStyle w:val="Hyperlink"/>
            <w:sz w:val="24"/>
            <w:lang w:val="mt-MT"/>
          </w:rPr>
          <w:t>http://data.europa.eu/eli/reg/2004/883/oj</w:t>
        </w:r>
      </w:hyperlink>
      <w:r w:rsidRPr="00AA45A0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A45A0" w14:paraId="4C06A78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A45A0" w14:paraId="7F8FCF0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A45A0" w14:paraId="202A16A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50848371">
    <w:abstractNumId w:val="9"/>
  </w:num>
  <w:num w:numId="2" w16cid:durableId="1769545141">
    <w:abstractNumId w:val="9"/>
  </w:num>
  <w:num w:numId="3" w16cid:durableId="1294336122">
    <w:abstractNumId w:val="7"/>
  </w:num>
  <w:num w:numId="4" w16cid:durableId="1876115790">
    <w:abstractNumId w:val="7"/>
  </w:num>
  <w:num w:numId="5" w16cid:durableId="1087119063">
    <w:abstractNumId w:val="6"/>
  </w:num>
  <w:num w:numId="6" w16cid:durableId="1204445374">
    <w:abstractNumId w:val="6"/>
  </w:num>
  <w:num w:numId="7" w16cid:durableId="118837629">
    <w:abstractNumId w:val="5"/>
  </w:num>
  <w:num w:numId="8" w16cid:durableId="2071927314">
    <w:abstractNumId w:val="5"/>
  </w:num>
  <w:num w:numId="9" w16cid:durableId="1016887367">
    <w:abstractNumId w:val="4"/>
  </w:num>
  <w:num w:numId="10" w16cid:durableId="1395279149">
    <w:abstractNumId w:val="4"/>
  </w:num>
  <w:num w:numId="11" w16cid:durableId="1421365351">
    <w:abstractNumId w:val="8"/>
  </w:num>
  <w:num w:numId="12" w16cid:durableId="1927612529">
    <w:abstractNumId w:val="8"/>
  </w:num>
  <w:num w:numId="13" w16cid:durableId="174921418">
    <w:abstractNumId w:val="3"/>
  </w:num>
  <w:num w:numId="14" w16cid:durableId="2130319725">
    <w:abstractNumId w:val="3"/>
  </w:num>
  <w:num w:numId="15" w16cid:durableId="1168247590">
    <w:abstractNumId w:val="2"/>
  </w:num>
  <w:num w:numId="16" w16cid:durableId="66001259">
    <w:abstractNumId w:val="2"/>
  </w:num>
  <w:num w:numId="17" w16cid:durableId="1418594153">
    <w:abstractNumId w:val="1"/>
  </w:num>
  <w:num w:numId="18" w16cid:durableId="12535917">
    <w:abstractNumId w:val="1"/>
  </w:num>
  <w:num w:numId="19" w16cid:durableId="1176117872">
    <w:abstractNumId w:val="0"/>
  </w:num>
  <w:num w:numId="20" w16cid:durableId="821895552">
    <w:abstractNumId w:val="0"/>
  </w:num>
  <w:num w:numId="21" w16cid:durableId="293755007">
    <w:abstractNumId w:val="9"/>
  </w:num>
  <w:num w:numId="22" w16cid:durableId="2081514525">
    <w:abstractNumId w:val="7"/>
  </w:num>
  <w:num w:numId="23" w16cid:durableId="1316841381">
    <w:abstractNumId w:val="6"/>
  </w:num>
  <w:num w:numId="24" w16cid:durableId="2074740007">
    <w:abstractNumId w:val="5"/>
  </w:num>
  <w:num w:numId="25" w16cid:durableId="428236216">
    <w:abstractNumId w:val="4"/>
  </w:num>
  <w:num w:numId="26" w16cid:durableId="1149328768">
    <w:abstractNumId w:val="8"/>
  </w:num>
  <w:num w:numId="27" w16cid:durableId="2052460041">
    <w:abstractNumId w:val="3"/>
  </w:num>
  <w:num w:numId="28" w16cid:durableId="1580794837">
    <w:abstractNumId w:val="2"/>
  </w:num>
  <w:num w:numId="29" w16cid:durableId="929386163">
    <w:abstractNumId w:val="1"/>
  </w:num>
  <w:num w:numId="30" w16cid:durableId="1455520875">
    <w:abstractNumId w:val="0"/>
  </w:num>
  <w:num w:numId="31" w16cid:durableId="298265926">
    <w:abstractNumId w:val="9"/>
  </w:num>
  <w:num w:numId="32" w16cid:durableId="1382053522">
    <w:abstractNumId w:val="7"/>
  </w:num>
  <w:num w:numId="33" w16cid:durableId="936056192">
    <w:abstractNumId w:val="6"/>
  </w:num>
  <w:num w:numId="34" w16cid:durableId="2002853071">
    <w:abstractNumId w:val="5"/>
  </w:num>
  <w:num w:numId="35" w16cid:durableId="1782072969">
    <w:abstractNumId w:val="4"/>
  </w:num>
  <w:num w:numId="36" w16cid:durableId="1598948473">
    <w:abstractNumId w:val="8"/>
  </w:num>
  <w:num w:numId="37" w16cid:durableId="1925718222">
    <w:abstractNumId w:val="3"/>
  </w:num>
  <w:num w:numId="38" w16cid:durableId="1423332296">
    <w:abstractNumId w:val="2"/>
  </w:num>
  <w:num w:numId="39" w16cid:durableId="2124684194">
    <w:abstractNumId w:val="1"/>
  </w:num>
  <w:num w:numId="40" w16cid:durableId="808523037">
    <w:abstractNumId w:val="0"/>
  </w:num>
  <w:num w:numId="41" w16cid:durableId="2136636249">
    <w:abstractNumId w:val="10"/>
  </w:num>
  <w:num w:numId="42" w16cid:durableId="33431339">
    <w:abstractNumId w:val="10"/>
  </w:num>
  <w:num w:numId="43" w16cid:durableId="1282617048">
    <w:abstractNumId w:val="10"/>
  </w:num>
  <w:num w:numId="44" w16cid:durableId="12214026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mirrorMargins/>
  <w:bordersDoNotSurroundHeader/>
  <w:bordersDoNotSurroundFooter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27B"/>
    <w:rsid w:val="00002272"/>
    <w:rsid w:val="00064002"/>
    <w:rsid w:val="000677B9"/>
    <w:rsid w:val="000831BA"/>
    <w:rsid w:val="000A42CC"/>
    <w:rsid w:val="000E7DD9"/>
    <w:rsid w:val="0010095E"/>
    <w:rsid w:val="00113380"/>
    <w:rsid w:val="00125B37"/>
    <w:rsid w:val="00173942"/>
    <w:rsid w:val="00187494"/>
    <w:rsid w:val="001F32AE"/>
    <w:rsid w:val="00252D5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4B1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027B"/>
    <w:rsid w:val="007D1690"/>
    <w:rsid w:val="007E22AD"/>
    <w:rsid w:val="007F2040"/>
    <w:rsid w:val="00817416"/>
    <w:rsid w:val="00842779"/>
    <w:rsid w:val="00865F67"/>
    <w:rsid w:val="0087232C"/>
    <w:rsid w:val="00881A7B"/>
    <w:rsid w:val="008840E5"/>
    <w:rsid w:val="00887360"/>
    <w:rsid w:val="00887B3E"/>
    <w:rsid w:val="008C2AC6"/>
    <w:rsid w:val="00930C23"/>
    <w:rsid w:val="0093193B"/>
    <w:rsid w:val="009509D8"/>
    <w:rsid w:val="00950B64"/>
    <w:rsid w:val="00981893"/>
    <w:rsid w:val="009E762E"/>
    <w:rsid w:val="00A1687D"/>
    <w:rsid w:val="00A43E52"/>
    <w:rsid w:val="00A4678D"/>
    <w:rsid w:val="00A778C7"/>
    <w:rsid w:val="00AA45A0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5A4B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51A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7/2026"/>
    <w:docVar w:name="dvlangue" w:val="MT"/>
    <w:docVar w:name="dvnumam" w:val="0"/>
    <w:docVar w:name="dvpe" w:val="785.418"/>
    <w:docVar w:name="dvrapporteur" w:val="Rapporteur: "/>
    <w:docVar w:name="dvtitre" w:val="Riżoluzzjoni tal-Parlament Ewropew xx xx xxxx 2026 dwar il-fattibbiltà tat-28 reġim tat-taxxa u l-potenzjal tiegħu li jappoġġja l-kompetittività tal-UE(2025/2211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0F7FAF2"/>
  <w15:chartTrackingRefBased/>
  <w15:docId w15:val="{333D49D9-D273-4515-B6AE-4758831D2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87232C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87232C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87232C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87232C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87232C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8723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yperlink" Target="https://eur-lex.europa.eu/legal-content/MT/TXT/?uri=CELEX:52025DC0124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5/1326/oj" TargetMode="External" /><Relationship Id="rId2" Type="http://schemas.openxmlformats.org/officeDocument/2006/relationships/hyperlink" Target="http://data.europa.eu/eli/dir/2016/1164/oj" TargetMode="External" /><Relationship Id="rId3" Type="http://schemas.openxmlformats.org/officeDocument/2006/relationships/hyperlink" Target="http://data.europa.eu/eli/dir/2025/50/oj" TargetMode="External" /><Relationship Id="rId4" Type="http://schemas.openxmlformats.org/officeDocument/2006/relationships/hyperlink" Target="https://eur-lex.europa.eu/legal-content/MT/TXT/?uri=CELEX:32004R088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4804</Words>
  <Characters>35726</Characters>
  <Application>Microsoft Office Word</Application>
  <DocSecurity>0</DocSecurity>
  <Lines>297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2026-08-14T11:02:00Z</dcterms:created>
  <dcterms:modified xsi:type="dcterms:W3CDTF">2026-08-14T11:02:00Z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A10-0167/2026</vt:lpwstr>
  </property>
  <property fmtid="{D5CDD505-2E9C-101B-9397-08002B2CF9AE}" pid="4" name="&lt;Type&gt;">
    <vt:lpwstr>RR</vt:lpwstr>
  </property>
</Properties>
</file>