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FF34C4" w14:textId="77777777" w:rsidTr="0010095E">
        <w:tblPrEx>
          <w:tblW w:w="9072" w:type="dxa"/>
          <w:tblLook w:val="01E0"/>
        </w:tblPrEx>
        <w:trPr>
          <w:trHeight w:hRule="exact" w:val="1418"/>
        </w:trPr>
        <w:tc>
          <w:tcPr>
            <w:tcW w:w="6804" w:type="dxa"/>
            <w:shd w:val="clear" w:color="auto" w:fill="auto"/>
            <w:vAlign w:val="center"/>
          </w:tcPr>
          <w:p w:rsidR="00751A4A" w:rsidRPr="00271804" w:rsidP="0010095E" w14:paraId="755C3D9B" w14:textId="77777777">
            <w:pPr>
              <w:pStyle w:val="EPName"/>
            </w:pPr>
            <w:r w:rsidRPr="00271804">
              <w:t>Europaparlamentet</w:t>
            </w:r>
          </w:p>
          <w:p w:rsidR="00751A4A" w:rsidRPr="00271804" w:rsidP="005F1B17" w14:paraId="6EB44743" w14:textId="77777777">
            <w:pPr>
              <w:pStyle w:val="EPTerm"/>
              <w:rPr>
                <w:rStyle w:val="HideTWBExt"/>
                <w:noProof w:val="0"/>
                <w:vanish w:val="0"/>
                <w:color w:val="auto"/>
              </w:rPr>
            </w:pPr>
            <w:r w:rsidRPr="00271804">
              <w:t>2024</w:t>
            </w:r>
            <w:r w:rsidRPr="00271804" w:rsidR="00817416">
              <w:t>-202</w:t>
            </w:r>
            <w:r w:rsidRPr="00271804">
              <w:t>9</w:t>
            </w:r>
          </w:p>
        </w:tc>
        <w:tc>
          <w:tcPr>
            <w:tcW w:w="2268" w:type="dxa"/>
            <w:shd w:val="clear" w:color="auto" w:fill="auto"/>
          </w:tcPr>
          <w:p w:rsidR="00751A4A" w:rsidRPr="00271804" w:rsidP="0010095E" w14:paraId="151EBB2C" w14:textId="77777777">
            <w:pPr>
              <w:pStyle w:val="EPLogo"/>
            </w:pPr>
            <w:r w:rsidRPr="0027180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1804" w:rsidP="004C5D52" w14:paraId="17981C5F" w14:textId="77777777">
      <w:pPr>
        <w:pStyle w:val="LineTop"/>
      </w:pPr>
    </w:p>
    <w:p w:rsidR="00680577" w:rsidRPr="00271804" w:rsidP="00680577" w14:paraId="418521D5" w14:textId="77777777">
      <w:pPr>
        <w:pStyle w:val="EPBodyTA1"/>
      </w:pPr>
      <w:r w:rsidRPr="00271804">
        <w:t>ANTAGNA TEXTER</w:t>
      </w:r>
    </w:p>
    <w:p w:rsidR="00D058B8" w:rsidRPr="00271804" w:rsidP="00D058B8" w14:paraId="2B6FC07F" w14:textId="77777777">
      <w:pPr>
        <w:pStyle w:val="LineBottom"/>
      </w:pPr>
    </w:p>
    <w:p w:rsidR="00062B1F" w:rsidRPr="00271804" w:rsidP="00062B1F" w14:paraId="793892FD" w14:textId="71DD3DFE">
      <w:pPr>
        <w:pStyle w:val="ATHeading1"/>
      </w:pPr>
      <w:bookmarkStart w:id="0" w:name="TANumber"/>
      <w:r w:rsidRPr="00271804">
        <w:t>P10_TA(2026)0</w:t>
      </w:r>
      <w:bookmarkEnd w:id="0"/>
      <w:r w:rsidR="00967891">
        <w:t>270</w:t>
      </w:r>
    </w:p>
    <w:p w:rsidR="00062B1F" w:rsidRPr="00271804" w:rsidP="00062B1F" w14:paraId="0A6BDF5C" w14:textId="77777777">
      <w:pPr>
        <w:pStyle w:val="ATHeading2"/>
      </w:pPr>
      <w:bookmarkStart w:id="1" w:name="title"/>
      <w:r w:rsidRPr="00271804">
        <w:t>Genomförbarheten av ett 28:e skattesystem och dess potential att stödja EU:s konkurrenskraft</w:t>
      </w:r>
      <w:bookmarkEnd w:id="1"/>
    </w:p>
    <w:p w:rsidR="00062B1F" w:rsidRPr="00271804" w:rsidP="00062B1F" w14:paraId="6764922E" w14:textId="77777777">
      <w:pPr>
        <w:rPr>
          <w:i/>
          <w:vanish/>
        </w:rPr>
      </w:pPr>
      <w:r>
        <w:rPr>
          <w:i/>
        </w:rPr>
        <w:fldChar w:fldCharType="begin"/>
      </w:r>
      <w:r w:rsidRPr="00271804">
        <w:rPr>
          <w:i/>
        </w:rPr>
        <w:instrText xml:space="preserve"> TC"(</w:instrText>
      </w:r>
      <w:bookmarkStart w:id="2" w:name="DocNumber"/>
      <w:r w:rsidRPr="00271804">
        <w:rPr>
          <w:i/>
        </w:rPr>
        <w:instrText>A10-0167/2026</w:instrText>
      </w:r>
      <w:bookmarkEnd w:id="2"/>
      <w:r w:rsidRPr="00271804">
        <w:rPr>
          <w:i/>
        </w:rPr>
        <w:instrText xml:space="preserve"> - Föredragande: Ľudovít Ódor)"\l3 \n&gt; \* MERGEFORMAT </w:instrText>
      </w:r>
      <w:r>
        <w:rPr>
          <w:i/>
        </w:rPr>
        <w:fldChar w:fldCharType="end"/>
      </w:r>
    </w:p>
    <w:p w:rsidR="00062B1F" w:rsidRPr="00271804" w:rsidP="00062B1F" w14:paraId="1848CCAC" w14:textId="77777777">
      <w:pPr>
        <w:rPr>
          <w:vanish/>
        </w:rPr>
      </w:pPr>
      <w:bookmarkStart w:id="3" w:name="Commission"/>
      <w:r w:rsidRPr="00271804">
        <w:rPr>
          <w:vanish/>
        </w:rPr>
        <w:t>Utskottet för ekonomi och valutafrågor</w:t>
      </w:r>
      <w:bookmarkEnd w:id="3"/>
    </w:p>
    <w:p w:rsidR="00062B1F" w:rsidRPr="00271804" w:rsidP="00062B1F" w14:paraId="3BE0B3C8" w14:textId="77777777">
      <w:pPr>
        <w:rPr>
          <w:vanish/>
        </w:rPr>
      </w:pPr>
      <w:bookmarkStart w:id="4" w:name="PE"/>
      <w:r w:rsidRPr="00271804">
        <w:rPr>
          <w:vanish/>
        </w:rPr>
        <w:t>PE785.418</w:t>
      </w:r>
      <w:bookmarkEnd w:id="4"/>
    </w:p>
    <w:p w:rsidR="00062B1F" w:rsidRPr="00271804" w:rsidP="00062B1F" w14:paraId="365DDC91" w14:textId="123D3B2F">
      <w:pPr>
        <w:pStyle w:val="ATHeading3"/>
      </w:pPr>
      <w:bookmarkStart w:id="5" w:name="Sujet"/>
      <w:r w:rsidRPr="00271804">
        <w:t xml:space="preserve">Europaparlamentets resolution av den </w:t>
      </w:r>
      <w:r w:rsidR="008D12A2">
        <w:t>9</w:t>
      </w:r>
      <w:r w:rsidRPr="00271804" w:rsidR="00BE6F39">
        <w:t xml:space="preserve"> </w:t>
      </w:r>
      <w:r w:rsidR="00BE6F39">
        <w:t>juli</w:t>
      </w:r>
      <w:r w:rsidRPr="00271804" w:rsidR="00BE6F39">
        <w:t xml:space="preserve"> </w:t>
      </w:r>
      <w:r w:rsidRPr="00271804">
        <w:t>2026 om genomförbarheten av en 28:e skatteordning och dess potential att stödja EU:s konkurrenskraft</w:t>
      </w:r>
      <w:bookmarkEnd w:id="5"/>
      <w:r w:rsidRPr="00271804">
        <w:t xml:space="preserve"> </w:t>
      </w:r>
      <w:bookmarkStart w:id="6" w:name="References"/>
      <w:r w:rsidRPr="00271804">
        <w:t>(2025/2211(INI))</w:t>
      </w:r>
      <w:bookmarkEnd w:id="6"/>
    </w:p>
    <w:p w:rsidR="00D5360C" w:rsidRPr="00293A4B" w:rsidP="00D5360C" w14:paraId="5F21CB58" w14:textId="77777777">
      <w:pPr>
        <w:pStyle w:val="Normal12"/>
        <w:rPr>
          <w:i/>
          <w:iCs/>
        </w:rPr>
      </w:pPr>
      <w:r w:rsidRPr="00293A4B">
        <w:rPr>
          <w:i/>
          <w:iCs/>
        </w:rPr>
        <w:t>Europaparlamentet utfärdar denna resolution</w:t>
      </w:r>
    </w:p>
    <w:p w:rsidR="00D5360C" w:rsidRPr="00271804" w:rsidP="00D5360C" w14:paraId="2E82CDAE" w14:textId="77777777">
      <w:pPr>
        <w:pStyle w:val="NormalHanging"/>
      </w:pPr>
      <w:r w:rsidRPr="00271804">
        <w:t>–</w:t>
      </w:r>
      <w:r w:rsidRPr="00271804">
        <w:tab/>
        <w:t>med beaktande av artiklarna 4.2 a, 5, 6 g, 50, 113, 114.1, 115, 116 och 225 i fördraget om Europeiska unionens funktionssätt,</w:t>
      </w:r>
    </w:p>
    <w:p w:rsidR="00D5360C" w:rsidRPr="00271804" w:rsidP="00D5360C" w14:paraId="6B195676" w14:textId="037EFC2B">
      <w:pPr>
        <w:pStyle w:val="NormalHanging"/>
      </w:pPr>
      <w:r w:rsidRPr="00271804">
        <w:t>–</w:t>
      </w:r>
      <w:r w:rsidRPr="00271804">
        <w:tab/>
        <w:t xml:space="preserve">med beaktande av kommissionens förslag av den 18 mars 2026 till Europaparlamentets och rådets förordning om den 28:e ordningens bolagsregelverk ”EU </w:t>
      </w:r>
      <w:r w:rsidRPr="00271804">
        <w:t>Inc</w:t>
      </w:r>
      <w:r w:rsidRPr="00271804">
        <w:t>.” (</w:t>
      </w:r>
      <w:r w:rsidRPr="00293A4B" w:rsidR="00BE6F39">
        <w:t>COM(</w:t>
      </w:r>
      <w:r w:rsidRPr="00293A4B" w:rsidR="00BE6F39">
        <w:t>2026)0321</w:t>
      </w:r>
      <w:r w:rsidRPr="00271804">
        <w:t>),</w:t>
      </w:r>
    </w:p>
    <w:p w:rsidR="00D5360C" w:rsidRPr="00271804" w:rsidP="00D5360C" w14:paraId="4616ED4B" w14:textId="53B566FC">
      <w:pPr>
        <w:pStyle w:val="NormalHanging"/>
      </w:pPr>
      <w:r w:rsidRPr="00271804">
        <w:t>–</w:t>
      </w:r>
      <w:r w:rsidRPr="00271804">
        <w:tab/>
        <w:t>med beaktande av sin resolution av den 20 januari 2026 med rekommendationer till kommissionen om den 28:e ordningen: en ny rättslig ram för innovativa företag</w:t>
      </w:r>
      <w:r>
        <w:rPr>
          <w:rStyle w:val="FootnoteReference"/>
        </w:rPr>
        <w:footnoteReference w:id="2"/>
      </w:r>
      <w:r w:rsidRPr="00271804">
        <w:t>,</w:t>
      </w:r>
    </w:p>
    <w:p w:rsidR="00D5360C" w:rsidRPr="00271804" w:rsidP="00D5360C" w14:paraId="789A3CF8" w14:textId="6EF3C65A">
      <w:pPr>
        <w:pStyle w:val="NormalHanging"/>
      </w:pPr>
      <w:r w:rsidRPr="00271804">
        <w:t>–</w:t>
      </w:r>
      <w:r w:rsidRPr="00271804">
        <w:tab/>
        <w:t>med beaktande av kommissionens meddelande av den 21 oktober 2025 Kommissionens arbetsprogram 2026 – Tiden för EU:s oberoende är inne (</w:t>
      </w:r>
      <w:r w:rsidRPr="00293A4B" w:rsidR="00BE6F39">
        <w:t>COM(2025)0870</w:t>
      </w:r>
      <w:r w:rsidRPr="00271804">
        <w:t>),</w:t>
      </w:r>
    </w:p>
    <w:p w:rsidR="00D5360C" w:rsidRPr="00271804" w:rsidP="00D5360C" w14:paraId="5021F76B" w14:textId="2F5852EE">
      <w:pPr>
        <w:pStyle w:val="NormalHanging"/>
      </w:pPr>
      <w:r w:rsidRPr="00271804">
        <w:t>–</w:t>
      </w:r>
      <w:r w:rsidRPr="00271804">
        <w:tab/>
        <w:t>med beaktande av kommissionens meddelande av den 19 mars 2025 Spar- och investeringsunionen – En strategi för att öka medborgarnas välstånd och den ekonomiska konkurrenskraften i EU (</w:t>
      </w:r>
      <w:r w:rsidRPr="00293A4B" w:rsidR="00BE6F39">
        <w:t>COM(2025)</w:t>
      </w:r>
      <w:r w:rsidRPr="00271804">
        <w:t>0124)</w:t>
      </w:r>
      <w:r w:rsidRPr="00293A4B" w:rsidR="00BE6F39">
        <w:t>,</w:t>
      </w:r>
    </w:p>
    <w:p w:rsidR="00D5360C" w:rsidRPr="00271804" w:rsidP="00D5360C" w14:paraId="421DB17E" w14:textId="6A724D06">
      <w:pPr>
        <w:pStyle w:val="NormalHanging"/>
      </w:pPr>
      <w:r w:rsidRPr="00271804">
        <w:t>–</w:t>
      </w:r>
      <w:r w:rsidRPr="00271804">
        <w:tab/>
        <w:t xml:space="preserve">med beaktande av kommissionens meddelande av den 29 januari 2025 En konkurrenskraftskompass för EU </w:t>
      </w:r>
      <w:r w:rsidRPr="00293A4B" w:rsidR="00BE6F39">
        <w:t>(COM(2025)0030</w:t>
      </w:r>
      <w:r w:rsidRPr="00271804">
        <w:t>),</w:t>
      </w:r>
    </w:p>
    <w:p w:rsidR="00D5360C" w:rsidRPr="00271804" w:rsidP="00D5360C" w14:paraId="082EFEA7" w14:textId="3E01D3D8">
      <w:pPr>
        <w:pStyle w:val="NormalHanging"/>
      </w:pPr>
      <w:r w:rsidRPr="00271804">
        <w:t>–</w:t>
      </w:r>
      <w:r w:rsidRPr="00271804">
        <w:tab/>
        <w:t>med beaktande av kommissionens meddelande av den 28 maj 2025 EU:s strategi för uppstartsföretag och expanderande företag – Välj Europa för att starta företag och få dem att växa (</w:t>
      </w:r>
      <w:r w:rsidRPr="00293A4B" w:rsidR="00BE6F39">
        <w:t>COM(2025)0270</w:t>
      </w:r>
      <w:r w:rsidRPr="00271804">
        <w:t>),</w:t>
      </w:r>
    </w:p>
    <w:p w:rsidR="00D5360C" w:rsidRPr="00271804" w:rsidP="00D5360C" w14:paraId="0DEBF1E9" w14:textId="77777777">
      <w:pPr>
        <w:pStyle w:val="NormalHanging"/>
      </w:pPr>
      <w:r w:rsidRPr="00271804">
        <w:t>–</w:t>
      </w:r>
      <w:r w:rsidRPr="00271804">
        <w:tab/>
        <w:t xml:space="preserve">med beaktande av Mario </w:t>
      </w:r>
      <w:r w:rsidRPr="00271804">
        <w:t>Draghis</w:t>
      </w:r>
      <w:r w:rsidRPr="00271804">
        <w:t xml:space="preserve"> rapport av den 9 september 2024 The </w:t>
      </w:r>
      <w:r w:rsidRPr="00271804">
        <w:t>future</w:t>
      </w:r>
      <w:r w:rsidRPr="00271804">
        <w:t xml:space="preserve"> </w:t>
      </w:r>
      <w:r w:rsidRPr="00271804">
        <w:t>of</w:t>
      </w:r>
      <w:r w:rsidRPr="00271804">
        <w:t xml:space="preserve"> </w:t>
      </w:r>
      <w:r w:rsidRPr="00271804">
        <w:t>European</w:t>
      </w:r>
      <w:r w:rsidRPr="00271804">
        <w:t xml:space="preserve"> </w:t>
      </w:r>
      <w:r w:rsidRPr="00271804">
        <w:t>competitiveness</w:t>
      </w:r>
      <w:r w:rsidRPr="00271804">
        <w:t xml:space="preserve"> (Draghi-rapporten),</w:t>
      </w:r>
    </w:p>
    <w:p w:rsidR="00D5360C" w:rsidRPr="00271804" w:rsidP="00D5360C" w14:paraId="2FAC35B0" w14:textId="77777777">
      <w:pPr>
        <w:pStyle w:val="NormalHanging"/>
      </w:pPr>
      <w:r w:rsidRPr="00271804">
        <w:t>–</w:t>
      </w:r>
      <w:r w:rsidRPr="00271804">
        <w:tab/>
        <w:t xml:space="preserve">med beaktande av Enrico </w:t>
      </w:r>
      <w:r w:rsidRPr="00271804">
        <w:t>Lettas</w:t>
      </w:r>
      <w:r w:rsidRPr="00271804">
        <w:t xml:space="preserve"> rapport av den 17 april 2024 </w:t>
      </w:r>
      <w:r w:rsidRPr="00271804">
        <w:t>Much</w:t>
      </w:r>
      <w:r w:rsidRPr="00271804">
        <w:t xml:space="preserve"> </w:t>
      </w:r>
      <w:r w:rsidRPr="00271804">
        <w:t>more</w:t>
      </w:r>
      <w:r w:rsidRPr="00271804">
        <w:t xml:space="preserve"> </w:t>
      </w:r>
      <w:r w:rsidRPr="00271804">
        <w:t>than</w:t>
      </w:r>
      <w:r w:rsidRPr="00271804">
        <w:t xml:space="preserve"> a market,</w:t>
      </w:r>
    </w:p>
    <w:p w:rsidR="00D5360C" w:rsidRPr="00271804" w:rsidP="00D5360C" w14:paraId="7C9463B2" w14:textId="6728D830">
      <w:pPr>
        <w:pStyle w:val="NormalHanging"/>
      </w:pPr>
      <w:r w:rsidRPr="00271804">
        <w:t>–</w:t>
      </w:r>
      <w:r w:rsidRPr="00271804">
        <w:tab/>
        <w:t>med beaktande av kommissionens förslag av den 12 september 2023 till rådets direktiv om regelverk för inkomstbeskattning för företag i Europa (</w:t>
      </w:r>
      <w:r w:rsidRPr="00271804">
        <w:t>Befit</w:t>
      </w:r>
      <w:r w:rsidRPr="00271804">
        <w:t>) (</w:t>
      </w:r>
      <w:r w:rsidRPr="00293A4B" w:rsidR="00BE6F39">
        <w:t>COM(2023)0532</w:t>
      </w:r>
      <w:r w:rsidRPr="00271804">
        <w:t>),</w:t>
      </w:r>
    </w:p>
    <w:p w:rsidR="00D5360C" w:rsidRPr="00271804" w:rsidP="00D5360C" w14:paraId="63C19DCC" w14:textId="02C40BD0">
      <w:pPr>
        <w:pStyle w:val="NormalHanging"/>
      </w:pPr>
      <w:r w:rsidRPr="00271804">
        <w:t>–</w:t>
      </w:r>
      <w:r w:rsidRPr="00271804">
        <w:tab/>
        <w:t>med beaktande av sin ståndpunkt av den 13 november 2025 om förslaget till rådets direktiv om en gemensam konsoliderad bolagsskattebas</w:t>
      </w:r>
      <w:r>
        <w:rPr>
          <w:rStyle w:val="FootnoteReference"/>
        </w:rPr>
        <w:footnoteReference w:id="3"/>
      </w:r>
      <w:r w:rsidRPr="00271804">
        <w:t>,</w:t>
      </w:r>
    </w:p>
    <w:p w:rsidR="00D5360C" w:rsidRPr="00271804" w:rsidP="00D5360C" w14:paraId="15CF77F3" w14:textId="24FA97A9">
      <w:pPr>
        <w:pStyle w:val="NormalHanging"/>
      </w:pPr>
      <w:r w:rsidRPr="00271804">
        <w:t>–</w:t>
      </w:r>
      <w:r w:rsidRPr="00271804">
        <w:tab/>
        <w:t xml:space="preserve">med beaktande av kommissionens förslag av den 12 september 2023 till rådets direktiv om inrättande av ett huvudkontorsbaserat skattesystem för mikroföretag samt små och medelstora företag och om ändring av direktiv 2011/16/EU </w:t>
      </w:r>
      <w:r w:rsidRPr="00293A4B" w:rsidR="00BE6F39">
        <w:t>(COM(2023)0528</w:t>
      </w:r>
      <w:r w:rsidRPr="00271804">
        <w:t>),</w:t>
      </w:r>
    </w:p>
    <w:p w:rsidR="00D5360C" w:rsidRPr="00271804" w:rsidP="00D5360C" w14:paraId="53395AC6" w14:textId="07B60115">
      <w:pPr>
        <w:pStyle w:val="NormalHanging"/>
      </w:pPr>
      <w:r w:rsidRPr="00271804">
        <w:t>–</w:t>
      </w:r>
      <w:r w:rsidRPr="00271804">
        <w:tab/>
        <w:t>med beaktande av sin ståndpunkt av den 10 April 2024 om förslaget till rådets direktiv om inrättande av ett huvudkontorsbaserat skattesystem för mikroföretag samt små och medelstora företag och om ändring av direktiv 2011/16/EU</w:t>
      </w:r>
      <w:r>
        <w:rPr>
          <w:rStyle w:val="FootnoteReference"/>
        </w:rPr>
        <w:footnoteReference w:id="4"/>
      </w:r>
      <w:r w:rsidRPr="00271804">
        <w:t>,</w:t>
      </w:r>
    </w:p>
    <w:p w:rsidR="00D5360C" w:rsidRPr="00271804" w:rsidP="00D5360C" w14:paraId="5A5C524B" w14:textId="3C98E94A">
      <w:pPr>
        <w:pStyle w:val="NormalHanging"/>
      </w:pPr>
      <w:r w:rsidRPr="00271804">
        <w:t>–</w:t>
      </w:r>
      <w:r w:rsidRPr="00271804">
        <w:tab/>
        <w:t>med beaktande av kommissionens förslag av den 25 oktober 2016 om en gemensam konsoliderad bolagsskattebas (</w:t>
      </w:r>
      <w:r w:rsidRPr="00293A4B" w:rsidR="00AC64CE">
        <w:t>COM(2016)0683</w:t>
      </w:r>
      <w:r w:rsidRPr="00271804">
        <w:t>),</w:t>
      </w:r>
    </w:p>
    <w:p w:rsidR="00D5360C" w:rsidRPr="00271804" w:rsidP="00D5360C" w14:paraId="22CDE476" w14:textId="513A8CE1">
      <w:pPr>
        <w:pStyle w:val="NormalHanging"/>
      </w:pPr>
      <w:r w:rsidRPr="00271804">
        <w:t>–</w:t>
      </w:r>
      <w:r w:rsidRPr="00271804">
        <w:tab/>
        <w:t>med beaktande av kommissionens förslag av den 25 oktober 2016 till rådets direktiv om en gemensam bolagsskattebas (</w:t>
      </w:r>
      <w:r w:rsidRPr="00293A4B" w:rsidR="00AC64CE">
        <w:t>COM(2016)0685</w:t>
      </w:r>
      <w:r w:rsidRPr="00271804">
        <w:t>),</w:t>
      </w:r>
    </w:p>
    <w:p w:rsidR="00D5360C" w:rsidRPr="00271804" w:rsidP="00D5360C" w14:paraId="4FC234D8" w14:textId="4E3B7B24">
      <w:pPr>
        <w:pStyle w:val="NormalHanging"/>
      </w:pPr>
      <w:r w:rsidRPr="00271804">
        <w:t>–</w:t>
      </w:r>
      <w:r w:rsidRPr="00271804">
        <w:tab/>
        <w:t>med beaktande av kommissionens förslag av den 11 maj 2022 om fastställande av regler om ett avdrag i syfte att minska skattefördelen för finansiering med lån jämfört med finansiering med eget kapital och om begränsning av ränteavdragen i samband med bolagsbeskattning (</w:t>
      </w:r>
      <w:r w:rsidRPr="00293A4B" w:rsidR="00AC64CE">
        <w:t>COM(2022)0216</w:t>
      </w:r>
      <w:r w:rsidRPr="00271804">
        <w:t>),</w:t>
      </w:r>
    </w:p>
    <w:p w:rsidR="00D5360C" w:rsidRPr="00271804" w:rsidP="00D5360C" w14:paraId="6872223A" w14:textId="77777777">
      <w:pPr>
        <w:pStyle w:val="NormalHanging"/>
      </w:pPr>
      <w:r w:rsidRPr="00271804">
        <w:t>–</w:t>
      </w:r>
      <w:r w:rsidRPr="00271804">
        <w:tab/>
        <w:t>med beaktande av kommissionens rekommendation av den 18 mars 2026 om definitionen av innovativa företag, innovativa nystartade företag och innovativa expanderande företag,</w:t>
      </w:r>
    </w:p>
    <w:p w:rsidR="00D5360C" w:rsidRPr="00271804" w:rsidP="00D5360C" w14:paraId="7D97EA27" w14:textId="77777777">
      <w:pPr>
        <w:pStyle w:val="NormalHanging"/>
      </w:pPr>
      <w:r w:rsidRPr="00271804">
        <w:t>–</w:t>
      </w:r>
      <w:r w:rsidRPr="00271804">
        <w:tab/>
        <w:t>med beaktande av Flash Eurobarometer 559 från februari till april 2025, ”</w:t>
      </w:r>
      <w:r w:rsidRPr="00271804">
        <w:t>Startups</w:t>
      </w:r>
      <w:r w:rsidRPr="00271804">
        <w:t xml:space="preserve">, </w:t>
      </w:r>
      <w:r w:rsidRPr="00271804">
        <w:t>scaleups</w:t>
      </w:r>
      <w:r w:rsidRPr="00271804">
        <w:t xml:space="preserve"> and </w:t>
      </w:r>
      <w:r w:rsidRPr="00271804">
        <w:t>entrepreneurship</w:t>
      </w:r>
      <w:r w:rsidRPr="00271804">
        <w:t>”,</w:t>
      </w:r>
    </w:p>
    <w:p w:rsidR="00D5360C" w:rsidRPr="00271804" w:rsidP="00D5360C" w14:paraId="47FEC743" w14:textId="77777777">
      <w:pPr>
        <w:pStyle w:val="NormalHanging"/>
      </w:pPr>
      <w:r w:rsidRPr="00271804">
        <w:t>–</w:t>
      </w:r>
      <w:r w:rsidRPr="00271804">
        <w:tab/>
        <w:t>med beaktande av Europeiska rådets slutsatser av den 19 mars 2026,</w:t>
      </w:r>
    </w:p>
    <w:p w:rsidR="00D5360C" w:rsidRPr="00271804" w:rsidP="00D5360C" w14:paraId="142F412A" w14:textId="77777777">
      <w:pPr>
        <w:pStyle w:val="NormalHanging"/>
      </w:pPr>
      <w:r w:rsidRPr="00271804">
        <w:t>–</w:t>
      </w:r>
      <w:r w:rsidRPr="00271804">
        <w:tab/>
        <w:t>med beaktande av artikel 55 i arbetsordningen,</w:t>
      </w:r>
    </w:p>
    <w:p w:rsidR="00D5360C" w:rsidRPr="00271804" w:rsidP="00D5360C" w14:paraId="73E3AA57" w14:textId="77777777">
      <w:pPr>
        <w:pStyle w:val="NormalHanging"/>
      </w:pPr>
      <w:r w:rsidRPr="00271804">
        <w:t>–</w:t>
      </w:r>
      <w:r w:rsidRPr="00271804">
        <w:tab/>
        <w:t>med beaktande av betänkandet från utskottet för ekonomi och valutafrågor (A10-0167/2026), och av följande skäl:</w:t>
      </w:r>
    </w:p>
    <w:p w:rsidR="00D5360C" w:rsidRPr="00271804" w:rsidP="00D5360C" w14:paraId="000AD3C1" w14:textId="28852667">
      <w:pPr>
        <w:pStyle w:val="NormalHanging"/>
      </w:pPr>
      <w:r w:rsidRPr="00271804">
        <w:t>A.</w:t>
      </w:r>
      <w:r w:rsidRPr="00271804">
        <w:tab/>
        <w:t>EU, som är världens största integrerade marknad med mer än 450 miljoner konsumenter, håller på att förlora sin ekonomiska konkurrensfördel</w:t>
      </w:r>
      <w:r>
        <w:rPr>
          <w:rStyle w:val="FootnoteReference"/>
        </w:rPr>
        <w:footnoteReference w:id="5"/>
      </w:r>
      <w:r w:rsidRPr="00271804">
        <w:t xml:space="preserve"> på grund av en kombination av strukturella svagheter, den allt intensivare globala konkurrensen för att locka till sig kapital, företag och talanger samt ett komplext och fragmenterat regelverk.</w:t>
      </w:r>
    </w:p>
    <w:p w:rsidR="00D5360C" w:rsidRPr="00271804" w:rsidP="00D5360C" w14:paraId="3A6A483D" w14:textId="77777777">
      <w:pPr>
        <w:pStyle w:val="NormalHanging"/>
      </w:pPr>
      <w:r w:rsidRPr="00271804">
        <w:t>B.</w:t>
      </w:r>
      <w:r w:rsidRPr="00271804">
        <w:tab/>
        <w:t>Ekonomisk konkurrenskraft, som är kärnan i de flesta av EU:s relevanta politikområden och en brådskande politisk prioritering, och som tar sig uttryck i integration av den inre marknaden, produktivitetstillväxt, betydande offentliga och privata investeringar samt den digitala och den gröna omställningen, kan stärka EU:s välstånd genom att skapa kvalitetsjobb, upprätthålla vår ekonomiska och sociala modell och följaktligen stärka välbefinnandet för vår befolkning och våra samhällen.</w:t>
      </w:r>
    </w:p>
    <w:p w:rsidR="00D5360C" w:rsidRPr="00271804" w:rsidP="00D5360C" w14:paraId="1A621DB0" w14:textId="7A60C096">
      <w:pPr>
        <w:pStyle w:val="NormalHanging"/>
      </w:pPr>
      <w:r w:rsidRPr="00271804">
        <w:t>C.</w:t>
      </w:r>
      <w:r w:rsidRPr="00271804">
        <w:tab/>
        <w:t>De interna handelshindren på EU:s inre marknad beräknas motsvara en tullsats på 44 % för varor och 110 % för tjänster</w:t>
      </w:r>
      <w:r>
        <w:rPr>
          <w:rStyle w:val="FootnoteReference"/>
        </w:rPr>
        <w:footnoteReference w:id="6"/>
      </w:r>
      <w:r w:rsidRPr="00271804">
        <w:t>, vilket fortsätter att utgöra en betydande börda för företagens tillväxt och investeringar i EU och belyser kostnaderna för regulatorisk fragmentering och behovet av att gå i riktning mot en mer integrerad, förenklad och ambitiös ram.</w:t>
      </w:r>
    </w:p>
    <w:p w:rsidR="00D5360C" w:rsidRPr="00271804" w:rsidP="00D5360C" w14:paraId="41199BAA" w14:textId="77777777">
      <w:pPr>
        <w:pStyle w:val="NormalHanging"/>
      </w:pPr>
      <w:r w:rsidRPr="00271804">
        <w:t>D.</w:t>
      </w:r>
      <w:r w:rsidRPr="00271804">
        <w:tab/>
        <w:t>Förmågan att åstadkomma en ökad harmonisering på skatteområdet, och därigenom förenkla den regulatoriska ramen, begränsas alltjämt av det enhällighetskrav som gäller för detta politikområde. Ytterligare harmonisering och fördjupning av den inre marknaden är avgörande för att stärka EU:s konkurrenskraft och minska den administrativa bördan och kostnaderna för gränsöverskridande ekonomisk verksamhet. Att minska kryphålen för aggressiv skatteplanering och andra metoder för skatteflykt bör vara avgörande för att stärka EU:s konkurrenskraft i enlighet med agendan ”Ett Europa, en marknad”.</w:t>
      </w:r>
    </w:p>
    <w:p w:rsidR="00D5360C" w:rsidRPr="00271804" w:rsidP="00D5360C" w14:paraId="0E75A17A" w14:textId="77777777">
      <w:pPr>
        <w:pStyle w:val="NormalHanging"/>
      </w:pPr>
      <w:r w:rsidRPr="00271804">
        <w:t>E.</w:t>
      </w:r>
      <w:r w:rsidRPr="00271804">
        <w:tab/>
        <w:t>En ökad konkurrenskraft i EU är nära kopplad till en konsolidering av dess strategiska autonomi och till förmågan att minska externa ekonomiska beroenden inom strategiska och kritiska sektorer,</w:t>
      </w:r>
    </w:p>
    <w:p w:rsidR="00D5360C" w:rsidRPr="00271804" w:rsidP="00D5360C" w14:paraId="51C07B31" w14:textId="4DC94216">
      <w:pPr>
        <w:pStyle w:val="NormalHanging"/>
      </w:pPr>
      <w:r w:rsidRPr="00271804">
        <w:t>F.</w:t>
      </w:r>
      <w:r w:rsidRPr="00271804">
        <w:tab/>
        <w:t xml:space="preserve">Företag i EU, särskilt små och medelstora företag, startup-företag och </w:t>
      </w:r>
      <w:r w:rsidRPr="00271804">
        <w:t>scaleup</w:t>
      </w:r>
      <w:r w:rsidRPr="00271804">
        <w:t xml:space="preserve">-företag, och deras innovationspotential hämmas strukturellt av den ihållande regulatoriska fragmenteringen mellan medlemsstaterna. Regulatoriska och skattemässiga skillnader och de därmed sammanhängande kostnaderna för att navigera i obekanta, olika och ofta oförenliga nationella system utgör primära strukturella barriärer som hindrar alleuropeisk finansiering och </w:t>
      </w:r>
      <w:r w:rsidRPr="00271804">
        <w:t>uppskalning</w:t>
      </w:r>
      <w:r w:rsidRPr="00271804">
        <w:t xml:space="preserve"> av företag, och det finns ett akut behov av att ta itu med detta konkurrenskraftsgap</w:t>
      </w:r>
      <w:r>
        <w:rPr>
          <w:rStyle w:val="FootnoteReference"/>
        </w:rPr>
        <w:footnoteReference w:id="7"/>
      </w:r>
      <w:r w:rsidRPr="00271804">
        <w:t>. Ett gynnsamt, förutsägbart och proportionerligt regelverk är väsentligt för att företag ska kunna investera, växa och konkurrera på global nivå. EU bör stärka sitt engagemang för näringsfrihet och undanröjande av hinder. Genom att skapa en harmoniserad ram skulle den 28:e ordningen underlätta små och medelstora företags tillgång till kapital i EU, bidra till att minska de ekonomiska och territoriella skillnaderna i EU, säkerställa balanserade villkor för tillgång och utveckling i olika regioner och göra det lättare för investerare att tillhandahålla finansiering till företag som är belägna i en annan medlemsstat.</w:t>
      </w:r>
    </w:p>
    <w:p w:rsidR="00D5360C" w:rsidRPr="00271804" w:rsidP="00D5360C" w14:paraId="6042F7A4" w14:textId="3CA82CA1">
      <w:pPr>
        <w:pStyle w:val="NormalHanging"/>
      </w:pPr>
      <w:r w:rsidRPr="00271804">
        <w:t>G.</w:t>
      </w:r>
      <w:r w:rsidRPr="00271804">
        <w:tab/>
        <w:t>Den totala minskningen av den administrativa bördan till följd av förordningen om inrättande av den 28:e ordningen beräknas till mellan 328 miljoner och 440 miljoner euro under en period på tio år</w:t>
      </w:r>
      <w:r>
        <w:rPr>
          <w:rStyle w:val="FootnoteReference"/>
        </w:rPr>
        <w:footnoteReference w:id="8"/>
      </w:r>
      <w:r w:rsidRPr="00271804">
        <w:t>.</w:t>
      </w:r>
    </w:p>
    <w:p w:rsidR="00D5360C" w:rsidRPr="00271804" w:rsidP="00D5360C" w14:paraId="04233D8D" w14:textId="7A85C340">
      <w:pPr>
        <w:pStyle w:val="NormalHanging"/>
      </w:pPr>
      <w:r w:rsidRPr="00271804">
        <w:t>H.</w:t>
      </w:r>
      <w:r w:rsidRPr="00271804">
        <w:tab/>
        <w:t xml:space="preserve">För små och medelstora företag, små </w:t>
      </w:r>
      <w:r w:rsidRPr="00271804">
        <w:t>midcap</w:t>
      </w:r>
      <w:r w:rsidRPr="00271804">
        <w:t xml:space="preserve">-bolag, startup-företag och </w:t>
      </w:r>
      <w:r w:rsidRPr="00271804">
        <w:t>scaleup</w:t>
      </w:r>
      <w:r w:rsidRPr="00271804">
        <w:t xml:space="preserve">-företag utgör svårigheterna att förstå de olika affärsmiljöerna i EU, bland annat på grund av språkhinder, brist på tillgång till information eller regler och krav, skattefrågor och affärsmässiga tillstånd, de största hindren för deras gränsöverskridande verksamhet och för expansion inom EU. Beskattning, särskilt frågor som rör mervärdesskatt (moms), </w:t>
      </w:r>
      <w:r w:rsidRPr="00271804">
        <w:t xml:space="preserve">tillståndsgivning och auktorisationer utgör de största hindren för deras </w:t>
      </w:r>
      <w:r w:rsidRPr="00271804">
        <w:t>uppskalning</w:t>
      </w:r>
      <w:r w:rsidRPr="00271804">
        <w:t xml:space="preserve"> i andra EU-länder</w:t>
      </w:r>
      <w:r>
        <w:rPr>
          <w:rStyle w:val="FootnoteReference"/>
        </w:rPr>
        <w:footnoteReference w:id="9"/>
      </w:r>
      <w:r w:rsidRPr="00271804">
        <w:t>.</w:t>
      </w:r>
    </w:p>
    <w:p w:rsidR="00D5360C" w:rsidRPr="00271804" w:rsidP="00D5360C" w14:paraId="56FCFE12" w14:textId="2DFB5731">
      <w:pPr>
        <w:pStyle w:val="NormalHanging"/>
      </w:pPr>
      <w:r w:rsidRPr="00271804">
        <w:t>I.</w:t>
      </w:r>
      <w:r w:rsidRPr="00271804">
        <w:tab/>
        <w:t xml:space="preserve">År 2025 hade Europa endast 331 enhörningar jämfört med 1 963 i Förenta staterna, och mellan 2008 och 2021 flyttade nästan 30 % av de europeiska enhörningarna sitt huvudkontor till utanför EU. En stor andel av företagen lämnar EU för att hitta nödvändigt kapital i andra jurisdiktioner. Detta beror på bättre tillgång till stora marknader, ett gynnsamt företagsklimat, bättre tillgång till riskkapital, ökad tillgång till och rörlighet för begåvade och kvalificerade arbetstagare, en </w:t>
      </w:r>
      <w:r w:rsidRPr="00271804">
        <w:t>ofragmenterad</w:t>
      </w:r>
      <w:r w:rsidRPr="00271804">
        <w:t xml:space="preserve"> regulatorisk ram och ett mindre komplext skatteklimat samt en bredare tillgång till system för anställdas ägande, något som skulle främja gränsöverskridande investeringar och locka till sig och behålla ekonomisk och industriell verksamhet inom deras ekonomier</w:t>
      </w:r>
      <w:r>
        <w:rPr>
          <w:rStyle w:val="FootnoteReference"/>
        </w:rPr>
        <w:footnoteReference w:id="10"/>
      </w:r>
      <w:r w:rsidRPr="00271804">
        <w:t>.</w:t>
      </w:r>
    </w:p>
    <w:p w:rsidR="00D5360C" w:rsidRPr="00271804" w:rsidP="00D5360C" w14:paraId="42ABED0D" w14:textId="3F98B84A">
      <w:pPr>
        <w:pStyle w:val="NormalHanging"/>
      </w:pPr>
      <w:r w:rsidRPr="00271804">
        <w:t>J.</w:t>
      </w:r>
      <w:r w:rsidRPr="00271804">
        <w:tab/>
        <w:t>Såsom nämns i Draghi-rapporten kan en frivillig 28:e ordning för företag som harmoniserar lagstiftning om bolagsrätt och insolvens, samt några centrala aspekter av beskattning, och som successivt ska bli mer ambitiöst, för innovativa företag</w:t>
      </w:r>
      <w:r w:rsidR="00077DB9">
        <w:t>,</w:t>
      </w:r>
      <w:r w:rsidRPr="00271804">
        <w:t xml:space="preserve"> utforskas inom ramen för fördjupat samarbete mellan villiga medlemsstater</w:t>
      </w:r>
      <w:r>
        <w:rPr>
          <w:rStyle w:val="FootnoteReference"/>
        </w:rPr>
        <w:footnoteReference w:id="11"/>
      </w:r>
      <w:r w:rsidRPr="00271804">
        <w:t>.</w:t>
      </w:r>
    </w:p>
    <w:p w:rsidR="00D5360C" w:rsidRPr="00271804" w:rsidP="00D5360C" w14:paraId="58B1F6DE" w14:textId="21B65072">
      <w:pPr>
        <w:pStyle w:val="NormalHanging"/>
      </w:pPr>
      <w:r w:rsidRPr="00271804">
        <w:t>K.</w:t>
      </w:r>
      <w:r w:rsidRPr="00271804">
        <w:tab/>
        <w:t xml:space="preserve">Såsom anges i </w:t>
      </w:r>
      <w:r w:rsidRPr="00271804">
        <w:t>Letta</w:t>
      </w:r>
      <w:r w:rsidRPr="00271804">
        <w:t>-rapporten är beskattning ett annat område där komplexitet är ett stort hinder för gränsöverskridande handel och investeringar, och regulatorisk fragmentering kan göra den inre marknaden till ett hinder för små och medelstora företag. I rapporten kallas den 28:e ordningen som ett viktigt verktyg för att de fullt ut ska kunna dra nytta av den inre marknaden</w:t>
      </w:r>
      <w:r>
        <w:rPr>
          <w:rStyle w:val="FootnoteReference"/>
        </w:rPr>
        <w:footnoteReference w:id="12"/>
      </w:r>
      <w:r w:rsidRPr="00271804">
        <w:t>.</w:t>
      </w:r>
    </w:p>
    <w:p w:rsidR="00D5360C" w:rsidRPr="00271804" w:rsidP="00D5360C" w14:paraId="3E58991C" w14:textId="77777777">
      <w:pPr>
        <w:pStyle w:val="NormalHanging"/>
      </w:pPr>
      <w:r w:rsidRPr="00271804">
        <w:t>L.</w:t>
      </w:r>
      <w:r w:rsidRPr="00271804">
        <w:tab/>
        <w:t xml:space="preserve">Den 28:e ordningens skattedimension bör respektera den kompetensram som föreskrivs i fördragen och utformas för att stödja företagens hela livscykel. Draghi-rapporten visar att EU saknar riskkapitalinvesteringar i varje utvecklingsstadium av startup-företag (såddföretag, företag i ett tidigt skede och företag i ett sent skede) på grund av bristen på möjligheter till </w:t>
      </w:r>
      <w:r w:rsidRPr="00271804">
        <w:t>uppskalning</w:t>
      </w:r>
      <w:r w:rsidRPr="00271804">
        <w:t>.</w:t>
      </w:r>
    </w:p>
    <w:p w:rsidR="00D5360C" w:rsidRPr="00271804" w:rsidP="00D5360C" w14:paraId="67F6A7AD" w14:textId="77777777">
      <w:pPr>
        <w:pStyle w:val="NormalHanging"/>
      </w:pPr>
      <w:r w:rsidRPr="00271804">
        <w:t>M.</w:t>
      </w:r>
      <w:r w:rsidRPr="00271804">
        <w:tab/>
        <w:t>De potentiella fördelarna med en frivillig alleuropeisk företagsordning, som avsevärt skulle förenkla hela processen för framtida expansion till nya marknader, både inom och utanför EU, ligger i ökad rättssäkerhet, lägre efterlevnadskostnader, förenklade regulatoriska förfaranden och lika spelregler med konkurrerande jurisdiktioner utanför EU. Det är nödvändigt att säkerställa tydlighet och rättssäkerhet för europeiska och utländska investerare genom att tillhandahålla enklare och bättre harmoniserade regler, även på skatteområdet, som gör det möjligt för dem att investera med självförtroende över gränserna.</w:t>
      </w:r>
    </w:p>
    <w:p w:rsidR="00D5360C" w:rsidRPr="00271804" w:rsidP="00D5360C" w14:paraId="7C8B9640" w14:textId="77777777">
      <w:pPr>
        <w:pStyle w:val="NormalHanging"/>
      </w:pPr>
      <w:r w:rsidRPr="00271804">
        <w:t>N.</w:t>
      </w:r>
      <w:r w:rsidRPr="00271804">
        <w:tab/>
        <w:t>För att ta sig an dessa politiska insatser och dessa politiska mål måste EU och dess medlemsstater agera med ett samordnat, ambitiöst och resultatinriktat förhållningssätt.</w:t>
      </w:r>
    </w:p>
    <w:p w:rsidR="00D5360C" w:rsidRPr="00271804" w:rsidP="00D5360C" w14:paraId="120FFF80" w14:textId="60E2B431">
      <w:pPr>
        <w:pStyle w:val="NormalHanging"/>
      </w:pPr>
      <w:r w:rsidRPr="00271804">
        <w:t>O.</w:t>
      </w:r>
      <w:r w:rsidRPr="00271804">
        <w:tab/>
        <w:t xml:space="preserve">Det är nödvändigt att fullborda spar- och investeringsunionen för att mobilisera privat kapital i unionen och effektivt kanalisera det in i ekonomin, särskilt till små- och medelstora företag, startup-företag och </w:t>
      </w:r>
      <w:r w:rsidRPr="00271804">
        <w:t>scaleup</w:t>
      </w:r>
      <w:r w:rsidRPr="00271804">
        <w:t xml:space="preserve">-företag. En djupare, mer integrerad och </w:t>
      </w:r>
      <w:r w:rsidRPr="00271804">
        <w:t>mer tillgänglig kapitalmarknad skulle förbättra tillgången till finansiering och uppmuntra långsiktiga investeringar. Främjande av de europeiska finansmarknadernas integration är avgörande för att stärka unionens konkurrenskraft, förhindra att innovativa företag flyttar till andra jurisdiktioner och säkerställa att europeiska besparingar finansierar tillväxt och innovation på den inre marknaden.</w:t>
      </w:r>
    </w:p>
    <w:p w:rsidR="00D5360C" w:rsidRPr="00271804" w:rsidP="00D5360C" w14:paraId="0AC99ADC" w14:textId="77777777">
      <w:pPr>
        <w:pStyle w:val="NormalHanging"/>
      </w:pPr>
      <w:r w:rsidRPr="00271804">
        <w:t>P.</w:t>
      </w:r>
      <w:r w:rsidRPr="00271804">
        <w:tab/>
        <w:t>De ytterligare modulerna från den 28:e ordningen kan spela en roll för att stödja den gränsöverskridande utvecklingen av långsiktiga spar- och pensionsprodukter. När det gäller beskattning bör sådana system samverka på ett konsekvent sätt med nationella skatteramar.</w:t>
      </w:r>
    </w:p>
    <w:p w:rsidR="00D5360C" w:rsidRPr="00271804" w:rsidP="00D5360C" w14:paraId="734696BA" w14:textId="77777777">
      <w:pPr>
        <w:pStyle w:val="Normal12a"/>
      </w:pPr>
      <w:r w:rsidRPr="00271804">
        <w:rPr>
          <w:b/>
          <w:i/>
        </w:rPr>
        <w:t>Allmänna principer</w:t>
      </w:r>
    </w:p>
    <w:p w:rsidR="00D5360C" w:rsidRPr="00271804" w:rsidP="00D5360C" w14:paraId="76114F3C" w14:textId="77777777">
      <w:pPr>
        <w:pStyle w:val="NormalHanging12a"/>
      </w:pPr>
      <w:r w:rsidRPr="00271804">
        <w:t>1.</w:t>
      </w:r>
      <w:r w:rsidRPr="00271804">
        <w:tab/>
        <w:t xml:space="preserve">Europaparlamentet välkomnar kommissionens lagstiftningsförslag om en 28:e ordning (”EU </w:t>
      </w:r>
      <w:r w:rsidRPr="00271804">
        <w:t>Inc</w:t>
      </w:r>
      <w:r w:rsidRPr="00271804">
        <w:t>.”) för företag. Parlamentet erkänner dess potentiella systemiska inverkan på den inre marknadens funktion och den övergripande konkurrenskraften för EU:s ekonomi. Parlamentet understryker dock att förslaget om den 28:e ordningen inte får ersätta ytterligare lagstiftningsinsatser för att minska fragmenteringen och skillnaderna mellan medlemsstaternas regelverk.</w:t>
      </w:r>
    </w:p>
    <w:p w:rsidR="00D5360C" w:rsidRPr="00271804" w:rsidP="00D5360C" w14:paraId="11199FC5" w14:textId="77777777">
      <w:pPr>
        <w:pStyle w:val="NormalHanging12a"/>
      </w:pPr>
      <w:r w:rsidRPr="00271804">
        <w:t>2.</w:t>
      </w:r>
      <w:r w:rsidRPr="00271804">
        <w:tab/>
        <w:t>Europaparlamentet framhåller antagandet av en resolution med rekommendationer till kommissionen om den 28:e ordningen: en ny rättslig ram för innovativa företag.</w:t>
      </w:r>
    </w:p>
    <w:p w:rsidR="00D5360C" w:rsidRPr="00271804" w:rsidP="00D5360C" w14:paraId="1F12FC7E" w14:textId="77777777">
      <w:pPr>
        <w:pStyle w:val="NormalHanging12a"/>
      </w:pPr>
      <w:r w:rsidRPr="00271804">
        <w:t>3.</w:t>
      </w:r>
      <w:r w:rsidRPr="00271804">
        <w:tab/>
        <w:t xml:space="preserve">Europaparlamentet välkomnar antagandet av agendan för ett Europa, en marknad för att frigöra den inre marknadens potential. Parlamentet noterar Europeiska rådets uppmaning om antagandet av en 28:e ordning för bolagsrätten. Parlamentet noterar att Europeiska rådet inte gör några hänvisningar till riktad skattepolitisk harmonisering inom ramen för denna agenda, särskilt med tanke på att SMF-företag uppgav att skatte- och mervärdesskattefragmentering var det vanligaste hindret för </w:t>
      </w:r>
      <w:r w:rsidRPr="00271804">
        <w:t>uppskalning</w:t>
      </w:r>
      <w:r w:rsidRPr="00271804">
        <w:t>.</w:t>
      </w:r>
    </w:p>
    <w:p w:rsidR="00D5360C" w:rsidRPr="00271804" w:rsidP="00D5360C" w14:paraId="366D42E5" w14:textId="77777777">
      <w:pPr>
        <w:pStyle w:val="NormalHanging12a"/>
      </w:pPr>
      <w:r w:rsidRPr="00271804">
        <w:t>4.</w:t>
      </w:r>
      <w:r w:rsidRPr="00271804">
        <w:tab/>
        <w:t>Europaparlamentet betonar att beskattning i de flesta fall är en exklusiv befogenhet för medlemsstaterna, men att det – särskilt när det gäller förfaranden – finns utrymme för ytterligare förenkling eller riktad harmonisering för att ta itu med olika efterlevnadssystem, komplex och fragmenterad bolagsskattebehandling, rapporteringsskyldigheter och administrativa hinder i behandlingen av gränsöverskridande investeringar. Parlamentet framhåller det positiva bidraget från tidigare EU-lagstiftningsinitiativ om beskattning, särskilt när det gäller att bekämpa skatteundandragande, skatteflykt och skattebedrägeri, som kompletterar de nationella rättsliga ramarna.</w:t>
      </w:r>
    </w:p>
    <w:p w:rsidR="00D5360C" w:rsidRPr="00271804" w:rsidP="00D5360C" w14:paraId="18AC0BDB" w14:textId="77777777">
      <w:pPr>
        <w:pStyle w:val="NormalHanging12a"/>
      </w:pPr>
      <w:r w:rsidRPr="00271804">
        <w:t>5.</w:t>
      </w:r>
      <w:r w:rsidRPr="00271804">
        <w:tab/>
        <w:t xml:space="preserve">Europaparlamentet begär att initiativet inom ramen för den 28:e ordningen ska vara ambitiöst i sak, även när det gäller beskattningsaspekter, samtidigt som fördragen respekteras fullt ut, för att göra det möjligt för SMF-företag, små </w:t>
      </w:r>
      <w:r w:rsidRPr="00271804">
        <w:t>midcap</w:t>
      </w:r>
      <w:r w:rsidRPr="00271804">
        <w:t>-bolag och innovativa företag att skala upp och verka sömlöst utan gränsöverskridande hinder på EU:s inre marknad.</w:t>
      </w:r>
    </w:p>
    <w:p w:rsidR="00D5360C" w:rsidRPr="00271804" w:rsidP="00D5360C" w14:paraId="1B4FA109" w14:textId="77777777">
      <w:pPr>
        <w:pStyle w:val="NormalHanging12a"/>
      </w:pPr>
      <w:r w:rsidRPr="00271804">
        <w:t>6.</w:t>
      </w:r>
      <w:r w:rsidRPr="00271804">
        <w:tab/>
        <w:t xml:space="preserve">Europaparlamentet understryker att den 28:e ordningen under inga omständigheter får möjliggöra ett kringgående av obligatoriska nationella skydd för arbetstagare, deras sociala rättigheter, företrädare och fackföreningar, och inte heller får bli ett instrument för att undergräva, minska eller försvaga befintliga skyddsnivåer på EU-nivå eller nationell nivå. Parlamentet betonar att den 28:e ordningen bör stödja innovation, </w:t>
      </w:r>
      <w:r w:rsidRPr="00271804">
        <w:t>transparens i företagens strategier och dimensionella tillväxt och skalbarhet genom att uppmuntra till undanröjande av rättsliga och skattemässiga hinder som begränsar gränsöverskridande utveckling och expansion samt skatterättvisa, samtidigt som man effektivt förebygger skattemässiga, sociala och regulatoriska skillnader.</w:t>
      </w:r>
    </w:p>
    <w:p w:rsidR="00D5360C" w:rsidRPr="00271804" w:rsidP="00D5360C" w14:paraId="58E18CE4" w14:textId="77777777">
      <w:pPr>
        <w:pStyle w:val="NormalHanging12a"/>
      </w:pPr>
      <w:r w:rsidRPr="00271804">
        <w:t>7.</w:t>
      </w:r>
      <w:r w:rsidRPr="00271804">
        <w:tab/>
        <w:t xml:space="preserve">Europaparlamentet betonar att fördelarna med digitaliseringen och förenklingen av efterlevnadskraven som kommer att införas inom ramen för skattemodulen i den 28:e ordningen (skattemodulen) bör göras tillgängliga för alla företag inom ramen för ”EU </w:t>
      </w:r>
      <w:r w:rsidRPr="00271804">
        <w:t>Inc</w:t>
      </w:r>
      <w:r w:rsidRPr="00271804">
        <w:t>”.</w:t>
      </w:r>
    </w:p>
    <w:p w:rsidR="00D5360C" w:rsidRPr="00271804" w:rsidP="00D5360C" w14:paraId="5FE6F0A0" w14:textId="77777777">
      <w:pPr>
        <w:pStyle w:val="NormalHanging12a"/>
      </w:pPr>
      <w:r w:rsidRPr="00271804">
        <w:t>8.</w:t>
      </w:r>
      <w:r w:rsidRPr="00271804">
        <w:tab/>
        <w:t>Europaparlamentet anser att den 28:e ordningen är ett strategiskt steg mot en ytterligare fördjupning av den inre marknaden och därigenom främjar den europeiska integrationen och förbättrar den inre marknadens funktion och konkurrenskraft.</w:t>
      </w:r>
    </w:p>
    <w:p w:rsidR="00D5360C" w:rsidRPr="00271804" w:rsidP="00D5360C" w14:paraId="39AA163F" w14:textId="77777777">
      <w:pPr>
        <w:pStyle w:val="NormalHanging12a"/>
      </w:pPr>
      <w:r w:rsidRPr="00271804">
        <w:t>9.</w:t>
      </w:r>
      <w:r w:rsidRPr="00271804">
        <w:tab/>
        <w:t xml:space="preserve">Europaparlamentet betonar att den 28:e ordningen bör inrättas genom ett modulärt tillvägagångssätt. Parlamentet förstår att den föreslagna förordningen om inrättande av en rättslig ram för företag (”EU </w:t>
      </w:r>
      <w:r w:rsidRPr="00271804">
        <w:t>Inc</w:t>
      </w:r>
      <w:r w:rsidRPr="00271804">
        <w:t>.”) är ett första steg till vilket andra moduler kan läggas, bland annat om beskattning (skattemodulen). Parlamentet anser att dessa framtida moduler bör omfatta relevanta aspekter av företagens hela livscykel och kontinuerligt utvärderas mot internationella riktmärken.</w:t>
      </w:r>
    </w:p>
    <w:p w:rsidR="00D5360C" w:rsidRPr="00271804" w:rsidP="00D5360C" w14:paraId="4D244CD9" w14:textId="77777777">
      <w:pPr>
        <w:pStyle w:val="NormalHanging12a"/>
      </w:pPr>
      <w:r w:rsidRPr="00271804">
        <w:t>10.</w:t>
      </w:r>
      <w:r w:rsidRPr="00271804">
        <w:tab/>
        <w:t xml:space="preserve">Europaparlamentet anser att skattemodulen skulle kunna läggas till i lagstiftningsförslaget till förordning om inrättande av en rättslig ram för företag (”EU </w:t>
      </w:r>
      <w:r w:rsidRPr="00271804">
        <w:t>Inc</w:t>
      </w:r>
      <w:r w:rsidRPr="00271804">
        <w:t>.”), som bör utvidgas till skatteområdet, på ett målinriktat, ambitiöst och proportionerligt sätt. Parlamentet anser att de potentiella fördelarna med skattemodulen inbegriper lägre efterlevnadskostnader, förenklade regulatoriska förfaranden, ökad rättssäkerhet, förutsägbarhet och smidigare tillträde till gränsöverskridande marknader, vilket förbättrar och fördjupar den europeiska inre marknaden.</w:t>
      </w:r>
    </w:p>
    <w:p w:rsidR="00D5360C" w:rsidRPr="00271804" w:rsidP="00D5360C" w14:paraId="04A4F222" w14:textId="74279650">
      <w:pPr>
        <w:pStyle w:val="NormalHanging12a"/>
      </w:pPr>
      <w:r w:rsidRPr="00271804">
        <w:t>11.</w:t>
      </w:r>
      <w:r w:rsidRPr="00271804">
        <w:tab/>
        <w:t xml:space="preserve">Europaparlamentet noterar att för att en skattemodul ska kunna uppnås inom den befintliga fördragsramen, och där det tillämpliga lagstiftningsförfarandet inte ger resultat, bör antingen en frivillig </w:t>
      </w:r>
      <w:r w:rsidRPr="00271804">
        <w:t>opt</w:t>
      </w:r>
      <w:r w:rsidRPr="00271804">
        <w:t>-in-struktur för den relevanta lagstiftningen, eller ett fördjupat samarbete som en sista utväg, övervägas för att åtgärda brister i skattepolitiken. Parlamentet noterar att skattepolitiken fortfarande är föremål för enhällighet i Europeiska unionens råd. Parlamentet anser att en övergång till omröstning med kvalificerad majoritet är nödvändig i vissa aspekter av skattepolitiken, såsom vid genomförandet av internationella avtal som undertecknats av alla medlemsstater, vissa administrativa förfaranden eller rättsliga definitioner, för att förhindra att enhällighet begränsar harmoniseringen av lagstiftningen och hindrar medborgare och företag från att dra full nytta av den inre marknaden. Parlamentet noterar att en sådan modul bör utformas som ett frivilligt, tydligt och rättssäkert system som när som helst är öppet för anslutning av andra medlemsstater, för att undvika ytterligare fragmentering och säkerställa samstämmigheten på den inre marknaden.</w:t>
      </w:r>
    </w:p>
    <w:p w:rsidR="00D5360C" w:rsidRPr="00271804" w:rsidP="00D5360C" w14:paraId="46E9B8E6" w14:textId="77777777">
      <w:pPr>
        <w:pStyle w:val="NormalHanging12a"/>
      </w:pPr>
      <w:r w:rsidRPr="00271804">
        <w:t>12.</w:t>
      </w:r>
      <w:r w:rsidRPr="00271804">
        <w:tab/>
        <w:t>Europaparlamentet insisterar på att det 28:e systemet effektivt måste minska komplexiteten i efterlevnaden för deltagande företag och inte får skapa ett parallellt regelverk som läggs ovanpå de nationella rättssystemen, vilket leder till ökade rättsliga snedvridningar, överlappningar eller inkonsekvenser eller ytterligare administrativa bördor. Parlamentet påminner om att det främsta målet med den nya ordningen är förenkling och konkurrenskraft, och att dessa alltid måste säkerställas samtidigt som man strävar efter uppåtgående social konvergens.</w:t>
      </w:r>
    </w:p>
    <w:p w:rsidR="00D5360C" w:rsidRPr="00271804" w:rsidP="00D5360C" w14:paraId="0F673263" w14:textId="77777777">
      <w:pPr>
        <w:pStyle w:val="NormalHanging12a"/>
      </w:pPr>
      <w:r w:rsidRPr="00271804">
        <w:t>13.</w:t>
      </w:r>
      <w:r w:rsidRPr="00271804">
        <w:tab/>
        <w:t>Europaparlamentet betonar att målet med både den 28:e ordningen och dess skattemodul inte är att skapa en orättvis skattefördel för företag eller deras anställda, utan att väsentligt minska den komplexitet och administrativa börda som uppstår till följd av skilda skyldigheter, med respekt för sådana företags särskilda egenskaper.</w:t>
      </w:r>
    </w:p>
    <w:p w:rsidR="00D5360C" w:rsidRPr="00271804" w:rsidP="00D5360C" w14:paraId="0504C9D9" w14:textId="60F8A085">
      <w:pPr>
        <w:pStyle w:val="NormalHanging12a"/>
      </w:pPr>
      <w:r w:rsidRPr="00271804">
        <w:t>14.</w:t>
      </w:r>
      <w:r w:rsidRPr="00271804">
        <w:tab/>
        <w:t>Europaparlamentet betonar att för att undvika ytterligare komplexitet bör bestämmelserna i den 28:e ordningen vara i linje med andra viktiga förslag från kommissionen och relevanta riktlinjer från Organisationen för ekonomiskt samarbete och utveckling (OECD) om ökad integration på den inre marknaden, närmare bestämt på skatteområdet och tillämplig skattelagstiftning, särskilt i EU:s ramar mot skatteflykt och skatteundandragande, inbegripet direktivet mot skatteflykt</w:t>
      </w:r>
      <w:r>
        <w:rPr>
          <w:rStyle w:val="FootnoteReference"/>
        </w:rPr>
        <w:footnoteReference w:id="13"/>
      </w:r>
      <w:r w:rsidRPr="00271804">
        <w:t xml:space="preserve"> (ATAD).</w:t>
      </w:r>
    </w:p>
    <w:p w:rsidR="00D5360C" w:rsidRPr="00271804" w:rsidP="00D5360C" w14:paraId="23C0410E" w14:textId="77777777">
      <w:pPr>
        <w:pStyle w:val="NormalHanging12a"/>
      </w:pPr>
      <w:r w:rsidRPr="00271804">
        <w:t>15.</w:t>
      </w:r>
      <w:r w:rsidRPr="00271804">
        <w:tab/>
        <w:t xml:space="preserve">Europaparlamentet efterlyser en </w:t>
      </w:r>
      <w:r w:rsidRPr="00271804">
        <w:t>modulär</w:t>
      </w:r>
      <w:r w:rsidRPr="00271804">
        <w:t xml:space="preserve"> och pilotbaserad strategi för den 28:e ordningen där bolagsrätten står främst. Parlamentet betonar att dessa moduler på ett effektivt sätt måste minska efterlevnadskomplexiteten för deltagande företag, men insisterar på att en färdplan antas när det gäller vad som bör läggas till och när, som ska vara känt från början och kontinuerligt anpassas inom ramen för en regelbunden demokratisk översynsprocess.</w:t>
      </w:r>
    </w:p>
    <w:p w:rsidR="00D5360C" w:rsidRPr="00271804" w:rsidP="00D5360C" w14:paraId="218C8AE8" w14:textId="77777777">
      <w:pPr>
        <w:pStyle w:val="NormalHanging12a"/>
      </w:pPr>
      <w:r w:rsidRPr="00271804">
        <w:t>16.</w:t>
      </w:r>
      <w:r w:rsidRPr="00271804">
        <w:tab/>
        <w:t xml:space="preserve">Europaparlamentet betonar i detta sammanhang att skattemodulens tillämpningsområde, i syfte att säkerställa (politisk) genomförbarhet och för att bevara medlemsstaternas kontroll över en betydande del av sin skattepolitik i enlighet med de nuvarande rättsliga ramarna, som utgångspunkt bör begränsas till en undergrupp av företag, såsom gränsöverskridande tillväxtorienterade startup- och </w:t>
      </w:r>
      <w:r w:rsidRPr="00271804">
        <w:t>scaleup</w:t>
      </w:r>
      <w:r w:rsidRPr="00271804">
        <w:t xml:space="preserve">-företag, som vanligtvis endast genererar begränsade bolagsskatteintäkter för medlemsstaterna. Parlamentet noterar kommissionens rekommendation av den 18 mars 2026 om fastställande av en definition av sådana företag med hjälp av kriterier såsom deras utgifter och storlek för forskning och utveckling (R&amp;D), som åtföljde förslaget om ”EU </w:t>
      </w:r>
      <w:r w:rsidRPr="00271804">
        <w:t>Inc</w:t>
      </w:r>
      <w:r w:rsidRPr="00271804">
        <w:t>”.</w:t>
      </w:r>
    </w:p>
    <w:p w:rsidR="00D5360C" w:rsidRPr="00271804" w:rsidP="00D5360C" w14:paraId="27B9B170" w14:textId="77777777">
      <w:pPr>
        <w:pStyle w:val="NormalHanging12a"/>
      </w:pPr>
      <w:r w:rsidRPr="00271804">
        <w:t>17.</w:t>
      </w:r>
      <w:r w:rsidRPr="00271804">
        <w:tab/>
        <w:t>Europaparlamentet understryker att alla skatteincitament inom ramen för den 28:e ordningen måste vara fullt förenliga med reglerna för statligt stöd och utformade på ett sätt som undviker skadlig skattekonkurrens, samtidigt som man säkerställer lika spelregler på den inre marknaden.</w:t>
      </w:r>
    </w:p>
    <w:p w:rsidR="00D5360C" w:rsidRPr="00271804" w:rsidP="00D5360C" w14:paraId="19D8D049" w14:textId="77777777">
      <w:pPr>
        <w:pStyle w:val="NormalHanging12a"/>
      </w:pPr>
      <w:r w:rsidRPr="00271804">
        <w:t>18.</w:t>
      </w:r>
      <w:r w:rsidRPr="00271804">
        <w:tab/>
        <w:t>Europaparlamentet upprepar att företag som frivilligt väljer att delta i det 28:e systemet och dess skattemodul bör vara bundna av dess regler och att deras val att delta automatiskt måste erkännas av alla medlemsstaters rättsliga ramar, så att de kan verka som alla andra nationellt registrerade företag på alla medlemsstaters marknader. Parlamentet påminner om att det bör vara frivilligt att ansluta sig till den 28:e ordningen, men att det bör vara obligatoriskt att lämna den när tydligt definierade kriterier har uppfyllts, inbegripet en börsnotering. Parlamentet framhåller i detta sammanhang att icke-diskrimineringsprincipen i förhållande till nationella bolagsformer bör tillämpas.</w:t>
      </w:r>
    </w:p>
    <w:p w:rsidR="00D5360C" w:rsidRPr="00271804" w:rsidP="00D5360C" w14:paraId="2DBB35A5" w14:textId="77777777">
      <w:pPr>
        <w:pStyle w:val="NormalHanging12a"/>
      </w:pPr>
      <w:r w:rsidRPr="00271804">
        <w:t>19.</w:t>
      </w:r>
      <w:r w:rsidRPr="00271804">
        <w:tab/>
        <w:t>Europaparlamentet noterar att villkor för utträde måste fastställas för företag som på eget initiativ beslutar att inte omfattas (</w:t>
      </w:r>
      <w:r w:rsidRPr="00271804">
        <w:t>opt</w:t>
      </w:r>
      <w:r w:rsidRPr="00271804">
        <w:t xml:space="preserve"> </w:t>
      </w:r>
      <w:r w:rsidRPr="00271804">
        <w:t>out</w:t>
      </w:r>
      <w:r w:rsidRPr="00271804">
        <w:t xml:space="preserve">), inbegripet anmälningskrav, eventuella minimiperioder för deltagande och ikraftträdandet av utträdet, och att när de relevanta </w:t>
      </w:r>
      <w:r w:rsidRPr="00271804">
        <w:t>kriterierna för utträde är uppfyllda måste tillräckligt med tid ges för att möjliggöra den nödvändiga omvandlingen av företag, säkerställa en förutsägbar och gradvis övergång och samtidigt minimera möjligheterna till regelarbitrage.</w:t>
      </w:r>
    </w:p>
    <w:p w:rsidR="00D5360C" w:rsidRPr="00271804" w:rsidP="00D5360C" w14:paraId="0205CC78" w14:textId="77777777">
      <w:pPr>
        <w:pStyle w:val="NormalHanging12a"/>
      </w:pPr>
      <w:r w:rsidRPr="00271804">
        <w:t>20.</w:t>
      </w:r>
      <w:r w:rsidRPr="00271804">
        <w:tab/>
        <w:t>Europaparlamentet erkänner att neutralitet avseende juridisk form och skattemässig icke-diskriminering är avgörande för att säkerställa tillräcklig efterfrågan på ordningen. Parlamentet uppmanar kommissionen att vid behov ändra EU:s regelverk om beskattning, oavsett om den är direkt eller indirekt, för att säkerställa att företag som är verksamma inom ramen för den 28:e ordningen kan låta sig omfattas av ett eget tillämpningsområde, och att förenkla och ytterligare harmonisera förfarandena för att få tillgång till fördelarna med dessa direktiv.</w:t>
      </w:r>
    </w:p>
    <w:p w:rsidR="00D5360C" w:rsidRPr="00271804" w:rsidP="00D5360C" w14:paraId="3381BCAF" w14:textId="7C38D7BA">
      <w:pPr>
        <w:pStyle w:val="NormalHanging12a"/>
      </w:pPr>
      <w:r w:rsidRPr="00271804">
        <w:t>21.</w:t>
      </w:r>
      <w:r w:rsidRPr="00271804">
        <w:tab/>
        <w:t>Europaparlamentet anser att i ett tidigt skede av ett företags livscykel är det snabbhet och enkelhet som är avgörande för att omvandla ett innovativt koncept till en livskraftig enhet, utan något behov att etablera separata rättsliga former i varje medlemsstat. Parlamentet betonar att för den 28:e ordningen bör en enda, helt digital registrering vid den gemensamma kontaktpunkten, tillsammans med tillhandahållandet av ett enda skattenummer, inklusive fullständigt standardiserad dokumentation, mallar och ett enda gränssnitt för skattedeklarationer, och med respekt för en engelska-först-principen för kommunikationen, utan att EU:s övriga officiella språk åsidosätts, fastställas som standard. Parlamentet påminner om att den 28:e ordningen bör kombinera en tydlig rättslig arkitektur, meningsfull och på förhand kvantifierbar nytta för företag samt robust institutionellt stöd. Parlamentet framhåller synergierna med förslaget om inrättande av europeiska företagsplånböcker (</w:t>
      </w:r>
      <w:r w:rsidRPr="00293A4B" w:rsidR="00AC64CE">
        <w:t>COM(2025)0838</w:t>
      </w:r>
      <w:r w:rsidRPr="00271804">
        <w:t>), som är utformat för att skapa en sömlös och säker miljö för digital interaktion mellan ekonomiska aktörer och offentliga organ.</w:t>
      </w:r>
    </w:p>
    <w:p w:rsidR="00D5360C" w:rsidRPr="00271804" w:rsidP="00D5360C" w14:paraId="13305C0C" w14:textId="77777777">
      <w:pPr>
        <w:pStyle w:val="NormalHanging12a"/>
      </w:pPr>
      <w:r w:rsidRPr="00271804">
        <w:t>22.</w:t>
      </w:r>
      <w:r w:rsidRPr="00271804">
        <w:tab/>
        <w:t>Europaparlamentet noterar att den gemensamma kontaktpunkten, eller alternativt ett annat centralt nav, även bör fungera som en digital plattform som stöder företag under hela deras livscykel inom 28:e ordningen och dess olika moduler. Parlamentet framhåller att den bör ge smidig tillgång till relevant regulatorisk, skattemässig och administrativ information i medlemsstaterna och därigenom säkerställa transparens och rättslig säkerhet, samt inbegripa möjligheten att införliva, förvalta och upplösa verksamheter.</w:t>
      </w:r>
    </w:p>
    <w:p w:rsidR="00D5360C" w:rsidRPr="00271804" w:rsidP="00D5360C" w14:paraId="4147F401" w14:textId="77777777">
      <w:pPr>
        <w:pStyle w:val="NormalHanging12a"/>
      </w:pPr>
      <w:r w:rsidRPr="00271804">
        <w:t>23.</w:t>
      </w:r>
      <w:r w:rsidRPr="00271804">
        <w:tab/>
        <w:t>Europaparlamentet betonar, utan att det påverkar eventuella ytterligare skyddsåtgärder, att åtgärder mot skatteundandragande som fastställs i nuvarande EU-lagstiftning måste tillämpas fullt ut. Parlamentet betonar att endast företag med verklig ekonomisk verksamhet inom EU bör ha tillgång till skattemodulen och att denna modul inte bör leda till skapandet av skalbolag eller brevlådeföretag, eftersom sådana metoder undergräver den regulatoriska integriteten, snedvrider den rättvisa konkurrensen och urholkar verklig ekonomisk verksamhet inom EU. Parlamentet understryker att skattemodulen inte bör bli ett verktyg för ”skatteshopping” och under inga omständigheter får bli ett verktyg för att otillbörligt sänka eller kringgå nuvarande skattenivåer på EU-nivå eller nationell nivå</w:t>
      </w:r>
    </w:p>
    <w:p w:rsidR="00D5360C" w:rsidRPr="00271804" w:rsidP="00D5360C" w14:paraId="00689452" w14:textId="77777777">
      <w:pPr>
        <w:pStyle w:val="NormalHanging12a"/>
      </w:pPr>
      <w:r w:rsidRPr="00271804">
        <w:t>24.</w:t>
      </w:r>
      <w:r w:rsidRPr="00271804">
        <w:tab/>
        <w:t>Europaparlamentet anser att ett företag för vilket det officiellt har fastställts att bindande regler om bedrägeri, skatt, skatteundandragande eller arbetstagarmedverkan har överträtts inte bör ha rätt att delta i skattemodulen.</w:t>
      </w:r>
    </w:p>
    <w:p w:rsidR="00D5360C" w:rsidRPr="00271804" w:rsidP="00D5360C" w14:paraId="470ECBFB" w14:textId="77777777">
      <w:pPr>
        <w:pStyle w:val="NormalHanging12a"/>
      </w:pPr>
      <w:r w:rsidRPr="00271804">
        <w:t>25.</w:t>
      </w:r>
      <w:r w:rsidRPr="00271804">
        <w:tab/>
        <w:t xml:space="preserve">Europaparlamentet betonar att en transparent, ansvarsfull och effektiv ram för finansiell rapportering är nödvändig, och att de enhetliga redovisningsstandarderna bör tillämpas som standard för alla företag som är verksamma inom ramen för den 28:e ordningen i alla deltagande medlemsstater, med utgångspunkt i internationellt erkända standarder såsom International </w:t>
      </w:r>
      <w:r w:rsidRPr="00271804">
        <w:t>Financial</w:t>
      </w:r>
      <w:r w:rsidRPr="00271804">
        <w:t xml:space="preserve"> </w:t>
      </w:r>
      <w:r w:rsidRPr="00271804">
        <w:t>Reporting</w:t>
      </w:r>
      <w:r w:rsidRPr="00271804">
        <w:t xml:space="preserve"> Standards när så är lämpligt.</w:t>
      </w:r>
    </w:p>
    <w:p w:rsidR="00D5360C" w:rsidRPr="00271804" w:rsidP="00D5360C" w14:paraId="1DB42CE3" w14:textId="77777777">
      <w:pPr>
        <w:pStyle w:val="Normal12a"/>
      </w:pPr>
      <w:r w:rsidRPr="00271804">
        <w:rPr>
          <w:b/>
          <w:i/>
        </w:rPr>
        <w:t>Beskattning av bolagsinkomster</w:t>
      </w:r>
    </w:p>
    <w:p w:rsidR="00D5360C" w:rsidRPr="00271804" w:rsidP="00D5360C" w14:paraId="242AB404" w14:textId="2BB8F980">
      <w:pPr>
        <w:pStyle w:val="NormalHanging12a"/>
      </w:pPr>
      <w:r w:rsidRPr="00271804">
        <w:t>26.</w:t>
      </w:r>
      <w:r w:rsidRPr="00271804">
        <w:tab/>
        <w:t xml:space="preserve">Europaparlamentet anser att avsaknaden av harmonisering av bolagsskattepolitiken utgör ett betydande hinder för gränsöverskridande ekonomisk verksamhet inom EU, och att den också ökar riskerna för aggressiv skatteplanering. Parlamentet föreslår därför att den framtida skattemodulen, för att tillhandahålla ett tydligt, effektivt och transparent skattesystem, bör syfta till en enda konsoliderad bolagsskattebas för deltagande företag i hela EU. Parlamentet påminner om tidigare initiativ, såsom den gemensamma bolagsskattebasen (CCTB), den gemensamma konsoliderade bolagsskattebasen (CCCTB), </w:t>
      </w:r>
      <w:r w:rsidRPr="00271804">
        <w:t>Befit</w:t>
      </w:r>
      <w:r w:rsidRPr="00271804">
        <w:t xml:space="preserve"> och modellen med huvudkontorsbaserade skattesystem för SMF-företag, och föreslår att skattemodulen, i linje med OECD-riktlinjerna, bör skapa en enhetlig metod för att fastställa beskattningsbar inkomst, och därigenom undanröja fragmenteringen i beräkningen av skattebasen och minska den gränsöverskridande osäkerheten. Parlamentet betonar att skattemodulen inte ytterligare får begränsa medlemsstaternas rätt att fastställa bolagsskattesatser. Parlamentet understryker att den 28:e ordningen bör prioritera verklig konsolidering för att säkerställa en effektiv gränsöverskridande kvittning av förluster och därigenom skapa incitament för gränsöverskridande investeringar.</w:t>
      </w:r>
    </w:p>
    <w:p w:rsidR="00D5360C" w:rsidRPr="00271804" w:rsidP="00D5360C" w14:paraId="1548D619" w14:textId="77777777">
      <w:pPr>
        <w:pStyle w:val="NormalHanging12a"/>
      </w:pPr>
      <w:r w:rsidRPr="00271804">
        <w:t>27.</w:t>
      </w:r>
      <w:r w:rsidRPr="00271804">
        <w:tab/>
        <w:t xml:space="preserve">Europaparlamentet noterar att modulen, mot bakgrund av förslaget om minskning av skattefördelen för finansiering med lån jämfört med eget kapital, bör främja neutralitet mellan finansiering med lån och eget kapital, för att undanröja strukturella skattefördomar och stärka </w:t>
      </w:r>
      <w:r w:rsidRPr="00271804">
        <w:t>egetkapitalbaserade</w:t>
      </w:r>
      <w:r w:rsidRPr="00271804">
        <w:t xml:space="preserve"> investeringar, vilket är särskilt viktigt för startup-och </w:t>
      </w:r>
      <w:r w:rsidRPr="00271804">
        <w:t>scaleup</w:t>
      </w:r>
      <w:r w:rsidRPr="00271804">
        <w:t>-företag som främst förlitar sig på finansiering med eget kapital i ett tidigt skede av sin utveckling.</w:t>
      </w:r>
    </w:p>
    <w:p w:rsidR="00D5360C" w:rsidRPr="00271804" w:rsidP="00D5360C" w14:paraId="264A2BFD" w14:textId="77777777">
      <w:pPr>
        <w:pStyle w:val="NormalHanging12a"/>
      </w:pPr>
      <w:r w:rsidRPr="00271804">
        <w:t>28.</w:t>
      </w:r>
      <w:r w:rsidRPr="00271804">
        <w:tab/>
        <w:t>Europaparlamentet föreslår att den 28:e ordningen bör eftersträva att förenkla skatteförvaltningen och minska den gränsöverskridande osäkerheten, bland annat, där så är möjligt, genom att standardisera skattedeklarationer, undvika dubblerade deklarationer, förbättra kommunikationen mellan skattemyndigheter och tillämpa principen om digitalt först.</w:t>
      </w:r>
    </w:p>
    <w:p w:rsidR="00D5360C" w:rsidRPr="00271804" w:rsidP="00D5360C" w14:paraId="06865784" w14:textId="77777777">
      <w:pPr>
        <w:pStyle w:val="NormalHanging12a"/>
      </w:pPr>
      <w:r w:rsidRPr="00271804">
        <w:t>29.</w:t>
      </w:r>
      <w:r w:rsidRPr="00271804">
        <w:tab/>
        <w:t>Europaparlamentet föreslår att den konsoliderade skattebasen ska fördelas mellan medlemsstaterna med hjälp av en på förhand överenskommen formel som återspeglar den verkliga ekonomiska verksamheten, såsom försäljning, arbetskraft, materiella tillgångar och digital närvaro, och att komplexa koncerninterna tvister om internprissättning inom ordningen ska ersättas med en transparent fördelningsmetod i linje med OECD:s riktlinjer. Parlamentet understryker att detta skulle innebära förenkling och utgöra ett instrument för att bekämpa skatteundandragande.</w:t>
      </w:r>
    </w:p>
    <w:p w:rsidR="00D5360C" w:rsidRPr="00271804" w:rsidP="00D5360C" w14:paraId="6AD804D2" w14:textId="77777777">
      <w:pPr>
        <w:pStyle w:val="NormalHanging12a"/>
      </w:pPr>
      <w:r w:rsidRPr="00271804">
        <w:t>30.</w:t>
      </w:r>
      <w:r w:rsidRPr="00271804">
        <w:tab/>
        <w:t>Europaparlamentet påminner om att skattesatserna måste förbli medlemsstaternas behörighet. Parlamentet noterar dock att skattedeklarationerna skulle kunna lämnas in via ett enda inlämningsgränssnitt.</w:t>
      </w:r>
    </w:p>
    <w:p w:rsidR="00D5360C" w:rsidRPr="00271804" w:rsidP="00D5360C" w14:paraId="7C3DCA05" w14:textId="77777777">
      <w:pPr>
        <w:pStyle w:val="NormalHanging12a"/>
      </w:pPr>
      <w:r w:rsidRPr="00271804">
        <w:t>31.</w:t>
      </w:r>
      <w:r w:rsidRPr="00271804">
        <w:tab/>
        <w:t>Europaparlamentet betonar att dubbelbeskattning effektivt måste förhindras genom till exempel en enhetlig definition och klassificering av kapitalvinster, betalningar inom ordningen eller automatiskt ömsesidigt erkännande av skattestatus.</w:t>
      </w:r>
    </w:p>
    <w:p w:rsidR="00D5360C" w:rsidRPr="00271804" w:rsidP="00D5360C" w14:paraId="697C2B02" w14:textId="77777777">
      <w:pPr>
        <w:pStyle w:val="NormalHanging12a"/>
      </w:pPr>
      <w:r w:rsidRPr="00271804">
        <w:t>32.</w:t>
      </w:r>
      <w:r w:rsidRPr="00271804">
        <w:tab/>
        <w:t>Europaparlamentet föreslår att medlemsstaterna bör överväga att införa särskilda paneler inom sina nationella domstolar för tvister som rör skattemodulen, och att det bör vara möjligt för sådana paneler att genomföra tvistlösning på engelska.</w:t>
      </w:r>
    </w:p>
    <w:p w:rsidR="00D5360C" w:rsidRPr="00271804" w:rsidP="00D5360C" w14:paraId="5B8ADC0B" w14:textId="7A281355">
      <w:pPr>
        <w:pStyle w:val="NormalHanging12a"/>
      </w:pPr>
      <w:r w:rsidRPr="00271804">
        <w:t>33.</w:t>
      </w:r>
      <w:r w:rsidRPr="00271804">
        <w:tab/>
        <w:t xml:space="preserve">Europaparlamentet framhåller att gränsöverskridande </w:t>
      </w:r>
      <w:r w:rsidRPr="00271804">
        <w:t>uppskalning</w:t>
      </w:r>
      <w:r w:rsidRPr="00271804">
        <w:t xml:space="preserve"> kan medföra frekventa händelser relaterade till bolagsrörlighet och omstruktureringar, och att skattemodulen, för att dra nytta av den befintliga ramen för skatteneutrala transaktioner, bör inbegripa en utvidgning av befintlig EU-rätt och bör hantera skattemässiga friktioner relaterade till rörlighet genom förbättrad administrativ samordning och ökad materiell rättslig säkerhet, och samtidigt säkerställa att alla förenklingsåtgärder förblir föremål för lämpliga skyddsåtgärder mot missbruk</w:t>
      </w:r>
      <w:r>
        <w:rPr>
          <w:rStyle w:val="FootnoteReference"/>
        </w:rPr>
        <w:footnoteReference w:id="14"/>
      </w:r>
      <w:r w:rsidRPr="00271804">
        <w:t>.</w:t>
      </w:r>
    </w:p>
    <w:p w:rsidR="00D5360C" w:rsidRPr="00271804" w:rsidP="00D5360C" w14:paraId="7928768C" w14:textId="77777777">
      <w:pPr>
        <w:pStyle w:val="Normal12a"/>
      </w:pPr>
      <w:r w:rsidRPr="00271804">
        <w:rPr>
          <w:b/>
          <w:i/>
        </w:rPr>
        <w:t>Mervärdesskatt</w:t>
      </w:r>
    </w:p>
    <w:p w:rsidR="00D5360C" w:rsidRPr="00271804" w:rsidP="00D5360C" w14:paraId="2058CFEC" w14:textId="3761125A">
      <w:pPr>
        <w:pStyle w:val="NormalHanging12a"/>
      </w:pPr>
      <w:r w:rsidRPr="00271804">
        <w:t>34.</w:t>
      </w:r>
      <w:r w:rsidRPr="00271804">
        <w:tab/>
        <w:t xml:space="preserve">Europaparlamentet betonar att för att minska regelbördan måste deltagarna i ordningen verka inom en centraliserad mervärdesskatteram, där ett gemensamt EU-momsnummer och en digital </w:t>
      </w:r>
      <w:r w:rsidRPr="00271804">
        <w:t>One</w:t>
      </w:r>
      <w:r w:rsidRPr="00271804">
        <w:t>-Stop Shop-portal</w:t>
      </w:r>
      <w:r>
        <w:rPr>
          <w:rStyle w:val="FootnoteReference"/>
        </w:rPr>
        <w:footnoteReference w:id="15"/>
      </w:r>
      <w:r w:rsidRPr="00271804">
        <w:t xml:space="preserve"> måste omfatta deklarationer och återbetalningar i alla medlemsstater, inbegripet genom snabba och effektiva återbetalningsförfaranden och ett minskat behov av flera registreringar. Parlamentet framhåller vikten av att främja användningen av driftskompatibla digitala lösningar, inbegripet e-fakturering, för att förenkla efterlevnaden, öka transparensen och minska de administrativa kostnaderna. Parlamentet påminner om att målet med skattemodulen bör vara en förenkling av förfarandena snarare än en harmonisering av momssatserna, så att företagen kan expandera utan att de administrativa gränssnitten ökar i samma takt.</w:t>
      </w:r>
    </w:p>
    <w:p w:rsidR="00D5360C" w:rsidRPr="00271804" w:rsidP="00D5360C" w14:paraId="0A2D5C57" w14:textId="77777777">
      <w:pPr>
        <w:pStyle w:val="Normal12a"/>
      </w:pPr>
      <w:r w:rsidRPr="00271804">
        <w:rPr>
          <w:b/>
          <w:i/>
        </w:rPr>
        <w:t>Källskatt</w:t>
      </w:r>
    </w:p>
    <w:p w:rsidR="00D5360C" w:rsidRPr="00271804" w:rsidP="00D5360C" w14:paraId="093C33A6" w14:textId="166707EE">
      <w:pPr>
        <w:pStyle w:val="NormalHanging12a"/>
      </w:pPr>
      <w:r w:rsidRPr="00271804">
        <w:t>35.</w:t>
      </w:r>
      <w:r w:rsidRPr="00271804">
        <w:tab/>
        <w:t>Europaparlamentet betonar att gränsöverskridande kapitalflöden inom modulen bör komma i åtnjutande av en harmoniserad och effektiv behandling, där utdelningar, räntor och royalties mellan deltagande enheter och deras tillhörande investeringsinstrument bör vara föremål för ett gemensamt förenklat källskatteförfarande och effektiv minimibeskattning. Parlamentet föreslår att ett omedelbart erkännande av skatterättslig hemvist måste uppnås genom ett centraliserat digitalt EU-register som möjliggör ett rationaliserat digitalt klareringsförfarande och eliminerar manuella återbetalningsförseningar som har identifierats som ett viktigt hinder för expansion i EU</w:t>
      </w:r>
      <w:r>
        <w:rPr>
          <w:rStyle w:val="FootnoteReference"/>
        </w:rPr>
        <w:footnoteReference w:id="16"/>
      </w:r>
      <w:r w:rsidRPr="00271804">
        <w:t>.</w:t>
      </w:r>
    </w:p>
    <w:p w:rsidR="00D5360C" w:rsidRPr="00271804" w:rsidP="00D5360C" w14:paraId="65962A10" w14:textId="77777777">
      <w:pPr>
        <w:pStyle w:val="NormalHanging12a"/>
      </w:pPr>
      <w:r w:rsidRPr="00271804">
        <w:t>36.</w:t>
      </w:r>
      <w:r w:rsidRPr="00271804">
        <w:tab/>
        <w:t xml:space="preserve">Europaparlamentet efterlyser en tydlig och transparent definition av verkligt huvudmannaskap för skatteändamål som skulle identifiera verkliga ägare av företag, eller åtminstone en begriplig och allmänt accepterad uppsättning kriterier enligt vilka </w:t>
      </w:r>
      <w:r w:rsidRPr="00271804">
        <w:t>källskattelättnader bör erbjudas vid källan, och långdragna återbetalningsförfaranden bör undvikas, men bibehållas i situationer där inget av kriterierna är uppfyllt.</w:t>
      </w:r>
    </w:p>
    <w:p w:rsidR="00D5360C" w:rsidRPr="00271804" w:rsidP="00D5360C" w14:paraId="4CD8A1F2" w14:textId="77777777">
      <w:pPr>
        <w:pStyle w:val="Normal12a"/>
      </w:pPr>
      <w:r w:rsidRPr="00271804">
        <w:rPr>
          <w:b/>
          <w:i/>
        </w:rPr>
        <w:t>Beskattning av anställda</w:t>
      </w:r>
    </w:p>
    <w:p w:rsidR="00D5360C" w:rsidRPr="00271804" w:rsidP="00D5360C" w14:paraId="2DC99D9A" w14:textId="77777777">
      <w:pPr>
        <w:pStyle w:val="NormalHanging12a"/>
      </w:pPr>
      <w:r w:rsidRPr="00271804">
        <w:t>37.</w:t>
      </w:r>
      <w:r w:rsidRPr="00271804">
        <w:tab/>
        <w:t xml:space="preserve">Europaparlamentet välkomnar kommissionens förslag om frivillig användning av aktieoptioner för anställda i EU inom ramen för det bredare förslaget om ”EU </w:t>
      </w:r>
      <w:r w:rsidRPr="00271804">
        <w:t>Inc</w:t>
      </w:r>
      <w:r w:rsidRPr="00271804">
        <w:t>.” och i synnerhet dess princip att beskattning bör ske vid avyttring och omfattas av samma skattemässiga behandling som gäller för andra aktieoptioner för anställda eller liknande instrument enligt nationell lagstiftning. Parlamentet anser dock att genomförandet av ett EU-system för aktieoptioner för anställda bör vara obligatoriskt inom ramen för skattemodulen. Parlamentet noterar att vinsterna bör betraktas som kapitalinkomst snarare än förvärvsinkomst, och att incitament för anställda därför linjeras med långsiktig företagstillväxt och att den snedvridande effekten av förskottsbeskattning undanröjs. Parlamentet stöder att man tar upp frågan om konvertibilitet med aktieoptionssystem i hela Europa för att underlätta konverteringen av befintliga företag till den 28:e ordningen.</w:t>
      </w:r>
    </w:p>
    <w:p w:rsidR="00D5360C" w:rsidRPr="00271804" w:rsidP="00D5360C" w14:paraId="2AAFEADF" w14:textId="77777777">
      <w:pPr>
        <w:pStyle w:val="NormalHanging12a"/>
      </w:pPr>
      <w:r w:rsidRPr="00271804">
        <w:t>38.</w:t>
      </w:r>
      <w:r w:rsidRPr="00271804">
        <w:tab/>
        <w:t>Europaparlamentet understryker den roll som aktieprogram för anställda och liknande mekanismer har när det gäller att skapa incitament för att locka till sig talanger och nyckelpersoner inom sådana företag. Parlamentet betonar att nyckelpersonal omfattar grundare och andra viktiga anställda vars kompetens och expertis är avgörande för företagets utveckling. Parlamentet betonar att ett transparent, ekonomiskt sunt och förutsägbart skattesystem för sådana instrument är avgörande för att behålla dessa företag inom EU och för att locka till sig och behålla talanger på villkor som är jämförbara med dem som finns tillgängliga i andra konkurrerande jurisdiktioner.</w:t>
      </w:r>
    </w:p>
    <w:p w:rsidR="00D5360C" w:rsidRPr="00271804" w:rsidP="00D5360C" w14:paraId="39D24341" w14:textId="77777777">
      <w:pPr>
        <w:pStyle w:val="NormalHanging12a"/>
      </w:pPr>
      <w:r w:rsidRPr="00271804">
        <w:t>39.</w:t>
      </w:r>
      <w:r w:rsidRPr="00271804">
        <w:tab/>
        <w:t xml:space="preserve">Europaparlamentet efterlyser en standardiserad värderingsmetod på EU-nivå som tillhandahåller </w:t>
      </w:r>
      <w:r w:rsidRPr="00271804">
        <w:t>safe</w:t>
      </w:r>
      <w:r w:rsidRPr="00271804">
        <w:t xml:space="preserve"> </w:t>
      </w:r>
      <w:r w:rsidRPr="00271804">
        <w:t>harbour</w:t>
      </w:r>
      <w:r w:rsidRPr="00271804">
        <w:t>-regler för att fastställa aktievärdet och aktieoptionsvärdet i onoterade företag, vilket förhindrar retroaktiva omprövningar och minskar den rättsliga osäkerheten. Parlamentet anser att sådana värderingar bör erkännas av deltagande skattemyndigheter om inte missbruk, bedrägeri eller uppenbart fel kan påvisas.</w:t>
      </w:r>
    </w:p>
    <w:p w:rsidR="00D5360C" w:rsidRPr="00271804" w:rsidP="00D5360C" w14:paraId="526AF113" w14:textId="5D0C0A23">
      <w:pPr>
        <w:pStyle w:val="NormalHanging12a"/>
      </w:pPr>
      <w:r w:rsidRPr="00271804">
        <w:t>40.</w:t>
      </w:r>
      <w:r w:rsidRPr="00271804">
        <w:tab/>
        <w:t>Europaparlamentet påminner om att de socialförsäkringsavgifter och den pensionsinkomstskatt som är tillämpliga på arbetstagare som bedriver sin verksamhet i mer än en medlemsstat fastställs i ramen för multinationella arbetstagare enligt artikel 13 i förordning (EG) nr 883/2004</w:t>
      </w:r>
      <w:r>
        <w:rPr>
          <w:rStyle w:val="FootnoteReference"/>
        </w:rPr>
        <w:footnoteReference w:id="17"/>
      </w:r>
      <w:r w:rsidRPr="00271804">
        <w:t>, varigenom den tillämpliga lagstiftningen fastställs i enlighet med ett antal faktorer, vilket ökar rättssäkerheten och minskar de gränsöverskridande administrativa bördorna.</w:t>
      </w:r>
    </w:p>
    <w:p w:rsidR="00D5360C" w:rsidRPr="00271804" w:rsidP="00D5360C" w14:paraId="6BAF4549" w14:textId="77777777">
      <w:pPr>
        <w:pStyle w:val="NormalHanging12a"/>
      </w:pPr>
      <w:r w:rsidRPr="00271804">
        <w:t>41.</w:t>
      </w:r>
      <w:r w:rsidRPr="00271804">
        <w:tab/>
        <w:t xml:space="preserve">Europaparlamentet efterlyser riktade regler som säkerställer skattemässig säkerhet för anställda som flyttar mellan medlemsstater under perioden mellan tilldelning av aktiebaserad ersättning och försäljning av de underliggande aktierna, inbegripet effektiviserad digital rapportering via en gemensam kontaktpunkt för arbetsgivare samt undvikande av dubbel eller multipel beskattning vid försäljning av aktiebaserad </w:t>
      </w:r>
      <w:r w:rsidRPr="00271804">
        <w:t>ersättning. Parlamentet understryker att all fördelning av beskattningsrätten bör förbli proportionerlig, enkel och förutsägbar.</w:t>
      </w:r>
    </w:p>
    <w:p w:rsidR="00D5360C" w:rsidRPr="00271804" w:rsidP="00D5360C" w14:paraId="3E01E420" w14:textId="77777777">
      <w:pPr>
        <w:pStyle w:val="Normal12a"/>
      </w:pPr>
      <w:r w:rsidRPr="00271804">
        <w:rPr>
          <w:b/>
          <w:i/>
        </w:rPr>
        <w:t>Internprissättning</w:t>
      </w:r>
    </w:p>
    <w:p w:rsidR="00D5360C" w:rsidRPr="00271804" w:rsidP="00D5360C" w14:paraId="69997AF6" w14:textId="77777777">
      <w:pPr>
        <w:pStyle w:val="NormalHanging12a"/>
      </w:pPr>
      <w:r w:rsidRPr="00271804">
        <w:t>42.</w:t>
      </w:r>
      <w:r w:rsidRPr="00271804">
        <w:tab/>
        <w:t xml:space="preserve">Europaparlamentet beklagar att även om alla medlemsstater har nationell lagstiftning i linje med OECD:s riktlinjer för internprissättning, skiljer sig tillämpningen av dessa riktlinjer fortfarande åt på grund av avsaknaden av ett EU-direktiv om internprissättning. Parlamentet betonar att internprissättningens komplexitet bör minskas avsevärt för att förhindra att efterlevnadskostnaderna blir ett strukturellt hinder för expansion. Parlamentet anser att det finns ett behov av att utnyttja delar av CCCTB-skattebasen för att tillhandahålla en enhetlig grund för en enhetlig europeisk skatteram. Parlamentet föreslår att kommissionen inom ramen för skattemodulen tydligt specificerar de regler för internprissättning som gäller för företag som väljer att omfattas av den 28:e ordningen, och inkluderar samordnade </w:t>
      </w:r>
      <w:r w:rsidRPr="00271804">
        <w:t>safe</w:t>
      </w:r>
      <w:r w:rsidRPr="00271804">
        <w:t xml:space="preserve"> </w:t>
      </w:r>
      <w:r w:rsidRPr="00271804">
        <w:t>harbour</w:t>
      </w:r>
      <w:r w:rsidRPr="00271804">
        <w:t>-arrangemang som bör gälla för rutinmässiga koncerninterna tjänster och transaktioner med låg risk, och harmoniserade strategier som bör gälla för licensiering av immateriella rättigheter och kostnadsfördelning för att begränsa tvister, samtidigt som dokumentationskraven bör stå i proportion till företagets storlek och tillväxtfas.</w:t>
      </w:r>
    </w:p>
    <w:p w:rsidR="00D5360C" w:rsidRPr="00271804" w:rsidP="00D5360C" w14:paraId="400F1951" w14:textId="77777777">
      <w:pPr>
        <w:pStyle w:val="Normal12a"/>
      </w:pPr>
      <w:r w:rsidRPr="00271804">
        <w:rPr>
          <w:b/>
          <w:i/>
        </w:rPr>
        <w:t>Tillgång till kapital</w:t>
      </w:r>
    </w:p>
    <w:p w:rsidR="00D5360C" w:rsidRPr="00271804" w:rsidP="00D5360C" w14:paraId="1E4B0C20" w14:textId="77777777">
      <w:pPr>
        <w:pStyle w:val="NormalHanging12a"/>
      </w:pPr>
      <w:r w:rsidRPr="00271804">
        <w:t>43.</w:t>
      </w:r>
      <w:r w:rsidRPr="00271804">
        <w:tab/>
        <w:t>Europaparlamentet efterlyser en harmonisering av definitioner och behandling av kapitalvinster samt effektiva mekanismer för att förhindra dubbelbeskattning och minska den gränsöverskridande osäkerheten. Parlamentet föreslår en bedömning av möjligheten att fastställa en enda digitalt verifierad status för investerare på grundval av en uppsättning gemensamma standarder, för att säkerställa att deras godtagbarhet automatiskt erkänns i alla medlemsstater för att underlätta gränsöverskridande investeringar. Parlamentet anser att standardiserade investeringsinstrument, inbegripet harmoniserade, konvertibla finansieringsmallar och modellavtal för aktieägare, måste införas för att minska transaktionskostnaderna och rättsosäkerheten, och samtidigt stärka investerarskyddet och transparensen på marknaden.</w:t>
      </w:r>
    </w:p>
    <w:p w:rsidR="00D5360C" w:rsidRPr="00271804" w:rsidP="00D5360C" w14:paraId="401CD6FB" w14:textId="724871F2">
      <w:pPr>
        <w:pStyle w:val="NormalHanging12a"/>
      </w:pPr>
      <w:r w:rsidRPr="00271804">
        <w:t>44.</w:t>
      </w:r>
      <w:r w:rsidRPr="00271804">
        <w:tab/>
        <w:t>Europaparlamentet betonar att ett av målen med den nya ordningen är att bidra till utvecklingen av en verklig kapitalmarknad i EU, så att de företag som omfattas av den kan få den finansiering som krävs samtidigt som de behåller sin närvaro i EU. Parlamentet understryker därför behovet av att mobilisera den stora volymen besparingar i EU för ovannämnda investeringar, särskilt genom att utveckla attraktiva och tillgängliga investeringsprodukter för icke-professionella investerare, samtidigt som man förhindrar risken för att sådana besparingar kanaliseras till jurisdiktioner utanför EU. Parlamentet betonar att skattemodulen måste göra det lättare att överbrygga det nuvarande finansieringsgapet i EU.</w:t>
      </w:r>
    </w:p>
    <w:p w:rsidR="00D5360C" w:rsidRPr="00271804" w:rsidP="00D5360C" w14:paraId="2D702D3B" w14:textId="77777777">
      <w:pPr>
        <w:pStyle w:val="NormalHanging12a"/>
      </w:pPr>
      <w:r w:rsidRPr="00271804">
        <w:t>45.</w:t>
      </w:r>
      <w:r w:rsidRPr="00271804">
        <w:tab/>
        <w:t xml:space="preserve">Europaparlamentet betonar att den 28:e ordningen på ett direkt sätt bör ta itu med strukturella hinder som begränsar kapitalrörligheten i Europa. Parlamentet påminner om att regulatoriska och tillsynsmässiga linjeringar måste säkerställas ur ett investerarperspektiv. Parlamentet anser att den 28:e ordningen bör innehålla harmoniserade regler för </w:t>
      </w:r>
      <w:r w:rsidRPr="00271804">
        <w:t>egetkapitalliknande</w:t>
      </w:r>
      <w:r w:rsidRPr="00271804">
        <w:t xml:space="preserve"> skuldinstrument, inbegripet insolvensregler som är kopplade till dessa instrument, som gör det möjligt för investerare att investera i ett företag utan att förvärva kontroll över företaget.</w:t>
      </w:r>
    </w:p>
    <w:p w:rsidR="00D5360C" w:rsidRPr="00271804" w:rsidP="00D5360C" w14:paraId="4384064D" w14:textId="77777777">
      <w:pPr>
        <w:pStyle w:val="Normal12a"/>
      </w:pPr>
      <w:r w:rsidRPr="00271804">
        <w:rPr>
          <w:b/>
          <w:i/>
        </w:rPr>
        <w:t>Skatteincitament</w:t>
      </w:r>
    </w:p>
    <w:p w:rsidR="00D5360C" w:rsidRPr="00271804" w:rsidP="00D5360C" w14:paraId="3AF297F5" w14:textId="604857EF">
      <w:pPr>
        <w:pStyle w:val="NormalHanging12a"/>
      </w:pPr>
      <w:r w:rsidRPr="00271804">
        <w:t>46.</w:t>
      </w:r>
      <w:r w:rsidRPr="00271804">
        <w:tab/>
        <w:t>Europaparlamentet betonar att skattemodulen bör införa samordnade och strikt villkorade skatteincitament som är inriktade på forskning, utveckling och återinvesteringar. Parlamentet noterar att ett harmoniserat referensvärde för FoU-incitament bör fastställa gemensamma godtagbarhetsdefinitioner och minimistandarder i medlemsstaterna, inbegripet men inte begränsat till sociala villkor, verktyg för regelbunden övervakning och utvärdering av skatteutgifter för att säkerställa att i) de är ändamålsenliga ii) de utgör ett kostnadseffektivt sätt att främja innovation och iii) de inte har några oväntade eller negativa konsekvenser. Parlamentet betonar att företag som väljer de nya ordningarna inte bör missgynnas i fråga om tillgång till medlemsstaternas program eller incitament på grundval av sin juridiska form.</w:t>
      </w:r>
    </w:p>
    <w:p w:rsidR="00D5360C" w:rsidRPr="00271804" w:rsidP="00D5360C" w14:paraId="07BC5FA2" w14:textId="77777777">
      <w:pPr>
        <w:pStyle w:val="NormalHanging12a"/>
      </w:pPr>
      <w:r w:rsidRPr="00271804">
        <w:t>47.</w:t>
      </w:r>
      <w:r w:rsidRPr="00271804">
        <w:tab/>
        <w:t>Europaparlamentet understryker vidare att utformningen av FoU-incitament inom ramen skattemodulen uttryckligen måste kalibreras för att vara förenlig med OECD:s globala minimiskatteordning inom ramen för den andra pelaren, och i synnerhet att samspelet med reglerna om kvalificerade återbetalningsbara skattekrediter måste hanteras för att säkerställa att företag som omfattas av skattemodulen – som kanske inte har några löpande vinster – ändå fullt ut kan dra nytta av incitamenten utan oproportionerlig administrativ börda.</w:t>
      </w:r>
    </w:p>
    <w:p w:rsidR="00D5360C" w:rsidRPr="00271804" w:rsidP="00D5360C" w14:paraId="60AD8438" w14:textId="77777777">
      <w:pPr>
        <w:pStyle w:val="NormalHanging12a"/>
      </w:pPr>
      <w:r w:rsidRPr="00271804">
        <w:t>48.</w:t>
      </w:r>
      <w:r w:rsidRPr="00271804">
        <w:tab/>
        <w:t xml:space="preserve">Europaparlamentet påminner om behovet av stark stimulans av </w:t>
      </w:r>
      <w:r w:rsidRPr="00271804">
        <w:t>scaleup</w:t>
      </w:r>
      <w:r w:rsidRPr="00271804">
        <w:t>-verksamhet. Parlamentet anser att om återinvesterade vinster används för FoU bör digitalisering eller grön innovation vara berättigade till tillfälliga ytterligare avdrag eller skatteuppskov, vilket ger incitament till att omdirigera balanserade vinstmedel till produktivitetshöjande investeringar snarare än kortsiktig utdelning, i syfte att öka den tekniska kapaciteten och konkurrenskraften. Parlamentet framhåller att alla incitament måste utformas så att de förblir transparenta, enkla och förenliga med statsstödsregler.</w:t>
      </w:r>
    </w:p>
    <w:p w:rsidR="00D5360C" w:rsidRPr="00271804" w:rsidP="00D5360C" w14:paraId="7BB64549" w14:textId="77777777">
      <w:pPr>
        <w:pStyle w:val="Normal12a"/>
      </w:pPr>
      <w:r w:rsidRPr="00271804">
        <w:rPr>
          <w:b/>
          <w:i/>
        </w:rPr>
        <w:t>Konsekvensbedömning, översyn och utvärdering</w:t>
      </w:r>
    </w:p>
    <w:p w:rsidR="00D5360C" w:rsidRPr="00271804" w:rsidP="00D5360C" w14:paraId="1A8D05C5" w14:textId="77777777">
      <w:pPr>
        <w:pStyle w:val="NormalHanging12a"/>
      </w:pPr>
      <w:r w:rsidRPr="00271804">
        <w:t>49.</w:t>
      </w:r>
      <w:r w:rsidRPr="00271804">
        <w:tab/>
        <w:t xml:space="preserve">Europaparlamentet uppmanar kommissionen att med jämna mellanrum säkerställa en omfattande översyn och vid behov revideringar av skatteaspekterna av den 28:e ordningen, inbegripet möjligheten att lägga till nya lagstiftningsmoduler i ordningen, en bedömning av tillämpningsgraden bland företag, i synnerhet SMF-företag, startup- och </w:t>
      </w:r>
      <w:r w:rsidRPr="00271804">
        <w:t>scaleup</w:t>
      </w:r>
      <w:r w:rsidRPr="00271804">
        <w:t xml:space="preserve">-företag, för deras utveckling och ekonomiska tillväxt, deras linjering med föränderliga affärsmässiga och samhälleliga behov, dess övergripande ändamålsenlighet och dess effekt på EU:s konkurrenskraft (internationell </w:t>
      </w:r>
      <w:r w:rsidRPr="00271804">
        <w:t>riktmärkning</w:t>
      </w:r>
      <w:r w:rsidRPr="00271804">
        <w:t>). Parlamentet anser att översynscykeln bör äga rum vart fjärde år för att säkerställa förmågan till anpassning till nya utmaningar.</w:t>
      </w:r>
    </w:p>
    <w:p w:rsidR="00D5360C" w:rsidRPr="00271804" w:rsidP="00293A4B" w14:paraId="2F2320F9" w14:textId="77777777">
      <w:pPr>
        <w:pStyle w:val="NormalCenter12a"/>
        <w:keepNext/>
        <w:keepLines/>
      </w:pPr>
      <w:r w:rsidRPr="00271804">
        <w:t>°</w:t>
      </w:r>
    </w:p>
    <w:p w:rsidR="00D5360C" w:rsidRPr="00271804" w:rsidP="00293A4B" w14:paraId="71B4B217" w14:textId="77777777">
      <w:pPr>
        <w:pStyle w:val="NormalCenter12a"/>
        <w:keepNext/>
        <w:keepLines/>
      </w:pPr>
      <w:r w:rsidRPr="00271804">
        <w:t>°</w:t>
      </w:r>
      <w:r w:rsidRPr="00271804">
        <w:tab/>
        <w:t>°</w:t>
      </w:r>
    </w:p>
    <w:p w:rsidR="00271804" w:rsidRPr="00271804" w:rsidP="00271804" w14:paraId="3C21210E" w14:textId="419B6BEA">
      <w:pPr>
        <w:pStyle w:val="NormalHanging12a"/>
      </w:pPr>
      <w:r w:rsidRPr="00271804">
        <w:t>50.</w:t>
      </w:r>
      <w:r w:rsidRPr="00271804">
        <w:tab/>
        <w:t>Europaparlamentet uppdrar åt talmannen att översända denna resolution till rådet och kommissionen.</w:t>
      </w:r>
    </w:p>
    <w:p w:rsidR="00E365E1" w:rsidRPr="00271804" w:rsidP="00062B1F" w14:paraId="76D38B64" w14:textId="1DBC26C1"/>
    <w:sectPr w:rsidSect="00271804">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804" w14:paraId="6342390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804" w14:paraId="4A81FB8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804" w14:paraId="498A1ED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2B1F" w:rsidRPr="00271804" w14:paraId="78088BB6" w14:textId="77777777">
      <w:r w:rsidRPr="00271804">
        <w:separator/>
      </w:r>
    </w:p>
  </w:footnote>
  <w:footnote w:type="continuationSeparator" w:id="1">
    <w:p w:rsidR="00062B1F" w:rsidRPr="00271804" w14:paraId="33958201" w14:textId="77777777">
      <w:r w:rsidRPr="00271804">
        <w:continuationSeparator/>
      </w:r>
    </w:p>
  </w:footnote>
  <w:footnote w:id="2">
    <w:p w:rsidR="00BE6F39" w:rsidRPr="008D12A2" w:rsidP="00271804" w14:paraId="77214DDF" w14:textId="42732503">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Antagna texter, P10_TA(2026)0002.</w:t>
      </w:r>
    </w:p>
  </w:footnote>
  <w:footnote w:id="3">
    <w:p w:rsidR="00BE6F39" w:rsidRPr="008D12A2" w:rsidP="00271804" w14:paraId="6F21E7BC" w14:textId="1CBED94E">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Antagna texter, P10_TA(2025)0268.</w:t>
      </w:r>
    </w:p>
  </w:footnote>
  <w:footnote w:id="4">
    <w:p w:rsidR="00BE6F39" w:rsidRPr="008D12A2" w:rsidP="00271804" w14:paraId="35D6ACF5" w14:textId="773929A1">
      <w:pPr>
        <w:pStyle w:val="FootnoteText"/>
        <w:ind w:left="567" w:hanging="567"/>
        <w:rPr>
          <w:sz w:val="24"/>
          <w:szCs w:val="24"/>
          <w:lang w:val="fi-FI"/>
        </w:rPr>
      </w:pPr>
      <w:r w:rsidRPr="008D12A2">
        <w:rPr>
          <w:rStyle w:val="FootnoteReference"/>
          <w:sz w:val="24"/>
          <w:szCs w:val="24"/>
        </w:rPr>
        <w:footnoteRef/>
      </w:r>
      <w:r w:rsidRPr="008D12A2">
        <w:rPr>
          <w:sz w:val="24"/>
          <w:szCs w:val="24"/>
          <w:lang w:val="fi-FI"/>
        </w:rPr>
        <w:t xml:space="preserve"> </w:t>
      </w:r>
      <w:r w:rsidRPr="008D12A2">
        <w:rPr>
          <w:sz w:val="24"/>
          <w:szCs w:val="24"/>
          <w:lang w:val="fi-FI"/>
        </w:rPr>
        <w:tab/>
        <w:t xml:space="preserve">EUT C, C/2025/1326, 13.3.2025, ELI: </w:t>
      </w:r>
      <w:hyperlink r:id="rId1" w:tgtFrame="http://data.europa.eu/eli/C/2025/1326/oj" w:history="1">
        <w:r w:rsidRPr="008D12A2">
          <w:rPr>
            <w:rStyle w:val="Hyperlink"/>
            <w:sz w:val="24"/>
            <w:szCs w:val="24"/>
            <w:lang w:val="fi-FI"/>
          </w:rPr>
          <w:t>http://data.europa.eu/eli/C/2025/1326/oj</w:t>
        </w:r>
      </w:hyperlink>
      <w:r w:rsidRPr="008D12A2">
        <w:rPr>
          <w:sz w:val="24"/>
          <w:szCs w:val="24"/>
          <w:lang w:val="fi-FI"/>
        </w:rPr>
        <w:t>.</w:t>
      </w:r>
    </w:p>
  </w:footnote>
  <w:footnote w:id="5">
    <w:p w:rsidR="00BE6F39" w:rsidRPr="008D12A2" w:rsidP="00271804" w14:paraId="15CE5AFC" w14:textId="1B84B66A">
      <w:pPr>
        <w:pStyle w:val="FootnoteText"/>
        <w:ind w:left="567" w:hanging="567"/>
        <w:rPr>
          <w:sz w:val="24"/>
          <w:szCs w:val="24"/>
          <w:lang w:val="en-GB"/>
        </w:rPr>
      </w:pPr>
      <w:r w:rsidRPr="008D12A2">
        <w:rPr>
          <w:rStyle w:val="FootnoteReference"/>
          <w:sz w:val="24"/>
          <w:szCs w:val="24"/>
        </w:rPr>
        <w:footnoteRef/>
      </w:r>
      <w:r w:rsidRPr="008D12A2">
        <w:rPr>
          <w:sz w:val="24"/>
          <w:szCs w:val="24"/>
          <w:lang w:val="en-GB"/>
        </w:rPr>
        <w:t xml:space="preserve"> </w:t>
      </w:r>
      <w:r w:rsidRPr="008D12A2">
        <w:rPr>
          <w:sz w:val="24"/>
          <w:szCs w:val="24"/>
          <w:lang w:val="en-GB"/>
        </w:rPr>
        <w:tab/>
        <w:t>Draghi, M.</w:t>
      </w:r>
      <w:r w:rsidRPr="008D12A2">
        <w:rPr>
          <w:sz w:val="24"/>
          <w:szCs w:val="24"/>
          <w:lang w:val="en-GB"/>
        </w:rPr>
        <w:t>, ”The</w:t>
      </w:r>
      <w:r w:rsidRPr="008D12A2">
        <w:rPr>
          <w:sz w:val="24"/>
          <w:szCs w:val="24"/>
          <w:lang w:val="en-GB"/>
        </w:rPr>
        <w:t xml:space="preserve"> future of European Competitiveness”, 2024.</w:t>
      </w:r>
    </w:p>
  </w:footnote>
  <w:footnote w:id="6">
    <w:p w:rsidR="00BE6F39" w:rsidRPr="008D12A2" w:rsidP="00271804" w14:paraId="1670A46E" w14:textId="7E33F7F6">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Föredrag av den 16 december 2024 av Alfred </w:t>
      </w:r>
      <w:r w:rsidRPr="008D12A2">
        <w:rPr>
          <w:sz w:val="24"/>
          <w:szCs w:val="24"/>
          <w:lang w:val="sv-SE"/>
        </w:rPr>
        <w:t>Kammer</w:t>
      </w:r>
      <w:r w:rsidRPr="008D12A2">
        <w:rPr>
          <w:sz w:val="24"/>
          <w:szCs w:val="24"/>
          <w:lang w:val="sv-SE"/>
        </w:rPr>
        <w:t>, direktör för den europeiska avdelningen vid Internationella valutafonden, ”</w:t>
      </w:r>
      <w:r w:rsidRPr="008D12A2">
        <w:rPr>
          <w:sz w:val="24"/>
          <w:szCs w:val="24"/>
          <w:lang w:val="sv-SE"/>
        </w:rPr>
        <w:t>Europe’s</w:t>
      </w:r>
      <w:r w:rsidRPr="008D12A2">
        <w:rPr>
          <w:sz w:val="24"/>
          <w:szCs w:val="24"/>
          <w:lang w:val="sv-SE"/>
        </w:rPr>
        <w:t xml:space="preserve"> Choice: </w:t>
      </w:r>
      <w:r w:rsidRPr="008D12A2">
        <w:rPr>
          <w:sz w:val="24"/>
          <w:szCs w:val="24"/>
          <w:lang w:val="sv-SE"/>
        </w:rPr>
        <w:t>Policies</w:t>
      </w:r>
      <w:r w:rsidRPr="008D12A2">
        <w:rPr>
          <w:sz w:val="24"/>
          <w:szCs w:val="24"/>
          <w:lang w:val="sv-SE"/>
        </w:rPr>
        <w:t xml:space="preserve"> for </w:t>
      </w:r>
      <w:r w:rsidRPr="008D12A2">
        <w:rPr>
          <w:sz w:val="24"/>
          <w:szCs w:val="24"/>
          <w:lang w:val="sv-SE"/>
        </w:rPr>
        <w:t>Growth</w:t>
      </w:r>
      <w:r w:rsidRPr="008D12A2">
        <w:rPr>
          <w:sz w:val="24"/>
          <w:szCs w:val="24"/>
          <w:lang w:val="sv-SE"/>
        </w:rPr>
        <w:t xml:space="preserve"> and </w:t>
      </w:r>
      <w:r w:rsidRPr="008D12A2">
        <w:rPr>
          <w:sz w:val="24"/>
          <w:szCs w:val="24"/>
          <w:lang w:val="sv-SE"/>
        </w:rPr>
        <w:t>Resilience</w:t>
      </w:r>
      <w:r w:rsidRPr="008D12A2">
        <w:rPr>
          <w:sz w:val="24"/>
          <w:szCs w:val="24"/>
          <w:lang w:val="sv-SE"/>
        </w:rPr>
        <w:t>”.</w:t>
      </w:r>
    </w:p>
  </w:footnote>
  <w:footnote w:id="7">
    <w:p w:rsidR="00BE6F39" w:rsidRPr="008D12A2" w:rsidP="00271804" w14:paraId="33BF5268" w14:textId="3E12EB5C">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Europaparlamentets resolution av den 20 januari 2026 med rekommendationer till kommissionen om den 28:e ordningen: en ny rättslig ram för innovativa företag.</w:t>
      </w:r>
    </w:p>
  </w:footnote>
  <w:footnote w:id="8">
    <w:p w:rsidR="00BE6F39" w:rsidRPr="008D12A2" w:rsidP="00271804" w14:paraId="3B0EAA4D" w14:textId="12FC713D">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Förslag till Europaparlamentets och rådets förordning om den 28:e ordningens bolagsregelverk "EU </w:t>
      </w:r>
      <w:r w:rsidRPr="008D12A2">
        <w:rPr>
          <w:sz w:val="24"/>
          <w:szCs w:val="24"/>
          <w:lang w:val="sv-SE"/>
        </w:rPr>
        <w:t>Inc</w:t>
      </w:r>
      <w:r w:rsidRPr="008D12A2">
        <w:rPr>
          <w:sz w:val="24"/>
          <w:szCs w:val="24"/>
          <w:lang w:val="sv-SE"/>
        </w:rPr>
        <w:t>."</w:t>
      </w:r>
    </w:p>
  </w:footnote>
  <w:footnote w:id="9">
    <w:p w:rsidR="00BE6F39" w:rsidRPr="008D12A2" w:rsidP="00271804" w14:paraId="5C6DC75B" w14:textId="3AFFA93D">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Europeiska kommissionen rapport ”Flash Eurobarometer 559 – </w:t>
      </w:r>
      <w:r w:rsidRPr="008D12A2">
        <w:rPr>
          <w:sz w:val="24"/>
          <w:szCs w:val="24"/>
          <w:lang w:val="sv-SE"/>
        </w:rPr>
        <w:t>Startups</w:t>
      </w:r>
      <w:r w:rsidRPr="008D12A2">
        <w:rPr>
          <w:sz w:val="24"/>
          <w:szCs w:val="24"/>
          <w:lang w:val="sv-SE"/>
        </w:rPr>
        <w:t xml:space="preserve">, </w:t>
      </w:r>
      <w:r w:rsidRPr="008D12A2">
        <w:rPr>
          <w:sz w:val="24"/>
          <w:szCs w:val="24"/>
          <w:lang w:val="sv-SE"/>
        </w:rPr>
        <w:t>scaleups</w:t>
      </w:r>
      <w:r w:rsidRPr="008D12A2">
        <w:rPr>
          <w:sz w:val="24"/>
          <w:szCs w:val="24"/>
          <w:lang w:val="sv-SE"/>
        </w:rPr>
        <w:t xml:space="preserve"> and </w:t>
      </w:r>
      <w:r w:rsidRPr="008D12A2">
        <w:rPr>
          <w:sz w:val="24"/>
          <w:szCs w:val="24"/>
          <w:lang w:val="sv-SE"/>
        </w:rPr>
        <w:t>entrepreneurship</w:t>
      </w:r>
      <w:r w:rsidRPr="008D12A2">
        <w:rPr>
          <w:sz w:val="24"/>
          <w:szCs w:val="24"/>
          <w:lang w:val="sv-SE"/>
        </w:rPr>
        <w:t>”, 2025</w:t>
      </w:r>
    </w:p>
  </w:footnote>
  <w:footnote w:id="10">
    <w:p w:rsidR="00BE6F39" w:rsidRPr="008D12A2" w:rsidP="00271804" w14:paraId="2C17F413" w14:textId="029E6967">
      <w:pPr>
        <w:pStyle w:val="FootnoteText"/>
        <w:ind w:left="567" w:hanging="567"/>
        <w:rPr>
          <w:sz w:val="24"/>
          <w:szCs w:val="24"/>
          <w:lang w:val="en-GB"/>
        </w:rPr>
      </w:pPr>
      <w:r w:rsidRPr="008D12A2">
        <w:rPr>
          <w:rStyle w:val="FootnoteReference"/>
          <w:sz w:val="24"/>
          <w:szCs w:val="24"/>
        </w:rPr>
        <w:footnoteRef/>
      </w:r>
      <w:r w:rsidRPr="008D12A2">
        <w:rPr>
          <w:sz w:val="24"/>
          <w:szCs w:val="24"/>
          <w:lang w:val="en-GB"/>
        </w:rPr>
        <w:t xml:space="preserve"> </w:t>
      </w:r>
      <w:r w:rsidRPr="008D12A2">
        <w:rPr>
          <w:sz w:val="24"/>
          <w:szCs w:val="24"/>
          <w:lang w:val="en-GB"/>
        </w:rPr>
        <w:tab/>
        <w:t>Draghi, M.</w:t>
      </w:r>
      <w:r w:rsidRPr="008D12A2">
        <w:rPr>
          <w:sz w:val="24"/>
          <w:szCs w:val="24"/>
          <w:lang w:val="en-GB"/>
        </w:rPr>
        <w:t>, ”The</w:t>
      </w:r>
      <w:r w:rsidRPr="008D12A2">
        <w:rPr>
          <w:sz w:val="24"/>
          <w:szCs w:val="24"/>
          <w:lang w:val="en-GB"/>
        </w:rPr>
        <w:t xml:space="preserve"> future of European Competitiveness”, 2024.</w:t>
      </w:r>
    </w:p>
  </w:footnote>
  <w:footnote w:id="11">
    <w:p w:rsidR="00BE6F39" w:rsidRPr="008D12A2" w:rsidP="00271804" w14:paraId="3E7DDA19" w14:textId="4157E0DC">
      <w:pPr>
        <w:pStyle w:val="FootnoteText"/>
        <w:ind w:left="567" w:hanging="567"/>
        <w:rPr>
          <w:sz w:val="24"/>
          <w:szCs w:val="24"/>
          <w:lang w:val="en-GB"/>
        </w:rPr>
      </w:pPr>
      <w:r w:rsidRPr="008D12A2">
        <w:rPr>
          <w:rStyle w:val="FootnoteReference"/>
          <w:sz w:val="24"/>
          <w:szCs w:val="24"/>
        </w:rPr>
        <w:footnoteRef/>
      </w:r>
      <w:r w:rsidRPr="008D12A2">
        <w:rPr>
          <w:sz w:val="24"/>
          <w:szCs w:val="24"/>
          <w:lang w:val="en-GB"/>
        </w:rPr>
        <w:t xml:space="preserve"> </w:t>
      </w:r>
      <w:r w:rsidRPr="008D12A2">
        <w:rPr>
          <w:sz w:val="24"/>
          <w:szCs w:val="24"/>
          <w:lang w:val="en-GB"/>
        </w:rPr>
        <w:tab/>
        <w:t>Draghi, M.</w:t>
      </w:r>
      <w:r w:rsidRPr="008D12A2">
        <w:rPr>
          <w:sz w:val="24"/>
          <w:szCs w:val="24"/>
          <w:lang w:val="en-GB"/>
        </w:rPr>
        <w:t>, ”The</w:t>
      </w:r>
      <w:r w:rsidRPr="008D12A2">
        <w:rPr>
          <w:sz w:val="24"/>
          <w:szCs w:val="24"/>
          <w:lang w:val="en-GB"/>
        </w:rPr>
        <w:t xml:space="preserve"> future of European Competitiveness”, 2024.</w:t>
      </w:r>
    </w:p>
  </w:footnote>
  <w:footnote w:id="12">
    <w:p w:rsidR="00BE6F39" w:rsidRPr="008D12A2" w:rsidP="00271804" w14:paraId="3E6AC938" w14:textId="2749366D">
      <w:pPr>
        <w:pStyle w:val="FootnoteText"/>
        <w:ind w:left="567" w:hanging="567"/>
        <w:rPr>
          <w:sz w:val="24"/>
          <w:szCs w:val="24"/>
          <w:lang w:val="en-GB"/>
        </w:rPr>
      </w:pPr>
      <w:r w:rsidRPr="008D12A2">
        <w:rPr>
          <w:rStyle w:val="FootnoteReference"/>
          <w:sz w:val="24"/>
          <w:szCs w:val="24"/>
        </w:rPr>
        <w:footnoteRef/>
      </w:r>
      <w:r w:rsidRPr="008D12A2">
        <w:rPr>
          <w:sz w:val="24"/>
          <w:szCs w:val="24"/>
          <w:lang w:val="en-GB"/>
        </w:rPr>
        <w:t xml:space="preserve"> </w:t>
      </w:r>
      <w:r w:rsidRPr="008D12A2">
        <w:rPr>
          <w:sz w:val="24"/>
          <w:szCs w:val="24"/>
          <w:lang w:val="en-GB"/>
        </w:rPr>
        <w:tab/>
        <w:t>Letta, E.</w:t>
      </w:r>
      <w:r w:rsidRPr="008D12A2">
        <w:rPr>
          <w:sz w:val="24"/>
          <w:szCs w:val="24"/>
          <w:lang w:val="en-GB"/>
        </w:rPr>
        <w:t>, ”Much</w:t>
      </w:r>
      <w:r w:rsidRPr="008D12A2">
        <w:rPr>
          <w:sz w:val="24"/>
          <w:szCs w:val="24"/>
          <w:lang w:val="en-GB"/>
        </w:rPr>
        <w:t xml:space="preserve"> more than a market”, 2024.</w:t>
      </w:r>
    </w:p>
  </w:footnote>
  <w:footnote w:id="13">
    <w:p w:rsidR="00BE6F39" w:rsidRPr="008D12A2" w:rsidP="00271804" w14:paraId="01F9A341" w14:textId="678AD1FA">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Rådets direktiv (EU) 2016/1164 av den 12 juli 2016 om fastställande av regler mot skatteflyktsmetoder som direkt inverkar på den inre marknadens funktion (EUT L 193, 19.7.2016, s. 1, ELI: </w:t>
      </w:r>
      <w:hyperlink r:id="rId2" w:tgtFrame="http://data.europa.eu/eli/dir/2016/1164/oj" w:history="1">
        <w:r w:rsidRPr="008D12A2">
          <w:rPr>
            <w:rStyle w:val="Hyperlink"/>
            <w:sz w:val="24"/>
            <w:szCs w:val="24"/>
            <w:lang w:val="sv-SE"/>
          </w:rPr>
          <w:t>http://data.europa.eu/eli/dir/2016/1164/oj</w:t>
        </w:r>
      </w:hyperlink>
      <w:r w:rsidRPr="008D12A2">
        <w:rPr>
          <w:sz w:val="24"/>
          <w:szCs w:val="24"/>
          <w:lang w:val="sv-SE"/>
        </w:rPr>
        <w:t>).</w:t>
      </w:r>
    </w:p>
  </w:footnote>
  <w:footnote w:id="14">
    <w:p w:rsidR="00BE6F39" w:rsidRPr="008D12A2" w:rsidP="00271804" w14:paraId="3853992D" w14:textId="72A7C35B">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Europaparlamentet, utredningsavdelningen för ekonomi och tillväxt. Filip </w:t>
      </w:r>
      <w:r w:rsidRPr="008D12A2">
        <w:rPr>
          <w:sz w:val="24"/>
          <w:szCs w:val="24"/>
          <w:lang w:val="sv-SE"/>
        </w:rPr>
        <w:t>Debelva</w:t>
      </w:r>
      <w:r w:rsidRPr="008D12A2">
        <w:rPr>
          <w:sz w:val="24"/>
          <w:szCs w:val="24"/>
          <w:lang w:val="sv-SE"/>
        </w:rPr>
        <w:t xml:space="preserve">, Joris Luts, Anne </w:t>
      </w:r>
      <w:r w:rsidRPr="008D12A2">
        <w:rPr>
          <w:sz w:val="24"/>
          <w:szCs w:val="24"/>
          <w:lang w:val="sv-SE"/>
        </w:rPr>
        <w:t>Mieke</w:t>
      </w:r>
      <w:r w:rsidRPr="008D12A2">
        <w:rPr>
          <w:sz w:val="24"/>
          <w:szCs w:val="24"/>
          <w:lang w:val="sv-SE"/>
        </w:rPr>
        <w:t xml:space="preserve"> </w:t>
      </w:r>
      <w:r w:rsidRPr="008D12A2">
        <w:rPr>
          <w:sz w:val="24"/>
          <w:szCs w:val="24"/>
          <w:lang w:val="sv-SE"/>
        </w:rPr>
        <w:t>Vandekerkhove</w:t>
      </w:r>
      <w:r w:rsidRPr="008D12A2">
        <w:rPr>
          <w:sz w:val="24"/>
          <w:szCs w:val="24"/>
          <w:lang w:val="sv-SE"/>
        </w:rPr>
        <w:t xml:space="preserve">, Niels </w:t>
      </w:r>
      <w:r w:rsidRPr="008D12A2">
        <w:rPr>
          <w:sz w:val="24"/>
          <w:szCs w:val="24"/>
          <w:lang w:val="sv-SE"/>
        </w:rPr>
        <w:t>Bammens</w:t>
      </w:r>
      <w:r w:rsidRPr="008D12A2">
        <w:rPr>
          <w:sz w:val="24"/>
          <w:szCs w:val="24"/>
          <w:lang w:val="sv-SE"/>
        </w:rPr>
        <w:t>, studie om genomförbarheten av ett 28:e skattesystem och dess potential att stödja EU:s konkurrenskraft, 2026</w:t>
      </w:r>
    </w:p>
  </w:footnote>
  <w:footnote w:id="15">
    <w:p w:rsidR="00BE6F39" w:rsidRPr="008D12A2" w:rsidP="00271804" w14:paraId="11A30E1C" w14:textId="6EF50514">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Paketet om mervärdesskatteregler för den digitala tidsåldern (</w:t>
      </w:r>
      <w:r w:rsidRPr="008D12A2">
        <w:rPr>
          <w:sz w:val="24"/>
          <w:szCs w:val="24"/>
          <w:lang w:val="sv-SE"/>
        </w:rPr>
        <w:t>ViDA</w:t>
      </w:r>
      <w:r w:rsidRPr="008D12A2">
        <w:rPr>
          <w:sz w:val="24"/>
          <w:szCs w:val="24"/>
          <w:lang w:val="sv-SE"/>
        </w:rPr>
        <w:t>)</w:t>
      </w:r>
    </w:p>
  </w:footnote>
  <w:footnote w:id="16">
    <w:p w:rsidR="00BE6F39" w:rsidRPr="008D12A2" w:rsidP="00271804" w14:paraId="01D65427" w14:textId="0A1322B1">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Rådets direktiv (EU) 2025/50 av den 10 december 2024 om snabbare och säkrare skattelättnad för överskjutande källskatt (EUT L, 2025/50, 10.1.2025, ELI: </w:t>
      </w:r>
      <w:hyperlink r:id="rId3" w:tgtFrame="http://data.europa.eu/eli/dir/2025/50/oj" w:history="1">
        <w:r w:rsidRPr="008D12A2">
          <w:rPr>
            <w:rStyle w:val="Hyperlink"/>
            <w:sz w:val="24"/>
            <w:szCs w:val="24"/>
            <w:lang w:val="sv-SE"/>
          </w:rPr>
          <w:t>http://data.europa.eu/eli/dir/2025/50/oj</w:t>
        </w:r>
      </w:hyperlink>
      <w:r w:rsidRPr="008D12A2">
        <w:rPr>
          <w:sz w:val="24"/>
          <w:szCs w:val="24"/>
          <w:lang w:val="sv-SE"/>
        </w:rPr>
        <w:t>).</w:t>
      </w:r>
    </w:p>
  </w:footnote>
  <w:footnote w:id="17">
    <w:p w:rsidR="00BE6F39" w:rsidRPr="008D12A2" w:rsidP="00271804" w14:paraId="22DB95BC" w14:textId="0AEF0AAC">
      <w:pPr>
        <w:pStyle w:val="FootnoteText"/>
        <w:ind w:left="567" w:hanging="567"/>
        <w:rPr>
          <w:sz w:val="24"/>
          <w:szCs w:val="24"/>
          <w:lang w:val="sv-SE"/>
        </w:rPr>
      </w:pPr>
      <w:r w:rsidRPr="008D12A2">
        <w:rPr>
          <w:rStyle w:val="FootnoteReference"/>
          <w:sz w:val="24"/>
          <w:szCs w:val="24"/>
        </w:rPr>
        <w:footnoteRef/>
      </w:r>
      <w:r w:rsidRPr="008D12A2">
        <w:rPr>
          <w:sz w:val="24"/>
          <w:szCs w:val="24"/>
          <w:lang w:val="sv-SE"/>
        </w:rPr>
        <w:t xml:space="preserve"> </w:t>
      </w:r>
      <w:r w:rsidRPr="008D12A2">
        <w:rPr>
          <w:sz w:val="24"/>
          <w:szCs w:val="24"/>
          <w:lang w:val="sv-SE"/>
        </w:rPr>
        <w:tab/>
        <w:t xml:space="preserve">Europaparlamentets och rådets förordning (EG) nr 883/2004 av den 29 april 2004 om samordning av de sociala trygghetssystemen (EUT L 166, 30.4.2004, s. 1, ELI: </w:t>
      </w:r>
      <w:hyperlink r:id="rId4" w:tgtFrame="http://data.europa.eu/eli/reg/2004/883/oj" w:history="1">
        <w:r w:rsidRPr="008D12A2">
          <w:rPr>
            <w:rStyle w:val="Hyperlink"/>
            <w:sz w:val="24"/>
            <w:szCs w:val="24"/>
            <w:lang w:val="sv-SE"/>
          </w:rPr>
          <w:t>http://data.europa.eu/eli/reg/2004/883/oj</w:t>
        </w:r>
      </w:hyperlink>
      <w:r w:rsidRPr="008D12A2">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804" w14:paraId="69E98CF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804" w14:paraId="61E7598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71804" w14:paraId="738BC7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089551">
    <w:abstractNumId w:val="9"/>
  </w:num>
  <w:num w:numId="2" w16cid:durableId="1868326414">
    <w:abstractNumId w:val="9"/>
  </w:num>
  <w:num w:numId="3" w16cid:durableId="2143427574">
    <w:abstractNumId w:val="7"/>
  </w:num>
  <w:num w:numId="4" w16cid:durableId="1208685508">
    <w:abstractNumId w:val="7"/>
  </w:num>
  <w:num w:numId="5" w16cid:durableId="135227123">
    <w:abstractNumId w:val="6"/>
  </w:num>
  <w:num w:numId="6" w16cid:durableId="1912543594">
    <w:abstractNumId w:val="6"/>
  </w:num>
  <w:num w:numId="7" w16cid:durableId="309135096">
    <w:abstractNumId w:val="5"/>
  </w:num>
  <w:num w:numId="8" w16cid:durableId="1526363659">
    <w:abstractNumId w:val="5"/>
  </w:num>
  <w:num w:numId="9" w16cid:durableId="2138335131">
    <w:abstractNumId w:val="4"/>
  </w:num>
  <w:num w:numId="10" w16cid:durableId="1225261505">
    <w:abstractNumId w:val="4"/>
  </w:num>
  <w:num w:numId="11" w16cid:durableId="782309036">
    <w:abstractNumId w:val="8"/>
  </w:num>
  <w:num w:numId="12" w16cid:durableId="654259579">
    <w:abstractNumId w:val="8"/>
  </w:num>
  <w:num w:numId="13" w16cid:durableId="1644626568">
    <w:abstractNumId w:val="3"/>
  </w:num>
  <w:num w:numId="14" w16cid:durableId="803037776">
    <w:abstractNumId w:val="3"/>
  </w:num>
  <w:num w:numId="15" w16cid:durableId="479923497">
    <w:abstractNumId w:val="2"/>
  </w:num>
  <w:num w:numId="16" w16cid:durableId="2001501355">
    <w:abstractNumId w:val="2"/>
  </w:num>
  <w:num w:numId="17" w16cid:durableId="985165482">
    <w:abstractNumId w:val="1"/>
  </w:num>
  <w:num w:numId="18" w16cid:durableId="1843936646">
    <w:abstractNumId w:val="1"/>
  </w:num>
  <w:num w:numId="19" w16cid:durableId="725570435">
    <w:abstractNumId w:val="0"/>
  </w:num>
  <w:num w:numId="20" w16cid:durableId="1596402180">
    <w:abstractNumId w:val="0"/>
  </w:num>
  <w:num w:numId="21" w16cid:durableId="153840470">
    <w:abstractNumId w:val="9"/>
  </w:num>
  <w:num w:numId="22" w16cid:durableId="1571454423">
    <w:abstractNumId w:val="7"/>
  </w:num>
  <w:num w:numId="23" w16cid:durableId="276258701">
    <w:abstractNumId w:val="6"/>
  </w:num>
  <w:num w:numId="24" w16cid:durableId="1759325833">
    <w:abstractNumId w:val="5"/>
  </w:num>
  <w:num w:numId="25" w16cid:durableId="988435530">
    <w:abstractNumId w:val="4"/>
  </w:num>
  <w:num w:numId="26" w16cid:durableId="296179978">
    <w:abstractNumId w:val="8"/>
  </w:num>
  <w:num w:numId="27" w16cid:durableId="108399899">
    <w:abstractNumId w:val="3"/>
  </w:num>
  <w:num w:numId="28" w16cid:durableId="709651569">
    <w:abstractNumId w:val="2"/>
  </w:num>
  <w:num w:numId="29" w16cid:durableId="487522985">
    <w:abstractNumId w:val="1"/>
  </w:num>
  <w:num w:numId="30" w16cid:durableId="84808890">
    <w:abstractNumId w:val="0"/>
  </w:num>
  <w:num w:numId="31" w16cid:durableId="726492939">
    <w:abstractNumId w:val="9"/>
  </w:num>
  <w:num w:numId="32" w16cid:durableId="122382299">
    <w:abstractNumId w:val="7"/>
  </w:num>
  <w:num w:numId="33" w16cid:durableId="1769425862">
    <w:abstractNumId w:val="6"/>
  </w:num>
  <w:num w:numId="34" w16cid:durableId="266274614">
    <w:abstractNumId w:val="5"/>
  </w:num>
  <w:num w:numId="35" w16cid:durableId="1139421925">
    <w:abstractNumId w:val="4"/>
  </w:num>
  <w:num w:numId="36" w16cid:durableId="893658645">
    <w:abstractNumId w:val="8"/>
  </w:num>
  <w:num w:numId="37" w16cid:durableId="582959613">
    <w:abstractNumId w:val="3"/>
  </w:num>
  <w:num w:numId="38" w16cid:durableId="1471287909">
    <w:abstractNumId w:val="2"/>
  </w:num>
  <w:num w:numId="39" w16cid:durableId="936137841">
    <w:abstractNumId w:val="1"/>
  </w:num>
  <w:num w:numId="40" w16cid:durableId="1125126607">
    <w:abstractNumId w:val="0"/>
  </w:num>
  <w:num w:numId="41" w16cid:durableId="2072345813">
    <w:abstractNumId w:val="10"/>
  </w:num>
  <w:num w:numId="42" w16cid:durableId="1496871050">
    <w:abstractNumId w:val="10"/>
  </w:num>
  <w:num w:numId="43" w16cid:durableId="681586111">
    <w:abstractNumId w:val="10"/>
  </w:num>
  <w:num w:numId="44" w16cid:durableId="1055928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B1F"/>
    <w:rsid w:val="00002272"/>
    <w:rsid w:val="00062B1F"/>
    <w:rsid w:val="00064002"/>
    <w:rsid w:val="000677B9"/>
    <w:rsid w:val="00077DB9"/>
    <w:rsid w:val="000831BA"/>
    <w:rsid w:val="000A42CC"/>
    <w:rsid w:val="000E7DD9"/>
    <w:rsid w:val="0010095E"/>
    <w:rsid w:val="00125B37"/>
    <w:rsid w:val="00187494"/>
    <w:rsid w:val="001C06F2"/>
    <w:rsid w:val="001F32AE"/>
    <w:rsid w:val="00271804"/>
    <w:rsid w:val="002767FF"/>
    <w:rsid w:val="00293A4B"/>
    <w:rsid w:val="002B18FE"/>
    <w:rsid w:val="002B5493"/>
    <w:rsid w:val="002C5C5F"/>
    <w:rsid w:val="00343214"/>
    <w:rsid w:val="00361C00"/>
    <w:rsid w:val="00395FA1"/>
    <w:rsid w:val="003E15D4"/>
    <w:rsid w:val="00411CCE"/>
    <w:rsid w:val="0041666E"/>
    <w:rsid w:val="00421060"/>
    <w:rsid w:val="004704DE"/>
    <w:rsid w:val="00471C19"/>
    <w:rsid w:val="004867E3"/>
    <w:rsid w:val="00494A28"/>
    <w:rsid w:val="004C0004"/>
    <w:rsid w:val="004C5D52"/>
    <w:rsid w:val="0050519A"/>
    <w:rsid w:val="005072A1"/>
    <w:rsid w:val="00514517"/>
    <w:rsid w:val="00527E37"/>
    <w:rsid w:val="00545827"/>
    <w:rsid w:val="00560270"/>
    <w:rsid w:val="005964FE"/>
    <w:rsid w:val="005C2568"/>
    <w:rsid w:val="005F1B17"/>
    <w:rsid w:val="006037C0"/>
    <w:rsid w:val="006631B6"/>
    <w:rsid w:val="00680577"/>
    <w:rsid w:val="006B409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2A2"/>
    <w:rsid w:val="00930C23"/>
    <w:rsid w:val="0093193B"/>
    <w:rsid w:val="009509D8"/>
    <w:rsid w:val="00950B64"/>
    <w:rsid w:val="00967891"/>
    <w:rsid w:val="00981893"/>
    <w:rsid w:val="00A1687D"/>
    <w:rsid w:val="00A43E52"/>
    <w:rsid w:val="00A4678D"/>
    <w:rsid w:val="00A778C7"/>
    <w:rsid w:val="00AB441E"/>
    <w:rsid w:val="00AB6293"/>
    <w:rsid w:val="00AC64CE"/>
    <w:rsid w:val="00AE0928"/>
    <w:rsid w:val="00AF3B82"/>
    <w:rsid w:val="00B12E95"/>
    <w:rsid w:val="00B22876"/>
    <w:rsid w:val="00B558F0"/>
    <w:rsid w:val="00BD48FE"/>
    <w:rsid w:val="00BD7BD8"/>
    <w:rsid w:val="00BE6ADC"/>
    <w:rsid w:val="00BE6F39"/>
    <w:rsid w:val="00C05BFE"/>
    <w:rsid w:val="00C23CD4"/>
    <w:rsid w:val="00C61C0C"/>
    <w:rsid w:val="00C941CB"/>
    <w:rsid w:val="00CC2357"/>
    <w:rsid w:val="00CF071A"/>
    <w:rsid w:val="00D058B8"/>
    <w:rsid w:val="00D5360C"/>
    <w:rsid w:val="00D56C11"/>
    <w:rsid w:val="00D834A0"/>
    <w:rsid w:val="00D872DF"/>
    <w:rsid w:val="00D91E21"/>
    <w:rsid w:val="00DA7FCD"/>
    <w:rsid w:val="00E365E1"/>
    <w:rsid w:val="00E47208"/>
    <w:rsid w:val="00E820A4"/>
    <w:rsid w:val="00EB006A"/>
    <w:rsid w:val="00EB4772"/>
    <w:rsid w:val="00ED169E"/>
    <w:rsid w:val="00ED4235"/>
    <w:rsid w:val="00F04346"/>
    <w:rsid w:val="00F075DC"/>
    <w:rsid w:val="00F149E9"/>
    <w:rsid w:val="00F3360B"/>
    <w:rsid w:val="00F5134D"/>
    <w:rsid w:val="00F74202"/>
    <w:rsid w:val="00F87713"/>
    <w:rsid w:val="00FB4360"/>
    <w:rsid w:val="00FD0C70"/>
  </w:rsids>
  <w:docVars>
    <w:docVar w:name="dvdocse" w:val="A10-0167/2026"/>
    <w:docVar w:name="dvlangue" w:val="SV"/>
    <w:docVar w:name="dvnumam" w:val="0"/>
    <w:docVar w:name="dvpe" w:val="785.418"/>
    <w:docVar w:name="dvrapporteur" w:val="Föredragande: "/>
    <w:docVar w:name="dvtitre" w:val="Europaparlamentets resolution av den xx xx 2026 om genomförbarheten av en 28:e skatteordning och dess potential att stödja EU:s konkurrenskraft(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2C46B5"/>
  <w15:chartTrackingRefBased/>
  <w15:docId w15:val="{44154A9F-3126-4FC8-97DE-B37749FE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5360C"/>
    <w:pPr>
      <w:widowControl/>
      <w:spacing w:after="240"/>
    </w:pPr>
    <w:rPr>
      <w:szCs w:val="24"/>
      <w:lang w:eastAsia="en-US"/>
    </w:rPr>
  </w:style>
  <w:style w:type="paragraph" w:customStyle="1" w:styleId="NormalHanging12a">
    <w:name w:val="NormalHanging12a"/>
    <w:basedOn w:val="Normal"/>
    <w:rsid w:val="00D5360C"/>
    <w:pPr>
      <w:widowControl/>
      <w:spacing w:after="240"/>
      <w:ind w:left="566" w:hanging="566"/>
    </w:pPr>
    <w:rPr>
      <w:szCs w:val="24"/>
      <w:lang w:eastAsia="en-US"/>
    </w:rPr>
  </w:style>
  <w:style w:type="paragraph" w:customStyle="1" w:styleId="Normal12">
    <w:name w:val="Normal12"/>
    <w:basedOn w:val="Normal"/>
    <w:rsid w:val="00D5360C"/>
    <w:pPr>
      <w:spacing w:after="240"/>
    </w:pPr>
    <w:rPr>
      <w:szCs w:val="24"/>
      <w:lang w:eastAsia="en-US"/>
    </w:rPr>
  </w:style>
  <w:style w:type="paragraph" w:customStyle="1" w:styleId="NormalHanging">
    <w:name w:val="NormalHanging"/>
    <w:basedOn w:val="Normal"/>
    <w:rsid w:val="00D5360C"/>
    <w:pPr>
      <w:spacing w:after="240"/>
      <w:ind w:left="566" w:hanging="566"/>
    </w:pPr>
    <w:rPr>
      <w:szCs w:val="24"/>
      <w:lang w:eastAsia="en-US"/>
    </w:rPr>
  </w:style>
  <w:style w:type="paragraph" w:customStyle="1" w:styleId="NormalCenter12a">
    <w:name w:val="NormalCenter12a"/>
    <w:basedOn w:val="Normal"/>
    <w:rsid w:val="00D5360C"/>
    <w:pPr>
      <w:widowControl/>
      <w:spacing w:after="240"/>
      <w:jc w:val="center"/>
    </w:pPr>
    <w:rPr>
      <w:szCs w:val="24"/>
      <w:lang w:eastAsia="en-US"/>
    </w:rPr>
  </w:style>
  <w:style w:type="character" w:styleId="Hyperlink">
    <w:name w:val="Hyperlink"/>
    <w:basedOn w:val="DefaultParagraphFont"/>
    <w:rsid w:val="00D5360C"/>
    <w:rPr>
      <w:color w:val="0000FF"/>
      <w:u w:val="single"/>
    </w:rPr>
  </w:style>
  <w:style w:type="paragraph" w:styleId="Revision">
    <w:name w:val="Revision"/>
    <w:hidden/>
    <w:uiPriority w:val="99"/>
    <w:semiHidden/>
    <w:rsid w:val="00BE6F39"/>
    <w:rPr>
      <w:sz w:val="24"/>
      <w:lang w:val="sv-SE"/>
    </w:rPr>
  </w:style>
  <w:style w:type="character" w:styleId="CommentReference">
    <w:name w:val="annotation reference"/>
    <w:basedOn w:val="DefaultParagraphFont"/>
    <w:rsid w:val="006B4095"/>
    <w:rPr>
      <w:sz w:val="16"/>
      <w:szCs w:val="16"/>
    </w:rPr>
  </w:style>
  <w:style w:type="paragraph" w:styleId="CommentText">
    <w:name w:val="annotation text"/>
    <w:basedOn w:val="Normal"/>
    <w:link w:val="CommentTextChar"/>
    <w:rsid w:val="006B4095"/>
    <w:rPr>
      <w:sz w:val="20"/>
    </w:rPr>
  </w:style>
  <w:style w:type="character" w:customStyle="1" w:styleId="CommentTextChar">
    <w:name w:val="Comment Text Char"/>
    <w:basedOn w:val="DefaultParagraphFont"/>
    <w:link w:val="CommentText"/>
    <w:rsid w:val="006B4095"/>
    <w:rPr>
      <w:lang w:val="sv-SE"/>
    </w:rPr>
  </w:style>
  <w:style w:type="paragraph" w:styleId="CommentSubject">
    <w:name w:val="annotation subject"/>
    <w:basedOn w:val="CommentText"/>
    <w:next w:val="CommentText"/>
    <w:link w:val="CommentSubjectChar"/>
    <w:rsid w:val="006B4095"/>
    <w:rPr>
      <w:b/>
      <w:bCs/>
    </w:rPr>
  </w:style>
  <w:style w:type="character" w:customStyle="1" w:styleId="CommentSubjectChar">
    <w:name w:val="Comment Subject Char"/>
    <w:basedOn w:val="CommentTextChar"/>
    <w:link w:val="CommentSubject"/>
    <w:rsid w:val="006B409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5158</Words>
  <Characters>34406</Characters>
  <Application>Microsoft Office Word</Application>
  <DocSecurity>0</DocSecurity>
  <Lines>286</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2026-08-05T13:19:00Z</dcterms:created>
  <dcterms:modified xsi:type="dcterms:W3CDTF">2026-08-05T13:19:00Z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A10-0167/2026</vt:lpwstr>
  </property>
  <property fmtid="{D5CDD505-2E9C-101B-9397-08002B2CF9AE}" pid="4" name="&lt;Type&gt;">
    <vt:lpwstr>RR</vt:lpwstr>
  </property>
</Properties>
</file>