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E5F3B05" w14:textId="77777777" w:rsidTr="0010095E">
        <w:tblPrEx>
          <w:tblW w:w="9072" w:type="dxa"/>
          <w:tblLook w:val="01E0"/>
        </w:tblPrEx>
        <w:trPr>
          <w:trHeight w:hRule="exact" w:val="1418"/>
        </w:trPr>
        <w:tc>
          <w:tcPr>
            <w:tcW w:w="6804" w:type="dxa"/>
            <w:shd w:val="clear" w:color="auto" w:fill="auto"/>
            <w:vAlign w:val="center"/>
          </w:tcPr>
          <w:p w:rsidR="00751A4A" w:rsidRPr="002A30DA" w:rsidP="0010095E" w14:paraId="633AB60D" w14:textId="77777777">
            <w:pPr>
              <w:pStyle w:val="EPName"/>
            </w:pPr>
            <w:r w:rsidRPr="002A30DA">
              <w:t>Ευρωπαϊκό Κοινοβούλιο</w:t>
            </w:r>
          </w:p>
          <w:p w:rsidR="00751A4A" w:rsidRPr="002A30DA" w:rsidP="005F1B17" w14:paraId="5E670ED3" w14:textId="77777777">
            <w:pPr>
              <w:pStyle w:val="EPTerm"/>
              <w:rPr>
                <w:rStyle w:val="HideTWBExt"/>
                <w:noProof w:val="0"/>
                <w:vanish w:val="0"/>
                <w:color w:val="auto"/>
              </w:rPr>
            </w:pPr>
            <w:r w:rsidRPr="002A30DA">
              <w:t>2024</w:t>
            </w:r>
            <w:r w:rsidRPr="002A30DA" w:rsidR="00817416">
              <w:t>-202</w:t>
            </w:r>
            <w:r w:rsidRPr="002A30DA">
              <w:t>9</w:t>
            </w:r>
          </w:p>
        </w:tc>
        <w:tc>
          <w:tcPr>
            <w:tcW w:w="2268" w:type="dxa"/>
            <w:shd w:val="clear" w:color="auto" w:fill="auto"/>
          </w:tcPr>
          <w:p w:rsidR="00751A4A" w:rsidRPr="002A30DA" w:rsidP="0010095E" w14:paraId="32B0A964" w14:textId="77777777">
            <w:pPr>
              <w:pStyle w:val="EPLogo"/>
            </w:pPr>
            <w:r w:rsidRPr="002A30D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A30DA" w:rsidP="004C5D52" w14:paraId="6667F28D" w14:textId="77777777">
      <w:pPr>
        <w:pStyle w:val="LineTop"/>
      </w:pPr>
    </w:p>
    <w:p w:rsidR="00680577" w:rsidRPr="002A30DA" w:rsidP="00680577" w14:paraId="3CD0ECDB" w14:textId="77777777">
      <w:pPr>
        <w:pStyle w:val="EPBodyTA1"/>
      </w:pPr>
      <w:r w:rsidRPr="002A30DA">
        <w:t>ΚΕΙΜΕΝΑ ΠΟΥ ΕΓΚΡΙΘΗΚΑΝ</w:t>
      </w:r>
    </w:p>
    <w:p w:rsidR="00D058B8" w:rsidRPr="002A30DA" w:rsidP="00D058B8" w14:paraId="361B5B09" w14:textId="77777777">
      <w:pPr>
        <w:pStyle w:val="LineBottom"/>
      </w:pPr>
    </w:p>
    <w:p w:rsidR="00426D2E" w:rsidRPr="002A30DA" w:rsidP="00426D2E" w14:paraId="52803B11" w14:textId="4F34570B">
      <w:pPr>
        <w:pStyle w:val="ATHeading1"/>
      </w:pPr>
      <w:bookmarkStart w:id="0" w:name="TANumber"/>
      <w:r w:rsidRPr="002A30DA">
        <w:t>P10_TA(2026)0</w:t>
      </w:r>
      <w:r w:rsidRPr="002A30DA" w:rsidR="00424A25">
        <w:t>271</w:t>
      </w:r>
      <w:bookmarkEnd w:id="0"/>
    </w:p>
    <w:p w:rsidR="00426D2E" w:rsidRPr="002F412A" w:rsidP="00426D2E" w14:paraId="1C66CA01" w14:textId="5161FE95">
      <w:pPr>
        <w:pStyle w:val="ATHeading2"/>
      </w:pPr>
      <w:bookmarkStart w:id="1" w:name="title"/>
      <w:r w:rsidRPr="002A30DA">
        <w:t>Κοινή ανακοίνωση για την ανθρωπιστική βοήθεια</w:t>
      </w:r>
      <w:bookmarkEnd w:id="1"/>
      <w:r w:rsidRPr="002F412A" w:rsidR="002F412A">
        <w:t xml:space="preserve"> </w:t>
      </w:r>
      <w:r w:rsidRPr="002A30DA" w:rsidR="002F412A">
        <w:t>(JOIN(2026)0025)</w:t>
      </w:r>
    </w:p>
    <w:p w:rsidR="00426D2E" w:rsidRPr="002A30DA" w:rsidP="00426D2E" w14:paraId="2E603F23" w14:textId="77777777">
      <w:pPr>
        <w:rPr>
          <w:i/>
          <w:vanish/>
        </w:rPr>
      </w:pPr>
      <w:r>
        <w:rPr>
          <w:i/>
        </w:rPr>
        <w:fldChar w:fldCharType="begin"/>
      </w:r>
      <w:r w:rsidRPr="002A30DA">
        <w:rPr>
          <w:i/>
        </w:rPr>
        <w:instrText xml:space="preserve"> TC"(</w:instrText>
      </w:r>
      <w:bookmarkStart w:id="2" w:name="DocNumber"/>
      <w:r w:rsidRPr="002A30DA">
        <w:rPr>
          <w:i/>
        </w:rPr>
        <w:instrText>B10-0339/2026</w:instrText>
      </w:r>
      <w:bookmarkEnd w:id="2"/>
      <w:r w:rsidRPr="002A30DA">
        <w:rPr>
          <w:i/>
        </w:rPr>
        <w:instrText xml:space="preserve">)"\l3 \n&gt; \* MERGEFORMAT </w:instrText>
      </w:r>
      <w:r>
        <w:rPr>
          <w:i/>
        </w:rPr>
        <w:fldChar w:fldCharType="end"/>
      </w:r>
    </w:p>
    <w:p w:rsidR="00426D2E" w:rsidRPr="002A30DA" w:rsidP="00426D2E" w14:paraId="3D62F316" w14:textId="77777777">
      <w:pPr>
        <w:rPr>
          <w:vanish/>
        </w:rPr>
      </w:pPr>
      <w:bookmarkStart w:id="3" w:name="PE"/>
      <w:r w:rsidRPr="002A30DA">
        <w:rPr>
          <w:vanish/>
        </w:rPr>
        <w:t>PE788.975</w:t>
      </w:r>
      <w:bookmarkEnd w:id="3"/>
    </w:p>
    <w:p w:rsidR="00426D2E" w:rsidRPr="002A30DA" w:rsidP="00426D2E" w14:paraId="181476E0" w14:textId="7592F054">
      <w:pPr>
        <w:pStyle w:val="ATHeading3"/>
      </w:pPr>
      <w:bookmarkStart w:id="4" w:name="Sujet"/>
      <w:r w:rsidRPr="002A30DA">
        <w:t xml:space="preserve">Ψήφισμα του Ευρωπαϊκού Κοινοβουλίου της </w:t>
      </w:r>
      <w:r w:rsidRPr="002A30DA" w:rsidR="000C68A1">
        <w:t xml:space="preserve">9ης Ιουλίου </w:t>
      </w:r>
      <w:r w:rsidRPr="002A30DA">
        <w:t>2026 σχετικά με την κοινή ανακοίνωση για την ανθρωπιστική βοήθεια (JOIN(2026)0025)</w:t>
      </w:r>
      <w:bookmarkEnd w:id="4"/>
      <w:r w:rsidRPr="002A30DA">
        <w:t xml:space="preserve"> </w:t>
      </w:r>
      <w:bookmarkStart w:id="5" w:name="References"/>
      <w:r w:rsidRPr="002A30DA">
        <w:t>(2026/2734(RSP))</w:t>
      </w:r>
      <w:bookmarkEnd w:id="5"/>
    </w:p>
    <w:p w:rsidR="008F3D7E" w:rsidRPr="002A30DA" w:rsidP="008F3D7E" w14:paraId="0A53C18D" w14:textId="77777777">
      <w:pPr>
        <w:pStyle w:val="EPComma"/>
      </w:pPr>
      <w:bookmarkStart w:id="6" w:name="TextBodyBegin"/>
      <w:bookmarkEnd w:id="6"/>
      <w:r w:rsidRPr="002A30DA">
        <w:rPr>
          <w:i/>
          <w:iCs/>
        </w:rPr>
        <w:t>Το Ευρωπαϊκό Κοινοβούλιο,</w:t>
      </w:r>
    </w:p>
    <w:p w:rsidR="008F3D7E" w:rsidRPr="002A30DA" w:rsidP="000C68A1" w14:paraId="4A350255" w14:textId="77777777">
      <w:pPr>
        <w:pStyle w:val="NormalHanging12a"/>
        <w:widowControl/>
      </w:pPr>
      <w:r w:rsidRPr="002A30DA">
        <w:t>–</w:t>
      </w:r>
      <w:r w:rsidRPr="002A30DA">
        <w:tab/>
        <w:t>έχοντας υπόψη την κοινή ανακοίνωση της Επιτροπής και της Ύπατης Εκπροσώπου της Ένωσης για θέματα Εξωτερικής Πολιτικής και Πολιτικής Ασφαλείας, της 27ης Μαΐου 2026, με τίτλο «Προάσπιση των αξιών, προώθηση των μεταρρυθμίσεων, επίτευξη αντικτύπου: η ανθρωπιστική δράση της ΕΕ σε μια μεταβαλλόμενη παγκόσμια τάξη πραγμάτων» (JOIN(2026)0025) (κοινή ανακοίνωση για την ανθρωπιστική βοήθεια), και τα συνοδευτικά κοινά έγγραφα εργασίας των υπηρεσιών της Επιτροπής σχετικά με μια ενωσιακή στρατηγική προσέγγιση της ανθρωπιστικής διπλωματίας (SWD(2026)0312), σχετικά με μια ολοκληρωμένη προσέγγιση της αστάθειας (SWD(2026)0313) και σχετικά με τις ανθρωπιστικές αλυσίδες εφοδιασμού (SWD(2026)0314),</w:t>
      </w:r>
    </w:p>
    <w:p w:rsidR="008F3D7E" w:rsidRPr="002A30DA" w:rsidP="000C68A1" w14:paraId="6EA7607D" w14:textId="77777777">
      <w:pPr>
        <w:pStyle w:val="NormalHanging12a"/>
        <w:widowControl/>
        <w:rPr>
          <w:bCs/>
          <w:iCs/>
        </w:rPr>
      </w:pPr>
      <w:r w:rsidRPr="002A30DA">
        <w:rPr>
          <w:i/>
        </w:rPr>
        <w:t>–</w:t>
      </w:r>
      <w:r w:rsidRPr="002A30DA">
        <w:tab/>
        <w:t>έχοντας υπόψη την απόφαση αριθ. 1325 (2000) του Συμβουλίου Ασφαλείας των Ηνωμένων Εθνών, της 31ης Οκτωβρίου 2000, και τις εννέα μεταγενέστερες αποφάσεις του Συμβουλίου Ασφαλείας των Ηνωμένων Εθνών σχετικά με τις γυναίκες, την ειρήνη και την ασφάλεια,</w:t>
      </w:r>
    </w:p>
    <w:p w:rsidR="008F3D7E" w:rsidRPr="002A30DA" w:rsidP="000C68A1" w14:paraId="262D8942" w14:textId="073E864E">
      <w:pPr>
        <w:pStyle w:val="NormalHanging12a"/>
        <w:widowControl/>
      </w:pPr>
      <w:r w:rsidRPr="002A30DA">
        <w:t>–</w:t>
      </w:r>
      <w:r w:rsidRPr="002A30DA">
        <w:tab/>
        <w:t>έχοντας υπόψη την ερώτηση προς την Επιτροπή σχετικά με την κοινή ανακοίνωση για την ανθρωπιστική βοήθεια (JOIN(2026)0025) (O-000026/2026 – B10</w:t>
      </w:r>
      <w:r w:rsidRPr="002A30DA">
        <w:noBreakHyphen/>
        <w:t>00</w:t>
      </w:r>
      <w:r w:rsidRPr="002A30DA" w:rsidR="0079159D">
        <w:t>13</w:t>
      </w:r>
      <w:r w:rsidRPr="002A30DA">
        <w:t>/2026),</w:t>
      </w:r>
    </w:p>
    <w:p w:rsidR="008F3D7E" w:rsidRPr="002A30DA" w:rsidP="000C68A1" w14:paraId="3BF7678B" w14:textId="77777777">
      <w:pPr>
        <w:pStyle w:val="NormalHanging12a"/>
        <w:widowControl/>
      </w:pPr>
      <w:r w:rsidRPr="002A30DA">
        <w:t>–</w:t>
      </w:r>
      <w:r w:rsidRPr="002A30DA">
        <w:tab/>
        <w:t>έχοντας υπόψη το άρθρο 142 παράγραφος 5 και το άρθρο 136 παράγραφος 2 του Κανονισμού του,</w:t>
      </w:r>
    </w:p>
    <w:p w:rsidR="008F3D7E" w:rsidRPr="002A30DA" w:rsidP="000C68A1" w14:paraId="1D4C0CAD" w14:textId="77777777">
      <w:pPr>
        <w:pStyle w:val="NormalHanging12a"/>
        <w:widowControl/>
      </w:pPr>
      <w:r w:rsidRPr="002A30DA">
        <w:t>–</w:t>
      </w:r>
      <w:r w:rsidRPr="002A30DA">
        <w:tab/>
        <w:t>έχοντας υπόψη την πρόταση ψηφίσματος της Επιτροπής Ανάπτυξης,</w:t>
      </w:r>
    </w:p>
    <w:p w:rsidR="008F3D7E" w:rsidRPr="002A30DA" w:rsidP="000C68A1" w14:paraId="098EFFC6" w14:textId="32829937">
      <w:pPr>
        <w:pStyle w:val="NormalHanging12a"/>
        <w:widowControl/>
      </w:pPr>
      <w:r w:rsidRPr="002A30DA">
        <w:t>Α.</w:t>
      </w:r>
      <w:r w:rsidRPr="002A30DA">
        <w:tab/>
        <w:t>λαμβάνοντας υπόψη ότι οι ανθρωπιστικές ανάγκες αυξάνονται ραγδαία και υπερβαίνουν τη διαθέσιμη χρηματοδότηση· λαμβάνοντας υπόψη ότι περισσότεροι από 300 εκατομμύρια άνθρωποι έχουν σήμερα ανάγκη ανθρωπιστικής βοήθειας· λαμβάνοντας υπόψη ότι ο ΟΗΕ έχει απευθύνει παγκόσμια έκκληση για 33</w:t>
      </w:r>
      <w:r w:rsidRPr="002A30DA" w:rsidR="0079159D">
        <w:t> </w:t>
      </w:r>
      <w:r w:rsidRPr="002A30DA">
        <w:t>δισ</w:t>
      </w:r>
      <w:r w:rsidRPr="002A30DA" w:rsidR="0079159D">
        <w:t>εκατομμύρια</w:t>
      </w:r>
      <w:r w:rsidRPr="002A30DA">
        <w:t xml:space="preserve"> USD και στοχεύει να χρησιμοποιήσει τη χρηματοδότηση αυτή για να προσεγγίσει 135 εκατομμύρια ανθρώπους σε 50 χώρες το 2026· λαμβάνοντας υπόψη </w:t>
      </w:r>
      <w:r w:rsidRPr="002A30DA">
        <w:t>ότι η αντίστοιχη έκκληση του ΟΗΕ το 2025 συγκέντρωσε μόλις 12 δισ</w:t>
      </w:r>
      <w:r w:rsidRPr="002A30DA" w:rsidR="0079159D">
        <w:t>εκατομμύρια</w:t>
      </w:r>
      <w:r w:rsidRPr="002A30DA">
        <w:t xml:space="preserve"> USD, το χαμηλότερο επίπεδο χρηματοδότησης εδώ και μία δεκαετία</w:t>
      </w:r>
      <w:r>
        <w:rPr>
          <w:rStyle w:val="FootnoteReference"/>
          <w:color w:val="000000"/>
        </w:rPr>
        <w:footnoteReference w:id="2"/>
      </w:r>
      <w:r w:rsidRPr="002A30DA">
        <w:t>·</w:t>
      </w:r>
    </w:p>
    <w:p w:rsidR="008F3D7E" w:rsidRPr="002A30DA" w:rsidP="000C68A1" w14:paraId="4DF707E0" w14:textId="77777777">
      <w:pPr>
        <w:pStyle w:val="NormalHanging12a"/>
        <w:widowControl/>
        <w:rPr>
          <w:szCs w:val="24"/>
        </w:rPr>
      </w:pPr>
      <w:r w:rsidRPr="002A30DA">
        <w:t>Β.</w:t>
      </w:r>
      <w:r w:rsidRPr="002A30DA">
        <w:tab/>
        <w:t>λαμβάνοντας υπόψη ότι οι παραβιάσεις του διεθνούς ανθρωπιστικού δικαίου (ΔΑΔ) λαμβάνουν ανησυχητικές διαστάσεις, συμπεριλαμβανομένων εσκεμμένων επιθέσεων και δολοφονιών αμάχων, της καταστροφής βασικών υποδομών όπως σχολεία και νοσοκομεία, της εκτεταμένης σεξουαλικής βίας, της στρατολόγησης παιδιών ως μαχητών, των επιθέσεων κατά εργαζομένων στον ανθρωπιστικό τομέα και ιατρικού προσωπικού, του αναγκαστικού εκτοπισμού, της λιμοκτονίας ως μεθόδου πολέμου, καθώς και της εσκεμμένης άρνησης και εργαλειοποίησης της πρόσβαση στην ανθρωπιστική βοήθεια·</w:t>
      </w:r>
    </w:p>
    <w:p w:rsidR="008F3D7E" w:rsidRPr="002A30DA" w:rsidP="000C68A1" w14:paraId="18F5F804" w14:textId="77777777">
      <w:pPr>
        <w:pStyle w:val="NormalHanging12a"/>
        <w:widowControl/>
        <w:rPr>
          <w:bCs/>
          <w:iCs/>
          <w:szCs w:val="24"/>
        </w:rPr>
      </w:pPr>
      <w:r w:rsidRPr="002A30DA">
        <w:t>Γ.</w:t>
      </w:r>
      <w:r w:rsidRPr="002A30DA">
        <w:tab/>
        <w:t>λαμβάνοντας υπόψη ότι οι παραβιάσεις αυτές αντίκεινται στις υποχρεώσεις που απορρέουν από το ΔΑΔ, συμπεριλαμβανομένων των αποφάσεων αριθ. 2286 (2016) και 2417 (2018) του Συμβουλίου Ασφαλείας του ΟΗΕ· λαμβάνοντας υπόψη ότι η ανθρωπιστική βοήθεια δεν θα πρέπει ποτέ να εργαλειοποιείται και πρέπει να φθάνει στους αμάχους που την έχουν ανάγκη χωρίς εμπόδια ή διακρίσεις οποιουδήποτε είδους, σε πλήρη συμμόρφωση με το ΔΑΔ·</w:t>
      </w:r>
    </w:p>
    <w:p w:rsidR="008F3D7E" w:rsidRPr="002A30DA" w:rsidP="000C68A1" w14:paraId="2F386A8D" w14:textId="77777777">
      <w:pPr>
        <w:pStyle w:val="NormalHanging12a"/>
        <w:widowControl/>
        <w:rPr>
          <w:i/>
          <w:szCs w:val="24"/>
        </w:rPr>
      </w:pPr>
      <w:r w:rsidRPr="002A30DA">
        <w:t>Δ.</w:t>
      </w:r>
      <w:r w:rsidRPr="002A30DA">
        <w:tab/>
        <w:t>λαμβάνοντας υπόψη ότι οι περιορισμοί στην πρόσβαση, στους οποίους περιλαμβάνονται γραφειοκρατικά εμπόδια, περιορισμοί στις μετακινήσεις και παρεμβάσεις από τα μέρη των συγκρούσεων, περιορίζουν ολοένα και περισσότερο την ικανότητα των φορέων ανθρωπιστικής δράσης να προσεγγίζουν τους πληγέντες πληθυσμούς·</w:t>
      </w:r>
    </w:p>
    <w:p w:rsidR="008F3D7E" w:rsidRPr="002A30DA" w:rsidP="000C68A1" w14:paraId="225C666F" w14:textId="77777777">
      <w:pPr>
        <w:pStyle w:val="NormalHanging12a"/>
        <w:widowControl/>
      </w:pPr>
      <w:r w:rsidRPr="002A30DA">
        <w:t>Ε.</w:t>
      </w:r>
      <w:r w:rsidRPr="002A30DA">
        <w:tab/>
        <w:t>λαμβάνοντας υπόψη ότι το Γραφείο Συντονισμού Ανθρωπιστικών Υποθέσεων του ΟΗΕ (OCHA) έχει δρομολογήσει μια γενική συστημική ανθρωπιστική επανεκκίνηση προκειμένου να καταστήσει το παγκόσμιο σύστημα ανθρωπιστικής βοήθειας πιο αποδοτικό και αποτελεσματικό·</w:t>
      </w:r>
    </w:p>
    <w:p w:rsidR="008F3D7E" w:rsidRPr="002A30DA" w:rsidP="000C68A1" w14:paraId="4DD2878A" w14:textId="77777777">
      <w:pPr>
        <w:pStyle w:val="NormalHanging12a"/>
        <w:widowControl/>
        <w:rPr>
          <w:bCs/>
          <w:iCs/>
        </w:rPr>
      </w:pPr>
      <w:r w:rsidRPr="002A30DA">
        <w:t>ΣΤ.</w:t>
      </w:r>
      <w:r w:rsidRPr="002A30DA">
        <w:tab/>
        <w:t>λαμβάνοντας υπόψη ότι η ΕΕ και τα κράτη μέλη της παρέχουν το μεγαλύτερο μερίδιο της ανθρωπιστικής χρηματοδότησης παγκοσμίως</w:t>
      </w:r>
      <w:r>
        <w:rPr>
          <w:rStyle w:val="FootnoteReference"/>
          <w:bCs/>
          <w:iCs/>
          <w:color w:val="000000"/>
        </w:rPr>
        <w:footnoteReference w:id="3"/>
      </w:r>
      <w:r w:rsidRPr="002A30DA">
        <w:t>·</w:t>
      </w:r>
    </w:p>
    <w:p w:rsidR="008F3D7E" w:rsidRPr="002A30DA" w:rsidP="000C68A1" w14:paraId="20A6A375" w14:textId="77777777">
      <w:pPr>
        <w:pStyle w:val="NormalHanging12a"/>
        <w:widowControl/>
      </w:pPr>
      <w:r w:rsidRPr="002A30DA">
        <w:t>Ζ.</w:t>
      </w:r>
      <w:r w:rsidRPr="002A30DA">
        <w:tab/>
        <w:t>λαμβάνοντας υπόψη ότι οι ανθρωπιστικές αλυσίδες εφοδιασμού, από τις προμήθειες έως την τελική παράδοση, αντιπροσωπεύουν έως και το 80 % των συνολικών ανθρωπιστικών δαπανών παγκοσμίως·</w:t>
      </w:r>
    </w:p>
    <w:p w:rsidR="008F3D7E" w:rsidRPr="002A30DA" w:rsidP="000C68A1" w14:paraId="33D98FAE" w14:textId="77777777">
      <w:pPr>
        <w:pStyle w:val="NormalHanging12a"/>
        <w:widowControl/>
      </w:pPr>
      <w:r w:rsidRPr="002A30DA">
        <w:t>Η.</w:t>
      </w:r>
      <w:r w:rsidRPr="002A30DA">
        <w:tab/>
        <w:t>λαμβάνοντας υπόψη ότι, μετά τους κλυδωνισμούς της τελευταίας πενταετίας, η παγκόσμια αστάθεια παραμένει σε σχεδόν ιστορικά υψηλά επίπεδα</w:t>
      </w:r>
      <w:r>
        <w:rPr>
          <w:vertAlign w:val="superscript"/>
        </w:rPr>
        <w:footnoteReference w:id="4"/>
      </w:r>
      <w:r w:rsidRPr="002A30DA">
        <w:t>·</w:t>
      </w:r>
    </w:p>
    <w:p w:rsidR="008F3D7E" w:rsidRPr="002A30DA" w:rsidP="000C68A1" w14:paraId="3C69C753" w14:textId="77777777">
      <w:pPr>
        <w:pStyle w:val="NormalHanging12a"/>
        <w:widowControl/>
        <w:rPr>
          <w:bCs/>
          <w:iCs/>
          <w:szCs w:val="24"/>
        </w:rPr>
      </w:pPr>
      <w:r w:rsidRPr="002A30DA">
        <w:t>Θ.</w:t>
      </w:r>
      <w:r w:rsidRPr="002A30DA">
        <w:tab/>
        <w:t xml:space="preserve">λαμβάνοντας υπόψη ότι οι συγκρούσεις, η κλιματική αλλαγή και οι οικονομικοί παράγοντες αποτελούν τις τρεις κύριες κινητήριες δυνάμεις της αύξησης των ανθρωπιστικών αναγκών, επιδεινώνοντας την επισιτιστική ανασφάλεια, τον εκτοπισμό και τους κινδύνους για την υγεία, και αυξάνοντας τη συχνότητα και την ένταση των </w:t>
      </w:r>
      <w:r w:rsidRPr="002A30DA">
        <w:t>καταστροφών· λαμβάνοντας υπόψη ότι η άνοδος της στάθμης της θάλασσας ενδέχεται να αποτελέσει υπαρξιακή απειλή για τα αναπτυσσόμενα μικρά νησιωτικά κράτη, τα οποία συγκαταλέγονται στις πλέον ευάλωτες στην κλιματική αλλαγή χώρες, οδηγώντας σε αυξημένη ανάγκη για δράσεις ανθρωπιστικής βοήθειας και ετοιμότητας·</w:t>
      </w:r>
    </w:p>
    <w:p w:rsidR="008F3D7E" w:rsidRPr="002A30DA" w:rsidP="000C68A1" w14:paraId="41108F13" w14:textId="77777777">
      <w:pPr>
        <w:pStyle w:val="NormalHanging12a"/>
        <w:widowControl/>
      </w:pPr>
      <w:r w:rsidRPr="002A30DA">
        <w:t>Ι.</w:t>
      </w:r>
      <w:r w:rsidRPr="002A30DA">
        <w:tab/>
        <w:t>λαμβάνοντας υπόψη ότι, σε περιόδους συγκρούσεων και κρίσεων, οι προϋπάρχουσες έμφυλες ανισότητες συχνά επιδεινώνονται, με αποτέλεσμα οι γυναίκες και τα κορίτσια, ιδίως εκείνα με διασταυρούμενες μορφές ευαλωτότητας, να πλήττονται δυσανάλογα από τις συγκρούσεις, τον εκτοπισμό, την έμφυλη βία και τον αποκλεισμό από σωτήριες υπηρεσίες και διαδικασίες λήψης αποφάσεων· λαμβάνοντας υπόψη ότι, ιστορικά, το ποσοστό της διμερούς ανθρωπιστικής βοήθειας με στόχους την ισότητα των φύλων είναι χαμηλό και έχει μειωθεί περαιτέρω τα τελευταία χρόνια, παραμένοντας στάσιμο στο 17 % την περίοδο 2021-2022</w:t>
      </w:r>
      <w:r>
        <w:rPr>
          <w:rStyle w:val="FootnoteReference"/>
          <w:color w:val="000000"/>
        </w:rPr>
        <w:footnoteReference w:id="5"/>
      </w:r>
      <w:r w:rsidRPr="002A30DA">
        <w:t>· λαμβάνοντας υπόψη ότι οι οργανώσεις των οποίων ηγούνται γυναίκες λαμβάνουν μόλις το 0,4 % της διμερούς βοήθειας σε ασταθή κράτη</w:t>
      </w:r>
      <w:r>
        <w:rPr>
          <w:rStyle w:val="FootnoteReference"/>
          <w:color w:val="000000"/>
        </w:rPr>
        <w:footnoteReference w:id="6"/>
      </w:r>
      <w:r w:rsidRPr="002A30DA">
        <w:t>·</w:t>
      </w:r>
    </w:p>
    <w:p w:rsidR="008F3D7E" w:rsidRPr="002A30DA" w:rsidP="000C68A1" w14:paraId="334D902A" w14:textId="77777777">
      <w:pPr>
        <w:pStyle w:val="NormalHanging12a"/>
        <w:widowControl/>
        <w:rPr>
          <w:bCs/>
          <w:iCs/>
          <w:szCs w:val="24"/>
        </w:rPr>
      </w:pPr>
      <w:r w:rsidRPr="002A30DA">
        <w:t>ΙΑ.</w:t>
      </w:r>
      <w:r w:rsidRPr="002A30DA">
        <w:tab/>
        <w:t>λαμβάνοντας υπόψη ότι ο αναγκαστικός εκτοπισμός αγγίζει πρωτοφανή επίπεδα και σημαντικό ποσοστό των προσφύγων και των εσωτερικά εκτοπισμένων παγκοσμίως διαμένει σε ασταθή κράτη και σε κράτη με χαμηλό εισόδημα, γεγονός που αυξάνει τις απαιτήσεις για υπηρεσίες ανθρωπιστικής συνδρομής και προστασίας·</w:t>
      </w:r>
    </w:p>
    <w:p w:rsidR="008F3D7E" w:rsidRPr="002A30DA" w:rsidP="00092B0F" w14:paraId="41A060F1" w14:textId="77777777">
      <w:pPr>
        <w:pStyle w:val="NormalHanging12a"/>
        <w:widowControl/>
        <w:ind w:left="0" w:firstLine="0"/>
        <w:rPr>
          <w:b/>
          <w:i/>
        </w:rPr>
      </w:pPr>
      <w:r w:rsidRPr="002A30DA">
        <w:rPr>
          <w:b/>
          <w:i/>
        </w:rPr>
        <w:t>Προστασία – Προάσπιση του ΔΑΔ, των ανθρωπιστικών αρχών και της προστασίας των αμάχων και των εργαζομένων στον ανθρωπιστικό τομέα, και ανάπτυξη κοινής στρατηγικής για την ανθρωπιστική διπλωματία</w:t>
      </w:r>
    </w:p>
    <w:p w:rsidR="008F3D7E" w:rsidRPr="002A30DA" w:rsidP="002A30DA" w14:paraId="40B3D48B" w14:textId="3F7727D1">
      <w:pPr>
        <w:pStyle w:val="NormalHanging12a"/>
        <w:widowControl/>
        <w:rPr>
          <w:szCs w:val="24"/>
        </w:rPr>
      </w:pPr>
      <w:r w:rsidRPr="002A30DA">
        <w:rPr>
          <w:szCs w:val="24"/>
        </w:rPr>
        <w:t>1.</w:t>
      </w:r>
      <w:r w:rsidRPr="002A30DA">
        <w:rPr>
          <w:szCs w:val="24"/>
        </w:rPr>
        <w:tab/>
      </w:r>
      <w:r w:rsidRPr="002A30DA">
        <w:t>χαιρετίζει τις δεσμεύσεις που αναλήφθηκαν στην κοινή ανακοίνωση για την ανθρωπιστική βοήθεια όσον αφορά το ΔΑΔ και τις ανθρωπιστικές αρχές του ανθρωπισμού, της αμεροληψίας, της ουδετερότητας και της ανεξαρτησίας· υπενθυμίζει ότι το εθιμικό διεθνές ανθρωπιστικό δίκαιο είναι δεσμευτικό για όλα τα μέρη που εμπλέκονται σε ένοπλες συγκρούσεις· καταδικάζει απερίφραστα την παρεμπόδιση της ανθρωπιστικής βοήθειας· αντιτίθεται θεμελιωδώς και καταδικάζει την παράδοση ανθρωπιστικής βοήθειας για την προώθηση στρατιωτικών σκοπιμοτήτων και την πολιτικοποίηση της ανθρωπιστικής βοήθειας μέσω του σοβαρού περιορισμού της πρόσβασης σε σωτήρια βοήθεια, ενέργειες οι οποίες υπονομεύουν τις θεμελιώδεις ανθρωπιστικές αρχές·</w:t>
      </w:r>
    </w:p>
    <w:p w:rsidR="008F3D7E" w:rsidRPr="002A30DA" w:rsidP="002A30DA" w14:paraId="4DEDADEA" w14:textId="05C7077E">
      <w:pPr>
        <w:pStyle w:val="NormalHanging12a"/>
        <w:widowControl/>
        <w:rPr>
          <w:bCs/>
          <w:iCs/>
          <w:szCs w:val="24"/>
        </w:rPr>
      </w:pPr>
      <w:r w:rsidRPr="002A30DA">
        <w:rPr>
          <w:bCs/>
          <w:iCs/>
          <w:szCs w:val="24"/>
        </w:rPr>
        <w:t>2.</w:t>
      </w:r>
      <w:r w:rsidRPr="002A30DA">
        <w:rPr>
          <w:bCs/>
          <w:iCs/>
          <w:szCs w:val="24"/>
        </w:rPr>
        <w:tab/>
      </w:r>
      <w:r w:rsidRPr="002A30DA">
        <w:t>καλεί την Επιτροπή να καταδικάσει την περιφρόνηση του ΔΑΔ και να καθιστά συστηματικά υπόλογους τους φορείς για παραβιάσεις του ΔΑΔ στο πλαίσιο των εξωτερικών της σχέσεων·</w:t>
      </w:r>
    </w:p>
    <w:p w:rsidR="008F3D7E" w:rsidRPr="002A30DA" w:rsidP="002A30DA" w14:paraId="3235C68C" w14:textId="26E3A1E8">
      <w:pPr>
        <w:pStyle w:val="NormalHanging12a"/>
        <w:widowControl/>
      </w:pPr>
      <w:r w:rsidRPr="002A30DA">
        <w:t>3.</w:t>
      </w:r>
      <w:r w:rsidRPr="002A30DA">
        <w:tab/>
      </w:r>
      <w:r w:rsidRPr="002A30DA">
        <w:t xml:space="preserve">καλεί την Επιτροπή, την Ευρωπαϊκή Υπηρεσία Εξωτερικής Δράσης (ΕΥΕΔ) και τα κράτη μέλη να ενισχύσουν τις δράσεις για τη διαφύλαξη του ανθρωπιστικού χώρου, να διασφαλίσουν τη συμμόρφωση με το ΔΑΔ και τις ανθρωπιστικές αρχές, να ενισχύσουν τους μηχανισμούς λογοδοσίας, να αντιμετωπίσουν τα κενά στην παρακολούθηση των </w:t>
      </w:r>
      <w:r w:rsidRPr="002A30DA">
        <w:t>παραβιάσεων, μεταξύ άλλων μέσω της συλλογής δεδομένων και έργων όπως το «IHL in Focus», και να απέχουν από εταιρικές σχέσεις που θα υπονόμευαν αυτές τις αρχές·</w:t>
      </w:r>
    </w:p>
    <w:p w:rsidR="008F3D7E" w:rsidRPr="002A30DA" w:rsidP="002A30DA" w14:paraId="540EA8D9" w14:textId="71FA3582">
      <w:pPr>
        <w:pStyle w:val="NormalHanging12a"/>
        <w:widowControl/>
        <w:rPr>
          <w:bCs/>
          <w:iCs/>
          <w:szCs w:val="24"/>
        </w:rPr>
      </w:pPr>
      <w:r w:rsidRPr="002A30DA">
        <w:rPr>
          <w:bCs/>
          <w:iCs/>
          <w:szCs w:val="24"/>
        </w:rPr>
        <w:t>4.</w:t>
      </w:r>
      <w:r w:rsidRPr="002A30DA">
        <w:rPr>
          <w:bCs/>
          <w:iCs/>
          <w:szCs w:val="24"/>
        </w:rPr>
        <w:tab/>
      </w:r>
      <w:r w:rsidRPr="002A30DA">
        <w:t>καλεί το Συμβούλιο, την Ύπατη Εκπρόσωπο της Ένωσης για θέματα Εξωτερικής Πολιτικής και Πολιτικής Ασφαλείας και τα κράτη μέλη να συνεχίσουν να διασφαλίζουν ότι τα περιοριστικά μέτρα και οι τραπεζικές πρακτικές ελαχιστοποίησης των κινδύνων επιτρέπουν την ανάληψη ανθρωπιστικής δράσης βάσει αρχών, μεταξύ άλλων ενσωματώνοντας και εφαρμόζοντας συστηματικά αποτελεσματικές, σαφείς και επιχειρησιακές μόνιμες ανθρωπιστικές εξαιρέσεις και διασφαλίσεις σε όλα τα σχετικά περιοριστικά μέτρα, αξιοποιώντας τη μόνιμη εξαίρεση που θεσπίστηκε με την απόφαση αριθ. 2664 (2022) του Συμβουλίου Ασφαλείας των Ηνωμένων Εθνών·</w:t>
      </w:r>
    </w:p>
    <w:p w:rsidR="00424A25" w:rsidRPr="002A30DA" w:rsidP="002A30DA" w14:paraId="210B3DD4" w14:textId="4854A2E6">
      <w:pPr>
        <w:pStyle w:val="NormalHanging12a"/>
        <w:widowControl/>
        <w:rPr>
          <w:bCs/>
          <w:iCs/>
          <w:szCs w:val="24"/>
        </w:rPr>
      </w:pPr>
      <w:r w:rsidRPr="002A30DA">
        <w:rPr>
          <w:bCs/>
          <w:iCs/>
          <w:szCs w:val="24"/>
        </w:rPr>
        <w:t>5.</w:t>
      </w:r>
      <w:r w:rsidRPr="002A30DA">
        <w:rPr>
          <w:bCs/>
          <w:iCs/>
          <w:szCs w:val="24"/>
        </w:rPr>
        <w:tab/>
      </w:r>
      <w:r w:rsidRPr="002A30DA">
        <w:rPr>
          <w:bCs/>
          <w:iCs/>
          <w:szCs w:val="24"/>
        </w:rPr>
        <w:t xml:space="preserve">υπογραμμίζει ότι, όταν η ΕΕ χρηματοδοτεί και παρέχει ανθρωπιστική βοήθεια με σκοπό τη διάσωση ζωών και την πρόληψη του λιμού, και μια τρίτη χώρα παρεμποδίζει ή εμποδίζει την παροχή της, η ΕΕ πρέπει να χρησιμοποιεί κάθε πολιτική, διπλωματική, νομική και οικονομική επιρροή που έχει στη διάθεσή της για να διασφαλίσει την άμεση και απρόσκοπτη </w:t>
      </w:r>
      <w:r w:rsidRPr="002A30DA">
        <w:t>διοχέτευση</w:t>
      </w:r>
      <w:r w:rsidRPr="002A30DA">
        <w:rPr>
          <w:bCs/>
          <w:iCs/>
          <w:szCs w:val="24"/>
        </w:rPr>
        <w:t xml:space="preserve"> της εν λόγω βοήθειας και να διασφαλίσει ότι φτάνει στον πληθυσμό που έχει ανάγκη· καλεί την Επιτροπή και την ΕΥΕΔ να θέτουν συστηματικά το ζήτημα της εν λόγω παρεμπόδισης στο ανώτατο πολιτικό επίπεδο και να λάβουν όλα τα αναγκαία μέτρα κατά κρατών, οντοτήτων ή φυσικών προσώπων που ευθύνονται για την παρεμπόδιση αυτή, προκειμένου να επιτευχθεί η άμεση και απρόσκοπτη παροχή ανθρωπιστικής βοήθειας·</w:t>
      </w:r>
    </w:p>
    <w:p w:rsidR="008F3D7E" w:rsidRPr="002A30DA" w:rsidP="002A30DA" w14:paraId="51706B51" w14:textId="656E0221">
      <w:pPr>
        <w:pStyle w:val="NormalHanging12a"/>
        <w:widowControl/>
        <w:rPr>
          <w:szCs w:val="24"/>
        </w:rPr>
      </w:pPr>
      <w:r w:rsidRPr="002A30DA">
        <w:rPr>
          <w:szCs w:val="24"/>
        </w:rPr>
        <w:t>6.</w:t>
      </w:r>
      <w:r w:rsidRPr="002A30DA">
        <w:rPr>
          <w:szCs w:val="24"/>
        </w:rPr>
        <w:tab/>
      </w:r>
      <w:r w:rsidRPr="002A30DA">
        <w:t>καλεί την Επιτροπή να εντείνει τη στήριξή της σε μέτρα προστασίας και ασφάλειας των εργαζομένων στον ανθρωπιστικό τομέα, μεταξύ άλλων μέσω προγραμμάτων κατάρτισης, ιδίως για το τοπικό προσωπικό, και μέσω της ανάπτυξης κοινών ελάχιστων προτύπων ασφάλειας για την ανθρωπιστική κοινότητα, της αύξησης του συντονισμού στον τομέα της ασφάλειας και της διαθεσιμότητας κρίσιμων δεδομένων ασφαλείας, της συγκέντρωσης πόρων ασφάλειας και της ανάπτυξης κοινών πρωτοβουλιών με εταίρους στον τομέα της ανθρωπιστικής βοήθειας, συμπεριλαμβανομένων των αναδυόμενων απειλών όπως η παραπληροφόρηση· παροτρύνει την Επιτροπή να καταστήσει την πρωτοβουλία «Protect Aid Workers» ένα μόνιμο, παγκόσμιο πρόγραμμα με επαρκή χρηματοδότηση·</w:t>
      </w:r>
    </w:p>
    <w:p w:rsidR="008F3D7E" w:rsidRPr="002A30DA" w:rsidP="002A30DA" w14:paraId="60D1DE23" w14:textId="73E64EE8">
      <w:pPr>
        <w:pStyle w:val="NormalHanging12a"/>
        <w:widowControl/>
        <w:rPr>
          <w:bCs/>
          <w:iCs/>
        </w:rPr>
      </w:pPr>
      <w:r w:rsidRPr="002A30DA">
        <w:rPr>
          <w:bCs/>
          <w:iCs/>
        </w:rPr>
        <w:t>7.</w:t>
      </w:r>
      <w:r w:rsidRPr="002A30DA">
        <w:rPr>
          <w:bCs/>
          <w:iCs/>
        </w:rPr>
        <w:tab/>
      </w:r>
      <w:r w:rsidRPr="002A30DA">
        <w:t>καλεί την Επιτροπή να αυξήσει τη στήριξη των υπηρεσιών ψυχικής υγείας και ψυχοκοινωνικής υποστήριξης για τους εργαζομένους στον ανθρωπιστικό τομέα, ιδίως το τοπικό προσωπικό, δεδομένων των υψηλών επιπέδων άγχους και τραύματος που συνδέονται με τις ανθρωπιστικές επιχειρήσεις·</w:t>
      </w:r>
    </w:p>
    <w:p w:rsidR="008F3D7E" w:rsidRPr="002A30DA" w:rsidP="002A30DA" w14:paraId="6E43CB24" w14:textId="519C4A96">
      <w:pPr>
        <w:pStyle w:val="NormalHanging12a"/>
        <w:widowControl/>
        <w:rPr>
          <w:bCs/>
          <w:iCs/>
          <w:szCs w:val="24"/>
        </w:rPr>
      </w:pPr>
      <w:r w:rsidRPr="002A30DA">
        <w:rPr>
          <w:bCs/>
          <w:iCs/>
          <w:szCs w:val="24"/>
        </w:rPr>
        <w:t>8.</w:t>
      </w:r>
      <w:r w:rsidRPr="002A30DA">
        <w:rPr>
          <w:bCs/>
          <w:iCs/>
          <w:szCs w:val="24"/>
        </w:rPr>
        <w:tab/>
      </w:r>
      <w:r w:rsidRPr="002A30DA">
        <w:t xml:space="preserve">καταδικάζει με τον πλέον κατηγορηματικό τρόπο την αύξηση των επιθέσεων και των δολοφονιών εργαζομένων στον ανθρωπιστικό τομέα σε περιοχές συγκρούσεων· υπενθυμίζει στα κράτη την υποχρέωσή τους να σέβονται και να προστατεύουν το προσωπικό ανθρωπιστικής βοήθειας, και ότι οι εσκεμμένες επιθέσεις κατά προσωπικού που συμμετέχει σε αποστολή ανθρωπιστικής συνδρομής συνιστούν εγκλήματα πολέμου· </w:t>
      </w:r>
      <w:r w:rsidRPr="002A30DA" w:rsidR="00424A25">
        <w:t xml:space="preserve">καταδικάζει απερίφραστα τη χρήση των λεγόμενων τακτικών διπλού πλήγματος, οι οποίες τεκμηριώνονται σε συγκρούσεις, μεταξύ άλλων στην Ουκρανία, τη Γάζα και τον Λίβανο, στο πλαίσιο των οποίων μια αρχική επίθεση ακολουθείται από μία ή περισσότερες επακόλουθες επιθέσεις, οι οποίες συχνά στοχεύουν αμάχους και διασώστες, ιδίως εργαζομένους στον ανθρωπιστικό τομέα, και οι οποίες ενδέχεται να συνιστούν έγκλημα πολέμου· </w:t>
      </w:r>
      <w:r w:rsidRPr="002A30DA">
        <w:t xml:space="preserve">καλεί την Επιτροπή και τα κράτη μέλη να καταδικάσουν </w:t>
      </w:r>
      <w:r w:rsidRPr="002A30DA">
        <w:t>απερίφραστα τη δολοφονία εργαζομένων στον ανθρωπιστικό τομέα και να επενδύσουν στη διερεύνηση και τη δίωξη των δραστών·</w:t>
      </w:r>
    </w:p>
    <w:p w:rsidR="008F3D7E" w:rsidRPr="002A30DA" w:rsidP="002A30DA" w14:paraId="39D50988" w14:textId="73E920CD">
      <w:pPr>
        <w:pStyle w:val="NormalHanging12a"/>
        <w:widowControl/>
        <w:rPr>
          <w:bCs/>
          <w:iCs/>
        </w:rPr>
      </w:pPr>
      <w:r w:rsidRPr="002A30DA">
        <w:rPr>
          <w:bCs/>
          <w:iCs/>
        </w:rPr>
        <w:t>9.</w:t>
      </w:r>
      <w:r w:rsidRPr="002A30DA">
        <w:rPr>
          <w:bCs/>
          <w:iCs/>
        </w:rPr>
        <w:tab/>
      </w:r>
      <w:r w:rsidRPr="002A30DA">
        <w:t>καλεί την Επιτροπή, την ΕΥΕΔ, τις αντιπροσωπείες της ΕΕ, τους ειδικούς εντεταλμένους της ΕΕ και τα κράτη μέλη, ακολουθώντας την προσέγγιση «Ομάδα Ευρώπη», να εργαστούν για μια κοινή στρατηγική της ΕΕ για την ανθρωπιστική διπλωματία, σε στενή διαβούλευση με τους φορείς ανθρωπιστικής δράσης, συμπεριλαμβανομένων των διεθνών μη κυβερνητικών οργανώσεων-εταίρων· υπογραμμίζει ότι η αποτελεσματική ανθρωπιστική διπλωματία θα πρέπει να είναι ειδική ανά κατάσταση, να βασίζεται σε δεδομένα και να οικοδομείται σε τοπικά εδραιωμένη υπεράσπιση και εμπειρογνωμοσύνη, καθώς και σε συστηματικό διάλογο με τοπικούς και εθνικούς ανθρωπιστικούς εταίρους και φορείς της πρώτης γραμμής στο πεδίο, συμπεριλαμβανομένων τοπικών οργανώσεων της κοινωνίας των πολιτών και οργανώσεων για τα δικαιώματα των γυναικών, οι οποίες βρίσκονται συχνά στην πρώτη γραμμή της ανθρωπιστικής αντίδρασης·</w:t>
      </w:r>
    </w:p>
    <w:p w:rsidR="008F3D7E" w:rsidRPr="002A30DA" w:rsidP="002A30DA" w14:paraId="3CDB7E26" w14:textId="4E38CBA4">
      <w:pPr>
        <w:pStyle w:val="NormalHanging12a"/>
        <w:widowControl/>
        <w:rPr>
          <w:bCs/>
          <w:iCs/>
          <w:szCs w:val="24"/>
        </w:rPr>
      </w:pPr>
      <w:r w:rsidRPr="002A30DA">
        <w:rPr>
          <w:bCs/>
          <w:iCs/>
          <w:szCs w:val="24"/>
        </w:rPr>
        <w:t>10.</w:t>
      </w:r>
      <w:r w:rsidRPr="002A30DA">
        <w:rPr>
          <w:bCs/>
          <w:iCs/>
          <w:szCs w:val="24"/>
        </w:rPr>
        <w:tab/>
      </w:r>
      <w:r w:rsidRPr="002A30DA">
        <w:t>υπογραμμίζει ότι η αποτελεσματική και αποδοτική ανθρωπιστική διπλωματία απαιτεί την ενίσχυση του συντονισμού μεταξύ όλων των σχετικών ανθρωπιστικών και πολιτικών φορέων και την αξιοποίηση όλων των δυνατών διπλωματικών εργαλείων, μεταξύ άλλων μέσω σημείων επαφής για την ανθρωπιστική διπλωματία και στοχευμένων στρατηγικών επικοινωνίας, με σκοπό τη βελτίωση της ικανότητας της ΕΕ να διαφυλάσσει τον ανθρωπιστικό χώρο στις ένοπλες συγκρούσεις και να συνηγορεί κατά των παραβιάσεων του ΔΑΔ·</w:t>
      </w:r>
    </w:p>
    <w:p w:rsidR="008F3D7E" w:rsidRPr="002A30DA" w:rsidP="002A30DA" w14:paraId="4B83462E" w14:textId="13701741">
      <w:pPr>
        <w:pStyle w:val="NormalHanging12a"/>
        <w:widowControl/>
        <w:rPr>
          <w:bCs/>
          <w:iCs/>
        </w:rPr>
      </w:pPr>
      <w:r w:rsidRPr="002A30DA">
        <w:rPr>
          <w:bCs/>
          <w:iCs/>
        </w:rPr>
        <w:t>11.</w:t>
      </w:r>
      <w:r w:rsidRPr="002A30DA">
        <w:rPr>
          <w:bCs/>
          <w:iCs/>
        </w:rPr>
        <w:tab/>
      </w:r>
      <w:r w:rsidRPr="002A30DA">
        <w:t>τονίζει την ανάγκη να ενισχυθεί η ικανότητα της ΕΕ να παρακολουθεί και να τεκμηριώνει παραβιάσεις του ΔΑΔ, μεταξύ άλλων μέσω της στήριξης ανεξάρτητων μηχανισμών λογοδοσίας και της συνεργασίας με διεθνή ερευνητικά όργανα·</w:t>
      </w:r>
    </w:p>
    <w:p w:rsidR="008F3D7E" w:rsidRPr="002A30DA" w:rsidP="002A30DA" w14:paraId="06282C67" w14:textId="0D265AA5">
      <w:pPr>
        <w:pStyle w:val="NormalHanging12a"/>
        <w:widowControl/>
        <w:rPr>
          <w:bCs/>
          <w:iCs/>
          <w:szCs w:val="24"/>
        </w:rPr>
      </w:pPr>
      <w:r w:rsidRPr="002A30DA">
        <w:rPr>
          <w:bCs/>
          <w:iCs/>
          <w:szCs w:val="24"/>
        </w:rPr>
        <w:t>12.</w:t>
      </w:r>
      <w:r w:rsidRPr="002A30DA">
        <w:rPr>
          <w:bCs/>
          <w:iCs/>
          <w:szCs w:val="24"/>
        </w:rPr>
        <w:tab/>
      </w:r>
      <w:r w:rsidRPr="002A30DA">
        <w:t>χαιρετίζει τη δέσμευση της ΕΕ να ενισχύσει την προάσπιση και τη στήριξη του τομέα της προστασίας ως πυρήνα της ανθρωπιστικής δράσης, καθώς και για την ισότητα των φύλων· θεωρεί ιδιαίτερα ανησυχητική την κατακόρυφη αύξηση των επιθέσεων κατά εργαζομένων στον ανθρωπιστικό τομέα, ιατρικού προσωπικού και ανθρωπιστικών υποδομών, καθώς και για την αύξηση της έμφυλης βίας, συμπεριλαμβανομένης της σεξουαλικής βίας που συνδέεται με συγκρούσεις, σε ανθρωπιστικά πλαίσια</w:t>
      </w:r>
      <w:r>
        <w:rPr>
          <w:rStyle w:val="FootnoteReference"/>
          <w:bCs/>
          <w:iCs/>
          <w:color w:val="000000"/>
        </w:rPr>
        <w:footnoteReference w:id="7"/>
      </w:r>
      <w:r w:rsidRPr="002A30DA">
        <w:t xml:space="preserve">· καλεί την Επιτροπή, την ΕΥΕΔ, τις αντιπροσωπείες της ΕΕ και τα κράτη μέλη να θέσουν τις γυναίκες και τα κορίτσια στο επίκεντρο των προσπαθειών ανθρωπιστικής ετοιμότητας και αντίδρασης, να υιοθετήσουν μια προσέγγιση χωρίς αποκλεισμούς και να ενισχύσουν την πλήρη εφαρμογή του θεματολογίου για τις γυναίκες, την ειρήνη και την ασφάλεια, συμπεριλαμβανομένων μέτρων για την προστασία των γυναικών και των κοριτσιών από την έμφυλη βία, καθώς και να ενισχύσουν την πλήρη, ισότιμη και ουσιαστική συμμετοχή των γυναικών σε όλα τα στάδια των ειρηνευτικών διαδικασιών, μεταξύ άλλων στις ανθρωπιστικές αντιδράσεις και στις προσπάθειες ανάκαμψης· καλεί την Επιτροπή και τα κράτη μέλη να διαθέσουν το 5 % της επίσημης αναπτυξιακής βοήθειάς τους (ΕΑΒ) σε εύθραυστα περιβάλλοντα προς οργανώσεις των οποίων ηγούνται γυναίκες και οργανώσεις για τα δικαιώματα των γυναικών, μέσω ευέλικτης και μακροπρόθεσμης χρηματοδότησης, δεδομένου του σημαντικού ρόλου διασύνδεσης που διαδραματίζουν οι γυναίκες που εργάζονται για την οικοδόμηση της ειρήνης και οι </w:t>
      </w:r>
      <w:r w:rsidRPr="002A30DA">
        <w:t>οργανώσεις των οποίων ηγούνται γυναίκες ως φορείς πρώτης αντίδρασης σε ανθρωπιστικές κρίσεις και, ταυτόχρονα, ως ειρηνοποιοί, διαμεσολαβήτριες και αναπτυξιακοί φορείς στις κοινότητές τους· χαιρετίζει το γεγονός ότι η Επιτροπή θα ενισχύσει τη δράση της στον τομέα της σεξουαλικής και αναπαραγωγικής υγειονομικής περίθαλψης και των αναπαραγωγικών δικαιωμάτων σε ανθρωπιστικά περιβάλλοντα, μεταξύ άλλων μέσω του προγράμματος SHIELD (Σεξουαλική και αναπαραγωγική υγεία σε καταστάσεις έκτακτης ανάγκης και αξιοπρεπής διαβίωση), και καλεί την Επιτροπή να διαθέσει επαρκή χρηματοδότηση για το εν λόγω πρόγραμμα·</w:t>
      </w:r>
    </w:p>
    <w:p w:rsidR="008F3D7E" w:rsidRPr="002A30DA" w:rsidP="00424A25" w14:paraId="4E3C2F27" w14:textId="77777777">
      <w:pPr>
        <w:pStyle w:val="NormalHanging12a"/>
        <w:widowControl/>
        <w:ind w:left="0" w:firstLine="0"/>
        <w:rPr>
          <w:b/>
          <w:i/>
        </w:rPr>
      </w:pPr>
      <w:r w:rsidRPr="002A30DA">
        <w:rPr>
          <w:b/>
          <w:i/>
        </w:rPr>
        <w:t>Επιδόσεις – Προώθηση μιας ανθρωποκεντρικής ανθρωπιστικής μεταρρύθμισης, επίτευξη αποτελεσματικότερων και αποδοτικότερων ανθρωπιστικών αντιδράσεων</w:t>
      </w:r>
    </w:p>
    <w:p w:rsidR="008F3D7E" w:rsidRPr="002A30DA" w:rsidP="002A30DA" w14:paraId="75E9CCCC" w14:textId="61C63D31">
      <w:pPr>
        <w:pStyle w:val="NormalHanging12a"/>
        <w:widowControl/>
      </w:pPr>
      <w:r w:rsidRPr="002A30DA">
        <w:t>13.</w:t>
      </w:r>
      <w:r w:rsidRPr="002A30DA">
        <w:tab/>
      </w:r>
      <w:r w:rsidRPr="002A30DA">
        <w:t>εκφράζει τη βαθιά του λύπη για την παγκόσμια κρίση χρηματοδότησης της ανθρωπιστικής βοήθειας και της ανάπτυξης, καθώς και για την απόφαση αρκετών βασικών χορηγών, συμπεριλαμβανομένων διαφόρων κρατών μελών της ΕΕ, να μειώσουν τους προϋπολογισμούς τους για τη χορήγηση βοήθειας· καλεί τα κράτη μέλη να λάβουν αξιόπιστα μέτρα για την εκπλήρωση της συλλογικής δέσμευσης της ΕΕ να διαθέσει το 0,7 % του ακαθάριστου εθνικού εισοδήματος ως ΕΑΒ, εκ του οποίου το 10 % να προορίζεται για ανθρωπιστική δράση·</w:t>
      </w:r>
    </w:p>
    <w:p w:rsidR="008F3D7E" w:rsidRPr="002A30DA" w:rsidP="002A30DA" w14:paraId="2562A1F3" w14:textId="33265CE3">
      <w:pPr>
        <w:pStyle w:val="NormalHanging12a"/>
        <w:widowControl/>
        <w:rPr>
          <w:bCs/>
          <w:iCs/>
          <w:szCs w:val="24"/>
        </w:rPr>
      </w:pPr>
      <w:r w:rsidRPr="002A30DA">
        <w:rPr>
          <w:bCs/>
          <w:iCs/>
          <w:szCs w:val="24"/>
        </w:rPr>
        <w:t>14.</w:t>
      </w:r>
      <w:r w:rsidRPr="002A30DA">
        <w:rPr>
          <w:bCs/>
          <w:iCs/>
          <w:szCs w:val="24"/>
        </w:rPr>
        <w:tab/>
      </w:r>
      <w:r w:rsidRPr="002A30DA">
        <w:t>εκφράζει την ανησυχία του για το γεγονός ότι ο αυξανόμενος γεωπολιτικός ανταγωνισμός και η μετατόπιση των προτεραιοτήτων των δωρητών ενδέχεται να εκτρέψουν την προσοχή και τους πόρους από τις λιγότερο ανεπτυγμένες και τις πλέον ευάλωτες χώρες του κόσμου· καλεί την Επιτροπή και τα κράτη μέλη να εφαρμόζουν διαφανή κριτήρια με βάση τις ανάγκες κατά την κατανομή της ανθρωπιστικής βοήθειας, και να διασφαλίζουν επαρκή και διαρκή χρηματοδότηση για κρίσεις που έχουν εν πολλοίς παραμεληθεί και υποχρηματοδοτηθεί·</w:t>
      </w:r>
    </w:p>
    <w:p w:rsidR="008F3D7E" w:rsidRPr="002A30DA" w:rsidP="002A30DA" w14:paraId="53EBBA39" w14:textId="1747A8E0">
      <w:pPr>
        <w:pStyle w:val="NormalHanging12a"/>
        <w:widowControl/>
        <w:rPr>
          <w:szCs w:val="24"/>
        </w:rPr>
      </w:pPr>
      <w:r w:rsidRPr="002A30DA">
        <w:rPr>
          <w:szCs w:val="24"/>
        </w:rPr>
        <w:t>15.</w:t>
      </w:r>
      <w:r w:rsidRPr="002A30DA">
        <w:rPr>
          <w:szCs w:val="24"/>
        </w:rPr>
        <w:tab/>
      </w:r>
      <w:r w:rsidRPr="002A30DA">
        <w:t>χαιρετίζει τις προσπάθειες που καταβάλλει η Επιτροπή για να βελτιώσει την αποδοτικότητα της βοήθειας και την ποιότητα της ανθρωπιστικής χρηματοδότησης στο πλαίσιο της ανθρωπιστικής επανεκκίνησης του ΟΗΕ, και για να δώσει προτεραιότητα σε όσους έχουν τη μεγαλύτερη ανάγκη· υπογραμμίζει ότι, πέραν του όγκου της βοήθειας, η ποιότητα και η λογοδοσία όσον αφορά την ανθρωπιστική βοήθεια της ΕΕ είναι καίριας σημασίας, και ότι οι ανθρωπιστικές μεταρρυθμίσεις πρέπει να βασίζονται στις ανάγκες, να έχουν ως γνώμονα τα αποτελέσματα και να επικεντρώνονται στην αποτελεσματικότητα και στον πραγματικό αντίκτυπο· υπογραμμίζει, ωστόσο, ότι η διαδικασία αυτή δεν πρέπει να μετατραπεί αμιγώς σε μια προσέγγιση περικοπής δαπανών, η οποία θέτει σε κίνδυνο τη βασιζόμενη σε αρχές και σε ανάγκες παροχή βοήθειας· καλεί την Επιτροπή να υποστηρίξει την επανεπένδυση της βελτίωσης της αποτελεσματικότητας στο πλαίσιο της ανθρωπιστικής επανεκκίνησης στις ανθρωπιστικές αντιδράσεις της πρώτης γραμμής, αντί της μείωσης των συνολικών επιπέδων βοήθειας· καλεί την Επιτροπή και τα κράτη μέλη να διασφαλίσουν ότι τυχόν ανθρωπιστικές μεταρρυθμίσεις που αναλαμβάνουν είναι ανθρωποκεντρικές και λαμβάνουν υπόψη τη διάσταση του φύλου, ευθυγραμμίζοντας τις διαδικασίες χρηματοδότησης, συμμόρφωσης και μεταρρύθμισης με τους στόχους της ποιότητας, της τοπικής προσαρμογής και της λογοδοσίας έναντι των πληττόμενων πληθυσμών·</w:t>
      </w:r>
    </w:p>
    <w:p w:rsidR="008F3D7E" w:rsidRPr="002A30DA" w:rsidP="002A30DA" w14:paraId="1553F979" w14:textId="14F5082F">
      <w:pPr>
        <w:pStyle w:val="NormalHanging12a"/>
        <w:widowControl/>
      </w:pPr>
      <w:r w:rsidRPr="002A30DA">
        <w:t>16.</w:t>
      </w:r>
      <w:r w:rsidRPr="002A30DA">
        <w:tab/>
      </w:r>
      <w:r w:rsidRPr="002A30DA">
        <w:t xml:space="preserve">ενθαρρύνει την Επιτροπή να συνεχίσει τις προσπάθειές της προκειμένου να καταστούν οι ανθρωπιστικές αλυσίδες εφοδιασμού πιο αποτελεσματικές, αποδοτικές, περιβαλλοντικά βιώσιμες και ανθεκτικές· καλεί την Επιτροπή να σχεδιάσει τις εν λόγω </w:t>
      </w:r>
      <w:r w:rsidRPr="002A30DA">
        <w:t>μεταρρυθμίσεις από κοινού με τους φορείς υλοποίησης και να τις στηρίξει με επαρκή χρηματοδότηση·</w:t>
      </w:r>
    </w:p>
    <w:p w:rsidR="008F3D7E" w:rsidRPr="002A30DA" w:rsidP="002A30DA" w14:paraId="5196457D" w14:textId="459C36F4">
      <w:pPr>
        <w:pStyle w:val="NormalHanging12a"/>
        <w:widowControl/>
        <w:rPr>
          <w:szCs w:val="24"/>
        </w:rPr>
      </w:pPr>
      <w:r w:rsidRPr="002A30DA">
        <w:rPr>
          <w:szCs w:val="24"/>
        </w:rPr>
        <w:t>17.</w:t>
      </w:r>
      <w:r w:rsidRPr="002A30DA">
        <w:rPr>
          <w:szCs w:val="24"/>
        </w:rPr>
        <w:tab/>
      </w:r>
      <w:r w:rsidRPr="002A30DA">
        <w:t>σημειώνει τη δέσμευση της Επιτροπής να αναπτύξει τουλάχιστον τα δύο τρίτα της ανθρωπιστικής της χρηματοδότησης μέσω μετασχηματιστικών μεθόδων που αυξάνουν την ευελιξία και την αποδοτικότητα και μειώνουν τον διοικητικό φόρτο για τους εταίρους· ενθαρρύνει την Επιτροπή να διευρύνει περαιτέρω τη χρήση της βοήθειας σε μετρητά, όπου ενδείκνυται, ως μια αποδοτική, αξιοπρεπή και ανθρωποκεντρική μέθοδο παροχής ανθρωπιστικής βοήθειας·</w:t>
      </w:r>
    </w:p>
    <w:p w:rsidR="008F3D7E" w:rsidRPr="002A30DA" w:rsidP="002A30DA" w14:paraId="0CF49E89" w14:textId="2846F7C6">
      <w:pPr>
        <w:pStyle w:val="NormalHanging12a"/>
        <w:widowControl/>
      </w:pPr>
      <w:r w:rsidRPr="002A30DA">
        <w:t>18.</w:t>
      </w:r>
      <w:r w:rsidRPr="002A30DA">
        <w:tab/>
      </w:r>
      <w:r w:rsidRPr="002A30DA">
        <w:t>στηρίζει ένθερμα το θεματολόγιο και τον χάρτη πορείας για την τοπική προσαρμογή· ζητεί από την Επιτροπή να υποβάλει έκθεση, έως τα τέλη του 2026, σχετικά με την πρόοδο που έχει σημειώσει προς την επίτευξη του στόχου της να χορηγεί, έως το 2027, το 25 % της ανθρωπιστικής χρηματοδότησης όσο το δυνατόν πιο άμεσα σε τοπικούς φορείς μέσω διεθνών οργανισμών και οργανώσεων, εξειδικευμένων οργανισμών των κρατών μελών και ΜΚΟ-εταίρων, τονίζοντας παράλληλα τον κεντρικό ρόλο του ΟΗΕ στον συντονισμό της διεθνούς ανθρωπιστικής αντίδρασης σε καταστροφές και ένοπλες συγκρούσεις· ζητεί από την Επιτροπή να εξετάσει τον τρόπο με τον οποίο μπορεί να σημειώσει περαιτέρω πρόοδο όσον αφορά την τοπική προσαρμογή μετά το 2027·</w:t>
      </w:r>
    </w:p>
    <w:p w:rsidR="008F3D7E" w:rsidRPr="002A30DA" w:rsidP="002A30DA" w14:paraId="1F72A43F" w14:textId="1AEA4432">
      <w:pPr>
        <w:pStyle w:val="NormalHanging12a"/>
        <w:widowControl/>
      </w:pPr>
      <w:r w:rsidRPr="002A30DA">
        <w:t>19.</w:t>
      </w:r>
      <w:r w:rsidRPr="002A30DA">
        <w:tab/>
      </w:r>
      <w:r w:rsidRPr="002A30DA">
        <w:t>καλεί την Επιτροπή και τα κράτη μέλη να διασφαλίσουν ουσιαστική τοπική προσαρμογή και ισότιμες εταιρικές σχέσεις με τους τοπικούς φορείς αντίδρασης, μεταξύ άλλων διασφαλίζοντας ότι οι τοπικοί φορείς διαδραματίζουν ενεργό ρόλο στη λήψη αποφάσεων, τον σχεδιασμό, την παρακολούθηση και την αξιολόγηση των αντιδράσεων στον ανθρωπιστικό τομέα· χαιρετίζει θερμά τη δέσμευση της ΕΕ να επενδύσει στη συμμετοχή των τοπικών φορέων στην ανθρωπιστική διπλωματία· καλεί την Επιτροπή να απλουστεύσει την πρόσβαση των τοπικών φορέων στην ανθρωπιστική χρηματοδότηση της ΕΕ, μεταξύ άλλων μειώνοντας τα διοικητικά εμπόδια, προσαρμόζοντας τις απαιτήσεις συμμόρφωσης και υποβολής εκθέσεων και αυξάνοντας τη χρήση προβλέψιμων και ενδιάμεσων μηχανισμών χρηματοδότησης·</w:t>
      </w:r>
    </w:p>
    <w:p w:rsidR="008F3D7E" w:rsidRPr="002A30DA" w:rsidP="000C68A1" w14:paraId="0C13BA64" w14:textId="77777777">
      <w:pPr>
        <w:pStyle w:val="NormalHanging12a"/>
        <w:widowControl/>
        <w:rPr>
          <w:b/>
          <w:i/>
          <w:iCs/>
        </w:rPr>
      </w:pPr>
      <w:r w:rsidRPr="002A30DA">
        <w:rPr>
          <w:b/>
          <w:bCs/>
          <w:i/>
          <w:iCs/>
        </w:rPr>
        <w:t>Σύναψη εταιρικών σχέσεων – Προς μια ολοκληρωμένη προσέγγιση της αστάθειας</w:t>
      </w:r>
    </w:p>
    <w:p w:rsidR="008F3D7E" w:rsidRPr="002A30DA" w:rsidP="002A30DA" w14:paraId="6BE235F6" w14:textId="6151D1CB">
      <w:pPr>
        <w:pStyle w:val="NormalHanging12a"/>
        <w:widowControl/>
        <w:rPr>
          <w:bCs/>
          <w:iCs/>
        </w:rPr>
      </w:pPr>
      <w:r w:rsidRPr="002A30DA">
        <w:rPr>
          <w:bCs/>
          <w:iCs/>
        </w:rPr>
        <w:t>20.</w:t>
      </w:r>
      <w:r w:rsidRPr="002A30DA">
        <w:rPr>
          <w:bCs/>
          <w:iCs/>
        </w:rPr>
        <w:tab/>
      </w:r>
      <w:r w:rsidRPr="002A30DA">
        <w:t>υπογραμμίζει ότι η συνολική προσέγγιση της ΕΕ όσον αφορά τα ασταθή πλαίσια πρέπει να διασφαλίζει τη συνοχή μεταξύ των ανθρωπιστικών, αναπτυξιακών και σχετικών με την ασφάλεια μέσων της, να συνάδει με το πλέγμα μεταξύ ανθρωπιστικής βοήθειας, ανάπτυξης και ειρήνης και να ενσωματώνει ουσιαστικά τις περιβαλλοντικές και κλιματικές παραμέτρους· καλεί την Επιτροπή και τα κράτη μέλη να αυξήσουν τη στήριξη τόσο για τους εκτοπισθέντες πληθυσμούς όσο και για τις κοινότητες που τους φιλοξενούν, να επενδύσουν σε βιώσιμες λύσεις και στην αυτοδυναμία, και να διασφαλίσουν ότι οι αντιδράσεις στον παρατεταμένο εκτοπισμό γεφυρώνουν την ανθρωπιστική, αναπτυξιακή και ειρηνευτική δράση·</w:t>
      </w:r>
    </w:p>
    <w:p w:rsidR="008F3D7E" w:rsidRPr="002A30DA" w:rsidP="002A30DA" w14:paraId="603D21F1" w14:textId="13DEB1A5">
      <w:pPr>
        <w:pStyle w:val="NormalHanging12a"/>
        <w:widowControl/>
        <w:rPr>
          <w:bCs/>
          <w:iCs/>
          <w:szCs w:val="24"/>
        </w:rPr>
      </w:pPr>
      <w:r w:rsidRPr="002A30DA">
        <w:rPr>
          <w:bCs/>
          <w:iCs/>
          <w:szCs w:val="24"/>
        </w:rPr>
        <w:t>21.</w:t>
      </w:r>
      <w:r w:rsidRPr="002A30DA">
        <w:rPr>
          <w:bCs/>
          <w:iCs/>
          <w:szCs w:val="24"/>
        </w:rPr>
        <w:tab/>
      </w:r>
      <w:r w:rsidRPr="002A30DA">
        <w:t xml:space="preserve">αναγνωρίζει τη σημασία των συντονισμένων προσεγγίσεων μεταξύ των φορέων ανθρωπιστικής βοήθειας, ανάπτυξης και ειρήνης σε ασταθή περιβάλλοντα που πλήττονται από συγκρούσεις· τονίζει ότι ο συντονισμός αυτός πρέπει να σέβεται πλήρως τις διακριτές εντολές και τις αρχές λειτουργίας της ανθρωπιστικής δράσης· προειδοποιεί ότι δεν πρέπει να υποτάσσεται η ανθρωπιστική βοήθεια σε στόχους που δεν καθοδηγούνται από τις ανθρωπιστικές αρχές, καθώς μια τέτοια υπαγωγή ενδέχεται να θέσει σε κίνδυνο την ασφαλή ανθρωπιστική πρόσβαση και την αποδοχή της από τις </w:t>
      </w:r>
      <w:r w:rsidRPr="002A30DA">
        <w:t>πληττόμενες κοινότητες και τα αντιμαχόμενα μέρη, και να εκθέσει τους δικαιούχους και το προσωπικό ανθρωπιστικής βοήθειας σε πρόσθετους κινδύνους·</w:t>
      </w:r>
    </w:p>
    <w:p w:rsidR="008F3D7E" w:rsidRPr="002A30DA" w:rsidP="002A30DA" w14:paraId="244BF2E5" w14:textId="12F9CA9D">
      <w:pPr>
        <w:pStyle w:val="NormalHanging12a"/>
        <w:widowControl/>
        <w:rPr>
          <w:bCs/>
          <w:iCs/>
        </w:rPr>
      </w:pPr>
      <w:r w:rsidRPr="002A30DA">
        <w:rPr>
          <w:bCs/>
          <w:iCs/>
        </w:rPr>
        <w:t>22.</w:t>
      </w:r>
      <w:r w:rsidRPr="002A30DA">
        <w:rPr>
          <w:bCs/>
          <w:iCs/>
        </w:rPr>
        <w:tab/>
      </w:r>
      <w:r w:rsidRPr="002A30DA">
        <w:t>ζητεί από την Επιτροπή να παράσχει περαιτέρω καθοδήγηση σχετικά με την ενσωμάτωση των δράσεων στους τομείς της ανθρωπιστικής βοήθειας, της ανάπτυξης και της ειρήνης μέσω διαδοχικής, συμπληρωματικής ή κοινής χρηματοδότησης με τα κράτη μέλη· ενθαρρύνει την Επιτροπή να κάνει χρήση των διαθέσιμων περιθωρίων ευελιξίας στα χρηματοδοτικά μέσα, προκειμένου να ανταποκριθεί κατάλληλα σε κρίσεις σε ασταθή περιβάλλοντα·</w:t>
      </w:r>
    </w:p>
    <w:p w:rsidR="008F3D7E" w:rsidRPr="002A30DA" w:rsidP="002A30DA" w14:paraId="10B1F497" w14:textId="02D07A8B">
      <w:pPr>
        <w:pStyle w:val="NormalHanging12a"/>
        <w:widowControl/>
        <w:rPr>
          <w:bCs/>
          <w:iCs/>
          <w:szCs w:val="24"/>
        </w:rPr>
      </w:pPr>
      <w:r w:rsidRPr="002A30DA">
        <w:rPr>
          <w:bCs/>
          <w:iCs/>
          <w:szCs w:val="24"/>
        </w:rPr>
        <w:t>23.</w:t>
      </w:r>
      <w:r w:rsidRPr="002A30DA">
        <w:rPr>
          <w:bCs/>
          <w:iCs/>
          <w:szCs w:val="24"/>
        </w:rPr>
        <w:tab/>
      </w:r>
      <w:r w:rsidRPr="002A30DA">
        <w:t>τονίζει τη σημασία της διαρκούς δραστηριοποίησης σε ασταθή και πληττόμενα από συγκρούσεις περιβάλλοντα, με μια ανθρωποκεντρική προσέγγιση η οποία θα είναι πλήρως ευθυγραμμισμένη με τους στόχους βιώσιμης ανάπτυξης του ΟΗΕ και με την αρχή «κανείς στο περιθώριο»· υπογραμμίζει ότι οι παρεμβάσεις σε ασταθή και πληττόμενα από συγκρούσεις περιβάλλοντα θα πρέπει να αντιμετωπίζουν τα δομικά αίτια της φτώχειας και της ανισότητας, να προωθούν την ανθρώπινη ανάπτυξη, και να προσεγγίζουν κατά προτεραιότητα τους πλέον ευάλωτους χωρίς διακρίσεις για οποιονδήποτε λόγο, ενισχύοντας παράλληλα τη διακυβέρνηση, τη θεσμική ικανότητα και την πρόσβαση σε βασικές υπηρεσίες·</w:t>
      </w:r>
    </w:p>
    <w:p w:rsidR="008F3D7E" w:rsidRPr="002A30DA" w:rsidP="002A30DA" w14:paraId="1600FD94" w14:textId="468BF8B1">
      <w:pPr>
        <w:pStyle w:val="NormalHanging12a"/>
        <w:widowControl/>
        <w:rPr>
          <w:bCs/>
          <w:iCs/>
        </w:rPr>
      </w:pPr>
      <w:r w:rsidRPr="002A30DA">
        <w:rPr>
          <w:bCs/>
          <w:iCs/>
        </w:rPr>
        <w:t>24.</w:t>
      </w:r>
      <w:r w:rsidRPr="002A30DA">
        <w:rPr>
          <w:bCs/>
          <w:iCs/>
        </w:rPr>
        <w:tab/>
      </w:r>
      <w:r w:rsidRPr="002A30DA">
        <w:t>υποστηρίζει τις προσπάθειες για την ενίσχυση του συντονισμού της «Ομάδας Ευρώπη» σε ασταθή περιβάλλοντα και για την ενίσχυση των εταιρικών σχέσεων με τρίτες χώρες, περιφερειακούς και πολυμερείς οργανισμούς, διεθνείς αναπτυξιακές τράπεζες, τον ιδιωτικό τομέα και φιλανθρωπικά ιδρύματα· καλεί την Επιτροπή να συνεργαστεί στενά με τοπικούς φορείς και οργανώσεις της κοινωνίας των πολιτών, καθώς και με τοπικές κοινότητες σε ασταθή περιβάλλοντα, προκειμένου να ενισχύσει τη βιωσιμότητα, την ανθεκτικότητα σε επίπεδο κοινότητας και τη λογοδοσία·</w:t>
      </w:r>
    </w:p>
    <w:p w:rsidR="008F3D7E" w:rsidRPr="002A30DA" w:rsidP="002A30DA" w14:paraId="3F0CDD80" w14:textId="07FE6C43">
      <w:pPr>
        <w:pStyle w:val="NormalHanging12a"/>
        <w:widowControl/>
        <w:rPr>
          <w:bCs/>
          <w:iCs/>
        </w:rPr>
      </w:pPr>
      <w:r w:rsidRPr="002A30DA">
        <w:rPr>
          <w:bCs/>
          <w:iCs/>
        </w:rPr>
        <w:t>25.</w:t>
      </w:r>
      <w:r w:rsidRPr="002A30DA">
        <w:rPr>
          <w:bCs/>
          <w:iCs/>
        </w:rPr>
        <w:tab/>
      </w:r>
      <w:r w:rsidRPr="002A30DA">
        <w:t>χαιρετίζει την ανακοίνωση της Επιτροπής ότι θα αναπτύξει ένα νέο παγκόσμιο πρόγραμμα για πολυτομεακές εκτιμήσεις αναγκών και επενδύσεις στην ποιότητα των δεδομένων, τη διαλειτουργικότητα, την ασφαλή ανταλλαγή δεδομένων και σε ισχυρότερα εργαλεία ανάλυσης και υποβολής εκθέσεων, συμπεριλαμβανομένων εργαλείων γεωσκόπησης και μοντελοποίησης, προκειμένου να ενισχυθεί η λήψη τεκμηριωμένων αποφάσεων και να καταστούν δυνατές ταχύτερες, πιο συντονισμένες και αποτελεσματικές ανθρωπιστικές αντιδράσεις·</w:t>
      </w:r>
    </w:p>
    <w:p w:rsidR="008F3D7E" w:rsidRPr="002A30DA" w:rsidP="002A30DA" w14:paraId="6B9A3CF5" w14:textId="1908F728">
      <w:pPr>
        <w:pStyle w:val="NormalHanging12a"/>
        <w:widowControl/>
        <w:rPr>
          <w:bCs/>
          <w:iCs/>
          <w:szCs w:val="24"/>
        </w:rPr>
      </w:pPr>
      <w:r w:rsidRPr="002A30DA">
        <w:rPr>
          <w:bCs/>
          <w:iCs/>
          <w:szCs w:val="24"/>
        </w:rPr>
        <w:t>26.</w:t>
      </w:r>
      <w:r w:rsidRPr="002A30DA">
        <w:rPr>
          <w:bCs/>
          <w:iCs/>
          <w:szCs w:val="24"/>
        </w:rPr>
        <w:tab/>
      </w:r>
      <w:r w:rsidRPr="002A30DA">
        <w:t>τονίζει τη σημασία του προγραμματισμού που συνυπολογίζει τις συγκρούσεις και καλεί την Επιτροπή και τους εταίρους να ενσωματώνουν συστηματικά την ανάλυση των συγκρούσεων στις ανθρωπιστικές και αναπτυξιακές παρεμβάσεις σε ασταθή περιβάλλοντα·</w:t>
      </w:r>
    </w:p>
    <w:p w:rsidR="008F3D7E" w:rsidRPr="002A30DA" w:rsidP="002A30DA" w14:paraId="17216B75" w14:textId="041E49FC">
      <w:pPr>
        <w:pStyle w:val="NormalHanging12a"/>
        <w:widowControl/>
        <w:rPr>
          <w:bCs/>
          <w:iCs/>
          <w:szCs w:val="24"/>
        </w:rPr>
      </w:pPr>
      <w:r w:rsidRPr="002A30DA">
        <w:rPr>
          <w:bCs/>
          <w:iCs/>
          <w:szCs w:val="24"/>
        </w:rPr>
        <w:t>27.</w:t>
      </w:r>
      <w:r w:rsidRPr="002A30DA">
        <w:rPr>
          <w:bCs/>
          <w:iCs/>
          <w:szCs w:val="24"/>
        </w:rPr>
        <w:tab/>
      </w:r>
      <w:r w:rsidRPr="002A30DA">
        <w:t>ζητεί να χορηγηθεί στις αντιπροσωπείες της ΕΕ επαρκής επιχειρησιακή ευελιξία ώστε να προσαρμόζουν τα προγράμματα σε ταχέως εξελισσόμενα ασταθή περιβάλλοντα, και να συντονίζουν αποτελεσματικά τον πολιτικό διάλογο και την υλοποίηση σε ολόκληρο το πλέγμα ανθρωπιστικής βοήθειας, ανάπτυξης και ειρήνης·</w:t>
      </w:r>
    </w:p>
    <w:p w:rsidR="008F3D7E" w:rsidRPr="002A30DA" w:rsidP="002A30DA" w14:paraId="78242312" w14:textId="6258CF87">
      <w:pPr>
        <w:pStyle w:val="NormalHanging12a"/>
        <w:widowControl/>
        <w:rPr>
          <w:bCs/>
          <w:iCs/>
        </w:rPr>
      </w:pPr>
      <w:r w:rsidRPr="002A30DA">
        <w:rPr>
          <w:bCs/>
          <w:iCs/>
        </w:rPr>
        <w:t>28.</w:t>
      </w:r>
      <w:r w:rsidRPr="002A30DA">
        <w:rPr>
          <w:bCs/>
          <w:iCs/>
        </w:rPr>
        <w:tab/>
      </w:r>
      <w:r w:rsidRPr="002A30DA">
        <w:t xml:space="preserve">σημειώνει την πρόθεση της Επιτροπής να αυξήσει τη χρηματοδότηση για έργα που στηρίζουν τη συμμετοχή του ιδιωτικού τομέα και καινοτόμες επενδύσεις επιμερισμού του κινδύνου σε παρατεταμένα ανθρωπιστικά πλαίσια· ενθαρρύνει την Επιτροπή να προσδιορίσει τα πλέον κατάλληλα μέσα για κάθε πλαίσιο, διασφαλίζοντας μια προσέγγιση στις επενδύσεις που συνυπολογίζει τις συγκρούσεις, και να αξιολογήσει </w:t>
      </w:r>
      <w:r w:rsidRPr="002A30DA">
        <w:t>την ανάπτυξη της στρατηγικής Global Gateway ως μέσου της ΕΕ για την οικοδόμηση ανθεκτικότητας και βιώσιμης ανάπτυξης σε ασταθή περιβάλλοντα, μεταξύ άλλων για τις πλέον οξείες και άμεσες ανάγκες·</w:t>
      </w:r>
    </w:p>
    <w:p w:rsidR="008F3D7E" w:rsidRPr="002A30DA" w:rsidP="002A30DA" w14:paraId="1D6252E4" w14:textId="7CC31064">
      <w:pPr>
        <w:pStyle w:val="NormalHanging12a"/>
        <w:widowControl/>
        <w:rPr>
          <w:bCs/>
          <w:iCs/>
          <w:szCs w:val="24"/>
        </w:rPr>
      </w:pPr>
      <w:r w:rsidRPr="002A30DA">
        <w:rPr>
          <w:bCs/>
          <w:iCs/>
          <w:szCs w:val="24"/>
        </w:rPr>
        <w:t>29.</w:t>
      </w:r>
      <w:r w:rsidRPr="002A30DA">
        <w:rPr>
          <w:bCs/>
          <w:iCs/>
          <w:szCs w:val="24"/>
        </w:rPr>
        <w:tab/>
      </w:r>
      <w:r w:rsidRPr="002A30DA">
        <w:t>καλεί την Επιτροπή να στηρίξει την υπεύθυνη δραστηριοποίηση του ιδιωτικού τομέα σε ανθρωπιστικά περιβάλλοντα, σύμφωνα με τις ανθρωπιστικές αρχές και τις απαιτήσεις διαφάνειας και λογοδοσίας, συμβάλλοντας παράλληλα στη βιώσιμη και χωρίς αποκλεισμούς ανάπτυξη, μεταξύ άλλων μέσω της δημιουργίας αξιοπρεπών θέσεων εργασίας και της μείωσης της φτώχειας·</w:t>
      </w:r>
    </w:p>
    <w:p w:rsidR="008F3D7E" w:rsidRPr="002A30DA" w:rsidP="002A30DA" w14:paraId="6012B74A" w14:textId="44B206FE">
      <w:pPr>
        <w:pStyle w:val="NormalHanging12a"/>
        <w:widowControl/>
        <w:rPr>
          <w:bCs/>
          <w:iCs/>
          <w:szCs w:val="24"/>
        </w:rPr>
      </w:pPr>
      <w:r w:rsidRPr="002A30DA">
        <w:rPr>
          <w:bCs/>
          <w:iCs/>
          <w:szCs w:val="24"/>
        </w:rPr>
        <w:t>30.</w:t>
      </w:r>
      <w:r w:rsidRPr="002A30DA">
        <w:rPr>
          <w:bCs/>
          <w:iCs/>
          <w:szCs w:val="24"/>
        </w:rPr>
        <w:tab/>
      </w:r>
      <w:r w:rsidRPr="002A30DA">
        <w:t>τονίζει ότι η ΕΑΒ θα πρέπει να κατανέμεται εκεί όπου είναι περισσότερο αναγκαία και πρέπει να παραμείνει βασικό εργαλείο για την αντιμετώπιση των ανθρωπιστικών αναγκών και την παροχή σωτήριων υπηρεσιών σε πληθυσμούς που πλήττονται από κρίσεις, στοιχεία που αποτελούν προϋποθέσεις για σταθερές, χωρίς αποκλεισμούς και ευημερούσες κοινωνίες· υπογραμμίζει ότι οι συμπράξεις δημόσιου και ιδιωτικού τομέα μπορούν να συμπληρώνουν, αλλά δεν πρέπει να αντικαθιστούν την ΕΑΒ για την παροχή ανθρωπιστικής βοήθειας και τη στήριξη της ανθεκτικότητας·</w:t>
      </w:r>
    </w:p>
    <w:p w:rsidR="008F3D7E" w:rsidRPr="002A30DA" w:rsidP="002A30DA" w14:paraId="490E7024" w14:textId="1A5186EE">
      <w:pPr>
        <w:pStyle w:val="NormalHanging12a"/>
        <w:widowControl/>
        <w:rPr>
          <w:bCs/>
          <w:iCs/>
          <w:szCs w:val="24"/>
        </w:rPr>
      </w:pPr>
      <w:r w:rsidRPr="002A30DA">
        <w:rPr>
          <w:bCs/>
          <w:iCs/>
          <w:szCs w:val="24"/>
        </w:rPr>
        <w:t>31.</w:t>
      </w:r>
      <w:r w:rsidRPr="002A30DA">
        <w:rPr>
          <w:bCs/>
          <w:iCs/>
          <w:szCs w:val="24"/>
        </w:rPr>
        <w:tab/>
      </w:r>
      <w:r w:rsidRPr="002A30DA">
        <w:t>καλεί την Επιτροπή να παρακολουθεί τακτικά την υλοποίηση των δεσμεύσεων σχετικά με την αστάθεια και να υποβάλλει ανά διετία έκθεση στο Κοινοβούλιο σχετικά με την υλοποίησή τους· τονίζει τη σημασία του στενού συντονισμού μεταξύ των υπηρεσιών της Επιτροπής, της ΕΥΕΔ και των αντιπροσωπειών της ΕΕ, μεταξύ άλλων μέσω ειδικών πλαισίων για την αστάθεια· ζητεί από την Επιτροπή περαιτέρω διευκρινίσεις σχετικά με τον ρόλο των υπηρεσιών που συμμετέχουν στην ολοκληρωμένη προσέγγιση της αστάθειας· καλεί την Επιτροπή και την ΕΥΕΔ να συνεργαστούν ενεργά με τον ΟΗΕ και άλλους διεθνείς εταίρους για την αντιμετώπιση της αστάθειας·</w:t>
      </w:r>
    </w:p>
    <w:p w:rsidR="008F3D7E" w:rsidRPr="002A30DA" w:rsidP="000C68A1" w14:paraId="49F10240" w14:textId="77777777">
      <w:pPr>
        <w:pStyle w:val="NormalHanging12a"/>
        <w:widowControl/>
        <w:rPr>
          <w:b/>
          <w:i/>
          <w:iCs/>
        </w:rPr>
      </w:pPr>
      <w:r w:rsidRPr="002A30DA">
        <w:rPr>
          <w:b/>
          <w:i/>
        </w:rPr>
        <w:t>Μελλοντική πορεία και υλοποίηση</w:t>
      </w:r>
    </w:p>
    <w:p w:rsidR="008F3D7E" w:rsidRPr="002A30DA" w:rsidP="002A30DA" w14:paraId="3DF01DAD" w14:textId="40871C32">
      <w:pPr>
        <w:pStyle w:val="NormalHanging12a"/>
        <w:widowControl/>
      </w:pPr>
      <w:r w:rsidRPr="002A30DA">
        <w:t>32.</w:t>
      </w:r>
      <w:r w:rsidRPr="002A30DA">
        <w:tab/>
      </w:r>
      <w:r w:rsidRPr="002A30DA">
        <w:t>καλεί την Επιτροπή και την ΕΥΕΔ να καταρτίσουν ένα σαφές σχέδιο υλοποίησης και παρακολούθησης για τις δεσμεύσεις που έχουν αναληφθεί στην κοινή ανακοίνωση για την ανθρωπιστική βοήθεια και στα συνοδευτικά έγγραφα εργασίας των υπηρεσιών, και να διασφαλίσουν την πλήρη συμμετοχή του Κοινοβουλίου στη διαδικασία αυτή·</w:t>
      </w:r>
    </w:p>
    <w:p w:rsidR="008F3D7E" w:rsidRPr="002A30DA" w:rsidP="002A30DA" w14:paraId="3FAF5A2D" w14:textId="10845A41">
      <w:pPr>
        <w:pStyle w:val="NormalHanging12a"/>
        <w:widowControl/>
        <w:rPr>
          <w:szCs w:val="24"/>
        </w:rPr>
      </w:pPr>
      <w:r w:rsidRPr="002A30DA">
        <w:rPr>
          <w:szCs w:val="24"/>
        </w:rPr>
        <w:t>33.</w:t>
      </w:r>
      <w:r w:rsidRPr="002A30DA">
        <w:rPr>
          <w:szCs w:val="24"/>
        </w:rPr>
        <w:tab/>
      </w:r>
      <w:r w:rsidRPr="002A30DA">
        <w:t>υπογραμμίζει τη σημασία της κοινοβουλευτικής διπλωματίας και του δημοκρατικού ελέγχου για την ενίσχυση της λογοδοσίας και της νομιμοποίησης όσον αφορά την ανθρωπιστική δράση· τονίζει τη συμβολή των διακοινοβουλευτικών οργάνων, όπως η Κοινοβουλευτική Συνέλευση Αφρικής-ΕΕ και η Κοινοβουλευτική Συνέλευση Ίσης Εκπροσώπησης ΕΕ-Οργανισμού Κρατών της Αφρικής, της Καραϊβικής και του Ειρηνικού, στη διεξαγωγή διαλόγου με χώρες και περιοχές εταίρους σχετικά με τις ανθρωπιστικές ανάγκες, διασφαλίζοντας κατ’ αυτόν τον τρόπο τον ανθρωπιστικό χώρο·</w:t>
      </w:r>
    </w:p>
    <w:p w:rsidR="008F3D7E" w:rsidRPr="002A30DA" w:rsidP="000C68A1" w14:paraId="45235281" w14:textId="77777777">
      <w:pPr>
        <w:pStyle w:val="NormalHanging12a"/>
        <w:widowControl/>
        <w:jc w:val="center"/>
      </w:pPr>
      <w:r w:rsidRPr="002A30DA">
        <w:t>°</w:t>
      </w:r>
    </w:p>
    <w:p w:rsidR="008F3D7E" w:rsidRPr="002A30DA" w:rsidP="000C68A1" w14:paraId="7720F6C0" w14:textId="77777777">
      <w:pPr>
        <w:pStyle w:val="NormalHanging12a"/>
        <w:widowControl/>
        <w:jc w:val="center"/>
      </w:pPr>
      <w:r w:rsidRPr="002A30DA">
        <w:t>°</w:t>
      </w:r>
      <w:r w:rsidRPr="002A30DA">
        <w:tab/>
        <w:t>°</w:t>
      </w:r>
    </w:p>
    <w:p w:rsidR="008535A3" w:rsidRPr="002A30DA" w:rsidP="002A30DA" w14:paraId="46A7266D" w14:textId="524A895B">
      <w:pPr>
        <w:pStyle w:val="NormalHanging12a"/>
        <w:widowControl/>
      </w:pPr>
      <w:r w:rsidRPr="002A30DA">
        <w:t>34.</w:t>
      </w:r>
      <w:r w:rsidRPr="002A30DA">
        <w:tab/>
      </w:r>
      <w:r w:rsidRPr="002A30DA" w:rsidR="008F3D7E">
        <w:t>αναθέτει στον Πρόεδρό του να διαβιβάσει το παρόν ψήφισμα στην Επιτροπή, στην Ευρωπαϊκή Υπηρεσία Εξωτερικής Δράσης, στο Συμβούλιο και στις κυβερνήσεις και τα κοινοβούλια των κρατών μελών.</w:t>
      </w:r>
    </w:p>
    <w:p w:rsidR="00E365E1" w:rsidRPr="002A30DA" w:rsidP="000C68A1" w14:paraId="2D1ABEEF" w14:textId="194F4D97">
      <w:pPr>
        <w:widowControl/>
        <w:spacing w:after="240"/>
        <w:ind w:left="567" w:hanging="567"/>
      </w:pPr>
    </w:p>
    <w:sectPr w:rsidSect="008535A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535A3" w14:paraId="496F0A2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535A3" w14:paraId="55F61BC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535A3" w14:paraId="27D2E5C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26D2E" w:rsidRPr="008535A3" w14:paraId="5E309967" w14:textId="77777777">
      <w:r w:rsidRPr="008535A3">
        <w:separator/>
      </w:r>
    </w:p>
  </w:footnote>
  <w:footnote w:type="continuationSeparator" w:id="1">
    <w:p w:rsidR="00426D2E" w:rsidRPr="008535A3" w14:paraId="25B77FF9" w14:textId="77777777">
      <w:r w:rsidRPr="008535A3">
        <w:continuationSeparator/>
      </w:r>
    </w:p>
  </w:footnote>
  <w:footnote w:id="2">
    <w:p w:rsidR="008F3D7E" w:rsidRPr="008535A3" w:rsidP="008535A3" w14:paraId="4A79E60F" w14:textId="276AE028">
      <w:pPr>
        <w:pStyle w:val="FootnoteText"/>
        <w:ind w:left="567" w:hanging="567"/>
        <w:rPr>
          <w:sz w:val="24"/>
          <w:lang w:val="el-GR"/>
        </w:rPr>
      </w:pPr>
      <w:r w:rsidRPr="008535A3">
        <w:rPr>
          <w:rStyle w:val="FootnoteReference"/>
          <w:sz w:val="24"/>
          <w:lang w:val="el-GR"/>
        </w:rPr>
        <w:footnoteRef/>
      </w:r>
      <w:r w:rsidRPr="008535A3" w:rsidR="008535A3">
        <w:rPr>
          <w:sz w:val="24"/>
          <w:lang w:val="el-GR"/>
        </w:rPr>
        <w:t xml:space="preserve"> </w:t>
      </w:r>
      <w:r w:rsidRPr="008535A3" w:rsidR="008535A3">
        <w:rPr>
          <w:sz w:val="24"/>
          <w:lang w:val="el-GR"/>
        </w:rPr>
        <w:tab/>
      </w:r>
      <w:r w:rsidRPr="008535A3">
        <w:rPr>
          <w:sz w:val="24"/>
          <w:lang w:val="el-GR"/>
        </w:rPr>
        <w:t xml:space="preserve">Γραφείο Συντονισμού Ανθρωπιστικών Υποθέσεων των Ηνωμένων Εθνών «Global Humanitarian Overview 2026», </w:t>
      </w:r>
      <w:hyperlink r:id="rId1" w:history="1">
        <w:r w:rsidRPr="008535A3">
          <w:rPr>
            <w:rStyle w:val="Hyperlink"/>
            <w:sz w:val="24"/>
            <w:lang w:val="el-GR"/>
          </w:rPr>
          <w:t>https://humanitarianaction.info/document/global-humanitarian-overview-2026</w:t>
        </w:r>
      </w:hyperlink>
      <w:r w:rsidRPr="008535A3">
        <w:rPr>
          <w:sz w:val="24"/>
          <w:lang w:val="el-GR"/>
        </w:rPr>
        <w:t>.</w:t>
      </w:r>
    </w:p>
  </w:footnote>
  <w:footnote w:id="3">
    <w:p w:rsidR="008F3D7E" w:rsidRPr="008535A3" w:rsidP="008535A3" w14:paraId="417B9815" w14:textId="34118B6E">
      <w:pPr>
        <w:pStyle w:val="FootnoteText"/>
        <w:ind w:left="567" w:hanging="567"/>
        <w:rPr>
          <w:sz w:val="24"/>
          <w:lang w:val="el-GR"/>
        </w:rPr>
      </w:pPr>
      <w:r w:rsidRPr="008535A3">
        <w:rPr>
          <w:rStyle w:val="FootnoteReference"/>
          <w:sz w:val="24"/>
          <w:lang w:val="el-GR"/>
        </w:rPr>
        <w:footnoteRef/>
      </w:r>
      <w:r w:rsidRPr="008535A3" w:rsidR="008535A3">
        <w:rPr>
          <w:sz w:val="24"/>
          <w:lang w:val="el-GR"/>
        </w:rPr>
        <w:t xml:space="preserve"> </w:t>
      </w:r>
      <w:r w:rsidRPr="008535A3" w:rsidR="008535A3">
        <w:rPr>
          <w:sz w:val="24"/>
          <w:lang w:val="el-GR"/>
        </w:rPr>
        <w:tab/>
      </w:r>
      <w:r w:rsidRPr="008535A3">
        <w:rPr>
          <w:sz w:val="24"/>
          <w:lang w:val="el-GR"/>
        </w:rPr>
        <w:t>Ευρωπαϊκό Συμβούλιο και Συμβούλιο της ΕΕ, «Ανθρωπιστική βοήθεια»,</w:t>
      </w:r>
      <w:hyperlink r:id="rId2" w:history="1">
        <w:r w:rsidRPr="008535A3">
          <w:rPr>
            <w:rStyle w:val="Hyperlink"/>
            <w:sz w:val="24"/>
            <w:lang w:val="el-GR"/>
          </w:rPr>
          <w:t xml:space="preserve"> https://www.consilium.europa.eu/el/policies/humanitarian-aid/</w:t>
        </w:r>
      </w:hyperlink>
      <w:r w:rsidRPr="008535A3">
        <w:rPr>
          <w:sz w:val="24"/>
          <w:lang w:val="el-GR"/>
        </w:rPr>
        <w:t>.</w:t>
      </w:r>
    </w:p>
  </w:footnote>
  <w:footnote w:id="4">
    <w:p w:rsidR="008F3D7E" w:rsidRPr="008535A3" w:rsidP="008535A3" w14:paraId="3D8624D0" w14:textId="5969530F">
      <w:pPr>
        <w:pStyle w:val="FootnoteText"/>
        <w:ind w:left="567" w:hanging="567"/>
        <w:rPr>
          <w:sz w:val="24"/>
          <w:lang w:val="el-GR"/>
        </w:rPr>
      </w:pPr>
      <w:r w:rsidRPr="008535A3">
        <w:rPr>
          <w:rStyle w:val="FootnoteReference"/>
          <w:sz w:val="24"/>
          <w:lang w:val="el-GR"/>
        </w:rPr>
        <w:footnoteRef/>
      </w:r>
      <w:r w:rsidRPr="008535A3" w:rsidR="008535A3">
        <w:rPr>
          <w:sz w:val="24"/>
          <w:lang w:val="el-GR"/>
        </w:rPr>
        <w:t xml:space="preserve"> </w:t>
      </w:r>
      <w:r w:rsidRPr="008535A3" w:rsidR="008535A3">
        <w:rPr>
          <w:sz w:val="24"/>
          <w:lang w:val="el-GR"/>
        </w:rPr>
        <w:tab/>
      </w:r>
      <w:r w:rsidRPr="008535A3">
        <w:rPr>
          <w:sz w:val="24"/>
          <w:lang w:val="el-GR"/>
        </w:rPr>
        <w:t>Οργανισμός Οικονομικής Συνεργασίας και Ανάπτυξης (ΟΟΣΑ), «States of Fragility 2025», Εκδόσεις ΟΟΣΑ, Παρίσι, 2025,</w:t>
      </w:r>
      <w:hyperlink r:id="rId3" w:history="1">
        <w:r w:rsidRPr="008535A3">
          <w:rPr>
            <w:rStyle w:val="Hyperlink"/>
            <w:sz w:val="24"/>
            <w:lang w:val="el-GR"/>
          </w:rPr>
          <w:t xml:space="preserve"> https://doi.org/10.1787/81982370-en</w:t>
        </w:r>
      </w:hyperlink>
      <w:r w:rsidRPr="008535A3">
        <w:rPr>
          <w:sz w:val="24"/>
          <w:lang w:val="el-GR"/>
        </w:rPr>
        <w:t>.</w:t>
      </w:r>
    </w:p>
  </w:footnote>
  <w:footnote w:id="5">
    <w:p w:rsidR="008F3D7E" w:rsidRPr="008535A3" w:rsidP="008535A3" w14:paraId="5E3F0877" w14:textId="4F7740FC">
      <w:pPr>
        <w:pStyle w:val="FootnoteText"/>
        <w:ind w:left="567" w:hanging="567"/>
        <w:rPr>
          <w:b/>
          <w:bCs/>
          <w:i/>
          <w:iCs/>
          <w:sz w:val="24"/>
          <w:lang w:val="el-GR"/>
        </w:rPr>
      </w:pPr>
      <w:r w:rsidRPr="008535A3">
        <w:rPr>
          <w:rStyle w:val="FootnoteReference"/>
          <w:sz w:val="24"/>
          <w:lang w:val="el-GR"/>
        </w:rPr>
        <w:footnoteRef/>
      </w:r>
      <w:r w:rsidRPr="008535A3" w:rsidR="008535A3">
        <w:rPr>
          <w:sz w:val="24"/>
          <w:lang w:val="el-GR"/>
        </w:rPr>
        <w:t xml:space="preserve"> </w:t>
      </w:r>
      <w:r w:rsidRPr="008535A3" w:rsidR="008535A3">
        <w:rPr>
          <w:sz w:val="24"/>
          <w:lang w:val="el-GR"/>
        </w:rPr>
        <w:tab/>
      </w:r>
      <w:r w:rsidRPr="008535A3">
        <w:rPr>
          <w:sz w:val="24"/>
          <w:lang w:val="el-GR"/>
        </w:rPr>
        <w:t xml:space="preserve">ΟΟΣΑ, «Development Finance for Gender Equality 2024», Εκδόσεις ΟΟΣΑ, Παρίσι, 2024, </w:t>
      </w:r>
      <w:hyperlink r:id="rId4" w:history="1">
        <w:r w:rsidRPr="008535A3">
          <w:rPr>
            <w:rStyle w:val="Hyperlink"/>
            <w:sz w:val="24"/>
            <w:lang w:val="el-GR"/>
          </w:rPr>
          <w:t>https://doi.org/10.1787/e340afbf-en</w:t>
        </w:r>
      </w:hyperlink>
      <w:r w:rsidRPr="008535A3">
        <w:rPr>
          <w:sz w:val="24"/>
          <w:lang w:val="el-GR"/>
        </w:rPr>
        <w:t>.</w:t>
      </w:r>
    </w:p>
  </w:footnote>
  <w:footnote w:id="6">
    <w:p w:rsidR="008F3D7E" w:rsidRPr="008535A3" w:rsidP="008535A3" w14:paraId="3334B352" w14:textId="31D5AC4C">
      <w:pPr>
        <w:pStyle w:val="FootnoteText"/>
        <w:ind w:left="567" w:hanging="567"/>
        <w:rPr>
          <w:sz w:val="24"/>
          <w:lang w:val="el-GR"/>
        </w:rPr>
      </w:pPr>
      <w:r w:rsidRPr="008535A3">
        <w:rPr>
          <w:rStyle w:val="FootnoteReference"/>
          <w:sz w:val="24"/>
          <w:lang w:val="el-GR"/>
        </w:rPr>
        <w:footnoteRef/>
      </w:r>
      <w:r w:rsidRPr="008535A3" w:rsidR="008535A3">
        <w:rPr>
          <w:sz w:val="24"/>
          <w:lang w:val="el-GR"/>
        </w:rPr>
        <w:t xml:space="preserve"> </w:t>
      </w:r>
      <w:r w:rsidRPr="008535A3" w:rsidR="008535A3">
        <w:rPr>
          <w:sz w:val="24"/>
          <w:lang w:val="el-GR"/>
        </w:rPr>
        <w:tab/>
      </w:r>
      <w:r w:rsidRPr="008535A3">
        <w:rPr>
          <w:sz w:val="24"/>
          <w:lang w:val="el-GR"/>
        </w:rPr>
        <w:t xml:space="preserve">Γενικός Γραμματέας του ΟΗΕ, «Women and peace and security – Report of the UN General» </w:t>
      </w:r>
      <w:r w:rsidR="00092B0F">
        <w:rPr>
          <w:sz w:val="24"/>
          <w:lang w:val="el-GR"/>
        </w:rPr>
        <w:t>(</w:t>
      </w:r>
      <w:r w:rsidRPr="008535A3">
        <w:rPr>
          <w:sz w:val="24"/>
          <w:lang w:val="el-GR"/>
        </w:rPr>
        <w:t>Γυναίκες, ειρήνη και ασφάλεια – Έκθεση του Γενικού Γραμματέα του ΟΗΕ</w:t>
      </w:r>
      <w:r w:rsidR="00092B0F">
        <w:rPr>
          <w:sz w:val="24"/>
          <w:lang w:val="el-GR"/>
        </w:rPr>
        <w:t>)</w:t>
      </w:r>
      <w:r w:rsidRPr="008535A3">
        <w:rPr>
          <w:sz w:val="24"/>
          <w:lang w:val="el-GR"/>
        </w:rPr>
        <w:t>, 5 Σεπτεμβρίου 2025.</w:t>
      </w:r>
    </w:p>
  </w:footnote>
  <w:footnote w:id="7">
    <w:p w:rsidR="008F3D7E" w:rsidRPr="008535A3" w:rsidP="008535A3" w14:paraId="07D00E75" w14:textId="396B99D1">
      <w:pPr>
        <w:pStyle w:val="FootnoteText"/>
        <w:ind w:left="567" w:hanging="567"/>
        <w:rPr>
          <w:sz w:val="24"/>
          <w:lang w:val="el-GR"/>
        </w:rPr>
      </w:pPr>
      <w:r w:rsidRPr="008535A3">
        <w:rPr>
          <w:rStyle w:val="FootnoteReference"/>
          <w:sz w:val="24"/>
          <w:lang w:val="el-GR"/>
        </w:rPr>
        <w:footnoteRef/>
      </w:r>
      <w:r w:rsidRPr="008535A3" w:rsidR="008535A3">
        <w:rPr>
          <w:sz w:val="24"/>
          <w:lang w:val="el-GR"/>
        </w:rPr>
        <w:t xml:space="preserve"> </w:t>
      </w:r>
      <w:r w:rsidRPr="008535A3" w:rsidR="008535A3">
        <w:rPr>
          <w:sz w:val="24"/>
          <w:lang w:val="el-GR"/>
        </w:rPr>
        <w:tab/>
      </w:r>
      <w:r w:rsidRPr="008535A3">
        <w:rPr>
          <w:sz w:val="24"/>
          <w:lang w:val="el-GR"/>
        </w:rPr>
        <w:t xml:space="preserve">Γενικός Γραμματέας του ΟΗΕ, «Conflict-related Sexual Violence – Report of the General» </w:t>
      </w:r>
      <w:r w:rsidR="000C68A1">
        <w:rPr>
          <w:sz w:val="24"/>
          <w:lang w:val="el-GR"/>
        </w:rPr>
        <w:t>(</w:t>
      </w:r>
      <w:r w:rsidRPr="008535A3">
        <w:rPr>
          <w:sz w:val="24"/>
          <w:lang w:val="el-GR"/>
        </w:rPr>
        <w:t>Σεξουαλική βία στο πλαίσιο συγκρούσεων – Έκθεση του Γενικού Γραμματέα</w:t>
      </w:r>
      <w:r w:rsidR="000C68A1">
        <w:rPr>
          <w:sz w:val="24"/>
          <w:lang w:val="el-GR"/>
        </w:rPr>
        <w:t>)</w:t>
      </w:r>
      <w:r w:rsidRPr="008535A3">
        <w:rPr>
          <w:sz w:val="24"/>
          <w:lang w:val="el-GR"/>
        </w:rPr>
        <w:t>, 21 Απριλίου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535A3" w14:paraId="2EA0547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535A3" w14:paraId="02F0628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535A3" w14:paraId="31B27E5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3AE52B66"/>
    <w:multiLevelType w:val="hybridMultilevel"/>
    <w:tmpl w:val="3D7C3FFC"/>
    <w:lvl w:ilvl="0">
      <w:start w:val="1"/>
      <w:numFmt w:val="decimal"/>
      <w:lvlText w:val="%1."/>
      <w:lvlJc w:val="left"/>
      <w:pPr>
        <w:ind w:left="57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50227CB3"/>
    <w:multiLevelType w:val="hybridMultilevel"/>
    <w:tmpl w:val="F9861638"/>
    <w:lvl w:ilvl="0">
      <w:start w:val="1"/>
      <w:numFmt w:val="decimal"/>
      <w:lvlText w:val="%1."/>
      <w:lvlJc w:val="left"/>
      <w:pPr>
        <w:ind w:left="570" w:hanging="57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53077976"/>
    <w:multiLevelType w:val="hybridMultilevel"/>
    <w:tmpl w:val="E06063E6"/>
    <w:lvl w:ilvl="0">
      <w:start w:val="1"/>
      <w:numFmt w:val="decimal"/>
      <w:lvlText w:val="%1."/>
      <w:lvlJc w:val="left"/>
      <w:pPr>
        <w:ind w:left="57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599D3054"/>
    <w:multiLevelType w:val="hybridMultilevel"/>
    <w:tmpl w:val="601A29A2"/>
    <w:lvl w:ilvl="0">
      <w:start w:val="1"/>
      <w:numFmt w:val="decimal"/>
      <w:lvlText w:val="%1."/>
      <w:lvlJc w:val="left"/>
      <w:pPr>
        <w:ind w:left="57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B9D6671"/>
    <w:multiLevelType w:val="hybridMultilevel"/>
    <w:tmpl w:val="B6126EB2"/>
    <w:lvl w:ilvl="0">
      <w:start w:val="1"/>
      <w:numFmt w:val="decimal"/>
      <w:lvlText w:val="%1."/>
      <w:lvlJc w:val="left"/>
      <w:pPr>
        <w:ind w:left="57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6A050F2B"/>
    <w:multiLevelType w:val="hybridMultilevel"/>
    <w:tmpl w:val="3CF60C5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286812383">
    <w:abstractNumId w:val="9"/>
  </w:num>
  <w:num w:numId="2" w16cid:durableId="1075276977">
    <w:abstractNumId w:val="9"/>
  </w:num>
  <w:num w:numId="3" w16cid:durableId="324163357">
    <w:abstractNumId w:val="7"/>
  </w:num>
  <w:num w:numId="4" w16cid:durableId="1397506350">
    <w:abstractNumId w:val="7"/>
  </w:num>
  <w:num w:numId="5" w16cid:durableId="1472793974">
    <w:abstractNumId w:val="6"/>
  </w:num>
  <w:num w:numId="6" w16cid:durableId="535314610">
    <w:abstractNumId w:val="6"/>
  </w:num>
  <w:num w:numId="7" w16cid:durableId="1300182929">
    <w:abstractNumId w:val="5"/>
  </w:num>
  <w:num w:numId="8" w16cid:durableId="678198075">
    <w:abstractNumId w:val="5"/>
  </w:num>
  <w:num w:numId="9" w16cid:durableId="1994485714">
    <w:abstractNumId w:val="4"/>
  </w:num>
  <w:num w:numId="10" w16cid:durableId="1012033322">
    <w:abstractNumId w:val="4"/>
  </w:num>
  <w:num w:numId="11" w16cid:durableId="231544100">
    <w:abstractNumId w:val="8"/>
  </w:num>
  <w:num w:numId="12" w16cid:durableId="848059410">
    <w:abstractNumId w:val="8"/>
  </w:num>
  <w:num w:numId="13" w16cid:durableId="1193227258">
    <w:abstractNumId w:val="3"/>
  </w:num>
  <w:num w:numId="14" w16cid:durableId="1949964806">
    <w:abstractNumId w:val="3"/>
  </w:num>
  <w:num w:numId="15" w16cid:durableId="1802337016">
    <w:abstractNumId w:val="2"/>
  </w:num>
  <w:num w:numId="16" w16cid:durableId="1267541059">
    <w:abstractNumId w:val="2"/>
  </w:num>
  <w:num w:numId="17" w16cid:durableId="255794027">
    <w:abstractNumId w:val="1"/>
  </w:num>
  <w:num w:numId="18" w16cid:durableId="1870220484">
    <w:abstractNumId w:val="1"/>
  </w:num>
  <w:num w:numId="19" w16cid:durableId="1207445003">
    <w:abstractNumId w:val="0"/>
  </w:num>
  <w:num w:numId="20" w16cid:durableId="784232398">
    <w:abstractNumId w:val="0"/>
  </w:num>
  <w:num w:numId="21" w16cid:durableId="729232830">
    <w:abstractNumId w:val="9"/>
  </w:num>
  <w:num w:numId="22" w16cid:durableId="778111463">
    <w:abstractNumId w:val="7"/>
  </w:num>
  <w:num w:numId="23" w16cid:durableId="1018316540">
    <w:abstractNumId w:val="6"/>
  </w:num>
  <w:num w:numId="24" w16cid:durableId="2102799110">
    <w:abstractNumId w:val="5"/>
  </w:num>
  <w:num w:numId="25" w16cid:durableId="1151483419">
    <w:abstractNumId w:val="4"/>
  </w:num>
  <w:num w:numId="26" w16cid:durableId="1809979906">
    <w:abstractNumId w:val="8"/>
  </w:num>
  <w:num w:numId="27" w16cid:durableId="2021808324">
    <w:abstractNumId w:val="3"/>
  </w:num>
  <w:num w:numId="28" w16cid:durableId="1498620159">
    <w:abstractNumId w:val="2"/>
  </w:num>
  <w:num w:numId="29" w16cid:durableId="1518156135">
    <w:abstractNumId w:val="1"/>
  </w:num>
  <w:num w:numId="30" w16cid:durableId="1988166918">
    <w:abstractNumId w:val="0"/>
  </w:num>
  <w:num w:numId="31" w16cid:durableId="371618351">
    <w:abstractNumId w:val="9"/>
  </w:num>
  <w:num w:numId="32" w16cid:durableId="587538938">
    <w:abstractNumId w:val="7"/>
  </w:num>
  <w:num w:numId="33" w16cid:durableId="896165540">
    <w:abstractNumId w:val="6"/>
  </w:num>
  <w:num w:numId="34" w16cid:durableId="1024748305">
    <w:abstractNumId w:val="5"/>
  </w:num>
  <w:num w:numId="35" w16cid:durableId="2085298017">
    <w:abstractNumId w:val="4"/>
  </w:num>
  <w:num w:numId="36" w16cid:durableId="484974501">
    <w:abstractNumId w:val="8"/>
  </w:num>
  <w:num w:numId="37" w16cid:durableId="1333412170">
    <w:abstractNumId w:val="3"/>
  </w:num>
  <w:num w:numId="38" w16cid:durableId="1084912840">
    <w:abstractNumId w:val="2"/>
  </w:num>
  <w:num w:numId="39" w16cid:durableId="584539392">
    <w:abstractNumId w:val="1"/>
  </w:num>
  <w:num w:numId="40" w16cid:durableId="1225798599">
    <w:abstractNumId w:val="0"/>
  </w:num>
  <w:num w:numId="41" w16cid:durableId="734620897">
    <w:abstractNumId w:val="10"/>
  </w:num>
  <w:num w:numId="42" w16cid:durableId="176772538">
    <w:abstractNumId w:val="10"/>
  </w:num>
  <w:num w:numId="43" w16cid:durableId="414590425">
    <w:abstractNumId w:val="10"/>
  </w:num>
  <w:num w:numId="44" w16cid:durableId="1831409549">
    <w:abstractNumId w:val="11"/>
  </w:num>
  <w:num w:numId="45" w16cid:durableId="1442147474">
    <w:abstractNumId w:val="17"/>
  </w:num>
  <w:num w:numId="46" w16cid:durableId="35861993">
    <w:abstractNumId w:val="13"/>
  </w:num>
  <w:num w:numId="47" w16cid:durableId="1978602092">
    <w:abstractNumId w:val="16"/>
  </w:num>
  <w:num w:numId="48" w16cid:durableId="1110853778">
    <w:abstractNumId w:val="12"/>
  </w:num>
  <w:num w:numId="49" w16cid:durableId="1181703392">
    <w:abstractNumId w:val="15"/>
  </w:num>
  <w:num w:numId="50" w16cid:durableId="3624209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D2E"/>
    <w:rsid w:val="00002272"/>
    <w:rsid w:val="00064002"/>
    <w:rsid w:val="000677B9"/>
    <w:rsid w:val="000831BA"/>
    <w:rsid w:val="00092B0F"/>
    <w:rsid w:val="000A42CC"/>
    <w:rsid w:val="000C68A1"/>
    <w:rsid w:val="000D5408"/>
    <w:rsid w:val="000E7DD9"/>
    <w:rsid w:val="0010095E"/>
    <w:rsid w:val="00125B37"/>
    <w:rsid w:val="00187494"/>
    <w:rsid w:val="001E002C"/>
    <w:rsid w:val="001F32AE"/>
    <w:rsid w:val="002767FF"/>
    <w:rsid w:val="002A30DA"/>
    <w:rsid w:val="002B18FE"/>
    <w:rsid w:val="002B5493"/>
    <w:rsid w:val="002F412A"/>
    <w:rsid w:val="00343214"/>
    <w:rsid w:val="00361C00"/>
    <w:rsid w:val="00395FA1"/>
    <w:rsid w:val="003E15D4"/>
    <w:rsid w:val="00411CCE"/>
    <w:rsid w:val="0041666E"/>
    <w:rsid w:val="00421060"/>
    <w:rsid w:val="00424A25"/>
    <w:rsid w:val="00426D2E"/>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23AA"/>
    <w:rsid w:val="006F74FA"/>
    <w:rsid w:val="00731ADD"/>
    <w:rsid w:val="00734777"/>
    <w:rsid w:val="00747932"/>
    <w:rsid w:val="00751A4A"/>
    <w:rsid w:val="00756632"/>
    <w:rsid w:val="00762C74"/>
    <w:rsid w:val="00786EC0"/>
    <w:rsid w:val="0079159D"/>
    <w:rsid w:val="007D1690"/>
    <w:rsid w:val="007E22AD"/>
    <w:rsid w:val="00817416"/>
    <w:rsid w:val="00842779"/>
    <w:rsid w:val="008535A3"/>
    <w:rsid w:val="00865F67"/>
    <w:rsid w:val="00881A7B"/>
    <w:rsid w:val="008840E5"/>
    <w:rsid w:val="00887B3E"/>
    <w:rsid w:val="008C2AC6"/>
    <w:rsid w:val="008F3D7E"/>
    <w:rsid w:val="00930C23"/>
    <w:rsid w:val="0093193B"/>
    <w:rsid w:val="009509D8"/>
    <w:rsid w:val="00950B64"/>
    <w:rsid w:val="00981893"/>
    <w:rsid w:val="00A1687D"/>
    <w:rsid w:val="00A43E52"/>
    <w:rsid w:val="00A4678D"/>
    <w:rsid w:val="00A778C7"/>
    <w:rsid w:val="00A94A1F"/>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0CEF"/>
    <w:rsid w:val="00D253C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62C5"/>
  </w:rsids>
  <w:docVars>
    <w:docVar w:name="dvdocse" w:val="B10-0339/2026"/>
    <w:docVar w:name="dvlangue" w:val="EL"/>
    <w:docVar w:name="dvnumam" w:val="0"/>
    <w:docVar w:name="dvpe" w:val="788.975"/>
    <w:docVar w:name="dvtitre" w:val="Ψήφισμα του Ευρωπαϊκού Κοινοβουλίου της ... 2026 σχετικά με την κοινή ανακοίνωση για την ανθρωπιστική βοήθεια (JOIN(2026)0025)(2026/2734(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F247B02"/>
  <w15:chartTrackingRefBased/>
  <w15:docId w15:val="{AFC7FF89-B3FB-496A-8FB5-8B04363FC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F3D7E"/>
    <w:pPr>
      <w:spacing w:before="480" w:after="240"/>
    </w:pPr>
  </w:style>
  <w:style w:type="paragraph" w:customStyle="1" w:styleId="NormalBold">
    <w:name w:val="NormalBold"/>
    <w:basedOn w:val="Normal"/>
    <w:rsid w:val="008F3D7E"/>
    <w:rPr>
      <w:b/>
    </w:rPr>
  </w:style>
  <w:style w:type="paragraph" w:customStyle="1" w:styleId="NormalHanging12a">
    <w:name w:val="NormalHanging12a"/>
    <w:basedOn w:val="Normal"/>
    <w:link w:val="NormalHanging12aChar"/>
    <w:rsid w:val="008F3D7E"/>
    <w:pPr>
      <w:spacing w:after="240"/>
      <w:ind w:left="567" w:hanging="567"/>
    </w:pPr>
  </w:style>
  <w:style w:type="character" w:customStyle="1" w:styleId="NormalHanging12aChar">
    <w:name w:val="NormalHanging12a Char"/>
    <w:basedOn w:val="DefaultParagraphFont"/>
    <w:link w:val="NormalHanging12a"/>
    <w:rsid w:val="008F3D7E"/>
    <w:rPr>
      <w:sz w:val="24"/>
      <w:lang w:val="el-GR"/>
    </w:rPr>
  </w:style>
  <w:style w:type="character" w:styleId="Hyperlink">
    <w:name w:val="Hyperlink"/>
    <w:basedOn w:val="DefaultParagraphFont"/>
    <w:uiPriority w:val="99"/>
    <w:unhideWhenUsed/>
    <w:rsid w:val="008F3D7E"/>
    <w:rPr>
      <w:color w:val="0563C1" w:themeColor="hyperlink"/>
      <w:u w:val="single"/>
    </w:rPr>
  </w:style>
  <w:style w:type="paragraph" w:styleId="Revision">
    <w:name w:val="Revision"/>
    <w:hidden/>
    <w:uiPriority w:val="99"/>
    <w:semiHidden/>
    <w:rsid w:val="000C68A1"/>
    <w:rPr>
      <w:sz w:val="24"/>
      <w:lang w:val="el-GR"/>
    </w:rPr>
  </w:style>
  <w:style w:type="character" w:styleId="FollowedHyperlink">
    <w:name w:val="FollowedHyperlink"/>
    <w:basedOn w:val="DefaultParagraphFont"/>
    <w:rsid w:val="0079159D"/>
    <w:rPr>
      <w:color w:val="954F72" w:themeColor="followedHyperlink"/>
      <w:u w:val="single"/>
    </w:rPr>
  </w:style>
  <w:style w:type="paragraph" w:styleId="ListParagraph">
    <w:name w:val="List Paragraph"/>
    <w:basedOn w:val="Normal"/>
    <w:uiPriority w:val="34"/>
    <w:qFormat/>
    <w:rsid w:val="00424A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humanitarianaction.info/document/global-humanitarian-overview-2026" TargetMode="External" /><Relationship Id="rId2" Type="http://schemas.openxmlformats.org/officeDocument/2006/relationships/hyperlink" Target="https://www.consilium.europa.eu/el/policies/humanitarian-aid/" TargetMode="External" /><Relationship Id="rId3" Type="http://schemas.openxmlformats.org/officeDocument/2006/relationships/hyperlink" Target="https://doi.org/10.1787/81982370-en" TargetMode="External" /><Relationship Id="rId4" Type="http://schemas.openxmlformats.org/officeDocument/2006/relationships/hyperlink" Target="https://doi.org/10.1787/e340afbf-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3658</Words>
  <Characters>22928</Characters>
  <Application>Microsoft Office Word</Application>
  <DocSecurity>0</DocSecurity>
  <Lines>449</Lines>
  <Paragraphs>134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2026-08-06T09:21:00Z</dcterms:created>
  <dcterms:modified xsi:type="dcterms:W3CDTF">2026-08-06T09:21:00Z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B10-0339/2026</vt:lpwstr>
  </property>
  <property fmtid="{D5CDD505-2E9C-101B-9397-08002B2CF9AE}" pid="4" name="&lt;Type&gt;">
    <vt:lpwstr>RR</vt:lpwstr>
  </property>
</Properties>
</file>