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47E062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56D4" w:rsidP="0010095E" w14:paraId="725FD7FA" w14:textId="77777777">
            <w:pPr>
              <w:pStyle w:val="EPName"/>
            </w:pPr>
            <w:r w:rsidRPr="007356D4">
              <w:t>Európsky parlament</w:t>
            </w:r>
          </w:p>
          <w:p w:rsidR="00751A4A" w:rsidRPr="007356D4" w:rsidP="005F1B17" w14:paraId="61ED811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56D4">
              <w:t>2024</w:t>
            </w:r>
            <w:r w:rsidRPr="007356D4" w:rsidR="00817416">
              <w:t>-202</w:t>
            </w:r>
            <w:r w:rsidRPr="007356D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356D4" w:rsidP="0010095E" w14:paraId="6F7E1F27" w14:textId="77777777">
            <w:pPr>
              <w:pStyle w:val="EPLogo"/>
            </w:pPr>
            <w:r w:rsidRPr="007356D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56D4" w:rsidP="004C5D52" w14:paraId="01BF61C9" w14:textId="77777777">
      <w:pPr>
        <w:pStyle w:val="LineTop"/>
      </w:pPr>
    </w:p>
    <w:p w:rsidR="00680577" w:rsidRPr="007356D4" w:rsidP="00680577" w14:paraId="26171E68" w14:textId="77777777">
      <w:pPr>
        <w:pStyle w:val="EPBodyTA1"/>
      </w:pPr>
      <w:r w:rsidRPr="007356D4">
        <w:t>PRIJATÉ TEXTY</w:t>
      </w:r>
    </w:p>
    <w:p w:rsidR="00D058B8" w:rsidRPr="007356D4" w:rsidP="00D058B8" w14:paraId="5FF65313" w14:textId="77777777">
      <w:pPr>
        <w:pStyle w:val="LineBottom"/>
      </w:pPr>
    </w:p>
    <w:p w:rsidR="00DE7742" w:rsidRPr="007356D4" w:rsidP="00DE7742" w14:paraId="07DDE1D6" w14:textId="64F8D39F">
      <w:pPr>
        <w:pStyle w:val="ATHeading1"/>
      </w:pPr>
      <w:bookmarkStart w:id="0" w:name="TANumber"/>
      <w:r w:rsidRPr="007356D4">
        <w:t>P10_TA(2026)0</w:t>
      </w:r>
      <w:r w:rsidRPr="007356D4" w:rsidR="00DC5B2B">
        <w:t>271</w:t>
      </w:r>
      <w:bookmarkEnd w:id="0"/>
    </w:p>
    <w:p w:rsidR="00DE7742" w:rsidRPr="007356D4" w:rsidP="00DE7742" w14:paraId="662D91BA" w14:textId="77777777">
      <w:pPr>
        <w:pStyle w:val="ATHeading2"/>
      </w:pPr>
      <w:bookmarkStart w:id="1" w:name="title"/>
      <w:r w:rsidRPr="007356D4">
        <w:t>Spoločné oznámenie o humanitárnej pomoci (JOIN(2026)0025)</w:t>
      </w:r>
      <w:bookmarkEnd w:id="1"/>
    </w:p>
    <w:p w:rsidR="00DE7742" w:rsidRPr="007356D4" w:rsidP="00DE7742" w14:paraId="7D3C753E" w14:textId="77777777">
      <w:pPr>
        <w:rPr>
          <w:i/>
          <w:vanish/>
        </w:rPr>
      </w:pPr>
      <w:r>
        <w:rPr>
          <w:i/>
        </w:rPr>
        <w:fldChar w:fldCharType="begin"/>
      </w:r>
      <w:r w:rsidRPr="007356D4">
        <w:rPr>
          <w:i/>
        </w:rPr>
        <w:instrText xml:space="preserve"> TC"(</w:instrText>
      </w:r>
      <w:bookmarkStart w:id="2" w:name="DocNumber"/>
      <w:r w:rsidRPr="007356D4">
        <w:rPr>
          <w:i/>
        </w:rPr>
        <w:instrText>B10-0339/2026</w:instrText>
      </w:r>
      <w:bookmarkEnd w:id="2"/>
      <w:r w:rsidRPr="007356D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E7742" w:rsidRPr="007356D4" w:rsidP="00DE7742" w14:paraId="136AC237" w14:textId="77777777">
      <w:pPr>
        <w:rPr>
          <w:vanish/>
        </w:rPr>
      </w:pPr>
      <w:bookmarkStart w:id="3" w:name="PE"/>
      <w:r w:rsidRPr="007356D4">
        <w:rPr>
          <w:vanish/>
        </w:rPr>
        <w:t>PE788.975</w:t>
      </w:r>
      <w:bookmarkEnd w:id="3"/>
    </w:p>
    <w:p w:rsidR="000E307C" w:rsidRPr="007356D4" w:rsidP="000E307C" w14:paraId="01A960AC" w14:textId="7CE404DE">
      <w:pPr>
        <w:pStyle w:val="ATHeading3"/>
      </w:pPr>
      <w:bookmarkStart w:id="4" w:name="Sujet"/>
      <w:r w:rsidRPr="007356D4">
        <w:t xml:space="preserve">Uznesenie Európskeho parlamentu z </w:t>
      </w:r>
      <w:r w:rsidRPr="007356D4" w:rsidR="00C33EDC">
        <w:t>9</w:t>
      </w:r>
      <w:r w:rsidRPr="007356D4">
        <w:t xml:space="preserve">. </w:t>
      </w:r>
      <w:r w:rsidRPr="007356D4" w:rsidR="00C33EDC">
        <w:t xml:space="preserve">júla </w:t>
      </w:r>
      <w:r w:rsidRPr="007356D4">
        <w:t>2026 k spoločnému oznámeniu o humanitárnej pomoci (JOIN(2026)0025)</w:t>
      </w:r>
      <w:bookmarkEnd w:id="4"/>
      <w:r w:rsidRPr="007356D4">
        <w:t xml:space="preserve"> </w:t>
      </w:r>
      <w:bookmarkStart w:id="5" w:name="References"/>
      <w:r w:rsidRPr="007356D4">
        <w:t>(2026/2734(RSP))</w:t>
      </w:r>
      <w:bookmarkEnd w:id="5"/>
    </w:p>
    <w:p w:rsidR="003B50BF" w:rsidRPr="007356D4" w:rsidP="003B50BF" w14:paraId="021EC194" w14:textId="77777777">
      <w:pPr>
        <w:spacing w:before="480" w:after="240"/>
      </w:pPr>
      <w:r w:rsidRPr="007356D4">
        <w:rPr>
          <w:i/>
          <w:iCs/>
        </w:rPr>
        <w:t>Európsky parlament</w:t>
      </w:r>
      <w:r w:rsidRPr="007356D4">
        <w:t>,</w:t>
      </w:r>
    </w:p>
    <w:p w:rsidR="003B50BF" w:rsidRPr="007356D4" w:rsidP="003B50BF" w14:paraId="70F4EA9C" w14:textId="77777777">
      <w:pPr>
        <w:spacing w:after="240"/>
        <w:ind w:left="567" w:hanging="567"/>
      </w:pPr>
      <w:r w:rsidRPr="007356D4">
        <w:t>–</w:t>
      </w:r>
      <w:r w:rsidRPr="007356D4">
        <w:tab/>
        <w:t>so zreteľom na spoločné oznámenie Komisie a vysokej predstaviteľky Únie pre zahraničné veci a bezpečnostnú politiku z 27. mája 2026 s názvom „Ochrana hodnôt, presadzovanie reforiem, dosahovanie výsledkov: humanitárna činnosť EÚ v meniacom sa svetovom poriadku“ (JOIN(2026)0025) (spoločné oznámenie o humanitárnej pomoci) a na sprievodné spoločné pracovné dokumenty útvarov o strategickom prístupe k humanitárnej diplomacii EÚ (SWD(2026)0312), o integrovanom prístupe k nestabilite (SWD(2026)0313) a o humanitárnych dodávateľských reťazcoch (SWD(2026)0314),</w:t>
      </w:r>
    </w:p>
    <w:p w:rsidR="003B50BF" w:rsidRPr="007356D4" w:rsidP="003B50BF" w14:paraId="7ED94414" w14:textId="77777777">
      <w:pPr>
        <w:spacing w:after="240"/>
        <w:ind w:left="567" w:hanging="567"/>
        <w:rPr>
          <w:bCs/>
          <w:iCs/>
        </w:rPr>
      </w:pPr>
      <w:r w:rsidRPr="007356D4">
        <w:rPr>
          <w:i/>
        </w:rPr>
        <w:t>–</w:t>
      </w:r>
      <w:r w:rsidRPr="007356D4">
        <w:tab/>
        <w:t>so zreteľom na rezolúciu Bezpečnostnej rady OSN č. 1325 (2000) z 31. októbra 2000 a deväť následných rezolúcií Bezpečnostnej rady OSN o ženách, mieri a bezpečnosti,</w:t>
      </w:r>
    </w:p>
    <w:p w:rsidR="003B50BF" w:rsidRPr="007356D4" w:rsidP="003B50BF" w14:paraId="7015A946" w14:textId="5CF4580A">
      <w:pPr>
        <w:spacing w:after="240"/>
        <w:ind w:left="567" w:hanging="567"/>
      </w:pPr>
      <w:r w:rsidRPr="007356D4">
        <w:t>–</w:t>
      </w:r>
      <w:r w:rsidRPr="007356D4">
        <w:tab/>
        <w:t>so zreteľom na otázku adresovanú Komisii týkajúcu sa spoločného oznámenia o humanitárnej pomoci (JOIN(2026)0025) (O-000026/2026 – B10</w:t>
      </w:r>
      <w:r w:rsidRPr="007356D4">
        <w:noBreakHyphen/>
        <w:t>00</w:t>
      </w:r>
      <w:r w:rsidRPr="007356D4" w:rsidR="007E34B4">
        <w:t>13</w:t>
      </w:r>
      <w:r w:rsidRPr="007356D4">
        <w:t>/2026),</w:t>
      </w:r>
    </w:p>
    <w:p w:rsidR="003B50BF" w:rsidRPr="007356D4" w:rsidP="003B50BF" w14:paraId="0A0BE5EF" w14:textId="77777777">
      <w:pPr>
        <w:spacing w:after="240"/>
        <w:ind w:left="567" w:hanging="567"/>
      </w:pPr>
      <w:r w:rsidRPr="007356D4">
        <w:t>–</w:t>
      </w:r>
      <w:r w:rsidRPr="007356D4">
        <w:tab/>
        <w:t>so zreteľom na článok 142 ods. 5 a článok 136 ods. 2 rokovacieho poriadku</w:t>
      </w:r>
    </w:p>
    <w:p w:rsidR="003B50BF" w:rsidRPr="007356D4" w:rsidP="003B50BF" w14:paraId="0580ACE9" w14:textId="77777777">
      <w:pPr>
        <w:spacing w:after="240"/>
        <w:ind w:left="567" w:hanging="567"/>
      </w:pPr>
      <w:r w:rsidRPr="007356D4">
        <w:t>–</w:t>
      </w:r>
      <w:r w:rsidRPr="007356D4">
        <w:tab/>
        <w:t>so zreteľom na návrh uznesenia Výboru pre rozvoj,</w:t>
      </w:r>
    </w:p>
    <w:p w:rsidR="003B50BF" w:rsidRPr="007356D4" w:rsidP="003B50BF" w14:paraId="34762B21" w14:textId="77777777">
      <w:pPr>
        <w:spacing w:after="240"/>
        <w:ind w:left="567" w:hanging="567"/>
      </w:pPr>
      <w:r w:rsidRPr="007356D4">
        <w:t>A.</w:t>
      </w:r>
      <w:r w:rsidRPr="007356D4">
        <w:tab/>
        <w:t>keďže humanitárne potreby rýchlo</w:t>
      </w:r>
      <w:r w:rsidRPr="007356D4">
        <w:rPr>
          <w:i/>
        </w:rPr>
        <w:t xml:space="preserve"> </w:t>
      </w:r>
      <w:r w:rsidRPr="007356D4">
        <w:t>rastú a prevyšujú disponibilné finančné prostriedky; keďže viac ako 300 milióna ľudí v súčasnosti potrebuje humanitárnu pomoc; keďže OSN vyhlásila celosvetovú výzvu na získanie 33 miliárd USD a jej cieľom je využiť tieto finančné prostriedky na pomoc 135 miliónom ľudí v 50 krajinách v roku 2026; keďže na rovnocennú výzvu OSN z roku 2025 sa vyzbieralo len 12 miliárd USD, čo predstavuje najnižšiu úroveň financovania za posledných desať rokov</w:t>
      </w:r>
      <w:r>
        <w:rPr>
          <w:color w:val="000000"/>
          <w:vertAlign w:val="superscript"/>
        </w:rPr>
        <w:footnoteReference w:id="2"/>
      </w:r>
      <w:r w:rsidRPr="007356D4">
        <w:t>;</w:t>
      </w:r>
    </w:p>
    <w:p w:rsidR="003B50BF" w:rsidRPr="007356D4" w:rsidP="003B50BF" w14:paraId="34616B94" w14:textId="77777777">
      <w:pPr>
        <w:spacing w:after="240"/>
        <w:ind w:left="567" w:hanging="567"/>
        <w:rPr>
          <w:szCs w:val="24"/>
        </w:rPr>
      </w:pPr>
      <w:r w:rsidRPr="007356D4">
        <w:t>B.</w:t>
      </w:r>
      <w:r w:rsidRPr="007356D4">
        <w:tab/>
        <w:t xml:space="preserve">keďže porušovanie medzinárodného humanitárneho práva dosahuje alarmujúcu úroveň, vrátane úmyselných útokov na civilistov a ich zabíjania, ničenia základnej </w:t>
      </w:r>
      <w:r w:rsidRPr="007356D4">
        <w:t>infraštruktúry, ako sú školy a nemocnice, rozšíreného sexuálneho násilia, náboru detí ako bojovníkov, útokov na humanitárnych pracovníkov a zdravotnícky personál, núteného vysídľovania, vyhladovania civilistov ako spôsobu vedenia boja a úmyselného odopierania humanitárneho prístupu a jeho zneužívania ako zbrane;</w:t>
      </w:r>
    </w:p>
    <w:p w:rsidR="003B50BF" w:rsidRPr="007356D4" w:rsidP="003B50BF" w14:paraId="1868D766" w14:textId="77777777">
      <w:pPr>
        <w:spacing w:after="240"/>
        <w:ind w:left="567" w:hanging="567"/>
        <w:rPr>
          <w:bCs/>
          <w:iCs/>
          <w:szCs w:val="24"/>
        </w:rPr>
      </w:pPr>
      <w:r w:rsidRPr="007356D4">
        <w:t>C.</w:t>
      </w:r>
      <w:r w:rsidRPr="007356D4">
        <w:tab/>
        <w:t>keďže toto porušovanie predstavuje porušenie záväzkov vyplývajúcich z medzinárodného humanitárneho práva, vrátane rezolúcií Bezpečnostnej rady OSN č. 2286 (2016) a č. 2417 (2018); keďže humanitárna pomoc by sa nikdy nemala využívať ako nástroj a mala by sa dostať k civilistom v núdzi bez prekážok alebo diskriminácie v plnom súlade s medzinárodným humanitárnym právom;</w:t>
      </w:r>
    </w:p>
    <w:p w:rsidR="003B50BF" w:rsidRPr="007356D4" w:rsidP="003B50BF" w14:paraId="091C143D" w14:textId="77777777">
      <w:pPr>
        <w:spacing w:after="240"/>
        <w:ind w:left="567" w:hanging="567"/>
        <w:rPr>
          <w:i/>
          <w:szCs w:val="24"/>
        </w:rPr>
      </w:pPr>
      <w:r w:rsidRPr="007356D4">
        <w:t>D.</w:t>
      </w:r>
      <w:r w:rsidRPr="007356D4">
        <w:tab/>
        <w:t>keďže prekážky v prístupe, vrátane byrokratických prekážok, obmedzení pohybu a zasahovania zo strany účastníkov konfliktov, čoraz viac obmedzujú schopnosť humanitárnych organizácií dostať sa k postihnutému obyvateľstvu</w:t>
      </w:r>
      <w:r w:rsidRPr="007356D4">
        <w:rPr>
          <w:i/>
        </w:rPr>
        <w:t>;</w:t>
      </w:r>
    </w:p>
    <w:p w:rsidR="003B50BF" w:rsidRPr="007356D4" w:rsidP="003B50BF" w14:paraId="154113C5" w14:textId="77777777">
      <w:pPr>
        <w:spacing w:after="240"/>
        <w:ind w:left="567" w:hanging="567"/>
      </w:pPr>
      <w:r w:rsidRPr="007356D4">
        <w:t>E.</w:t>
      </w:r>
      <w:r w:rsidRPr="007356D4">
        <w:tab/>
        <w:t xml:space="preserve">keďže Úrad OSN pre koordináciu humanitárnych záležitostí (OCHA) spustil </w:t>
      </w:r>
      <w:r w:rsidRPr="007356D4">
        <w:t>celosystémovú</w:t>
      </w:r>
      <w:r w:rsidRPr="007356D4">
        <w:t xml:space="preserve"> iniciatívu „</w:t>
      </w:r>
      <w:r w:rsidRPr="007356D4">
        <w:t>Humanitarian</w:t>
      </w:r>
      <w:r w:rsidRPr="007356D4">
        <w:t xml:space="preserve"> Reset“ s cieľom zvýšiť efektívnosť a účinnosť globálneho systému humanitárnej pomoci;</w:t>
      </w:r>
    </w:p>
    <w:p w:rsidR="003B50BF" w:rsidRPr="007356D4" w:rsidP="003B50BF" w14:paraId="7CA03B76" w14:textId="77777777">
      <w:pPr>
        <w:spacing w:after="240"/>
        <w:ind w:left="567" w:hanging="567"/>
        <w:rPr>
          <w:bCs/>
          <w:iCs/>
        </w:rPr>
      </w:pPr>
      <w:r w:rsidRPr="007356D4">
        <w:t>F.</w:t>
      </w:r>
      <w:r w:rsidRPr="007356D4">
        <w:tab/>
        <w:t>keďže EÚ a jej členské štáty poskytujú najväčší podiel na celosvetovom financovaní humanitárnej pomoci</w:t>
      </w:r>
      <w:r>
        <w:rPr>
          <w:bCs/>
          <w:iCs/>
          <w:color w:val="000000"/>
          <w:vertAlign w:val="superscript"/>
        </w:rPr>
        <w:footnoteReference w:id="3"/>
      </w:r>
      <w:r w:rsidRPr="007356D4">
        <w:t>;</w:t>
      </w:r>
    </w:p>
    <w:p w:rsidR="003B50BF" w:rsidRPr="007356D4" w:rsidP="003B50BF" w14:paraId="2A162856" w14:textId="77777777">
      <w:pPr>
        <w:spacing w:after="240"/>
        <w:ind w:left="567" w:hanging="567"/>
      </w:pPr>
      <w:r w:rsidRPr="007356D4">
        <w:t>G.</w:t>
      </w:r>
      <w:r w:rsidRPr="007356D4">
        <w:tab/>
        <w:t>keďže humanitárne dodávateľské reťazce, od obstarávania až po konečné doručenie, predstavujú až 80 % celkových výdavkov na humanitárnu pomoc na celom svete;</w:t>
      </w:r>
    </w:p>
    <w:p w:rsidR="003B50BF" w:rsidRPr="007356D4" w:rsidP="003B50BF" w14:paraId="2F16387F" w14:textId="77777777">
      <w:pPr>
        <w:spacing w:after="240"/>
        <w:ind w:left="567" w:hanging="567"/>
      </w:pPr>
      <w:r w:rsidRPr="007356D4">
        <w:t>H.</w:t>
      </w:r>
      <w:r w:rsidRPr="007356D4">
        <w:tab/>
        <w:t>keďže po otrasoch uplynulých piatich rokov zostáva globálna nestabilita na takmer rekordne vysokej úrovni</w:t>
      </w:r>
      <w:r>
        <w:rPr>
          <w:vertAlign w:val="superscript"/>
        </w:rPr>
        <w:footnoteReference w:id="4"/>
      </w:r>
      <w:r w:rsidRPr="007356D4">
        <w:t>;</w:t>
      </w:r>
    </w:p>
    <w:p w:rsidR="003B50BF" w:rsidRPr="007356D4" w:rsidP="003B50BF" w14:paraId="02821E08" w14:textId="77777777">
      <w:pPr>
        <w:spacing w:after="240"/>
        <w:ind w:left="567" w:hanging="567"/>
        <w:rPr>
          <w:bCs/>
          <w:iCs/>
          <w:szCs w:val="24"/>
        </w:rPr>
      </w:pPr>
      <w:r w:rsidRPr="007356D4">
        <w:t>I.</w:t>
      </w:r>
      <w:r w:rsidRPr="007356D4">
        <w:tab/>
        <w:t>keďže konflikty, zmena klímy a hospodárske faktory sú tromi hlavnými hnacími silami nárastu humanitárnych potrieb, čo zhoršuje potravinovú neistotu, vysídľovanie a zdravotné riziká a zvyšujú frekvenciu a intenzitu katastrof; keďže stúpanie morskej hladiny môže predstavovať existenčnú hrozbu pre malé ostrovné rozvojové štáty, ktoré patria medzi krajiny najviac zraniteľné voči zmene klímy, čo vedie k zvýšenej potrebe humanitárnych opatrení a opatrení v oblasti pripravenosti;</w:t>
      </w:r>
    </w:p>
    <w:p w:rsidR="003B50BF" w:rsidRPr="007356D4" w:rsidP="003B50BF" w14:paraId="54C6CDBB" w14:textId="77777777">
      <w:pPr>
        <w:spacing w:after="240"/>
        <w:ind w:left="567" w:hanging="567"/>
      </w:pPr>
      <w:r w:rsidRPr="007356D4">
        <w:t>J.</w:t>
      </w:r>
      <w:r w:rsidRPr="007356D4">
        <w:tab/>
        <w:t>keďže v období konfliktov a kríz sa existujúce rodové nerovnosti často zhoršujú, čo má za následok, že ženy a dievčatá, najmä tie, ktoré čelia prelínajúcim sa formám zraniteľnosti, sú neúmerne zasiahnuté konfliktmi, vysídlením, rodovo motivovaným násilím a vylúčením z prístupu k službám zachraňujúcim život a z rozhodovacích procesov; keďže podiel bilaterálnej humanitárnej pomoci zameranej na ciele v oblasti rodovej rovnosti bol v minulosti nízky a v posledných rokoch ešte klesol, pričom v rokoch 2021–2022 stagnoval na úrovni 17 %</w:t>
      </w:r>
      <w:r>
        <w:rPr>
          <w:color w:val="000000"/>
          <w:vertAlign w:val="superscript"/>
        </w:rPr>
        <w:footnoteReference w:id="5"/>
      </w:r>
      <w:r w:rsidRPr="007356D4">
        <w:t xml:space="preserve">; keďže organizácie vedené ženami </w:t>
      </w:r>
      <w:r w:rsidRPr="007356D4">
        <w:t>dostávajú v nestabilných štátoch iba 0,4 % bilaterálnej pomoci</w:t>
      </w:r>
      <w:r>
        <w:rPr>
          <w:color w:val="000000"/>
          <w:vertAlign w:val="superscript"/>
        </w:rPr>
        <w:footnoteReference w:id="6"/>
      </w:r>
      <w:r w:rsidRPr="007356D4">
        <w:t>;</w:t>
      </w:r>
    </w:p>
    <w:p w:rsidR="003B50BF" w:rsidRPr="007356D4" w:rsidP="003B50BF" w14:paraId="69CF5AF2" w14:textId="77777777">
      <w:pPr>
        <w:spacing w:after="240"/>
        <w:ind w:left="567" w:hanging="567"/>
        <w:rPr>
          <w:bCs/>
          <w:iCs/>
          <w:szCs w:val="24"/>
        </w:rPr>
      </w:pPr>
      <w:r w:rsidRPr="007356D4">
        <w:t>K.</w:t>
      </w:r>
      <w:r w:rsidRPr="007356D4">
        <w:tab/>
        <w:t>keďže nútené vysídľovanie dosahuje bezprecedentnú úroveň a značná časť svetových utečencov a vnútroštátne vysídlených osôb žije v štátoch s nízkymi príjmami a v nestabilných štátoch, čo kladie čoraz väčšie nároky na humanitárnu pomoc a služby v oblasti ochrany;</w:t>
      </w:r>
    </w:p>
    <w:p w:rsidR="003B50BF" w:rsidRPr="007356D4" w:rsidP="00DC5B2B" w14:paraId="52E0E8DA" w14:textId="77777777">
      <w:pPr>
        <w:spacing w:after="240"/>
        <w:rPr>
          <w:b/>
          <w:i/>
        </w:rPr>
      </w:pPr>
      <w:r w:rsidRPr="007356D4">
        <w:rPr>
          <w:b/>
          <w:i/>
        </w:rPr>
        <w:t>Ochrana – dodržiavanie medzinárodného humanitárneho práva, humanitárnych zásad a ochrany civilistov a humanitárnych pracovníkov, ako aj vypracovanie spoločnej stratégie humanitárnej diplomacie</w:t>
      </w:r>
    </w:p>
    <w:p w:rsidR="003B50BF" w:rsidRPr="007356D4" w:rsidP="003B50BF" w14:paraId="1951E577" w14:textId="77777777">
      <w:pPr>
        <w:spacing w:after="240"/>
        <w:ind w:left="567" w:hanging="567"/>
        <w:rPr>
          <w:szCs w:val="24"/>
        </w:rPr>
      </w:pPr>
      <w:r w:rsidRPr="007356D4">
        <w:t>1.</w:t>
      </w:r>
      <w:r w:rsidRPr="007356D4">
        <w:tab/>
        <w:t>víta záväzky prijaté v spoločnom oznámení o humanitárnej pomoci, ktoré sa týkajú medzinárodného humanitárneho práva a humanitárnych zásad humanity, nestrannosti, neutrality a nezávislosti; pripomína, že zvykové medzinárodné humanitárne právo je záväzné pre všetky strany ozbrojeného konfliktu; dôrazne odsudzuje bránenie v poskytovaní humanitárnej pomoci; zásadne odmieta a odsudzuje poskytovanie humanitárnej pomoci na presadzovanie vojenských zámerov, ako aj politizáciu humanitárnej pomoci prostredníctvom prísneho obmedzovania prístupu k pomoci zachraňujúcej životy, čo narúša základné humanitárne zásady;</w:t>
      </w:r>
    </w:p>
    <w:p w:rsidR="003B50BF" w:rsidRPr="007356D4" w:rsidP="003B50BF" w14:paraId="75DCB9C7" w14:textId="77777777">
      <w:pPr>
        <w:spacing w:after="240"/>
        <w:ind w:left="567" w:hanging="567"/>
        <w:rPr>
          <w:bCs/>
          <w:iCs/>
          <w:szCs w:val="24"/>
        </w:rPr>
      </w:pPr>
      <w:r w:rsidRPr="007356D4">
        <w:t>2.</w:t>
      </w:r>
      <w:r w:rsidRPr="007356D4">
        <w:tab/>
        <w:t xml:space="preserve">vyzýva Komisiu, aby odsúdila porušovanie medzinárodného humanitárneho práva a v rámci svojich vonkajších vzťahov dôsledne </w:t>
      </w:r>
      <w:r w:rsidRPr="007356D4">
        <w:t>dôsledne</w:t>
      </w:r>
      <w:r w:rsidRPr="007356D4">
        <w:t xml:space="preserve"> vyvodzovala zodpovednosť voči subjektom, ktoré toto právo porušujú;</w:t>
      </w:r>
    </w:p>
    <w:p w:rsidR="003B50BF" w:rsidRPr="007356D4" w:rsidP="003B50BF" w14:paraId="2FD0064C" w14:textId="5FA2AFCF">
      <w:pPr>
        <w:spacing w:after="240"/>
        <w:ind w:left="567" w:hanging="567"/>
      </w:pPr>
      <w:r w:rsidRPr="007356D4">
        <w:t>3.</w:t>
      </w:r>
      <w:r w:rsidRPr="007356D4">
        <w:tab/>
        <w:t>vyzýva Komisiu, Európsku službu pre vonkajšiu činnosť (</w:t>
      </w:r>
      <w:r w:rsidRPr="007356D4" w:rsidR="007E34B4">
        <w:t>ďalej len „</w:t>
      </w:r>
      <w:r w:rsidRPr="007356D4">
        <w:t>ESVČ</w:t>
      </w:r>
      <w:r w:rsidRPr="007356D4" w:rsidR="007E34B4">
        <w:t>“</w:t>
      </w:r>
      <w:r w:rsidRPr="007356D4">
        <w:t xml:space="preserve">) a členské štáty, aby posilnili opatrenia na ochranu humanitárneho priestoru, zabezpečili dodržiavanie medzinárodného humanitárneho práva a humanitárnych zásad, posilnili mechanizmy zodpovednosti, odstránili nedostatky v monitorovaní porušení, a to aj prostredníctvom zberu údajov a projektov, ako je „IHL in </w:t>
      </w:r>
      <w:r w:rsidRPr="007356D4">
        <w:t>Focus</w:t>
      </w:r>
      <w:r w:rsidRPr="007356D4">
        <w:t>“, a aby sa zdržali partnerstiev, ktoré by tieto zásady narušili;</w:t>
      </w:r>
    </w:p>
    <w:p w:rsidR="003B50BF" w:rsidRPr="007356D4" w:rsidP="003B50BF" w14:paraId="5A8E66F4" w14:textId="77777777">
      <w:pPr>
        <w:spacing w:after="240"/>
        <w:ind w:left="567" w:hanging="567"/>
      </w:pPr>
      <w:r w:rsidRPr="007356D4">
        <w:t>4.</w:t>
      </w:r>
      <w:r w:rsidRPr="007356D4">
        <w:tab/>
        <w:t>vyzýva Radu, vysokú predstaviteľku Únie pre zahraničné veci a bezpečnostnú politiku a členské štáty, aby naďalej zabezpečovali, že reštriktívne opatrenia a postupy bánk zamerané na znižovanie rizík umožnia zásadovú humanitárnu činnosť, a to aj prostredníctvom systematického začleňovania a uplatňovania účinných, jasných a funkčných trvalých humanitárnych výnimiek a záruk do všetkých príslušných reštriktívnych opatrení, pričom by sa vychádzalo z trvalej výnimky stanovenej rezolúciou Bezpečnostnej rady Organizácie Spojených národov č. 2664 (2022);</w:t>
      </w:r>
    </w:p>
    <w:p w:rsidR="00553103" w:rsidRPr="007356D4" w:rsidP="003B50BF" w14:paraId="7A56CA44" w14:textId="5915C9D6">
      <w:pPr>
        <w:spacing w:after="240"/>
        <w:ind w:left="567" w:hanging="567"/>
        <w:rPr>
          <w:bCs/>
          <w:iCs/>
          <w:szCs w:val="24"/>
        </w:rPr>
      </w:pPr>
      <w:r w:rsidRPr="007356D4">
        <w:rPr>
          <w:szCs w:val="24"/>
        </w:rPr>
        <w:t>5</w:t>
      </w:r>
      <w:r w:rsidRPr="007356D4">
        <w:rPr>
          <w:szCs w:val="24"/>
        </w:rPr>
        <w:t>.</w:t>
      </w:r>
      <w:r w:rsidRPr="007356D4">
        <w:rPr>
          <w:szCs w:val="24"/>
        </w:rPr>
        <w:tab/>
        <w:t xml:space="preserve">zdôrazňuje, že ak EÚ financuje a poskytuje humanitárnu pomoc určenú na záchranu životov a predchádzanie hladomoru a tretia krajina jej poskytovaniu bráni alebo ho blokuje, EÚ musí využiť všetok politický, diplomatický, právny a hospodársky vplyv, ktorým disponuje, na zabezpečenie okamžitého a neobmedzeného prechodu tejto pomoci a zaistiť, aby sa dostala k obyvateľstvu v núdzi; vyzýva Komisiu a ESVČ, aby systematicky upozorňovali na takéto prekážky na najvyššej politickej úrovni a prijali všetky potrebné opatrenia proti štátom, subjektom alebo jednotlivcom, ktorí sú za </w:t>
      </w:r>
      <w:r w:rsidRPr="007356D4">
        <w:rPr>
          <w:szCs w:val="24"/>
        </w:rPr>
        <w:t>ne</w:t>
      </w:r>
      <w:r w:rsidRPr="007356D4">
        <w:rPr>
          <w:szCs w:val="24"/>
        </w:rPr>
        <w:t xml:space="preserve"> zodpovední, s cieľom dosiahnuť okamžité a neobmedzené poskytovanie humanitárnej </w:t>
      </w:r>
      <w:r w:rsidRPr="007356D4">
        <w:rPr>
          <w:szCs w:val="24"/>
        </w:rPr>
        <w:t>pomoci;</w:t>
      </w:r>
    </w:p>
    <w:p w:rsidR="003B50BF" w:rsidRPr="007356D4" w:rsidP="003B50BF" w14:paraId="24107436" w14:textId="33ECE964">
      <w:pPr>
        <w:spacing w:after="240"/>
        <w:ind w:left="567" w:hanging="567"/>
        <w:rPr>
          <w:szCs w:val="24"/>
        </w:rPr>
      </w:pPr>
      <w:r w:rsidRPr="007356D4">
        <w:t>6</w:t>
      </w:r>
      <w:r w:rsidRPr="007356D4">
        <w:t>.</w:t>
      </w:r>
      <w:r w:rsidRPr="007356D4">
        <w:tab/>
        <w:t>vyzýva Komisiu, aby posilnila svoju podporu bezpečnostných opatrení na ochranu humanitárnych pracovníkov, a to aj prostredníctvom vzdelávacích programov, najmä pre miestnych zamestnancov, ako aj vypracovaním spoločných minimálnych bezpečnostných noriem pre humanitárnu komunitu, posilnením koordinácie v oblasti bezpečnosti a dostupnosti kľúčových bezpečnostných údajov, združovaním bezpečnostných zdrojov a rozvíjaním spoločných iniciatív s humanitárnymi partnermi, a to aj v súvislosti s novými hrozbami, ako sú dezinformácie; naliehavo vyzýva Komisiu, aby z iniciatívy „</w:t>
      </w:r>
      <w:r w:rsidRPr="007356D4">
        <w:t>Protect</w:t>
      </w:r>
      <w:r w:rsidRPr="007356D4">
        <w:t xml:space="preserve"> Aid </w:t>
      </w:r>
      <w:r w:rsidRPr="007356D4">
        <w:t>Workers</w:t>
      </w:r>
      <w:r w:rsidRPr="007356D4">
        <w:t>“ urobila trvalý globálny program s primeraným financovaním;</w:t>
      </w:r>
    </w:p>
    <w:p w:rsidR="003B50BF" w:rsidRPr="007356D4" w:rsidP="003B50BF" w14:paraId="2646FFBB" w14:textId="22C26238">
      <w:pPr>
        <w:spacing w:after="240"/>
        <w:ind w:left="567" w:hanging="567"/>
        <w:rPr>
          <w:bCs/>
          <w:iCs/>
        </w:rPr>
      </w:pPr>
      <w:r w:rsidRPr="007356D4">
        <w:t>7</w:t>
      </w:r>
      <w:r w:rsidRPr="007356D4">
        <w:t>.</w:t>
      </w:r>
      <w:r w:rsidRPr="007356D4">
        <w:tab/>
        <w:t>vyzýva Komisiu, aby zvýšila podporu služieb v oblasti duševného zdravia a psychosociálnej podpory pre humanitárnych pracovníkov, najmä pre miestnych zamestnancov, vzhľadom na vysokú mieru stresu a traumy spojenú s humanitárnymi operáciami;</w:t>
      </w:r>
    </w:p>
    <w:p w:rsidR="003B50BF" w:rsidRPr="007356D4" w:rsidP="003B50BF" w14:paraId="0CCD60AF" w14:textId="163EBD5C">
      <w:pPr>
        <w:spacing w:after="240"/>
        <w:ind w:left="567" w:hanging="567"/>
        <w:rPr>
          <w:bCs/>
          <w:iCs/>
          <w:szCs w:val="24"/>
        </w:rPr>
      </w:pPr>
      <w:r w:rsidRPr="007356D4">
        <w:t>8</w:t>
      </w:r>
      <w:r w:rsidRPr="007356D4">
        <w:t>.</w:t>
      </w:r>
      <w:r w:rsidRPr="007356D4">
        <w:tab/>
        <w:t xml:space="preserve">čo najdôraznejšie odsudzuje nárast počtu útokov na humanitárnych pracovníkov a ich zabíjanie v oblastiach konfliktov; pripomína štátom ich povinnosť rešpektovať a chrániť pracovníkov humanitárnej pomoci a zdôrazňuje, že úmyselné útoky na pracovníkov zapojených do misie humanitárnej pomoci predstavujú vojnové zločiny; </w:t>
      </w:r>
      <w:r w:rsidRPr="007356D4" w:rsidR="00553103">
        <w:rPr>
          <w:bCs/>
          <w:iCs/>
        </w:rPr>
        <w:t xml:space="preserve">dôrazne odsudzuje používanie tzv. taktiky dvojitého úderu zdokumentovanej v konfliktoch vrátane tých na Ukrajine, v Gaze a Libanone, pri ktorej po počiatočnom útoku nasleduje jeden alebo viacero následných útokov, ktorých terčom sú často civilisti a záchranári, najmä humanitárni pracovníci, a ktoré môžu predstavovať vojnový zločin; </w:t>
      </w:r>
      <w:r w:rsidRPr="007356D4">
        <w:t>vyzýva Komisiu a členské štáty, aby jednoznačne odsúdili zabíjanie humanitárnych pracovníkov a aby vynaložili prostriedky na vyšetrovanie a stíhanie páchateľov;</w:t>
      </w:r>
    </w:p>
    <w:p w:rsidR="003B50BF" w:rsidRPr="007356D4" w:rsidP="003B50BF" w14:paraId="3E02D272" w14:textId="7FF3430B">
      <w:pPr>
        <w:spacing w:after="240"/>
        <w:ind w:left="567" w:hanging="567"/>
        <w:rPr>
          <w:bCs/>
          <w:iCs/>
        </w:rPr>
      </w:pPr>
      <w:r w:rsidRPr="007356D4">
        <w:t>9</w:t>
      </w:r>
      <w:r w:rsidRPr="007356D4">
        <w:t>.</w:t>
      </w:r>
      <w:r w:rsidRPr="007356D4">
        <w:tab/>
        <w:t>vyzýva Komisiu, EEAS, delegácie EÚ, osobitných zástupcov EÚ a členské štáty, aby v rámci prístupu „Tím Európa“ pracovali na spoločnej stratégii EÚ v oblasti humanitárnej diplomacie v úzkej spolupráci s humanitárnymi subjektmi, vrátane partnerských medzinárodných mimovládnych organizácií; zdôrazňuje, že účinná humanitárna diplomacia by mala byť prispôsobená konkrétnej situácii, založená na údajoch a opierajúca sa o miestne zakotvenú obhajobu záujmov a odborné znalosti, ako aj o systematický dialóg s miestnymi a národnými humanitárnymi partnermi a aktérmi v prvej línii priamo v teréne, vrátane miestnych organizácií občianskej spoločnosti a organizácií za práva žien, ktoré sa často nachádzajú v prvej línii humanitárnej reakcie;</w:t>
      </w:r>
    </w:p>
    <w:p w:rsidR="003B50BF" w:rsidRPr="007356D4" w:rsidP="003B50BF" w14:paraId="0D503416" w14:textId="325FE7EC">
      <w:pPr>
        <w:spacing w:after="240"/>
        <w:ind w:left="567" w:hanging="567"/>
        <w:rPr>
          <w:bCs/>
          <w:iCs/>
          <w:szCs w:val="24"/>
        </w:rPr>
      </w:pPr>
      <w:r w:rsidRPr="007356D4">
        <w:t>10</w:t>
      </w:r>
      <w:r w:rsidRPr="007356D4">
        <w:t>.</w:t>
      </w:r>
      <w:r w:rsidRPr="007356D4">
        <w:tab/>
        <w:t>zdôrazňuje, že účinná a efektívna humanitárna diplomacia si vyžaduje posilnenie koordinácie medzi všetkými príslušnými humanitárnymi a politickými aktérmi a využitie všetkých možných diplomatických nástrojov, a to aj prostredníctvom kontaktných osôb pre humanitárnu diplomaciu a cielených komunikačných stratégií, s cieľom zlepšiť schopnosť EÚ chrániť humanitárny priestor v ozbrojených konfliktoch a zasadzovať sa proti porušovaniu medzinárodného humanitárneho práva;</w:t>
      </w:r>
    </w:p>
    <w:p w:rsidR="003B50BF" w:rsidRPr="007356D4" w:rsidP="003B50BF" w14:paraId="58EAED35" w14:textId="24510401">
      <w:pPr>
        <w:spacing w:after="240"/>
        <w:ind w:left="567" w:hanging="567"/>
        <w:rPr>
          <w:bCs/>
          <w:iCs/>
        </w:rPr>
      </w:pPr>
      <w:r w:rsidRPr="007356D4">
        <w:t>11</w:t>
      </w:r>
      <w:r w:rsidRPr="007356D4">
        <w:t>.</w:t>
      </w:r>
      <w:r w:rsidRPr="007356D4">
        <w:tab/>
        <w:t>zdôrazňuje potrebu posilniť schopnosť EÚ monitorovať a dokumentovať porušenia medzinárodného humanitárneho práva, a to aj prostredníctvom podpory nezávislých mechanizmov zodpovednosti a spolupráce s medzinárodnými vyšetrovacími orgánmi;</w:t>
      </w:r>
    </w:p>
    <w:p w:rsidR="003B50BF" w:rsidRPr="007356D4" w:rsidP="003B50BF" w14:paraId="479AF374" w14:textId="531367D7">
      <w:pPr>
        <w:spacing w:after="240"/>
        <w:ind w:left="567" w:hanging="567"/>
        <w:rPr>
          <w:bCs/>
          <w:iCs/>
          <w:szCs w:val="24"/>
        </w:rPr>
      </w:pPr>
      <w:r w:rsidRPr="007356D4">
        <w:t>12</w:t>
      </w:r>
      <w:r w:rsidRPr="007356D4">
        <w:t>.</w:t>
      </w:r>
      <w:r w:rsidRPr="007356D4">
        <w:tab/>
        <w:t xml:space="preserve">víta záväzok EÚ posilniť obhajobu a podporu odvetvia ochrany ako kľúčovej súčasti humanitárnej činnosti, ako aj rodovú rovnosť; je znepokojený prudkým nárastom </w:t>
      </w:r>
      <w:r w:rsidRPr="007356D4">
        <w:t>útokov na humanitárnych pracovníkov, zdravotnícky personál a humanitárnu infraštruktúru, ako aj nárastom rodovo motivovaného násilia v humanitárnych kontextoch, vrátane sexuálneho násilia súvisiaceho s konfliktmi</w:t>
      </w:r>
      <w:r>
        <w:rPr>
          <w:bCs/>
          <w:iCs/>
          <w:color w:val="000000"/>
          <w:vertAlign w:val="superscript"/>
        </w:rPr>
        <w:footnoteReference w:id="7"/>
      </w:r>
      <w:r w:rsidRPr="007356D4">
        <w:t xml:space="preserve">; vyzýva Komisiu, (ESVČ, delegácie EÚ a členské štáty, aby do centra úsilia v oblasti humanitárnej pripravenosti a reakcie postavili ženy a dievčatá, prijali inkluzívny prístup a posilnili plné vykonávanie agendy „ženy, mier a bezpečnosť“, vrátane opatrení na ochranu žien a dievčat pred rodovo motivovaným násilím, a posilnili plnú, rovnocennú a zmysluplnú účasť žien vo všetkých fázach mierových procesov, vrátane humanitárnych reakcií a úsilia o obnovu; vyzýva Komisiu a členské štáty, aby v nestabilných podmienkach poskytli 5 % svojej oficiálnej rozvojovej pomoci v nestabilných kontextoch organizáciám vedeným ženami a organizáciám zaoberajúcim sa právami žien prostredníctvom flexibilného a dlhodobého financovania, vzhľadom na dôležitú spájajúcu úlohu, ktorú ženy budujúce mier a organizácie vedené ženami zohrávajú ako prvé, ktoré reagujú na humanitárne krízy, a zároveň ako budovateľky mieru, </w:t>
      </w:r>
      <w:r w:rsidRPr="007356D4">
        <w:t>mediátorky</w:t>
      </w:r>
      <w:r w:rsidRPr="007356D4">
        <w:t xml:space="preserve"> a aktérky rozvoja vo svojich komunitách; víta skutočnosť, že Komisia posilní svoje úsilie v oblasti sexuálneho a reprodukčného zdravia a reprodukčných práv v humanitárnych situáciách, a to aj prostredníctvom programu SHIELD (Sexuálne a reprodukčné zdravie v núdzových situáciách a dôstojný život), a vyzýva Komisiu, aby na tento program vyčlenila dostatočné finančné prostriedky;</w:t>
      </w:r>
    </w:p>
    <w:p w:rsidR="003B50BF" w:rsidRPr="007356D4" w:rsidP="00DC5B2B" w14:paraId="1E7A83E2" w14:textId="77777777">
      <w:pPr>
        <w:spacing w:after="240"/>
        <w:rPr>
          <w:b/>
          <w:i/>
        </w:rPr>
      </w:pPr>
      <w:r w:rsidRPr="007356D4">
        <w:rPr>
          <w:b/>
          <w:i/>
        </w:rPr>
        <w:t>Výkonnosť – Podpora humanitárnej reformy zameranej na ľudí, dosiahnutie účinnejších a efektívnejších humanitárnych reakcií</w:t>
      </w:r>
    </w:p>
    <w:p w:rsidR="003B50BF" w:rsidRPr="007356D4" w:rsidP="003B50BF" w14:paraId="5D22274D" w14:textId="4B985A38">
      <w:pPr>
        <w:spacing w:after="240"/>
        <w:ind w:left="567" w:hanging="567"/>
      </w:pPr>
      <w:r w:rsidRPr="007356D4">
        <w:t>13</w:t>
      </w:r>
      <w:r w:rsidRPr="007356D4">
        <w:t>.</w:t>
      </w:r>
      <w:r w:rsidRPr="007356D4">
        <w:tab/>
        <w:t>vyjadruje hlboké poľutovanie nad celosvetovou krízou v oblasti financovania humanitárnej pomoci a rozvoja, ako aj nad rozhodnutím viacerých kľúčových darcov, vrátane viacerých členských štátov EÚ, znížiť svoje rozpočty na pomoc; vyzýva členské štáty, aby prijali dôveryhodné opatrenia na splnenie spoločného záväzku EÚ vyčleniť 0,7 % hrubého národného dôchodku na oficiálnu rozvojovú pomoc, pričom 10 % z tejto sumy by malo byť určených na humanitárnu pomoc;</w:t>
      </w:r>
    </w:p>
    <w:p w:rsidR="003B50BF" w:rsidRPr="007356D4" w:rsidP="003B50BF" w14:paraId="024AA9A4" w14:textId="2EC9E0C0">
      <w:pPr>
        <w:spacing w:after="240"/>
        <w:ind w:left="567" w:hanging="567"/>
        <w:rPr>
          <w:bCs/>
          <w:iCs/>
          <w:szCs w:val="24"/>
        </w:rPr>
      </w:pPr>
      <w:r w:rsidRPr="007356D4">
        <w:t>14</w:t>
      </w:r>
      <w:r w:rsidRPr="007356D4">
        <w:t>.</w:t>
      </w:r>
      <w:r w:rsidRPr="007356D4">
        <w:tab/>
        <w:t>vyjadruje obavy, že rastúca geopolitická konkurencia a meniace sa priority darcov môžu odkloniť pozornosť a zdroje od najmenej rozvinutých a najzraniteľnejších krajín sveta; vyzýva Komisiu a členské štáty, aby pri prideľovaní humanitárnej pomoci uplatňovali transparentné kritériá založené na potrebách a aby zabezpečili dostatočné a trvalé financovanie kríz, ktoré boli doteraz vo veľkej miere zanedbávané a nedostatočne financované;</w:t>
      </w:r>
    </w:p>
    <w:p w:rsidR="003B50BF" w:rsidRPr="007356D4" w:rsidP="003B50BF" w14:paraId="055AA4F1" w14:textId="11BFE764">
      <w:pPr>
        <w:spacing w:after="240"/>
        <w:ind w:left="567" w:hanging="567"/>
        <w:rPr>
          <w:szCs w:val="24"/>
        </w:rPr>
      </w:pPr>
      <w:r w:rsidRPr="007356D4">
        <w:t>15</w:t>
      </w:r>
      <w:r w:rsidRPr="007356D4">
        <w:t>.</w:t>
      </w:r>
      <w:r w:rsidRPr="007356D4">
        <w:tab/>
        <w:t>víta úsilie Komisie zamerané na zvýšenie efektívnosti pomoci a kvality financovania humanitárnej pomoci v rámci iniciatívy OSN „</w:t>
      </w:r>
      <w:r w:rsidRPr="007356D4">
        <w:t>Humanitarian</w:t>
      </w:r>
      <w:r w:rsidRPr="007356D4">
        <w:t xml:space="preserve"> Reset“ a na uprednostnenie tých, ktorí to najviac potrebujú; zdôrazňuje, že okrem objemu pomoci majú v súvislosti s humanitárnou pomocou EÚ kľúčový význam aj jej kvalita a zodpovednosť, a že reformy v oblasti humanitárnej pomoci musia vychádzať z potrieb, byť orientované na výsledky a zamerané na efektívnosť a skutočný dopad; zdôrazňuje však, že tento postup sa nesmie stať čisto úsporným opatrením, ktoré by ohrozilo poskytovanie pomoci na základe zásad a potrieb; vyzýva Komisiu, aby sa zasadila o to, aby sa úspory dosiahnuté v rámci iniciatívy „</w:t>
      </w:r>
      <w:r w:rsidRPr="007356D4">
        <w:t>Humanitarian</w:t>
      </w:r>
      <w:r w:rsidRPr="007356D4">
        <w:t xml:space="preserve"> Reset“ opätovne investovali do humanitárnych reakcií v prvej línii, a nie aby sa nimi znižovala celková úroveň pomoci; vyzýva Komisiu a členské štáty, aby zabezpečili, že všetky humanitárne </w:t>
      </w:r>
      <w:r w:rsidRPr="007356D4">
        <w:t>reformy, ktoré uskutočňujú, budú zamerané na ľudí a zohľadňujúce rodové hľadisko, a to zosúladením procesov financovania, dodržiavania predpisov a reforiem s cieľmi kvality, lokalizácie a zodpovednosti voči postihnutému obyvateľstvu;</w:t>
      </w:r>
    </w:p>
    <w:p w:rsidR="003B50BF" w:rsidRPr="007356D4" w:rsidP="003B50BF" w14:paraId="0176530D" w14:textId="0A1C9F4E">
      <w:pPr>
        <w:spacing w:after="240"/>
        <w:ind w:left="567" w:hanging="567"/>
      </w:pPr>
      <w:r w:rsidRPr="007356D4">
        <w:t>16</w:t>
      </w:r>
      <w:r w:rsidRPr="007356D4">
        <w:t>.</w:t>
      </w:r>
      <w:r w:rsidRPr="007356D4">
        <w:tab/>
        <w:t>vyzýva Komisiu, aby pokračovala vo svojom úsilí zameranom na zvýšenie efektívnosti, účinnosti, environmentálnej udržateľnosti a odolnosti humanitárnych dodávateľských reťazcov; vyzýva Komisiu, aby tieto reformy navrhovala spoločne so subjektmi zodpovednými za ich vykonávanie a aby ich podporila primeraným financovaním;</w:t>
      </w:r>
    </w:p>
    <w:p w:rsidR="003B50BF" w:rsidRPr="007356D4" w:rsidP="003B50BF" w14:paraId="335CC53F" w14:textId="07181AC1">
      <w:pPr>
        <w:spacing w:after="240"/>
        <w:ind w:left="567" w:hanging="567"/>
        <w:rPr>
          <w:szCs w:val="24"/>
        </w:rPr>
      </w:pPr>
      <w:r w:rsidRPr="007356D4">
        <w:t>17</w:t>
      </w:r>
      <w:r w:rsidRPr="007356D4">
        <w:t>.</w:t>
      </w:r>
      <w:r w:rsidRPr="007356D4">
        <w:tab/>
        <w:t xml:space="preserve">berie na vedomie záväzok Komisie vyčleniť aspoň dve tretiny svojich prostriedkov na humanitárnu pomoc prostredníctvom </w:t>
      </w:r>
      <w:r w:rsidRPr="007356D4">
        <w:t>transformatívnych</w:t>
      </w:r>
      <w:r w:rsidRPr="007356D4">
        <w:t xml:space="preserve"> postupov, ktoré zvyšujú flexibilitu a efektívnosť a znižujú administratívne zaťaženie partnerov; vyzýva Komisiu, aby v prípade potreby ďalej rozširovala využívanie pomoci vo forme hotovosti ako efektívneho, dôstojného a na človeka zameraného spôsobu poskytovania humanitárnej pomoci;</w:t>
      </w:r>
    </w:p>
    <w:p w:rsidR="003B50BF" w:rsidRPr="007356D4" w:rsidP="003B50BF" w14:paraId="0907E0EE" w14:textId="42C7000E">
      <w:pPr>
        <w:spacing w:after="240"/>
        <w:ind w:left="567" w:hanging="567"/>
      </w:pPr>
      <w:r w:rsidRPr="007356D4">
        <w:t>18</w:t>
      </w:r>
      <w:r w:rsidRPr="007356D4">
        <w:t>.</w:t>
      </w:r>
      <w:r w:rsidRPr="007356D4">
        <w:tab/>
        <w:t>dôrazne podporuje program a plán realizácie lokalizácie; žiada Komisiu, aby do konca roka 2026 podala správu o pokroku, ktorý dosiahla pri plnení svojho cieľa, ktorým je do roku 2027 poskytnúť 25 % prostriedkov na humanitárnu pomoc čo najpriamejšie miestnym aktérom prostredníctvom medzinárodných agentúr a organizácií, špecializovaných agentúr členských štátov a partnerských mimovládnych organizácií, pričom zdôrazňuje kľúčovú úlohu OSN pri koordinácii medzinárodnej humanitárnej reakcie na katastrofy a ozbrojené konflikty; žiada Komisiu, aby zvážila, ako môže dosiahnuť ďalší pokrok v oblasti lokalizácie po roku 2027;</w:t>
      </w:r>
    </w:p>
    <w:p w:rsidR="003B50BF" w:rsidRPr="007356D4" w:rsidP="003B50BF" w14:paraId="0E4CB6C9" w14:textId="6759FDCA">
      <w:pPr>
        <w:spacing w:after="240"/>
        <w:ind w:left="567" w:hanging="567"/>
      </w:pPr>
      <w:r w:rsidRPr="007356D4">
        <w:t>19</w:t>
      </w:r>
      <w:r w:rsidRPr="007356D4">
        <w:t>.</w:t>
      </w:r>
      <w:r w:rsidRPr="007356D4">
        <w:tab/>
        <w:t>vyzýva Komisiu a členské štáty, aby zabezpečili skutočnú lokalizáciu a spravodlivé partnerstvá s miestnymi subjektmi poskytujúcimi pomoc, a to aj tým, že zabezpečia, aby miestni aktéri zohrávali aktívnu úlohu v rozhodovacom procese, plánovaní, monitorovaní a hodnotení humanitárnych reakcií; vyjadruje veľké uznanie záväzku EÚ investovať do zapájania miestnych aktérov do humanitárnej diplomacie; vyzýva Komisiu, aby zjednodušila prístup miestnych aktérov k humanitárnemu financovaniu EÚ, a to okrem iného znížením administratívnych prekážok, prispôsobením požiadaviek na dodržiavanie predpisov a podávanie správ a väčším využívaním predvídateľných a sprostredkovateľských mechanizmov financovania;</w:t>
      </w:r>
    </w:p>
    <w:p w:rsidR="003B50BF" w:rsidRPr="007356D4" w:rsidP="003B50BF" w14:paraId="300CEE36" w14:textId="77777777">
      <w:pPr>
        <w:spacing w:after="240"/>
        <w:ind w:left="567" w:hanging="567"/>
        <w:rPr>
          <w:b/>
          <w:i/>
          <w:iCs/>
        </w:rPr>
      </w:pPr>
      <w:r w:rsidRPr="007356D4">
        <w:rPr>
          <w:b/>
          <w:i/>
        </w:rPr>
        <w:t>Partnerstvo – Smerom k integrovanému prístupu k problematike nestability</w:t>
      </w:r>
    </w:p>
    <w:p w:rsidR="003B50BF" w:rsidRPr="007356D4" w:rsidP="003B50BF" w14:paraId="7B1B5DC0" w14:textId="026A0D05">
      <w:pPr>
        <w:spacing w:after="240"/>
        <w:ind w:left="567" w:hanging="567"/>
        <w:rPr>
          <w:bCs/>
          <w:iCs/>
        </w:rPr>
      </w:pPr>
      <w:r w:rsidRPr="007356D4">
        <w:t>20</w:t>
      </w:r>
      <w:r w:rsidRPr="007356D4">
        <w:t>.</w:t>
      </w:r>
      <w:r w:rsidRPr="007356D4">
        <w:tab/>
        <w:t>zdôrazňuje, že celkový prístup EÚ k nestabilným kontextom musí zabezpečiť súdržnosť medzi jej humanitárnymi, rozvojovými a bezpečnostnými nástrojmi, musí byť v súlade s prepojením medzi humanitárnou pomocou, rozvojom a mierom a musí zmysluplne zohľadňovať environmentálne a klimatické hľadiská; vyzýva Komisiu a členské štáty, aby posilnili podporu nielen pre vysídlené obyvateľstvo, ale aj pre komunity, ktoré ich prijímajú, investovali do trvalých riešení a sebestačnosti a zabezpečili, aby opatrenia zamerané na riešenie dlhodobého vysídlenia prepojili humanitárnu, rozvojovú a mierovú činnosť;</w:t>
      </w:r>
    </w:p>
    <w:p w:rsidR="003B50BF" w:rsidRPr="007356D4" w:rsidP="003B50BF" w14:paraId="63E885EC" w14:textId="39823C1A">
      <w:pPr>
        <w:spacing w:after="240"/>
        <w:ind w:left="567" w:hanging="567"/>
        <w:rPr>
          <w:bCs/>
          <w:iCs/>
          <w:szCs w:val="24"/>
        </w:rPr>
      </w:pPr>
      <w:r w:rsidRPr="007356D4">
        <w:t>21</w:t>
      </w:r>
      <w:r w:rsidRPr="007356D4">
        <w:t>.</w:t>
      </w:r>
      <w:r w:rsidRPr="007356D4">
        <w:tab/>
        <w:t xml:space="preserve">uznáva dôležitosť koordinovaného prístupu medzi aktérmi v oblasti humanitárnej pomoci, rozvoja a mieru v nestabilných kontextoch a kontextoch zasiahnutých konfliktmi; zdôrazňuje, že táto koordinácia musí v plnej miere rešpektovať osobitné mandáty a zásady fungovania humanitárnej činnosti; varuje pred podriadením humanitárnej pomoci akýmkoľvek cieľom, ktoré nie sú v súlade s humanitárnymi </w:t>
      </w:r>
      <w:r w:rsidRPr="007356D4">
        <w:t>zásadami, keďže takéto podriadenie môže ohroziť bezpečný prístup humanitárnych organizácií a ich prijatie zo strany postihnutých komunít a strán konfliktu a môže vystaviť príjemcov pomoci a humanitárny personál dodatočným rizikám;</w:t>
      </w:r>
    </w:p>
    <w:p w:rsidR="003B50BF" w:rsidRPr="007356D4" w:rsidP="003B50BF" w14:paraId="6A669802" w14:textId="54488FA2">
      <w:pPr>
        <w:spacing w:after="240"/>
        <w:ind w:left="567" w:hanging="567"/>
        <w:rPr>
          <w:bCs/>
          <w:iCs/>
        </w:rPr>
      </w:pPr>
      <w:r w:rsidRPr="007356D4">
        <w:t>22</w:t>
      </w:r>
      <w:r w:rsidRPr="007356D4">
        <w:t>.</w:t>
      </w:r>
      <w:r w:rsidRPr="007356D4">
        <w:tab/>
        <w:t>žiada Komisiu, aby poskytla ďalšie usmernenia týkajúce sa integrácie humanitárnych, rozvojových a mierových opatrení prostredníctvom postupného, komplementárneho alebo spoločného financovania s členskými štátmi; vyzýva Komisiu, aby využila dostupné možnosti prispôsobenia v rámci finančných nástrojov s cieľom primerane reagovať na krízy v nestabilných kontextoch;</w:t>
      </w:r>
    </w:p>
    <w:p w:rsidR="003B50BF" w:rsidRPr="007356D4" w:rsidP="003B50BF" w14:paraId="7CE2666E" w14:textId="7EBB10B1">
      <w:pPr>
        <w:spacing w:after="240"/>
        <w:ind w:left="567" w:hanging="567"/>
        <w:rPr>
          <w:bCs/>
          <w:iCs/>
          <w:szCs w:val="24"/>
        </w:rPr>
      </w:pPr>
      <w:r w:rsidRPr="007356D4">
        <w:t>23</w:t>
      </w:r>
      <w:r w:rsidRPr="007356D4">
        <w:t>.</w:t>
      </w:r>
      <w:r w:rsidRPr="007356D4">
        <w:tab/>
        <w:t>zdôrazňuje dôležitosť trvalého angažovania sa v nestabilných a konfliktom zasiahnutých oblastiach, a to prostredníctvom prístupu zameraného na ľudí, ktorý je plne v súlade s cieľmi OSN v oblasti udržateľného rozvoja a so zásadou, že na nikoho sa nesmie zabudnúť; zdôrazňuje, že intervencie v nestabilných a konfliktom zasiahnutých prostrediach by sa mali zameriavať na štrukturálne príčiny chudoby a nerovnosti, podporovať ľudský rozvoj a v prvom rade oslovovať najzraniteľnejších bez akejkoľvek diskriminácie, pričom by mali posilňovať správu vecí verejných, inštitucionálnu kapacitu a prístup k základným službám;</w:t>
      </w:r>
    </w:p>
    <w:p w:rsidR="003B50BF" w:rsidRPr="007356D4" w:rsidP="003B50BF" w14:paraId="148084C5" w14:textId="697C4425">
      <w:pPr>
        <w:spacing w:after="240"/>
        <w:ind w:left="567" w:hanging="567"/>
        <w:rPr>
          <w:bCs/>
          <w:iCs/>
        </w:rPr>
      </w:pPr>
      <w:r w:rsidRPr="007356D4">
        <w:t>24</w:t>
      </w:r>
      <w:r w:rsidRPr="007356D4">
        <w:t>.</w:t>
      </w:r>
      <w:r w:rsidRPr="007356D4">
        <w:tab/>
        <w:t>podporuje snahy o zintenzívnenie koordinácie v rámci iniciatívy „Tím Európa“ v nestabilných prostrediach a o posilnenie partnerstiev s krajinami mimo EÚ, regionálnymi a multilaterálnymi organizáciami, medzinárodnými rozvojovými bankami, súkromným sektorom a filantropickými organizáciami; vyzýva Komisiu, aby úzko spolupracovala s miestnymi aktérmi a organizáciami občianskej spoločnosti a s miestnymi komunitami v nestabilných podmienkach s cieľom posilniť udržateľnosť, odolnosť na úrovni komunity a zodpovednosť;</w:t>
      </w:r>
    </w:p>
    <w:p w:rsidR="003B50BF" w:rsidRPr="007356D4" w:rsidP="003B50BF" w14:paraId="21724851" w14:textId="5F4F245E">
      <w:pPr>
        <w:spacing w:after="240"/>
        <w:ind w:left="567" w:hanging="567"/>
        <w:rPr>
          <w:bCs/>
          <w:iCs/>
        </w:rPr>
      </w:pPr>
      <w:r w:rsidRPr="007356D4">
        <w:t>25</w:t>
      </w:r>
      <w:r w:rsidRPr="007356D4">
        <w:t>.</w:t>
      </w:r>
      <w:r w:rsidRPr="007356D4">
        <w:tab/>
        <w:t xml:space="preserve">víta oznámenie Komisie, že vypracuje nový globálny program zameraný na viacodvetvové posudzovanie potrieb a investície do kvality údajov, </w:t>
      </w:r>
      <w:r w:rsidRPr="007356D4">
        <w:t>interoperability</w:t>
      </w:r>
      <w:r w:rsidRPr="007356D4">
        <w:t>, bezpečného zdieľania údajov a výkonnejších analytických a nástrojov a nástrojov na podávanie správ, vrátane nástrojov na pozorovanie Zeme a modelovanie, s cieľom posilniť rozhodovanie založené na dôkazoch a umožniť rýchlejšie, koordinovanejšie a účinnejšie humanitárne reakcie;</w:t>
      </w:r>
    </w:p>
    <w:p w:rsidR="003B50BF" w:rsidRPr="007356D4" w:rsidP="003B50BF" w14:paraId="384D2198" w14:textId="7A331DAF">
      <w:pPr>
        <w:spacing w:after="240"/>
        <w:ind w:left="567" w:hanging="567"/>
        <w:rPr>
          <w:bCs/>
          <w:iCs/>
          <w:szCs w:val="24"/>
        </w:rPr>
      </w:pPr>
      <w:r w:rsidRPr="007356D4">
        <w:t>26</w:t>
      </w:r>
      <w:r w:rsidRPr="007356D4">
        <w:t>.</w:t>
      </w:r>
      <w:r w:rsidRPr="007356D4">
        <w:tab/>
        <w:t>zdôrazňuje dôležitosť programovania zohľadňujúceho konflikty a vyzýva Komisiu a partnerov, aby systematicky začleňovali analýzu konfliktov do humanitárnych a rozvojových intervencií v nestabilných podmienkach;</w:t>
      </w:r>
    </w:p>
    <w:p w:rsidR="003B50BF" w:rsidRPr="007356D4" w:rsidP="003B50BF" w14:paraId="020E99B7" w14:textId="1606C63A">
      <w:pPr>
        <w:spacing w:after="240"/>
        <w:ind w:left="567" w:hanging="567"/>
        <w:rPr>
          <w:bCs/>
          <w:iCs/>
          <w:szCs w:val="24"/>
        </w:rPr>
      </w:pPr>
      <w:r w:rsidRPr="007356D4">
        <w:t>27</w:t>
      </w:r>
      <w:r w:rsidRPr="007356D4">
        <w:t>.</w:t>
      </w:r>
      <w:r w:rsidRPr="007356D4">
        <w:tab/>
        <w:t>vyzýva, aby delegáciám EÚ bola poskytnutá dostatočná operačná flexibilita na prispôsobenie programov rýchlo sa meniacim nestabilným situáciám a na účinnú koordináciu politického dialógu a realizácie v rámci prepojenia medzi humanitárnou pomocou, rozvojom a mierom;</w:t>
      </w:r>
    </w:p>
    <w:p w:rsidR="003B50BF" w:rsidRPr="007356D4" w:rsidP="003B50BF" w14:paraId="052BBEA0" w14:textId="1CEF5818">
      <w:pPr>
        <w:spacing w:after="240"/>
        <w:ind w:left="567" w:hanging="567"/>
        <w:rPr>
          <w:bCs/>
          <w:iCs/>
        </w:rPr>
      </w:pPr>
      <w:r w:rsidRPr="007356D4">
        <w:t>28</w:t>
      </w:r>
      <w:r w:rsidRPr="007356D4">
        <w:t>.</w:t>
      </w:r>
      <w:r w:rsidRPr="007356D4">
        <w:tab/>
        <w:t>berie na vedomie zámer Komisie zvýšiť financovanie projektov, ktoré podporujú zapojenie súkromného sektora a inovatívne investície založené na zdieľaní rizika v kontextoch s dlhotrvajúcou humanitárnou krízou; vyzýva Komisiu, aby určila najvhodnejšie nástroje pre každý konkrétny kontext, čím zabezpečí prístup k investíciám zohľadňujúci konfliktné situácie, a aby posúdila využitie iniciatívy „</w:t>
      </w:r>
      <w:r w:rsidRPr="007356D4">
        <w:t>Global</w:t>
      </w:r>
      <w:r w:rsidRPr="007356D4">
        <w:t xml:space="preserve"> </w:t>
      </w:r>
      <w:r w:rsidRPr="007356D4">
        <w:t>Gateway</w:t>
      </w:r>
      <w:r w:rsidRPr="007356D4">
        <w:t xml:space="preserve">“ ako nástroja EÚ na budovanie odolnosti a udržateľného rozvoja v </w:t>
      </w:r>
      <w:r w:rsidRPr="007356D4">
        <w:t>mestabilných</w:t>
      </w:r>
      <w:r w:rsidRPr="007356D4">
        <w:t xml:space="preserve"> prostrediach, a to aj s ohľadom na najnaliehavejšie a najbezprostrednejšie potreby;</w:t>
      </w:r>
    </w:p>
    <w:p w:rsidR="003B50BF" w:rsidRPr="007356D4" w:rsidP="003B50BF" w14:paraId="7A3CBBFE" w14:textId="25134CF7">
      <w:pPr>
        <w:spacing w:after="240"/>
        <w:ind w:left="567" w:hanging="567"/>
        <w:rPr>
          <w:bCs/>
          <w:iCs/>
          <w:szCs w:val="24"/>
        </w:rPr>
      </w:pPr>
      <w:r w:rsidRPr="007356D4">
        <w:t>29</w:t>
      </w:r>
      <w:r w:rsidRPr="007356D4">
        <w:t>.</w:t>
      </w:r>
      <w:r w:rsidRPr="007356D4">
        <w:tab/>
        <w:t>vyzýva Komisiu, aby podporovala zodpovedné zapájanie súkromného sektora do humanitárnych situácií v súlade s humanitárnymi zásadami a požiadavkami na transparentnosť a zodpovednosť, pričom by prispievala k udržateľnému a inkluzívnemu rozvoju, a to aj prostredníctvom vytvárania dôstojných pracovných miest a znižovania chudoby;</w:t>
      </w:r>
    </w:p>
    <w:p w:rsidR="003B50BF" w:rsidRPr="007356D4" w:rsidP="003B50BF" w14:paraId="0704F521" w14:textId="707C54B4">
      <w:pPr>
        <w:spacing w:after="240"/>
        <w:ind w:left="567" w:hanging="567"/>
        <w:rPr>
          <w:bCs/>
          <w:iCs/>
          <w:szCs w:val="24"/>
        </w:rPr>
      </w:pPr>
      <w:r w:rsidRPr="007356D4">
        <w:t>30</w:t>
      </w:r>
      <w:r w:rsidRPr="007356D4">
        <w:t>.</w:t>
      </w:r>
      <w:r w:rsidRPr="007356D4">
        <w:tab/>
        <w:t>zdôrazňuje, že oficiálna rozvojová pomoc by mala byť smerovaná tam, kde je najviac potrebná, a musí zostať kľúčovým nástrojom na riešenie humanitárnych potrieb a poskytovanie služieb zachraňujúcich životy obyvateľom postihnutým krízou, čo sú nevyhnutné predpoklady pre stabilné, inkluzívne a prosperujúce spoločnosti; zdôrazňuje, že verejno-súkromné partnerstvá môžu dopĺňať oficiálnu rozvojovú pomoc, ale nesmú ju nahradiť pri poskytovaní humanitárnej pomoci a podpory odolnosti;</w:t>
      </w:r>
    </w:p>
    <w:p w:rsidR="003B50BF" w:rsidRPr="007356D4" w:rsidP="003B50BF" w14:paraId="643CB2E6" w14:textId="6CCA6756">
      <w:pPr>
        <w:spacing w:after="240"/>
        <w:ind w:left="567" w:hanging="567"/>
        <w:rPr>
          <w:bCs/>
          <w:iCs/>
          <w:szCs w:val="24"/>
        </w:rPr>
      </w:pPr>
      <w:r w:rsidRPr="007356D4">
        <w:t>31</w:t>
      </w:r>
      <w:r w:rsidRPr="007356D4">
        <w:t>.</w:t>
      </w:r>
      <w:r w:rsidRPr="007356D4">
        <w:tab/>
        <w:t xml:space="preserve">vyzýva Komisiu, aby pravidelne sledovala plnenie záväzkov týkajúcich sa nestabilných štátov a každé dva roky podávala </w:t>
      </w:r>
      <w:r w:rsidRPr="007356D4" w:rsidR="00C33EDC">
        <w:t>Európskemu p</w:t>
      </w:r>
      <w:r w:rsidRPr="007356D4">
        <w:t>arlamentu správu o ich plnení; zdôrazňuje význam úzkej koordinácie medzi útvarmi Komisie, (ESVČ a delegáciami EÚ, a to aj prostredníctvom špecializovaných rámcov pre krajiny v nestabilnej situácii; žiada Komisiu o ďalšie vysvetlenie týkajúce sa úlohy služieb zapojených do integrovaného prístupu k problematike nestability; vyzýva Komisiu a ESVČ, aby sa aktívne zapájali do spolupráce s OSN a ďalšími medzinárodnými partnermi pri riešení problému nestability;</w:t>
      </w:r>
    </w:p>
    <w:p w:rsidR="003B50BF" w:rsidRPr="007356D4" w:rsidP="003B50BF" w14:paraId="07A81F70" w14:textId="77777777">
      <w:pPr>
        <w:spacing w:after="240"/>
        <w:ind w:left="567" w:hanging="567"/>
        <w:rPr>
          <w:b/>
          <w:i/>
          <w:iCs/>
        </w:rPr>
      </w:pPr>
      <w:r w:rsidRPr="007356D4">
        <w:rPr>
          <w:b/>
          <w:i/>
        </w:rPr>
        <w:t>Ďalší postup a realizácia</w:t>
      </w:r>
    </w:p>
    <w:p w:rsidR="003B50BF" w:rsidRPr="007356D4" w:rsidP="003B50BF" w14:paraId="57CAC528" w14:textId="2BEB4874">
      <w:pPr>
        <w:spacing w:after="240"/>
        <w:ind w:left="567" w:hanging="567"/>
      </w:pPr>
      <w:r w:rsidRPr="007356D4">
        <w:t>32</w:t>
      </w:r>
      <w:r w:rsidRPr="007356D4">
        <w:t>.</w:t>
      </w:r>
      <w:r w:rsidRPr="007356D4">
        <w:tab/>
        <w:t xml:space="preserve">vyzýva Komisiu </w:t>
      </w:r>
      <w:r w:rsidRPr="007356D4">
        <w:t>aEurópsku</w:t>
      </w:r>
      <w:r w:rsidRPr="007356D4">
        <w:t xml:space="preserve"> službu pre vonkajšiu činnosť (ESVČ, aby vypracovali jasný plán vykonávania a monitorovania záväzkov uvedených v spoločnom oznámení o humanitárnej pomoci a v priložených pracovných dokumentoch úradníkov a aby zabezpečili plné zapojenie </w:t>
      </w:r>
      <w:r w:rsidRPr="007356D4" w:rsidR="00C33EDC">
        <w:t>Európskeho p</w:t>
      </w:r>
      <w:r w:rsidRPr="007356D4">
        <w:t>arlamentu do tohto procesu;</w:t>
      </w:r>
    </w:p>
    <w:p w:rsidR="003B50BF" w:rsidRPr="007356D4" w:rsidP="003B50BF" w14:paraId="18FA7596" w14:textId="7C474781">
      <w:pPr>
        <w:spacing w:after="240"/>
        <w:ind w:left="567" w:hanging="567"/>
        <w:rPr>
          <w:szCs w:val="24"/>
        </w:rPr>
      </w:pPr>
      <w:r w:rsidRPr="007356D4">
        <w:t>33</w:t>
      </w:r>
      <w:r w:rsidRPr="007356D4">
        <w:t>.</w:t>
      </w:r>
      <w:r w:rsidRPr="007356D4">
        <w:tab/>
        <w:t>zdôrazňuje význam parlamentnej diplomacie a demokratického dohľadu pri posilňovaní zodpovednosti a legitimity v súvislosti s humanitárnou aktivitou; zdôrazňuje prínos medziparlamentných orgánov, ako sú Africko-európske parlamentné zhromaždenie a Spoločné parlamentné zhromaždenie Organizácie afrických, karibských a tichomorských štátov a EÚ, pri vedení dialógu s partnerskými krajinami a regiónmi o humanitárnych potrebách, čím sa chráni humanitárny priestor;</w:t>
      </w:r>
    </w:p>
    <w:p w:rsidR="003B50BF" w:rsidRPr="007356D4" w:rsidP="003B50BF" w14:paraId="5B7DBE1A" w14:textId="77777777">
      <w:pPr>
        <w:spacing w:after="240"/>
        <w:ind w:left="567" w:hanging="567"/>
        <w:jc w:val="center"/>
      </w:pPr>
      <w:r w:rsidRPr="007356D4">
        <w:t>°</w:t>
      </w:r>
    </w:p>
    <w:p w:rsidR="003B50BF" w:rsidRPr="007356D4" w:rsidP="003B50BF" w14:paraId="01F2D7A5" w14:textId="77777777">
      <w:pPr>
        <w:spacing w:after="240"/>
        <w:ind w:left="567" w:hanging="567"/>
        <w:jc w:val="center"/>
      </w:pPr>
      <w:r w:rsidRPr="007356D4">
        <w:t>°</w:t>
      </w:r>
      <w:r w:rsidRPr="007356D4">
        <w:tab/>
        <w:t>°</w:t>
      </w:r>
    </w:p>
    <w:p w:rsidR="003B50BF" w:rsidRPr="007356D4" w:rsidP="003B50BF" w14:paraId="5C479381" w14:textId="174CE814">
      <w:pPr>
        <w:spacing w:after="240"/>
        <w:ind w:left="567" w:hanging="567"/>
      </w:pPr>
      <w:r w:rsidRPr="007356D4">
        <w:t>34</w:t>
      </w:r>
      <w:r w:rsidRPr="007356D4">
        <w:t>.</w:t>
      </w:r>
      <w:r w:rsidRPr="007356D4">
        <w:tab/>
        <w:t>poveruje sv</w:t>
      </w:r>
      <w:r w:rsidRPr="007356D4" w:rsidR="00ED7768">
        <w:t>oju</w:t>
      </w:r>
      <w:r w:rsidRPr="007356D4">
        <w:t xml:space="preserve"> predsed</w:t>
      </w:r>
      <w:r w:rsidRPr="007356D4" w:rsidR="00ED7768">
        <w:t>níčku</w:t>
      </w:r>
      <w:r w:rsidRPr="007356D4">
        <w:t>, aby postúpil</w:t>
      </w:r>
      <w:r w:rsidRPr="007356D4" w:rsidR="00ED7768">
        <w:t>a</w:t>
      </w:r>
      <w:r w:rsidRPr="007356D4">
        <w:t xml:space="preserve"> toto uznesenie </w:t>
      </w:r>
      <w:r w:rsidRPr="007356D4" w:rsidR="00ED7768">
        <w:t>Komisii</w:t>
      </w:r>
      <w:r w:rsidRPr="007356D4">
        <w:t xml:space="preserve">, Európskej službe pre vonkajšiu činnosť, </w:t>
      </w:r>
      <w:r w:rsidRPr="007356D4" w:rsidR="00ED7768">
        <w:t>Rade</w:t>
      </w:r>
      <w:r w:rsidRPr="007356D4">
        <w:t xml:space="preserve"> a vládam a parlamentom členských štátov.</w:t>
      </w:r>
    </w:p>
    <w:p w:rsidR="003B50BF" w:rsidRPr="007356D4" w:rsidP="003B50BF" w14:paraId="3563E9FE" w14:textId="77777777">
      <w:pPr>
        <w:rPr>
          <w:lang w:eastAsia="fr-FR"/>
        </w:rPr>
      </w:pPr>
    </w:p>
    <w:p w:rsidR="00E365E1" w:rsidRPr="007356D4" w:rsidP="00342F4A" w14:paraId="6CF1AB26" w14:textId="5F2C695A">
      <w:pPr>
        <w:widowControl/>
      </w:pPr>
    </w:p>
    <w:sectPr w:rsidSect="000E30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307C" w14:paraId="5522AE7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307C" w14:paraId="662DF82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307C" w14:paraId="4377A34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E7742" w:rsidRPr="000E307C" w14:paraId="0A772B02" w14:textId="77777777">
      <w:r w:rsidRPr="000E307C">
        <w:separator/>
      </w:r>
    </w:p>
  </w:footnote>
  <w:footnote w:type="continuationSeparator" w:id="1">
    <w:p w:rsidR="00DE7742" w:rsidRPr="000E307C" w14:paraId="255C7136" w14:textId="77777777">
      <w:r w:rsidRPr="000E307C">
        <w:continuationSeparator/>
      </w:r>
    </w:p>
  </w:footnote>
  <w:footnote w:id="2">
    <w:p w:rsidR="003B50BF" w:rsidRPr="00C33EDC" w:rsidP="00C33EDC" w14:paraId="40F2AF68" w14:textId="2D1ADC59">
      <w:pPr>
        <w:pStyle w:val="FootnoteText"/>
        <w:ind w:left="567" w:hanging="567"/>
        <w:rPr>
          <w:sz w:val="24"/>
          <w:szCs w:val="24"/>
          <w:lang w:val="sk-SK"/>
        </w:rPr>
      </w:pPr>
      <w:r w:rsidRPr="00C33EDC">
        <w:rPr>
          <w:rStyle w:val="FootnoteReference"/>
          <w:sz w:val="24"/>
          <w:szCs w:val="24"/>
          <w:lang w:val="sk-SK"/>
        </w:rPr>
        <w:footnoteRef/>
      </w:r>
      <w:r w:rsidRPr="00C33EDC">
        <w:rPr>
          <w:rStyle w:val="FootnoteReference"/>
          <w:sz w:val="24"/>
          <w:szCs w:val="24"/>
          <w:lang w:val="sk-SK"/>
        </w:rPr>
        <w:t xml:space="preserve"> </w:t>
      </w:r>
      <w:r w:rsidR="00C33EDC">
        <w:rPr>
          <w:sz w:val="24"/>
          <w:szCs w:val="24"/>
          <w:lang w:val="sk-SK"/>
        </w:rPr>
        <w:tab/>
      </w:r>
      <w:r w:rsidRPr="00C33EDC">
        <w:rPr>
          <w:sz w:val="24"/>
          <w:szCs w:val="24"/>
          <w:lang w:val="sk-SK"/>
        </w:rPr>
        <w:t xml:space="preserve">Úrad Organizácie Spojených národov pre koordináciu humanitárnych záležitostí, „Globálny prehľad humanitárnej situácie 2026“, </w:t>
      </w:r>
      <w:hyperlink r:id="rId1" w:history="1">
        <w:r w:rsidRPr="00C33EDC">
          <w:rPr>
            <w:rStyle w:val="Hyperlink"/>
            <w:sz w:val="24"/>
            <w:szCs w:val="24"/>
            <w:lang w:val="sk-SK"/>
          </w:rPr>
          <w:t>https://humanitarianaction.info/document/global-humanitarian-overview-2026</w:t>
        </w:r>
      </w:hyperlink>
      <w:r w:rsidRPr="00C33EDC">
        <w:rPr>
          <w:sz w:val="24"/>
          <w:szCs w:val="24"/>
          <w:lang w:val="sk-SK"/>
        </w:rPr>
        <w:t>.</w:t>
      </w:r>
    </w:p>
  </w:footnote>
  <w:footnote w:id="3">
    <w:p w:rsidR="003B50BF" w:rsidRPr="00C33EDC" w:rsidP="00C33EDC" w14:paraId="393FF6B5" w14:textId="7A84022B">
      <w:pPr>
        <w:pStyle w:val="FootnoteText"/>
        <w:ind w:left="567" w:hanging="567"/>
        <w:rPr>
          <w:sz w:val="24"/>
          <w:szCs w:val="24"/>
          <w:lang w:val="sk-SK"/>
        </w:rPr>
      </w:pPr>
      <w:r w:rsidRPr="00C33EDC">
        <w:rPr>
          <w:rStyle w:val="FootnoteReference"/>
          <w:sz w:val="24"/>
          <w:szCs w:val="24"/>
          <w:lang w:val="sk-SK"/>
        </w:rPr>
        <w:footnoteRef/>
      </w:r>
      <w:r w:rsidRPr="00C33EDC">
        <w:rPr>
          <w:rStyle w:val="FootnoteReference"/>
          <w:sz w:val="24"/>
          <w:szCs w:val="24"/>
          <w:lang w:val="sk-SK"/>
        </w:rPr>
        <w:t xml:space="preserve"> </w:t>
      </w:r>
      <w:r w:rsidR="00C33EDC">
        <w:rPr>
          <w:sz w:val="24"/>
          <w:szCs w:val="24"/>
          <w:lang w:val="sk-SK"/>
        </w:rPr>
        <w:tab/>
      </w:r>
      <w:r w:rsidRPr="00C33EDC">
        <w:rPr>
          <w:sz w:val="24"/>
          <w:szCs w:val="24"/>
          <w:lang w:val="sk-SK"/>
        </w:rPr>
        <w:t xml:space="preserve">Európska rada a Rada, „Humanitárna pomoc“, </w:t>
      </w:r>
      <w:hyperlink r:id="rId2" w:history="1">
        <w:r w:rsidRPr="00C33EDC">
          <w:rPr>
            <w:rStyle w:val="Hyperlink"/>
            <w:sz w:val="24"/>
            <w:szCs w:val="24"/>
            <w:lang w:val="sk-SK"/>
          </w:rPr>
          <w:t>https://www.consilium.europa.eu/en/policies/humanitarian-aid/</w:t>
        </w:r>
      </w:hyperlink>
      <w:r w:rsidRPr="00C33EDC">
        <w:rPr>
          <w:sz w:val="24"/>
          <w:szCs w:val="24"/>
          <w:lang w:val="sk-SK"/>
        </w:rPr>
        <w:t>.</w:t>
      </w:r>
    </w:p>
  </w:footnote>
  <w:footnote w:id="4">
    <w:p w:rsidR="003B50BF" w:rsidRPr="00C33EDC" w:rsidP="00C33EDC" w14:paraId="65E853FF" w14:textId="35542289">
      <w:pPr>
        <w:pStyle w:val="FootnoteText"/>
        <w:ind w:left="567" w:hanging="567"/>
        <w:rPr>
          <w:sz w:val="24"/>
          <w:szCs w:val="24"/>
          <w:lang w:val="sk-SK"/>
        </w:rPr>
      </w:pPr>
      <w:r w:rsidRPr="00C33EDC">
        <w:rPr>
          <w:rStyle w:val="FootnoteReference"/>
          <w:sz w:val="24"/>
          <w:szCs w:val="24"/>
          <w:lang w:val="sk-SK"/>
        </w:rPr>
        <w:footnoteRef/>
      </w:r>
      <w:r w:rsidRPr="00C33EDC">
        <w:rPr>
          <w:rStyle w:val="FootnoteReference"/>
          <w:sz w:val="24"/>
          <w:szCs w:val="24"/>
          <w:lang w:val="sk-SK"/>
        </w:rPr>
        <w:t xml:space="preserve"> </w:t>
      </w:r>
      <w:r w:rsidR="00C33EDC">
        <w:rPr>
          <w:sz w:val="24"/>
          <w:szCs w:val="24"/>
          <w:lang w:val="sk-SK"/>
        </w:rPr>
        <w:tab/>
      </w:r>
      <w:r w:rsidRPr="00C33EDC">
        <w:rPr>
          <w:sz w:val="24"/>
          <w:szCs w:val="24"/>
          <w:lang w:val="sk-SK"/>
        </w:rPr>
        <w:t>Organizácia pre hospodársku spoluprácu a rozvoj (OECD), „</w:t>
      </w:r>
      <w:r w:rsidRPr="00C33EDC">
        <w:rPr>
          <w:sz w:val="24"/>
          <w:szCs w:val="24"/>
          <w:lang w:val="sk-SK"/>
        </w:rPr>
        <w:t>States</w:t>
      </w:r>
      <w:r w:rsidRPr="00C33EDC">
        <w:rPr>
          <w:sz w:val="24"/>
          <w:szCs w:val="24"/>
          <w:lang w:val="sk-SK"/>
        </w:rPr>
        <w:t xml:space="preserve"> of </w:t>
      </w:r>
      <w:r w:rsidRPr="00C33EDC">
        <w:rPr>
          <w:sz w:val="24"/>
          <w:szCs w:val="24"/>
          <w:lang w:val="sk-SK"/>
        </w:rPr>
        <w:t>Fragility</w:t>
      </w:r>
      <w:r w:rsidRPr="00C33EDC">
        <w:rPr>
          <w:sz w:val="24"/>
          <w:szCs w:val="24"/>
          <w:lang w:val="sk-SK"/>
        </w:rPr>
        <w:t xml:space="preserve"> 2025“, OECD </w:t>
      </w:r>
      <w:r w:rsidRPr="00C33EDC">
        <w:rPr>
          <w:sz w:val="24"/>
          <w:szCs w:val="24"/>
          <w:lang w:val="sk-SK"/>
        </w:rPr>
        <w:t>Publishing</w:t>
      </w:r>
      <w:r w:rsidRPr="00C33EDC">
        <w:rPr>
          <w:sz w:val="24"/>
          <w:szCs w:val="24"/>
          <w:lang w:val="sk-SK"/>
        </w:rPr>
        <w:t xml:space="preserve">, Paríž, 2025, </w:t>
      </w:r>
      <w:hyperlink r:id="rId3" w:history="1">
        <w:r w:rsidRPr="00C33EDC">
          <w:rPr>
            <w:rStyle w:val="Hyperlink"/>
            <w:sz w:val="24"/>
            <w:szCs w:val="24"/>
            <w:lang w:val="sk-SK"/>
          </w:rPr>
          <w:t>https://doi.org/10.1787/81982370-en</w:t>
        </w:r>
      </w:hyperlink>
      <w:r w:rsidRPr="00C33EDC">
        <w:rPr>
          <w:sz w:val="24"/>
          <w:szCs w:val="24"/>
          <w:lang w:val="sk-SK"/>
        </w:rPr>
        <w:t>.</w:t>
      </w:r>
    </w:p>
  </w:footnote>
  <w:footnote w:id="5">
    <w:p w:rsidR="003B50BF" w:rsidRPr="00C33EDC" w:rsidP="00C33EDC" w14:paraId="1CEB3A1A" w14:textId="77BD9F6F">
      <w:pPr>
        <w:pStyle w:val="FootnoteText"/>
        <w:ind w:left="567" w:hanging="567"/>
        <w:rPr>
          <w:b/>
          <w:bCs/>
          <w:i/>
          <w:iCs/>
          <w:sz w:val="24"/>
          <w:szCs w:val="24"/>
          <w:lang w:val="sk-SK"/>
        </w:rPr>
      </w:pPr>
      <w:r w:rsidRPr="00C33EDC">
        <w:rPr>
          <w:rStyle w:val="FootnoteReference"/>
          <w:sz w:val="24"/>
          <w:szCs w:val="24"/>
          <w:lang w:val="sk-SK"/>
        </w:rPr>
        <w:footnoteRef/>
      </w:r>
      <w:r w:rsidRPr="00C33EDC">
        <w:rPr>
          <w:rStyle w:val="FootnoteReference"/>
          <w:sz w:val="24"/>
          <w:szCs w:val="24"/>
          <w:lang w:val="sk-SK"/>
        </w:rPr>
        <w:t xml:space="preserve"> </w:t>
      </w:r>
      <w:r w:rsidR="00C33EDC">
        <w:rPr>
          <w:sz w:val="24"/>
          <w:szCs w:val="24"/>
          <w:lang w:val="sk-SK"/>
        </w:rPr>
        <w:tab/>
      </w:r>
      <w:r w:rsidRPr="00C33EDC">
        <w:rPr>
          <w:sz w:val="24"/>
          <w:szCs w:val="24"/>
          <w:lang w:val="sk-SK"/>
        </w:rPr>
        <w:t xml:space="preserve">OECD, „Financovanie rozvoja v prospech rodovej rovnosti 2024“, OECD </w:t>
      </w:r>
      <w:r w:rsidRPr="00C33EDC">
        <w:rPr>
          <w:sz w:val="24"/>
          <w:szCs w:val="24"/>
          <w:lang w:val="sk-SK"/>
        </w:rPr>
        <w:t>Publishing</w:t>
      </w:r>
      <w:r w:rsidRPr="00C33EDC">
        <w:rPr>
          <w:sz w:val="24"/>
          <w:szCs w:val="24"/>
          <w:lang w:val="sk-SK"/>
        </w:rPr>
        <w:t xml:space="preserve">, Paríž, 20245, </w:t>
      </w:r>
      <w:hyperlink r:id="rId4" w:history="1">
        <w:r w:rsidRPr="00C33EDC">
          <w:rPr>
            <w:rStyle w:val="Hyperlink"/>
            <w:sz w:val="24"/>
            <w:szCs w:val="24"/>
            <w:lang w:val="sk-SK"/>
          </w:rPr>
          <w:t>https://doi.org/10.1787/e340afbf-en</w:t>
        </w:r>
      </w:hyperlink>
      <w:r w:rsidRPr="00C33EDC">
        <w:rPr>
          <w:sz w:val="24"/>
          <w:szCs w:val="24"/>
          <w:lang w:val="sk-SK"/>
        </w:rPr>
        <w:t>.</w:t>
      </w:r>
    </w:p>
  </w:footnote>
  <w:footnote w:id="6">
    <w:p w:rsidR="003B50BF" w:rsidRPr="00C33EDC" w:rsidP="00C33EDC" w14:paraId="0720B078" w14:textId="409A51F8">
      <w:pPr>
        <w:pStyle w:val="FootnoteText"/>
        <w:ind w:left="567" w:hanging="567"/>
        <w:rPr>
          <w:sz w:val="24"/>
          <w:szCs w:val="24"/>
          <w:lang w:val="sk-SK"/>
        </w:rPr>
      </w:pPr>
      <w:r w:rsidRPr="00C33EDC">
        <w:rPr>
          <w:rStyle w:val="FootnoteReference"/>
          <w:sz w:val="24"/>
          <w:szCs w:val="24"/>
          <w:lang w:val="sk-SK"/>
        </w:rPr>
        <w:footnoteRef/>
      </w:r>
      <w:r w:rsidRPr="00C33EDC">
        <w:rPr>
          <w:rStyle w:val="FootnoteReference"/>
          <w:sz w:val="24"/>
          <w:szCs w:val="24"/>
          <w:lang w:val="sk-SK"/>
        </w:rPr>
        <w:t xml:space="preserve"> </w:t>
      </w:r>
      <w:r w:rsidR="00C33EDC">
        <w:rPr>
          <w:sz w:val="24"/>
          <w:szCs w:val="24"/>
          <w:lang w:val="sk-SK"/>
        </w:rPr>
        <w:tab/>
      </w:r>
      <w:r w:rsidRPr="00C33EDC">
        <w:rPr>
          <w:sz w:val="24"/>
          <w:szCs w:val="24"/>
          <w:lang w:val="sk-SK"/>
        </w:rPr>
        <w:t>Generálny tajomník OSN, „Ženy, mier a bezpečnosť – Správa generálneho tajomníka OSN“, 5. septembra 2025.</w:t>
      </w:r>
    </w:p>
  </w:footnote>
  <w:footnote w:id="7">
    <w:p w:rsidR="003B50BF" w:rsidRPr="00C33EDC" w:rsidP="00C33EDC" w14:paraId="0C1EA7D7" w14:textId="7B477F9E">
      <w:pPr>
        <w:pStyle w:val="FootnoteText"/>
        <w:ind w:left="567" w:hanging="567"/>
        <w:rPr>
          <w:sz w:val="24"/>
          <w:szCs w:val="24"/>
          <w:lang w:val="sk-SK"/>
        </w:rPr>
      </w:pPr>
      <w:r w:rsidRPr="00C33EDC">
        <w:rPr>
          <w:rStyle w:val="FootnoteReference"/>
          <w:sz w:val="24"/>
          <w:szCs w:val="24"/>
          <w:lang w:val="sk-SK"/>
        </w:rPr>
        <w:footnoteRef/>
      </w:r>
      <w:r w:rsidRPr="00C33EDC">
        <w:rPr>
          <w:rStyle w:val="FootnoteReference"/>
          <w:sz w:val="24"/>
          <w:szCs w:val="24"/>
          <w:lang w:val="sk-SK"/>
        </w:rPr>
        <w:t xml:space="preserve"> </w:t>
      </w:r>
      <w:r w:rsidR="00C33EDC">
        <w:rPr>
          <w:sz w:val="24"/>
          <w:szCs w:val="24"/>
          <w:lang w:val="sk-SK"/>
        </w:rPr>
        <w:tab/>
      </w:r>
      <w:r w:rsidRPr="00C33EDC">
        <w:rPr>
          <w:sz w:val="24"/>
          <w:szCs w:val="24"/>
          <w:lang w:val="sk-SK"/>
        </w:rPr>
        <w:t>Generálny tajomník OSN, „Sexuálne násilie súvisiace s konfliktmi – Správa generálneho tajomníka“, 21. apríla 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307C" w14:paraId="7FA416E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307C" w14:paraId="6316288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307C" w14:paraId="7546583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0760303">
    <w:abstractNumId w:val="9"/>
  </w:num>
  <w:num w:numId="2" w16cid:durableId="1567061151">
    <w:abstractNumId w:val="9"/>
  </w:num>
  <w:num w:numId="3" w16cid:durableId="1819375345">
    <w:abstractNumId w:val="7"/>
  </w:num>
  <w:num w:numId="4" w16cid:durableId="1408190660">
    <w:abstractNumId w:val="7"/>
  </w:num>
  <w:num w:numId="5" w16cid:durableId="1966353354">
    <w:abstractNumId w:val="6"/>
  </w:num>
  <w:num w:numId="6" w16cid:durableId="2078283140">
    <w:abstractNumId w:val="6"/>
  </w:num>
  <w:num w:numId="7" w16cid:durableId="963389706">
    <w:abstractNumId w:val="5"/>
  </w:num>
  <w:num w:numId="8" w16cid:durableId="1397630756">
    <w:abstractNumId w:val="5"/>
  </w:num>
  <w:num w:numId="9" w16cid:durableId="2066685818">
    <w:abstractNumId w:val="4"/>
  </w:num>
  <w:num w:numId="10" w16cid:durableId="56824042">
    <w:abstractNumId w:val="4"/>
  </w:num>
  <w:num w:numId="11" w16cid:durableId="1467770925">
    <w:abstractNumId w:val="8"/>
  </w:num>
  <w:num w:numId="12" w16cid:durableId="1845975463">
    <w:abstractNumId w:val="8"/>
  </w:num>
  <w:num w:numId="13" w16cid:durableId="800422153">
    <w:abstractNumId w:val="3"/>
  </w:num>
  <w:num w:numId="14" w16cid:durableId="631863798">
    <w:abstractNumId w:val="3"/>
  </w:num>
  <w:num w:numId="15" w16cid:durableId="1717385471">
    <w:abstractNumId w:val="2"/>
  </w:num>
  <w:num w:numId="16" w16cid:durableId="1308512179">
    <w:abstractNumId w:val="2"/>
  </w:num>
  <w:num w:numId="17" w16cid:durableId="1344162303">
    <w:abstractNumId w:val="1"/>
  </w:num>
  <w:num w:numId="18" w16cid:durableId="32537460">
    <w:abstractNumId w:val="1"/>
  </w:num>
  <w:num w:numId="19" w16cid:durableId="533351206">
    <w:abstractNumId w:val="0"/>
  </w:num>
  <w:num w:numId="20" w16cid:durableId="238442527">
    <w:abstractNumId w:val="0"/>
  </w:num>
  <w:num w:numId="21" w16cid:durableId="67116119">
    <w:abstractNumId w:val="9"/>
  </w:num>
  <w:num w:numId="22" w16cid:durableId="405372887">
    <w:abstractNumId w:val="7"/>
  </w:num>
  <w:num w:numId="23" w16cid:durableId="2053992167">
    <w:abstractNumId w:val="6"/>
  </w:num>
  <w:num w:numId="24" w16cid:durableId="1118992471">
    <w:abstractNumId w:val="5"/>
  </w:num>
  <w:num w:numId="25" w16cid:durableId="789662575">
    <w:abstractNumId w:val="4"/>
  </w:num>
  <w:num w:numId="26" w16cid:durableId="1362976284">
    <w:abstractNumId w:val="8"/>
  </w:num>
  <w:num w:numId="27" w16cid:durableId="1702776823">
    <w:abstractNumId w:val="3"/>
  </w:num>
  <w:num w:numId="28" w16cid:durableId="357391809">
    <w:abstractNumId w:val="2"/>
  </w:num>
  <w:num w:numId="29" w16cid:durableId="71515106">
    <w:abstractNumId w:val="1"/>
  </w:num>
  <w:num w:numId="30" w16cid:durableId="771433602">
    <w:abstractNumId w:val="0"/>
  </w:num>
  <w:num w:numId="31" w16cid:durableId="1103300243">
    <w:abstractNumId w:val="9"/>
  </w:num>
  <w:num w:numId="32" w16cid:durableId="1201741064">
    <w:abstractNumId w:val="7"/>
  </w:num>
  <w:num w:numId="33" w16cid:durableId="478032689">
    <w:abstractNumId w:val="6"/>
  </w:num>
  <w:num w:numId="34" w16cid:durableId="133373847">
    <w:abstractNumId w:val="5"/>
  </w:num>
  <w:num w:numId="35" w16cid:durableId="1880622960">
    <w:abstractNumId w:val="4"/>
  </w:num>
  <w:num w:numId="36" w16cid:durableId="1094934160">
    <w:abstractNumId w:val="8"/>
  </w:num>
  <w:num w:numId="37" w16cid:durableId="163519618">
    <w:abstractNumId w:val="3"/>
  </w:num>
  <w:num w:numId="38" w16cid:durableId="327438953">
    <w:abstractNumId w:val="2"/>
  </w:num>
  <w:num w:numId="39" w16cid:durableId="6565804">
    <w:abstractNumId w:val="1"/>
  </w:num>
  <w:num w:numId="40" w16cid:durableId="1887137764">
    <w:abstractNumId w:val="0"/>
  </w:num>
  <w:num w:numId="41" w16cid:durableId="389232993">
    <w:abstractNumId w:val="10"/>
  </w:num>
  <w:num w:numId="42" w16cid:durableId="652636471">
    <w:abstractNumId w:val="10"/>
  </w:num>
  <w:num w:numId="43" w16cid:durableId="490295759">
    <w:abstractNumId w:val="10"/>
  </w:num>
  <w:num w:numId="44" w16cid:durableId="3884993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742"/>
    <w:rsid w:val="00002272"/>
    <w:rsid w:val="00064002"/>
    <w:rsid w:val="000677B9"/>
    <w:rsid w:val="000831BA"/>
    <w:rsid w:val="000A42CC"/>
    <w:rsid w:val="000E307C"/>
    <w:rsid w:val="000E7DD9"/>
    <w:rsid w:val="0010095E"/>
    <w:rsid w:val="00125B37"/>
    <w:rsid w:val="00187494"/>
    <w:rsid w:val="001F32AE"/>
    <w:rsid w:val="002767FF"/>
    <w:rsid w:val="002B18FE"/>
    <w:rsid w:val="002B5493"/>
    <w:rsid w:val="00342F4A"/>
    <w:rsid w:val="00343214"/>
    <w:rsid w:val="00361C00"/>
    <w:rsid w:val="00395FA1"/>
    <w:rsid w:val="003B478C"/>
    <w:rsid w:val="003B50B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103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56D4"/>
    <w:rsid w:val="00747932"/>
    <w:rsid w:val="00751A4A"/>
    <w:rsid w:val="00756632"/>
    <w:rsid w:val="00762C74"/>
    <w:rsid w:val="00786EC0"/>
    <w:rsid w:val="00792F81"/>
    <w:rsid w:val="007D1690"/>
    <w:rsid w:val="007D49BE"/>
    <w:rsid w:val="007E22AD"/>
    <w:rsid w:val="007E34B4"/>
    <w:rsid w:val="00817416"/>
    <w:rsid w:val="00842779"/>
    <w:rsid w:val="00865F67"/>
    <w:rsid w:val="00881A7B"/>
    <w:rsid w:val="008840E5"/>
    <w:rsid w:val="00887B3E"/>
    <w:rsid w:val="008C2AC6"/>
    <w:rsid w:val="00923B6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6E1"/>
    <w:rsid w:val="00B22876"/>
    <w:rsid w:val="00B558F0"/>
    <w:rsid w:val="00B92311"/>
    <w:rsid w:val="00BD48FE"/>
    <w:rsid w:val="00BD7BD8"/>
    <w:rsid w:val="00BE6ADC"/>
    <w:rsid w:val="00C05BFE"/>
    <w:rsid w:val="00C23CD4"/>
    <w:rsid w:val="00C33EDC"/>
    <w:rsid w:val="00C60353"/>
    <w:rsid w:val="00C61C0C"/>
    <w:rsid w:val="00C941CB"/>
    <w:rsid w:val="00CC2357"/>
    <w:rsid w:val="00CF071A"/>
    <w:rsid w:val="00D058B8"/>
    <w:rsid w:val="00D56C11"/>
    <w:rsid w:val="00D834A0"/>
    <w:rsid w:val="00D844F6"/>
    <w:rsid w:val="00D872DF"/>
    <w:rsid w:val="00D91E21"/>
    <w:rsid w:val="00DA7FCD"/>
    <w:rsid w:val="00DC5B2B"/>
    <w:rsid w:val="00DE7742"/>
    <w:rsid w:val="00E365E1"/>
    <w:rsid w:val="00E820A4"/>
    <w:rsid w:val="00EB006A"/>
    <w:rsid w:val="00EB4772"/>
    <w:rsid w:val="00ED169E"/>
    <w:rsid w:val="00ED4235"/>
    <w:rsid w:val="00ED7768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39/2026"/>
    <w:docVar w:name="dvlangue" w:val="SK"/>
    <w:docVar w:name="dvnumam" w:val="0"/>
    <w:docVar w:name="dvpe" w:val="788.975"/>
    <w:docVar w:name="dvtitre" w:val="Uznesenie Európskeho parlamentu z/zo xx. xxx 2026 k spoločnému oznámeniu o humanitárnej pomoci (JOIN(2026)0025)(2026/2734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4C3EAE"/>
  <w15:chartTrackingRefBased/>
  <w15:docId w15:val="{97005383-8312-4FE6-91BF-F560E9ACD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styleId="Hyperlink">
    <w:name w:val="Hyperlink"/>
    <w:basedOn w:val="DefaultParagraphFont"/>
    <w:uiPriority w:val="99"/>
    <w:unhideWhenUsed/>
    <w:rsid w:val="003B50B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33ED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humanitarianaction.info/document/global-humanitarian-overview-2026" TargetMode="External" /><Relationship Id="rId2" Type="http://schemas.openxmlformats.org/officeDocument/2006/relationships/hyperlink" Target="https://www.consilium.europa.eu/en/policies/humanitarian-aid/" TargetMode="External" /><Relationship Id="rId3" Type="http://schemas.openxmlformats.org/officeDocument/2006/relationships/hyperlink" Target="https://doi.org/10.1787/81982370-en" TargetMode="External" /><Relationship Id="rId4" Type="http://schemas.openxmlformats.org/officeDocument/2006/relationships/hyperlink" Target="https://doi.org/10.1787/e340afbf-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3039</Words>
  <Characters>20241</Characters>
  <Application>Microsoft Office Word</Application>
  <DocSecurity>0</DocSecurity>
  <Lines>168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2026-07-09T13:24:00Z</dcterms:created>
  <dcterms:modified xsi:type="dcterms:W3CDTF">2026-07-09T13:24:00Z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B10-0339/2026</vt:lpwstr>
  </property>
  <property fmtid="{D5CDD505-2E9C-101B-9397-08002B2CF9AE}" pid="4" name="&lt;Type&gt;">
    <vt:lpwstr>RR</vt:lpwstr>
  </property>
</Properties>
</file>