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11828D" w14:textId="77777777" w:rsidTr="0010095E">
        <w:tblPrEx>
          <w:tblW w:w="9072" w:type="dxa"/>
          <w:tblLook w:val="01E0"/>
        </w:tblPrEx>
        <w:trPr>
          <w:trHeight w:hRule="exact" w:val="1418"/>
        </w:trPr>
        <w:tc>
          <w:tcPr>
            <w:tcW w:w="6804" w:type="dxa"/>
            <w:shd w:val="clear" w:color="auto" w:fill="auto"/>
            <w:vAlign w:val="center"/>
          </w:tcPr>
          <w:p w:rsidR="00751A4A" w:rsidRPr="009B6FF5" w:rsidP="0010095E" w14:paraId="5DC8AC55" w14:textId="77777777">
            <w:pPr>
              <w:pStyle w:val="EPName"/>
            </w:pPr>
            <w:r w:rsidRPr="009B6FF5">
              <w:t>European Parliament</w:t>
            </w:r>
          </w:p>
          <w:p w:rsidR="00751A4A" w:rsidRPr="009B6FF5" w:rsidP="005F1B17" w14:paraId="7688109E" w14:textId="77777777">
            <w:pPr>
              <w:pStyle w:val="EPTerm"/>
              <w:rPr>
                <w:rStyle w:val="HideTWBExt"/>
                <w:noProof w:val="0"/>
                <w:vanish w:val="0"/>
                <w:color w:val="auto"/>
              </w:rPr>
            </w:pPr>
            <w:r w:rsidRPr="009B6FF5">
              <w:t>2024</w:t>
            </w:r>
            <w:r w:rsidRPr="009B6FF5" w:rsidR="00817416">
              <w:t>-202</w:t>
            </w:r>
            <w:r w:rsidRPr="009B6FF5">
              <w:t>9</w:t>
            </w:r>
          </w:p>
        </w:tc>
        <w:tc>
          <w:tcPr>
            <w:tcW w:w="2268" w:type="dxa"/>
            <w:shd w:val="clear" w:color="auto" w:fill="auto"/>
          </w:tcPr>
          <w:p w:rsidR="00751A4A" w:rsidRPr="009B6FF5" w:rsidP="0010095E" w14:paraId="5CF27223" w14:textId="77777777">
            <w:pPr>
              <w:pStyle w:val="EPLogo"/>
            </w:pPr>
            <w:r w:rsidRPr="009B6FF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6FF5" w:rsidP="004C5D52" w14:paraId="26CA5342" w14:textId="77777777">
      <w:pPr>
        <w:pStyle w:val="LineTop"/>
      </w:pPr>
    </w:p>
    <w:p w:rsidR="00680577" w:rsidRPr="009B6FF5" w:rsidP="00680577" w14:paraId="3AE8E45E" w14:textId="77777777">
      <w:pPr>
        <w:pStyle w:val="EPBodyTA1"/>
      </w:pPr>
      <w:r w:rsidRPr="009B6FF5">
        <w:t>TEXTS ADOPTED</w:t>
      </w:r>
    </w:p>
    <w:p w:rsidR="00D058B8" w:rsidRPr="009B6FF5" w:rsidP="00D058B8" w14:paraId="138DB860" w14:textId="77777777">
      <w:pPr>
        <w:pStyle w:val="LineBottom"/>
      </w:pPr>
    </w:p>
    <w:p w:rsidR="002C54AA" w:rsidRPr="009B6FF5" w:rsidP="002C54AA" w14:paraId="3EE706A1" w14:textId="78978D14">
      <w:pPr>
        <w:pStyle w:val="ATHeading1"/>
      </w:pPr>
      <w:bookmarkStart w:id="0" w:name="TANumber"/>
      <w:r w:rsidRPr="009B6FF5">
        <w:t>P10_TA(2026)</w:t>
      </w:r>
      <w:bookmarkEnd w:id="0"/>
      <w:r w:rsidR="00DC68B1">
        <w:t>0273</w:t>
      </w:r>
    </w:p>
    <w:p w:rsidR="002C54AA" w:rsidRPr="009B6FF5" w:rsidP="002C54AA" w14:paraId="3FF61A77" w14:textId="77777777">
      <w:pPr>
        <w:pStyle w:val="ATHeading2"/>
      </w:pPr>
      <w:bookmarkStart w:id="1" w:name="title"/>
      <w:r w:rsidRPr="009B6FF5">
        <w:t>Request for the waiver of the immunity of Afroditi </w:t>
      </w:r>
      <w:r w:rsidRPr="009B6FF5">
        <w:t>Latinopoulou</w:t>
      </w:r>
      <w:bookmarkEnd w:id="1"/>
    </w:p>
    <w:p w:rsidR="002C54AA" w:rsidRPr="009B6FF5" w:rsidP="002C54AA" w14:paraId="5F62281C" w14:textId="77777777">
      <w:pPr>
        <w:rPr>
          <w:i/>
          <w:vanish/>
        </w:rPr>
      </w:pPr>
      <w:r>
        <w:rPr>
          <w:i/>
        </w:rPr>
        <w:fldChar w:fldCharType="begin"/>
      </w:r>
      <w:r w:rsidRPr="009B6FF5">
        <w:rPr>
          <w:i/>
        </w:rPr>
        <w:instrText xml:space="preserve"> TC"(</w:instrText>
      </w:r>
      <w:bookmarkStart w:id="2" w:name="DocNumber"/>
      <w:r w:rsidRPr="009B6FF5">
        <w:rPr>
          <w:i/>
        </w:rPr>
        <w:instrText>A10-0228/2026</w:instrText>
      </w:r>
      <w:bookmarkEnd w:id="2"/>
      <w:r w:rsidRPr="009B6FF5">
        <w:rPr>
          <w:i/>
        </w:rPr>
        <w:instrText xml:space="preserve"> - Rapporteur: David </w:instrText>
      </w:r>
      <w:r w:rsidRPr="009B6FF5">
        <w:rPr>
          <w:i/>
        </w:rPr>
        <w:instrText>Cormand</w:instrText>
      </w:r>
      <w:r w:rsidRPr="009B6FF5">
        <w:rPr>
          <w:i/>
        </w:rPr>
        <w:instrText xml:space="preserve">)"\l3 \n&gt; \* MERGEFORMAT </w:instrText>
      </w:r>
      <w:r>
        <w:rPr>
          <w:i/>
        </w:rPr>
        <w:fldChar w:fldCharType="end"/>
      </w:r>
    </w:p>
    <w:p w:rsidR="002C54AA" w:rsidRPr="009B6FF5" w:rsidP="002C54AA" w14:paraId="53A9B50E" w14:textId="77777777">
      <w:pPr>
        <w:rPr>
          <w:vanish/>
        </w:rPr>
      </w:pPr>
      <w:bookmarkStart w:id="3" w:name="Commission"/>
      <w:r w:rsidRPr="009B6FF5">
        <w:rPr>
          <w:vanish/>
        </w:rPr>
        <w:t>Committee on Legal Affairs</w:t>
      </w:r>
      <w:bookmarkEnd w:id="3"/>
    </w:p>
    <w:p w:rsidR="002C54AA" w:rsidRPr="009B6FF5" w:rsidP="002C54AA" w14:paraId="3093AFBB" w14:textId="77777777">
      <w:pPr>
        <w:rPr>
          <w:vanish/>
        </w:rPr>
      </w:pPr>
      <w:bookmarkStart w:id="4" w:name="PE"/>
      <w:r w:rsidRPr="009B6FF5">
        <w:rPr>
          <w:vanish/>
        </w:rPr>
        <w:t>PE789.073</w:t>
      </w:r>
      <w:bookmarkEnd w:id="4"/>
    </w:p>
    <w:p w:rsidR="002C54AA" w:rsidRPr="009B6FF5" w:rsidP="009B6FF5" w14:paraId="450EA114" w14:textId="59383E5E">
      <w:pPr>
        <w:pStyle w:val="ATHeading3"/>
        <w:spacing w:after="240"/>
      </w:pPr>
      <w:bookmarkStart w:id="5" w:name="Sujet"/>
      <w:r w:rsidRPr="009B6FF5">
        <w:t xml:space="preserve">European Parliament decision of </w:t>
      </w:r>
      <w:r w:rsidRPr="009B6FF5" w:rsidR="00136DBE">
        <w:t>15</w:t>
      </w:r>
      <w:r w:rsidRPr="009B6FF5">
        <w:t xml:space="preserve"> </w:t>
      </w:r>
      <w:r w:rsidRPr="009B6FF5" w:rsidR="00136DBE">
        <w:t>September</w:t>
      </w:r>
      <w:r w:rsidRPr="009B6FF5">
        <w:t xml:space="preserve"> 2026 on the request for the waiver of the immunity of Afroditi </w:t>
      </w:r>
      <w:r w:rsidRPr="009B6FF5">
        <w:t>Latinopoulou</w:t>
      </w:r>
      <w:bookmarkEnd w:id="5"/>
      <w:r w:rsidRPr="009B6FF5">
        <w:t xml:space="preserve"> </w:t>
      </w:r>
      <w:bookmarkStart w:id="6" w:name="References"/>
      <w:r w:rsidRPr="009B6FF5">
        <w:t>(2026/2009(IMM))</w:t>
      </w:r>
      <w:bookmarkEnd w:id="6"/>
    </w:p>
    <w:p w:rsidR="00A01F7C" w:rsidRPr="009B6FF5" w:rsidP="007B676B" w14:paraId="5C0F3233" w14:textId="77777777">
      <w:pPr>
        <w:pStyle w:val="EPComma"/>
      </w:pPr>
      <w:bookmarkStart w:id="7" w:name="TextBodyBegin"/>
      <w:bookmarkEnd w:id="7"/>
      <w:r w:rsidRPr="009B6FF5">
        <w:rPr>
          <w:i/>
          <w:iCs/>
        </w:rPr>
        <w:t>The European Parliament</w:t>
      </w:r>
      <w:r w:rsidRPr="009B6FF5">
        <w:t>,</w:t>
      </w:r>
    </w:p>
    <w:p w:rsidR="00A01F7C" w:rsidRPr="009B6FF5" w:rsidP="007B676B" w14:paraId="4E05A31F" w14:textId="4282131D">
      <w:pPr>
        <w:pStyle w:val="NormalHanging12a"/>
      </w:pPr>
      <w:r w:rsidRPr="009B6FF5">
        <w:t>–</w:t>
      </w:r>
      <w:r w:rsidRPr="009B6FF5">
        <w:tab/>
        <w:t>having regard to the request for the waiver of the immunity of Afroditi </w:t>
      </w:r>
      <w:r w:rsidRPr="009B6FF5">
        <w:t>Latinopoulou</w:t>
      </w:r>
      <w:r w:rsidRPr="009B6FF5">
        <w:t xml:space="preserve">, received by letter </w:t>
      </w:r>
      <w:r w:rsidRPr="009B6FF5" w:rsidR="008354BF">
        <w:t xml:space="preserve">dated </w:t>
      </w:r>
      <w:r w:rsidRPr="009B6FF5">
        <w:t xml:space="preserve">11 December 2025 from the Deputy Prosecutor at the Supreme Court of the Hellenic Republic, </w:t>
      </w:r>
      <w:r w:rsidRPr="009B6FF5" w:rsidR="008354BF">
        <w:t xml:space="preserve">transmitting </w:t>
      </w:r>
      <w:r w:rsidRPr="009B6FF5">
        <w:t>a request from the Prosecutor at the Athens Court of First Instance in connection with criminal proceedings against Afroditi </w:t>
      </w:r>
      <w:r w:rsidRPr="009B6FF5">
        <w:t>Latinopoulou</w:t>
      </w:r>
      <w:r w:rsidRPr="009B6FF5">
        <w:t xml:space="preserve"> and announced in plenary on 19 January 2026,</w:t>
      </w:r>
    </w:p>
    <w:p w:rsidR="00A01F7C" w:rsidRPr="009B6FF5" w:rsidP="007B676B" w14:paraId="494FB8DF" w14:textId="77777777">
      <w:pPr>
        <w:pStyle w:val="NormalHanging12a"/>
      </w:pPr>
      <w:r w:rsidRPr="009B6FF5">
        <w:t>–</w:t>
      </w:r>
      <w:r w:rsidRPr="009B6FF5">
        <w:tab/>
        <w:t>having heard Afroditi </w:t>
      </w:r>
      <w:r w:rsidRPr="009B6FF5">
        <w:t>Latinopoulou</w:t>
      </w:r>
      <w:r w:rsidRPr="009B6FF5">
        <w:t xml:space="preserve"> on 3 June 2026 and having regard to the documents submitted by her, in accordance with Rule 9(6) of its Rules of Procedure,</w:t>
      </w:r>
    </w:p>
    <w:p w:rsidR="00A01F7C" w:rsidRPr="009B6FF5" w:rsidP="007B676B" w14:paraId="12743056" w14:textId="77777777">
      <w:pPr>
        <w:pStyle w:val="NormalHanging12a"/>
      </w:pPr>
      <w:r w:rsidRPr="009B6FF5">
        <w:t>–</w:t>
      </w:r>
      <w:r w:rsidRPr="009B6FF5">
        <w:tab/>
        <w:t>having regard to Articles 8 and 9 of Protocol No 7 on the Privileges and Immunities of the European Union, and Article 6(2) of the Act of 20 September 1976 concerning the election of the members of the European Parliament by direct universal suffrage,</w:t>
      </w:r>
    </w:p>
    <w:p w:rsidR="00A01F7C" w:rsidRPr="009B6FF5" w:rsidP="007B676B" w14:paraId="0E6F073F" w14:textId="77777777">
      <w:pPr>
        <w:pStyle w:val="NormalHanging12a"/>
      </w:pPr>
      <w:r w:rsidRPr="009B6FF5">
        <w:t>–</w:t>
      </w:r>
      <w:r w:rsidRPr="009B6FF5">
        <w:tab/>
        <w:t xml:space="preserve">having regard to Article 62 of the Constitution of the Hellenic Republic, </w:t>
      </w:r>
    </w:p>
    <w:p w:rsidR="00A01F7C" w:rsidRPr="009B6FF5" w:rsidP="007B676B" w14:paraId="5475B19C" w14:textId="77777777">
      <w:pPr>
        <w:pStyle w:val="NormalHanging12a"/>
      </w:pPr>
      <w:r w:rsidRPr="009B6FF5">
        <w:t>–</w:t>
      </w:r>
      <w:r w:rsidRPr="009B6FF5">
        <w:tab/>
        <w:t>having regard to the judgments of the Court of Justice of the European Union of 21 October 2008, 19 March 2010, 6 September 2011, 17 January 2013 and 19 December 2019</w:t>
      </w:r>
      <w:r>
        <w:rPr>
          <w:rStyle w:val="FootnoteReference"/>
        </w:rPr>
        <w:footnoteReference w:id="2"/>
      </w:r>
      <w:r w:rsidRPr="009B6FF5">
        <w:t>,</w:t>
      </w:r>
    </w:p>
    <w:p w:rsidR="00A01F7C" w:rsidRPr="009B6FF5" w:rsidP="007B676B" w14:paraId="422B9094" w14:textId="77777777">
      <w:pPr>
        <w:pStyle w:val="NormalHanging12a"/>
      </w:pPr>
      <w:r w:rsidRPr="009B6FF5">
        <w:t>–</w:t>
      </w:r>
      <w:r w:rsidRPr="009B6FF5">
        <w:tab/>
        <w:t>having regard to Rule 5(2), Rule 6(1) and Rule 9 of its Rules of Procedure,</w:t>
      </w:r>
    </w:p>
    <w:p w:rsidR="00A01F7C" w:rsidRPr="009B6FF5" w:rsidP="007B676B" w14:paraId="1C564E9E" w14:textId="77777777">
      <w:pPr>
        <w:pStyle w:val="NormalHanging12a"/>
      </w:pPr>
      <w:r w:rsidRPr="009B6FF5">
        <w:t>–</w:t>
      </w:r>
      <w:r w:rsidRPr="009B6FF5">
        <w:tab/>
        <w:t>having regard to the report of the Committee on Legal Affairs (A10-0228/2026),</w:t>
      </w:r>
    </w:p>
    <w:p w:rsidR="00A01F7C" w:rsidRPr="009B6FF5" w:rsidP="007B676B" w14:paraId="3612B680" w14:textId="5F7AA8DE">
      <w:pPr>
        <w:pStyle w:val="NormalHanging12a"/>
      </w:pPr>
      <w:r w:rsidRPr="009B6FF5">
        <w:t>A.</w:t>
      </w:r>
      <w:r w:rsidRPr="009B6FF5">
        <w:tab/>
        <w:t>whereas on 11 December 2025, the Deputy Prosecutor at the Supreme Court of the Hellenic Republic forwarded a request from the Prosecutor at the Athens Court of First Instance for the waiver of the immunity of Afroditi </w:t>
      </w:r>
      <w:r w:rsidRPr="009B6FF5">
        <w:t>Latinopoulou</w:t>
      </w:r>
      <w:r w:rsidRPr="009B6FF5">
        <w:t>, Member of the European Parliament</w:t>
      </w:r>
      <w:r w:rsidRPr="009B6FF5" w:rsidR="00CD398B">
        <w:t xml:space="preserve"> elected in Greece</w:t>
      </w:r>
      <w:r w:rsidRPr="009B6FF5">
        <w:t>, for the offences of forgery and the use of forged documents and repeated electoral fraud, which constitute offences under Article 26a, Article 27(1) and Articles 94, 98, 162 and 216 of the Greek Criminal Code, allegedly committed between 2023 and June 2024;</w:t>
      </w:r>
    </w:p>
    <w:p w:rsidR="00A01F7C" w:rsidRPr="009B6FF5" w:rsidP="007B676B" w14:paraId="06F021B3" w14:textId="1BA7F037">
      <w:pPr>
        <w:pStyle w:val="NormalHanging12a"/>
      </w:pPr>
      <w:r w:rsidRPr="009B6FF5">
        <w:t>B.</w:t>
      </w:r>
      <w:r w:rsidRPr="009B6FF5">
        <w:tab/>
        <w:t>whereas, according to the request and the complaints on which it is based, Afroditi </w:t>
      </w:r>
      <w:r w:rsidRPr="009B6FF5">
        <w:t>Latinopoulou</w:t>
      </w:r>
      <w:r w:rsidRPr="009B6FF5">
        <w:t xml:space="preserve"> is alleged to have founded the political party ‘FONI LOGIKIS’ in breach of Article 29 of Greek Law No 3023/2002 on the financing of political parties, which requires the founding declaration of any political party </w:t>
      </w:r>
      <w:r w:rsidRPr="009B6FF5" w:rsidR="004652CA">
        <w:t xml:space="preserve">to </w:t>
      </w:r>
      <w:r w:rsidRPr="009B6FF5">
        <w:t>be signed by at least 200 citizens with the right to vote</w:t>
      </w:r>
      <w:r w:rsidRPr="009B6FF5" w:rsidR="004652CA">
        <w:t>;</w:t>
      </w:r>
      <w:r w:rsidRPr="009B6FF5">
        <w:t xml:space="preserve"> </w:t>
      </w:r>
      <w:r w:rsidRPr="009B6FF5" w:rsidR="004652CA">
        <w:t>whereas</w:t>
      </w:r>
      <w:r w:rsidRPr="009B6FF5">
        <w:t xml:space="preserve"> a significant proportion of the signatures on the party’s founding declaration were allegedly fictitious or falsified</w:t>
      </w:r>
      <w:r w:rsidRPr="009B6FF5" w:rsidR="00A479DE">
        <w:t>;</w:t>
      </w:r>
      <w:r w:rsidRPr="009B6FF5">
        <w:t xml:space="preserve"> </w:t>
      </w:r>
      <w:r w:rsidRPr="009B6FF5" w:rsidR="008354BF">
        <w:t xml:space="preserve">whereas it is </w:t>
      </w:r>
      <w:r w:rsidRPr="009B6FF5">
        <w:t>consequently alleged that the party was financed unlawfully with public funds, has operated unlawfully since its founding</w:t>
      </w:r>
      <w:r w:rsidRPr="009B6FF5" w:rsidR="00EE5498">
        <w:t>,</w:t>
      </w:r>
      <w:r w:rsidRPr="009B6FF5">
        <w:t xml:space="preserve"> and participated unlawfully in the 2023 Greek national elections and the </w:t>
      </w:r>
      <w:r w:rsidRPr="009B6FF5" w:rsidR="008354BF">
        <w:t xml:space="preserve">June </w:t>
      </w:r>
      <w:r w:rsidRPr="009B6FF5">
        <w:t>2024 European elections;</w:t>
      </w:r>
    </w:p>
    <w:p w:rsidR="00A01F7C" w:rsidRPr="009B6FF5" w:rsidP="007B676B" w14:paraId="4549714C" w14:textId="14B7238F">
      <w:pPr>
        <w:pStyle w:val="NormalHanging12a"/>
      </w:pPr>
      <w:r w:rsidRPr="009B6FF5">
        <w:t>C.</w:t>
      </w:r>
      <w:r w:rsidRPr="009B6FF5">
        <w:tab/>
        <w:t>whereas Afroditi </w:t>
      </w:r>
      <w:r w:rsidRPr="009B6FF5">
        <w:t>Latinopoulou</w:t>
      </w:r>
      <w:r w:rsidRPr="009B6FF5">
        <w:t xml:space="preserve"> was elected to the European Parliament in the</w:t>
      </w:r>
      <w:r w:rsidRPr="009B6FF5" w:rsidR="008354BF">
        <w:t xml:space="preserve"> June 2024</w:t>
      </w:r>
      <w:r w:rsidRPr="009B6FF5">
        <w:t xml:space="preserve"> European </w:t>
      </w:r>
      <w:r w:rsidRPr="009B6FF5">
        <w:t>elections;</w:t>
      </w:r>
    </w:p>
    <w:p w:rsidR="00A01F7C" w:rsidRPr="009B6FF5" w:rsidP="007B676B" w14:paraId="2D8C3CF6" w14:textId="77777777">
      <w:pPr>
        <w:pStyle w:val="NormalHanging12a"/>
      </w:pPr>
      <w:bookmarkStart w:id="8" w:name="_Hlk232158221"/>
      <w:r w:rsidRPr="009B6FF5">
        <w:t>D.</w:t>
      </w:r>
      <w:r w:rsidRPr="009B6FF5">
        <w:tab/>
        <w:t xml:space="preserve">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w:t>
      </w:r>
      <w:r w:rsidRPr="009B6FF5">
        <w:t>duties;</w:t>
      </w:r>
    </w:p>
    <w:p w:rsidR="00A01F7C" w:rsidRPr="009B6FF5" w:rsidP="007B676B" w14:paraId="780B86BA" w14:textId="77777777">
      <w:pPr>
        <w:pStyle w:val="NormalHanging12a"/>
        <w:rPr>
          <w:bCs/>
        </w:rPr>
      </w:pPr>
      <w:r w:rsidRPr="009B6FF5">
        <w:t>E.</w:t>
      </w:r>
      <w:r w:rsidRPr="009B6FF5">
        <w:tab/>
        <w:t>whereas the alleged offences do not constitute, and the subsequent request for the waiver of the immunity of Afroditi </w:t>
      </w:r>
      <w:r w:rsidRPr="009B6FF5">
        <w:t>Latinopoulou</w:t>
      </w:r>
      <w:r w:rsidRPr="009B6FF5">
        <w:t xml:space="preserve"> is not related to, an opinion expressed or a vote cast by her in the performance of her duties within the meaning of Article 8 of Protocol No 7 on the Privileges and Immunities of the European </w:t>
      </w:r>
      <w:r w:rsidRPr="009B6FF5">
        <w:t>Union;</w:t>
      </w:r>
    </w:p>
    <w:bookmarkEnd w:id="8"/>
    <w:p w:rsidR="00A01F7C" w:rsidRPr="009B6FF5" w:rsidP="007B676B" w14:paraId="6D3C73D8" w14:textId="50DBD38E">
      <w:pPr>
        <w:pStyle w:val="NormalHanging12a"/>
      </w:pPr>
      <w:r w:rsidRPr="009B6FF5">
        <w:t>F.</w:t>
      </w:r>
      <w:r w:rsidRPr="009B6FF5">
        <w:tab/>
        <w:t xml:space="preserve">whereas Article 9, first paragraph, point (a), of Protocol No 7 on the Privileges and Immunities of the European Union provides that, during the sessions of the European Parliament, its </w:t>
      </w:r>
      <w:r w:rsidRPr="009B6FF5">
        <w:t>Members</w:t>
      </w:r>
      <w:r w:rsidRPr="009B6FF5">
        <w:t xml:space="preserve"> are to enjoy, in the territory of their own state, the immunities accorded to members of the parliament</w:t>
      </w:r>
      <w:r w:rsidRPr="009B6FF5" w:rsidR="008354BF">
        <w:t xml:space="preserve"> of their Member State</w:t>
      </w:r>
      <w:r w:rsidRPr="009B6FF5">
        <w:t>;</w:t>
      </w:r>
    </w:p>
    <w:p w:rsidR="00A01F7C" w:rsidRPr="009B6FF5" w:rsidP="007B676B" w14:paraId="4335236C" w14:textId="10F26100">
      <w:pPr>
        <w:pStyle w:val="NormalHanging12a"/>
      </w:pPr>
      <w:r w:rsidRPr="009B6FF5">
        <w:t>G.</w:t>
      </w:r>
      <w:r w:rsidRPr="009B6FF5">
        <w:tab/>
        <w:t xml:space="preserve">whereas, under Article 62 of the Constitution of the Hellenic Republic, </w:t>
      </w:r>
      <w:r w:rsidRPr="009B6FF5" w:rsidR="00CE162A">
        <w:t>a</w:t>
      </w:r>
      <w:r w:rsidRPr="009B6FF5" w:rsidR="0029248F">
        <w:t xml:space="preserve"> </w:t>
      </w:r>
      <w:r w:rsidRPr="009B6FF5" w:rsidR="00CE162A">
        <w:t>m</w:t>
      </w:r>
      <w:r w:rsidRPr="009B6FF5">
        <w:t xml:space="preserve">ember </w:t>
      </w:r>
      <w:r w:rsidRPr="009B6FF5" w:rsidR="0029248F">
        <w:t xml:space="preserve">of </w:t>
      </w:r>
      <w:r w:rsidRPr="009B6FF5" w:rsidR="00CE162A">
        <w:t>p</w:t>
      </w:r>
      <w:r w:rsidRPr="009B6FF5" w:rsidR="0029248F">
        <w:t xml:space="preserve">arliament shall not during the parliamentary term </w:t>
      </w:r>
      <w:r w:rsidRPr="009B6FF5">
        <w:t xml:space="preserve">be prosecuted, arrested, imprisoned or </w:t>
      </w:r>
      <w:r w:rsidRPr="009B6FF5" w:rsidR="0029248F">
        <w:t xml:space="preserve">otherwise confined without prior leave granted by </w:t>
      </w:r>
      <w:r w:rsidRPr="009B6FF5" w:rsidR="00CE162A">
        <w:t>p</w:t>
      </w:r>
      <w:r w:rsidRPr="009B6FF5" w:rsidR="0029248F">
        <w:t>arliament</w:t>
      </w:r>
      <w:r w:rsidRPr="009B6FF5">
        <w:t>;</w:t>
      </w:r>
    </w:p>
    <w:p w:rsidR="00A01F7C" w:rsidRPr="009B6FF5" w:rsidP="007B676B" w14:paraId="689CCD1C" w14:textId="77777777">
      <w:pPr>
        <w:pStyle w:val="NormalHanging12a"/>
      </w:pPr>
      <w:r w:rsidRPr="009B6FF5">
        <w:t>H.</w:t>
      </w:r>
      <w:r w:rsidRPr="009B6FF5">
        <w:tab/>
        <w:t xml:space="preserve">whereas the purpose of the 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w:t>
      </w:r>
      <w:r w:rsidRPr="009B6FF5">
        <w:t>duties;</w:t>
      </w:r>
    </w:p>
    <w:p w:rsidR="00A01F7C" w:rsidRPr="009B6FF5" w:rsidP="007B676B" w14:paraId="62759412" w14:textId="3D7FF0DA">
      <w:pPr>
        <w:pStyle w:val="NormalHanging12a"/>
      </w:pPr>
      <w:r w:rsidRPr="009B6FF5">
        <w:t>I.</w:t>
      </w:r>
      <w:r w:rsidRPr="009B6FF5">
        <w:tab/>
        <w:t xml:space="preserve">whereas, in accordance with Rule 5(2) of the Rules of Procedure, parliamentary immunity is not a </w:t>
      </w:r>
      <w:r w:rsidRPr="009B6FF5" w:rsidR="0029248F">
        <w:t>Member’s</w:t>
      </w:r>
      <w:r w:rsidRPr="009B6FF5" w:rsidR="0029248F">
        <w:t xml:space="preserve"> </w:t>
      </w:r>
      <w:r w:rsidRPr="009B6FF5">
        <w:t>personal privilege but a guarantee of the independence of Parliament as a whole and of its Members;</w:t>
      </w:r>
    </w:p>
    <w:p w:rsidR="00A01F7C" w:rsidRPr="009B6FF5" w:rsidP="007B676B" w14:paraId="53BE5BC4" w14:textId="77777777">
      <w:pPr>
        <w:pStyle w:val="NormalHanging12a"/>
      </w:pPr>
      <w:r w:rsidRPr="009B6FF5">
        <w:t>J.</w:t>
      </w:r>
      <w:r w:rsidRPr="009B6FF5">
        <w:tab/>
        <w:t xml:space="preserve">whereas Parliament cannot assume the role of a court and, in a waiver of immunity </w:t>
      </w:r>
      <w:r w:rsidRPr="009B6FF5">
        <w:t xml:space="preserve">procedure, a </w:t>
      </w:r>
      <w:r w:rsidRPr="009B6FF5">
        <w:t>Member</w:t>
      </w:r>
      <w:r w:rsidRPr="009B6FF5">
        <w:t xml:space="preserve"> cannot be regarded as a defendant</w:t>
      </w:r>
      <w:r>
        <w:rPr>
          <w:vertAlign w:val="superscript"/>
        </w:rPr>
        <w:footnoteReference w:id="3"/>
      </w:r>
      <w:r w:rsidRPr="009B6FF5">
        <w:t>;</w:t>
      </w:r>
    </w:p>
    <w:p w:rsidR="00A01F7C" w:rsidRPr="009B6FF5" w:rsidP="007B676B" w14:paraId="48D35741" w14:textId="0838801F">
      <w:pPr>
        <w:pStyle w:val="NormalHanging12a"/>
      </w:pPr>
      <w:r w:rsidRPr="009B6FF5">
        <w:t>K.</w:t>
      </w:r>
      <w:r w:rsidRPr="009B6FF5">
        <w:tab/>
      </w:r>
      <w:bookmarkStart w:id="9" w:name="_Hlk235119027"/>
      <w:r w:rsidRPr="009B6FF5">
        <w:t xml:space="preserve">whereas, according to the request, a thorough investigation has been carried out by the Greek authorities, including a significant number of testimonies; whereas it therefore appears that the request for the waiver of Afroditi </w:t>
      </w:r>
      <w:r w:rsidRPr="009B6FF5">
        <w:t>Latinopoulou’s</w:t>
      </w:r>
      <w:r w:rsidRPr="009B6FF5">
        <w:t xml:space="preserve"> parliamentary immunity does not stem from an attempt to damage her political activity, but rather from the rigorous judicial investigation conducted by the Greek authorities</w:t>
      </w:r>
      <w:r w:rsidRPr="009B6FF5" w:rsidR="0029248F">
        <w:t>;</w:t>
      </w:r>
      <w:r w:rsidRPr="009B6FF5">
        <w:t xml:space="preserve"> whereas the mere fact that a complainant is a political opponent is not sufficient to contradict th</w:t>
      </w:r>
      <w:r w:rsidRPr="009B6FF5" w:rsidR="0029248F">
        <w:t>at</w:t>
      </w:r>
      <w:r w:rsidRPr="009B6FF5">
        <w:t xml:space="preserve"> finding;</w:t>
      </w:r>
    </w:p>
    <w:p w:rsidR="00A01F7C" w:rsidRPr="009B6FF5" w:rsidP="007B676B" w14:paraId="6EC7256A" w14:textId="77777777">
      <w:pPr>
        <w:pStyle w:val="NormalHanging12a"/>
      </w:pPr>
      <w:r w:rsidRPr="009B6FF5">
        <w:t>L.</w:t>
      </w:r>
      <w:r w:rsidRPr="009B6FF5">
        <w:tab/>
        <w:t xml:space="preserve">whereas, in this case, Parliament has found no evidence of </w:t>
      </w:r>
      <w:r w:rsidRPr="009B6FF5">
        <w:rPr>
          <w:i/>
          <w:iCs/>
        </w:rPr>
        <w:t>fumus</w:t>
      </w:r>
      <w:r w:rsidRPr="009B6FF5">
        <w:rPr>
          <w:i/>
          <w:iCs/>
        </w:rPr>
        <w:t xml:space="preserve"> </w:t>
      </w:r>
      <w:r w:rsidRPr="009B6FF5">
        <w:rPr>
          <w:i/>
          <w:iCs/>
        </w:rPr>
        <w:t>persecutionis</w:t>
      </w:r>
      <w:r w:rsidRPr="009B6FF5">
        <w:t xml:space="preserve">, that is to say it does not appear that the intention underlying the legal proceedings is to damage Afroditi </w:t>
      </w:r>
      <w:r w:rsidRPr="009B6FF5">
        <w:t>Latinopoulou’s</w:t>
      </w:r>
      <w:r w:rsidRPr="009B6FF5">
        <w:t xml:space="preserve"> political activity as a Member of the European Parliament and thus Parliament’s </w:t>
      </w:r>
      <w:r w:rsidRPr="009B6FF5">
        <w:t>independence;</w:t>
      </w:r>
      <w:r w:rsidRPr="009B6FF5">
        <w:t xml:space="preserve"> </w:t>
      </w:r>
    </w:p>
    <w:bookmarkEnd w:id="9"/>
    <w:p w:rsidR="00A01F7C" w:rsidRPr="009B6FF5" w:rsidP="007B676B" w14:paraId="68F33450" w14:textId="77777777">
      <w:pPr>
        <w:pStyle w:val="NormalHanging12a"/>
      </w:pPr>
      <w:r w:rsidRPr="009B6FF5">
        <w:t>1.</w:t>
      </w:r>
      <w:r w:rsidRPr="009B6FF5">
        <w:tab/>
        <w:t>Decides to the waive the immunity of Afroditi </w:t>
      </w:r>
      <w:bookmarkStart w:id="10" w:name="_Hlk239937310"/>
      <w:r w:rsidRPr="009B6FF5">
        <w:t>Latinopoulou</w:t>
      </w:r>
      <w:bookmarkEnd w:id="10"/>
      <w:r w:rsidRPr="009B6FF5">
        <w:t>;</w:t>
      </w:r>
    </w:p>
    <w:p w:rsidR="00E365E1" w:rsidRPr="00CE63B3" w:rsidP="009B6FF5" w14:paraId="6F3F7185" w14:textId="7AB5AD06">
      <w:pPr>
        <w:pStyle w:val="NormalHanging12a"/>
      </w:pPr>
      <w:r w:rsidRPr="009B6FF5">
        <w:t>2.</w:t>
      </w:r>
      <w:r w:rsidRPr="009B6FF5">
        <w:tab/>
        <w:t>Instructs its President to forward this decision immediately to the competent authority of the Hellenic Republic and to Afroditi </w:t>
      </w:r>
      <w:r w:rsidRPr="009B6FF5">
        <w:t>Latinopoulou</w:t>
      </w:r>
      <w:r w:rsidRPr="009B6FF5">
        <w:t>.</w:t>
      </w:r>
      <w:r w:rsidRPr="00CE63B3">
        <w:t xml:space="preserve"> </w:t>
      </w:r>
    </w:p>
    <w:sectPr w:rsidSect="00CE63B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5BB5ABE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531BC2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6EEE84E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C54AA" w:rsidRPr="00CE63B3" w14:paraId="7A091630" w14:textId="77777777">
      <w:r w:rsidRPr="00CE63B3">
        <w:separator/>
      </w:r>
    </w:p>
  </w:footnote>
  <w:footnote w:type="continuationSeparator" w:id="1">
    <w:p w:rsidR="002C54AA" w:rsidRPr="00CE63B3" w14:paraId="5EE571FC" w14:textId="77777777">
      <w:r w:rsidRPr="00CE63B3">
        <w:continuationSeparator/>
      </w:r>
    </w:p>
  </w:footnote>
  <w:footnote w:id="2">
    <w:p w:rsidR="00A01F7C" w:rsidRPr="00CE63B3" w:rsidP="00CE63B3" w14:paraId="67395495" w14:textId="57688CC3">
      <w:pPr>
        <w:pStyle w:val="FootnoteText"/>
        <w:ind w:left="567" w:hanging="567"/>
        <w:rPr>
          <w:sz w:val="24"/>
          <w:lang w:val="en-GB"/>
        </w:rPr>
      </w:pPr>
      <w:r w:rsidRPr="00CE63B3">
        <w:rPr>
          <w:rStyle w:val="FootnoteReference"/>
          <w:sz w:val="24"/>
          <w:lang w:val="en-GB"/>
        </w:rPr>
        <w:footnoteRef/>
      </w:r>
      <w:r w:rsidRPr="00CE63B3" w:rsidR="00CE63B3">
        <w:rPr>
          <w:sz w:val="24"/>
          <w:lang w:val="en-GB"/>
        </w:rPr>
        <w:t xml:space="preserve"> </w:t>
      </w:r>
      <w:r w:rsidRPr="00CE63B3" w:rsidR="00CE63B3">
        <w:rPr>
          <w:sz w:val="24"/>
          <w:lang w:val="en-GB"/>
        </w:rPr>
        <w:tab/>
      </w:r>
      <w:r w:rsidRPr="00CE63B3">
        <w:rPr>
          <w:sz w:val="24"/>
          <w:lang w:val="en-GB"/>
        </w:rPr>
        <w:t xml:space="preserve">Judgment of the Court of Justice of 21 October 2008, </w:t>
      </w:r>
      <w:r w:rsidRPr="00CE63B3">
        <w:rPr>
          <w:i/>
          <w:iCs/>
          <w:sz w:val="24"/>
          <w:lang w:val="en-GB"/>
        </w:rPr>
        <w:t>Marra</w:t>
      </w:r>
      <w:r w:rsidRPr="00CE63B3">
        <w:rPr>
          <w:sz w:val="24"/>
          <w:lang w:val="en-GB"/>
        </w:rPr>
        <w:t xml:space="preserve"> v </w:t>
      </w:r>
      <w:r w:rsidRPr="00CE63B3">
        <w:rPr>
          <w:i/>
          <w:iCs/>
          <w:sz w:val="24"/>
          <w:lang w:val="en-GB"/>
        </w:rPr>
        <w:t>De Gregorio</w:t>
      </w:r>
      <w:r w:rsidRPr="00CE63B3">
        <w:rPr>
          <w:sz w:val="24"/>
          <w:lang w:val="en-GB"/>
        </w:rPr>
        <w:t xml:space="preserve"> </w:t>
      </w:r>
      <w:r w:rsidRPr="00CE63B3">
        <w:rPr>
          <w:i/>
          <w:iCs/>
          <w:sz w:val="24"/>
          <w:lang w:val="en-GB"/>
        </w:rPr>
        <w:t>and</w:t>
      </w:r>
      <w:r w:rsidRPr="00CE63B3">
        <w:rPr>
          <w:sz w:val="24"/>
          <w:lang w:val="en-GB"/>
        </w:rPr>
        <w:t xml:space="preserve"> </w:t>
      </w:r>
      <w:r w:rsidRPr="00CE63B3">
        <w:rPr>
          <w:i/>
          <w:iCs/>
          <w:sz w:val="24"/>
          <w:lang w:val="en-GB"/>
        </w:rPr>
        <w:t>Clemente</w:t>
      </w:r>
      <w:r w:rsidRPr="00CE63B3">
        <w:rPr>
          <w:sz w:val="24"/>
          <w:lang w:val="en-GB"/>
        </w:rPr>
        <w:t xml:space="preserve">, C-200/07 and C-201/07, ECLI:EU:C:2008:579; judgment of the General Court of 19 March 2010, </w:t>
      </w:r>
      <w:r w:rsidRPr="00CE63B3">
        <w:rPr>
          <w:i/>
          <w:iCs/>
          <w:sz w:val="24"/>
          <w:lang w:val="en-GB"/>
        </w:rPr>
        <w:t>Gollnisch</w:t>
      </w:r>
      <w:r w:rsidRPr="00CE63B3">
        <w:rPr>
          <w:i/>
          <w:iCs/>
          <w:sz w:val="24"/>
          <w:lang w:val="en-GB"/>
        </w:rPr>
        <w:t xml:space="preserve"> </w:t>
      </w:r>
      <w:r w:rsidRPr="00CE63B3">
        <w:rPr>
          <w:sz w:val="24"/>
          <w:lang w:val="en-GB"/>
        </w:rPr>
        <w:t>v</w:t>
      </w:r>
      <w:r w:rsidRPr="00CE63B3">
        <w:rPr>
          <w:i/>
          <w:iCs/>
          <w:sz w:val="24"/>
          <w:lang w:val="en-GB"/>
        </w:rPr>
        <w:t xml:space="preserve"> Parliament</w:t>
      </w:r>
      <w:r w:rsidRPr="00CE63B3">
        <w:rPr>
          <w:sz w:val="24"/>
          <w:lang w:val="en-GB"/>
        </w:rPr>
        <w:t xml:space="preserve">, T-42/06, ECLI:EU:T:2010:102; judgment of the Court of Justice of 6 September 2011, </w:t>
      </w:r>
      <w:r w:rsidRPr="00CE63B3">
        <w:rPr>
          <w:i/>
          <w:iCs/>
          <w:sz w:val="24"/>
          <w:lang w:val="en-GB"/>
        </w:rPr>
        <w:t>Patriciello</w:t>
      </w:r>
      <w:r w:rsidRPr="00CE63B3">
        <w:rPr>
          <w:sz w:val="24"/>
          <w:lang w:val="en-GB"/>
        </w:rPr>
        <w:t xml:space="preserve">, C-163/10, ECLI: EU:C:2011:543; judgment of the General Court of 17 January 2013, </w:t>
      </w:r>
      <w:r w:rsidRPr="00CE63B3">
        <w:rPr>
          <w:i/>
          <w:iCs/>
          <w:sz w:val="24"/>
          <w:lang w:val="en-GB"/>
        </w:rPr>
        <w:t>Gollnisch</w:t>
      </w:r>
      <w:r w:rsidRPr="00CE63B3">
        <w:rPr>
          <w:sz w:val="24"/>
          <w:lang w:val="en-GB"/>
        </w:rPr>
        <w:t xml:space="preserve"> v </w:t>
      </w:r>
      <w:r w:rsidRPr="00CE63B3">
        <w:rPr>
          <w:i/>
          <w:iCs/>
          <w:sz w:val="24"/>
          <w:lang w:val="en-GB"/>
        </w:rPr>
        <w:t>Parliament</w:t>
      </w:r>
      <w:r w:rsidRPr="00CE63B3">
        <w:rPr>
          <w:sz w:val="24"/>
          <w:lang w:val="en-GB"/>
        </w:rPr>
        <w:t xml:space="preserve">, T-346/11 and T-347/11, ECLI:EU:T:2013:23; judgment of the Court of Justice of 19 December 2019, </w:t>
      </w:r>
      <w:r w:rsidRPr="00CE63B3">
        <w:rPr>
          <w:i/>
          <w:iCs/>
          <w:sz w:val="24"/>
          <w:lang w:val="en-GB"/>
        </w:rPr>
        <w:t>Junqueras Vies</w:t>
      </w:r>
      <w:r w:rsidRPr="00CE63B3">
        <w:rPr>
          <w:sz w:val="24"/>
          <w:lang w:val="en-GB"/>
        </w:rPr>
        <w:t>, C-502/19, ECLI:EU:C:2019:1115.</w:t>
      </w:r>
    </w:p>
  </w:footnote>
  <w:footnote w:id="3">
    <w:p w:rsidR="00A01F7C" w:rsidRPr="00CE63B3" w:rsidP="00CE63B3" w14:paraId="1D6EC933" w14:textId="7F563ACE">
      <w:pPr>
        <w:pStyle w:val="FootnoteText"/>
        <w:ind w:left="567" w:hanging="567"/>
        <w:rPr>
          <w:sz w:val="24"/>
          <w:lang w:val="en-GB"/>
        </w:rPr>
      </w:pPr>
      <w:r w:rsidRPr="00CE63B3">
        <w:rPr>
          <w:rStyle w:val="FootnoteReference"/>
          <w:sz w:val="24"/>
          <w:lang w:val="en-GB"/>
        </w:rPr>
        <w:footnoteRef/>
      </w:r>
      <w:r w:rsidRPr="00CE63B3" w:rsidR="00CE63B3">
        <w:rPr>
          <w:sz w:val="24"/>
          <w:lang w:val="en-GB"/>
        </w:rPr>
        <w:t xml:space="preserve"> </w:t>
      </w:r>
      <w:r w:rsidRPr="00CE63B3" w:rsidR="00CE63B3">
        <w:rPr>
          <w:sz w:val="24"/>
          <w:lang w:val="en-GB"/>
        </w:rPr>
        <w:tab/>
      </w:r>
      <w:r w:rsidRPr="00CE63B3">
        <w:rPr>
          <w:sz w:val="24"/>
          <w:lang w:val="en-GB"/>
        </w:rPr>
        <w:t xml:space="preserve">Judgment of the General Court of 30 April 2019, </w:t>
      </w:r>
      <w:r w:rsidRPr="00CE63B3">
        <w:rPr>
          <w:i/>
          <w:iCs/>
          <w:sz w:val="24"/>
          <w:lang w:val="en-GB"/>
        </w:rPr>
        <w:t>Briois</w:t>
      </w:r>
      <w:r w:rsidRPr="00CE63B3">
        <w:rPr>
          <w:sz w:val="24"/>
          <w:lang w:val="en-GB"/>
        </w:rPr>
        <w:t xml:space="preserve"> v </w:t>
      </w:r>
      <w:r w:rsidRPr="00CE63B3">
        <w:rPr>
          <w:i/>
          <w:iCs/>
          <w:sz w:val="24"/>
          <w:lang w:val="en-GB"/>
        </w:rPr>
        <w:t>Parliament</w:t>
      </w:r>
      <w:r w:rsidRPr="00CE63B3">
        <w:rPr>
          <w:sz w:val="24"/>
          <w:lang w:val="en-GB"/>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1B0146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2340052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63B3" w14:paraId="02D3DD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4131553">
    <w:abstractNumId w:val="9"/>
  </w:num>
  <w:num w:numId="2" w16cid:durableId="972253611">
    <w:abstractNumId w:val="9"/>
  </w:num>
  <w:num w:numId="3" w16cid:durableId="1575629448">
    <w:abstractNumId w:val="7"/>
  </w:num>
  <w:num w:numId="4" w16cid:durableId="1622614450">
    <w:abstractNumId w:val="7"/>
  </w:num>
  <w:num w:numId="5" w16cid:durableId="1721783351">
    <w:abstractNumId w:val="6"/>
  </w:num>
  <w:num w:numId="6" w16cid:durableId="879705721">
    <w:abstractNumId w:val="6"/>
  </w:num>
  <w:num w:numId="7" w16cid:durableId="1992173576">
    <w:abstractNumId w:val="5"/>
  </w:num>
  <w:num w:numId="8" w16cid:durableId="1096287926">
    <w:abstractNumId w:val="5"/>
  </w:num>
  <w:num w:numId="9" w16cid:durableId="588659547">
    <w:abstractNumId w:val="4"/>
  </w:num>
  <w:num w:numId="10" w16cid:durableId="131950039">
    <w:abstractNumId w:val="4"/>
  </w:num>
  <w:num w:numId="11" w16cid:durableId="1603368836">
    <w:abstractNumId w:val="8"/>
  </w:num>
  <w:num w:numId="12" w16cid:durableId="1064333644">
    <w:abstractNumId w:val="8"/>
  </w:num>
  <w:num w:numId="13" w16cid:durableId="554245845">
    <w:abstractNumId w:val="3"/>
  </w:num>
  <w:num w:numId="14" w16cid:durableId="107504540">
    <w:abstractNumId w:val="3"/>
  </w:num>
  <w:num w:numId="15" w16cid:durableId="265770374">
    <w:abstractNumId w:val="2"/>
  </w:num>
  <w:num w:numId="16" w16cid:durableId="1377662038">
    <w:abstractNumId w:val="2"/>
  </w:num>
  <w:num w:numId="17" w16cid:durableId="1291394922">
    <w:abstractNumId w:val="1"/>
  </w:num>
  <w:num w:numId="18" w16cid:durableId="1369645009">
    <w:abstractNumId w:val="1"/>
  </w:num>
  <w:num w:numId="19" w16cid:durableId="2014213010">
    <w:abstractNumId w:val="0"/>
  </w:num>
  <w:num w:numId="20" w16cid:durableId="1095901098">
    <w:abstractNumId w:val="0"/>
  </w:num>
  <w:num w:numId="21" w16cid:durableId="448092421">
    <w:abstractNumId w:val="9"/>
  </w:num>
  <w:num w:numId="22" w16cid:durableId="1233202893">
    <w:abstractNumId w:val="7"/>
  </w:num>
  <w:num w:numId="23" w16cid:durableId="1628706594">
    <w:abstractNumId w:val="6"/>
  </w:num>
  <w:num w:numId="24" w16cid:durableId="1601259388">
    <w:abstractNumId w:val="5"/>
  </w:num>
  <w:num w:numId="25" w16cid:durableId="1669164423">
    <w:abstractNumId w:val="4"/>
  </w:num>
  <w:num w:numId="26" w16cid:durableId="648821860">
    <w:abstractNumId w:val="8"/>
  </w:num>
  <w:num w:numId="27" w16cid:durableId="1603762419">
    <w:abstractNumId w:val="3"/>
  </w:num>
  <w:num w:numId="28" w16cid:durableId="1680349212">
    <w:abstractNumId w:val="2"/>
  </w:num>
  <w:num w:numId="29" w16cid:durableId="902906541">
    <w:abstractNumId w:val="1"/>
  </w:num>
  <w:num w:numId="30" w16cid:durableId="1342469959">
    <w:abstractNumId w:val="0"/>
  </w:num>
  <w:num w:numId="31" w16cid:durableId="691613023">
    <w:abstractNumId w:val="9"/>
  </w:num>
  <w:num w:numId="32" w16cid:durableId="487937502">
    <w:abstractNumId w:val="7"/>
  </w:num>
  <w:num w:numId="33" w16cid:durableId="901335875">
    <w:abstractNumId w:val="6"/>
  </w:num>
  <w:num w:numId="34" w16cid:durableId="1908106808">
    <w:abstractNumId w:val="5"/>
  </w:num>
  <w:num w:numId="35" w16cid:durableId="1560243209">
    <w:abstractNumId w:val="4"/>
  </w:num>
  <w:num w:numId="36" w16cid:durableId="1458909377">
    <w:abstractNumId w:val="8"/>
  </w:num>
  <w:num w:numId="37" w16cid:durableId="1124621098">
    <w:abstractNumId w:val="3"/>
  </w:num>
  <w:num w:numId="38" w16cid:durableId="570042987">
    <w:abstractNumId w:val="2"/>
  </w:num>
  <w:num w:numId="39" w16cid:durableId="308092536">
    <w:abstractNumId w:val="1"/>
  </w:num>
  <w:num w:numId="40" w16cid:durableId="1877085806">
    <w:abstractNumId w:val="0"/>
  </w:num>
  <w:num w:numId="41" w16cid:durableId="727654343">
    <w:abstractNumId w:val="10"/>
  </w:num>
  <w:num w:numId="42" w16cid:durableId="1166675815">
    <w:abstractNumId w:val="10"/>
  </w:num>
  <w:num w:numId="43" w16cid:durableId="514345319">
    <w:abstractNumId w:val="10"/>
  </w:num>
  <w:num w:numId="44" w16cid:durableId="191650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AA"/>
    <w:rsid w:val="00002272"/>
    <w:rsid w:val="00012634"/>
    <w:rsid w:val="00064002"/>
    <w:rsid w:val="000677B9"/>
    <w:rsid w:val="000831BA"/>
    <w:rsid w:val="000A42CC"/>
    <w:rsid w:val="000E7DD9"/>
    <w:rsid w:val="0010095E"/>
    <w:rsid w:val="00125B37"/>
    <w:rsid w:val="00136DBE"/>
    <w:rsid w:val="00187494"/>
    <w:rsid w:val="001A410D"/>
    <w:rsid w:val="001F32AE"/>
    <w:rsid w:val="002638AF"/>
    <w:rsid w:val="002767FF"/>
    <w:rsid w:val="0029248F"/>
    <w:rsid w:val="002952C3"/>
    <w:rsid w:val="002B18FE"/>
    <w:rsid w:val="002B5493"/>
    <w:rsid w:val="002C54AA"/>
    <w:rsid w:val="00343214"/>
    <w:rsid w:val="00361C00"/>
    <w:rsid w:val="00395FA1"/>
    <w:rsid w:val="003E0EA2"/>
    <w:rsid w:val="003E15D4"/>
    <w:rsid w:val="00411CCE"/>
    <w:rsid w:val="00412FD1"/>
    <w:rsid w:val="0041666E"/>
    <w:rsid w:val="00421060"/>
    <w:rsid w:val="00433E75"/>
    <w:rsid w:val="004652CA"/>
    <w:rsid w:val="00471C19"/>
    <w:rsid w:val="004867E3"/>
    <w:rsid w:val="00494A28"/>
    <w:rsid w:val="004C0004"/>
    <w:rsid w:val="004C5D52"/>
    <w:rsid w:val="0050519A"/>
    <w:rsid w:val="005072A1"/>
    <w:rsid w:val="00514517"/>
    <w:rsid w:val="00545827"/>
    <w:rsid w:val="00560270"/>
    <w:rsid w:val="00586F00"/>
    <w:rsid w:val="005A64C3"/>
    <w:rsid w:val="005C2568"/>
    <w:rsid w:val="005F1B17"/>
    <w:rsid w:val="006037C0"/>
    <w:rsid w:val="006631B6"/>
    <w:rsid w:val="00680577"/>
    <w:rsid w:val="006F74FA"/>
    <w:rsid w:val="00731ADD"/>
    <w:rsid w:val="00734777"/>
    <w:rsid w:val="00747932"/>
    <w:rsid w:val="00751A4A"/>
    <w:rsid w:val="00756632"/>
    <w:rsid w:val="00762C74"/>
    <w:rsid w:val="00786EC0"/>
    <w:rsid w:val="007B676B"/>
    <w:rsid w:val="007D1690"/>
    <w:rsid w:val="007E22AD"/>
    <w:rsid w:val="00817416"/>
    <w:rsid w:val="008354BF"/>
    <w:rsid w:val="00842779"/>
    <w:rsid w:val="00865F67"/>
    <w:rsid w:val="00881A7B"/>
    <w:rsid w:val="008840E5"/>
    <w:rsid w:val="00887B3E"/>
    <w:rsid w:val="008C2AC6"/>
    <w:rsid w:val="00930C23"/>
    <w:rsid w:val="0093193B"/>
    <w:rsid w:val="00941904"/>
    <w:rsid w:val="009509D8"/>
    <w:rsid w:val="00950B64"/>
    <w:rsid w:val="00981893"/>
    <w:rsid w:val="009B6FF5"/>
    <w:rsid w:val="00A01F7C"/>
    <w:rsid w:val="00A1687D"/>
    <w:rsid w:val="00A43E52"/>
    <w:rsid w:val="00A4678D"/>
    <w:rsid w:val="00A479DE"/>
    <w:rsid w:val="00A778C7"/>
    <w:rsid w:val="00A8710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98B"/>
    <w:rsid w:val="00CE162A"/>
    <w:rsid w:val="00CE63B3"/>
    <w:rsid w:val="00CF071A"/>
    <w:rsid w:val="00D058B8"/>
    <w:rsid w:val="00D56C11"/>
    <w:rsid w:val="00D834A0"/>
    <w:rsid w:val="00D872DF"/>
    <w:rsid w:val="00D91E21"/>
    <w:rsid w:val="00DA7FCD"/>
    <w:rsid w:val="00DC68B1"/>
    <w:rsid w:val="00E12FD0"/>
    <w:rsid w:val="00E365E1"/>
    <w:rsid w:val="00E820A4"/>
    <w:rsid w:val="00EB006A"/>
    <w:rsid w:val="00EB4772"/>
    <w:rsid w:val="00ED169E"/>
    <w:rsid w:val="00ED4235"/>
    <w:rsid w:val="00EE5498"/>
    <w:rsid w:val="00F04346"/>
    <w:rsid w:val="00F075DC"/>
    <w:rsid w:val="00F149E9"/>
    <w:rsid w:val="00F5134D"/>
    <w:rsid w:val="00F74202"/>
    <w:rsid w:val="00F87713"/>
    <w:rsid w:val="00F93834"/>
    <w:rsid w:val="00FB4360"/>
    <w:rsid w:val="00FD0C70"/>
  </w:rsids>
  <w:docVars>
    <w:docVar w:name="dvdocse" w:val="A10-0228/2026"/>
    <w:docVar w:name="dvlangue" w:val="EN"/>
    <w:docVar w:name="dvnumam" w:val="0"/>
    <w:docVar w:name="dvpe" w:val="789.073"/>
    <w:docVar w:name="dvrapporteur" w:val="Rapporteur: "/>
    <w:docVar w:name="dvtitre" w:val="European Parliament decision of xx Xxxx 2026 on the request for the waiver of the immunity of Afroditi Latinopoulou(2026/200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87E671"/>
  <w15:chartTrackingRefBased/>
  <w15:docId w15:val="{56025E30-7E99-412B-87B9-130B8338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1F7C"/>
    <w:pPr>
      <w:spacing w:after="240"/>
      <w:ind w:left="567" w:hanging="567"/>
    </w:pPr>
  </w:style>
  <w:style w:type="paragraph" w:customStyle="1" w:styleId="EPComma">
    <w:name w:val="EPComma"/>
    <w:basedOn w:val="Normal"/>
    <w:rsid w:val="00A01F7C"/>
    <w:pPr>
      <w:spacing w:before="480" w:after="240"/>
    </w:pPr>
  </w:style>
  <w:style w:type="paragraph" w:styleId="Revision">
    <w:name w:val="Revision"/>
    <w:hidden/>
    <w:uiPriority w:val="99"/>
    <w:semiHidden/>
    <w:rsid w:val="00136DBE"/>
    <w:rPr>
      <w:sz w:val="24"/>
    </w:rPr>
  </w:style>
  <w:style w:type="character" w:styleId="CommentReference">
    <w:name w:val="annotation reference"/>
    <w:basedOn w:val="DefaultParagraphFont"/>
    <w:rsid w:val="008354BF"/>
    <w:rPr>
      <w:sz w:val="16"/>
      <w:szCs w:val="16"/>
    </w:rPr>
  </w:style>
  <w:style w:type="paragraph" w:styleId="CommentText">
    <w:name w:val="annotation text"/>
    <w:basedOn w:val="Normal"/>
    <w:link w:val="CommentTextChar"/>
    <w:rsid w:val="008354BF"/>
    <w:rPr>
      <w:sz w:val="20"/>
    </w:rPr>
  </w:style>
  <w:style w:type="character" w:customStyle="1" w:styleId="CommentTextChar">
    <w:name w:val="Comment Text Char"/>
    <w:basedOn w:val="DefaultParagraphFont"/>
    <w:link w:val="CommentText"/>
    <w:rsid w:val="008354BF"/>
  </w:style>
  <w:style w:type="paragraph" w:styleId="CommentSubject">
    <w:name w:val="annotation subject"/>
    <w:basedOn w:val="CommentText"/>
    <w:next w:val="CommentText"/>
    <w:link w:val="CommentSubjectChar"/>
    <w:rsid w:val="008354BF"/>
    <w:rPr>
      <w:b/>
      <w:bCs/>
    </w:rPr>
  </w:style>
  <w:style w:type="character" w:customStyle="1" w:styleId="CommentSubjectChar">
    <w:name w:val="Comment Subject Char"/>
    <w:basedOn w:val="CommentTextChar"/>
    <w:link w:val="CommentSubject"/>
    <w:rsid w:val="008354BF"/>
    <w:rPr>
      <w:b/>
      <w:bCs/>
    </w:rPr>
  </w:style>
  <w:style w:type="character" w:styleId="Hyperlink">
    <w:name w:val="Hyperlink"/>
    <w:basedOn w:val="DefaultParagraphFont"/>
    <w:rsid w:val="0029248F"/>
    <w:rPr>
      <w:color w:val="0563C1" w:themeColor="hyperlink"/>
      <w:u w:val="single"/>
    </w:rPr>
  </w:style>
  <w:style w:type="character" w:styleId="UnresolvedMention">
    <w:name w:val="Unresolved Mention"/>
    <w:basedOn w:val="DefaultParagraphFont"/>
    <w:uiPriority w:val="99"/>
    <w:semiHidden/>
    <w:unhideWhenUsed/>
    <w:rsid w:val="00292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2026-09-15T10:40:00Z</dcterms:created>
  <dcterms:modified xsi:type="dcterms:W3CDTF">2026-09-15T10:40:00Z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A10-0228/2026</vt:lpwstr>
  </property>
  <property fmtid="{D5CDD505-2E9C-101B-9397-08002B2CF9AE}" pid="4" name="&lt;Type&gt;">
    <vt:lpwstr>RR</vt:lpwstr>
  </property>
</Properties>
</file>