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BF94A92" w14:textId="77777777" w:rsidTr="0010095E">
        <w:tblPrEx>
          <w:tblW w:w="9072" w:type="dxa"/>
          <w:tblLook w:val="01E0"/>
        </w:tblPrEx>
        <w:trPr>
          <w:trHeight w:hRule="exact" w:val="1418"/>
        </w:trPr>
        <w:tc>
          <w:tcPr>
            <w:tcW w:w="6804" w:type="dxa"/>
            <w:shd w:val="clear" w:color="auto" w:fill="auto"/>
            <w:vAlign w:val="center"/>
          </w:tcPr>
          <w:p w:rsidR="00751A4A" w:rsidRPr="00625964" w:rsidP="0010095E" w14:paraId="1E59517A" w14:textId="77777777">
            <w:pPr>
              <w:pStyle w:val="EPName"/>
            </w:pPr>
            <w:r w:rsidRPr="00625964">
              <w:t>European Parliament</w:t>
            </w:r>
          </w:p>
          <w:p w:rsidR="00751A4A" w:rsidRPr="00625964" w:rsidP="005F1B17" w14:paraId="63977F0C" w14:textId="77777777">
            <w:pPr>
              <w:pStyle w:val="EPTerm"/>
              <w:rPr>
                <w:rStyle w:val="HideTWBExt"/>
                <w:noProof w:val="0"/>
                <w:vanish w:val="0"/>
                <w:color w:val="auto"/>
              </w:rPr>
            </w:pPr>
            <w:r w:rsidRPr="00625964">
              <w:t>2024</w:t>
            </w:r>
            <w:r w:rsidRPr="00625964" w:rsidR="00817416">
              <w:t>-202</w:t>
            </w:r>
            <w:r w:rsidRPr="00625964">
              <w:t>9</w:t>
            </w:r>
          </w:p>
        </w:tc>
        <w:tc>
          <w:tcPr>
            <w:tcW w:w="2268" w:type="dxa"/>
            <w:shd w:val="clear" w:color="auto" w:fill="auto"/>
          </w:tcPr>
          <w:p w:rsidR="00751A4A" w:rsidRPr="00625964" w:rsidP="0010095E" w14:paraId="45F1E55F" w14:textId="77777777">
            <w:pPr>
              <w:pStyle w:val="EPLogo"/>
            </w:pPr>
            <w:r w:rsidRPr="0062596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25964" w:rsidP="004C5D52" w14:paraId="55AEB3CE" w14:textId="77777777">
      <w:pPr>
        <w:pStyle w:val="LineTop"/>
      </w:pPr>
    </w:p>
    <w:p w:rsidR="00680577" w:rsidRPr="00625964" w:rsidP="00680577" w14:paraId="2A34CDEA" w14:textId="77777777">
      <w:pPr>
        <w:pStyle w:val="EPBodyTA1"/>
      </w:pPr>
      <w:r w:rsidRPr="00625964">
        <w:t>TEXTS ADOPTED</w:t>
      </w:r>
    </w:p>
    <w:p w:rsidR="00D058B8" w:rsidRPr="00625964" w:rsidP="00D058B8" w14:paraId="46CC48F3" w14:textId="77777777">
      <w:pPr>
        <w:pStyle w:val="LineBottom"/>
      </w:pPr>
    </w:p>
    <w:p w:rsidR="001A7DF4" w:rsidRPr="00625964" w:rsidP="001A7DF4" w14:paraId="26175BEF" w14:textId="2365761B">
      <w:pPr>
        <w:pStyle w:val="ATHeading1"/>
      </w:pPr>
      <w:bookmarkStart w:id="0" w:name="TANumber"/>
      <w:r w:rsidRPr="00625964">
        <w:t>P10_</w:t>
      </w:r>
      <w:r w:rsidRPr="00625964">
        <w:t>TA(</w:t>
      </w:r>
      <w:r w:rsidRPr="00625964">
        <w:t>2026)</w:t>
      </w:r>
      <w:bookmarkEnd w:id="0"/>
      <w:r w:rsidR="00D11432">
        <w:t>0278</w:t>
      </w:r>
    </w:p>
    <w:p w:rsidR="001A7DF4" w:rsidRPr="00625964" w:rsidP="001A7DF4" w14:paraId="692EA881" w14:textId="1AD081DD">
      <w:pPr>
        <w:pStyle w:val="ATHeading2"/>
      </w:pPr>
      <w:bookmarkStart w:id="1" w:name="title"/>
      <w:r w:rsidRPr="00625964">
        <w:t>Market stability reserve for the EU Emissions Trading System (EU ETS): ceasing the invalidation of allowances</w:t>
      </w:r>
      <w:bookmarkEnd w:id="1"/>
    </w:p>
    <w:p w:rsidR="001A7DF4" w:rsidRPr="00625964" w:rsidP="001A7DF4" w14:paraId="3E033E0C" w14:textId="77777777">
      <w:pPr>
        <w:rPr>
          <w:i/>
          <w:vanish/>
        </w:rPr>
      </w:pPr>
      <w:r>
        <w:rPr>
          <w:i/>
        </w:rPr>
        <w:fldChar w:fldCharType="begin"/>
      </w:r>
      <w:r w:rsidRPr="00625964">
        <w:rPr>
          <w:i/>
        </w:rPr>
        <w:instrText xml:space="preserve"> TC"(</w:instrText>
      </w:r>
      <w:bookmarkStart w:id="2" w:name="DocNumber"/>
      <w:r w:rsidRPr="00625964">
        <w:rPr>
          <w:i/>
        </w:rPr>
        <w:instrText>A10-0230/2026</w:instrText>
      </w:r>
      <w:bookmarkEnd w:id="2"/>
      <w:r w:rsidRPr="00625964">
        <w:rPr>
          <w:i/>
        </w:rPr>
        <w:instrText xml:space="preserve"> - Rapporteur: Pierfrancesco Maran)"\l3 \n&gt; \* MERGEFORMAT </w:instrText>
      </w:r>
      <w:r>
        <w:rPr>
          <w:i/>
        </w:rPr>
        <w:fldChar w:fldCharType="end"/>
      </w:r>
    </w:p>
    <w:p w:rsidR="001A7DF4" w:rsidRPr="00625964" w:rsidP="001A7DF4" w14:paraId="1D701C64" w14:textId="77777777">
      <w:pPr>
        <w:rPr>
          <w:vanish/>
        </w:rPr>
      </w:pPr>
      <w:bookmarkStart w:id="3" w:name="Commission"/>
      <w:r w:rsidRPr="00625964">
        <w:rPr>
          <w:vanish/>
        </w:rPr>
        <w:t>Committee on the Environment, Climate and Food Safety</w:t>
      </w:r>
      <w:bookmarkEnd w:id="3"/>
    </w:p>
    <w:p w:rsidR="001A7DF4" w:rsidRPr="00625964" w:rsidP="001A7DF4" w14:paraId="70FDED7C" w14:textId="77777777">
      <w:pPr>
        <w:rPr>
          <w:vanish/>
        </w:rPr>
      </w:pPr>
      <w:bookmarkStart w:id="4" w:name="PE"/>
      <w:r w:rsidRPr="00625964">
        <w:rPr>
          <w:vanish/>
        </w:rPr>
        <w:t>PE789.007</w:t>
      </w:r>
      <w:bookmarkEnd w:id="4"/>
    </w:p>
    <w:p w:rsidR="001A7DF4" w:rsidRPr="00625964" w:rsidP="001A7DF4" w14:paraId="588CA0FC" w14:textId="67EC6B23">
      <w:pPr>
        <w:pStyle w:val="ATHeading3"/>
      </w:pPr>
      <w:bookmarkStart w:id="5" w:name="Sujet"/>
      <w:r>
        <w:t xml:space="preserve">Amendments adopted by the </w:t>
      </w:r>
      <w:r w:rsidRPr="00625964">
        <w:t xml:space="preserve">European Parliament </w:t>
      </w:r>
      <w:r>
        <w:t>on</w:t>
      </w:r>
      <w:r w:rsidRPr="00625964">
        <w:t xml:space="preserve"> </w:t>
      </w:r>
      <w:r w:rsidRPr="00625964" w:rsidR="00845875">
        <w:t>15</w:t>
      </w:r>
      <w:r w:rsidRPr="00625964">
        <w:t xml:space="preserve"> </w:t>
      </w:r>
      <w:r w:rsidRPr="00625964" w:rsidR="00845875">
        <w:t>September</w:t>
      </w:r>
      <w:r w:rsidRPr="00625964">
        <w:t xml:space="preserve"> 2026 on the proposal for a decision of the European Parliament and of the Council amending Decision (EU) 2015/1814 as regards ceasing the invalidation of allowances in the market stability reserve</w:t>
      </w:r>
      <w:bookmarkEnd w:id="5"/>
      <w:r w:rsidRPr="00625964">
        <w:t xml:space="preserve"> </w:t>
      </w:r>
      <w:bookmarkStart w:id="6" w:name="References"/>
      <w:r w:rsidRPr="00625964">
        <w:t>(</w:t>
      </w:r>
      <w:r w:rsidRPr="00625964">
        <w:t>COM(</w:t>
      </w:r>
      <w:r w:rsidRPr="00625964">
        <w:t>2026)0153 – C10-0093/2026 – 2026/0085(COD))</w:t>
      </w:r>
      <w:bookmarkEnd w:id="6"/>
      <w:r>
        <w:rPr>
          <w:rStyle w:val="FootnoteReference"/>
        </w:rPr>
        <w:footnoteReference w:id="2"/>
      </w:r>
    </w:p>
    <w:p w:rsidR="001701D6" w:rsidRPr="00625964" w:rsidP="00F81A2E" w14:paraId="0F71CC0D" w14:textId="77777777">
      <w:pPr>
        <w:pStyle w:val="NormalBold"/>
      </w:pPr>
      <w:r w:rsidRPr="00625964">
        <w:t>(Ordinary legislative procedure: first reading)</w:t>
      </w:r>
    </w:p>
    <w:p w:rsidR="001701D6" w:rsidRPr="00625964" w:rsidP="00F81A2E" w14:paraId="6E0E85B8" w14:textId="0890FBBB">
      <w:pPr>
        <w:pStyle w:val="NormalHanging12a"/>
      </w:pPr>
    </w:p>
    <w:p w:rsidR="00845875" w:rsidRPr="00625964" w:rsidP="00F81A2E" w14:paraId="28643CC3" w14:textId="77777777">
      <w:pPr>
        <w:sectPr w:rsidSect="009355E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701D6" w:rsidRPr="00625964" w:rsidP="00F81A2E" w14:paraId="0F254A92" w14:textId="77777777">
      <w:pPr>
        <w:pStyle w:val="AmNumberTabs"/>
      </w:pPr>
      <w:r w:rsidRPr="00625964">
        <w:t>Amendment</w:t>
      </w:r>
      <w:r w:rsidRPr="00625964">
        <w:tab/>
      </w:r>
      <w:r w:rsidRPr="00625964">
        <w:tab/>
        <w:t>1</w:t>
      </w:r>
    </w:p>
    <w:p w:rsidR="001701D6" w:rsidRPr="00625964" w:rsidP="00F81A2E" w14:paraId="24AA7B50" w14:textId="63684F85">
      <w:pPr>
        <w:pStyle w:val="NormalBold12b"/>
      </w:pPr>
      <w:r w:rsidRPr="00625964">
        <w:t xml:space="preserve">Proposal for a </w:t>
      </w:r>
      <w:r w:rsidRPr="00625964" w:rsidR="00694F9B">
        <w:t>decision</w:t>
      </w:r>
    </w:p>
    <w:p w:rsidR="001701D6" w:rsidRPr="00625964" w:rsidP="00F81A2E" w14:paraId="3B496F59" w14:textId="77777777">
      <w:pPr>
        <w:rPr>
          <w:rStyle w:val="HideTWBExt"/>
        </w:rPr>
      </w:pPr>
      <w:r w:rsidRPr="00625964">
        <w:rPr>
          <w:rStyle w:val="NormalBoldChar"/>
        </w:rPr>
        <w:t>Citation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F8B927" w14:textId="77777777" w:rsidTr="009B2F95">
        <w:tblPrEx>
          <w:tblW w:w="9752" w:type="dxa"/>
          <w:jc w:val="center"/>
          <w:tblLayout w:type="fixed"/>
          <w:tblLook w:val="04A0"/>
        </w:tblPrEx>
        <w:trPr>
          <w:trHeight w:val="240"/>
          <w:jc w:val="center"/>
        </w:trPr>
        <w:tc>
          <w:tcPr>
            <w:tcW w:w="9752" w:type="dxa"/>
            <w:gridSpan w:val="2"/>
            <w:tcBorders>
              <w:top w:val="nil"/>
              <w:left w:val="nil"/>
              <w:bottom w:val="nil"/>
              <w:right w:val="nil"/>
            </w:tcBorders>
          </w:tcPr>
          <w:p w:rsidR="001701D6" w:rsidRPr="00625964" w:rsidP="009B2F95" w14:paraId="0B418785" w14:textId="77777777"/>
        </w:tc>
      </w:tr>
      <w:tr w14:paraId="488AC4E4" w14:textId="77777777" w:rsidTr="009B2F95">
        <w:tblPrEx>
          <w:tblW w:w="9752" w:type="dxa"/>
          <w:jc w:val="center"/>
          <w:tblLayout w:type="fixed"/>
          <w:tblLook w:val="04A0"/>
        </w:tblPrEx>
        <w:trPr>
          <w:trHeight w:val="240"/>
          <w:jc w:val="center"/>
        </w:trPr>
        <w:tc>
          <w:tcPr>
            <w:tcW w:w="4876" w:type="dxa"/>
            <w:tcBorders>
              <w:top w:val="nil"/>
              <w:left w:val="nil"/>
              <w:bottom w:val="nil"/>
              <w:right w:val="nil"/>
            </w:tcBorders>
            <w:hideMark/>
          </w:tcPr>
          <w:p w:rsidR="001701D6" w:rsidRPr="00625964" w:rsidP="009B2F95" w14:paraId="3FE40414" w14:textId="77777777">
            <w:pPr>
              <w:pStyle w:val="AmColumnHeading"/>
            </w:pPr>
            <w:r w:rsidRPr="00625964">
              <w:t>Text proposed by the Commission</w:t>
            </w:r>
          </w:p>
        </w:tc>
        <w:tc>
          <w:tcPr>
            <w:tcW w:w="4876" w:type="dxa"/>
            <w:tcBorders>
              <w:top w:val="nil"/>
              <w:left w:val="nil"/>
              <w:bottom w:val="nil"/>
              <w:right w:val="nil"/>
            </w:tcBorders>
            <w:hideMark/>
          </w:tcPr>
          <w:p w:rsidR="001701D6" w:rsidRPr="00625964" w:rsidP="009B2F95" w14:paraId="297D574C" w14:textId="77777777">
            <w:pPr>
              <w:pStyle w:val="AmColumnHeading"/>
            </w:pPr>
            <w:r w:rsidRPr="00625964">
              <w:t>Amendment</w:t>
            </w:r>
          </w:p>
        </w:tc>
      </w:tr>
      <w:tr w14:paraId="27F888ED"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0EB04735" w14:textId="77777777">
            <w:pPr>
              <w:pStyle w:val="Normal6a"/>
            </w:pPr>
            <w:r w:rsidRPr="00625964">
              <w:rPr>
                <w:b/>
                <w:i/>
              </w:rPr>
              <w:t>Having regard to the opinion of</w:t>
            </w:r>
            <w:r w:rsidRPr="00625964">
              <w:t xml:space="preserve"> the Committee of the Regions</w:t>
            </w:r>
            <w:r w:rsidRPr="00625964">
              <w:rPr>
                <w:b/>
                <w:bCs/>
                <w:i/>
                <w:iCs/>
                <w:vertAlign w:val="superscript"/>
              </w:rPr>
              <w:t>2</w:t>
            </w:r>
            <w:r w:rsidRPr="00625964">
              <w:t xml:space="preserve"> ,</w:t>
            </w:r>
          </w:p>
        </w:tc>
        <w:tc>
          <w:tcPr>
            <w:tcW w:w="4876" w:type="dxa"/>
            <w:tcBorders>
              <w:top w:val="nil"/>
              <w:left w:val="nil"/>
              <w:bottom w:val="nil"/>
              <w:right w:val="nil"/>
            </w:tcBorders>
            <w:hideMark/>
          </w:tcPr>
          <w:p w:rsidR="001701D6" w:rsidRPr="00625964" w:rsidP="009B2F95" w14:paraId="1BA870B5" w14:textId="77777777">
            <w:pPr>
              <w:pStyle w:val="Normal6a"/>
            </w:pPr>
            <w:r w:rsidRPr="00625964">
              <w:rPr>
                <w:b/>
                <w:i/>
              </w:rPr>
              <w:t>After consulting</w:t>
            </w:r>
            <w:r w:rsidRPr="00625964">
              <w:t xml:space="preserve"> the Committee of the Regions,</w:t>
            </w:r>
          </w:p>
        </w:tc>
      </w:tr>
      <w:tr w14:paraId="2CD6B32A"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04A9B648" w14:textId="77777777">
            <w:pPr>
              <w:pStyle w:val="Normal6a"/>
            </w:pPr>
            <w:r w:rsidRPr="00625964">
              <w:rPr>
                <w:b/>
                <w:i/>
              </w:rPr>
              <w:t>_________________</w:t>
            </w:r>
          </w:p>
        </w:tc>
        <w:tc>
          <w:tcPr>
            <w:tcW w:w="4876" w:type="dxa"/>
            <w:tcBorders>
              <w:top w:val="nil"/>
              <w:left w:val="nil"/>
              <w:bottom w:val="nil"/>
              <w:right w:val="nil"/>
            </w:tcBorders>
            <w:hideMark/>
          </w:tcPr>
          <w:p w:rsidR="001701D6" w:rsidRPr="00625964" w:rsidP="009B2F95" w14:paraId="7DC294E3" w14:textId="77777777">
            <w:pPr>
              <w:pStyle w:val="Normal6a"/>
            </w:pPr>
            <w:r w:rsidRPr="00625964">
              <w:rPr>
                <w:b/>
                <w:i/>
              </w:rPr>
              <w:t>_________________</w:t>
            </w:r>
          </w:p>
        </w:tc>
      </w:tr>
      <w:tr w14:paraId="3987D4BF"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43A41EE9" w14:textId="77777777">
            <w:pPr>
              <w:pStyle w:val="Normal6a"/>
              <w:rPr>
                <w:b/>
                <w:bCs/>
                <w:i/>
                <w:iCs/>
              </w:rPr>
            </w:pPr>
            <w:r w:rsidRPr="00625964">
              <w:rPr>
                <w:b/>
                <w:bCs/>
                <w:i/>
                <w:iCs/>
                <w:vertAlign w:val="superscript"/>
              </w:rPr>
              <w:t>2</w:t>
            </w:r>
            <w:r w:rsidRPr="00625964">
              <w:rPr>
                <w:b/>
                <w:bCs/>
                <w:i/>
                <w:iCs/>
              </w:rPr>
              <w:t xml:space="preserve"> OJ </w:t>
            </w:r>
            <w:r w:rsidRPr="00625964">
              <w:rPr>
                <w:b/>
                <w:bCs/>
                <w:i/>
                <w:iCs/>
              </w:rPr>
              <w:t>C ,</w:t>
            </w:r>
            <w:r w:rsidRPr="00625964">
              <w:rPr>
                <w:b/>
                <w:bCs/>
                <w:i/>
                <w:iCs/>
              </w:rPr>
              <w:t xml:space="preserve"> , p. .</w:t>
            </w:r>
          </w:p>
        </w:tc>
        <w:tc>
          <w:tcPr>
            <w:tcW w:w="4876" w:type="dxa"/>
            <w:tcBorders>
              <w:top w:val="nil"/>
              <w:left w:val="nil"/>
              <w:bottom w:val="nil"/>
              <w:right w:val="nil"/>
            </w:tcBorders>
            <w:hideMark/>
          </w:tcPr>
          <w:p w:rsidR="001701D6" w:rsidRPr="00625964" w:rsidP="009B2F95" w14:paraId="0A42A385" w14:textId="77777777">
            <w:pPr>
              <w:pStyle w:val="Normal6a"/>
            </w:pPr>
          </w:p>
        </w:tc>
      </w:tr>
    </w:tbl>
    <w:p w:rsidR="001701D6" w:rsidRPr="00625964" w:rsidP="00F81A2E" w14:paraId="2AF97C67" w14:textId="77777777"/>
    <w:p w:rsidR="001701D6" w:rsidRPr="00625964" w:rsidP="00F81A2E" w14:paraId="40264D2A" w14:textId="77777777">
      <w:pPr>
        <w:pStyle w:val="AmNumberTabs"/>
      </w:pPr>
      <w:r w:rsidRPr="00625964">
        <w:t>Amendment</w:t>
      </w:r>
      <w:r w:rsidRPr="00625964">
        <w:tab/>
      </w:r>
      <w:r w:rsidRPr="00625964">
        <w:tab/>
        <w:t>2</w:t>
      </w:r>
    </w:p>
    <w:p w:rsidR="001701D6" w:rsidRPr="00625964" w:rsidP="00F81A2E" w14:paraId="186B249E" w14:textId="33BF7C6E">
      <w:pPr>
        <w:pStyle w:val="NormalBold12b"/>
      </w:pPr>
      <w:r w:rsidRPr="00625964">
        <w:t xml:space="preserve">Proposal for a </w:t>
      </w:r>
      <w:r w:rsidRPr="00625964" w:rsidR="00694F9B">
        <w:t>decision</w:t>
      </w:r>
    </w:p>
    <w:p w:rsidR="001701D6" w:rsidRPr="00625964" w:rsidP="00F81A2E" w14:paraId="61688B80" w14:textId="77777777">
      <w:pPr>
        <w:rPr>
          <w:b/>
        </w:rPr>
      </w:pPr>
      <w:r w:rsidRPr="00625964">
        <w:rPr>
          <w:rStyle w:val="NormalBoldChar"/>
        </w:rPr>
        <w:t>Recital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29BBB" w14:textId="77777777" w:rsidTr="009B2F95">
        <w:tblPrEx>
          <w:tblW w:w="9752" w:type="dxa"/>
          <w:jc w:val="center"/>
          <w:tblLayout w:type="fixed"/>
          <w:tblLook w:val="04A0"/>
        </w:tblPrEx>
        <w:trPr>
          <w:trHeight w:val="240"/>
          <w:jc w:val="center"/>
        </w:trPr>
        <w:tc>
          <w:tcPr>
            <w:tcW w:w="9752" w:type="dxa"/>
            <w:gridSpan w:val="2"/>
            <w:tcBorders>
              <w:top w:val="nil"/>
              <w:left w:val="nil"/>
              <w:bottom w:val="nil"/>
              <w:right w:val="nil"/>
            </w:tcBorders>
          </w:tcPr>
          <w:p w:rsidR="001701D6" w:rsidRPr="00625964" w:rsidP="009B2F95" w14:paraId="02BC9FFF" w14:textId="77777777"/>
        </w:tc>
      </w:tr>
      <w:tr w14:paraId="7D3A0E6B" w14:textId="77777777" w:rsidTr="009B2F95">
        <w:tblPrEx>
          <w:tblW w:w="9752" w:type="dxa"/>
          <w:jc w:val="center"/>
          <w:tblLayout w:type="fixed"/>
          <w:tblLook w:val="04A0"/>
        </w:tblPrEx>
        <w:trPr>
          <w:trHeight w:val="240"/>
          <w:jc w:val="center"/>
        </w:trPr>
        <w:tc>
          <w:tcPr>
            <w:tcW w:w="4876" w:type="dxa"/>
            <w:tcBorders>
              <w:top w:val="nil"/>
              <w:left w:val="nil"/>
              <w:bottom w:val="nil"/>
              <w:right w:val="nil"/>
            </w:tcBorders>
            <w:hideMark/>
          </w:tcPr>
          <w:p w:rsidR="001701D6" w:rsidRPr="00625964" w:rsidP="009B2F95" w14:paraId="112D2137" w14:textId="77777777">
            <w:pPr>
              <w:pStyle w:val="AmColumnHeading"/>
            </w:pPr>
            <w:r w:rsidRPr="00625964">
              <w:t>Text proposed by the Commission</w:t>
            </w:r>
          </w:p>
        </w:tc>
        <w:tc>
          <w:tcPr>
            <w:tcW w:w="4876" w:type="dxa"/>
            <w:tcBorders>
              <w:top w:val="nil"/>
              <w:left w:val="nil"/>
              <w:bottom w:val="nil"/>
              <w:right w:val="nil"/>
            </w:tcBorders>
            <w:hideMark/>
          </w:tcPr>
          <w:p w:rsidR="001701D6" w:rsidRPr="00625964" w:rsidP="009B2F95" w14:paraId="0B600204" w14:textId="77777777">
            <w:pPr>
              <w:pStyle w:val="AmColumnHeading"/>
            </w:pPr>
            <w:r w:rsidRPr="00625964">
              <w:t>Amendment</w:t>
            </w:r>
          </w:p>
        </w:tc>
      </w:tr>
      <w:tr w14:paraId="45B86244"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37481D33" w14:textId="77777777">
            <w:pPr>
              <w:pStyle w:val="Normal6a"/>
            </w:pPr>
            <w:r w:rsidRPr="00625964">
              <w:t>(1)</w:t>
            </w:r>
            <w:r w:rsidRPr="00625964">
              <w:tab/>
              <w:t>The Paris Agreement adopted under the United Nations Framework Convention on Climate Change, approved on behalf of the European Union by Council Decision (EU) 2016/</w:t>
            </w:r>
            <w:r w:rsidRPr="00625964">
              <w:t>1841</w:t>
            </w:r>
            <w:r w:rsidRPr="00625964">
              <w:rPr>
                <w:vertAlign w:val="superscript"/>
              </w:rPr>
              <w:t>3</w:t>
            </w:r>
            <w:r w:rsidRPr="00625964">
              <w:t xml:space="preserve"> ,</w:t>
            </w:r>
            <w:r w:rsidRPr="00625964">
              <w:t xml:space="preserve"> (the ‘Paris Agreement’) entered into force in November 2016. The Parties to the Paris Agreement have agreed to hold the increase in the global average temperature to well below 2 °C above pre-industrial levels and to pursue efforts to limit the temperature increase to 1,5 °C above pre-industrial levels.</w:t>
            </w:r>
          </w:p>
        </w:tc>
        <w:tc>
          <w:tcPr>
            <w:tcW w:w="4876" w:type="dxa"/>
            <w:tcBorders>
              <w:top w:val="nil"/>
              <w:left w:val="nil"/>
              <w:bottom w:val="nil"/>
              <w:right w:val="nil"/>
            </w:tcBorders>
            <w:hideMark/>
          </w:tcPr>
          <w:p w:rsidR="001701D6" w:rsidRPr="00625964" w:rsidP="009B2F95" w14:paraId="649510F5" w14:textId="77777777">
            <w:pPr>
              <w:pStyle w:val="Normal6a"/>
            </w:pPr>
            <w:r w:rsidRPr="00625964">
              <w:t>(1)</w:t>
            </w:r>
            <w:r w:rsidRPr="00625964">
              <w:tab/>
              <w:t xml:space="preserve">The Paris Agreement adopted under the United Nations Framework Convention on Climate Change </w:t>
            </w:r>
            <w:r w:rsidRPr="00625964">
              <w:rPr>
                <w:b/>
                <w:i/>
              </w:rPr>
              <w:t>(UNFCCC)</w:t>
            </w:r>
            <w:r w:rsidRPr="00625964">
              <w:t>, approved on behalf of the European Union by Council Decision (EU) 2016/</w:t>
            </w:r>
            <w:r w:rsidRPr="00625964">
              <w:t>1841</w:t>
            </w:r>
            <w:r w:rsidRPr="00625964">
              <w:rPr>
                <w:vertAlign w:val="superscript"/>
              </w:rPr>
              <w:t>3</w:t>
            </w:r>
            <w:r w:rsidRPr="00625964">
              <w:t xml:space="preserve"> ,</w:t>
            </w:r>
            <w:r w:rsidRPr="00625964">
              <w:t xml:space="preserve"> (the ‘Paris Agreement’) entered into force in November 2016. The Parties to the Paris Agreement have agreed to hold the increase in the global average temperature to well below 2 °C above pre-industrial levels and to pursue efforts to limit the temperature increase to 1,5 °C above pre-industrial levels. </w:t>
            </w:r>
            <w:r w:rsidRPr="00625964">
              <w:rPr>
                <w:b/>
                <w:i/>
              </w:rPr>
              <w:t>That commitment has been reinforced with the adoption under the UNFCCC of the outcome of the first global stocktake on 13 December 2023 in Dubai, in which the Conference of the Parties to the UNFCCC, serving as the meeting of the Parties to the Paris Agreement, resolved to accelerate efforts to limit the temperature increase to 1,5 °C and adopted the United Arab Emirates Consensus.</w:t>
            </w:r>
          </w:p>
        </w:tc>
      </w:tr>
      <w:tr w14:paraId="6F21D3AB"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4D9EADAF" w14:textId="77777777">
            <w:pPr>
              <w:pStyle w:val="Normal6a"/>
            </w:pPr>
            <w:r w:rsidRPr="00625964">
              <w:rPr>
                <w:b/>
                <w:i/>
              </w:rPr>
              <w:t>_________________</w:t>
            </w:r>
          </w:p>
        </w:tc>
        <w:tc>
          <w:tcPr>
            <w:tcW w:w="4876" w:type="dxa"/>
            <w:tcBorders>
              <w:top w:val="nil"/>
              <w:left w:val="nil"/>
              <w:bottom w:val="nil"/>
              <w:right w:val="nil"/>
            </w:tcBorders>
            <w:hideMark/>
          </w:tcPr>
          <w:p w:rsidR="001701D6" w:rsidRPr="00625964" w:rsidP="009B2F95" w14:paraId="5B79EA64" w14:textId="77777777">
            <w:pPr>
              <w:pStyle w:val="Normal6a"/>
            </w:pPr>
            <w:r w:rsidRPr="00625964">
              <w:rPr>
                <w:b/>
                <w:i/>
              </w:rPr>
              <w:t>_________________</w:t>
            </w:r>
          </w:p>
        </w:tc>
      </w:tr>
      <w:tr w14:paraId="5C4C0017"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7FC2430D" w14:textId="77777777">
            <w:pPr>
              <w:pStyle w:val="Normal6a"/>
            </w:pPr>
            <w:r w:rsidRPr="00625964">
              <w:rPr>
                <w:vertAlign w:val="superscript"/>
              </w:rPr>
              <w:t>3</w:t>
            </w:r>
            <w:r w:rsidRPr="00625964">
              <w:t xml:space="preserve"> Council Decision (EU) 2016/1841 of 5 October 2016 on the conclusion, on behalf of the European Union, of the Paris Agreement adopted under the United </w:t>
            </w:r>
            <w:r w:rsidRPr="00625964">
              <w:t>Nations Framework Convention on Climate Change (OJ L 282, 19.10.2016, p. 1, ELI: http://data.europa.eu/eli/dec/2016/1841/oj).</w:t>
            </w:r>
          </w:p>
        </w:tc>
        <w:tc>
          <w:tcPr>
            <w:tcW w:w="4876" w:type="dxa"/>
            <w:tcBorders>
              <w:top w:val="nil"/>
              <w:left w:val="nil"/>
              <w:bottom w:val="nil"/>
              <w:right w:val="nil"/>
            </w:tcBorders>
            <w:hideMark/>
          </w:tcPr>
          <w:p w:rsidR="001701D6" w:rsidRPr="00625964" w:rsidP="009B2F95" w14:paraId="5A933458" w14:textId="77777777">
            <w:pPr>
              <w:pStyle w:val="Normal6a"/>
            </w:pPr>
            <w:r w:rsidRPr="00625964">
              <w:rPr>
                <w:vertAlign w:val="superscript"/>
              </w:rPr>
              <w:t>3</w:t>
            </w:r>
            <w:r w:rsidRPr="00625964">
              <w:t xml:space="preserve"> Council Decision (EU) 2016/1841 of 5 October 2016 on the conclusion, on behalf of the European Union, of the Paris Agreement adopted under the United </w:t>
            </w:r>
            <w:r w:rsidRPr="00625964">
              <w:t>Nations Framework Convention on Climate Change (OJ L 282, 19.10.2016, p. 1, ELI: http://data.europa.eu/eli/dec/2016/1841/oj).</w:t>
            </w:r>
          </w:p>
        </w:tc>
      </w:tr>
    </w:tbl>
    <w:p w:rsidR="001701D6" w:rsidRPr="00625964" w:rsidP="00F81A2E" w14:paraId="6AAC5050" w14:textId="77777777"/>
    <w:p w:rsidR="001701D6" w:rsidRPr="00625964" w:rsidP="00F81A2E" w14:paraId="6F9204B8" w14:textId="77777777">
      <w:pPr>
        <w:pStyle w:val="AmNumberTabs"/>
      </w:pPr>
      <w:r w:rsidRPr="00625964">
        <w:t>Amendment</w:t>
      </w:r>
      <w:r w:rsidRPr="00625964">
        <w:tab/>
      </w:r>
      <w:r w:rsidRPr="00625964">
        <w:tab/>
        <w:t>3</w:t>
      </w:r>
    </w:p>
    <w:p w:rsidR="001701D6" w:rsidRPr="00625964" w:rsidP="00F81A2E" w14:paraId="4FCC0A1E" w14:textId="54155D01">
      <w:pPr>
        <w:pStyle w:val="NormalBold12b"/>
      </w:pPr>
      <w:r w:rsidRPr="00625964">
        <w:t xml:space="preserve">Proposal for a </w:t>
      </w:r>
      <w:r w:rsidRPr="00625964" w:rsidR="00694F9B">
        <w:t>decision</w:t>
      </w:r>
    </w:p>
    <w:p w:rsidR="001701D6" w:rsidRPr="00625964" w:rsidP="00F81A2E" w14:paraId="61AD03BA" w14:textId="77777777">
      <w:pPr>
        <w:rPr>
          <w:b/>
        </w:rPr>
      </w:pPr>
      <w:r w:rsidRPr="00625964">
        <w:rPr>
          <w:b/>
        </w:rPr>
        <w:t>Recital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79726" w14:textId="77777777" w:rsidTr="009B2F95">
        <w:tblPrEx>
          <w:tblW w:w="9752" w:type="dxa"/>
          <w:jc w:val="center"/>
          <w:tblLayout w:type="fixed"/>
          <w:tblLook w:val="04A0"/>
        </w:tblPrEx>
        <w:trPr>
          <w:trHeight w:val="240"/>
          <w:jc w:val="center"/>
        </w:trPr>
        <w:tc>
          <w:tcPr>
            <w:tcW w:w="9752" w:type="dxa"/>
            <w:gridSpan w:val="2"/>
            <w:tcBorders>
              <w:top w:val="nil"/>
              <w:left w:val="nil"/>
              <w:bottom w:val="nil"/>
              <w:right w:val="nil"/>
            </w:tcBorders>
          </w:tcPr>
          <w:p w:rsidR="001701D6" w:rsidRPr="00625964" w:rsidP="009B2F95" w14:paraId="4574E6D0" w14:textId="77777777"/>
        </w:tc>
      </w:tr>
      <w:tr w14:paraId="2C083ED4" w14:textId="77777777" w:rsidTr="009B2F95">
        <w:tblPrEx>
          <w:tblW w:w="9752" w:type="dxa"/>
          <w:jc w:val="center"/>
          <w:tblLayout w:type="fixed"/>
          <w:tblLook w:val="04A0"/>
        </w:tblPrEx>
        <w:trPr>
          <w:trHeight w:val="240"/>
          <w:jc w:val="center"/>
        </w:trPr>
        <w:tc>
          <w:tcPr>
            <w:tcW w:w="4876" w:type="dxa"/>
            <w:tcBorders>
              <w:top w:val="nil"/>
              <w:left w:val="nil"/>
              <w:bottom w:val="nil"/>
              <w:right w:val="nil"/>
            </w:tcBorders>
            <w:hideMark/>
          </w:tcPr>
          <w:p w:rsidR="001701D6" w:rsidRPr="00625964" w:rsidP="009B2F95" w14:paraId="73FE619F" w14:textId="77777777">
            <w:pPr>
              <w:pStyle w:val="AmColumnHeading"/>
            </w:pPr>
            <w:r w:rsidRPr="00625964">
              <w:t>Text proposed by the Commission</w:t>
            </w:r>
          </w:p>
        </w:tc>
        <w:tc>
          <w:tcPr>
            <w:tcW w:w="4876" w:type="dxa"/>
            <w:tcBorders>
              <w:top w:val="nil"/>
              <w:left w:val="nil"/>
              <w:bottom w:val="nil"/>
              <w:right w:val="nil"/>
            </w:tcBorders>
            <w:hideMark/>
          </w:tcPr>
          <w:p w:rsidR="001701D6" w:rsidRPr="00625964" w:rsidP="009B2F95" w14:paraId="00F40248" w14:textId="77777777">
            <w:pPr>
              <w:pStyle w:val="AmColumnHeading"/>
            </w:pPr>
            <w:r w:rsidRPr="00625964">
              <w:t>Amendment</w:t>
            </w:r>
          </w:p>
        </w:tc>
      </w:tr>
      <w:tr w14:paraId="4EAA316A"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535F071C" w14:textId="77777777">
            <w:pPr>
              <w:pStyle w:val="Normal6a"/>
            </w:pPr>
            <w:r w:rsidRPr="00625964">
              <w:t>(2)</w:t>
            </w:r>
            <w:r w:rsidRPr="00625964">
              <w:tab/>
              <w:t>Decision (EU) 2015/1814 of the European Parliament and of the Council</w:t>
            </w:r>
            <w:r w:rsidRPr="00625964">
              <w:rPr>
                <w:vertAlign w:val="superscript"/>
              </w:rPr>
              <w:t>4</w:t>
            </w:r>
            <w:r w:rsidRPr="00625964">
              <w:t xml:space="preserve"> established a market stability reserve </w:t>
            </w:r>
            <w:r w:rsidRPr="00625964">
              <w:t>in order to</w:t>
            </w:r>
            <w:r w:rsidRPr="00625964">
              <w:t xml:space="preserve"> address the risk of supply and demand imbalances in the European carbon market </w:t>
            </w:r>
            <w:r w:rsidRPr="00625964">
              <w:rPr>
                <w:b/>
                <w:i/>
              </w:rPr>
              <w:t>and to improve</w:t>
            </w:r>
            <w:r w:rsidRPr="00625964">
              <w:t xml:space="preserve"> its resilience to shocks.</w:t>
            </w:r>
          </w:p>
        </w:tc>
        <w:tc>
          <w:tcPr>
            <w:tcW w:w="4876" w:type="dxa"/>
            <w:tcBorders>
              <w:top w:val="nil"/>
              <w:left w:val="nil"/>
              <w:bottom w:val="nil"/>
              <w:right w:val="nil"/>
            </w:tcBorders>
            <w:hideMark/>
          </w:tcPr>
          <w:p w:rsidR="001701D6" w:rsidRPr="00625964" w:rsidP="009B2F95" w14:paraId="7FA09612" w14:textId="77777777">
            <w:pPr>
              <w:pStyle w:val="Normal6a"/>
            </w:pPr>
            <w:r w:rsidRPr="00625964">
              <w:t>(2)</w:t>
            </w:r>
            <w:r w:rsidRPr="00625964">
              <w:tab/>
              <w:t>Decision (EU) 2015/1814 of the European Parliament and of the Council</w:t>
            </w:r>
            <w:r w:rsidRPr="00625964">
              <w:rPr>
                <w:vertAlign w:val="superscript"/>
              </w:rPr>
              <w:t>4</w:t>
            </w:r>
            <w:r w:rsidRPr="00625964">
              <w:t xml:space="preserve"> established a market stability reserve in order to address the </w:t>
            </w:r>
            <w:r w:rsidRPr="00625964">
              <w:rPr>
                <w:b/>
                <w:i/>
              </w:rPr>
              <w:t>historical oversupply that had accumulated in the system for greenhouse gas emission allowance trading within the Union (EU ETS), established by Directive 2003/87/EC of the European Parliament and of the Council</w:t>
            </w:r>
            <w:r w:rsidRPr="00625964">
              <w:rPr>
                <w:b/>
                <w:i/>
                <w:vertAlign w:val="superscript"/>
              </w:rPr>
              <w:t>4a</w:t>
            </w:r>
            <w:r w:rsidRPr="00625964">
              <w:rPr>
                <w:b/>
                <w:i/>
              </w:rPr>
              <w:t>, and to address the</w:t>
            </w:r>
            <w:r w:rsidRPr="00625964">
              <w:t xml:space="preserve"> risk of supply and demand imbalances in the European carbon market</w:t>
            </w:r>
            <w:r w:rsidRPr="00625964">
              <w:rPr>
                <w:b/>
                <w:i/>
              </w:rPr>
              <w:t>, thereby improving</w:t>
            </w:r>
            <w:r w:rsidRPr="00625964">
              <w:t xml:space="preserve"> its resilience to shocks. </w:t>
            </w:r>
          </w:p>
        </w:tc>
      </w:tr>
      <w:tr w14:paraId="07DD714A"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72369987" w14:textId="77777777">
            <w:pPr>
              <w:pStyle w:val="Normal6a"/>
            </w:pPr>
            <w:r w:rsidRPr="00625964">
              <w:rPr>
                <w:b/>
                <w:i/>
              </w:rPr>
              <w:t>_________________</w:t>
            </w:r>
          </w:p>
        </w:tc>
        <w:tc>
          <w:tcPr>
            <w:tcW w:w="4876" w:type="dxa"/>
            <w:tcBorders>
              <w:top w:val="nil"/>
              <w:left w:val="nil"/>
              <w:bottom w:val="nil"/>
              <w:right w:val="nil"/>
            </w:tcBorders>
            <w:hideMark/>
          </w:tcPr>
          <w:p w:rsidR="001701D6" w:rsidRPr="00625964" w:rsidP="009B2F95" w14:paraId="33ACD112" w14:textId="77777777">
            <w:pPr>
              <w:pStyle w:val="Normal6a"/>
            </w:pPr>
            <w:r w:rsidRPr="00625964">
              <w:rPr>
                <w:b/>
                <w:i/>
              </w:rPr>
              <w:t>_________________</w:t>
            </w:r>
          </w:p>
        </w:tc>
      </w:tr>
      <w:tr w14:paraId="37158C99"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554FDDE0" w14:textId="77777777">
            <w:pPr>
              <w:pStyle w:val="Normal6a"/>
            </w:pPr>
            <w:r w:rsidRPr="00625964">
              <w:rPr>
                <w:vertAlign w:val="superscript"/>
              </w:rPr>
              <w:t>4</w:t>
            </w:r>
            <w:r w:rsidRPr="00625964">
              <w:t xml:space="preserve"> Decision (EU) 2015/1814 of the European Parliament and of the Council of 6 October 2015 concerning the establishment and operation of a market stability reserve for the Union greenhouse gas emission trading scheme and amending Directive 2003/87/EC (OJ L 264, 9.10.2015, p. 1, ELI: http://data.europa.eu/eli/dec/2015/1814/oj).</w:t>
            </w:r>
          </w:p>
        </w:tc>
        <w:tc>
          <w:tcPr>
            <w:tcW w:w="4876" w:type="dxa"/>
            <w:tcBorders>
              <w:top w:val="nil"/>
              <w:left w:val="nil"/>
              <w:bottom w:val="nil"/>
              <w:right w:val="nil"/>
            </w:tcBorders>
            <w:hideMark/>
          </w:tcPr>
          <w:p w:rsidR="001701D6" w:rsidRPr="00625964" w:rsidP="009B2F95" w14:paraId="73FFCAD7" w14:textId="77777777">
            <w:pPr>
              <w:pStyle w:val="Normal6a"/>
            </w:pPr>
            <w:r w:rsidRPr="00625964">
              <w:rPr>
                <w:vertAlign w:val="superscript"/>
              </w:rPr>
              <w:t>4</w:t>
            </w:r>
            <w:r w:rsidRPr="00625964">
              <w:t xml:space="preserve"> Decision (EU) 2015/1814 of the European Parliament and of the Council of 6 October 2015 concerning the establishment and operation of a market stability reserve for the Union greenhouse gas emission trading scheme and amending Directive 2003/87/EC (OJ L 264, 9.10.2015, p. 1, ELI: http://data.europa.eu/eli/dec/2015/1814/oj).</w:t>
            </w:r>
          </w:p>
        </w:tc>
      </w:tr>
      <w:tr w14:paraId="51B6A209" w14:textId="77777777" w:rsidTr="009B2F95">
        <w:tblPrEx>
          <w:tblW w:w="9752" w:type="dxa"/>
          <w:jc w:val="center"/>
          <w:tblLayout w:type="fixed"/>
          <w:tblLook w:val="04A0"/>
        </w:tblPrEx>
        <w:trPr>
          <w:jc w:val="center"/>
        </w:trPr>
        <w:tc>
          <w:tcPr>
            <w:tcW w:w="4876" w:type="dxa"/>
            <w:tcBorders>
              <w:top w:val="nil"/>
              <w:left w:val="nil"/>
              <w:bottom w:val="nil"/>
              <w:right w:val="nil"/>
            </w:tcBorders>
          </w:tcPr>
          <w:p w:rsidR="001701D6" w:rsidRPr="00625964" w:rsidP="009B2F95" w14:paraId="50BF9209" w14:textId="77777777">
            <w:pPr>
              <w:pStyle w:val="Normal6a"/>
            </w:pPr>
          </w:p>
        </w:tc>
        <w:tc>
          <w:tcPr>
            <w:tcW w:w="4876" w:type="dxa"/>
            <w:tcBorders>
              <w:top w:val="nil"/>
              <w:left w:val="nil"/>
              <w:bottom w:val="nil"/>
              <w:right w:val="nil"/>
            </w:tcBorders>
            <w:hideMark/>
          </w:tcPr>
          <w:p w:rsidR="001701D6" w:rsidRPr="00625964" w:rsidP="009B2F95" w14:paraId="605255E8" w14:textId="77777777">
            <w:pPr>
              <w:pStyle w:val="Normal6a"/>
            </w:pPr>
            <w:r w:rsidRPr="00625964">
              <w:rPr>
                <w:b/>
                <w:i/>
                <w:vertAlign w:val="superscript"/>
              </w:rPr>
              <w:t>4a</w:t>
            </w:r>
            <w:r w:rsidRPr="00625964">
              <w:t xml:space="preserve"> </w:t>
            </w:r>
            <w:r w:rsidRPr="00625964">
              <w:rPr>
                <w:b/>
                <w:i/>
              </w:rPr>
              <w:t>Directive 2003/87/EC of the European Parliament and of the Council of 13 October 2003 establishing a system for greenhouse gas emission allowance trading within the Union and amending Council Directive 96/61/EC (OJ L 275, 25.10.2003, p. 32, ELI: http://data.europa.eu/eli/dir/2003/87/oj).</w:t>
            </w:r>
          </w:p>
        </w:tc>
      </w:tr>
    </w:tbl>
    <w:p w:rsidR="001701D6" w:rsidRPr="00625964" w:rsidP="00F81A2E" w14:paraId="66731DAA" w14:textId="77777777"/>
    <w:p w:rsidR="001701D6" w:rsidRPr="00625964" w:rsidP="00F81A2E" w14:paraId="69460043" w14:textId="77777777">
      <w:pPr>
        <w:pStyle w:val="AmNumberTabs"/>
      </w:pPr>
      <w:r w:rsidRPr="00625964">
        <w:t>Amendment</w:t>
      </w:r>
      <w:r w:rsidRPr="00625964">
        <w:tab/>
      </w:r>
      <w:r w:rsidRPr="00625964">
        <w:tab/>
        <w:t>4</w:t>
      </w:r>
    </w:p>
    <w:p w:rsidR="001701D6" w:rsidRPr="00625964" w:rsidP="00F81A2E" w14:paraId="3D84EDB2" w14:textId="529DCF6C">
      <w:pPr>
        <w:pStyle w:val="NormalBold12b"/>
      </w:pPr>
      <w:r w:rsidRPr="00625964">
        <w:t xml:space="preserve">Proposal for a </w:t>
      </w:r>
      <w:r w:rsidRPr="00625964" w:rsidR="00694F9B">
        <w:t>decision</w:t>
      </w:r>
    </w:p>
    <w:p w:rsidR="001701D6" w:rsidRPr="00625964" w:rsidP="00F81A2E" w14:paraId="2F9F99F6" w14:textId="77777777">
      <w:pPr>
        <w:rPr>
          <w:b/>
        </w:rPr>
      </w:pPr>
      <w:r w:rsidRPr="00625964">
        <w:rPr>
          <w:b/>
        </w:rPr>
        <w:t>Recital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CF6A40" w14:textId="77777777" w:rsidTr="009B2F95">
        <w:tblPrEx>
          <w:tblW w:w="9752" w:type="dxa"/>
          <w:jc w:val="center"/>
          <w:tblLayout w:type="fixed"/>
          <w:tblLook w:val="04A0"/>
        </w:tblPrEx>
        <w:trPr>
          <w:trHeight w:val="240"/>
          <w:jc w:val="center"/>
        </w:trPr>
        <w:tc>
          <w:tcPr>
            <w:tcW w:w="9752" w:type="dxa"/>
            <w:gridSpan w:val="2"/>
            <w:tcBorders>
              <w:top w:val="nil"/>
              <w:left w:val="nil"/>
              <w:bottom w:val="nil"/>
              <w:right w:val="nil"/>
            </w:tcBorders>
          </w:tcPr>
          <w:p w:rsidR="001701D6" w:rsidRPr="00625964" w:rsidP="009B2F95" w14:paraId="18E2331C" w14:textId="77777777"/>
        </w:tc>
      </w:tr>
      <w:tr w14:paraId="6A64045A" w14:textId="77777777" w:rsidTr="009B2F95">
        <w:tblPrEx>
          <w:tblW w:w="9752" w:type="dxa"/>
          <w:jc w:val="center"/>
          <w:tblLayout w:type="fixed"/>
          <w:tblLook w:val="04A0"/>
        </w:tblPrEx>
        <w:trPr>
          <w:trHeight w:val="240"/>
          <w:jc w:val="center"/>
        </w:trPr>
        <w:tc>
          <w:tcPr>
            <w:tcW w:w="4876" w:type="dxa"/>
            <w:tcBorders>
              <w:top w:val="nil"/>
              <w:left w:val="nil"/>
              <w:bottom w:val="nil"/>
              <w:right w:val="nil"/>
            </w:tcBorders>
            <w:hideMark/>
          </w:tcPr>
          <w:p w:rsidR="001701D6" w:rsidRPr="00625964" w:rsidP="009B2F95" w14:paraId="082BF21E" w14:textId="77777777">
            <w:pPr>
              <w:pStyle w:val="AmColumnHeading"/>
            </w:pPr>
            <w:r w:rsidRPr="00625964">
              <w:t>Text proposed by the Commission</w:t>
            </w:r>
          </w:p>
        </w:tc>
        <w:tc>
          <w:tcPr>
            <w:tcW w:w="4876" w:type="dxa"/>
            <w:tcBorders>
              <w:top w:val="nil"/>
              <w:left w:val="nil"/>
              <w:bottom w:val="nil"/>
              <w:right w:val="nil"/>
            </w:tcBorders>
            <w:hideMark/>
          </w:tcPr>
          <w:p w:rsidR="001701D6" w:rsidRPr="00625964" w:rsidP="009B2F95" w14:paraId="18F42CB6" w14:textId="77777777">
            <w:pPr>
              <w:pStyle w:val="AmColumnHeading"/>
            </w:pPr>
            <w:r w:rsidRPr="00625964">
              <w:t>Amendment</w:t>
            </w:r>
          </w:p>
        </w:tc>
      </w:tr>
      <w:tr w14:paraId="18017F84"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1A07E06B" w14:textId="77777777">
            <w:pPr>
              <w:pStyle w:val="Normal6a"/>
            </w:pPr>
            <w:r w:rsidRPr="00625964">
              <w:t>(3)</w:t>
            </w:r>
            <w:r w:rsidRPr="00625964">
              <w:tab/>
              <w:t xml:space="preserve">An </w:t>
            </w:r>
            <w:r w:rsidRPr="00625964">
              <w:rPr>
                <w:b/>
                <w:i/>
              </w:rPr>
              <w:t>analysis of the</w:t>
            </w:r>
            <w:r w:rsidRPr="00625964">
              <w:t xml:space="preserve"> orderly functioning of the European carbon market and the market stability reserve </w:t>
            </w:r>
            <w:r w:rsidRPr="00625964">
              <w:rPr>
                <w:b/>
                <w:i/>
              </w:rPr>
              <w:t xml:space="preserve">carried out in accordance with Article 3 of Decision (EU) 2015/1814 indicates that, </w:t>
            </w:r>
            <w:r w:rsidRPr="00625964">
              <w:rPr>
                <w:b/>
                <w:i/>
              </w:rPr>
              <w:t>in order</w:t>
            </w:r>
            <w:r w:rsidRPr="00625964">
              <w:t xml:space="preserve"> to</w:t>
            </w:r>
            <w:r w:rsidRPr="00625964">
              <w:t xml:space="preserve"> increase long-term market predictability, allowances held in the reserve above </w:t>
            </w:r>
            <w:r w:rsidRPr="00625964">
              <w:rPr>
                <w:b/>
                <w:i/>
              </w:rPr>
              <w:t>400</w:t>
            </w:r>
            <w:r w:rsidRPr="00625964">
              <w:t xml:space="preserve"> million allowances should </w:t>
            </w:r>
            <w:r w:rsidRPr="00625964">
              <w:rPr>
                <w:b/>
                <w:i/>
              </w:rPr>
              <w:t>no longer</w:t>
            </w:r>
            <w:r w:rsidRPr="00625964">
              <w:t xml:space="preserve"> be considered invalid.</w:t>
            </w:r>
          </w:p>
        </w:tc>
        <w:tc>
          <w:tcPr>
            <w:tcW w:w="4876" w:type="dxa"/>
            <w:tcBorders>
              <w:top w:val="nil"/>
              <w:left w:val="nil"/>
              <w:bottom w:val="nil"/>
              <w:right w:val="nil"/>
            </w:tcBorders>
            <w:hideMark/>
          </w:tcPr>
          <w:p w:rsidR="001701D6" w:rsidRPr="00625964" w:rsidP="009B2F95" w14:paraId="3B3915AE" w14:textId="77777777">
            <w:pPr>
              <w:pStyle w:val="Normal6a"/>
              <w:rPr>
                <w:b/>
                <w:i/>
              </w:rPr>
            </w:pPr>
            <w:r w:rsidRPr="00625964">
              <w:t>(3)</w:t>
            </w:r>
            <w:r w:rsidRPr="00625964">
              <w:tab/>
            </w:r>
            <w:r w:rsidRPr="00625964">
              <w:rPr>
                <w:b/>
                <w:i/>
              </w:rPr>
              <w:t>To ensure</w:t>
            </w:r>
            <w:r w:rsidRPr="00625964">
              <w:rPr>
                <w:b/>
                <w:bCs/>
                <w:i/>
                <w:iCs/>
              </w:rPr>
              <w:t xml:space="preserve"> </w:t>
            </w:r>
            <w:r w:rsidRPr="00625964">
              <w:t xml:space="preserve">the  orderly functioning of the European carbon market and </w:t>
            </w:r>
            <w:r w:rsidRPr="00625964">
              <w:rPr>
                <w:b/>
                <w:bCs/>
                <w:i/>
                <w:iCs/>
              </w:rPr>
              <w:t xml:space="preserve">of </w:t>
            </w:r>
            <w:r w:rsidRPr="00625964">
              <w:t xml:space="preserve">the market stability reserve </w:t>
            </w:r>
            <w:r w:rsidRPr="00625964">
              <w:rPr>
                <w:b/>
                <w:i/>
              </w:rPr>
              <w:t>and</w:t>
            </w:r>
            <w:r w:rsidRPr="00625964">
              <w:t xml:space="preserve"> to increase long-term market predictability, </w:t>
            </w:r>
            <w:r w:rsidRPr="00625964">
              <w:rPr>
                <w:b/>
                <w:i/>
              </w:rPr>
              <w:t>while also ensuring the contribution and alignment of allowances to the Union’s 2040 and 2050 climate targets and protecting against the risk of supply and demand imbalances of allowances on the market and in the market stability reserve,</w:t>
            </w:r>
            <w:r w:rsidRPr="00625964">
              <w:t xml:space="preserve"> allowances held in the reserve above </w:t>
            </w:r>
            <w:r w:rsidRPr="00625964">
              <w:rPr>
                <w:b/>
                <w:i/>
              </w:rPr>
              <w:t>650</w:t>
            </w:r>
            <w:r w:rsidRPr="00625964">
              <w:t xml:space="preserve"> million allowances should be considered invalid </w:t>
            </w:r>
            <w:r w:rsidRPr="00625964">
              <w:rPr>
                <w:b/>
                <w:i/>
              </w:rPr>
              <w:t>as of 1 March 2027</w:t>
            </w:r>
            <w:r w:rsidRPr="00625964">
              <w:t>.</w:t>
            </w:r>
          </w:p>
        </w:tc>
      </w:tr>
    </w:tbl>
    <w:p w:rsidR="001701D6" w:rsidRPr="00625964" w:rsidP="00F81A2E" w14:paraId="0C85B37D" w14:textId="77777777"/>
    <w:p w:rsidR="001701D6" w:rsidRPr="00625964" w:rsidP="00F81A2E" w14:paraId="00436F4C" w14:textId="77777777">
      <w:pPr>
        <w:pStyle w:val="AmNumberTabs"/>
        <w:rPr>
          <w:lang w:val="fr-BE"/>
        </w:rPr>
      </w:pPr>
      <w:r w:rsidRPr="00625964">
        <w:rPr>
          <w:lang w:val="fr-BE"/>
        </w:rPr>
        <w:t>Amendment</w:t>
      </w:r>
      <w:r w:rsidRPr="00625964">
        <w:rPr>
          <w:lang w:val="fr-BE"/>
        </w:rPr>
        <w:tab/>
      </w:r>
      <w:r w:rsidRPr="00625964">
        <w:rPr>
          <w:lang w:val="fr-BE"/>
        </w:rPr>
        <w:tab/>
        <w:t>5</w:t>
      </w:r>
    </w:p>
    <w:p w:rsidR="001701D6" w:rsidRPr="00625964" w:rsidP="00F81A2E" w14:paraId="36116285" w14:textId="0B2B36D5">
      <w:pPr>
        <w:pStyle w:val="NormalBold12b"/>
        <w:rPr>
          <w:lang w:val="fr-BE"/>
        </w:rPr>
      </w:pPr>
      <w:r w:rsidRPr="00625964">
        <w:rPr>
          <w:lang w:val="fr-BE"/>
        </w:rPr>
        <w:t>Proposal</w:t>
      </w:r>
      <w:r w:rsidRPr="00625964">
        <w:rPr>
          <w:lang w:val="fr-BE"/>
        </w:rPr>
        <w:t xml:space="preserve"> for a </w:t>
      </w:r>
      <w:r w:rsidRPr="00625964" w:rsidR="00694F9B">
        <w:rPr>
          <w:lang w:val="fr-BE"/>
        </w:rPr>
        <w:t>decision</w:t>
      </w:r>
    </w:p>
    <w:p w:rsidR="001701D6" w:rsidRPr="00625964" w:rsidP="00F81A2E" w14:paraId="53FD4CBA" w14:textId="77777777">
      <w:pPr>
        <w:rPr>
          <w:lang w:val="fr-BE"/>
        </w:rPr>
      </w:pPr>
      <w:r w:rsidRPr="00625964">
        <w:rPr>
          <w:b/>
          <w:lang w:val="fr-BE"/>
        </w:rPr>
        <w:t xml:space="preserve">Article 1 – </w:t>
      </w:r>
      <w:r w:rsidRPr="00625964">
        <w:rPr>
          <w:b/>
          <w:lang w:val="fr-BE"/>
        </w:rPr>
        <w:t>paragraph</w:t>
      </w:r>
      <w:r w:rsidRPr="00625964">
        <w:rPr>
          <w:b/>
          <w:lang w:val="fr-BE"/>
        </w:rPr>
        <w:t xml:space="preserve"> 1</w:t>
      </w:r>
    </w:p>
    <w:p w:rsidR="001701D6" w:rsidRPr="00625964" w:rsidP="00F81A2E" w14:paraId="37755D94" w14:textId="77777777">
      <w:pPr>
        <w:rPr>
          <w:lang w:val="fr-BE"/>
        </w:rPr>
      </w:pPr>
      <w:r w:rsidRPr="00625964">
        <w:rPr>
          <w:lang w:val="fr-BE"/>
        </w:rPr>
        <w:t>Decision</w:t>
      </w:r>
      <w:r w:rsidRPr="00625964">
        <w:rPr>
          <w:lang w:val="fr-BE"/>
        </w:rPr>
        <w:t xml:space="preserve"> (EU) 2015/1814</w:t>
      </w:r>
    </w:p>
    <w:p w:rsidR="001701D6" w:rsidRPr="00625964" w:rsidP="00F81A2E" w14:paraId="2C93C0B9" w14:textId="77777777">
      <w:pPr>
        <w:rPr>
          <w:lang w:val="fr-BE"/>
        </w:rPr>
      </w:pPr>
      <w:r w:rsidRPr="00625964">
        <w:rPr>
          <w:lang w:val="fr-BE"/>
        </w:rPr>
        <w:t xml:space="preserve">Article 5 – </w:t>
      </w:r>
      <w:r w:rsidRPr="00625964">
        <w:rPr>
          <w:lang w:val="fr-BE"/>
        </w:rPr>
        <w:t>paragraph</w:t>
      </w:r>
      <w:r w:rsidRPr="00625964">
        <w:rPr>
          <w:lang w:val="fr-BE"/>
        </w:rPr>
        <w:t xml:space="preserve">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3B14C0" w14:textId="77777777" w:rsidTr="009B2F95">
        <w:tblPrEx>
          <w:tblW w:w="9752" w:type="dxa"/>
          <w:jc w:val="center"/>
          <w:tblLayout w:type="fixed"/>
          <w:tblLook w:val="04A0"/>
        </w:tblPrEx>
        <w:trPr>
          <w:trHeight w:val="240"/>
          <w:jc w:val="center"/>
        </w:trPr>
        <w:tc>
          <w:tcPr>
            <w:tcW w:w="9752" w:type="dxa"/>
            <w:gridSpan w:val="2"/>
            <w:tcBorders>
              <w:top w:val="nil"/>
              <w:left w:val="nil"/>
              <w:bottom w:val="nil"/>
              <w:right w:val="nil"/>
            </w:tcBorders>
          </w:tcPr>
          <w:p w:rsidR="001701D6" w:rsidRPr="00625964" w:rsidP="009B2F95" w14:paraId="3B553766" w14:textId="77777777">
            <w:pPr>
              <w:rPr>
                <w:lang w:val="fr-BE"/>
              </w:rPr>
            </w:pPr>
          </w:p>
        </w:tc>
      </w:tr>
      <w:tr w14:paraId="5F108055" w14:textId="77777777" w:rsidTr="009B2F95">
        <w:tblPrEx>
          <w:tblW w:w="9752" w:type="dxa"/>
          <w:jc w:val="center"/>
          <w:tblLayout w:type="fixed"/>
          <w:tblLook w:val="04A0"/>
        </w:tblPrEx>
        <w:trPr>
          <w:trHeight w:val="240"/>
          <w:jc w:val="center"/>
        </w:trPr>
        <w:tc>
          <w:tcPr>
            <w:tcW w:w="4876" w:type="dxa"/>
            <w:tcBorders>
              <w:top w:val="nil"/>
              <w:left w:val="nil"/>
              <w:bottom w:val="nil"/>
              <w:right w:val="nil"/>
            </w:tcBorders>
            <w:hideMark/>
          </w:tcPr>
          <w:p w:rsidR="001701D6" w:rsidRPr="00625964" w:rsidP="009B2F95" w14:paraId="2897FBA5" w14:textId="77777777">
            <w:pPr>
              <w:pStyle w:val="AmColumnHeading"/>
            </w:pPr>
            <w:r w:rsidRPr="00625964">
              <w:t>Text proposed by the Commission</w:t>
            </w:r>
          </w:p>
        </w:tc>
        <w:tc>
          <w:tcPr>
            <w:tcW w:w="4876" w:type="dxa"/>
            <w:tcBorders>
              <w:top w:val="nil"/>
              <w:left w:val="nil"/>
              <w:bottom w:val="nil"/>
              <w:right w:val="nil"/>
            </w:tcBorders>
            <w:hideMark/>
          </w:tcPr>
          <w:p w:rsidR="001701D6" w:rsidRPr="00625964" w:rsidP="009B2F95" w14:paraId="699DA003" w14:textId="77777777">
            <w:pPr>
              <w:pStyle w:val="AmColumnHeading"/>
            </w:pPr>
            <w:r w:rsidRPr="00625964">
              <w:t>Amendment</w:t>
            </w:r>
          </w:p>
        </w:tc>
      </w:tr>
      <w:tr w14:paraId="4CF870C4" w14:textId="77777777" w:rsidTr="009B2F95">
        <w:tblPrEx>
          <w:tblW w:w="9752" w:type="dxa"/>
          <w:jc w:val="center"/>
          <w:tblLayout w:type="fixed"/>
          <w:tblLook w:val="04A0"/>
        </w:tblPrEx>
        <w:trPr>
          <w:jc w:val="center"/>
        </w:trPr>
        <w:tc>
          <w:tcPr>
            <w:tcW w:w="4876" w:type="dxa"/>
            <w:tcBorders>
              <w:top w:val="nil"/>
              <w:left w:val="nil"/>
              <w:bottom w:val="nil"/>
              <w:right w:val="nil"/>
            </w:tcBorders>
            <w:hideMark/>
          </w:tcPr>
          <w:p w:rsidR="001701D6" w:rsidRPr="00625964" w:rsidP="009B2F95" w14:paraId="171836A4" w14:textId="77777777">
            <w:pPr>
              <w:pStyle w:val="Normal6a"/>
              <w:rPr>
                <w:b/>
                <w:bCs/>
                <w:i/>
                <w:iCs/>
              </w:rPr>
            </w:pPr>
            <w:r w:rsidRPr="00625964">
              <w:rPr>
                <w:b/>
                <w:bCs/>
                <w:i/>
                <w:iCs/>
              </w:rPr>
              <w:t>In Article 5 of Decision (EU) 2015/1814, the following paragraph is added:</w:t>
            </w:r>
          </w:p>
        </w:tc>
        <w:tc>
          <w:tcPr>
            <w:tcW w:w="4876" w:type="dxa"/>
            <w:tcBorders>
              <w:top w:val="nil"/>
              <w:left w:val="nil"/>
              <w:bottom w:val="nil"/>
              <w:right w:val="nil"/>
            </w:tcBorders>
            <w:hideMark/>
          </w:tcPr>
          <w:p w:rsidR="001701D6" w:rsidRPr="00625964" w:rsidP="009B2F95" w14:paraId="16F4EB6D" w14:textId="77777777">
            <w:pPr>
              <w:pStyle w:val="Normal6a"/>
              <w:rPr>
                <w:b/>
                <w:bCs/>
                <w:i/>
                <w:iCs/>
              </w:rPr>
            </w:pPr>
            <w:r w:rsidRPr="00625964">
              <w:rPr>
                <w:b/>
                <w:bCs/>
                <w:i/>
                <w:iCs/>
              </w:rPr>
              <w:t>deleted</w:t>
            </w:r>
          </w:p>
        </w:tc>
      </w:tr>
      <w:tr w14:paraId="12937392" w14:textId="77777777" w:rsidTr="009B2F95">
        <w:tblPrEx>
          <w:tblW w:w="9752" w:type="dxa"/>
          <w:jc w:val="center"/>
          <w:tblLayout w:type="fixed"/>
          <w:tblLook w:val="04A0"/>
        </w:tblPrEx>
        <w:trPr>
          <w:jc w:val="center"/>
        </w:trPr>
        <w:tc>
          <w:tcPr>
            <w:tcW w:w="4876" w:type="dxa"/>
            <w:tcBorders>
              <w:top w:val="nil"/>
              <w:left w:val="nil"/>
              <w:bottom w:val="nil"/>
              <w:right w:val="nil"/>
            </w:tcBorders>
          </w:tcPr>
          <w:p w:rsidR="001701D6" w:rsidRPr="00625964" w:rsidP="009B2F95" w14:paraId="720AE392" w14:textId="77777777">
            <w:pPr>
              <w:pStyle w:val="Normal6a"/>
              <w:rPr>
                <w:b/>
                <w:bCs/>
                <w:i/>
                <w:iCs/>
              </w:rPr>
            </w:pPr>
            <w:r w:rsidRPr="00625964">
              <w:rPr>
                <w:b/>
                <w:bCs/>
                <w:i/>
                <w:iCs/>
              </w:rPr>
              <w:t>Article 1(5a) shall cease to apply from [insert date of entry into force of this act].</w:t>
            </w:r>
          </w:p>
        </w:tc>
        <w:tc>
          <w:tcPr>
            <w:tcW w:w="4876" w:type="dxa"/>
            <w:tcBorders>
              <w:top w:val="nil"/>
              <w:left w:val="nil"/>
              <w:bottom w:val="nil"/>
              <w:right w:val="nil"/>
            </w:tcBorders>
          </w:tcPr>
          <w:p w:rsidR="001701D6" w:rsidRPr="00625964" w:rsidP="009B2F95" w14:paraId="26C9461C" w14:textId="77777777">
            <w:pPr>
              <w:pStyle w:val="Normal6a"/>
              <w:rPr>
                <w:b/>
                <w:bCs/>
                <w:i/>
                <w:iCs/>
              </w:rPr>
            </w:pPr>
          </w:p>
        </w:tc>
      </w:tr>
    </w:tbl>
    <w:p w:rsidR="001701D6" w:rsidRPr="00625964" w:rsidP="00F81A2E" w14:paraId="3DC561E2" w14:textId="77777777"/>
    <w:p w:rsidR="00D11432" w:rsidRPr="00403466" w:rsidP="00D11432" w14:paraId="2BDA32BE" w14:textId="77777777">
      <w:pPr>
        <w:pStyle w:val="AmNumberTabs"/>
      </w:pPr>
      <w:r w:rsidRPr="00403466">
        <w:t>Amendment</w:t>
      </w:r>
      <w:r w:rsidRPr="00403466">
        <w:tab/>
      </w:r>
      <w:r w:rsidRPr="00403466">
        <w:tab/>
      </w:r>
      <w:r w:rsidRPr="00D9514F">
        <w:t>8</w:t>
      </w:r>
    </w:p>
    <w:p w:rsidR="00D11432" w:rsidRPr="00403466" w:rsidP="00D11432" w14:paraId="6CD96E79" w14:textId="77777777">
      <w:pPr>
        <w:pStyle w:val="NormalBold12b"/>
      </w:pPr>
      <w:r>
        <w:t>Proposal for a decision</w:t>
      </w:r>
    </w:p>
    <w:p w:rsidR="00D11432" w:rsidRPr="00C870B8" w:rsidP="00D11432" w14:paraId="6C7014C9" w14:textId="77777777">
      <w:pPr>
        <w:pStyle w:val="NormalBold"/>
      </w:pPr>
      <w:r w:rsidRPr="00C870B8">
        <w:t>Article 1 a (new)</w:t>
      </w:r>
    </w:p>
    <w:p w:rsidR="00D11432" w:rsidRPr="00D9514F" w:rsidP="00D11432" w14:paraId="22DA548A" w14:textId="77777777">
      <w:pPr>
        <w:rPr>
          <w:lang w:val="fr-BE"/>
        </w:rPr>
      </w:pPr>
      <w:r w:rsidRPr="00D9514F">
        <w:rPr>
          <w:lang w:val="fr-BE"/>
        </w:rPr>
        <w:t>Decision</w:t>
      </w:r>
      <w:r w:rsidRPr="00D9514F">
        <w:rPr>
          <w:lang w:val="fr-BE"/>
        </w:rPr>
        <w:t xml:space="preserve"> (EU) 2015/1814</w:t>
      </w:r>
    </w:p>
    <w:p w:rsidR="00D11432" w:rsidRPr="00D9514F" w:rsidP="00D11432" w14:paraId="2CE9ECCE" w14:textId="77777777">
      <w:pPr>
        <w:rPr>
          <w:lang w:val="fr-BE"/>
        </w:rPr>
      </w:pPr>
      <w:r w:rsidRPr="00D9514F">
        <w:rPr>
          <w:lang w:val="fr-BE"/>
        </w:rPr>
        <w:t xml:space="preserve">Article 1 – </w:t>
      </w:r>
      <w:r w:rsidRPr="00D9514F">
        <w:rPr>
          <w:lang w:val="fr-BE"/>
        </w:rPr>
        <w:t>paragraph</w:t>
      </w:r>
      <w:r w:rsidRPr="00D9514F">
        <w:rPr>
          <w:lang w:val="fr-BE"/>
        </w:rPr>
        <w:t xml:space="preserve"> 5 a</w:t>
      </w:r>
    </w:p>
    <w:tbl>
      <w:tblPr>
        <w:tblW w:w="9752" w:type="dxa"/>
        <w:jc w:val="center"/>
        <w:tblLayout w:type="fixed"/>
        <w:tblCellMar>
          <w:left w:w="340" w:type="dxa"/>
          <w:right w:w="340" w:type="dxa"/>
        </w:tblCellMar>
        <w:tblLook w:val="0000"/>
      </w:tblPr>
      <w:tblGrid>
        <w:gridCol w:w="4876"/>
        <w:gridCol w:w="4876"/>
      </w:tblGrid>
      <w:tr w14:paraId="7DC9B5DC" w14:textId="77777777" w:rsidTr="00334BA4">
        <w:tblPrEx>
          <w:tblW w:w="9752" w:type="dxa"/>
          <w:jc w:val="center"/>
          <w:tblLayout w:type="fixed"/>
          <w:tblLook w:val="0000"/>
        </w:tblPrEx>
        <w:trPr>
          <w:jc w:val="center"/>
        </w:trPr>
        <w:tc>
          <w:tcPr>
            <w:tcW w:w="9752" w:type="dxa"/>
            <w:gridSpan w:val="2"/>
          </w:tcPr>
          <w:p w:rsidR="00D11432" w:rsidRPr="00D9514F" w:rsidP="00334BA4" w14:paraId="252E56EE" w14:textId="77777777">
            <w:pPr>
              <w:keepNext/>
              <w:rPr>
                <w:lang w:val="fr-BE"/>
              </w:rPr>
            </w:pPr>
          </w:p>
        </w:tc>
      </w:tr>
      <w:tr w14:paraId="08E52D73" w14:textId="77777777" w:rsidTr="00334BA4">
        <w:tblPrEx>
          <w:tblW w:w="9752" w:type="dxa"/>
          <w:jc w:val="center"/>
          <w:tblLayout w:type="fixed"/>
          <w:tblLook w:val="0000"/>
        </w:tblPrEx>
        <w:trPr>
          <w:jc w:val="center"/>
        </w:trPr>
        <w:tc>
          <w:tcPr>
            <w:tcW w:w="4876" w:type="dxa"/>
          </w:tcPr>
          <w:p w:rsidR="00D11432" w:rsidRPr="00403466" w:rsidP="00334BA4" w14:paraId="3E52AB1D" w14:textId="77777777">
            <w:pPr>
              <w:pStyle w:val="AmColumnHeading"/>
              <w:keepNext/>
            </w:pPr>
            <w:r>
              <w:t>Present text</w:t>
            </w:r>
          </w:p>
        </w:tc>
        <w:tc>
          <w:tcPr>
            <w:tcW w:w="4876" w:type="dxa"/>
          </w:tcPr>
          <w:p w:rsidR="00D11432" w:rsidRPr="00403466" w:rsidP="00334BA4" w14:paraId="047B4A7C" w14:textId="77777777">
            <w:pPr>
              <w:pStyle w:val="AmColumnHeading"/>
              <w:keepNext/>
            </w:pPr>
            <w:r w:rsidRPr="00403466">
              <w:t>Amendment</w:t>
            </w:r>
          </w:p>
        </w:tc>
      </w:tr>
      <w:tr w14:paraId="60F1F820" w14:textId="77777777" w:rsidTr="00334BA4">
        <w:tblPrEx>
          <w:tblW w:w="9752" w:type="dxa"/>
          <w:jc w:val="center"/>
          <w:tblLayout w:type="fixed"/>
          <w:tblLook w:val="0000"/>
        </w:tblPrEx>
        <w:trPr>
          <w:jc w:val="center"/>
        </w:trPr>
        <w:tc>
          <w:tcPr>
            <w:tcW w:w="4876" w:type="dxa"/>
          </w:tcPr>
          <w:p w:rsidR="00D11432" w:rsidRPr="00403466" w:rsidP="00334BA4" w14:paraId="5B0D434E" w14:textId="77777777">
            <w:pPr>
              <w:pStyle w:val="Normal6a"/>
            </w:pPr>
          </w:p>
        </w:tc>
        <w:tc>
          <w:tcPr>
            <w:tcW w:w="4876" w:type="dxa"/>
          </w:tcPr>
          <w:p w:rsidR="00D11432" w:rsidRPr="00403466" w:rsidP="00334BA4" w14:paraId="26DBFFD3" w14:textId="77777777">
            <w:pPr>
              <w:pStyle w:val="Normal6a"/>
              <w:jc w:val="center"/>
              <w:rPr>
                <w:szCs w:val="24"/>
              </w:rPr>
            </w:pPr>
            <w:r>
              <w:rPr>
                <w:b/>
                <w:i/>
              </w:rPr>
              <w:t>Article 1 a (new)</w:t>
            </w:r>
          </w:p>
        </w:tc>
      </w:tr>
      <w:tr w14:paraId="5C88555B" w14:textId="77777777" w:rsidTr="00334BA4">
        <w:tblPrEx>
          <w:tblW w:w="9752" w:type="dxa"/>
          <w:jc w:val="center"/>
          <w:tblLayout w:type="fixed"/>
          <w:tblLook w:val="0000"/>
        </w:tblPrEx>
        <w:trPr>
          <w:jc w:val="center"/>
        </w:trPr>
        <w:tc>
          <w:tcPr>
            <w:tcW w:w="4876" w:type="dxa"/>
          </w:tcPr>
          <w:p w:rsidR="00D11432" w:rsidP="00334BA4" w14:paraId="3DC8BF7D" w14:textId="77777777">
            <w:pPr>
              <w:pStyle w:val="Normal6a"/>
            </w:pPr>
          </w:p>
        </w:tc>
        <w:tc>
          <w:tcPr>
            <w:tcW w:w="4876" w:type="dxa"/>
          </w:tcPr>
          <w:p w:rsidR="00D11432" w:rsidP="00334BA4" w14:paraId="5966EC69" w14:textId="77777777">
            <w:pPr>
              <w:pStyle w:val="Normal6a"/>
            </w:pPr>
            <w:r>
              <w:t>"</w:t>
            </w:r>
            <w:r>
              <w:rPr>
                <w:b/>
                <w:i/>
              </w:rPr>
              <w:t>In Article 1 of Decision (EU) 2015/1814, paragraph 5a is replaced by the following:</w:t>
            </w:r>
          </w:p>
        </w:tc>
      </w:tr>
      <w:tr w14:paraId="1C01CECD" w14:textId="77777777" w:rsidTr="00334BA4">
        <w:tblPrEx>
          <w:tblW w:w="9752" w:type="dxa"/>
          <w:jc w:val="center"/>
          <w:tblLayout w:type="fixed"/>
          <w:tblLook w:val="0000"/>
        </w:tblPrEx>
        <w:trPr>
          <w:jc w:val="center"/>
        </w:trPr>
        <w:tc>
          <w:tcPr>
            <w:tcW w:w="4876" w:type="dxa"/>
          </w:tcPr>
          <w:p w:rsidR="00D11432" w:rsidP="00334BA4" w14:paraId="753F5C65" w14:textId="77777777">
            <w:pPr>
              <w:pStyle w:val="Normal6a"/>
            </w:pPr>
            <w:r>
              <w:t xml:space="preserve">5a. Unless otherwise decided in the first review carried out in accordance with </w:t>
            </w:r>
            <w:r>
              <w:t>Article 3, from 2023 allowances held in the reserve above 400 million allowances shall no longer be valid.</w:t>
            </w:r>
          </w:p>
        </w:tc>
        <w:tc>
          <w:tcPr>
            <w:tcW w:w="4876" w:type="dxa"/>
          </w:tcPr>
          <w:p w:rsidR="00D11432" w:rsidP="00334BA4" w14:paraId="1AC894D1" w14:textId="77777777">
            <w:pPr>
              <w:pStyle w:val="Normal6a"/>
            </w:pPr>
            <w:r>
              <w:rPr>
                <w:b/>
                <w:i/>
              </w:rPr>
              <w:t>‘</w:t>
            </w:r>
            <w:r>
              <w:t xml:space="preserve">5a. Unless otherwise decided in the first review carried out in accordance with </w:t>
            </w:r>
            <w:r>
              <w:t xml:space="preserve">Article 3, from 2023 </w:t>
            </w:r>
            <w:r>
              <w:rPr>
                <w:b/>
                <w:i/>
              </w:rPr>
              <w:t>until 31 January 2027</w:t>
            </w:r>
            <w:r>
              <w:t xml:space="preserve"> allowances held in the reserve above 400 million allowances shall no longer be valid.</w:t>
            </w:r>
          </w:p>
        </w:tc>
      </w:tr>
      <w:tr w14:paraId="08EA3137" w14:textId="77777777" w:rsidTr="00334BA4">
        <w:tblPrEx>
          <w:tblW w:w="9752" w:type="dxa"/>
          <w:jc w:val="center"/>
          <w:tblLayout w:type="fixed"/>
          <w:tblLook w:val="0000"/>
        </w:tblPrEx>
        <w:trPr>
          <w:jc w:val="center"/>
        </w:trPr>
        <w:tc>
          <w:tcPr>
            <w:tcW w:w="4876" w:type="dxa"/>
          </w:tcPr>
          <w:p w:rsidR="00D11432" w:rsidP="00334BA4" w14:paraId="0C673CC8" w14:textId="77777777">
            <w:pPr>
              <w:pStyle w:val="Normal6a"/>
            </w:pPr>
          </w:p>
        </w:tc>
        <w:tc>
          <w:tcPr>
            <w:tcW w:w="4876" w:type="dxa"/>
          </w:tcPr>
          <w:p w:rsidR="00D11432" w:rsidP="00334BA4" w14:paraId="6F9381DF" w14:textId="77777777">
            <w:pPr>
              <w:pStyle w:val="Normal6a"/>
            </w:pPr>
            <w:r>
              <w:rPr>
                <w:b/>
                <w:i/>
              </w:rPr>
              <w:t>From 1 February 2027, allowances held in the reserve above 650 million allowances shall no longer be valid.’</w:t>
            </w:r>
            <w:r>
              <w:t>"</w:t>
            </w:r>
          </w:p>
        </w:tc>
      </w:tr>
    </w:tbl>
    <w:p w:rsidR="00D11432" w:rsidP="00D11432" w14:paraId="4ED00CC4" w14:textId="22B3241F"/>
    <w:p w:rsidR="00E365E1" w:rsidRPr="009355EF" w:rsidP="00D11432" w14:paraId="2C9802BE" w14:textId="3AF47241"/>
    <w:sectPr w:rsidSect="009355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5EF" w14:paraId="3E5E63F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5EF" w14:paraId="6247500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5EF" w14:paraId="422B309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A7DF4" w:rsidRPr="009355EF" w14:paraId="7A263D04" w14:textId="77777777">
      <w:r w:rsidRPr="009355EF">
        <w:separator/>
      </w:r>
    </w:p>
  </w:footnote>
  <w:footnote w:type="continuationSeparator" w:id="1">
    <w:p w:rsidR="001A7DF4" w:rsidRPr="009355EF" w14:paraId="165D80ED" w14:textId="77777777">
      <w:r w:rsidRPr="009355EF">
        <w:continuationSeparator/>
      </w:r>
    </w:p>
  </w:footnote>
  <w:footnote w:id="2">
    <w:p w:rsidR="00D11432" w:rsidRPr="00334BA4" w:rsidP="00D11432" w14:paraId="18BF437B" w14:textId="7EA0D69A">
      <w:pPr>
        <w:pStyle w:val="FootnoteText"/>
        <w:ind w:left="567" w:hanging="567"/>
        <w:rPr>
          <w:sz w:val="24"/>
          <w:szCs w:val="24"/>
          <w:lang w:val="en-GB"/>
        </w:rPr>
      </w:pPr>
      <w:r w:rsidRPr="00334BA4">
        <w:rPr>
          <w:rStyle w:val="FootnoteReference"/>
          <w:sz w:val="24"/>
          <w:szCs w:val="24"/>
        </w:rPr>
        <w:footnoteRef/>
      </w:r>
      <w:r w:rsidRPr="00334BA4">
        <w:rPr>
          <w:sz w:val="24"/>
          <w:szCs w:val="24"/>
          <w:lang w:val="en-GB"/>
        </w:rPr>
        <w:t xml:space="preserve"> </w:t>
      </w:r>
      <w:r w:rsidRPr="00334BA4">
        <w:rPr>
          <w:sz w:val="24"/>
          <w:szCs w:val="24"/>
          <w:lang w:val="en-GB"/>
        </w:rPr>
        <w:tab/>
        <w:t xml:space="preserve">The matter was </w:t>
      </w:r>
      <w:r w:rsidRPr="00334BA4">
        <w:rPr>
          <w:sz w:val="24"/>
          <w:szCs w:val="24"/>
          <w:lang w:val="en-GB"/>
        </w:rPr>
        <w:t>referred back</w:t>
      </w:r>
      <w:r w:rsidRPr="00334BA4">
        <w:rPr>
          <w:sz w:val="24"/>
          <w:szCs w:val="24"/>
          <w:lang w:val="en-GB"/>
        </w:rPr>
        <w:t xml:space="preserve"> for interinstitutional negotiations to the committee responsible, pursuant to Rule 60(4), fourth subparagraph (A10-0</w:t>
      </w:r>
      <w:r>
        <w:rPr>
          <w:sz w:val="24"/>
          <w:szCs w:val="24"/>
          <w:lang w:val="en-GB"/>
        </w:rPr>
        <w:t>230</w:t>
      </w:r>
      <w:r w:rsidRPr="00334BA4">
        <w:rPr>
          <w:sz w:val="24"/>
          <w:szCs w:val="24"/>
          <w:lang w:val="en-GB"/>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5EF" w14:paraId="1AF1EA1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5EF" w14:paraId="44C6B8D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5EF" w14:paraId="5A6BA8A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7183349">
    <w:abstractNumId w:val="9"/>
  </w:num>
  <w:num w:numId="2" w16cid:durableId="131220303">
    <w:abstractNumId w:val="9"/>
  </w:num>
  <w:num w:numId="3" w16cid:durableId="1784765684">
    <w:abstractNumId w:val="7"/>
  </w:num>
  <w:num w:numId="4" w16cid:durableId="1424491940">
    <w:abstractNumId w:val="7"/>
  </w:num>
  <w:num w:numId="5" w16cid:durableId="1359118018">
    <w:abstractNumId w:val="6"/>
  </w:num>
  <w:num w:numId="6" w16cid:durableId="889539182">
    <w:abstractNumId w:val="6"/>
  </w:num>
  <w:num w:numId="7" w16cid:durableId="2023894923">
    <w:abstractNumId w:val="5"/>
  </w:num>
  <w:num w:numId="8" w16cid:durableId="866067315">
    <w:abstractNumId w:val="5"/>
  </w:num>
  <w:num w:numId="9" w16cid:durableId="122431038">
    <w:abstractNumId w:val="4"/>
  </w:num>
  <w:num w:numId="10" w16cid:durableId="1261330664">
    <w:abstractNumId w:val="4"/>
  </w:num>
  <w:num w:numId="11" w16cid:durableId="513571308">
    <w:abstractNumId w:val="8"/>
  </w:num>
  <w:num w:numId="12" w16cid:durableId="451483375">
    <w:abstractNumId w:val="8"/>
  </w:num>
  <w:num w:numId="13" w16cid:durableId="556282160">
    <w:abstractNumId w:val="3"/>
  </w:num>
  <w:num w:numId="14" w16cid:durableId="1675300475">
    <w:abstractNumId w:val="3"/>
  </w:num>
  <w:num w:numId="15" w16cid:durableId="1632711729">
    <w:abstractNumId w:val="2"/>
  </w:num>
  <w:num w:numId="16" w16cid:durableId="959797801">
    <w:abstractNumId w:val="2"/>
  </w:num>
  <w:num w:numId="17" w16cid:durableId="1070926098">
    <w:abstractNumId w:val="1"/>
  </w:num>
  <w:num w:numId="18" w16cid:durableId="667565187">
    <w:abstractNumId w:val="1"/>
  </w:num>
  <w:num w:numId="19" w16cid:durableId="185408471">
    <w:abstractNumId w:val="0"/>
  </w:num>
  <w:num w:numId="20" w16cid:durableId="698895392">
    <w:abstractNumId w:val="0"/>
  </w:num>
  <w:num w:numId="21" w16cid:durableId="891648915">
    <w:abstractNumId w:val="9"/>
  </w:num>
  <w:num w:numId="22" w16cid:durableId="709453413">
    <w:abstractNumId w:val="7"/>
  </w:num>
  <w:num w:numId="23" w16cid:durableId="22294846">
    <w:abstractNumId w:val="6"/>
  </w:num>
  <w:num w:numId="24" w16cid:durableId="738746160">
    <w:abstractNumId w:val="5"/>
  </w:num>
  <w:num w:numId="25" w16cid:durableId="1145314061">
    <w:abstractNumId w:val="4"/>
  </w:num>
  <w:num w:numId="26" w16cid:durableId="701327416">
    <w:abstractNumId w:val="8"/>
  </w:num>
  <w:num w:numId="27" w16cid:durableId="1664587">
    <w:abstractNumId w:val="3"/>
  </w:num>
  <w:num w:numId="28" w16cid:durableId="1580821250">
    <w:abstractNumId w:val="2"/>
  </w:num>
  <w:num w:numId="29" w16cid:durableId="1049382019">
    <w:abstractNumId w:val="1"/>
  </w:num>
  <w:num w:numId="30" w16cid:durableId="724524907">
    <w:abstractNumId w:val="0"/>
  </w:num>
  <w:num w:numId="31" w16cid:durableId="2105879545">
    <w:abstractNumId w:val="9"/>
  </w:num>
  <w:num w:numId="32" w16cid:durableId="1059134434">
    <w:abstractNumId w:val="7"/>
  </w:num>
  <w:num w:numId="33" w16cid:durableId="442502578">
    <w:abstractNumId w:val="6"/>
  </w:num>
  <w:num w:numId="34" w16cid:durableId="408625925">
    <w:abstractNumId w:val="5"/>
  </w:num>
  <w:num w:numId="35" w16cid:durableId="1886789202">
    <w:abstractNumId w:val="4"/>
  </w:num>
  <w:num w:numId="36" w16cid:durableId="2089035328">
    <w:abstractNumId w:val="8"/>
  </w:num>
  <w:num w:numId="37" w16cid:durableId="1439136080">
    <w:abstractNumId w:val="3"/>
  </w:num>
  <w:num w:numId="38" w16cid:durableId="1834639791">
    <w:abstractNumId w:val="2"/>
  </w:num>
  <w:num w:numId="39" w16cid:durableId="1506089680">
    <w:abstractNumId w:val="1"/>
  </w:num>
  <w:num w:numId="40" w16cid:durableId="938411945">
    <w:abstractNumId w:val="0"/>
  </w:num>
  <w:num w:numId="41" w16cid:durableId="708988576">
    <w:abstractNumId w:val="10"/>
  </w:num>
  <w:num w:numId="42" w16cid:durableId="1149591040">
    <w:abstractNumId w:val="10"/>
  </w:num>
  <w:num w:numId="43" w16cid:durableId="1188837777">
    <w:abstractNumId w:val="10"/>
  </w:num>
  <w:num w:numId="44" w16cid:durableId="1053773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DF4"/>
    <w:rsid w:val="00002272"/>
    <w:rsid w:val="00064002"/>
    <w:rsid w:val="000677B9"/>
    <w:rsid w:val="000831BA"/>
    <w:rsid w:val="000A42CC"/>
    <w:rsid w:val="000D00B9"/>
    <w:rsid w:val="000E7DD9"/>
    <w:rsid w:val="0010095E"/>
    <w:rsid w:val="00125B37"/>
    <w:rsid w:val="001701D6"/>
    <w:rsid w:val="00181B5E"/>
    <w:rsid w:val="00187494"/>
    <w:rsid w:val="001A7DF4"/>
    <w:rsid w:val="001F32AE"/>
    <w:rsid w:val="002767FF"/>
    <w:rsid w:val="002B18FE"/>
    <w:rsid w:val="002B5493"/>
    <w:rsid w:val="00334BA4"/>
    <w:rsid w:val="00343214"/>
    <w:rsid w:val="00361C00"/>
    <w:rsid w:val="00395FA1"/>
    <w:rsid w:val="003E15D4"/>
    <w:rsid w:val="0040346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964"/>
    <w:rsid w:val="006631B6"/>
    <w:rsid w:val="00680577"/>
    <w:rsid w:val="00694F9B"/>
    <w:rsid w:val="006F74FA"/>
    <w:rsid w:val="00731ADD"/>
    <w:rsid w:val="00734777"/>
    <w:rsid w:val="00747932"/>
    <w:rsid w:val="00751A4A"/>
    <w:rsid w:val="00756632"/>
    <w:rsid w:val="00762C74"/>
    <w:rsid w:val="00786EC0"/>
    <w:rsid w:val="007D1690"/>
    <w:rsid w:val="007E22AD"/>
    <w:rsid w:val="00817416"/>
    <w:rsid w:val="00842779"/>
    <w:rsid w:val="00845875"/>
    <w:rsid w:val="00865F67"/>
    <w:rsid w:val="00871BEC"/>
    <w:rsid w:val="00881A7B"/>
    <w:rsid w:val="008840E5"/>
    <w:rsid w:val="00887B3E"/>
    <w:rsid w:val="008C2AC6"/>
    <w:rsid w:val="008D20B4"/>
    <w:rsid w:val="00930C23"/>
    <w:rsid w:val="00931759"/>
    <w:rsid w:val="0093193B"/>
    <w:rsid w:val="009355EF"/>
    <w:rsid w:val="009509D8"/>
    <w:rsid w:val="00950B64"/>
    <w:rsid w:val="00981893"/>
    <w:rsid w:val="009B2F9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0B8"/>
    <w:rsid w:val="00C941CB"/>
    <w:rsid w:val="00CC2357"/>
    <w:rsid w:val="00CF071A"/>
    <w:rsid w:val="00CF3DE0"/>
    <w:rsid w:val="00D058B8"/>
    <w:rsid w:val="00D11432"/>
    <w:rsid w:val="00D56C11"/>
    <w:rsid w:val="00D834A0"/>
    <w:rsid w:val="00D872DF"/>
    <w:rsid w:val="00D91E21"/>
    <w:rsid w:val="00D9514F"/>
    <w:rsid w:val="00DA7FCD"/>
    <w:rsid w:val="00E12FD0"/>
    <w:rsid w:val="00E365E1"/>
    <w:rsid w:val="00E820A4"/>
    <w:rsid w:val="00EB006A"/>
    <w:rsid w:val="00EB4772"/>
    <w:rsid w:val="00ED169E"/>
    <w:rsid w:val="00ED4235"/>
    <w:rsid w:val="00F04346"/>
    <w:rsid w:val="00F075DC"/>
    <w:rsid w:val="00F149E9"/>
    <w:rsid w:val="00F5134D"/>
    <w:rsid w:val="00F74202"/>
    <w:rsid w:val="00F81A2E"/>
    <w:rsid w:val="00F87713"/>
    <w:rsid w:val="00FB4360"/>
    <w:rsid w:val="00FD0C70"/>
  </w:rsids>
  <w:docVars>
    <w:docVar w:name="dvdocse" w:val="A10-0230/2026"/>
    <w:docVar w:name="dvlangue" w:val="EN"/>
    <w:docVar w:name="dvnumam" w:val="0"/>
    <w:docVar w:name="dvpe" w:val="789.007"/>
    <w:docVar w:name="dvrapporteur" w:val="Rapporteur: "/>
    <w:docVar w:name="dvstar" w:val="***I"/>
    <w:docVar w:name="dvtitre" w:val="European Parliament legislative resolution of xx Xxxx 2026 on the proposal for a decision of the European Parliament and of the Council amending Decision (EU) 2015/1814 as regards ceasing the invalidation of allowances in the market stability reserve(COM(2026)0153 – C10-0093/2026 – 2026/0085(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BABE25E"/>
  <w15:chartTrackingRefBased/>
  <w15:docId w15:val="{5D6DA78E-3172-45E2-AAC0-C4352B2F5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701D6"/>
    <w:pPr>
      <w:spacing w:after="120"/>
    </w:pPr>
  </w:style>
  <w:style w:type="paragraph" w:customStyle="1" w:styleId="NormalBold">
    <w:name w:val="NormalBold"/>
    <w:basedOn w:val="Normal"/>
    <w:link w:val="NormalBoldChar"/>
    <w:rsid w:val="001701D6"/>
    <w:rPr>
      <w:b/>
    </w:rPr>
  </w:style>
  <w:style w:type="paragraph" w:customStyle="1" w:styleId="NormalHanging12a">
    <w:name w:val="NormalHanging12a"/>
    <w:basedOn w:val="Normal"/>
    <w:rsid w:val="001701D6"/>
    <w:pPr>
      <w:spacing w:after="240"/>
      <w:ind w:left="567" w:hanging="567"/>
    </w:pPr>
  </w:style>
  <w:style w:type="paragraph" w:customStyle="1" w:styleId="AmColumnHeading">
    <w:name w:val="AmColumnHeading"/>
    <w:basedOn w:val="Normal"/>
    <w:rsid w:val="001701D6"/>
    <w:pPr>
      <w:spacing w:after="240"/>
      <w:jc w:val="center"/>
    </w:pPr>
    <w:rPr>
      <w:i/>
    </w:rPr>
  </w:style>
  <w:style w:type="paragraph" w:customStyle="1" w:styleId="AmNumberTabs">
    <w:name w:val="AmNumberTabs"/>
    <w:basedOn w:val="Normal"/>
    <w:link w:val="AmNumberTabsChar"/>
    <w:rsid w:val="001701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701D6"/>
    <w:pPr>
      <w:spacing w:before="240"/>
    </w:pPr>
    <w:rPr>
      <w:b/>
    </w:rPr>
  </w:style>
  <w:style w:type="paragraph" w:customStyle="1" w:styleId="EPComma">
    <w:name w:val="EPComma"/>
    <w:basedOn w:val="Normal"/>
    <w:rsid w:val="001701D6"/>
    <w:pPr>
      <w:spacing w:before="480" w:after="240"/>
    </w:pPr>
  </w:style>
  <w:style w:type="character" w:styleId="Hyperlink">
    <w:name w:val="Hyperlink"/>
    <w:basedOn w:val="DefaultParagraphFont"/>
    <w:uiPriority w:val="99"/>
    <w:unhideWhenUsed/>
    <w:rsid w:val="001701D6"/>
    <w:rPr>
      <w:rFonts w:cs="Times New Roman"/>
      <w:color w:val="0563C1" w:themeColor="hyperlink"/>
      <w:u w:val="single"/>
    </w:rPr>
  </w:style>
  <w:style w:type="character" w:customStyle="1" w:styleId="NormalBoldChar">
    <w:name w:val="NormalBold Char"/>
    <w:basedOn w:val="DefaultParagraphFont"/>
    <w:link w:val="NormalBold"/>
    <w:locked/>
    <w:rsid w:val="001701D6"/>
    <w:rPr>
      <w:b/>
      <w:sz w:val="24"/>
    </w:rPr>
  </w:style>
  <w:style w:type="character" w:customStyle="1" w:styleId="AmNumberTabsChar">
    <w:name w:val="AmNumberTabs Char"/>
    <w:basedOn w:val="DefaultParagraphFont"/>
    <w:link w:val="AmNumberTabs"/>
    <w:locked/>
    <w:rsid w:val="001701D6"/>
    <w:rPr>
      <w:b/>
      <w:sz w:val="24"/>
    </w:rPr>
  </w:style>
  <w:style w:type="character" w:customStyle="1" w:styleId="NormalBold12bChar">
    <w:name w:val="NormalBold12b Char"/>
    <w:basedOn w:val="AmNumberTabsChar"/>
    <w:link w:val="NormalBold12b"/>
    <w:locked/>
    <w:rsid w:val="001701D6"/>
    <w:rPr>
      <w:b/>
      <w:sz w:val="24"/>
    </w:rPr>
  </w:style>
  <w:style w:type="paragraph" w:styleId="Revision">
    <w:name w:val="Revision"/>
    <w:hidden/>
    <w:uiPriority w:val="99"/>
    <w:semiHidden/>
    <w:rsid w:val="00845875"/>
    <w:rPr>
      <w:sz w:val="24"/>
    </w:rPr>
  </w:style>
  <w:style w:type="character" w:styleId="CommentReference">
    <w:name w:val="annotation reference"/>
    <w:basedOn w:val="DefaultParagraphFont"/>
    <w:rsid w:val="00931759"/>
    <w:rPr>
      <w:sz w:val="16"/>
      <w:szCs w:val="16"/>
    </w:rPr>
  </w:style>
  <w:style w:type="paragraph" w:styleId="CommentText">
    <w:name w:val="annotation text"/>
    <w:basedOn w:val="Normal"/>
    <w:link w:val="CommentTextChar"/>
    <w:rsid w:val="00931759"/>
    <w:rPr>
      <w:sz w:val="20"/>
    </w:rPr>
  </w:style>
  <w:style w:type="character" w:customStyle="1" w:styleId="CommentTextChar">
    <w:name w:val="Comment Text Char"/>
    <w:basedOn w:val="DefaultParagraphFont"/>
    <w:link w:val="CommentText"/>
    <w:rsid w:val="00931759"/>
  </w:style>
  <w:style w:type="paragraph" w:styleId="CommentSubject">
    <w:name w:val="annotation subject"/>
    <w:basedOn w:val="CommentText"/>
    <w:next w:val="CommentText"/>
    <w:link w:val="CommentSubjectChar"/>
    <w:rsid w:val="00931759"/>
    <w:rPr>
      <w:b/>
      <w:bCs/>
    </w:rPr>
  </w:style>
  <w:style w:type="character" w:customStyle="1" w:styleId="CommentSubjectChar">
    <w:name w:val="Comment Subject Char"/>
    <w:basedOn w:val="CommentTextChar"/>
    <w:link w:val="CommentSubject"/>
    <w:rsid w:val="009317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1008</Words>
  <Characters>5807</Characters>
  <Application>Microsoft Office Word</Application>
  <DocSecurity>0</DocSecurity>
  <Lines>223</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2026-09-15T15:42:00Z</dcterms:created>
  <dcterms:modified xsi:type="dcterms:W3CDTF">2026-09-15T15:42:00Z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A10-0230/2026</vt:lpwstr>
  </property>
  <property fmtid="{D5CDD505-2E9C-101B-9397-08002B2CF9AE}" pid="4" name="&lt;Model&gt;">
    <vt:lpwstr/>
  </property>
  <property fmtid="{D5CDD505-2E9C-101B-9397-08002B2CF9AE}" pid="5" name="&lt;Type&gt;">
    <vt:lpwstr>RR</vt:lpwstr>
  </property>
</Properties>
</file>