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3662B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45F1" w:rsidP="0010095E" w14:paraId="33403B9C" w14:textId="77777777">
            <w:pPr>
              <w:pStyle w:val="EPName"/>
            </w:pPr>
            <w:r w:rsidRPr="000345F1">
              <w:t>European Parliament</w:t>
            </w:r>
          </w:p>
          <w:p w:rsidR="00751A4A" w:rsidRPr="000345F1" w:rsidP="005F1B17" w14:paraId="423BACF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45F1">
              <w:t>2024</w:t>
            </w:r>
            <w:r w:rsidRPr="000345F1" w:rsidR="00817416">
              <w:t>-202</w:t>
            </w:r>
            <w:r w:rsidRPr="000345F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45F1" w:rsidP="0010095E" w14:paraId="06671251" w14:textId="77777777">
            <w:pPr>
              <w:pStyle w:val="EPLogo"/>
            </w:pPr>
            <w:r w:rsidRPr="000345F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45F1" w:rsidP="004C5D52" w14:paraId="30754C7D" w14:textId="77777777">
      <w:pPr>
        <w:pStyle w:val="LineTop"/>
      </w:pPr>
    </w:p>
    <w:p w:rsidR="00680577" w:rsidRPr="000345F1" w:rsidP="00680577" w14:paraId="1F041AA0" w14:textId="77777777">
      <w:pPr>
        <w:pStyle w:val="EPBodyTA1"/>
      </w:pPr>
      <w:r w:rsidRPr="000345F1">
        <w:t>TEXTS ADOPTED</w:t>
      </w:r>
    </w:p>
    <w:p w:rsidR="00D058B8" w:rsidRPr="000345F1" w:rsidP="00D058B8" w14:paraId="7B7E1CFA" w14:textId="77777777">
      <w:pPr>
        <w:pStyle w:val="LineBottom"/>
      </w:pPr>
    </w:p>
    <w:p w:rsidR="008A63E1" w:rsidRPr="000345F1" w:rsidP="008A63E1" w14:paraId="302A8D25" w14:textId="457F6C10">
      <w:pPr>
        <w:pStyle w:val="ATHeading1"/>
      </w:pPr>
      <w:bookmarkStart w:id="0" w:name="TANumber"/>
      <w:r w:rsidRPr="000345F1">
        <w:t>P10_TA(2026)</w:t>
      </w:r>
      <w:bookmarkEnd w:id="0"/>
      <w:r w:rsidR="00D738EE">
        <w:t>0285</w:t>
      </w:r>
    </w:p>
    <w:p w:rsidR="008A63E1" w:rsidRPr="000345F1" w:rsidP="008A63E1" w14:paraId="6B7594B0" w14:textId="1857AD7D">
      <w:pPr>
        <w:pStyle w:val="ATHeading2"/>
      </w:pPr>
      <w:bookmarkStart w:id="1" w:name="title"/>
      <w:r>
        <w:t>A</w:t>
      </w:r>
      <w:r w:rsidRPr="009B0185" w:rsidR="009B0185">
        <w:t>ppointment of the Executive Director of the European Banking Authority</w:t>
      </w:r>
      <w:bookmarkEnd w:id="1"/>
    </w:p>
    <w:p w:rsidR="008A63E1" w:rsidRPr="000345F1" w:rsidP="008A63E1" w14:paraId="18D61262" w14:textId="77777777">
      <w:pPr>
        <w:rPr>
          <w:i/>
          <w:vanish/>
        </w:rPr>
      </w:pPr>
      <w:r>
        <w:rPr>
          <w:i/>
        </w:rPr>
        <w:fldChar w:fldCharType="begin"/>
      </w:r>
      <w:r w:rsidRPr="000345F1">
        <w:rPr>
          <w:i/>
        </w:rPr>
        <w:instrText xml:space="preserve"> TC"(</w:instrText>
      </w:r>
      <w:bookmarkStart w:id="2" w:name="DocNumber"/>
      <w:r w:rsidRPr="000345F1">
        <w:rPr>
          <w:i/>
        </w:rPr>
        <w:instrText>A10-0222/2026</w:instrText>
      </w:r>
      <w:bookmarkEnd w:id="2"/>
      <w:r w:rsidRPr="000345F1">
        <w:rPr>
          <w:i/>
        </w:rPr>
        <w:instrText xml:space="preserve"> - Rapporteur: Aurore Lalucq)"\l3 \n&gt; \* MERGEFORMAT </w:instrText>
      </w:r>
      <w:r>
        <w:rPr>
          <w:i/>
        </w:rPr>
        <w:fldChar w:fldCharType="end"/>
      </w:r>
    </w:p>
    <w:p w:rsidR="008A63E1" w:rsidRPr="000345F1" w:rsidP="008A63E1" w14:paraId="678C098C" w14:textId="77777777">
      <w:pPr>
        <w:rPr>
          <w:vanish/>
        </w:rPr>
      </w:pPr>
      <w:bookmarkStart w:id="3" w:name="Commission"/>
      <w:r w:rsidRPr="000345F1">
        <w:rPr>
          <w:vanish/>
        </w:rPr>
        <w:t>Committee on Economic and Monetary Affairs</w:t>
      </w:r>
      <w:bookmarkEnd w:id="3"/>
    </w:p>
    <w:p w:rsidR="008A63E1" w:rsidRPr="000345F1" w:rsidP="008A63E1" w14:paraId="025738CC" w14:textId="77777777">
      <w:pPr>
        <w:rPr>
          <w:vanish/>
        </w:rPr>
      </w:pPr>
      <w:bookmarkStart w:id="4" w:name="PE"/>
      <w:r w:rsidRPr="000345F1">
        <w:rPr>
          <w:vanish/>
        </w:rPr>
        <w:t>PE791.892</w:t>
      </w:r>
      <w:bookmarkEnd w:id="4"/>
    </w:p>
    <w:p w:rsidR="008A63E1" w:rsidP="008A63E1" w14:paraId="672AA407" w14:textId="0DD91A79">
      <w:pPr>
        <w:pStyle w:val="ATHeading3"/>
      </w:pPr>
      <w:bookmarkStart w:id="5" w:name="Sujet"/>
      <w:r w:rsidRPr="000345F1">
        <w:t xml:space="preserve">European Parliament decision of </w:t>
      </w:r>
      <w:r w:rsidR="009B0185">
        <w:t>15</w:t>
      </w:r>
      <w:r w:rsidRPr="000345F1">
        <w:t xml:space="preserve"> </w:t>
      </w:r>
      <w:r w:rsidR="009B0185">
        <w:t>September</w:t>
      </w:r>
      <w:r w:rsidRPr="000345F1">
        <w:t xml:space="preserve"> 2026 on the proposal for the appointment of the Executive Director of the European Banking Authority</w:t>
      </w:r>
      <w:bookmarkEnd w:id="5"/>
      <w:r w:rsidRPr="000345F1">
        <w:t xml:space="preserve"> </w:t>
      </w:r>
      <w:bookmarkStart w:id="6" w:name="References"/>
      <w:r w:rsidRPr="000345F1">
        <w:t>(N10-0031/2026 – C10-0192/2026 – 2026/0901(NLE))</w:t>
      </w:r>
      <w:bookmarkEnd w:id="6"/>
    </w:p>
    <w:p w:rsidR="00080E4A" w:rsidRPr="00080E4A" w:rsidP="00080E4A" w14:paraId="01DAF697" w14:textId="2136CA28">
      <w:pPr>
        <w:pStyle w:val="NormalBold"/>
      </w:pPr>
      <w:r>
        <w:t>(Approval)</w:t>
      </w:r>
    </w:p>
    <w:p w:rsidR="00DC55DE" w:rsidRPr="000345F1" w:rsidP="007D48E1" w14:paraId="46DD8B59" w14:textId="77777777">
      <w:pPr>
        <w:pStyle w:val="EPComma"/>
      </w:pPr>
      <w:r w:rsidRPr="000345F1">
        <w:rPr>
          <w:i/>
        </w:rPr>
        <w:t>The European Parliament</w:t>
      </w:r>
      <w:r w:rsidRPr="000345F1">
        <w:t>,</w:t>
      </w:r>
    </w:p>
    <w:p w:rsidR="00DC55DE" w:rsidRPr="000345F1" w:rsidP="007D48E1" w14:paraId="3C37B8FD" w14:textId="77777777">
      <w:pPr>
        <w:pStyle w:val="NormalHanging12a"/>
      </w:pPr>
      <w:r w:rsidRPr="000345F1">
        <w:t>–</w:t>
      </w:r>
      <w:r w:rsidRPr="000345F1">
        <w:tab/>
        <w:t>having regard to the proposal of the Board of Supervisors of the European Banking Authority of 21 July 2026 (C10</w:t>
      </w:r>
      <w:r w:rsidRPr="000345F1">
        <w:noBreakHyphen/>
        <w:t>0192/2026),</w:t>
      </w:r>
    </w:p>
    <w:p w:rsidR="00DC55DE" w:rsidRPr="000345F1" w:rsidP="007D48E1" w14:paraId="40C08BB7" w14:textId="77777777">
      <w:pPr>
        <w:pStyle w:val="NormalHanging12a"/>
      </w:pPr>
      <w:r w:rsidRPr="000345F1">
        <w:t>–</w:t>
      </w:r>
      <w:r w:rsidRPr="000345F1">
        <w:tab/>
        <w:t>having regard to Article 51(2) of Regulation (EU) No 1093/2010 of the European Parliament and of the Council of 24 November 2010 establishing a European Supervisory Authority (European Banking Authority), amending Decision No 716/2009/EC and repealing Commission Decision 2009/78/EC</w:t>
      </w:r>
      <w:r>
        <w:rPr>
          <w:vertAlign w:val="superscript"/>
        </w:rPr>
        <w:footnoteReference w:id="2"/>
      </w:r>
      <w:r w:rsidRPr="000345F1">
        <w:t>,</w:t>
      </w:r>
    </w:p>
    <w:p w:rsidR="00DC55DE" w:rsidRPr="000345F1" w:rsidP="007D48E1" w14:paraId="35BCC219" w14:textId="77777777">
      <w:pPr>
        <w:pStyle w:val="NormalHanging12a"/>
      </w:pPr>
      <w:r w:rsidRPr="000345F1">
        <w:t>–</w:t>
      </w:r>
      <w:r w:rsidRPr="000345F1">
        <w:tab/>
        <w:t>having regard to its resolution of 14 March 2019 on gender balance in EU economic and monetary affairs nominations</w:t>
      </w:r>
      <w:r>
        <w:rPr>
          <w:vertAlign w:val="superscript"/>
        </w:rPr>
        <w:footnoteReference w:id="3"/>
      </w:r>
      <w:r w:rsidRPr="000345F1">
        <w:t>,</w:t>
      </w:r>
    </w:p>
    <w:p w:rsidR="00DC55DE" w:rsidRPr="000345F1" w:rsidP="007D48E1" w14:paraId="256F1206" w14:textId="77777777">
      <w:pPr>
        <w:pStyle w:val="Normal12Hanging"/>
      </w:pPr>
      <w:r w:rsidRPr="000345F1">
        <w:t>–</w:t>
      </w:r>
      <w:r w:rsidRPr="000345F1">
        <w:tab/>
        <w:t>having regard to its resolution of 16 January 2020 on institutions and bodies of the Economic and Monetary Union: preventing post-public employment conflicts of interest</w:t>
      </w:r>
      <w:r>
        <w:rPr>
          <w:rStyle w:val="FootnoteReference"/>
        </w:rPr>
        <w:footnoteReference w:id="4"/>
      </w:r>
      <w:r w:rsidRPr="000345F1">
        <w:t>,</w:t>
      </w:r>
    </w:p>
    <w:p w:rsidR="00DC55DE" w:rsidRPr="000345F1" w:rsidP="007D48E1" w14:paraId="31133AF6" w14:textId="77777777">
      <w:pPr>
        <w:pStyle w:val="NormalHanging12a"/>
      </w:pPr>
      <w:r w:rsidRPr="000345F1">
        <w:t>–</w:t>
      </w:r>
      <w:r w:rsidRPr="000345F1">
        <w:tab/>
        <w:t>having regard to Rule 135 of its Rules of Procedure,</w:t>
      </w:r>
    </w:p>
    <w:p w:rsidR="00DC55DE" w:rsidRPr="000345F1" w:rsidP="007D48E1" w14:paraId="49C9AD7C" w14:textId="77777777">
      <w:pPr>
        <w:pStyle w:val="NormalHanging12a"/>
      </w:pPr>
      <w:r w:rsidRPr="000345F1">
        <w:t>–</w:t>
      </w:r>
      <w:r w:rsidRPr="000345F1">
        <w:tab/>
        <w:t>having regard to the report of the Committee on Economic and Monetary Affairs (A10-0222/2026),</w:t>
      </w:r>
    </w:p>
    <w:p w:rsidR="00DC55DE" w:rsidRPr="000345F1" w:rsidP="007D48E1" w14:paraId="591137C6" w14:textId="77777777">
      <w:pPr>
        <w:pStyle w:val="NormalHanging12a"/>
      </w:pPr>
      <w:r w:rsidRPr="000345F1">
        <w:t>A.</w:t>
      </w:r>
      <w:r w:rsidRPr="000345F1">
        <w:tab/>
        <w:t xml:space="preserve">whereas the term of office of the current Executive Director of the European Banking Authority ended on 30 March </w:t>
      </w:r>
      <w:r w:rsidRPr="000345F1">
        <w:t>2026;</w:t>
      </w:r>
    </w:p>
    <w:p w:rsidR="00DC55DE" w:rsidRPr="000345F1" w:rsidP="007D48E1" w14:paraId="04959CF2" w14:textId="77777777">
      <w:pPr>
        <w:pStyle w:val="NormalHanging12a"/>
      </w:pPr>
      <w:r w:rsidRPr="000345F1">
        <w:t>B.</w:t>
      </w:r>
      <w:r w:rsidRPr="000345F1">
        <w:tab/>
        <w:t xml:space="preserve">whereas, on 21 July 2026, the Board of Supervisors of the European Banking Authority, following an open selection procedure, proposed to appoint Thomas </w:t>
      </w:r>
      <w:r w:rsidRPr="000345F1">
        <w:t>Gstädtner</w:t>
      </w:r>
      <w:r w:rsidRPr="000345F1">
        <w:t xml:space="preserve"> as Executive Director for a term of office of five years, in accordance with Article 51(2) </w:t>
      </w:r>
      <w:r w:rsidRPr="000345F1">
        <w:t>and (3) of Regulation (EU) No </w:t>
      </w:r>
      <w:r w:rsidRPr="000345F1">
        <w:t>1093/2010;</w:t>
      </w:r>
    </w:p>
    <w:p w:rsidR="00DC55DE" w:rsidRPr="000345F1" w:rsidP="007D48E1" w14:paraId="7AB2A69C" w14:textId="77777777">
      <w:pPr>
        <w:pStyle w:val="NormalHanging12a"/>
      </w:pPr>
      <w:r w:rsidRPr="000345F1">
        <w:t>C.</w:t>
      </w:r>
      <w:r w:rsidRPr="000345F1">
        <w:tab/>
        <w:t xml:space="preserve">whereas, on 2 September 2026, the Committee on Economic and Monetary Affairs held a hearing with Thomas </w:t>
      </w:r>
      <w:r w:rsidRPr="000345F1">
        <w:t>Gstädtner</w:t>
      </w:r>
      <w:r w:rsidRPr="000345F1">
        <w:t xml:space="preserve">, at which he made an opening statement and then responded to questions from the members of the </w:t>
      </w:r>
      <w:r w:rsidRPr="000345F1">
        <w:t>Committee;</w:t>
      </w:r>
    </w:p>
    <w:p w:rsidR="00DC55DE" w:rsidRPr="000345F1" w:rsidP="007D48E1" w14:paraId="32AE9F71" w14:textId="77777777">
      <w:pPr>
        <w:pStyle w:val="NormalHanging12a"/>
      </w:pPr>
      <w:r w:rsidRPr="000345F1">
        <w:t>1.</w:t>
      </w:r>
      <w:r w:rsidRPr="000345F1">
        <w:tab/>
        <w:t xml:space="preserve">Approves the appointment of Thomas </w:t>
      </w:r>
      <w:r w:rsidRPr="000345F1">
        <w:t>Gstädtner</w:t>
      </w:r>
      <w:r w:rsidRPr="000345F1">
        <w:t xml:space="preserve"> as Executive Director of the European Banking </w:t>
      </w:r>
      <w:r w:rsidRPr="000345F1">
        <w:t>Authority;</w:t>
      </w:r>
    </w:p>
    <w:p w:rsidR="00E365E1" w:rsidRPr="000345F1" w:rsidP="00C11B86" w14:paraId="2ED6E944" w14:textId="0BF51BD8">
      <w:pPr>
        <w:pStyle w:val="NormalHanging12a"/>
      </w:pPr>
      <w:r w:rsidRPr="000345F1">
        <w:t>2.</w:t>
      </w:r>
      <w:r w:rsidRPr="000345F1">
        <w:tab/>
        <w:t>Instructs its President to forward this decision to the Council, the Commission, the European Banking Authority and the governments of the Member States.</w:t>
      </w:r>
    </w:p>
    <w:sectPr w:rsidSect="000345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5234CC3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3C55948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3D09FBE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A63E1" w:rsidRPr="000345F1" w14:paraId="248FF9B5" w14:textId="77777777">
      <w:r w:rsidRPr="000345F1">
        <w:separator/>
      </w:r>
    </w:p>
  </w:footnote>
  <w:footnote w:type="continuationSeparator" w:id="1">
    <w:p w:rsidR="008A63E1" w:rsidRPr="000345F1" w14:paraId="29378BAD" w14:textId="77777777">
      <w:r w:rsidRPr="000345F1">
        <w:continuationSeparator/>
      </w:r>
    </w:p>
  </w:footnote>
  <w:footnote w:id="2">
    <w:p w:rsidR="00DC55DE" w:rsidRPr="002C4980" w:rsidP="000345F1" w14:paraId="432C35C3" w14:textId="6C975133">
      <w:pPr>
        <w:pStyle w:val="FootnoteText"/>
        <w:ind w:left="567" w:hanging="567"/>
        <w:rPr>
          <w:sz w:val="24"/>
          <w:lang w:val="fi-FI"/>
        </w:rPr>
      </w:pPr>
      <w:r w:rsidRPr="000345F1">
        <w:rPr>
          <w:rStyle w:val="FootnoteReference"/>
          <w:sz w:val="24"/>
          <w:lang w:val="en-GB"/>
        </w:rPr>
        <w:footnoteRef/>
      </w:r>
      <w:r w:rsidRPr="002C4980" w:rsidR="000345F1">
        <w:rPr>
          <w:sz w:val="24"/>
          <w:lang w:val="fi-FI"/>
        </w:rPr>
        <w:t xml:space="preserve"> </w:t>
      </w:r>
      <w:r w:rsidRPr="002C4980" w:rsidR="000345F1">
        <w:rPr>
          <w:sz w:val="24"/>
          <w:lang w:val="fi-FI"/>
        </w:rPr>
        <w:tab/>
      </w:r>
      <w:r w:rsidRPr="002C4980">
        <w:rPr>
          <w:sz w:val="24"/>
          <w:lang w:val="fi-FI"/>
        </w:rPr>
        <w:t xml:space="preserve">OJ L 331, 15.12.2010, p. 12, ELI: </w:t>
      </w:r>
      <w:hyperlink r:id="rId1" w:history="1">
        <w:r w:rsidRPr="002C4980">
          <w:rPr>
            <w:rStyle w:val="Hyperlink"/>
            <w:sz w:val="24"/>
            <w:lang w:val="fi-FI"/>
          </w:rPr>
          <w:t>http://data.europa.eu/eli/reg/2010/1093/oj</w:t>
        </w:r>
      </w:hyperlink>
      <w:r w:rsidRPr="002C4980">
        <w:rPr>
          <w:sz w:val="24"/>
          <w:lang w:val="fi-FI"/>
        </w:rPr>
        <w:t>.</w:t>
      </w:r>
    </w:p>
  </w:footnote>
  <w:footnote w:id="3">
    <w:p w:rsidR="00DC55DE" w:rsidRPr="000345F1" w:rsidP="000345F1" w14:paraId="12175B06" w14:textId="05504044">
      <w:pPr>
        <w:pStyle w:val="FootnoteText"/>
        <w:ind w:left="567" w:hanging="567"/>
        <w:rPr>
          <w:sz w:val="24"/>
          <w:lang w:val="en-GB"/>
        </w:rPr>
      </w:pPr>
      <w:r w:rsidRPr="000345F1">
        <w:rPr>
          <w:rStyle w:val="FootnoteReference"/>
          <w:sz w:val="24"/>
          <w:lang w:val="en-GB"/>
        </w:rPr>
        <w:footnoteRef/>
      </w:r>
      <w:r w:rsidRPr="000345F1" w:rsidR="000345F1">
        <w:rPr>
          <w:sz w:val="24"/>
          <w:lang w:val="en-GB"/>
        </w:rPr>
        <w:t xml:space="preserve"> </w:t>
      </w:r>
      <w:r w:rsidRPr="000345F1" w:rsidR="000345F1">
        <w:rPr>
          <w:sz w:val="24"/>
          <w:lang w:val="en-GB"/>
        </w:rPr>
        <w:tab/>
      </w:r>
      <w:r w:rsidRPr="000345F1">
        <w:rPr>
          <w:sz w:val="24"/>
          <w:lang w:val="en-GB"/>
        </w:rPr>
        <w:t>OJ C 23, 21.1.2021, p. 105.</w:t>
      </w:r>
    </w:p>
  </w:footnote>
  <w:footnote w:id="4">
    <w:p w:rsidR="00DC55DE" w:rsidRPr="000345F1" w:rsidP="000345F1" w14:paraId="250BBF36" w14:textId="4FA730F4">
      <w:pPr>
        <w:pStyle w:val="FootnoteText"/>
        <w:ind w:left="567" w:hanging="567"/>
        <w:rPr>
          <w:sz w:val="24"/>
          <w:lang w:val="en-GB"/>
        </w:rPr>
      </w:pPr>
      <w:r w:rsidRPr="000345F1">
        <w:rPr>
          <w:rStyle w:val="FootnoteReference"/>
          <w:sz w:val="24"/>
          <w:lang w:val="en-GB"/>
        </w:rPr>
        <w:footnoteRef/>
      </w:r>
      <w:r w:rsidRPr="000345F1" w:rsidR="000345F1">
        <w:rPr>
          <w:sz w:val="24"/>
          <w:lang w:val="en-GB"/>
        </w:rPr>
        <w:t xml:space="preserve"> </w:t>
      </w:r>
      <w:r w:rsidRPr="000345F1" w:rsidR="000345F1">
        <w:rPr>
          <w:sz w:val="24"/>
          <w:lang w:val="en-GB"/>
        </w:rPr>
        <w:tab/>
      </w:r>
      <w:r w:rsidRPr="000345F1">
        <w:rPr>
          <w:sz w:val="24"/>
          <w:lang w:val="en-GB"/>
        </w:rPr>
        <w:t>OJ C 270, 7.7.2021, p. 113.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4919AE0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1B3C2D7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345F1" w14:paraId="32BD9C1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9170968">
    <w:abstractNumId w:val="9"/>
  </w:num>
  <w:num w:numId="2" w16cid:durableId="818544741">
    <w:abstractNumId w:val="9"/>
  </w:num>
  <w:num w:numId="3" w16cid:durableId="406653517">
    <w:abstractNumId w:val="7"/>
  </w:num>
  <w:num w:numId="4" w16cid:durableId="1071467916">
    <w:abstractNumId w:val="7"/>
  </w:num>
  <w:num w:numId="5" w16cid:durableId="205068703">
    <w:abstractNumId w:val="6"/>
  </w:num>
  <w:num w:numId="6" w16cid:durableId="463041485">
    <w:abstractNumId w:val="6"/>
  </w:num>
  <w:num w:numId="7" w16cid:durableId="912161609">
    <w:abstractNumId w:val="5"/>
  </w:num>
  <w:num w:numId="8" w16cid:durableId="1170755830">
    <w:abstractNumId w:val="5"/>
  </w:num>
  <w:num w:numId="9" w16cid:durableId="425731436">
    <w:abstractNumId w:val="4"/>
  </w:num>
  <w:num w:numId="10" w16cid:durableId="866331739">
    <w:abstractNumId w:val="4"/>
  </w:num>
  <w:num w:numId="11" w16cid:durableId="1808929638">
    <w:abstractNumId w:val="8"/>
  </w:num>
  <w:num w:numId="12" w16cid:durableId="1476024762">
    <w:abstractNumId w:val="8"/>
  </w:num>
  <w:num w:numId="13" w16cid:durableId="1712488085">
    <w:abstractNumId w:val="3"/>
  </w:num>
  <w:num w:numId="14" w16cid:durableId="1822456704">
    <w:abstractNumId w:val="3"/>
  </w:num>
  <w:num w:numId="15" w16cid:durableId="1674718452">
    <w:abstractNumId w:val="2"/>
  </w:num>
  <w:num w:numId="16" w16cid:durableId="642663346">
    <w:abstractNumId w:val="2"/>
  </w:num>
  <w:num w:numId="17" w16cid:durableId="905839257">
    <w:abstractNumId w:val="1"/>
  </w:num>
  <w:num w:numId="18" w16cid:durableId="842551890">
    <w:abstractNumId w:val="1"/>
  </w:num>
  <w:num w:numId="19" w16cid:durableId="1086538442">
    <w:abstractNumId w:val="0"/>
  </w:num>
  <w:num w:numId="20" w16cid:durableId="89470802">
    <w:abstractNumId w:val="0"/>
  </w:num>
  <w:num w:numId="21" w16cid:durableId="1066227653">
    <w:abstractNumId w:val="9"/>
  </w:num>
  <w:num w:numId="22" w16cid:durableId="68234370">
    <w:abstractNumId w:val="7"/>
  </w:num>
  <w:num w:numId="23" w16cid:durableId="1028601882">
    <w:abstractNumId w:val="6"/>
  </w:num>
  <w:num w:numId="24" w16cid:durableId="768039140">
    <w:abstractNumId w:val="5"/>
  </w:num>
  <w:num w:numId="25" w16cid:durableId="1813060055">
    <w:abstractNumId w:val="4"/>
  </w:num>
  <w:num w:numId="26" w16cid:durableId="412747865">
    <w:abstractNumId w:val="8"/>
  </w:num>
  <w:num w:numId="27" w16cid:durableId="1149901060">
    <w:abstractNumId w:val="3"/>
  </w:num>
  <w:num w:numId="28" w16cid:durableId="333336015">
    <w:abstractNumId w:val="2"/>
  </w:num>
  <w:num w:numId="29" w16cid:durableId="1698966189">
    <w:abstractNumId w:val="1"/>
  </w:num>
  <w:num w:numId="30" w16cid:durableId="2023311826">
    <w:abstractNumId w:val="0"/>
  </w:num>
  <w:num w:numId="31" w16cid:durableId="1548949044">
    <w:abstractNumId w:val="9"/>
  </w:num>
  <w:num w:numId="32" w16cid:durableId="955913428">
    <w:abstractNumId w:val="7"/>
  </w:num>
  <w:num w:numId="33" w16cid:durableId="1791391493">
    <w:abstractNumId w:val="6"/>
  </w:num>
  <w:num w:numId="34" w16cid:durableId="1642078478">
    <w:abstractNumId w:val="5"/>
  </w:num>
  <w:num w:numId="35" w16cid:durableId="567545222">
    <w:abstractNumId w:val="4"/>
  </w:num>
  <w:num w:numId="36" w16cid:durableId="1533836899">
    <w:abstractNumId w:val="8"/>
  </w:num>
  <w:num w:numId="37" w16cid:durableId="1618561566">
    <w:abstractNumId w:val="3"/>
  </w:num>
  <w:num w:numId="38" w16cid:durableId="949358152">
    <w:abstractNumId w:val="2"/>
  </w:num>
  <w:num w:numId="39" w16cid:durableId="1945919353">
    <w:abstractNumId w:val="1"/>
  </w:num>
  <w:num w:numId="40" w16cid:durableId="2131119311">
    <w:abstractNumId w:val="0"/>
  </w:num>
  <w:num w:numId="41" w16cid:durableId="989402997">
    <w:abstractNumId w:val="10"/>
  </w:num>
  <w:num w:numId="42" w16cid:durableId="1159925986">
    <w:abstractNumId w:val="10"/>
  </w:num>
  <w:num w:numId="43" w16cid:durableId="1102602744">
    <w:abstractNumId w:val="10"/>
  </w:num>
  <w:num w:numId="44" w16cid:durableId="193808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E1"/>
    <w:rsid w:val="00002272"/>
    <w:rsid w:val="000345F1"/>
    <w:rsid w:val="00064002"/>
    <w:rsid w:val="000677B9"/>
    <w:rsid w:val="00080E4A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49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2A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8E1"/>
    <w:rsid w:val="007E22AD"/>
    <w:rsid w:val="00817416"/>
    <w:rsid w:val="00842779"/>
    <w:rsid w:val="00865F67"/>
    <w:rsid w:val="00881A7B"/>
    <w:rsid w:val="008840E5"/>
    <w:rsid w:val="00887B3E"/>
    <w:rsid w:val="008A63E1"/>
    <w:rsid w:val="008C2AC6"/>
    <w:rsid w:val="00930C23"/>
    <w:rsid w:val="0093193B"/>
    <w:rsid w:val="009509D8"/>
    <w:rsid w:val="00950B64"/>
    <w:rsid w:val="00981893"/>
    <w:rsid w:val="009B018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B86"/>
    <w:rsid w:val="00C23CD4"/>
    <w:rsid w:val="00C61C0C"/>
    <w:rsid w:val="00C941CB"/>
    <w:rsid w:val="00CC2357"/>
    <w:rsid w:val="00CF071A"/>
    <w:rsid w:val="00D058B8"/>
    <w:rsid w:val="00D30598"/>
    <w:rsid w:val="00D56C11"/>
    <w:rsid w:val="00D738EE"/>
    <w:rsid w:val="00D834A0"/>
    <w:rsid w:val="00D872DF"/>
    <w:rsid w:val="00D91E21"/>
    <w:rsid w:val="00DA7FCD"/>
    <w:rsid w:val="00DC55DE"/>
    <w:rsid w:val="00E12FD0"/>
    <w:rsid w:val="00E329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04E"/>
    <w:rsid w:val="00F87713"/>
    <w:rsid w:val="00FB4360"/>
    <w:rsid w:val="00FD0C70"/>
  </w:rsids>
  <w:docVars>
    <w:docVar w:name="dvdocse" w:val="A10-0222/2026"/>
    <w:docVar w:name="dvlangue" w:val="EN"/>
    <w:docVar w:name="dvnumam" w:val="0"/>
    <w:docVar w:name="dvpe" w:val="791.892"/>
    <w:docVar w:name="dvrapporteur" w:val="Rapporteur: "/>
    <w:docVar w:name="dvtitre" w:val="European Parliament decision of xx Xxxx 2026 on the proposal for the appointment of the Executive Director of the European Banking Authority(N10-0031/2026 – C10-0192/2026 – 2026/090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59108F"/>
  <w15:chartTrackingRefBased/>
  <w15:docId w15:val="{14191611-D80B-483F-87C6-202210A4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55DE"/>
    <w:pPr>
      <w:spacing w:before="480" w:after="240"/>
    </w:pPr>
  </w:style>
  <w:style w:type="paragraph" w:customStyle="1" w:styleId="NormalHanging12a">
    <w:name w:val="NormalHanging12a"/>
    <w:basedOn w:val="Normal"/>
    <w:rsid w:val="00DC55D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C55DE"/>
    <w:rPr>
      <w:rFonts w:cs="Times New Roman"/>
      <w:color w:val="0000FF"/>
      <w:u w:val="single"/>
    </w:rPr>
  </w:style>
  <w:style w:type="paragraph" w:customStyle="1" w:styleId="Normal12Hanging">
    <w:name w:val="Normal12Hanging"/>
    <w:basedOn w:val="Normal"/>
    <w:rsid w:val="00DC55D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B0185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B01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B0185"/>
    <w:rPr>
      <w:color w:val="954F72" w:themeColor="followedHyperlink"/>
      <w:u w:val="single"/>
    </w:rPr>
  </w:style>
  <w:style w:type="paragraph" w:customStyle="1" w:styleId="NormalBold">
    <w:name w:val="NormalBold"/>
    <w:basedOn w:val="Normal"/>
    <w:rsid w:val="00080E4A"/>
    <w:rPr>
      <w:b/>
    </w:rPr>
  </w:style>
  <w:style w:type="character" w:styleId="CommentReference">
    <w:name w:val="annotation reference"/>
    <w:basedOn w:val="DefaultParagraphFont"/>
    <w:rsid w:val="00C11B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B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1B86"/>
  </w:style>
  <w:style w:type="paragraph" w:styleId="CommentSubject">
    <w:name w:val="annotation subject"/>
    <w:basedOn w:val="CommentText"/>
    <w:next w:val="CommentText"/>
    <w:link w:val="CommentSubjectChar"/>
    <w:rsid w:val="00C11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1B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0/10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2026-09-15T12:16:00Z</dcterms:created>
  <dcterms:modified xsi:type="dcterms:W3CDTF">2026-09-15T12:16:00Z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A10-0222/2026</vt:lpwstr>
  </property>
  <property fmtid="{D5CDD505-2E9C-101B-9397-08002B2CF9AE}" pid="4" name="&lt;Type&gt;">
    <vt:lpwstr>RR</vt:lpwstr>
  </property>
</Properties>
</file>