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06EC91" w14:textId="77777777" w:rsidTr="0010095E">
        <w:tblPrEx>
          <w:tblW w:w="9072" w:type="dxa"/>
          <w:tblLook w:val="01E0"/>
        </w:tblPrEx>
        <w:trPr>
          <w:trHeight w:hRule="exact" w:val="1418"/>
        </w:trPr>
        <w:tc>
          <w:tcPr>
            <w:tcW w:w="6804" w:type="dxa"/>
            <w:vAlign w:val="center"/>
          </w:tcPr>
          <w:p w:rsidR="00751A4A" w:rsidRPr="00FE754B" w:rsidP="0010095E" w14:paraId="1738F339" w14:textId="77777777">
            <w:pPr>
              <w:pStyle w:val="EPName"/>
            </w:pPr>
            <w:r w:rsidRPr="00FE754B">
              <w:t>European Parliament</w:t>
            </w:r>
          </w:p>
          <w:p w:rsidR="00751A4A" w:rsidRPr="00FE754B" w:rsidP="005F1B17" w14:paraId="7ED79524" w14:textId="77777777">
            <w:pPr>
              <w:pStyle w:val="EPTerm"/>
              <w:rPr>
                <w:rStyle w:val="HideTWBExt"/>
                <w:noProof w:val="0"/>
                <w:vanish w:val="0"/>
                <w:color w:val="auto"/>
              </w:rPr>
            </w:pPr>
            <w:r w:rsidRPr="00FE754B">
              <w:t>2024</w:t>
            </w:r>
            <w:r w:rsidRPr="00FE754B" w:rsidR="00817416">
              <w:t>-202</w:t>
            </w:r>
            <w:r w:rsidRPr="00FE754B">
              <w:t>9</w:t>
            </w:r>
          </w:p>
        </w:tc>
        <w:tc>
          <w:tcPr>
            <w:tcW w:w="2268" w:type="dxa"/>
          </w:tcPr>
          <w:p w:rsidR="00751A4A" w:rsidRPr="00FE754B" w:rsidP="0010095E" w14:paraId="2F817233" w14:textId="77777777">
            <w:pPr>
              <w:pStyle w:val="EPLogo"/>
            </w:pPr>
            <w:r w:rsidRPr="00FE754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E754B" w:rsidP="004C5D52" w14:paraId="68AE2893" w14:textId="77777777">
      <w:pPr>
        <w:pStyle w:val="LineTop"/>
      </w:pPr>
    </w:p>
    <w:p w:rsidR="00680577" w:rsidRPr="00FE754B" w:rsidP="00680577" w14:paraId="7C578E8D" w14:textId="77777777">
      <w:pPr>
        <w:pStyle w:val="EPBodyTA1"/>
      </w:pPr>
      <w:r w:rsidRPr="00FE754B">
        <w:t>TEXTS ADOPTED</w:t>
      </w:r>
    </w:p>
    <w:p w:rsidR="00D058B8" w:rsidRPr="00FE754B" w:rsidP="00D058B8" w14:paraId="4604C0CA" w14:textId="77777777">
      <w:pPr>
        <w:pStyle w:val="LineBottom"/>
      </w:pPr>
    </w:p>
    <w:p w:rsidR="00B4712E" w:rsidRPr="00FE754B" w:rsidP="00B4712E" w14:paraId="3F64F21B" w14:textId="3D306495">
      <w:pPr>
        <w:pStyle w:val="ATHeading1"/>
      </w:pPr>
      <w:bookmarkStart w:id="0" w:name="TANumber"/>
      <w:r w:rsidRPr="00FE754B">
        <w:t>P10_TA(2026)</w:t>
      </w:r>
      <w:bookmarkEnd w:id="0"/>
      <w:r w:rsidR="003C0BE7">
        <w:t>0329</w:t>
      </w:r>
    </w:p>
    <w:p w:rsidR="00B4712E" w:rsidRPr="00FE754B" w:rsidP="00A817E7" w14:paraId="1EA8BECB" w14:textId="2FDBC5E7">
      <w:pPr>
        <w:pStyle w:val="ATHeading2"/>
      </w:pPr>
      <w:bookmarkStart w:id="1" w:name="title"/>
      <w:r w:rsidRPr="00FE754B">
        <w:t>Empowering France to accede to the Inter-American Convention for the Protection and Conservation of Sea Turtles</w:t>
      </w:r>
      <w:bookmarkEnd w:id="1"/>
    </w:p>
    <w:p w:rsidR="00B4712E" w:rsidRPr="00FE754B" w:rsidP="00B4712E" w14:paraId="4AAC2213" w14:textId="77777777">
      <w:pPr>
        <w:rPr>
          <w:i/>
          <w:vanish/>
        </w:rPr>
      </w:pPr>
      <w:r>
        <w:rPr>
          <w:i/>
        </w:rPr>
        <w:fldChar w:fldCharType="begin"/>
      </w:r>
      <w:r w:rsidRPr="00FE754B">
        <w:rPr>
          <w:i/>
        </w:rPr>
        <w:instrText xml:space="preserve"> TC"(</w:instrText>
      </w:r>
      <w:bookmarkStart w:id="2" w:name="DocNumber"/>
      <w:r w:rsidRPr="00FE754B">
        <w:rPr>
          <w:i/>
        </w:rPr>
        <w:instrText>A10-0095/2026</w:instrText>
      </w:r>
      <w:bookmarkEnd w:id="2"/>
      <w:r w:rsidRPr="00FE754B">
        <w:rPr>
          <w:i/>
        </w:rPr>
        <w:instrText xml:space="preserve"> - Rapporteur: Pierfrancesco Maran, Mélissa Camara)"\l3 \n&gt; \* MERGEFORMAT </w:instrText>
      </w:r>
      <w:r>
        <w:rPr>
          <w:i/>
        </w:rPr>
        <w:fldChar w:fldCharType="end"/>
      </w:r>
    </w:p>
    <w:p w:rsidR="00B4712E" w:rsidRPr="00FE754B" w:rsidP="00B4712E" w14:paraId="48A412CF" w14:textId="77777777">
      <w:pPr>
        <w:rPr>
          <w:vanish/>
        </w:rPr>
      </w:pPr>
      <w:bookmarkStart w:id="3" w:name="Commission"/>
      <w:r w:rsidRPr="00FE754B">
        <w:rPr>
          <w:vanish/>
        </w:rPr>
        <w:t>Committee on the Environment, Climate and Food Safety, Committee on Fisheries</w:t>
      </w:r>
      <w:bookmarkEnd w:id="3"/>
    </w:p>
    <w:p w:rsidR="00B4712E" w:rsidRPr="00FE754B" w:rsidP="00B4712E" w14:paraId="59727C38" w14:textId="77777777">
      <w:pPr>
        <w:rPr>
          <w:vanish/>
        </w:rPr>
      </w:pPr>
      <w:bookmarkStart w:id="4" w:name="PE"/>
      <w:r w:rsidRPr="00FE754B">
        <w:rPr>
          <w:vanish/>
        </w:rPr>
        <w:t>PE786.891</w:t>
      </w:r>
      <w:bookmarkEnd w:id="4"/>
    </w:p>
    <w:p w:rsidR="00B4712E" w:rsidRPr="00FE754B" w:rsidP="00B4712E" w14:paraId="18145533" w14:textId="130E1061">
      <w:pPr>
        <w:pStyle w:val="ATHeading3"/>
      </w:pPr>
      <w:bookmarkStart w:id="5" w:name="Sujet"/>
      <w:r w:rsidRPr="00FE754B">
        <w:t xml:space="preserve">European Parliament </w:t>
      </w:r>
      <w:r w:rsidRPr="00FE754B" w:rsidR="00A817E7">
        <w:t>legislative resolution</w:t>
      </w:r>
      <w:r w:rsidRPr="00FE754B">
        <w:t xml:space="preserve"> of </w:t>
      </w:r>
      <w:r w:rsidRPr="00FE754B" w:rsidR="00A817E7">
        <w:t>7</w:t>
      </w:r>
      <w:r w:rsidRPr="00FE754B">
        <w:t xml:space="preserve"> </w:t>
      </w:r>
      <w:r w:rsidRPr="00FE754B" w:rsidR="00A817E7">
        <w:t>October</w:t>
      </w:r>
      <w:r w:rsidRPr="00FE754B">
        <w:t xml:space="preserve"> 2026 on the proposal for a decision of the European Parliament and of the Council empowering France to accede to the Inter-American Convention for the Protection and Conservation of Sea Turtles</w:t>
      </w:r>
      <w:bookmarkEnd w:id="5"/>
      <w:r w:rsidRPr="00FE754B">
        <w:t xml:space="preserve"> </w:t>
      </w:r>
      <w:bookmarkStart w:id="6" w:name="References"/>
      <w:r w:rsidRPr="00FE754B">
        <w:t>(</w:t>
      </w:r>
      <w:r w:rsidRPr="00FE754B">
        <w:t>COM(</w:t>
      </w:r>
      <w:r w:rsidRPr="00FE754B">
        <w:t>2025)0689 – C10-0300/2025 – 2025/0349(COD))</w:t>
      </w:r>
      <w:bookmarkEnd w:id="6"/>
    </w:p>
    <w:p w:rsidR="00B4712E" w:rsidRPr="00FE754B" w:rsidP="00B4712E" w14:paraId="5F154BBC" w14:textId="77777777"/>
    <w:p w:rsidR="004D6703" w:rsidRPr="00FE754B" w:rsidP="004D6703" w14:paraId="405C9707" w14:textId="77777777">
      <w:pPr>
        <w:pStyle w:val="NormalBold"/>
      </w:pPr>
      <w:bookmarkStart w:id="7" w:name="TextBodyBegin"/>
      <w:bookmarkEnd w:id="7"/>
      <w:r w:rsidRPr="00FE754B">
        <w:t>(Ordinary legislative procedure: first reading)</w:t>
      </w:r>
    </w:p>
    <w:p w:rsidR="004D6703" w:rsidRPr="00FE754B" w:rsidP="004D6703" w14:paraId="3B1AC19B" w14:textId="77777777">
      <w:pPr>
        <w:pStyle w:val="EPComma"/>
      </w:pPr>
      <w:r w:rsidRPr="00FE754B">
        <w:rPr>
          <w:i/>
        </w:rPr>
        <w:t>The European Parliament</w:t>
      </w:r>
      <w:r w:rsidRPr="00FE754B">
        <w:t>,</w:t>
      </w:r>
    </w:p>
    <w:p w:rsidR="004D6703" w:rsidRPr="00FE754B" w:rsidP="004D6703" w14:paraId="0C823DE4" w14:textId="77777777">
      <w:pPr>
        <w:pStyle w:val="NormalHanging12a"/>
      </w:pPr>
      <w:r w:rsidRPr="00FE754B">
        <w:t>–</w:t>
      </w:r>
      <w:r w:rsidRPr="00FE754B">
        <w:tab/>
        <w:t>having regard to the Commission proposal to Parliament and the Council (COM(2025)0689),</w:t>
      </w:r>
    </w:p>
    <w:p w:rsidR="004D6703" w:rsidRPr="00FE754B" w:rsidP="004D6703" w14:paraId="7B8CFA7D" w14:textId="77777777">
      <w:pPr>
        <w:pStyle w:val="NormalHanging12a"/>
      </w:pPr>
      <w:r w:rsidRPr="00FE754B">
        <w:t>–</w:t>
      </w:r>
      <w:r w:rsidRPr="00FE754B">
        <w:tab/>
        <w:t>having regard to Article 294(2) and Article 43 of the Treaty on the Functioning of the European Union, pursuant to which the Commission submitted the proposal to Parliament (C10</w:t>
      </w:r>
      <w:r w:rsidRPr="00FE754B">
        <w:noBreakHyphen/>
        <w:t>0300/2025),</w:t>
      </w:r>
    </w:p>
    <w:p w:rsidR="004D6703" w:rsidRPr="00FE754B" w:rsidP="004D6703" w14:paraId="6A72831F" w14:textId="77777777">
      <w:pPr>
        <w:pStyle w:val="NormalHanging12a"/>
      </w:pPr>
      <w:r w:rsidRPr="00FE754B">
        <w:t>–</w:t>
      </w:r>
      <w:r w:rsidRPr="00FE754B">
        <w:tab/>
        <w:t>having regard to Article 294(3) of the Treaty on the Functioning of the European Union,</w:t>
      </w:r>
    </w:p>
    <w:p w:rsidR="00FE754B" w:rsidP="003A623E" w14:paraId="715CE73C" w14:textId="77777777">
      <w:pPr>
        <w:pStyle w:val="NormalHanging12a"/>
      </w:pPr>
      <w:r w:rsidRPr="00FE754B">
        <w:t>–</w:t>
      </w:r>
      <w:r w:rsidRPr="00FE754B">
        <w:tab/>
        <w:t>having regard to the opinion of the European Economic and Social Committee of 21 January 2026</w:t>
      </w:r>
      <w:r>
        <w:rPr>
          <w:rStyle w:val="FootnoteReference"/>
        </w:rPr>
        <w:footnoteReference w:id="2"/>
      </w:r>
      <w:r w:rsidRPr="00FE754B">
        <w:t>,</w:t>
      </w:r>
    </w:p>
    <w:p w:rsidR="003A623E" w:rsidRPr="00FE754B" w:rsidP="003A623E" w14:paraId="4BDEA9FA" w14:textId="68ADDF50">
      <w:pPr>
        <w:pStyle w:val="NormalHanging12a"/>
      </w:pPr>
      <w:r w:rsidRPr="00FE754B">
        <w:t>–</w:t>
      </w:r>
      <w:r w:rsidRPr="00FE754B">
        <w:tab/>
        <w:t>having regard to the provisional agreement approved by the responsible committees under Rule 75(4) of its Rules of Procedure and the undertaking given by the Council representative by letter of 15 July 2026 to approve Parliament’s position, in accordance with Article 294(4) of the Treaty on the Functioning of the European Union,</w:t>
      </w:r>
    </w:p>
    <w:p w:rsidR="004D6703" w:rsidRPr="00FE754B" w:rsidP="004D6703" w14:paraId="461D23E3" w14:textId="2B72E67F">
      <w:pPr>
        <w:pStyle w:val="NormalHanging12a"/>
      </w:pPr>
      <w:r w:rsidRPr="00FE754B">
        <w:t>–</w:t>
      </w:r>
      <w:r w:rsidRPr="00FE754B">
        <w:tab/>
        <w:t>having regard to Rule 60 of its Rules of Procedure,</w:t>
      </w:r>
    </w:p>
    <w:p w:rsidR="004D6703" w:rsidRPr="00FE754B" w:rsidP="004D6703" w14:paraId="66F69D52" w14:textId="77777777">
      <w:pPr>
        <w:pStyle w:val="NormalHanging12a"/>
      </w:pPr>
      <w:r w:rsidRPr="00FE754B">
        <w:t>–</w:t>
      </w:r>
      <w:r w:rsidRPr="00FE754B">
        <w:tab/>
        <w:t xml:space="preserve">having regard to the joint deliberations of the Committee on the Environment, Climate </w:t>
      </w:r>
      <w:r w:rsidRPr="00FE754B">
        <w:t>and Food Safety and the Committee on Fisheries under Rule 59 of the Rules of Procedure,</w:t>
      </w:r>
    </w:p>
    <w:p w:rsidR="004D6703" w:rsidRPr="00FE754B" w:rsidP="004D6703" w14:paraId="1DFE352C" w14:textId="77777777">
      <w:pPr>
        <w:pStyle w:val="NormalHanging12a"/>
      </w:pPr>
      <w:r w:rsidRPr="00FE754B">
        <w:t>–</w:t>
      </w:r>
      <w:r w:rsidRPr="00FE754B">
        <w:tab/>
        <w:t>having regard to the report of the Committee on the Environment, Climate and Food Safety and the Committee on Fisheries (A10-0095/2026),</w:t>
      </w:r>
    </w:p>
    <w:p w:rsidR="004D6703" w:rsidRPr="00FE754B" w:rsidP="004D6703" w14:paraId="3C4A9F6B" w14:textId="77777777">
      <w:pPr>
        <w:pStyle w:val="NormalHanging12a"/>
      </w:pPr>
      <w:r w:rsidRPr="00FE754B">
        <w:t>1.</w:t>
      </w:r>
      <w:r w:rsidRPr="00FE754B">
        <w:tab/>
        <w:t>Adopts its position at first reading hereinafter set out;</w:t>
      </w:r>
    </w:p>
    <w:p w:rsidR="004D6703" w:rsidRPr="00FE754B" w:rsidP="004D6703" w14:paraId="15D29BD3" w14:textId="77777777">
      <w:pPr>
        <w:pStyle w:val="NormalHanging12a"/>
      </w:pPr>
      <w:r w:rsidRPr="00FE754B">
        <w:t>2.</w:t>
      </w:r>
      <w:r w:rsidRPr="00FE754B">
        <w:tab/>
        <w:t>Calls on the Commission to refer the matter to Parliament again if it replaces, substantially amends or intends to substantially amend its proposal;</w:t>
      </w:r>
    </w:p>
    <w:p w:rsidR="00452C31" w:rsidRPr="00FE754B" w:rsidP="004D6703" w14:paraId="1CF0DD9C" w14:textId="77777777">
      <w:pPr>
        <w:pStyle w:val="NormalHanging12a"/>
        <w:sectPr w:rsidSect="00F8153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r w:rsidRPr="00FE754B">
        <w:t>3.</w:t>
      </w:r>
      <w:r w:rsidRPr="00FE754B">
        <w:tab/>
        <w:t>Instructs its President to forward its position to the Council, the Commission and the national parliaments.</w:t>
      </w:r>
    </w:p>
    <w:p w:rsidR="00452C31" w:rsidRPr="00FE754B" w:rsidP="00452C31" w14:paraId="39961E44" w14:textId="2CEF2A62">
      <w:pPr>
        <w:autoSpaceDE w:val="0"/>
        <w:autoSpaceDN w:val="0"/>
        <w:adjustRightInd w:val="0"/>
        <w:spacing w:after="240"/>
        <w:rPr>
          <w:rFonts w:eastAsia="Calibri"/>
          <w:b/>
          <w:bCs/>
          <w:color w:val="000000"/>
          <w:szCs w:val="24"/>
        </w:rPr>
      </w:pPr>
      <w:r w:rsidRPr="00FE754B">
        <w:rPr>
          <w:rFonts w:eastAsia="Calibri"/>
          <w:b/>
          <w:bCs/>
          <w:color w:val="000000"/>
          <w:szCs w:val="24"/>
        </w:rPr>
        <w:t>P10_TC1-COD(2025)0349</w:t>
      </w:r>
    </w:p>
    <w:p w:rsidR="00452C31" w:rsidRPr="00FE754B" w:rsidP="00452C31" w14:paraId="337D11CA" w14:textId="5E3510E8">
      <w:pPr>
        <w:widowControl/>
        <w:autoSpaceDE w:val="0"/>
        <w:autoSpaceDN w:val="0"/>
        <w:adjustRightInd w:val="0"/>
        <w:spacing w:before="120" w:after="120"/>
        <w:rPr>
          <w:rFonts w:eastAsia="Aptos"/>
          <w:b/>
          <w:kern w:val="2"/>
          <w:szCs w:val="24"/>
          <w:lang w:eastAsia="en-US"/>
          <w14:ligatures w14:val="standardContextual"/>
        </w:rPr>
      </w:pPr>
      <w:r w:rsidRPr="00FE754B">
        <w:rPr>
          <w:rFonts w:eastAsia="Calibri"/>
          <w:b/>
          <w:bCs/>
          <w:szCs w:val="24"/>
        </w:rPr>
        <w:t xml:space="preserve">Position of the European Parliament adopted at first reading on 7 October 2026 with a view to the adoption of Decision (EU) 2026/… of the European Parliament and of the Council </w:t>
      </w:r>
      <w:bookmarkStart w:id="8" w:name="_DV_M1"/>
      <w:bookmarkStart w:id="9" w:name="_DV_M2"/>
      <w:bookmarkEnd w:id="8"/>
      <w:bookmarkEnd w:id="9"/>
      <w:r w:rsidRPr="00FE754B">
        <w:rPr>
          <w:rFonts w:eastAsia="Aptos"/>
          <w:b/>
          <w:kern w:val="2"/>
          <w:szCs w:val="24"/>
          <w:lang w:eastAsia="en-US"/>
          <w14:ligatures w14:val="standardContextual"/>
        </w:rPr>
        <w:t>empowering France to accede to the Inter-American Convention for the Protection and Conservation of Sea Turtles</w:t>
      </w:r>
    </w:p>
    <w:p w:rsidR="00452C31" w:rsidRPr="00FE754B" w:rsidP="00452C31" w14:paraId="60204FBE" w14:textId="77777777">
      <w:pPr>
        <w:widowControl/>
        <w:spacing w:before="36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THE EUROPEAN PARLIAMENT AND THE COUNCIL OF THE EUROPEAN UNION,</w:t>
      </w:r>
    </w:p>
    <w:p w:rsidR="00452C31" w:rsidRPr="00FE754B" w:rsidP="00452C31" w14:paraId="52A0124D"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Having regard to the Treaty on the Functioning of the European Union, and in particular Article </w:t>
      </w:r>
      <w:r w:rsidRPr="00FE754B">
        <w:rPr>
          <w:rFonts w:eastAsia="Aptos"/>
          <w:b/>
          <w:i/>
          <w:kern w:val="2"/>
          <w:szCs w:val="24"/>
          <w:lang w:eastAsia="en-US"/>
          <w14:ligatures w14:val="standardContextual"/>
        </w:rPr>
        <w:t>43(2)</w:t>
      </w:r>
      <w:r w:rsidRPr="00FE754B">
        <w:rPr>
          <w:rFonts w:eastAsia="Aptos"/>
          <w:kern w:val="2"/>
          <w:szCs w:val="24"/>
          <w:lang w:eastAsia="en-US"/>
          <w14:ligatures w14:val="standardContextual"/>
        </w:rPr>
        <w:t xml:space="preserve"> thereof,</w:t>
      </w:r>
    </w:p>
    <w:p w:rsidR="00452C31" w:rsidRPr="00FE754B" w:rsidP="00452C31" w14:paraId="61EAEB7D"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Having regard to the proposal from the European Commission,</w:t>
      </w:r>
    </w:p>
    <w:p w:rsidR="00452C31" w:rsidRPr="00FE754B" w:rsidP="00452C31" w14:paraId="0C58FA3F"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Having regard to the opinion of the European Economic and Social Committee</w:t>
      </w:r>
      <w:r>
        <w:rPr>
          <w:rFonts w:eastAsia="Aptos" w:cs="Arial"/>
          <w:b/>
          <w:noProof/>
          <w:kern w:val="2"/>
          <w:szCs w:val="24"/>
          <w:bdr w:val="none" w:sz="0" w:space="0" w:color="auto" w:frame="1"/>
          <w:vertAlign w:val="superscript"/>
          <w:lang w:eastAsia="en-US"/>
          <w14:ligatures w14:val="standardContextual"/>
        </w:rPr>
        <w:footnoteReference w:id="3"/>
      </w:r>
      <w:r w:rsidRPr="00FE754B">
        <w:rPr>
          <w:rFonts w:eastAsia="Aptos"/>
          <w:kern w:val="2"/>
          <w:szCs w:val="24"/>
          <w:lang w:eastAsia="en-US"/>
          <w14:ligatures w14:val="standardContextual"/>
        </w:rPr>
        <w:t>,</w:t>
      </w:r>
    </w:p>
    <w:p w:rsidR="00452C31" w:rsidRPr="00FE754B" w:rsidP="00452C31" w14:paraId="4C850293" w14:textId="3A6363A1">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Acting in accordance with the ordinary legislative procedure</w:t>
      </w:r>
      <w:r>
        <w:rPr>
          <w:rFonts w:eastAsia="Calibri"/>
          <w:b/>
          <w:i/>
          <w:iCs/>
          <w:color w:val="000000"/>
          <w:szCs w:val="24"/>
          <w:vertAlign w:val="superscript"/>
          <w:lang w:eastAsia="en-US"/>
        </w:rPr>
        <w:footnoteReference w:id="4"/>
      </w:r>
      <w:r w:rsidRPr="00FE754B">
        <w:rPr>
          <w:rFonts w:eastAsia="Aptos"/>
          <w:kern w:val="2"/>
          <w:szCs w:val="24"/>
          <w:lang w:eastAsia="en-US"/>
          <w14:ligatures w14:val="standardContextual"/>
        </w:rPr>
        <w:t>,</w:t>
      </w:r>
    </w:p>
    <w:p w:rsidR="00452C31" w:rsidRPr="00FE754B" w:rsidP="00452C31" w14:paraId="25C0AA61" w14:textId="77777777">
      <w:pPr>
        <w:widowControl/>
        <w:spacing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br w:type="page"/>
      </w:r>
    </w:p>
    <w:p w:rsidR="00452C31" w:rsidRPr="00FE754B" w:rsidP="00452C31" w14:paraId="6B551112" w14:textId="77777777">
      <w:pPr>
        <w:widowControl/>
        <w:spacing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Whereas:</w:t>
      </w:r>
    </w:p>
    <w:p w:rsidR="00452C31" w:rsidRPr="00FE754B" w:rsidP="00452C31" w14:paraId="397CC478" w14:textId="77777777">
      <w:pPr>
        <w:widowControl/>
        <w:spacing w:before="120" w:after="120" w:line="360" w:lineRule="auto"/>
        <w:ind w:left="851" w:hanging="851"/>
        <w:rPr>
          <w:rFonts w:eastAsia="Aptos"/>
          <w:kern w:val="2"/>
          <w:szCs w:val="24"/>
          <w:lang w:eastAsia="en-US"/>
          <w14:ligatures w14:val="standardContextual"/>
        </w:rPr>
      </w:pPr>
      <w:r w:rsidRPr="00FE754B">
        <w:rPr>
          <w:rFonts w:eastAsia="Aptos"/>
          <w:kern w:val="2"/>
          <w:szCs w:val="24"/>
          <w:lang w:eastAsia="en-US"/>
          <w14:ligatures w14:val="standardContextual"/>
        </w:rPr>
        <w:t>(1)</w:t>
      </w:r>
      <w:r w:rsidRPr="00FE754B">
        <w:rPr>
          <w:rFonts w:eastAsia="Aptos"/>
          <w:kern w:val="2"/>
          <w:szCs w:val="24"/>
          <w:lang w:eastAsia="en-US"/>
          <w14:ligatures w14:val="standardContextual"/>
        </w:rPr>
        <w:tab/>
      </w:r>
      <w:r w:rsidRPr="00FE754B">
        <w:rPr>
          <w:rFonts w:eastAsia="Aptos"/>
          <w:b/>
          <w:i/>
          <w:kern w:val="2"/>
          <w:szCs w:val="24"/>
          <w:lang w:eastAsia="en-US"/>
          <w14:ligatures w14:val="standardContextual"/>
        </w:rPr>
        <w:t>On</w:t>
      </w:r>
      <w:r w:rsidRPr="00FE754B">
        <w:rPr>
          <w:rFonts w:eastAsia="Aptos"/>
          <w:kern w:val="2"/>
          <w:szCs w:val="24"/>
          <w:lang w:eastAsia="en-US"/>
          <w14:ligatures w14:val="standardContextual"/>
        </w:rPr>
        <w:t xml:space="preserve"> 4 February 2025, France requested </w:t>
      </w:r>
      <w:r w:rsidRPr="00FE754B">
        <w:rPr>
          <w:rFonts w:eastAsia="Aptos"/>
          <w:b/>
          <w:i/>
          <w:kern w:val="2"/>
          <w:szCs w:val="24"/>
          <w:lang w:eastAsia="en-US"/>
          <w14:ligatures w14:val="standardContextual"/>
        </w:rPr>
        <w:t>an empowerment from the Union</w:t>
      </w:r>
      <w:r w:rsidRPr="00FE754B">
        <w:rPr>
          <w:rFonts w:eastAsia="Aptos"/>
          <w:kern w:val="2"/>
          <w:szCs w:val="24"/>
          <w:lang w:eastAsia="en-US"/>
          <w14:ligatures w14:val="standardContextual"/>
        </w:rPr>
        <w:t xml:space="preserve"> to accede to the Inter-American Convention for the Protection and Conservation of Sea Turtles</w:t>
      </w:r>
      <w:r w:rsidRPr="00FE754B">
        <w:rPr>
          <w:rFonts w:eastAsia="Aptos" w:cs="Arial"/>
          <w:noProof/>
          <w:kern w:val="2"/>
          <w:szCs w:val="24"/>
          <w:lang w:eastAsia="en-US"/>
          <w14:ligatures w14:val="standardContextual"/>
        </w:rPr>
        <w:t>, done at Caracas on 1 December 1996 (the ‘Convention</w:t>
      </w:r>
      <w:bookmarkStart w:id="10" w:name="_Hlk230261508"/>
      <w:r w:rsidRPr="00FE754B">
        <w:rPr>
          <w:rFonts w:eastAsia="Aptos" w:cs="Arial"/>
          <w:noProof/>
          <w:kern w:val="2"/>
          <w:szCs w:val="24"/>
          <w:lang w:eastAsia="en-US"/>
          <w14:ligatures w14:val="standardContextual"/>
        </w:rPr>
        <w:t>’</w:t>
      </w:r>
      <w:bookmarkEnd w:id="10"/>
      <w:r w:rsidRPr="00FE754B">
        <w:rPr>
          <w:rFonts w:eastAsia="Aptos" w:cs="Arial"/>
          <w:noProof/>
          <w:kern w:val="2"/>
          <w:szCs w:val="24"/>
          <w:lang w:eastAsia="en-US"/>
          <w14:ligatures w14:val="standardContextual"/>
        </w:rPr>
        <w:t xml:space="preserve">), </w:t>
      </w:r>
      <w:r w:rsidRPr="00FE754B">
        <w:rPr>
          <w:rFonts w:eastAsia="Aptos"/>
          <w:kern w:val="2"/>
          <w:szCs w:val="24"/>
          <w:lang w:eastAsia="en-US"/>
          <w14:ligatures w14:val="standardContextual"/>
        </w:rPr>
        <w:t xml:space="preserve">in order to strengthen its cooperation with the countries bordering its territories on the American continents in the area of </w:t>
      </w:r>
      <w:bookmarkStart w:id="11" w:name="_Hlk230261557"/>
      <w:r w:rsidRPr="00FE754B">
        <w:rPr>
          <w:rFonts w:eastAsia="Aptos" w:cs="Arial"/>
          <w:noProof/>
          <w:kern w:val="2"/>
          <w:szCs w:val="24"/>
          <w:lang w:eastAsia="en-US"/>
          <w14:ligatures w14:val="standardContextual"/>
        </w:rPr>
        <w:t>the</w:t>
      </w:r>
      <w:bookmarkEnd w:id="11"/>
      <w:r w:rsidRPr="00FE754B">
        <w:rPr>
          <w:rFonts w:eastAsia="Aptos" w:cs="Arial"/>
          <w:noProof/>
          <w:kern w:val="2"/>
          <w:szCs w:val="24"/>
          <w:lang w:eastAsia="en-US"/>
          <w14:ligatures w14:val="standardContextual"/>
        </w:rPr>
        <w:t xml:space="preserve"> </w:t>
      </w:r>
      <w:r w:rsidRPr="00FE754B">
        <w:rPr>
          <w:rFonts w:eastAsia="Aptos"/>
          <w:kern w:val="2"/>
          <w:szCs w:val="24"/>
          <w:lang w:eastAsia="en-US"/>
          <w14:ligatures w14:val="standardContextual"/>
        </w:rPr>
        <w:t xml:space="preserve">protection of marine turtle species occurring in seas adjacent to the American </w:t>
      </w:r>
      <w:r w:rsidRPr="00FE754B">
        <w:rPr>
          <w:rFonts w:eastAsia="Aptos" w:cs="Arial"/>
          <w:noProof/>
          <w:kern w:val="2"/>
          <w:szCs w:val="24"/>
          <w:lang w:eastAsia="en-US"/>
          <w14:ligatures w14:val="standardContextual"/>
        </w:rPr>
        <w:t xml:space="preserve">continents </w:t>
      </w:r>
      <w:r w:rsidRPr="00FE754B">
        <w:rPr>
          <w:rFonts w:eastAsia="Aptos"/>
          <w:kern w:val="2"/>
          <w:szCs w:val="24"/>
          <w:lang w:eastAsia="en-US"/>
          <w14:ligatures w14:val="standardContextual"/>
        </w:rPr>
        <w:t>and the Caribbean.</w:t>
      </w:r>
    </w:p>
    <w:p w:rsidR="00452C31" w:rsidRPr="00FE754B" w:rsidP="00452C31" w14:paraId="0289FCD9" w14:textId="77777777">
      <w:pPr>
        <w:widowControl/>
        <w:spacing w:before="120" w:after="120" w:line="360" w:lineRule="auto"/>
        <w:ind w:left="851" w:hanging="851"/>
        <w:rPr>
          <w:rFonts w:eastAsia="Aptos"/>
          <w:kern w:val="2"/>
          <w:szCs w:val="24"/>
          <w:lang w:eastAsia="en-US"/>
          <w14:ligatures w14:val="standardContextual"/>
        </w:rPr>
      </w:pPr>
      <w:r w:rsidRPr="00FE754B">
        <w:rPr>
          <w:rFonts w:eastAsia="Aptos"/>
          <w:kern w:val="2"/>
          <w:szCs w:val="24"/>
          <w:lang w:eastAsia="en-US"/>
          <w14:ligatures w14:val="standardContextual"/>
        </w:rPr>
        <w:t>(2)</w:t>
      </w:r>
      <w:r w:rsidRPr="00FE754B">
        <w:rPr>
          <w:rFonts w:eastAsia="Aptos"/>
          <w:kern w:val="2"/>
          <w:szCs w:val="24"/>
          <w:lang w:eastAsia="en-US"/>
          <w14:ligatures w14:val="standardContextual"/>
        </w:rPr>
        <w:tab/>
      </w:r>
      <w:bookmarkStart w:id="12" w:name="_Hlk234519265"/>
      <w:r w:rsidRPr="00FE754B">
        <w:rPr>
          <w:rFonts w:eastAsia="Aptos"/>
          <w:b/>
          <w:i/>
          <w:kern w:val="2"/>
          <w:szCs w:val="24"/>
          <w:lang w:eastAsia="en-US"/>
          <w14:ligatures w14:val="standardContextual"/>
        </w:rPr>
        <w:t>Certain</w:t>
      </w:r>
      <w:r w:rsidRPr="00FE754B">
        <w:rPr>
          <w:rFonts w:eastAsia="Aptos"/>
          <w:kern w:val="2"/>
          <w:szCs w:val="24"/>
          <w:lang w:eastAsia="en-US"/>
          <w14:ligatures w14:val="standardContextual"/>
        </w:rPr>
        <w:t xml:space="preserve"> matters covered by the Convention fall within the Union's exclusive competence. </w:t>
      </w:r>
      <w:bookmarkEnd w:id="12"/>
      <w:r w:rsidRPr="00FE754B">
        <w:rPr>
          <w:rFonts w:eastAsia="Aptos" w:cs="Arial"/>
          <w:noProof/>
          <w:kern w:val="2"/>
          <w:szCs w:val="24"/>
          <w:lang w:eastAsia="en-US"/>
          <w14:ligatures w14:val="standardContextual"/>
        </w:rPr>
        <w:t>In order to accede to the Convention, therefore, France is required to be</w:t>
      </w:r>
      <w:r w:rsidRPr="00FE754B">
        <w:rPr>
          <w:rFonts w:eastAsia="Aptos"/>
          <w:kern w:val="2"/>
          <w:szCs w:val="24"/>
          <w:lang w:eastAsia="en-US"/>
          <w14:ligatures w14:val="standardContextual"/>
        </w:rPr>
        <w:t xml:space="preserve"> empowered by the Union pursuant to Article 2(1) of the Treaty on the Functioning of the European Union (TFEU)</w:t>
      </w:r>
      <w:r w:rsidRPr="00FE754B">
        <w:rPr>
          <w:rFonts w:eastAsia="Aptos"/>
          <w:b/>
          <w:i/>
          <w:kern w:val="2"/>
          <w:szCs w:val="24"/>
          <w:lang w:eastAsia="en-US"/>
          <w14:ligatures w14:val="standardContextual"/>
        </w:rPr>
        <w:t xml:space="preserve"> for matters falling under the Union's exclusive competence</w:t>
      </w:r>
      <w:r w:rsidRPr="00FE754B">
        <w:rPr>
          <w:rFonts w:eastAsia="Aptos"/>
          <w:kern w:val="2"/>
          <w:szCs w:val="24"/>
          <w:lang w:eastAsia="en-US"/>
          <w14:ligatures w14:val="standardContextual"/>
        </w:rPr>
        <w:t>.</w:t>
      </w:r>
      <w:r w:rsidRPr="00FE754B">
        <w:rPr>
          <w:rFonts w:eastAsia="Aptos"/>
          <w:b/>
          <w:i/>
          <w:kern w:val="2"/>
          <w:szCs w:val="24"/>
          <w:lang w:eastAsia="en-US"/>
          <w14:ligatures w14:val="standardContextual"/>
        </w:rPr>
        <w:t xml:space="preserve"> This Decision does not constitute an exercise of external competence by the Union as regards matters covered by the Convention that do not relate to an exclusive competence.</w:t>
      </w:r>
    </w:p>
    <w:p w:rsidR="00452C31" w:rsidRPr="00FE754B" w:rsidP="00452C31" w14:paraId="02B5CEBA" w14:textId="77777777">
      <w:pPr>
        <w:widowControl/>
        <w:spacing w:before="120" w:after="120" w:line="360" w:lineRule="auto"/>
        <w:ind w:left="851" w:hanging="851"/>
        <w:rPr>
          <w:rFonts w:eastAsia="Aptos"/>
          <w:kern w:val="2"/>
          <w:szCs w:val="24"/>
          <w:lang w:eastAsia="en-US"/>
          <w14:ligatures w14:val="standardContextual"/>
        </w:rPr>
      </w:pPr>
      <w:bookmarkStart w:id="13" w:name="_Hlk234231303"/>
      <w:r w:rsidRPr="00FE754B">
        <w:rPr>
          <w:rFonts w:eastAsia="Aptos"/>
          <w:kern w:val="2"/>
          <w:szCs w:val="24"/>
          <w:lang w:eastAsia="en-US"/>
          <w14:ligatures w14:val="standardContextual"/>
        </w:rPr>
        <w:t>(3)</w:t>
      </w:r>
      <w:r w:rsidRPr="00FE754B">
        <w:rPr>
          <w:rFonts w:eastAsia="Aptos"/>
          <w:kern w:val="2"/>
          <w:szCs w:val="24"/>
          <w:lang w:eastAsia="en-US"/>
          <w14:ligatures w14:val="standardContextual"/>
        </w:rPr>
        <w:tab/>
        <w:t>The Convention is in line with the Union’s</w:t>
      </w:r>
      <w:r w:rsidRPr="00FE754B">
        <w:rPr>
          <w:rFonts w:eastAsia="Aptos"/>
          <w:b/>
          <w:i/>
          <w:kern w:val="2"/>
          <w:szCs w:val="24"/>
          <w:lang w:eastAsia="en-US"/>
          <w14:ligatures w14:val="standardContextual"/>
        </w:rPr>
        <w:t xml:space="preserve"> policies in the fields of the protection of</w:t>
      </w:r>
      <w:r w:rsidRPr="00FE754B">
        <w:rPr>
          <w:rFonts w:eastAsia="Aptos"/>
          <w:kern w:val="2"/>
          <w:szCs w:val="24"/>
          <w:lang w:eastAsia="en-US"/>
          <w14:ligatures w14:val="standardContextual"/>
        </w:rPr>
        <w:t xml:space="preserve"> marine biological resources </w:t>
      </w:r>
      <w:r w:rsidRPr="00FE754B">
        <w:rPr>
          <w:rFonts w:eastAsia="Aptos"/>
          <w:b/>
          <w:i/>
          <w:kern w:val="2"/>
          <w:szCs w:val="24"/>
          <w:lang w:eastAsia="en-US"/>
          <w14:ligatures w14:val="standardContextual"/>
        </w:rPr>
        <w:t>and the environment</w:t>
      </w:r>
      <w:r w:rsidRPr="00FE754B">
        <w:rPr>
          <w:rFonts w:eastAsia="Aptos" w:cs="Arial"/>
          <w:noProof/>
          <w:kern w:val="2"/>
          <w:szCs w:val="24"/>
          <w:lang w:eastAsia="en-US"/>
          <w14:ligatures w14:val="standardContextual"/>
        </w:rPr>
        <w:t xml:space="preserve">, in particular </w:t>
      </w:r>
      <w:r w:rsidRPr="00FE754B">
        <w:rPr>
          <w:rFonts w:eastAsia="Aptos"/>
          <w:b/>
          <w:i/>
          <w:kern w:val="2"/>
          <w:szCs w:val="24"/>
          <w:lang w:eastAsia="en-US"/>
          <w14:ligatures w14:val="standardContextual"/>
        </w:rPr>
        <w:t>as regards</w:t>
      </w:r>
      <w:r w:rsidRPr="00FE754B">
        <w:rPr>
          <w:rFonts w:eastAsia="Aptos"/>
          <w:kern w:val="2"/>
          <w:szCs w:val="24"/>
          <w:lang w:eastAsia="en-US"/>
          <w14:ligatures w14:val="standardContextual"/>
        </w:rPr>
        <w:t xml:space="preserve"> measures</w:t>
      </w:r>
      <w:r w:rsidRPr="00FE754B">
        <w:rPr>
          <w:rFonts w:eastAsia="Aptos"/>
          <w:b/>
          <w:i/>
          <w:kern w:val="2"/>
          <w:szCs w:val="24"/>
          <w:lang w:eastAsia="en-US"/>
          <w14:ligatures w14:val="standardContextual"/>
        </w:rPr>
        <w:t xml:space="preserve"> for the protection and conservation of</w:t>
      </w:r>
      <w:r w:rsidRPr="00FE754B">
        <w:rPr>
          <w:rFonts w:eastAsia="Aptos"/>
          <w:kern w:val="2"/>
          <w:szCs w:val="24"/>
          <w:lang w:eastAsia="en-US"/>
          <w14:ligatures w14:val="standardContextual"/>
        </w:rPr>
        <w:t xml:space="preserve"> sea turtles</w:t>
      </w:r>
      <w:r w:rsidRPr="00FE754B">
        <w:rPr>
          <w:rFonts w:eastAsia="Aptos"/>
          <w:b/>
          <w:i/>
          <w:kern w:val="2"/>
          <w:szCs w:val="24"/>
          <w:lang w:eastAsia="en-US"/>
          <w14:ligatures w14:val="standardContextual"/>
        </w:rPr>
        <w:t>. Since the Convention</w:t>
      </w:r>
      <w:r w:rsidRPr="00FE754B">
        <w:rPr>
          <w:rFonts w:eastAsia="Aptos"/>
          <w:kern w:val="2"/>
          <w:szCs w:val="24"/>
          <w:lang w:eastAsia="en-US"/>
          <w14:ligatures w14:val="standardContextual"/>
        </w:rPr>
        <w:t xml:space="preserve"> is open for accession to States on the American continents and in the Caribbean </w:t>
      </w:r>
      <w:r w:rsidRPr="00FE754B">
        <w:rPr>
          <w:rFonts w:eastAsia="Aptos" w:cs="Arial"/>
          <w:noProof/>
          <w:color w:val="000000"/>
          <w:kern w:val="2"/>
          <w:szCs w:val="24"/>
          <w:u w:color="000000"/>
          <w:lang w:eastAsia="en-US"/>
          <w14:ligatures w14:val="standardContextual"/>
        </w:rPr>
        <w:t>▌</w:t>
      </w:r>
      <w:r w:rsidRPr="00FE754B">
        <w:rPr>
          <w:rFonts w:eastAsia="Aptos"/>
          <w:kern w:val="2"/>
          <w:szCs w:val="24"/>
          <w:lang w:eastAsia="en-US"/>
          <w14:ligatures w14:val="standardContextual"/>
        </w:rPr>
        <w:t>, it is appropriate</w:t>
      </w:r>
      <w:r w:rsidRPr="00FE754B">
        <w:rPr>
          <w:rFonts w:eastAsia="Aptos" w:cs="Arial"/>
          <w:noProof/>
          <w:kern w:val="2"/>
          <w:szCs w:val="24"/>
          <w:lang w:eastAsia="en-US"/>
          <w14:ligatures w14:val="standardContextual"/>
        </w:rPr>
        <w:t xml:space="preserve"> for </w:t>
      </w:r>
      <w:r w:rsidRPr="00FE754B">
        <w:rPr>
          <w:rFonts w:eastAsia="Aptos"/>
          <w:kern w:val="2"/>
          <w:szCs w:val="24"/>
          <w:lang w:eastAsia="en-US"/>
          <w14:ligatures w14:val="standardContextual"/>
        </w:rPr>
        <w:t xml:space="preserve">the Union </w:t>
      </w:r>
      <w:r w:rsidRPr="00FE754B">
        <w:rPr>
          <w:rFonts w:eastAsia="Aptos" w:cs="Arial"/>
          <w:noProof/>
          <w:kern w:val="2"/>
          <w:szCs w:val="24"/>
          <w:lang w:eastAsia="en-US"/>
          <w14:ligatures w14:val="standardContextual"/>
        </w:rPr>
        <w:t xml:space="preserve">to empower </w:t>
      </w:r>
      <w:r w:rsidRPr="00FE754B">
        <w:rPr>
          <w:rFonts w:eastAsia="Aptos"/>
          <w:kern w:val="2"/>
          <w:szCs w:val="24"/>
          <w:lang w:eastAsia="en-US"/>
          <w14:ligatures w14:val="standardContextual"/>
        </w:rPr>
        <w:t xml:space="preserve">France to accede to </w:t>
      </w:r>
      <w:r w:rsidRPr="00FE754B">
        <w:rPr>
          <w:rFonts w:eastAsia="Aptos"/>
          <w:b/>
          <w:i/>
          <w:kern w:val="2"/>
          <w:szCs w:val="24"/>
          <w:lang w:eastAsia="en-US"/>
          <w14:ligatures w14:val="standardContextual"/>
        </w:rPr>
        <w:t>it</w:t>
      </w:r>
      <w:r w:rsidRPr="00FE754B">
        <w:rPr>
          <w:rFonts w:eastAsia="Aptos"/>
          <w:kern w:val="2"/>
          <w:szCs w:val="24"/>
          <w:lang w:eastAsia="en-US"/>
          <w14:ligatures w14:val="standardContextual"/>
        </w:rPr>
        <w:t xml:space="preserve">. </w:t>
      </w:r>
    </w:p>
    <w:bookmarkEnd w:id="13"/>
    <w:p w:rsidR="00452C31" w:rsidRPr="00FE754B" w:rsidP="00452C31" w14:paraId="13C86A66" w14:textId="77777777">
      <w:pPr>
        <w:widowControl/>
        <w:spacing w:after="160" w:line="278" w:lineRule="auto"/>
        <w:rPr>
          <w:rFonts w:eastAsia="Aptos"/>
          <w:b/>
          <w:i/>
          <w:kern w:val="2"/>
          <w:szCs w:val="24"/>
          <w:lang w:eastAsia="en-US"/>
          <w14:ligatures w14:val="standardContextual"/>
        </w:rPr>
      </w:pPr>
      <w:r w:rsidRPr="00FE754B">
        <w:rPr>
          <w:rFonts w:eastAsia="Aptos"/>
          <w:b/>
          <w:i/>
          <w:kern w:val="2"/>
          <w:szCs w:val="24"/>
          <w:lang w:eastAsia="en-US"/>
          <w14:ligatures w14:val="standardContextual"/>
        </w:rPr>
        <w:br w:type="page"/>
      </w:r>
    </w:p>
    <w:p w:rsidR="00452C31" w:rsidRPr="00FE754B" w:rsidP="00452C31" w14:paraId="0AA697B5" w14:textId="77777777">
      <w:pPr>
        <w:widowControl/>
        <w:spacing w:before="120" w:after="120" w:line="360" w:lineRule="auto"/>
        <w:ind w:left="851" w:hanging="851"/>
        <w:rPr>
          <w:rFonts w:eastAsia="Aptos"/>
          <w:kern w:val="2"/>
          <w:szCs w:val="24"/>
          <w:lang w:eastAsia="en-US"/>
          <w14:ligatures w14:val="standardContextual"/>
        </w:rPr>
      </w:pPr>
      <w:r w:rsidRPr="00FE754B">
        <w:rPr>
          <w:rFonts w:eastAsia="Aptos"/>
          <w:b/>
          <w:i/>
          <w:kern w:val="2"/>
          <w:szCs w:val="24"/>
          <w:lang w:eastAsia="en-US"/>
          <w14:ligatures w14:val="standardContextual"/>
        </w:rPr>
        <w:t>(4)</w:t>
      </w:r>
      <w:r w:rsidRPr="00FE754B">
        <w:rPr>
          <w:rFonts w:eastAsia="Aptos"/>
          <w:kern w:val="2"/>
          <w:szCs w:val="24"/>
          <w:lang w:eastAsia="en-US"/>
          <w14:ligatures w14:val="standardContextual"/>
        </w:rPr>
        <w:tab/>
      </w:r>
      <w:r w:rsidRPr="00FE754B">
        <w:rPr>
          <w:rFonts w:eastAsia="Aptos"/>
          <w:b/>
          <w:i/>
          <w:kern w:val="2"/>
          <w:szCs w:val="24"/>
          <w:lang w:eastAsia="en-US"/>
          <w14:ligatures w14:val="standardContextual"/>
        </w:rPr>
        <w:t>French overseas countries and territories listed in Annex II to the TFEU, and their waters, are outside the territorial scope of the Treaties as regards, inter alia, the matters covered by the Convention for which the Union has exclusive competence. Therefore, this Decision is without prejudice to any rights or obligations of France that arise from the accession to the Convention in respect of those countries and territories, and their waters.</w:t>
      </w:r>
    </w:p>
    <w:p w:rsidR="00452C31" w:rsidRPr="00FE754B" w:rsidP="00452C31" w14:paraId="34169FA3" w14:textId="77777777">
      <w:pPr>
        <w:widowControl/>
        <w:spacing w:before="120" w:after="120" w:line="360" w:lineRule="auto"/>
        <w:ind w:left="851" w:hanging="851"/>
        <w:rPr>
          <w:rFonts w:eastAsia="Aptos"/>
          <w:kern w:val="2"/>
          <w:szCs w:val="24"/>
          <w:lang w:eastAsia="en-US"/>
          <w14:ligatures w14:val="standardContextual"/>
        </w:rPr>
      </w:pPr>
      <w:r w:rsidRPr="00FE754B">
        <w:rPr>
          <w:rFonts w:eastAsia="Aptos"/>
          <w:b/>
          <w:i/>
          <w:kern w:val="2"/>
          <w:szCs w:val="24"/>
          <w:lang w:eastAsia="en-US"/>
          <w14:ligatures w14:val="standardContextual"/>
        </w:rPr>
        <w:t>(5)</w:t>
      </w:r>
      <w:r w:rsidRPr="00FE754B">
        <w:rPr>
          <w:rFonts w:eastAsia="Aptos"/>
          <w:kern w:val="2"/>
          <w:szCs w:val="24"/>
          <w:lang w:eastAsia="en-US"/>
          <w14:ligatures w14:val="standardContextual"/>
        </w:rPr>
        <w:tab/>
      </w:r>
      <w:r w:rsidRPr="00FE754B">
        <w:rPr>
          <w:rFonts w:eastAsia="Aptos"/>
          <w:b/>
          <w:i/>
          <w:kern w:val="2"/>
          <w:szCs w:val="24"/>
          <w:lang w:eastAsia="en-US"/>
          <w14:ligatures w14:val="standardContextual"/>
        </w:rPr>
        <w:t>Certain French outermost regions that are situated within the area of application of the Convention, such as French Guiana, are exposed to illegal fishing activities which result in the incidental capture of large numbers of sea turtles. Cooperation with neighbouring countries is required in order to safeguard these protected species and to ensure the integrity of their habitats. Such cooperation would be facilitated by joining the Convention.</w:t>
      </w:r>
    </w:p>
    <w:p w:rsidR="00452C31" w:rsidRPr="00FE754B" w:rsidP="00452C31" w14:paraId="62F7104A" w14:textId="77777777">
      <w:pPr>
        <w:widowControl/>
        <w:spacing w:before="120" w:after="120" w:line="360" w:lineRule="auto"/>
        <w:ind w:left="851" w:hanging="851"/>
        <w:rPr>
          <w:rFonts w:eastAsia="Aptos"/>
          <w:kern w:val="2"/>
          <w:szCs w:val="24"/>
          <w:lang w:eastAsia="en-US"/>
          <w14:ligatures w14:val="standardContextual"/>
        </w:rPr>
      </w:pPr>
      <w:r w:rsidRPr="00FE754B">
        <w:rPr>
          <w:rFonts w:eastAsia="Aptos"/>
          <w:kern w:val="2"/>
          <w:szCs w:val="24"/>
          <w:lang w:eastAsia="en-US"/>
          <w14:ligatures w14:val="standardContextual"/>
        </w:rPr>
        <w:t>(6)</w:t>
      </w:r>
      <w:r w:rsidRPr="00FE754B">
        <w:rPr>
          <w:rFonts w:eastAsia="Aptos"/>
          <w:kern w:val="2"/>
          <w:szCs w:val="24"/>
          <w:lang w:eastAsia="en-US"/>
          <w14:ligatures w14:val="standardContextual"/>
        </w:rPr>
        <w:tab/>
        <w:t xml:space="preserve">France should </w:t>
      </w:r>
      <w:r w:rsidRPr="00FE754B">
        <w:rPr>
          <w:rFonts w:eastAsia="Aptos"/>
          <w:b/>
          <w:i/>
          <w:kern w:val="2"/>
          <w:szCs w:val="24"/>
          <w:lang w:eastAsia="en-US"/>
          <w14:ligatures w14:val="standardContextual"/>
        </w:rPr>
        <w:t>inform</w:t>
      </w:r>
      <w:r w:rsidRPr="00FE754B">
        <w:rPr>
          <w:rFonts w:eastAsia="Aptos"/>
          <w:kern w:val="2"/>
          <w:szCs w:val="24"/>
          <w:lang w:eastAsia="en-US"/>
          <w14:ligatures w14:val="standardContextual"/>
        </w:rPr>
        <w:t xml:space="preserve"> the European Parliament, the Council and the Commission of </w:t>
      </w:r>
      <w:r w:rsidRPr="00FE754B">
        <w:rPr>
          <w:rFonts w:eastAsia="Aptos" w:cs="Arial"/>
          <w:noProof/>
          <w:kern w:val="2"/>
          <w:szCs w:val="24"/>
          <w:lang w:eastAsia="en-US"/>
          <w14:ligatures w14:val="standardContextual"/>
        </w:rPr>
        <w:t xml:space="preserve">its accession </w:t>
      </w:r>
      <w:r w:rsidRPr="00FE754B">
        <w:rPr>
          <w:rFonts w:eastAsia="Aptos"/>
          <w:kern w:val="2"/>
          <w:szCs w:val="24"/>
          <w:lang w:eastAsia="en-US"/>
          <w14:ligatures w14:val="standardContextual"/>
        </w:rPr>
        <w:t xml:space="preserve">to the Convention. France should </w:t>
      </w:r>
      <w:r w:rsidRPr="00FE754B">
        <w:rPr>
          <w:rFonts w:eastAsia="Aptos"/>
          <w:b/>
          <w:i/>
          <w:kern w:val="2"/>
          <w:szCs w:val="24"/>
          <w:lang w:eastAsia="en-US"/>
          <w14:ligatures w14:val="standardContextual"/>
        </w:rPr>
        <w:t>consult</w:t>
      </w:r>
      <w:r w:rsidRPr="00FE754B">
        <w:rPr>
          <w:rFonts w:eastAsia="Aptos"/>
          <w:kern w:val="2"/>
          <w:szCs w:val="24"/>
          <w:lang w:eastAsia="en-US"/>
          <w14:ligatures w14:val="standardContextual"/>
        </w:rPr>
        <w:t xml:space="preserve"> the Commission</w:t>
      </w:r>
      <w:r w:rsidRPr="00FE754B">
        <w:rPr>
          <w:rFonts w:eastAsia="Aptos"/>
          <w:b/>
          <w:i/>
          <w:kern w:val="2"/>
          <w:szCs w:val="24"/>
          <w:lang w:eastAsia="en-US"/>
          <w14:ligatures w14:val="standardContextual"/>
        </w:rPr>
        <w:t xml:space="preserve"> and relevant stakeholders, in particular local stakeholders,</w:t>
      </w:r>
      <w:r w:rsidRPr="00FE754B">
        <w:rPr>
          <w:rFonts w:eastAsia="Aptos"/>
          <w:kern w:val="2"/>
          <w:szCs w:val="24"/>
          <w:lang w:eastAsia="en-US"/>
          <w14:ligatures w14:val="standardContextual"/>
        </w:rPr>
        <w:t xml:space="preserve"> on positions related to decisions, measures and recommendations taken under the Convention and regularly </w:t>
      </w:r>
      <w:r w:rsidRPr="00FE754B">
        <w:rPr>
          <w:rFonts w:eastAsia="Aptos" w:cs="Arial"/>
          <w:noProof/>
          <w:kern w:val="2"/>
          <w:szCs w:val="24"/>
          <w:lang w:eastAsia="en-US"/>
          <w14:ligatures w14:val="standardContextual"/>
        </w:rPr>
        <w:t xml:space="preserve">inform the Commission </w:t>
      </w:r>
      <w:r w:rsidRPr="00FE754B">
        <w:rPr>
          <w:rFonts w:eastAsia="Aptos"/>
          <w:kern w:val="2"/>
          <w:szCs w:val="24"/>
          <w:lang w:eastAsia="en-US"/>
          <w14:ligatures w14:val="standardContextual"/>
        </w:rPr>
        <w:t xml:space="preserve">of the adoption of </w:t>
      </w:r>
      <w:r w:rsidRPr="00FE754B">
        <w:rPr>
          <w:rFonts w:eastAsia="Aptos"/>
          <w:b/>
          <w:i/>
          <w:kern w:val="2"/>
          <w:szCs w:val="24"/>
          <w:lang w:eastAsia="en-US"/>
          <w14:ligatures w14:val="standardContextual"/>
        </w:rPr>
        <w:t>such</w:t>
      </w:r>
      <w:r w:rsidRPr="00FE754B">
        <w:rPr>
          <w:rFonts w:eastAsia="Aptos"/>
          <w:kern w:val="2"/>
          <w:szCs w:val="24"/>
          <w:lang w:eastAsia="en-US"/>
          <w14:ligatures w14:val="standardContextual"/>
        </w:rPr>
        <w:t xml:space="preserve"> decisions</w:t>
      </w:r>
      <w:r w:rsidRPr="00FE754B">
        <w:rPr>
          <w:rFonts w:eastAsia="Aptos"/>
          <w:b/>
          <w:i/>
          <w:kern w:val="2"/>
          <w:szCs w:val="24"/>
          <w:lang w:eastAsia="en-US"/>
          <w14:ligatures w14:val="standardContextual"/>
        </w:rPr>
        <w:t xml:space="preserve">, </w:t>
      </w:r>
      <w:r w:rsidRPr="00FE754B">
        <w:rPr>
          <w:rFonts w:eastAsia="Aptos"/>
          <w:kern w:val="2"/>
          <w:szCs w:val="24"/>
          <w:lang w:eastAsia="en-US"/>
          <w14:ligatures w14:val="standardContextual"/>
        </w:rPr>
        <w:t>measures and recommendations.</w:t>
      </w:r>
      <w:r w:rsidRPr="00FE754B">
        <w:rPr>
          <w:rFonts w:eastAsia="Aptos"/>
          <w:b/>
          <w:i/>
          <w:kern w:val="2"/>
          <w:szCs w:val="24"/>
          <w:lang w:eastAsia="en-US"/>
          <w14:ligatures w14:val="standardContextual"/>
        </w:rPr>
        <w:t xml:space="preserve"> The European Parliament can invite the Commission to keep it informed of the decisions, measures and recommendations taken under the Convention. France should also make its annual report referred to in Article XI of the Convention available to the European Parliament, the Council and the Commission,</w:t>
      </w:r>
    </w:p>
    <w:p w:rsidR="00452C31" w:rsidRPr="00FE754B" w:rsidP="00452C31" w14:paraId="3B38D9F9"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HAVE ADOPTED THIS DECISION:</w:t>
      </w:r>
    </w:p>
    <w:p w:rsidR="00452C31" w:rsidRPr="00FE754B" w:rsidP="00452C31" w14:paraId="0F0EFF4D" w14:textId="77777777">
      <w:pPr>
        <w:widowControl/>
        <w:spacing w:after="160" w:line="278" w:lineRule="auto"/>
        <w:rPr>
          <w:rFonts w:eastAsia="Aptos"/>
          <w:i/>
          <w:kern w:val="2"/>
          <w:szCs w:val="24"/>
          <w:lang w:eastAsia="en-US"/>
          <w14:ligatures w14:val="standardContextual"/>
        </w:rPr>
      </w:pPr>
      <w:r w:rsidRPr="00FE754B">
        <w:rPr>
          <w:rFonts w:eastAsia="Aptos"/>
          <w:i/>
          <w:kern w:val="2"/>
          <w:szCs w:val="24"/>
          <w:lang w:eastAsia="en-US"/>
          <w14:ligatures w14:val="standardContextual"/>
        </w:rPr>
        <w:br w:type="page"/>
      </w:r>
    </w:p>
    <w:p w:rsidR="00452C31" w:rsidRPr="00FE754B" w:rsidP="00452C31" w14:paraId="4D64D848" w14:textId="77777777">
      <w:pPr>
        <w:widowControl/>
        <w:spacing w:before="240" w:after="120" w:line="360" w:lineRule="auto"/>
        <w:jc w:val="center"/>
        <w:rPr>
          <w:rFonts w:eastAsia="Aptos"/>
          <w:i/>
          <w:kern w:val="2"/>
          <w:szCs w:val="24"/>
          <w:lang w:eastAsia="en-US"/>
          <w14:ligatures w14:val="standardContextual"/>
        </w:rPr>
      </w:pPr>
      <w:r w:rsidRPr="00FE754B">
        <w:rPr>
          <w:rFonts w:eastAsia="Aptos"/>
          <w:i/>
          <w:kern w:val="2"/>
          <w:szCs w:val="24"/>
          <w:lang w:eastAsia="en-US"/>
          <w14:ligatures w14:val="standardContextual"/>
        </w:rPr>
        <w:t>Article 1</w:t>
      </w:r>
    </w:p>
    <w:p w:rsidR="00452C31" w:rsidRPr="00FE754B" w:rsidP="00452C31" w14:paraId="30CA1B8C" w14:textId="77777777">
      <w:pPr>
        <w:widowControl/>
        <w:spacing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France is hereby empowered to accede to the Inter-American Convention for the Protection and Conservation of Sea Turtles</w:t>
      </w:r>
      <w:r w:rsidRPr="00FE754B">
        <w:rPr>
          <w:rFonts w:eastAsia="Aptos" w:cs="Arial"/>
          <w:noProof/>
          <w:kern w:val="2"/>
          <w:szCs w:val="24"/>
          <w:lang w:eastAsia="en-US"/>
          <w14:ligatures w14:val="standardContextual"/>
        </w:rPr>
        <w:t>, done at Caracas on 1 December 1996 (the ‘Convention’)</w:t>
      </w:r>
      <w:r w:rsidRPr="00FE754B">
        <w:rPr>
          <w:rFonts w:eastAsia="Aptos"/>
          <w:kern w:val="2"/>
          <w:szCs w:val="24"/>
          <w:lang w:eastAsia="en-US"/>
          <w14:ligatures w14:val="standardContextual"/>
        </w:rPr>
        <w:t>.</w:t>
      </w:r>
    </w:p>
    <w:p w:rsidR="00452C31" w:rsidRPr="00FE754B" w:rsidP="00452C31" w14:paraId="548F9815" w14:textId="77777777">
      <w:pPr>
        <w:widowControl/>
        <w:spacing w:before="360" w:after="120" w:line="360" w:lineRule="auto"/>
        <w:jc w:val="center"/>
        <w:rPr>
          <w:rFonts w:eastAsia="Aptos"/>
          <w:i/>
          <w:kern w:val="2"/>
          <w:szCs w:val="24"/>
          <w:lang w:eastAsia="en-US"/>
          <w14:ligatures w14:val="standardContextual"/>
        </w:rPr>
      </w:pPr>
      <w:r w:rsidRPr="00FE754B">
        <w:rPr>
          <w:rFonts w:eastAsia="Aptos"/>
          <w:i/>
          <w:kern w:val="2"/>
          <w:szCs w:val="24"/>
          <w:lang w:eastAsia="en-US"/>
          <w14:ligatures w14:val="standardContextual"/>
        </w:rPr>
        <w:t>Article 2</w:t>
      </w:r>
    </w:p>
    <w:p w:rsidR="00452C31" w:rsidRPr="00FE754B" w:rsidP="00452C31" w14:paraId="23CA4FBF"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 xml:space="preserve">France </w:t>
      </w:r>
      <w:r w:rsidRPr="00FE754B">
        <w:rPr>
          <w:rFonts w:eastAsia="Aptos"/>
          <w:b/>
          <w:i/>
          <w:kern w:val="2"/>
          <w:szCs w:val="24"/>
          <w:lang w:eastAsia="en-US"/>
          <w14:ligatures w14:val="standardContextual"/>
        </w:rPr>
        <w:t>shall</w:t>
      </w:r>
      <w:r w:rsidRPr="00FE754B">
        <w:rPr>
          <w:rFonts w:eastAsia="Aptos"/>
          <w:kern w:val="2"/>
          <w:szCs w:val="24"/>
          <w:lang w:eastAsia="en-US"/>
          <w14:ligatures w14:val="standardContextual"/>
        </w:rPr>
        <w:t xml:space="preserve"> inform the European Parliament</w:t>
      </w:r>
      <w:r w:rsidRPr="00FE754B">
        <w:rPr>
          <w:rFonts w:eastAsia="Aptos"/>
          <w:b/>
          <w:i/>
          <w:kern w:val="2"/>
          <w:szCs w:val="24"/>
          <w:lang w:eastAsia="en-US"/>
          <w14:ligatures w14:val="standardContextual"/>
        </w:rPr>
        <w:t>,</w:t>
      </w:r>
      <w:r w:rsidRPr="00FE754B">
        <w:rPr>
          <w:rFonts w:eastAsia="Aptos"/>
          <w:kern w:val="2"/>
          <w:szCs w:val="24"/>
          <w:lang w:eastAsia="en-US"/>
          <w14:ligatures w14:val="standardContextual"/>
        </w:rPr>
        <w:t xml:space="preserve"> the Council</w:t>
      </w:r>
      <w:r w:rsidRPr="00FE754B">
        <w:rPr>
          <w:rFonts w:eastAsia="Aptos"/>
          <w:b/>
          <w:i/>
          <w:kern w:val="2"/>
          <w:szCs w:val="24"/>
          <w:lang w:eastAsia="en-US"/>
          <w14:ligatures w14:val="standardContextual"/>
        </w:rPr>
        <w:t xml:space="preserve"> and the Commission</w:t>
      </w:r>
      <w:r w:rsidRPr="00FE754B">
        <w:rPr>
          <w:rFonts w:eastAsia="Aptos"/>
          <w:kern w:val="2"/>
          <w:szCs w:val="24"/>
          <w:lang w:eastAsia="en-US"/>
          <w14:ligatures w14:val="standardContextual"/>
        </w:rPr>
        <w:t xml:space="preserve"> of its accession to the Convention. </w:t>
      </w:r>
    </w:p>
    <w:p w:rsidR="00452C31" w:rsidRPr="00FE754B" w:rsidP="00452C31" w14:paraId="23621E5E"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France shall consult the Commission</w:t>
      </w:r>
      <w:r w:rsidRPr="00FE754B">
        <w:rPr>
          <w:rFonts w:eastAsia="Aptos"/>
          <w:b/>
          <w:i/>
          <w:kern w:val="2"/>
          <w:szCs w:val="24"/>
          <w:lang w:eastAsia="en-US"/>
          <w14:ligatures w14:val="standardContextual"/>
        </w:rPr>
        <w:t xml:space="preserve"> and relevant stakeholders, in particular local stakeholders,</w:t>
      </w:r>
      <w:r w:rsidRPr="00FE754B">
        <w:rPr>
          <w:rFonts w:eastAsia="Aptos"/>
          <w:kern w:val="2"/>
          <w:szCs w:val="24"/>
          <w:lang w:eastAsia="en-US"/>
          <w14:ligatures w14:val="standardContextual"/>
        </w:rPr>
        <w:t xml:space="preserve"> on positions related to decisions, measures and recommendations taken under the Convention and </w:t>
      </w:r>
      <w:r w:rsidRPr="00FE754B">
        <w:rPr>
          <w:rFonts w:eastAsia="Aptos" w:cs="Arial"/>
          <w:noProof/>
          <w:kern w:val="2"/>
          <w:szCs w:val="24"/>
          <w:lang w:eastAsia="en-US"/>
          <w14:ligatures w14:val="standardContextual"/>
        </w:rPr>
        <w:t xml:space="preserve">regularly inform </w:t>
      </w:r>
      <w:r w:rsidRPr="00FE754B">
        <w:rPr>
          <w:rFonts w:eastAsia="Aptos"/>
          <w:kern w:val="2"/>
          <w:szCs w:val="24"/>
          <w:lang w:eastAsia="en-US"/>
          <w14:ligatures w14:val="standardContextual"/>
        </w:rPr>
        <w:t>the Commission</w:t>
      </w:r>
      <w:r w:rsidRPr="00FE754B">
        <w:rPr>
          <w:rFonts w:eastAsia="Aptos" w:cs="Arial"/>
          <w:noProof/>
          <w:kern w:val="2"/>
          <w:szCs w:val="24"/>
          <w:lang w:eastAsia="en-US"/>
          <w14:ligatures w14:val="standardContextual"/>
        </w:rPr>
        <w:t xml:space="preserve"> </w:t>
      </w:r>
      <w:r w:rsidRPr="00FE754B">
        <w:rPr>
          <w:rFonts w:eastAsia="Aptos"/>
          <w:kern w:val="2"/>
          <w:szCs w:val="24"/>
          <w:lang w:eastAsia="en-US"/>
          <w14:ligatures w14:val="standardContextual"/>
        </w:rPr>
        <w:t xml:space="preserve">of the adoption of </w:t>
      </w:r>
      <w:r w:rsidRPr="00FE754B">
        <w:rPr>
          <w:rFonts w:eastAsia="Aptos"/>
          <w:b/>
          <w:i/>
          <w:kern w:val="2"/>
          <w:szCs w:val="24"/>
          <w:lang w:eastAsia="en-US"/>
          <w14:ligatures w14:val="standardContextual"/>
        </w:rPr>
        <w:t xml:space="preserve">such </w:t>
      </w:r>
      <w:r w:rsidRPr="00FE754B">
        <w:rPr>
          <w:rFonts w:eastAsia="Aptos"/>
          <w:kern w:val="2"/>
          <w:szCs w:val="24"/>
          <w:lang w:eastAsia="en-US"/>
          <w14:ligatures w14:val="standardContextual"/>
        </w:rPr>
        <w:t>decisions, measures and recommendations.</w:t>
      </w:r>
    </w:p>
    <w:p w:rsidR="00452C31" w:rsidRPr="00FE754B" w:rsidP="00452C31" w14:paraId="0633B6AC" w14:textId="77777777">
      <w:pPr>
        <w:widowControl/>
        <w:spacing w:before="120" w:after="120" w:line="360" w:lineRule="auto"/>
        <w:rPr>
          <w:rFonts w:eastAsia="Aptos"/>
          <w:kern w:val="2"/>
          <w:szCs w:val="24"/>
          <w:lang w:eastAsia="en-US"/>
          <w14:ligatures w14:val="standardContextual"/>
        </w:rPr>
      </w:pPr>
      <w:r w:rsidRPr="00FE754B">
        <w:rPr>
          <w:rFonts w:eastAsia="Aptos"/>
          <w:b/>
          <w:i/>
          <w:kern w:val="2"/>
          <w:szCs w:val="24"/>
          <w:lang w:eastAsia="en-US"/>
          <w14:ligatures w14:val="standardContextual"/>
        </w:rPr>
        <w:t>France shall make its annual report referred to in Article XI of the Convention available to the European Parliament, the Council and the Commission.</w:t>
      </w:r>
    </w:p>
    <w:p w:rsidR="00452C31" w:rsidRPr="00FE754B" w:rsidP="00452C31" w14:paraId="08F392A5" w14:textId="77777777">
      <w:pPr>
        <w:widowControl/>
        <w:spacing w:before="360" w:after="120" w:line="360" w:lineRule="auto"/>
        <w:jc w:val="center"/>
        <w:rPr>
          <w:rFonts w:eastAsia="Aptos"/>
          <w:i/>
          <w:kern w:val="2"/>
          <w:szCs w:val="24"/>
          <w:lang w:eastAsia="en-US"/>
          <w14:ligatures w14:val="standardContextual"/>
        </w:rPr>
      </w:pPr>
      <w:r w:rsidRPr="00FE754B">
        <w:rPr>
          <w:rFonts w:eastAsia="Aptos"/>
          <w:i/>
          <w:kern w:val="2"/>
          <w:szCs w:val="24"/>
          <w:lang w:eastAsia="en-US"/>
          <w14:ligatures w14:val="standardContextual"/>
        </w:rPr>
        <w:t>Article 3</w:t>
      </w:r>
    </w:p>
    <w:p w:rsidR="00452C31" w:rsidRPr="00FE754B" w:rsidP="00452C31" w14:paraId="034D733A"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This Decision is addressed to France.</w:t>
      </w:r>
    </w:p>
    <w:p w:rsidR="00452C31" w:rsidRPr="00FE754B" w:rsidP="00452C31" w14:paraId="4D4A1CC9" w14:textId="77777777">
      <w:pPr>
        <w:widowControl/>
        <w:spacing w:before="120" w:after="120" w:line="360" w:lineRule="auto"/>
        <w:rPr>
          <w:rFonts w:eastAsia="Aptos"/>
          <w:kern w:val="2"/>
          <w:szCs w:val="24"/>
          <w:lang w:eastAsia="en-US"/>
          <w14:ligatures w14:val="standardContextual"/>
        </w:rPr>
      </w:pPr>
      <w:r w:rsidRPr="00FE754B">
        <w:rPr>
          <w:rFonts w:eastAsia="Aptos"/>
          <w:kern w:val="2"/>
          <w:szCs w:val="24"/>
          <w:lang w:eastAsia="en-US"/>
          <w14:ligatures w14:val="standardContextual"/>
        </w:rPr>
        <w:t>Done at…,</w:t>
      </w:r>
    </w:p>
    <w:p w:rsidR="00452C31" w:rsidRPr="00FE754B" w:rsidP="00452C31" w14:paraId="2F3F2503" w14:textId="77777777">
      <w:pPr>
        <w:widowControl/>
        <w:tabs>
          <w:tab w:val="left" w:pos="5670"/>
        </w:tabs>
        <w:spacing w:before="480" w:after="120" w:line="360" w:lineRule="auto"/>
        <w:rPr>
          <w:rFonts w:eastAsia="Aptos"/>
          <w:i/>
          <w:kern w:val="2"/>
          <w:szCs w:val="24"/>
          <w:lang w:eastAsia="en-US"/>
          <w14:ligatures w14:val="standardContextual"/>
        </w:rPr>
      </w:pPr>
      <w:r w:rsidRPr="00FE754B">
        <w:rPr>
          <w:rFonts w:eastAsia="Aptos"/>
          <w:i/>
          <w:kern w:val="2"/>
          <w:szCs w:val="24"/>
          <w:lang w:eastAsia="en-US"/>
          <w14:ligatures w14:val="standardContextual"/>
        </w:rPr>
        <w:t>For the European Parliament</w:t>
      </w:r>
      <w:r w:rsidRPr="00FE754B">
        <w:rPr>
          <w:rFonts w:eastAsia="Aptos"/>
          <w:i/>
          <w:kern w:val="2"/>
          <w:szCs w:val="24"/>
          <w:lang w:eastAsia="en-US"/>
          <w14:ligatures w14:val="standardContextual"/>
        </w:rPr>
        <w:tab/>
        <w:t>For the Council</w:t>
      </w:r>
    </w:p>
    <w:p w:rsidR="00452C31" w:rsidRPr="00452C31" w:rsidP="00452C31" w14:paraId="247BB457" w14:textId="77777777">
      <w:pPr>
        <w:widowControl/>
        <w:tabs>
          <w:tab w:val="left" w:pos="5670"/>
        </w:tabs>
        <w:spacing w:after="120" w:line="360" w:lineRule="auto"/>
        <w:rPr>
          <w:rFonts w:eastAsia="Aptos"/>
          <w:i/>
          <w:kern w:val="2"/>
          <w:szCs w:val="24"/>
          <w:lang w:eastAsia="en-US"/>
          <w14:ligatures w14:val="standardContextual"/>
        </w:rPr>
      </w:pPr>
      <w:r w:rsidRPr="00FE754B">
        <w:rPr>
          <w:rFonts w:eastAsia="Aptos"/>
          <w:i/>
          <w:kern w:val="2"/>
          <w:szCs w:val="24"/>
          <w:lang w:eastAsia="en-US"/>
          <w14:ligatures w14:val="standardContextual"/>
        </w:rPr>
        <w:t>The President</w:t>
      </w:r>
      <w:r w:rsidRPr="00FE754B">
        <w:rPr>
          <w:rFonts w:eastAsia="Aptos"/>
          <w:i/>
          <w:kern w:val="2"/>
          <w:szCs w:val="24"/>
          <w:lang w:eastAsia="en-US"/>
          <w14:ligatures w14:val="standardContextual"/>
        </w:rPr>
        <w:tab/>
        <w:t>The President</w:t>
      </w:r>
    </w:p>
    <w:p w:rsidR="004D6703" w:rsidRPr="00F8153B" w:rsidP="004D6703" w14:paraId="3E694D64" w14:textId="77777777"/>
    <w:sectPr w:rsidSect="00F8153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153B" w14:paraId="7752CFF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153B" w14:paraId="0FC12D6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153B" w14:paraId="7CB8983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94A07" w:rsidRPr="00F8153B" w14:paraId="418548DF" w14:textId="77777777">
      <w:r w:rsidRPr="00F8153B">
        <w:separator/>
      </w:r>
    </w:p>
  </w:footnote>
  <w:footnote w:type="continuationSeparator" w:id="1">
    <w:p w:rsidR="00594A07" w:rsidRPr="00F8153B" w14:paraId="68BF3A6B" w14:textId="77777777">
      <w:r w:rsidRPr="00F8153B">
        <w:continuationSeparator/>
      </w:r>
    </w:p>
  </w:footnote>
  <w:footnote w:id="2">
    <w:p w:rsidR="00355AD2" w:rsidRPr="00FE754B" w:rsidP="00FE754B" w14:paraId="329FEF46" w14:textId="744B7037">
      <w:pPr>
        <w:pStyle w:val="FootnoteText"/>
        <w:ind w:left="567" w:hanging="567"/>
        <w:rPr>
          <w:lang w:val="fi-FI"/>
        </w:rPr>
      </w:pPr>
      <w:r w:rsidRPr="00FE754B">
        <w:rPr>
          <w:rStyle w:val="FootnoteReference"/>
        </w:rPr>
        <w:footnoteRef/>
      </w:r>
      <w:r w:rsidRPr="00FE754B">
        <w:rPr>
          <w:lang w:val="fi-FI"/>
        </w:rPr>
        <w:t xml:space="preserve"> </w:t>
      </w:r>
      <w:r w:rsidR="00FE754B">
        <w:rPr>
          <w:lang w:val="fi-FI"/>
        </w:rPr>
        <w:tab/>
      </w:r>
      <w:r w:rsidRPr="00FE754B">
        <w:rPr>
          <w:lang w:val="fi-FI"/>
        </w:rPr>
        <w:t xml:space="preserve">OJ C, C/2026/1967, 28.4.2026, ELI: </w:t>
      </w:r>
      <w:hyperlink r:id="rId1" w:tooltip="Gives access to this document through its ELI URI." w:history="1">
        <w:r w:rsidRPr="00FE754B">
          <w:rPr>
            <w:rStyle w:val="Hyperlink"/>
            <w:lang w:val="fi-FI"/>
          </w:rPr>
          <w:t>http://data.europa.eu/eli/C/2026/1967/oj</w:t>
        </w:r>
      </w:hyperlink>
      <w:r w:rsidRPr="00FE754B" w:rsidR="008E0176">
        <w:rPr>
          <w:lang w:val="fi-FI"/>
        </w:rPr>
        <w:t>.</w:t>
      </w:r>
      <w:r w:rsidRPr="00FE754B" w:rsidR="00C840A3">
        <w:rPr>
          <w:lang w:val="fi-FI"/>
        </w:rPr>
        <w:t xml:space="preserve"> </w:t>
      </w:r>
    </w:p>
    <w:p w:rsidR="00355AD2" w:rsidRPr="00FE754B" w14:paraId="5909F36E" w14:textId="3CAB24A6">
      <w:pPr>
        <w:pStyle w:val="FootnoteText"/>
        <w:rPr>
          <w:lang w:val="fi-FI"/>
        </w:rPr>
      </w:pPr>
    </w:p>
  </w:footnote>
  <w:footnote w:id="3">
    <w:p w:rsidR="00452C31" w:rsidRPr="00FE754B" w:rsidP="00452C31" w14:paraId="38C235B0" w14:textId="77777777">
      <w:pPr>
        <w:pStyle w:val="FootnoteText"/>
        <w:ind w:left="720" w:hanging="720"/>
        <w:rPr>
          <w:sz w:val="24"/>
          <w:szCs w:val="24"/>
          <w:lang w:val="en-GB"/>
        </w:rPr>
      </w:pPr>
      <w:r w:rsidRPr="00FE754B">
        <w:rPr>
          <w:rStyle w:val="FootnoteReference"/>
          <w:sz w:val="24"/>
          <w:szCs w:val="24"/>
        </w:rPr>
        <w:footnoteRef/>
      </w:r>
      <w:r w:rsidRPr="00FE754B">
        <w:rPr>
          <w:sz w:val="24"/>
          <w:szCs w:val="24"/>
          <w:lang w:val="en-GB"/>
        </w:rPr>
        <w:t xml:space="preserve"> </w:t>
      </w:r>
      <w:r w:rsidRPr="00FE754B">
        <w:rPr>
          <w:sz w:val="24"/>
          <w:szCs w:val="24"/>
          <w:lang w:val="en-GB"/>
        </w:rPr>
        <w:tab/>
        <w:t xml:space="preserve">Opinion of 21 January 2026 (OJ C, C/2026/1967, 28.4.2026, ELI: </w:t>
      </w:r>
      <w:hyperlink r:id="rId1" w:history="1">
        <w:r w:rsidRPr="00FE754B">
          <w:rPr>
            <w:rStyle w:val="Hyperlink1"/>
            <w:sz w:val="24"/>
            <w:szCs w:val="24"/>
            <w:lang w:val="en-GB"/>
          </w:rPr>
          <w:t>http://data.europa.eu/eli/C/2026/1967/oj</w:t>
        </w:r>
      </w:hyperlink>
      <w:r w:rsidRPr="00FE754B">
        <w:rPr>
          <w:sz w:val="24"/>
          <w:szCs w:val="24"/>
          <w:lang w:val="en-GB"/>
        </w:rPr>
        <w:t>).</w:t>
      </w:r>
    </w:p>
  </w:footnote>
  <w:footnote w:id="4">
    <w:p w:rsidR="00647F6B" w:rsidRPr="007D2ED7" w:rsidP="00647F6B" w14:paraId="11F1E052" w14:textId="6157FE22">
      <w:pPr>
        <w:pStyle w:val="FootnoteText"/>
        <w:ind w:left="720" w:hanging="720"/>
        <w:rPr>
          <w:b/>
          <w:bCs/>
          <w:i/>
          <w:iCs/>
          <w:color w:val="000000"/>
          <w:sz w:val="24"/>
          <w:szCs w:val="24"/>
          <w:lang w:val="en-GB"/>
        </w:rPr>
      </w:pPr>
      <w:r w:rsidRPr="00FE754B">
        <w:rPr>
          <w:rStyle w:val="FootnoteReference"/>
          <w:bCs/>
          <w:i/>
          <w:iCs/>
          <w:color w:val="000000"/>
          <w:sz w:val="24"/>
          <w:szCs w:val="24"/>
        </w:rPr>
        <w:footnoteRef/>
      </w:r>
      <w:r w:rsidRPr="00FE754B">
        <w:rPr>
          <w:b/>
          <w:bCs/>
          <w:i/>
          <w:iCs/>
          <w:color w:val="000000"/>
          <w:sz w:val="24"/>
          <w:szCs w:val="24"/>
          <w:lang w:val="en-GB"/>
        </w:rPr>
        <w:tab/>
      </w:r>
      <w:r w:rsidRPr="00FE754B">
        <w:rPr>
          <w:color w:val="000000"/>
          <w:sz w:val="24"/>
          <w:szCs w:val="24"/>
          <w:lang w:val="en-GB"/>
        </w:rPr>
        <w:t>Position of the European Parliament of 7 October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153B" w14:paraId="57B31A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153B" w14:paraId="56A9AF9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153B" w14:paraId="35A5C05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2520081">
    <w:abstractNumId w:val="9"/>
  </w:num>
  <w:num w:numId="2" w16cid:durableId="2024630126">
    <w:abstractNumId w:val="9"/>
  </w:num>
  <w:num w:numId="3" w16cid:durableId="547954396">
    <w:abstractNumId w:val="7"/>
  </w:num>
  <w:num w:numId="4" w16cid:durableId="1326858364">
    <w:abstractNumId w:val="7"/>
  </w:num>
  <w:num w:numId="5" w16cid:durableId="1158107465">
    <w:abstractNumId w:val="6"/>
  </w:num>
  <w:num w:numId="6" w16cid:durableId="1876962633">
    <w:abstractNumId w:val="6"/>
  </w:num>
  <w:num w:numId="7" w16cid:durableId="1141654647">
    <w:abstractNumId w:val="5"/>
  </w:num>
  <w:num w:numId="8" w16cid:durableId="310792722">
    <w:abstractNumId w:val="5"/>
  </w:num>
  <w:num w:numId="9" w16cid:durableId="676733816">
    <w:abstractNumId w:val="4"/>
  </w:num>
  <w:num w:numId="10" w16cid:durableId="1151169362">
    <w:abstractNumId w:val="4"/>
  </w:num>
  <w:num w:numId="11" w16cid:durableId="593128942">
    <w:abstractNumId w:val="8"/>
  </w:num>
  <w:num w:numId="12" w16cid:durableId="1324744880">
    <w:abstractNumId w:val="8"/>
  </w:num>
  <w:num w:numId="13" w16cid:durableId="364599819">
    <w:abstractNumId w:val="3"/>
  </w:num>
  <w:num w:numId="14" w16cid:durableId="329866479">
    <w:abstractNumId w:val="3"/>
  </w:num>
  <w:num w:numId="15" w16cid:durableId="410351801">
    <w:abstractNumId w:val="2"/>
  </w:num>
  <w:num w:numId="16" w16cid:durableId="177617916">
    <w:abstractNumId w:val="2"/>
  </w:num>
  <w:num w:numId="17" w16cid:durableId="564947238">
    <w:abstractNumId w:val="1"/>
  </w:num>
  <w:num w:numId="18" w16cid:durableId="1379938558">
    <w:abstractNumId w:val="1"/>
  </w:num>
  <w:num w:numId="19" w16cid:durableId="1090080227">
    <w:abstractNumId w:val="0"/>
  </w:num>
  <w:num w:numId="20" w16cid:durableId="471750666">
    <w:abstractNumId w:val="0"/>
  </w:num>
  <w:num w:numId="21" w16cid:durableId="1724717292">
    <w:abstractNumId w:val="9"/>
  </w:num>
  <w:num w:numId="22" w16cid:durableId="257294946">
    <w:abstractNumId w:val="7"/>
  </w:num>
  <w:num w:numId="23" w16cid:durableId="1083912055">
    <w:abstractNumId w:val="6"/>
  </w:num>
  <w:num w:numId="24" w16cid:durableId="782187201">
    <w:abstractNumId w:val="5"/>
  </w:num>
  <w:num w:numId="25" w16cid:durableId="928006838">
    <w:abstractNumId w:val="4"/>
  </w:num>
  <w:num w:numId="26" w16cid:durableId="2085951239">
    <w:abstractNumId w:val="8"/>
  </w:num>
  <w:num w:numId="27" w16cid:durableId="866412680">
    <w:abstractNumId w:val="3"/>
  </w:num>
  <w:num w:numId="28" w16cid:durableId="977103949">
    <w:abstractNumId w:val="2"/>
  </w:num>
  <w:num w:numId="29" w16cid:durableId="579484126">
    <w:abstractNumId w:val="1"/>
  </w:num>
  <w:num w:numId="30" w16cid:durableId="1241714524">
    <w:abstractNumId w:val="0"/>
  </w:num>
  <w:num w:numId="31" w16cid:durableId="1153595347">
    <w:abstractNumId w:val="9"/>
  </w:num>
  <w:num w:numId="32" w16cid:durableId="1586576315">
    <w:abstractNumId w:val="7"/>
  </w:num>
  <w:num w:numId="33" w16cid:durableId="359480431">
    <w:abstractNumId w:val="6"/>
  </w:num>
  <w:num w:numId="34" w16cid:durableId="1896508273">
    <w:abstractNumId w:val="5"/>
  </w:num>
  <w:num w:numId="35" w16cid:durableId="1577548208">
    <w:abstractNumId w:val="4"/>
  </w:num>
  <w:num w:numId="36" w16cid:durableId="200286789">
    <w:abstractNumId w:val="8"/>
  </w:num>
  <w:num w:numId="37" w16cid:durableId="521282065">
    <w:abstractNumId w:val="3"/>
  </w:num>
  <w:num w:numId="38" w16cid:durableId="433281891">
    <w:abstractNumId w:val="2"/>
  </w:num>
  <w:num w:numId="39" w16cid:durableId="1253464843">
    <w:abstractNumId w:val="1"/>
  </w:num>
  <w:num w:numId="40" w16cid:durableId="1434784701">
    <w:abstractNumId w:val="0"/>
  </w:num>
  <w:num w:numId="41" w16cid:durableId="1303271941">
    <w:abstractNumId w:val="10"/>
  </w:num>
  <w:num w:numId="42" w16cid:durableId="786124940">
    <w:abstractNumId w:val="10"/>
  </w:num>
  <w:num w:numId="43" w16cid:durableId="233440046">
    <w:abstractNumId w:val="10"/>
  </w:num>
  <w:num w:numId="44" w16cid:durableId="777680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readOnly" w:enforcement="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12E"/>
    <w:rsid w:val="00002272"/>
    <w:rsid w:val="0003694B"/>
    <w:rsid w:val="00064002"/>
    <w:rsid w:val="000677B9"/>
    <w:rsid w:val="000831BA"/>
    <w:rsid w:val="000A42CC"/>
    <w:rsid w:val="000E7DD9"/>
    <w:rsid w:val="0010095E"/>
    <w:rsid w:val="00125B37"/>
    <w:rsid w:val="00187494"/>
    <w:rsid w:val="001F32AE"/>
    <w:rsid w:val="002767FF"/>
    <w:rsid w:val="002B18FE"/>
    <w:rsid w:val="002B5493"/>
    <w:rsid w:val="002D2E82"/>
    <w:rsid w:val="00343214"/>
    <w:rsid w:val="00355AD2"/>
    <w:rsid w:val="00361C00"/>
    <w:rsid w:val="00395FA1"/>
    <w:rsid w:val="003A623E"/>
    <w:rsid w:val="003C0BE7"/>
    <w:rsid w:val="003D2E02"/>
    <w:rsid w:val="003E15D4"/>
    <w:rsid w:val="00411CCE"/>
    <w:rsid w:val="0041666E"/>
    <w:rsid w:val="00421060"/>
    <w:rsid w:val="00452C31"/>
    <w:rsid w:val="00471C19"/>
    <w:rsid w:val="004867E3"/>
    <w:rsid w:val="00494A28"/>
    <w:rsid w:val="004C0004"/>
    <w:rsid w:val="004C5D52"/>
    <w:rsid w:val="004D6703"/>
    <w:rsid w:val="0050519A"/>
    <w:rsid w:val="005072A1"/>
    <w:rsid w:val="00514517"/>
    <w:rsid w:val="00545758"/>
    <w:rsid w:val="00545827"/>
    <w:rsid w:val="00560270"/>
    <w:rsid w:val="00594A07"/>
    <w:rsid w:val="005A534B"/>
    <w:rsid w:val="005C2568"/>
    <w:rsid w:val="005F1B17"/>
    <w:rsid w:val="006037C0"/>
    <w:rsid w:val="00643207"/>
    <w:rsid w:val="00647F6B"/>
    <w:rsid w:val="006631B6"/>
    <w:rsid w:val="00667C8B"/>
    <w:rsid w:val="00680577"/>
    <w:rsid w:val="006A7C99"/>
    <w:rsid w:val="006F74FA"/>
    <w:rsid w:val="00731ADD"/>
    <w:rsid w:val="00734777"/>
    <w:rsid w:val="00747932"/>
    <w:rsid w:val="00751A4A"/>
    <w:rsid w:val="00756632"/>
    <w:rsid w:val="00762C74"/>
    <w:rsid w:val="00786EC0"/>
    <w:rsid w:val="007D1690"/>
    <w:rsid w:val="007D2ED7"/>
    <w:rsid w:val="007E22AD"/>
    <w:rsid w:val="00817416"/>
    <w:rsid w:val="00837804"/>
    <w:rsid w:val="00842779"/>
    <w:rsid w:val="00865F67"/>
    <w:rsid w:val="00881A7B"/>
    <w:rsid w:val="008840E5"/>
    <w:rsid w:val="00887B3E"/>
    <w:rsid w:val="00897AC5"/>
    <w:rsid w:val="008C2AC6"/>
    <w:rsid w:val="008E0176"/>
    <w:rsid w:val="00922B97"/>
    <w:rsid w:val="00930C23"/>
    <w:rsid w:val="0093193B"/>
    <w:rsid w:val="009509D8"/>
    <w:rsid w:val="00950B64"/>
    <w:rsid w:val="00981893"/>
    <w:rsid w:val="009B6ACA"/>
    <w:rsid w:val="00A1687D"/>
    <w:rsid w:val="00A43E52"/>
    <w:rsid w:val="00A4678D"/>
    <w:rsid w:val="00A47466"/>
    <w:rsid w:val="00A778C7"/>
    <w:rsid w:val="00A817E7"/>
    <w:rsid w:val="00AB441E"/>
    <w:rsid w:val="00AB57AA"/>
    <w:rsid w:val="00AB6293"/>
    <w:rsid w:val="00AE0928"/>
    <w:rsid w:val="00AF3B82"/>
    <w:rsid w:val="00B12E95"/>
    <w:rsid w:val="00B22876"/>
    <w:rsid w:val="00B4712E"/>
    <w:rsid w:val="00B558F0"/>
    <w:rsid w:val="00BD48FE"/>
    <w:rsid w:val="00BD7BD8"/>
    <w:rsid w:val="00BE6ADC"/>
    <w:rsid w:val="00BF556A"/>
    <w:rsid w:val="00C032AF"/>
    <w:rsid w:val="00C05BFE"/>
    <w:rsid w:val="00C11855"/>
    <w:rsid w:val="00C23CD4"/>
    <w:rsid w:val="00C61C0C"/>
    <w:rsid w:val="00C840A3"/>
    <w:rsid w:val="00C941CB"/>
    <w:rsid w:val="00CA53C3"/>
    <w:rsid w:val="00CC2357"/>
    <w:rsid w:val="00CF071A"/>
    <w:rsid w:val="00D058B8"/>
    <w:rsid w:val="00D066E8"/>
    <w:rsid w:val="00D56C11"/>
    <w:rsid w:val="00D834A0"/>
    <w:rsid w:val="00D872DF"/>
    <w:rsid w:val="00D91E21"/>
    <w:rsid w:val="00DA7FCD"/>
    <w:rsid w:val="00E359F0"/>
    <w:rsid w:val="00E365E1"/>
    <w:rsid w:val="00E820A4"/>
    <w:rsid w:val="00EB006A"/>
    <w:rsid w:val="00EB4772"/>
    <w:rsid w:val="00ED169E"/>
    <w:rsid w:val="00ED4235"/>
    <w:rsid w:val="00F04346"/>
    <w:rsid w:val="00F075DC"/>
    <w:rsid w:val="00F149E9"/>
    <w:rsid w:val="00F5134D"/>
    <w:rsid w:val="00F74202"/>
    <w:rsid w:val="00F8153B"/>
    <w:rsid w:val="00F87713"/>
    <w:rsid w:val="00FB4360"/>
    <w:rsid w:val="00FC1346"/>
    <w:rsid w:val="00FD0C70"/>
    <w:rsid w:val="00FE754B"/>
  </w:rsids>
  <w:docVars>
    <w:docVar w:name="dvdocse" w:val="A10-0095/2026"/>
    <w:docVar w:name="dvlangue" w:val="EN"/>
    <w:docVar w:name="dvnumam" w:val="5"/>
    <w:docVar w:name="dvpe" w:val="786.891"/>
    <w:docVar w:name="dvrapporteur" w:val="Rapporteur: "/>
    <w:docVar w:name="dvstar" w:val="***I"/>
    <w:docVar w:name="dvtitre" w:val="European Parliament decision of xx Xxxx 2026 on the proposal for a decision of the European Parliament and of the Council empowering France to accede to the Inter-American Convention for the Protection and Conservation of Sea Turtles(COM(2025)0689 – C10-0300/2025 – 2025/034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FB6494"/>
  <w15:chartTrackingRefBased/>
  <w15:docId w15:val="{E2B0995A-2156-4079-AF3A-E4C9174D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D6703"/>
    <w:pPr>
      <w:spacing w:after="120"/>
    </w:pPr>
  </w:style>
  <w:style w:type="paragraph" w:customStyle="1" w:styleId="NormalBold">
    <w:name w:val="NormalBold"/>
    <w:basedOn w:val="Normal"/>
    <w:rsid w:val="004D6703"/>
    <w:rPr>
      <w:b/>
    </w:rPr>
  </w:style>
  <w:style w:type="paragraph" w:customStyle="1" w:styleId="NormalHanging12a">
    <w:name w:val="NormalHanging12a"/>
    <w:basedOn w:val="Normal"/>
    <w:rsid w:val="004D6703"/>
    <w:pPr>
      <w:spacing w:after="240"/>
      <w:ind w:left="567" w:hanging="567"/>
    </w:pPr>
  </w:style>
  <w:style w:type="paragraph" w:customStyle="1" w:styleId="AmColumnHeading">
    <w:name w:val="AmColumnHeading"/>
    <w:basedOn w:val="Normal"/>
    <w:rsid w:val="004D6703"/>
    <w:pPr>
      <w:spacing w:after="240"/>
      <w:jc w:val="center"/>
    </w:pPr>
    <w:rPr>
      <w:i/>
    </w:rPr>
  </w:style>
  <w:style w:type="paragraph" w:customStyle="1" w:styleId="AmNumberTabs">
    <w:name w:val="AmNumberTabs"/>
    <w:basedOn w:val="Normal"/>
    <w:rsid w:val="004D67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D6703"/>
    <w:pPr>
      <w:spacing w:before="240"/>
    </w:pPr>
    <w:rPr>
      <w:b/>
    </w:rPr>
  </w:style>
  <w:style w:type="paragraph" w:customStyle="1" w:styleId="EPComma">
    <w:name w:val="EPComma"/>
    <w:basedOn w:val="Normal"/>
    <w:rsid w:val="004D6703"/>
    <w:pPr>
      <w:spacing w:before="480" w:after="240"/>
    </w:pPr>
  </w:style>
  <w:style w:type="paragraph" w:styleId="Revision">
    <w:name w:val="Revision"/>
    <w:hidden/>
    <w:uiPriority w:val="99"/>
    <w:semiHidden/>
    <w:rsid w:val="00A817E7"/>
    <w:rPr>
      <w:sz w:val="24"/>
    </w:rPr>
  </w:style>
  <w:style w:type="character" w:styleId="CommentReference">
    <w:name w:val="annotation reference"/>
    <w:basedOn w:val="DefaultParagraphFont"/>
    <w:rsid w:val="003A623E"/>
    <w:rPr>
      <w:sz w:val="16"/>
      <w:szCs w:val="16"/>
    </w:rPr>
  </w:style>
  <w:style w:type="paragraph" w:styleId="CommentText">
    <w:name w:val="annotation text"/>
    <w:basedOn w:val="Normal"/>
    <w:link w:val="CommentTextChar"/>
    <w:rsid w:val="003A623E"/>
    <w:rPr>
      <w:sz w:val="20"/>
    </w:rPr>
  </w:style>
  <w:style w:type="character" w:customStyle="1" w:styleId="CommentTextChar">
    <w:name w:val="Comment Text Char"/>
    <w:basedOn w:val="DefaultParagraphFont"/>
    <w:link w:val="CommentText"/>
    <w:rsid w:val="003A623E"/>
  </w:style>
  <w:style w:type="paragraph" w:styleId="CommentSubject">
    <w:name w:val="annotation subject"/>
    <w:basedOn w:val="CommentText"/>
    <w:next w:val="CommentText"/>
    <w:link w:val="CommentSubjectChar"/>
    <w:rsid w:val="003A623E"/>
    <w:rPr>
      <w:b/>
      <w:bCs/>
    </w:rPr>
  </w:style>
  <w:style w:type="character" w:customStyle="1" w:styleId="CommentSubjectChar">
    <w:name w:val="Comment Subject Char"/>
    <w:basedOn w:val="CommentTextChar"/>
    <w:link w:val="CommentSubject"/>
    <w:rsid w:val="003A623E"/>
    <w:rPr>
      <w:b/>
      <w:bCs/>
    </w:rPr>
  </w:style>
  <w:style w:type="character" w:customStyle="1" w:styleId="Hyperlink1">
    <w:name w:val="Hyperlink1"/>
    <w:basedOn w:val="DefaultParagraphFont"/>
    <w:uiPriority w:val="99"/>
    <w:unhideWhenUsed/>
    <w:rsid w:val="00452C31"/>
    <w:rPr>
      <w:color w:val="467886"/>
      <w:u w:val="single"/>
    </w:rPr>
  </w:style>
  <w:style w:type="character" w:styleId="Hyperlink">
    <w:name w:val="Hyperlink"/>
    <w:basedOn w:val="DefaultParagraphFont"/>
    <w:rsid w:val="009B6ACA"/>
    <w:rPr>
      <w:color w:val="0563C1" w:themeColor="hyperlink"/>
      <w:u w:val="single"/>
    </w:rPr>
  </w:style>
  <w:style w:type="character" w:styleId="UnresolvedMention">
    <w:name w:val="Unresolved Mention"/>
    <w:basedOn w:val="DefaultParagraphFont"/>
    <w:uiPriority w:val="99"/>
    <w:semiHidden/>
    <w:unhideWhenUsed/>
    <w:rsid w:val="009B6ACA"/>
    <w:rPr>
      <w:color w:val="605E5C"/>
      <w:shd w:val="clear" w:color="auto" w:fill="E1DFDD"/>
    </w:rPr>
  </w:style>
  <w:style w:type="paragraph" w:styleId="NormalWeb">
    <w:name w:val="Normal (Web)"/>
    <w:basedOn w:val="Normal"/>
    <w:rsid w:val="00355AD2"/>
    <w:rPr>
      <w:szCs w:val="24"/>
    </w:rPr>
  </w:style>
  <w:style w:type="character" w:styleId="FollowedHyperlink">
    <w:name w:val="FollowedHyperlink"/>
    <w:basedOn w:val="DefaultParagraphFont"/>
    <w:rsid w:val="00C840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f68e7e917c1c5f007045eebab5e93f1b">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0b7fef82edd2e190d079d37ba92c25d5"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6</Pages_x0020_in_x0020_TA>
    <Consolidated xmlns="6be1dce2-9521-46ab-a530-b289ee0cb0ed">true</Consolidated>
    <Amendments xmlns="6be1dce2-9521-46ab-a530-b289ee0cb0ed">0</Amendments>
    <Allowed_x0020_Contributions xmlns="6be1dce2-9521-46ab-a530-b289ee0cb0ed">false</Allowed_x0020_Contributions>
  </documentManagement>
</p:properties>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customXml/itemProps2.xml><?xml version="1.0" encoding="utf-8"?>
<ds:datastoreItem xmlns:ds="http://schemas.openxmlformats.org/officeDocument/2006/customXml" ds:itemID="{E6DD74CC-5DCD-44B7-96F3-C0C71A123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279ABD-D5FF-4673-B027-0EE56F25E68A}">
  <ds:schemaRefs>
    <ds:schemaRef ds:uri="http://schemas.microsoft.com/sharepoint/v3/contenttype/forms"/>
  </ds:schemaRefs>
</ds:datastoreItem>
</file>

<file path=customXml/itemProps4.xml><?xml version="1.0" encoding="utf-8"?>
<ds:datastoreItem xmlns:ds="http://schemas.openxmlformats.org/officeDocument/2006/customXml" ds:itemID="{59B72BE5-960A-4ADB-9E1A-7653764001F6}">
  <ds:schemaRefs>
    <ds:schemaRef ds:uri="http://schemas.microsoft.com/office/2006/metadata/properties"/>
    <ds:schemaRef ds:uri="http://schemas.microsoft.com/office/infopath/2007/PartnerControls"/>
    <ds:schemaRef ds:uri="6be1dce2-9521-46ab-a530-b289ee0cb0e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creator>European Parliament</dc:creator>
  <cp:lastModifiedBy>European Parliament</cp:lastModifiedBy>
  <cp:revision>2</cp:revision>
  <cp:lastPrinted>2026-10-05T12:36:00Z</cp:lastPrinted>
  <dcterms:created xsi:type="dcterms:W3CDTF">2026-10-07T10:21:00Z</dcterms:created>
  <dcterms:modified xsi:type="dcterms:W3CDTF">2026-10-07T10:21:00Z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A10-0095/2026</vt:lpwstr>
  </property>
  <property fmtid="{D5CDD505-2E9C-101B-9397-08002B2CF9AE}" pid="4" name="&lt;Type&gt;">
    <vt:lpwstr>RR</vt:lpwstr>
  </property>
  <property fmtid="{D5CDD505-2E9C-101B-9397-08002B2CF9AE}" pid="5" name="Allowed_x0020_Contributions">
    <vt:bool>false</vt:bool>
  </property>
  <property fmtid="{D5CDD505-2E9C-101B-9397-08002B2CF9AE}" pid="6" name="Amendments">
    <vt:i4>0</vt:i4>
  </property>
  <property fmtid="{D5CDD505-2E9C-101B-9397-08002B2CF9AE}" pid="7" name="Consolidated">
    <vt:bool>true</vt:bool>
  </property>
  <property fmtid="{D5CDD505-2E9C-101B-9397-08002B2CF9AE}" pid="8" name="ContentTypeId">
    <vt:lpwstr>0x010100210EB9B6C258D9458F403629C924D5B2</vt:lpwstr>
  </property>
  <property fmtid="{D5CDD505-2E9C-101B-9397-08002B2CF9AE}" pid="9" name="Pages_x0020_in_x0020_TA">
    <vt:i4>6</vt:i4>
  </property>
</Properties>
</file>