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50C47B" w14:textId="77777777" w:rsidTr="0010095E">
        <w:tblPrEx>
          <w:tblW w:w="9072" w:type="dxa"/>
          <w:tblLook w:val="01E0"/>
        </w:tblPrEx>
        <w:trPr>
          <w:trHeight w:hRule="exact" w:val="1418"/>
        </w:trPr>
        <w:tc>
          <w:tcPr>
            <w:tcW w:w="6804" w:type="dxa"/>
            <w:vAlign w:val="center"/>
          </w:tcPr>
          <w:p w:rsidR="00751A4A" w:rsidRPr="00586E92" w:rsidP="0010095E" w14:paraId="76E8BE82" w14:textId="77777777">
            <w:pPr>
              <w:pStyle w:val="EPName"/>
            </w:pPr>
            <w:r w:rsidRPr="00586E92">
              <w:t>European Parliament</w:t>
            </w:r>
          </w:p>
          <w:p w:rsidR="00751A4A" w:rsidRPr="00586E92" w:rsidP="005F1B17" w14:paraId="59E174D7" w14:textId="77777777">
            <w:pPr>
              <w:pStyle w:val="EPTerm"/>
              <w:rPr>
                <w:rStyle w:val="HideTWBExt"/>
                <w:noProof w:val="0"/>
                <w:vanish w:val="0"/>
                <w:color w:val="auto"/>
              </w:rPr>
            </w:pPr>
            <w:r w:rsidRPr="00586E92">
              <w:t>2024</w:t>
            </w:r>
            <w:r w:rsidRPr="00586E92" w:rsidR="00817416">
              <w:t>-202</w:t>
            </w:r>
            <w:r w:rsidRPr="00586E92">
              <w:t>9</w:t>
            </w:r>
          </w:p>
        </w:tc>
        <w:tc>
          <w:tcPr>
            <w:tcW w:w="2268" w:type="dxa"/>
          </w:tcPr>
          <w:p w:rsidR="00751A4A" w:rsidRPr="00586E92" w:rsidP="0010095E" w14:paraId="394C406F" w14:textId="77777777">
            <w:pPr>
              <w:pStyle w:val="EPLogo"/>
            </w:pPr>
            <w:r w:rsidRPr="00586E9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86E92" w:rsidP="004C5D52" w14:paraId="5E8E7A93" w14:textId="77777777">
      <w:pPr>
        <w:pStyle w:val="LineTop"/>
      </w:pPr>
    </w:p>
    <w:p w:rsidR="00680577" w:rsidRPr="00586E92" w:rsidP="00680577" w14:paraId="1B0135B7" w14:textId="77777777">
      <w:pPr>
        <w:pStyle w:val="EPBodyTA1"/>
      </w:pPr>
      <w:r w:rsidRPr="00586E92">
        <w:t>TEXTS ADOPTED</w:t>
      </w:r>
    </w:p>
    <w:p w:rsidR="00D058B8" w:rsidRPr="00586E92" w:rsidP="00D058B8" w14:paraId="18767EEE" w14:textId="77777777">
      <w:pPr>
        <w:pStyle w:val="LineBottom"/>
      </w:pPr>
    </w:p>
    <w:p w:rsidR="007370FF" w:rsidRPr="00586E92" w:rsidP="007370FF" w14:paraId="14F034F3" w14:textId="374875BA">
      <w:pPr>
        <w:pStyle w:val="ATHeading1"/>
      </w:pPr>
      <w:bookmarkStart w:id="0" w:name="TANumber"/>
      <w:r w:rsidRPr="00586E92">
        <w:t>P10_TA(2026)</w:t>
      </w:r>
      <w:bookmarkEnd w:id="0"/>
      <w:r w:rsidR="005677BA">
        <w:t>0331</w:t>
      </w:r>
    </w:p>
    <w:p w:rsidR="007370FF" w:rsidRPr="00586E92" w:rsidP="007370FF" w14:paraId="5E2C0280" w14:textId="3EFA3F63">
      <w:pPr>
        <w:pStyle w:val="ATHeading2"/>
      </w:pPr>
      <w:bookmarkStart w:id="1" w:name="title"/>
      <w:r w:rsidRPr="00586E92">
        <w:t>Mobilisation of the European Globalisation Adjustment Fund for Displaced Workers: application EGF/2026/002 ES/ Galicia automotive ancillary - Spain</w:t>
      </w:r>
      <w:bookmarkEnd w:id="1"/>
    </w:p>
    <w:p w:rsidR="007370FF" w:rsidRPr="00586E92" w:rsidP="007370FF" w14:paraId="5968D97E" w14:textId="77777777">
      <w:pPr>
        <w:rPr>
          <w:i/>
          <w:vanish/>
        </w:rPr>
      </w:pPr>
      <w:r>
        <w:rPr>
          <w:i/>
        </w:rPr>
        <w:fldChar w:fldCharType="begin"/>
      </w:r>
      <w:r w:rsidRPr="00586E92">
        <w:rPr>
          <w:i/>
        </w:rPr>
        <w:instrText xml:space="preserve"> TC"(</w:instrText>
      </w:r>
      <w:bookmarkStart w:id="2" w:name="DocNumber"/>
      <w:r w:rsidRPr="00586E92">
        <w:rPr>
          <w:i/>
        </w:rPr>
        <w:instrText>A10-0242/2026</w:instrText>
      </w:r>
      <w:bookmarkEnd w:id="2"/>
      <w:r w:rsidRPr="00586E92">
        <w:rPr>
          <w:i/>
        </w:rPr>
        <w:instrText xml:space="preserve"> - Rapporteur: Sandra Gómez López)"\l3 \n&gt; \* MERGEFORMAT </w:instrText>
      </w:r>
      <w:r>
        <w:rPr>
          <w:i/>
        </w:rPr>
        <w:fldChar w:fldCharType="end"/>
      </w:r>
    </w:p>
    <w:p w:rsidR="007370FF" w:rsidRPr="00586E92" w:rsidP="007370FF" w14:paraId="266C8D51" w14:textId="77777777">
      <w:pPr>
        <w:rPr>
          <w:vanish/>
        </w:rPr>
      </w:pPr>
      <w:bookmarkStart w:id="3" w:name="Commission"/>
      <w:r w:rsidRPr="00586E92">
        <w:rPr>
          <w:vanish/>
        </w:rPr>
        <w:t>Committee on Budgets</w:t>
      </w:r>
      <w:bookmarkEnd w:id="3"/>
    </w:p>
    <w:p w:rsidR="007370FF" w:rsidRPr="00586E92" w:rsidP="007370FF" w14:paraId="2D762E66" w14:textId="77777777">
      <w:pPr>
        <w:rPr>
          <w:vanish/>
        </w:rPr>
      </w:pPr>
      <w:bookmarkStart w:id="4" w:name="PE"/>
      <w:r w:rsidRPr="00586E92">
        <w:rPr>
          <w:vanish/>
        </w:rPr>
        <w:t>PE791.964</w:t>
      </w:r>
      <w:bookmarkEnd w:id="4"/>
    </w:p>
    <w:p w:rsidR="007370FF" w:rsidRPr="00586E92" w:rsidP="007370FF" w14:paraId="29DECDF5" w14:textId="063909FE">
      <w:pPr>
        <w:pStyle w:val="ATHeading3"/>
      </w:pPr>
      <w:bookmarkStart w:id="5" w:name="Sujet"/>
      <w:r w:rsidRPr="00586E92">
        <w:t xml:space="preserve">European Parliament resolution of </w:t>
      </w:r>
      <w:r w:rsidRPr="00586E92" w:rsidR="009B790B">
        <w:t>7</w:t>
      </w:r>
      <w:r w:rsidRPr="00586E92">
        <w:t xml:space="preserve"> </w:t>
      </w:r>
      <w:r w:rsidRPr="00586E92" w:rsidR="009B790B">
        <w:t>October</w:t>
      </w:r>
      <w:r w:rsidRPr="00586E92">
        <w:t xml:space="preserve"> 2026 on the proposal for a decision of the European Parliament and of the Council on the mobilisation of the European Globalisation Adjustment Fund for Displaced Workers following an application from Spain – EGF/2026/002 ES/Galicia automotive ancillary</w:t>
      </w:r>
      <w:bookmarkEnd w:id="5"/>
      <w:r w:rsidRPr="00586E92">
        <w:t xml:space="preserve"> </w:t>
      </w:r>
      <w:bookmarkStart w:id="6" w:name="References"/>
      <w:r w:rsidRPr="00586E92">
        <w:t>(</w:t>
      </w:r>
      <w:r w:rsidRPr="00586E92">
        <w:t>COM(</w:t>
      </w:r>
      <w:r w:rsidRPr="00586E92">
        <w:t>2026)0170 – C10-0198/2026 – 2026/0195(BUD))</w:t>
      </w:r>
      <w:bookmarkEnd w:id="6"/>
    </w:p>
    <w:p w:rsidR="00361E6A" w:rsidRPr="00586E92" w:rsidP="00361E6A" w14:paraId="437CFF33" w14:textId="77777777">
      <w:pPr>
        <w:pStyle w:val="EPComma"/>
        <w:rPr>
          <w:noProof/>
        </w:rPr>
      </w:pPr>
      <w:r w:rsidRPr="00586E92">
        <w:rPr>
          <w:i/>
          <w:noProof/>
        </w:rPr>
        <w:t>The European Parliament</w:t>
      </w:r>
      <w:r w:rsidRPr="00586E92">
        <w:rPr>
          <w:noProof/>
        </w:rPr>
        <w:t>,</w:t>
      </w:r>
    </w:p>
    <w:p w:rsidR="00361E6A" w:rsidRPr="00586E92" w:rsidP="00361E6A" w14:paraId="2D572F3B" w14:textId="77777777">
      <w:pPr>
        <w:pStyle w:val="NormalHanging12a"/>
        <w:rPr>
          <w:noProof/>
        </w:rPr>
      </w:pPr>
      <w:r w:rsidRPr="00586E92">
        <w:rPr>
          <w:noProof/>
        </w:rPr>
        <w:t>–</w:t>
      </w:r>
      <w:r w:rsidRPr="00586E92">
        <w:rPr>
          <w:noProof/>
        </w:rPr>
        <w:tab/>
        <w:t>having regard to the Commission proposal to the European Parliament and the Council (COM(2026)0170 – C10</w:t>
      </w:r>
      <w:r w:rsidRPr="00586E92">
        <w:rPr>
          <w:noProof/>
        </w:rPr>
        <w:noBreakHyphen/>
        <w:t>0198/2026),</w:t>
      </w:r>
    </w:p>
    <w:p w:rsidR="00361E6A" w:rsidRPr="00586E92" w:rsidP="00361E6A" w14:paraId="04BBACE6" w14:textId="39169526">
      <w:pPr>
        <w:pStyle w:val="NormalHanging12a"/>
        <w:rPr>
          <w:noProof/>
        </w:rPr>
      </w:pPr>
      <w:r w:rsidRPr="00586E92">
        <w:rPr>
          <w:noProof/>
        </w:rPr>
        <w:t>–</w:t>
      </w:r>
      <w:r w:rsidRPr="00586E92">
        <w:rPr>
          <w:noProof/>
        </w:rPr>
        <w:tab/>
        <w:t>having regard to Regulation (EU) 2021/691 of the European Parliament and of the Council of 28 April 2021 on the European Globalisation Adjustment Fund for Displaced Workers (EGF) and repealing Regulation (EU) No 1309/2013</w:t>
      </w:r>
      <w:r>
        <w:rPr>
          <w:noProof/>
          <w:vertAlign w:val="superscript"/>
        </w:rPr>
        <w:footnoteReference w:id="2"/>
      </w:r>
      <w:r w:rsidRPr="00586E92">
        <w:rPr>
          <w:noProof/>
        </w:rPr>
        <w:t xml:space="preserve"> (</w:t>
      </w:r>
      <w:r w:rsidRPr="00586E92" w:rsidR="00ED3A54">
        <w:rPr>
          <w:noProof/>
        </w:rPr>
        <w:t>‘</w:t>
      </w:r>
      <w:r w:rsidRPr="00586E92">
        <w:rPr>
          <w:noProof/>
        </w:rPr>
        <w:t>EGF Regulation</w:t>
      </w:r>
      <w:r w:rsidRPr="00586E92" w:rsidR="00ED3A54">
        <w:rPr>
          <w:noProof/>
        </w:rPr>
        <w:t>’</w:t>
      </w:r>
      <w:r w:rsidRPr="00586E92">
        <w:rPr>
          <w:noProof/>
        </w:rPr>
        <w:t>), as amended by Regulation (EU) 2026/1139</w:t>
      </w:r>
      <w:r>
        <w:rPr>
          <w:noProof/>
          <w:vertAlign w:val="superscript"/>
        </w:rPr>
        <w:footnoteReference w:id="3"/>
      </w:r>
      <w:r w:rsidRPr="00586E92">
        <w:rPr>
          <w:noProof/>
        </w:rPr>
        <w:t>,</w:t>
      </w:r>
    </w:p>
    <w:p w:rsidR="00361E6A" w:rsidRPr="00586E92" w:rsidP="00361E6A" w14:paraId="2EE4AB74" w14:textId="77777777">
      <w:pPr>
        <w:pStyle w:val="NormalHanging12a"/>
        <w:rPr>
          <w:noProof/>
        </w:rPr>
      </w:pPr>
      <w:r w:rsidRPr="00586E92">
        <w:rPr>
          <w:noProof/>
        </w:rPr>
        <w:t>–</w:t>
      </w:r>
      <w:r w:rsidRPr="00586E92">
        <w:rPr>
          <w:noProof/>
        </w:rPr>
        <w:tab/>
        <w:t>having regard to Council Regulation (EU, Euratom) 2020/2093 of 17 December 2020 laying down the multiannual financial framework for the years 2021-2027</w:t>
      </w:r>
      <w:r>
        <w:rPr>
          <w:noProof/>
          <w:vertAlign w:val="superscript"/>
        </w:rPr>
        <w:footnoteReference w:id="4"/>
      </w:r>
      <w:r w:rsidRPr="00586E92">
        <w:rPr>
          <w:noProof/>
        </w:rPr>
        <w:t>, as amended by Regulation (EU, Euratom) 2024/765</w:t>
      </w:r>
      <w:r>
        <w:rPr>
          <w:noProof/>
          <w:vertAlign w:val="superscript"/>
        </w:rPr>
        <w:footnoteReference w:id="5"/>
      </w:r>
      <w:r w:rsidRPr="00586E92">
        <w:rPr>
          <w:noProof/>
        </w:rPr>
        <w:t>, and in particular Article 8 thereof,</w:t>
      </w:r>
    </w:p>
    <w:p w:rsidR="00361E6A" w:rsidRPr="00586E92" w:rsidP="00361E6A" w14:paraId="159247F3" w14:textId="77777777">
      <w:pPr>
        <w:pStyle w:val="NormalHanging12a"/>
        <w:rPr>
          <w:noProof/>
        </w:rPr>
      </w:pPr>
      <w:r w:rsidRPr="00586E92">
        <w:rPr>
          <w:noProof/>
        </w:rPr>
        <w:t>–</w:t>
      </w:r>
      <w:r w:rsidRPr="00586E92">
        <w:rPr>
          <w:noProof/>
        </w:rPr>
        <w:tab/>
        <w:t xml:space="preserve">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w:t>
      </w:r>
      <w:r w:rsidRPr="00586E92">
        <w:rPr>
          <w:noProof/>
        </w:rPr>
        <w:t>the introduction of new own resources</w:t>
      </w:r>
      <w:r>
        <w:rPr>
          <w:noProof/>
          <w:vertAlign w:val="superscript"/>
        </w:rPr>
        <w:footnoteReference w:id="6"/>
      </w:r>
      <w:r w:rsidRPr="00586E92">
        <w:rPr>
          <w:noProof/>
        </w:rPr>
        <w:t>, and in particular point 9 thereof,</w:t>
      </w:r>
    </w:p>
    <w:p w:rsidR="00361E6A" w:rsidRPr="00586E92" w:rsidP="00361E6A" w14:paraId="27DF01B5" w14:textId="77777777">
      <w:pPr>
        <w:pStyle w:val="NormalHanging12a"/>
        <w:rPr>
          <w:noProof/>
        </w:rPr>
      </w:pPr>
      <w:r w:rsidRPr="00586E92">
        <w:rPr>
          <w:noProof/>
        </w:rPr>
        <w:t>–</w:t>
      </w:r>
      <w:r w:rsidRPr="00586E92">
        <w:rPr>
          <w:noProof/>
        </w:rPr>
        <w:tab/>
        <w:t>having regard to the European Pillar of Social Rights,</w:t>
      </w:r>
    </w:p>
    <w:p w:rsidR="00361E6A" w:rsidRPr="00586E92" w:rsidP="00361E6A" w14:paraId="31513AB9" w14:textId="77777777">
      <w:pPr>
        <w:pStyle w:val="NormalHanging12a"/>
        <w:rPr>
          <w:noProof/>
        </w:rPr>
      </w:pPr>
      <w:r w:rsidRPr="00586E92">
        <w:rPr>
          <w:noProof/>
        </w:rPr>
        <w:t>–</w:t>
      </w:r>
      <w:r w:rsidRPr="00586E92">
        <w:rPr>
          <w:noProof/>
        </w:rPr>
        <w:tab/>
        <w:t>having regard to the letter from the Committee on Employment and Social Affairs,</w:t>
      </w:r>
    </w:p>
    <w:p w:rsidR="00361E6A" w:rsidRPr="00586E92" w:rsidP="00361E6A" w14:paraId="14468701" w14:textId="77777777">
      <w:pPr>
        <w:pStyle w:val="NormalHanging12a"/>
        <w:rPr>
          <w:noProof/>
        </w:rPr>
      </w:pPr>
      <w:r w:rsidRPr="00586E92">
        <w:rPr>
          <w:noProof/>
        </w:rPr>
        <w:t>–</w:t>
      </w:r>
      <w:r w:rsidRPr="00586E92">
        <w:rPr>
          <w:noProof/>
        </w:rPr>
        <w:tab/>
        <w:t>having regard to the report of the Committee on Budgets (A10-0242/2026),</w:t>
      </w:r>
    </w:p>
    <w:p w:rsidR="00361E6A" w:rsidRPr="00586E92" w:rsidP="00361E6A" w14:paraId="70B5E2E3" w14:textId="77777777">
      <w:pPr>
        <w:pStyle w:val="NormalHanging12a"/>
        <w:rPr>
          <w:noProof/>
        </w:rPr>
      </w:pPr>
      <w:r w:rsidRPr="00586E92">
        <w:rPr>
          <w:noProof/>
        </w:rPr>
        <w:t>A.</w:t>
      </w:r>
      <w:r w:rsidRPr="00586E92">
        <w:rPr>
          <w:noProof/>
        </w:rPr>
        <w:tab/>
        <w:t>whereas the Union has set up legislative and budgetary instruments to provide additional support to workers who are suffering from the consequences of major structural events and changes in world trade patterns or who are affected by imminent job displacement in enterprises undergoing restructuring, to assist their rapid reintegration into the labour market or their career transitions and to provide necessary training to better equip workers with skills aligned to the labour market needs; whereas this assistance is made through financial support given to workers;</w:t>
      </w:r>
    </w:p>
    <w:p w:rsidR="00361E6A" w:rsidRPr="00586E92" w:rsidP="00361E6A" w14:paraId="0CCE2125" w14:textId="77777777">
      <w:pPr>
        <w:pStyle w:val="NormalHanging12a"/>
        <w:rPr>
          <w:noProof/>
        </w:rPr>
      </w:pPr>
      <w:r w:rsidRPr="00586E92">
        <w:rPr>
          <w:noProof/>
        </w:rPr>
        <w:t>B.</w:t>
      </w:r>
      <w:r w:rsidRPr="00586E92">
        <w:rPr>
          <w:noProof/>
        </w:rPr>
        <w:tab/>
        <w:t>whereas Spain submitted application EGF/2026/002 ES/Galicia automotive ancillary for a financial contribution from the EGF following 671 displacements</w:t>
      </w:r>
      <w:r>
        <w:rPr>
          <w:noProof/>
          <w:vertAlign w:val="superscript"/>
        </w:rPr>
        <w:footnoteReference w:id="7"/>
      </w:r>
      <w:r w:rsidRPr="00586E92">
        <w:rPr>
          <w:noProof/>
        </w:rPr>
        <w:t xml:space="preserve"> in the economic sectors classified under the NACE Revision 2 divisions 25 (Manufacture of fabricated metal products, except machinery and equipment), 27 (Manufacture of electrical equipment), 28 (Manufacture of machinery and equipment), 29 (Manufacture of motor vehicles, trailers and semi-trailers) and 74 (Other professional, scientific and technical activities) in the region of Galicia (ES11), with 313 total displacements within a reference period from 15 September 2025 to 15 January 2026, consisting of displaced workers from 20 different enterprises, and 358 displacements outside the reference period;</w:t>
      </w:r>
    </w:p>
    <w:p w:rsidR="00361E6A" w:rsidRPr="00586E92" w:rsidP="00361E6A" w14:paraId="5ADA3386" w14:textId="77777777">
      <w:pPr>
        <w:pStyle w:val="NormalHanging12a"/>
        <w:rPr>
          <w:noProof/>
        </w:rPr>
      </w:pPr>
      <w:r w:rsidRPr="00586E92">
        <w:rPr>
          <w:noProof/>
        </w:rPr>
        <w:t>C.</w:t>
      </w:r>
      <w:r w:rsidRPr="00586E92">
        <w:rPr>
          <w:noProof/>
        </w:rPr>
        <w:tab/>
        <w:t>whereas the application is based on the intervention criteria of Article 4(2), point (c), of the EGF Regulation; whereas for the 358 displacements whose activity ceased before or after the four-month reference period, a clear causal link can be established with the event that triggered the cessation of activity for the displaced workers during the reference period, in accordance with Article 6 of the EGF Regulation;</w:t>
      </w:r>
    </w:p>
    <w:p w:rsidR="00361E6A" w:rsidRPr="00586E92" w:rsidP="00361E6A" w14:paraId="7FF78686" w14:textId="77777777">
      <w:pPr>
        <w:pStyle w:val="NormalHanging12a"/>
        <w:rPr>
          <w:noProof/>
        </w:rPr>
      </w:pPr>
      <w:r w:rsidRPr="00586E92">
        <w:rPr>
          <w:noProof/>
        </w:rPr>
        <w:t>D.</w:t>
      </w:r>
      <w:r w:rsidRPr="00586E92">
        <w:rPr>
          <w:noProof/>
        </w:rPr>
        <w:tab/>
        <w:t xml:space="preserve">whereas the economic situation of Spain’s car component industry has been worsening since 2024 with a steady decline in revenue and employment reflecting a general restructuring in the customer markets of Spain’s car componentsuppliers and its workforce; whereas, notwithstanding these challenges, Galicia retains a strong automotive base with significant employment, investment and exports capacity; </w:t>
      </w:r>
      <w:r w:rsidRPr="00586E92">
        <w:rPr>
          <w:bCs/>
          <w:iCs/>
        </w:rPr>
        <w:t>whereas these developments highlight the need to strengthen the competitiveness and resilience of the European automotive industry and its supply chain and to maintain a strong industrial base and high-quality employment in the Union;</w:t>
      </w:r>
    </w:p>
    <w:p w:rsidR="00361E6A" w:rsidRPr="00586E92" w:rsidP="00361E6A" w14:paraId="55F0C3A1" w14:textId="77777777">
      <w:pPr>
        <w:pStyle w:val="NormalHanging12a"/>
        <w:rPr>
          <w:noProof/>
        </w:rPr>
      </w:pPr>
      <w:r w:rsidRPr="00586E92">
        <w:rPr>
          <w:noProof/>
        </w:rPr>
        <w:t>E.</w:t>
      </w:r>
      <w:r w:rsidRPr="00586E92">
        <w:rPr>
          <w:noProof/>
        </w:rPr>
        <w:tab/>
        <w:t>whereas the requirements laid down in Union and national legislation concerning collective redundancies have been met;</w:t>
      </w:r>
    </w:p>
    <w:p w:rsidR="00361E6A" w:rsidRPr="00586E92" w:rsidP="00361E6A" w14:paraId="108DE88F" w14:textId="77777777">
      <w:pPr>
        <w:pStyle w:val="NormalHanging12a"/>
        <w:rPr>
          <w:noProof/>
        </w:rPr>
      </w:pPr>
      <w:r w:rsidRPr="00586E92">
        <w:rPr>
          <w:noProof/>
        </w:rPr>
        <w:t>F.</w:t>
      </w:r>
      <w:r w:rsidRPr="00586E92">
        <w:rPr>
          <w:noProof/>
        </w:rPr>
        <w:tab/>
        <w:t xml:space="preserve">whereas financial contributions from the EGF should be primarily directed at active labour market policy measures and personalised services that aim to reintegrate beneficiaries rapidly into decent and sustainable employment or support their career </w:t>
      </w:r>
      <w:r w:rsidRPr="00586E92">
        <w:rPr>
          <w:noProof/>
        </w:rPr>
        <w:t>transitions while offering them skills training to facilitate their reintegration into the labour market;</w:t>
      </w:r>
    </w:p>
    <w:p w:rsidR="00361E6A" w:rsidRPr="00586E92" w:rsidP="00361E6A" w14:paraId="2F1F6D19" w14:textId="77777777">
      <w:pPr>
        <w:pStyle w:val="NormalHanging12a"/>
        <w:rPr>
          <w:noProof/>
        </w:rPr>
      </w:pPr>
      <w:r w:rsidRPr="00586E92">
        <w:rPr>
          <w:bCs/>
          <w:iCs/>
        </w:rPr>
        <w:t>G.</w:t>
      </w:r>
      <w:r w:rsidRPr="00586E92">
        <w:rPr>
          <w:bCs/>
          <w:iCs/>
        </w:rPr>
        <w:tab/>
        <w:t>whereas the use of the EGF remains limited and geographically uneven across the Union; whereas several Member States have not yet used the EGF, despite experiencing restructuring and job losses; whereas greater awareness, appropriate legislative framework, earlier coordination with social partners and enhanced technical assistance for national and regional authorities are needed to ensure visibility and timely and effective access to the EGF for eligible workers and regions affected by major restructuring events;</w:t>
      </w:r>
      <w:r w:rsidRPr="00586E92">
        <w:rPr>
          <w:b/>
          <w:i/>
        </w:rPr>
        <w:t xml:space="preserve"> </w:t>
      </w:r>
    </w:p>
    <w:p w:rsidR="00361E6A" w:rsidRPr="00586E92" w:rsidP="00361E6A" w14:paraId="63A925EE" w14:textId="77777777">
      <w:pPr>
        <w:pStyle w:val="NormalHanging12a"/>
        <w:rPr>
          <w:noProof/>
        </w:rPr>
      </w:pPr>
      <w:r w:rsidRPr="00586E92">
        <w:rPr>
          <w:noProof/>
        </w:rPr>
        <w:t>H.</w:t>
      </w:r>
      <w:r w:rsidRPr="00586E92">
        <w:rPr>
          <w:noProof/>
        </w:rPr>
        <w:tab/>
        <w:t>whereas the EGF shall not exceed a maximum annual amount of EUR 30 million (in 2018 prices)</w:t>
      </w:r>
      <w:r>
        <w:rPr>
          <w:noProof/>
          <w:vertAlign w:val="superscript"/>
        </w:rPr>
        <w:footnoteReference w:id="8"/>
      </w:r>
      <w:r w:rsidRPr="00586E92">
        <w:rPr>
          <w:noProof/>
        </w:rPr>
        <w:t xml:space="preserve">; </w:t>
      </w:r>
    </w:p>
    <w:p w:rsidR="00361E6A" w:rsidRPr="00586E92" w:rsidP="00361E6A" w14:paraId="6B211119" w14:textId="77777777">
      <w:pPr>
        <w:pStyle w:val="NormalHanging12a"/>
        <w:rPr>
          <w:noProof/>
        </w:rPr>
      </w:pPr>
      <w:r w:rsidRPr="00586E92">
        <w:rPr>
          <w:noProof/>
        </w:rPr>
        <w:t>1.</w:t>
      </w:r>
      <w:r w:rsidRPr="00586E92">
        <w:rPr>
          <w:noProof/>
        </w:rPr>
        <w:tab/>
        <w:t>Agrees with the Commission that the conditions set out in the EGF Regulation and in particular in Article 4(2), point (c), thereof are met and that Spain is entitled to a financial contribution of EUR 2 725 100 under that Regulation, which represents 85 % of the total cost of EUR 3 206 000, comprising expenditure for personalised services of EUR 3 046 000 and expenditure for preparatory, management, information and publicity, control and reporting activities of EUR 160 000;</w:t>
      </w:r>
    </w:p>
    <w:p w:rsidR="00361E6A" w:rsidRPr="00586E92" w:rsidP="00361E6A" w14:paraId="6E99CCA9" w14:textId="77777777">
      <w:pPr>
        <w:pStyle w:val="NormalHanging12a"/>
        <w:rPr>
          <w:noProof/>
        </w:rPr>
      </w:pPr>
      <w:r w:rsidRPr="00586E92">
        <w:rPr>
          <w:noProof/>
        </w:rPr>
        <w:t>2.</w:t>
      </w:r>
      <w:r w:rsidRPr="00586E92">
        <w:rPr>
          <w:noProof/>
        </w:rPr>
        <w:tab/>
        <w:t xml:space="preserve">Notes that the Spanish authorities submitted the application on 7 April 2026, and that, following the receipt of additional information from Spain, the Commission finalised its assessment on 16 July 2026 and notified it to Parliament on 24 August 2026; </w:t>
      </w:r>
    </w:p>
    <w:p w:rsidR="00361E6A" w:rsidRPr="00586E92" w:rsidP="00361E6A" w14:paraId="1D4D74D8" w14:textId="77777777">
      <w:pPr>
        <w:pStyle w:val="NormalHanging12a"/>
        <w:rPr>
          <w:noProof/>
        </w:rPr>
      </w:pPr>
      <w:r w:rsidRPr="00586E92">
        <w:rPr>
          <w:noProof/>
        </w:rPr>
        <w:t>3.</w:t>
      </w:r>
      <w:r w:rsidRPr="00586E92">
        <w:rPr>
          <w:noProof/>
        </w:rPr>
        <w:tab/>
        <w:t>Notes that the application relates to 671 displaced workers who were made redundant in Galicia’s automotive ancillary industry; notes further that 400 displaced workers, residing in the region of Galicia, will be targeted beneficiaries;</w:t>
      </w:r>
    </w:p>
    <w:p w:rsidR="00361E6A" w:rsidRPr="00586E92" w:rsidP="00361E6A" w14:paraId="3F884947" w14:textId="77777777">
      <w:pPr>
        <w:pStyle w:val="NormalHanging12a"/>
        <w:rPr>
          <w:noProof/>
        </w:rPr>
      </w:pPr>
      <w:r w:rsidRPr="00586E92">
        <w:rPr>
          <w:noProof/>
        </w:rPr>
        <w:t>4.</w:t>
      </w:r>
      <w:r w:rsidRPr="00586E92">
        <w:rPr>
          <w:noProof/>
        </w:rPr>
        <w:tab/>
        <w:t xml:space="preserve">Notes that Galicia’s car component enterprises have a strong export orientation, directing 60 to 70 % of their production to the Union; regrets that a combination of factors including the weaker-than-expected European demand and trade and supply chain disruptions resulted in structural adjustments across the car sector’s value chain in Galicia, causing temporary layoff schemes and redundancies, insolvency proceedings, and liquidations; notes that in the territory most affected by redundancies, the Vigo area, unemployment stands at 11,2 % - almost double the Union average (5,8 %); </w:t>
      </w:r>
      <w:r w:rsidRPr="00586E92">
        <w:rPr>
          <w:bCs/>
          <w:iCs/>
        </w:rPr>
        <w:t>stresses that these developments underline the importance of a competitive, stable and innovation-friendly business environment that encourages investment in the twin transition, and enables automotive companies and their suppliers to adapt to structural and technological changes while safeguarding production and quality employment in Europe; highlights that Galicia’s Automotive and Mobility Sector closed the 2025 financial year with a turnover of EUR 13,3 billion, representing a 5 % increase on the previous year</w:t>
      </w:r>
      <w:r>
        <w:rPr>
          <w:rStyle w:val="FootnoteReference"/>
          <w:bCs/>
          <w:iCs/>
        </w:rPr>
        <w:footnoteReference w:id="9"/>
      </w:r>
      <w:r w:rsidRPr="00586E92">
        <w:rPr>
          <w:bCs/>
          <w:iCs/>
        </w:rPr>
        <w:t>;</w:t>
      </w:r>
    </w:p>
    <w:p w:rsidR="00361E6A" w:rsidRPr="00586E92" w:rsidP="00361E6A" w14:paraId="6A6FF538" w14:textId="3264ADFE">
      <w:pPr>
        <w:pStyle w:val="NormalHanging12a"/>
        <w:rPr>
          <w:bCs/>
          <w:iCs/>
        </w:rPr>
      </w:pPr>
      <w:r w:rsidRPr="00586E92">
        <w:rPr>
          <w:bCs/>
          <w:iCs/>
        </w:rPr>
        <w:t>5.</w:t>
      </w:r>
      <w:r w:rsidRPr="00586E92">
        <w:rPr>
          <w:bCs/>
          <w:iCs/>
        </w:rPr>
        <w:tab/>
      </w:r>
      <w:r w:rsidRPr="00586E92">
        <w:rPr>
          <w:bCs/>
          <w:iCs/>
          <w:szCs w:val="24"/>
        </w:rPr>
        <w:t xml:space="preserve">Emphasises that the Union needs a stable, predictable, innovation-friendly business environment that supports technological development and strengthens competitiveness; recalls that strong and competitive businesses are essential to sustain high-quality jobs, </w:t>
      </w:r>
      <w:r w:rsidRPr="00586E92">
        <w:rPr>
          <w:bCs/>
          <w:iCs/>
          <w:szCs w:val="24"/>
        </w:rPr>
        <w:t>drive economic growth, promote territorial, economic and social cohesion, and reinforce Europe’s strategic resilience;</w:t>
      </w:r>
    </w:p>
    <w:p w:rsidR="00361E6A" w:rsidRPr="00586E92" w:rsidP="00361E6A" w14:paraId="641F49AC" w14:textId="77777777">
      <w:pPr>
        <w:pStyle w:val="NormalHanging12a"/>
        <w:rPr>
          <w:noProof/>
        </w:rPr>
      </w:pPr>
      <w:r w:rsidRPr="00586E92">
        <w:rPr>
          <w:bCs/>
          <w:iCs/>
        </w:rPr>
        <w:t>6.</w:t>
      </w:r>
      <w:r w:rsidRPr="00586E92">
        <w:rPr>
          <w:bCs/>
          <w:iCs/>
        </w:rPr>
        <w:tab/>
        <w:t xml:space="preserve">Notes that the Galician automotive and mobility sector saw its workforce grow in 2025 by 1,6%, reaching 23,900 direct jobs by the end of the year, therefore stresses that the workers made redundant must be re-employed into quality employment; </w:t>
      </w:r>
    </w:p>
    <w:p w:rsidR="00361E6A" w:rsidRPr="00586E92" w:rsidP="00361E6A" w14:paraId="1F5A2DA5" w14:textId="77777777">
      <w:pPr>
        <w:pStyle w:val="NormalHanging12a"/>
        <w:rPr>
          <w:noProof/>
        </w:rPr>
      </w:pPr>
      <w:r w:rsidRPr="00586E92">
        <w:rPr>
          <w:noProof/>
        </w:rPr>
        <w:t>7.</w:t>
      </w:r>
      <w:r w:rsidRPr="00586E92">
        <w:rPr>
          <w:noProof/>
        </w:rPr>
        <w:tab/>
        <w:t xml:space="preserve">Notes that eight in ten displaced workers have an educational attainment of post-secondary level or lower, with one in four being aged over 54, facing greater barriers to re-entering the labour market; calls on the Spanish and regional authorities to address social disparities and structural barriers preventing displaced workers from accessing quality employment, including unequal access to education and age-related discrimination; takes note that the automotive industry in Galicia employs a high proportion of skilled and specialised workers and that the regional labour market has a limited capacity to immediately re-employ such specialised workers; </w:t>
      </w:r>
      <w:r w:rsidRPr="00586E92">
        <w:rPr>
          <w:bCs/>
          <w:iCs/>
        </w:rPr>
        <w:t>stresses the need to align training with labour market needs as they evolve in order to facilitate rapid reintegration into employment; emphasises the importance of fostering high-quality, future-oriented jobs to ensure long-term economic and social resilience; stresses that reintegration efforts should prioritise stable and quality employment over temporary contractual arrangements;</w:t>
      </w:r>
    </w:p>
    <w:p w:rsidR="00361E6A" w:rsidRPr="00586E92" w:rsidP="00361E6A" w14:paraId="6195C478" w14:textId="77777777">
      <w:pPr>
        <w:pStyle w:val="NormalHanging12a"/>
        <w:rPr>
          <w:noProof/>
        </w:rPr>
      </w:pPr>
      <w:r w:rsidRPr="00586E92">
        <w:rPr>
          <w:bCs/>
          <w:iCs/>
        </w:rPr>
        <w:t>8.</w:t>
      </w:r>
      <w:r w:rsidRPr="00586E92">
        <w:rPr>
          <w:bCs/>
          <w:iCs/>
        </w:rPr>
        <w:tab/>
        <w:t>Stresses, in this context, the importance of close cooperation with regional businesses, employers and social partners to identify employment opportunities and ensure that training and requalification programmes respond to concrete labour market needs;</w:t>
      </w:r>
    </w:p>
    <w:p w:rsidR="00361E6A" w:rsidRPr="00586E92" w:rsidP="00361E6A" w14:paraId="499F0BE8" w14:textId="77777777">
      <w:pPr>
        <w:pStyle w:val="NormalHanging12a"/>
        <w:rPr>
          <w:noProof/>
        </w:rPr>
      </w:pPr>
      <w:r w:rsidRPr="00586E92">
        <w:rPr>
          <w:noProof/>
        </w:rPr>
        <w:t>9.</w:t>
      </w:r>
      <w:r w:rsidRPr="00586E92">
        <w:rPr>
          <w:noProof/>
        </w:rPr>
        <w:tab/>
        <w:t xml:space="preserve">Recalls that, in agreement with trade unions, regional authorities and social partners, personalised services to be provided to the displaced workers consist of the following measures: information, intake phase and workers’ profiling; occupational guidance; training; job-search assistance; tutoring; financial support and incentives </w:t>
      </w:r>
      <w:r w:rsidRPr="00586E92">
        <w:rPr>
          <w:bCs/>
          <w:iCs/>
        </w:rPr>
        <w:t>to prevent long-term unemployment including for older workers</w:t>
      </w:r>
      <w:r w:rsidRPr="00586E92">
        <w:rPr>
          <w:noProof/>
        </w:rPr>
        <w:t>;</w:t>
      </w:r>
    </w:p>
    <w:p w:rsidR="00361E6A" w:rsidRPr="00586E92" w:rsidP="00361E6A" w14:paraId="759894BA" w14:textId="77777777">
      <w:pPr>
        <w:pStyle w:val="NormalHanging12a"/>
        <w:rPr>
          <w:bCs/>
          <w:iCs/>
          <w:noProof/>
        </w:rPr>
      </w:pPr>
      <w:r w:rsidRPr="00586E92">
        <w:rPr>
          <w:noProof/>
        </w:rPr>
        <w:t>10.</w:t>
      </w:r>
      <w:r w:rsidRPr="00586E92">
        <w:rPr>
          <w:noProof/>
        </w:rPr>
        <w:tab/>
      </w:r>
      <w:r w:rsidRPr="00586E92">
        <w:rPr>
          <w:bCs/>
          <w:iCs/>
          <w:noProof/>
        </w:rPr>
        <w:t xml:space="preserve">Stresses that the Spanish and regional authorities shall ensure the visibility of the Union funding and highlight its added value by providing effective, clear and timely information to </w:t>
      </w:r>
      <w:r w:rsidRPr="00586E92">
        <w:rPr>
          <w:noProof/>
        </w:rPr>
        <w:t>beneficiaries, regional and local authorities, social partners, and the wider public</w:t>
      </w:r>
      <w:r w:rsidRPr="00586E92">
        <w:rPr>
          <w:bCs/>
          <w:iCs/>
          <w:noProof/>
        </w:rPr>
        <w:t xml:space="preserve">; </w:t>
      </w:r>
      <w:r w:rsidRPr="00586E92">
        <w:rPr>
          <w:bCs/>
          <w:iCs/>
        </w:rPr>
        <w:t>underlines that the EGF is a concrete expression of European solidarity, demonstrating that the Union stands with workers and communities affected by major economic and structural change; stresses that clear communication of the support provided through the EGF is essential to showcasing the tangible benefits of the Union action and strengthening citizens’ confidence in the European project;</w:t>
      </w:r>
    </w:p>
    <w:p w:rsidR="00361E6A" w:rsidRPr="00586E92" w:rsidP="00361E6A" w14:paraId="798E8E6A" w14:textId="77777777">
      <w:pPr>
        <w:pStyle w:val="NormalHanging12a"/>
        <w:rPr>
          <w:noProof/>
        </w:rPr>
      </w:pPr>
      <w:r w:rsidRPr="00586E92">
        <w:rPr>
          <w:bCs/>
          <w:iCs/>
        </w:rPr>
        <w:t>11.</w:t>
      </w:r>
      <w:r w:rsidRPr="00586E92">
        <w:rPr>
          <w:bCs/>
          <w:iCs/>
        </w:rPr>
        <w:tab/>
        <w:t>Underlines the need to further raise awareness of the EGF in some Member States and strengthen its visibility; calls on the Commission, in cooperation with the Member States and social partners, to strengthen outreach and technical assistance, with particular attention to national and regional authorities with no or limited experience in accessing the EGF support;</w:t>
      </w:r>
    </w:p>
    <w:p w:rsidR="00361E6A" w:rsidRPr="00586E92" w:rsidP="00361E6A" w14:paraId="6CFA799B" w14:textId="77777777">
      <w:pPr>
        <w:pStyle w:val="NormalHanging12a"/>
        <w:rPr>
          <w:noProof/>
        </w:rPr>
      </w:pPr>
      <w:r w:rsidRPr="00586E92">
        <w:rPr>
          <w:noProof/>
        </w:rPr>
        <w:t>12.</w:t>
      </w:r>
      <w:r w:rsidRPr="00586E92">
        <w:rPr>
          <w:noProof/>
        </w:rPr>
        <w:tab/>
        <w:t xml:space="preserve">Calls for thorough final evaluations of the measures implemented, including how the funds were used, the reintegration of workers into the labour market, and whether the EGF objectives were achieved; </w:t>
      </w:r>
      <w:r w:rsidRPr="00586E92">
        <w:rPr>
          <w:bCs/>
          <w:iCs/>
        </w:rPr>
        <w:t xml:space="preserve">stresses that regular monitoring should assess the effectiveness of the measures financed and ensure that the EGF funding effectively contributes to the rapid and sustainable reintegration of beneficiaries into the quality </w:t>
      </w:r>
      <w:r w:rsidRPr="00586E92">
        <w:rPr>
          <w:bCs/>
          <w:iCs/>
        </w:rPr>
        <w:t>employment;</w:t>
      </w:r>
    </w:p>
    <w:p w:rsidR="00361E6A" w:rsidRPr="00586E92" w:rsidP="00361E6A" w14:paraId="60182E4F" w14:textId="5B73C549">
      <w:pPr>
        <w:pStyle w:val="NormalHanging12a"/>
        <w:rPr>
          <w:noProof/>
        </w:rPr>
      </w:pPr>
      <w:r w:rsidRPr="00586E92">
        <w:rPr>
          <w:bCs/>
          <w:iCs/>
        </w:rPr>
        <w:t>13.</w:t>
      </w:r>
      <w:r w:rsidRPr="00586E92">
        <w:rPr>
          <w:bCs/>
          <w:iCs/>
        </w:rPr>
        <w:tab/>
        <w:t>Recalls that national and regional authorities shall ensure equal opportunities in terms of gender, ensuring gender equality is integrated into and promoted throughout the implementation of the EGF measures;</w:t>
      </w:r>
    </w:p>
    <w:p w:rsidR="00361E6A" w:rsidRPr="00586E92" w:rsidP="00361E6A" w14:paraId="1AB58869" w14:textId="77777777">
      <w:pPr>
        <w:pStyle w:val="NormalHanging12a"/>
        <w:rPr>
          <w:noProof/>
        </w:rPr>
      </w:pPr>
      <w:r w:rsidRPr="00586E92">
        <w:rPr>
          <w:noProof/>
        </w:rPr>
        <w:t>14.</w:t>
      </w:r>
      <w:r w:rsidRPr="00586E92">
        <w:rPr>
          <w:noProof/>
        </w:rPr>
        <w:tab/>
        <w:t>Notes that Spain started providing personalised services to the targeted beneficiaries and incurring administrative expenditure to implement the EGF on 1 September 2026 and 1 July 2026, respectively, and that the period of eligibility for a financial contribution from the EGF will be from that date until 24 months and until 31 months after the date of the entry into force of the financing decision, respectively;</w:t>
      </w:r>
    </w:p>
    <w:p w:rsidR="00361E6A" w:rsidRPr="00586E92" w:rsidP="00361E6A" w14:paraId="413ED35A" w14:textId="77777777">
      <w:pPr>
        <w:pStyle w:val="NormalHanging12a"/>
        <w:rPr>
          <w:noProof/>
        </w:rPr>
      </w:pPr>
      <w:r w:rsidRPr="00586E92">
        <w:rPr>
          <w:noProof/>
        </w:rPr>
        <w:t>15.</w:t>
      </w:r>
      <w:r w:rsidRPr="00586E92">
        <w:rPr>
          <w:noProof/>
        </w:rPr>
        <w:tab/>
        <w:t>Notes that the Spanish authorities provided assurance that the principles of equality of treatment and non-discrimination will be respected in the proposed actions and their implementation, and that any double financing will be prevented;</w:t>
      </w:r>
    </w:p>
    <w:p w:rsidR="00361E6A" w:rsidRPr="00586E92" w:rsidP="00361E6A" w14:paraId="223EE7CF" w14:textId="77777777">
      <w:pPr>
        <w:pStyle w:val="NormalHanging12a"/>
        <w:rPr>
          <w:noProof/>
        </w:rPr>
      </w:pPr>
      <w:r w:rsidRPr="00586E92">
        <w:rPr>
          <w:noProof/>
        </w:rPr>
        <w:t>16.</w:t>
      </w:r>
      <w:r w:rsidRPr="00586E92">
        <w:rPr>
          <w:noProof/>
        </w:rPr>
        <w:tab/>
        <w:t xml:space="preserve">Reiterates that assistance from the EGF must not replace actions that are the responsibility of public authorities or companies under national law or collective agreements; recalls that the EGF is a limited, targeted and complementary mechanism </w:t>
      </w:r>
      <w:r w:rsidRPr="00586E92">
        <w:rPr>
          <w:bCs/>
          <w:iCs/>
        </w:rPr>
        <w:t>and must be accompanied by broader structural economic and social policies that sustain sustainable economic growth, promote a stable and innovation-friendly business environment, and protect Union enterprises, economic operators and their workers</w:t>
      </w:r>
      <w:r w:rsidRPr="00586E92">
        <w:rPr>
          <w:noProof/>
        </w:rPr>
        <w:t>;</w:t>
      </w:r>
    </w:p>
    <w:p w:rsidR="00361E6A" w:rsidRPr="00586E92" w:rsidP="00361E6A" w14:paraId="624FA7F2" w14:textId="77777777">
      <w:pPr>
        <w:pStyle w:val="NormalHanging12a"/>
        <w:rPr>
          <w:noProof/>
        </w:rPr>
      </w:pPr>
      <w:r w:rsidRPr="00586E92">
        <w:rPr>
          <w:bCs/>
          <w:iCs/>
        </w:rPr>
        <w:t>17.</w:t>
      </w:r>
      <w:r w:rsidRPr="00586E92">
        <w:rPr>
          <w:bCs/>
          <w:iCs/>
        </w:rPr>
        <w:tab/>
        <w:t>Recognises that the challenges facing the automotive sector are not confined to Galicia or Spain, but affect automotive value chains and workers across several Member States; calls on the Commission to closely monitor employment developments in the European automotive sector and to develop targeted measures, where necessary, to support workers, regions and European companies undergoing structural transformation, including through instruments complementing the EGF; stresses that a coordinated European response is essential to safeguard Europe’s industrial base, skilled employment, competitiveness and a fair transition for workers;</w:t>
      </w:r>
    </w:p>
    <w:p w:rsidR="00361E6A" w:rsidRPr="00586E92" w:rsidP="00361E6A" w14:paraId="24EACE26" w14:textId="77777777">
      <w:pPr>
        <w:pStyle w:val="NormalHanging12a"/>
        <w:rPr>
          <w:noProof/>
        </w:rPr>
      </w:pPr>
      <w:r w:rsidRPr="00586E92">
        <w:rPr>
          <w:noProof/>
        </w:rPr>
        <w:t>18.</w:t>
      </w:r>
      <w:r w:rsidRPr="00586E92">
        <w:rPr>
          <w:noProof/>
        </w:rPr>
        <w:tab/>
        <w:t>Approves the decision annexed to this resolution;</w:t>
      </w:r>
    </w:p>
    <w:p w:rsidR="00361E6A" w:rsidRPr="00586E92" w:rsidP="00361E6A" w14:paraId="5EF35C79" w14:textId="77777777">
      <w:pPr>
        <w:pStyle w:val="NormalHanging12a"/>
        <w:rPr>
          <w:noProof/>
        </w:rPr>
      </w:pPr>
      <w:r w:rsidRPr="00586E92">
        <w:rPr>
          <w:noProof/>
        </w:rPr>
        <w:t>19.</w:t>
      </w:r>
      <w:r w:rsidRPr="00586E92">
        <w:rPr>
          <w:noProof/>
        </w:rPr>
        <w:tab/>
        <w:t xml:space="preserve">Instructs its President to sign the decision with the President of the Council and arrange for its publication in the </w:t>
      </w:r>
      <w:r w:rsidRPr="00586E92">
        <w:rPr>
          <w:i/>
          <w:noProof/>
        </w:rPr>
        <w:t>Official Journal of the European Union</w:t>
      </w:r>
      <w:r w:rsidRPr="00586E92">
        <w:rPr>
          <w:noProof/>
        </w:rPr>
        <w:t>;</w:t>
      </w:r>
    </w:p>
    <w:p w:rsidR="00361E6A" w:rsidRPr="00586E92" w:rsidP="00361E6A" w14:paraId="392F718A" w14:textId="77777777">
      <w:pPr>
        <w:pStyle w:val="NormalHanging12a"/>
        <w:rPr>
          <w:noProof/>
        </w:rPr>
      </w:pPr>
      <w:r w:rsidRPr="00586E92">
        <w:rPr>
          <w:noProof/>
        </w:rPr>
        <w:t>20.</w:t>
      </w:r>
      <w:r w:rsidRPr="00586E92">
        <w:rPr>
          <w:noProof/>
        </w:rPr>
        <w:tab/>
        <w:t>Instructs its President to forward this resolution, including its annex, to the Council and the Commission.</w:t>
      </w:r>
    </w:p>
    <w:p w:rsidR="00361E6A" w:rsidRPr="00586E92" w:rsidP="00361E6A" w14:paraId="6C237DF7" w14:textId="77777777">
      <w:pPr>
        <w:sectPr w:rsidSect="00196DF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1E6A" w:rsidRPr="00586E92" w:rsidP="00361E6A" w14:paraId="28A46DD5" w14:textId="77777777">
      <w:pPr>
        <w:pStyle w:val="PageHeading"/>
        <w:rPr>
          <w:noProof/>
        </w:rPr>
      </w:pPr>
      <w:bookmarkStart w:id="7" w:name="_Toc241584928"/>
      <w:r w:rsidRPr="00586E92">
        <w:rPr>
          <w:noProof/>
        </w:rPr>
        <w:t>ANNEX: DECISION OF THE EUROPEAN PARLIAMENT AND OF THE COUNCIL</w:t>
      </w:r>
      <w:bookmarkEnd w:id="7"/>
    </w:p>
    <w:p w:rsidR="00361E6A" w:rsidRPr="00586E92" w:rsidP="00361E6A" w14:paraId="47165D05" w14:textId="77777777">
      <w:pPr>
        <w:pStyle w:val="NormalBold24a"/>
      </w:pPr>
      <w:r w:rsidRPr="00586E92">
        <w:t>on the mobilisation of the European Globalisation Adjustment Fund for Displaced Workers following an application from Spain – EGF/2026/002 ES/Galicia automotive ancillary</w:t>
      </w:r>
    </w:p>
    <w:p w:rsidR="00361E6A" w:rsidRPr="00586E92" w:rsidP="00361E6A" w14:paraId="3FFB5E16" w14:textId="77777777">
      <w:pPr>
        <w:pStyle w:val="NormalHanging12a"/>
        <w:jc w:val="both"/>
      </w:pPr>
      <w:r w:rsidRPr="00586E92">
        <w:t>THE EUROPEAN PARLIAMENT AND THE COUNCIL OF THE EUROPEAN UNION,</w:t>
      </w:r>
    </w:p>
    <w:p w:rsidR="00361E6A" w:rsidRPr="00586E92" w:rsidP="00361E6A" w14:paraId="29554098" w14:textId="77777777">
      <w:pPr>
        <w:pStyle w:val="NormalHanging12a"/>
        <w:jc w:val="both"/>
      </w:pPr>
      <w:r w:rsidRPr="00586E92">
        <w:t>Having regard to the Treaty on the Functioning of the European Union,</w:t>
      </w:r>
    </w:p>
    <w:p w:rsidR="00361E6A" w:rsidRPr="00586E92" w:rsidP="00361E6A" w14:paraId="469BCF73" w14:textId="77777777">
      <w:pPr>
        <w:pStyle w:val="NormalHanging12a"/>
        <w:ind w:left="0" w:firstLine="0"/>
        <w:jc w:val="both"/>
      </w:pPr>
      <w:r w:rsidRPr="00586E92">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10"/>
      </w:r>
      <w:r w:rsidRPr="00586E92">
        <w:t xml:space="preserve">, and </w:t>
      </w:r>
      <w:r w:rsidRPr="00586E92">
        <w:t>in particular Article</w:t>
      </w:r>
      <w:r w:rsidRPr="00586E92">
        <w:t xml:space="preserve"> 15(1), first subparagraph, thereof,</w:t>
      </w:r>
    </w:p>
    <w:p w:rsidR="00361E6A" w:rsidRPr="00586E92" w:rsidP="00361E6A" w14:paraId="62724C83" w14:textId="77777777">
      <w:pPr>
        <w:pStyle w:val="NormalHanging12a"/>
        <w:ind w:left="0" w:firstLine="0"/>
        <w:jc w:val="both"/>
      </w:pPr>
      <w:r w:rsidRPr="00586E92">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vertAlign w:val="superscript"/>
        </w:rPr>
        <w:footnoteReference w:id="11"/>
      </w:r>
      <w:r w:rsidRPr="00586E92">
        <w:t>, and in particular point 9 thereof,</w:t>
      </w:r>
    </w:p>
    <w:p w:rsidR="00361E6A" w:rsidRPr="00586E92" w:rsidP="00361E6A" w14:paraId="55EE2058" w14:textId="77777777">
      <w:pPr>
        <w:pStyle w:val="NormalHanging12a"/>
        <w:jc w:val="both"/>
      </w:pPr>
      <w:r w:rsidRPr="00586E92">
        <w:t>Having regard to the proposal from the European Commission,</w:t>
      </w:r>
    </w:p>
    <w:p w:rsidR="00361E6A" w:rsidRPr="00586E92" w:rsidP="00361E6A" w14:paraId="2B5BB93F" w14:textId="77777777">
      <w:pPr>
        <w:pStyle w:val="NormalHanging12a"/>
        <w:jc w:val="both"/>
      </w:pPr>
      <w:r w:rsidRPr="00586E92">
        <w:t>Whereas:</w:t>
      </w:r>
    </w:p>
    <w:p w:rsidR="00361E6A" w:rsidRPr="00586E92" w:rsidP="00361E6A" w14:paraId="78DE613A" w14:textId="77777777">
      <w:pPr>
        <w:pStyle w:val="NormalHanging12a"/>
        <w:jc w:val="both"/>
      </w:pPr>
      <w:r w:rsidRPr="00586E92">
        <w:t xml:space="preserve">(1) </w:t>
      </w:r>
      <w:r w:rsidRPr="00586E92">
        <w:tab/>
        <w:t>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w:t>
      </w:r>
    </w:p>
    <w:p w:rsidR="00361E6A" w:rsidRPr="00586E92" w:rsidP="00361E6A" w14:paraId="0644E8E2" w14:textId="03645D76">
      <w:pPr>
        <w:pStyle w:val="NormalHanging12a"/>
        <w:jc w:val="both"/>
      </w:pPr>
      <w:r w:rsidRPr="00586E92">
        <w:t>(2)</w:t>
      </w:r>
      <w:r w:rsidRPr="00586E92">
        <w:tab/>
        <w:t>The EGF is not to exceed a maximum annual amount of EUR 30 million (in 2018 prices), as laid down in Article 8 of Council Regulation (EU, Euratom) 2020/2093</w:t>
      </w:r>
      <w:r>
        <w:rPr>
          <w:i/>
          <w:vertAlign w:val="superscript"/>
        </w:rPr>
        <w:footnoteReference w:id="12"/>
      </w:r>
      <w:r w:rsidRPr="00586E92" w:rsidR="00877C78">
        <w:t xml:space="preserve">, </w:t>
      </w:r>
      <w:r w:rsidRPr="00586E92">
        <w:t>amended by Council Regulation (EU, Euratom) 2024/765</w:t>
      </w:r>
      <w:r>
        <w:rPr>
          <w:i/>
          <w:vertAlign w:val="superscript"/>
        </w:rPr>
        <w:footnoteReference w:id="13"/>
      </w:r>
      <w:r w:rsidRPr="00586E92">
        <w:t>, and Article 16 of Regulation (EU) 2021/691.</w:t>
      </w:r>
    </w:p>
    <w:p w:rsidR="00361E6A" w:rsidRPr="00586E92" w:rsidP="00361E6A" w14:paraId="1CA6CE7E" w14:textId="665FF619">
      <w:pPr>
        <w:pStyle w:val="NormalHanging12a"/>
        <w:jc w:val="both"/>
      </w:pPr>
      <w:r w:rsidRPr="00586E92">
        <w:t>(3)</w:t>
      </w:r>
      <w:r w:rsidRPr="00586E92">
        <w:tab/>
        <w:t xml:space="preserve">On 7 April 2026, Spain submitted an application to mobilise the EGF in accordance with Article 8(1) of Regulation (EU) 2021/691, in respect of workers’ displacements in the economic sectors classified under the Statistical classification of economic activities in </w:t>
      </w:r>
      <w:r w:rsidRPr="00586E92">
        <w:t>the European Community ('NACE')</w:t>
      </w:r>
      <w:r>
        <w:rPr>
          <w:rStyle w:val="FootnoteReference"/>
        </w:rPr>
        <w:footnoteReference w:id="14"/>
      </w:r>
      <w:r w:rsidRPr="00586E92">
        <w:t xml:space="preserve"> Revision 2 Division 25 (Manufacture of fabricated metal products, except machinery and equipment), Division 27 (Manufacture of electrical equipment), Division 28 (Manufacture of machinery and equipment), Division 29 (Manufacture of motor vehicles, trailers and semi-trailers), and Division 74 (Other professional, scientific and technical activities) in the Nomenclature of Territorial Units for Statistics ('NUTS')</w:t>
      </w:r>
      <w:r>
        <w:rPr>
          <w:rStyle w:val="FootnoteReference"/>
        </w:rPr>
        <w:footnoteReference w:id="15"/>
      </w:r>
      <w:r w:rsidRPr="00586E92">
        <w:t xml:space="preserve"> level 2 region of Galicia (ES11) in Spain. It was supplemented by additional information provided in accordance with Article 8(5) of Regulation (EU) 2021/691. That application is considered to comply with the conditions for providing a financial contribution from the EGF as laid down in Article 13 of Regulation (EU) 2021/691, on the basis of the assessment made by the Commission in the Proposal for a mobilisation decision of the European Parliament and of the Council</w:t>
      </w:r>
      <w:r>
        <w:rPr>
          <w:vertAlign w:val="superscript"/>
        </w:rPr>
        <w:footnoteReference w:id="16"/>
      </w:r>
      <w:r w:rsidRPr="00586E92">
        <w:t xml:space="preserve">. </w:t>
      </w:r>
    </w:p>
    <w:p w:rsidR="00361E6A" w:rsidRPr="00586E92" w:rsidP="00361E6A" w14:paraId="464C6794" w14:textId="1C6AC90D">
      <w:pPr>
        <w:pStyle w:val="NormalHanging12a"/>
        <w:jc w:val="both"/>
      </w:pPr>
      <w:r w:rsidRPr="00586E92">
        <w:t xml:space="preserve">(4) </w:t>
      </w:r>
      <w:r w:rsidRPr="00586E92">
        <w:tab/>
        <w:t xml:space="preserve">The EGF should, therefore, be mobilised to provide a financial contribution of EUR 2 725 100 in respect of the application submitted by Spain. </w:t>
      </w:r>
    </w:p>
    <w:p w:rsidR="00361E6A" w:rsidRPr="00586E92" w:rsidP="00361E6A" w14:paraId="7C2E6E41" w14:textId="77777777">
      <w:pPr>
        <w:pStyle w:val="NormalHanging12a"/>
        <w:jc w:val="both"/>
      </w:pPr>
      <w:r w:rsidRPr="00586E92">
        <w:t>(5)</w:t>
      </w:r>
      <w:r w:rsidRPr="00586E92">
        <w:tab/>
        <w:t>In order to minimise the time taken to mobilise the EGF, this Decision should apply from the date of its adoption,</w:t>
      </w:r>
    </w:p>
    <w:p w:rsidR="00361E6A" w:rsidRPr="00586E92" w:rsidP="00361E6A" w14:paraId="1C48BD7C" w14:textId="77777777">
      <w:pPr>
        <w:pStyle w:val="NormalHanging12a"/>
        <w:jc w:val="both"/>
      </w:pPr>
      <w:r w:rsidRPr="00586E92">
        <w:t>HAVE ADOPTED THIS DECISION:</w:t>
      </w:r>
    </w:p>
    <w:p w:rsidR="00361E6A" w:rsidRPr="00586E92" w:rsidP="00361E6A" w14:paraId="2D99F9EB" w14:textId="77777777">
      <w:pPr>
        <w:pStyle w:val="NormalHanging12a"/>
        <w:jc w:val="center"/>
        <w:rPr>
          <w:i/>
          <w:iCs/>
        </w:rPr>
      </w:pPr>
      <w:r w:rsidRPr="00586E92">
        <w:rPr>
          <w:i/>
          <w:iCs/>
        </w:rPr>
        <w:t>Article 1</w:t>
      </w:r>
    </w:p>
    <w:p w:rsidR="00361E6A" w:rsidRPr="00586E92" w:rsidP="00361E6A" w14:paraId="071564DF" w14:textId="77777777">
      <w:pPr>
        <w:pStyle w:val="NormalHanging12a"/>
        <w:ind w:left="0" w:firstLine="0"/>
      </w:pPr>
      <w:r w:rsidRPr="00586E92">
        <w:t>For the general budget of the Union for the financial year 2026, the European Globalisation Adjustment Fund for Displaced Workers shall be mobilised to provide the amount of EUR 2 725 100 in commitment and payment appropriations.</w:t>
      </w:r>
    </w:p>
    <w:p w:rsidR="00361E6A" w:rsidRPr="00586E92" w:rsidP="00361E6A" w14:paraId="5ACB70D6" w14:textId="77777777">
      <w:pPr>
        <w:pStyle w:val="NormalHanging12a"/>
        <w:jc w:val="center"/>
        <w:rPr>
          <w:i/>
          <w:iCs/>
        </w:rPr>
      </w:pPr>
      <w:r w:rsidRPr="00586E92">
        <w:rPr>
          <w:i/>
          <w:iCs/>
        </w:rPr>
        <w:t>Article 2</w:t>
      </w:r>
    </w:p>
    <w:p w:rsidR="00361E6A" w:rsidRPr="00586E92" w:rsidP="00361E6A" w14:paraId="49B4B9ED" w14:textId="77777777">
      <w:pPr>
        <w:pStyle w:val="NormalHanging12a"/>
        <w:ind w:left="0" w:firstLine="0"/>
      </w:pPr>
      <w:r w:rsidRPr="00586E92">
        <w:t xml:space="preserve">This Decision shall enter into force on the day of its publication in the </w:t>
      </w:r>
      <w:r w:rsidRPr="00586E92">
        <w:rPr>
          <w:i/>
          <w:iCs/>
        </w:rPr>
        <w:t>Official Journal of the European Union</w:t>
      </w:r>
      <w:r w:rsidRPr="00586E92">
        <w:t xml:space="preserve">. It shall apply from </w:t>
      </w:r>
      <w:r w:rsidRPr="00586E92">
        <w:rPr>
          <w:i/>
          <w:iCs/>
        </w:rPr>
        <w:t xml:space="preserve">[the date of its </w:t>
      </w:r>
      <w:r w:rsidRPr="00586E92">
        <w:rPr>
          <w:i/>
          <w:iCs/>
        </w:rPr>
        <w:t>adoption]*</w:t>
      </w:r>
      <w:r w:rsidRPr="00586E92">
        <w:rPr>
          <w:i/>
          <w:iCs/>
        </w:rPr>
        <w:t xml:space="preserve"> .</w:t>
      </w:r>
    </w:p>
    <w:p w:rsidR="00361E6A" w:rsidRPr="00586E92" w:rsidP="00361E6A" w14:paraId="354DA06D" w14:textId="77777777">
      <w:pPr>
        <w:pStyle w:val="NormalHanging12a"/>
      </w:pPr>
      <w:r w:rsidRPr="00586E92">
        <w:t>Done at Brussels,</w:t>
      </w:r>
    </w:p>
    <w:p w:rsidR="00361E6A" w:rsidRPr="00586E92" w:rsidP="00361E6A" w14:paraId="7E103B94" w14:textId="77777777">
      <w:pPr>
        <w:pStyle w:val="NormalHanging12a"/>
      </w:pPr>
    </w:p>
    <w:p w:rsidR="00361E6A" w:rsidRPr="00586E92" w:rsidP="00361E6A" w14:paraId="4FCA8FA1" w14:textId="77777777">
      <w:pPr>
        <w:pStyle w:val="NormalHanging12a"/>
        <w:rPr>
          <w:i/>
        </w:rPr>
      </w:pPr>
      <w:r w:rsidRPr="00586E92">
        <w:rPr>
          <w:i/>
        </w:rPr>
        <w:t>For the European Parliament</w:t>
      </w:r>
      <w:r w:rsidRPr="00586E92">
        <w:rPr>
          <w:i/>
        </w:rPr>
        <w:tab/>
      </w:r>
      <w:r w:rsidRPr="00586E92">
        <w:rPr>
          <w:i/>
        </w:rPr>
        <w:tab/>
      </w:r>
      <w:r w:rsidRPr="00586E92">
        <w:rPr>
          <w:i/>
        </w:rPr>
        <w:tab/>
      </w:r>
      <w:r w:rsidRPr="00586E92">
        <w:rPr>
          <w:i/>
        </w:rPr>
        <w:t>For</w:t>
      </w:r>
      <w:r w:rsidRPr="00586E92">
        <w:rPr>
          <w:i/>
        </w:rPr>
        <w:t xml:space="preserve"> the Council</w:t>
      </w:r>
    </w:p>
    <w:p w:rsidR="00196DFF" w:rsidRPr="00196DFF" w:rsidP="00196DFF" w14:paraId="28F4FEDD" w14:textId="1B22E066">
      <w:pPr>
        <w:pStyle w:val="NormalHanging12a"/>
      </w:pPr>
      <w:r w:rsidRPr="00586E92">
        <w:rPr>
          <w:i/>
        </w:rPr>
        <w:t>The President</w:t>
      </w:r>
      <w:r w:rsidRPr="00586E92">
        <w:rPr>
          <w:i/>
        </w:rPr>
        <w:tab/>
      </w:r>
      <w:r w:rsidRPr="00586E92">
        <w:rPr>
          <w:i/>
        </w:rPr>
        <w:tab/>
      </w:r>
      <w:r w:rsidRPr="00586E92">
        <w:rPr>
          <w:i/>
        </w:rPr>
        <w:tab/>
      </w:r>
      <w:r w:rsidRPr="00586E92">
        <w:rPr>
          <w:i/>
        </w:rPr>
        <w:tab/>
      </w:r>
      <w:r w:rsidRPr="00586E92">
        <w:rPr>
          <w:i/>
        </w:rPr>
        <w:tab/>
      </w:r>
      <w:r w:rsidRPr="00586E92">
        <w:rPr>
          <w:i/>
        </w:rPr>
        <w:t>The</w:t>
      </w:r>
      <w:r w:rsidRPr="00586E92">
        <w:rPr>
          <w:i/>
        </w:rPr>
        <w:t xml:space="preserve"> President</w:t>
      </w:r>
    </w:p>
    <w:p w:rsidR="00E365E1" w:rsidRPr="00196DFF" w:rsidP="007370FF" w14:paraId="6033A278" w14:textId="4C9317C3"/>
    <w:sectPr w:rsidSect="00196DFF">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DFF" w:rsidRPr="00196DFF" w14:paraId="5DC223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DFF" w:rsidRPr="00196DFF" w14:paraId="02F8B6B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DFF" w:rsidRPr="00196DFF" w14:paraId="5EEF6C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6DFF" w14:paraId="4C4EC0A3"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6DFF" w14:paraId="4DE9538F"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6DFF" w14:paraId="370C366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6F67" w:rsidRPr="00196DFF" w14:paraId="20488853" w14:textId="77777777">
      <w:r w:rsidRPr="00196DFF">
        <w:separator/>
      </w:r>
    </w:p>
  </w:footnote>
  <w:footnote w:type="continuationSeparator" w:id="1">
    <w:p w:rsidR="009F6F67" w:rsidRPr="00196DFF" w14:paraId="0FA4C531" w14:textId="77777777">
      <w:r w:rsidRPr="00196DFF">
        <w:continuationSeparator/>
      </w:r>
    </w:p>
  </w:footnote>
  <w:footnote w:id="2">
    <w:p w:rsidR="00361E6A" w:rsidRPr="00586E92" w:rsidP="00196DFF" w14:paraId="5362B23E" w14:textId="7330AC4F">
      <w:pPr>
        <w:pStyle w:val="FootnoteText"/>
        <w:ind w:left="567" w:hanging="567"/>
        <w:rPr>
          <w:sz w:val="24"/>
          <w:lang w:val="fi-FI"/>
        </w:rPr>
      </w:pPr>
      <w:r w:rsidRPr="00586E92">
        <w:rPr>
          <w:rStyle w:val="FootnoteReference"/>
          <w:sz w:val="24"/>
          <w:lang w:val="en-GB"/>
        </w:rPr>
        <w:footnoteRef/>
      </w:r>
      <w:r w:rsidRPr="00586E92" w:rsidR="00196DFF">
        <w:rPr>
          <w:sz w:val="24"/>
          <w:lang w:val="fi-FI"/>
        </w:rPr>
        <w:t xml:space="preserve"> </w:t>
      </w:r>
      <w:r w:rsidRPr="00586E92" w:rsidR="00196DFF">
        <w:rPr>
          <w:sz w:val="24"/>
          <w:lang w:val="fi-FI"/>
        </w:rPr>
        <w:tab/>
      </w:r>
      <w:r w:rsidRPr="00586E92">
        <w:rPr>
          <w:sz w:val="24"/>
          <w:lang w:val="fi-FI"/>
        </w:rPr>
        <w:t xml:space="preserve">OJ L 153, 3.5.2021, p. 48, ELI: </w:t>
      </w:r>
      <w:hyperlink r:id="rId1" w:history="1">
        <w:r w:rsidRPr="00586E92">
          <w:rPr>
            <w:rStyle w:val="Hyperlink"/>
            <w:sz w:val="24"/>
            <w:lang w:val="fi-FI"/>
          </w:rPr>
          <w:t>http://data.europa.eu/eli/reg/2021/691/oj</w:t>
        </w:r>
      </w:hyperlink>
      <w:r w:rsidRPr="00586E92">
        <w:rPr>
          <w:sz w:val="24"/>
          <w:lang w:val="fi-FI"/>
        </w:rPr>
        <w:t>.</w:t>
      </w:r>
    </w:p>
  </w:footnote>
  <w:footnote w:id="3">
    <w:p w:rsidR="00361E6A" w:rsidRPr="00586E92" w:rsidP="00196DFF" w14:paraId="0C5CCDB1" w14:textId="578555BB">
      <w:pPr>
        <w:pStyle w:val="FootnoteText"/>
        <w:ind w:left="567" w:hanging="567"/>
        <w:rPr>
          <w:sz w:val="24"/>
          <w:lang w:val="fi-FI"/>
        </w:rPr>
      </w:pPr>
      <w:r w:rsidRPr="00586E92">
        <w:rPr>
          <w:rStyle w:val="FootnoteReference"/>
          <w:sz w:val="24"/>
          <w:lang w:val="en-GB"/>
        </w:rPr>
        <w:footnoteRef/>
      </w:r>
      <w:r w:rsidRPr="00586E92" w:rsidR="00196DFF">
        <w:rPr>
          <w:sz w:val="24"/>
          <w:lang w:val="fi-FI"/>
        </w:rPr>
        <w:t xml:space="preserve"> </w:t>
      </w:r>
      <w:r w:rsidRPr="00586E92" w:rsidR="00196DFF">
        <w:rPr>
          <w:sz w:val="24"/>
          <w:lang w:val="fi-FI"/>
        </w:rPr>
        <w:tab/>
      </w:r>
      <w:r w:rsidRPr="00586E92">
        <w:rPr>
          <w:sz w:val="24"/>
          <w:lang w:val="fi-FI"/>
        </w:rPr>
        <w:t xml:space="preserve">OJ L, 2026/1139, 20.5.2026, ELI: </w:t>
      </w:r>
      <w:hyperlink r:id="rId2" w:history="1">
        <w:r w:rsidRPr="00586E92">
          <w:rPr>
            <w:rStyle w:val="Hyperlink"/>
            <w:sz w:val="24"/>
            <w:lang w:val="fi-FI"/>
          </w:rPr>
          <w:t>http://data.europa.eu/eli/reg/2026/1139/oj</w:t>
        </w:r>
      </w:hyperlink>
      <w:r w:rsidRPr="00586E92">
        <w:rPr>
          <w:sz w:val="24"/>
          <w:lang w:val="fi-FI"/>
        </w:rPr>
        <w:t>.</w:t>
      </w:r>
    </w:p>
  </w:footnote>
  <w:footnote w:id="4">
    <w:p w:rsidR="00361E6A" w:rsidRPr="00586E92" w:rsidP="00196DFF" w14:paraId="5F4BB89F" w14:textId="1CADDC2E">
      <w:pPr>
        <w:pStyle w:val="FootnoteText"/>
        <w:ind w:left="567" w:hanging="567"/>
        <w:rPr>
          <w:sz w:val="24"/>
          <w:lang w:val="fi-FI"/>
        </w:rPr>
      </w:pPr>
      <w:r w:rsidRPr="00586E92">
        <w:rPr>
          <w:rStyle w:val="FootnoteReference"/>
          <w:sz w:val="24"/>
          <w:lang w:val="en-GB"/>
        </w:rPr>
        <w:footnoteRef/>
      </w:r>
      <w:r w:rsidRPr="00586E92" w:rsidR="00196DFF">
        <w:rPr>
          <w:sz w:val="24"/>
          <w:lang w:val="fi-FI"/>
        </w:rPr>
        <w:t xml:space="preserve"> </w:t>
      </w:r>
      <w:r w:rsidRPr="00586E92" w:rsidR="00196DFF">
        <w:rPr>
          <w:sz w:val="24"/>
          <w:lang w:val="fi-FI"/>
        </w:rPr>
        <w:tab/>
      </w:r>
      <w:r w:rsidRPr="00586E92">
        <w:rPr>
          <w:sz w:val="24"/>
          <w:lang w:val="fi-FI"/>
        </w:rPr>
        <w:t xml:space="preserve">OJ L 433 I, 22.12.2020, p. 11, ELI: </w:t>
      </w:r>
      <w:hyperlink r:id="rId3" w:history="1">
        <w:r w:rsidRPr="00586E92">
          <w:rPr>
            <w:rStyle w:val="Hyperlink"/>
            <w:sz w:val="24"/>
            <w:lang w:val="fi-FI"/>
          </w:rPr>
          <w:t>http://data.europa.eu/eli/reg/2020/2093/oj</w:t>
        </w:r>
      </w:hyperlink>
      <w:r w:rsidRPr="00586E92">
        <w:rPr>
          <w:sz w:val="24"/>
          <w:lang w:val="fi-FI"/>
        </w:rPr>
        <w:t>.</w:t>
      </w:r>
    </w:p>
  </w:footnote>
  <w:footnote w:id="5">
    <w:p w:rsidR="00361E6A" w:rsidRPr="00586E92" w:rsidP="00196DFF" w14:paraId="76F683E0" w14:textId="625321B2">
      <w:pPr>
        <w:pStyle w:val="FootnoteText"/>
        <w:ind w:left="567" w:hanging="567"/>
        <w:rPr>
          <w:sz w:val="24"/>
          <w:lang w:val="fi-FI"/>
        </w:rPr>
      </w:pPr>
      <w:r w:rsidRPr="00586E92">
        <w:rPr>
          <w:rStyle w:val="FootnoteReference"/>
          <w:sz w:val="24"/>
          <w:lang w:val="en-GB"/>
        </w:rPr>
        <w:footnoteRef/>
      </w:r>
      <w:r w:rsidRPr="00586E92" w:rsidR="00196DFF">
        <w:rPr>
          <w:bCs/>
          <w:sz w:val="24"/>
          <w:shd w:val="clear" w:color="auto" w:fill="FFFFFF"/>
          <w:lang w:val="fi-FI"/>
        </w:rPr>
        <w:t xml:space="preserve"> </w:t>
      </w:r>
      <w:r w:rsidRPr="00586E92" w:rsidR="00196DFF">
        <w:rPr>
          <w:bCs/>
          <w:sz w:val="24"/>
          <w:shd w:val="clear" w:color="auto" w:fill="FFFFFF"/>
          <w:lang w:val="fi-FI"/>
        </w:rPr>
        <w:tab/>
      </w:r>
      <w:r w:rsidRPr="00586E92">
        <w:rPr>
          <w:bCs/>
          <w:sz w:val="24"/>
          <w:shd w:val="clear" w:color="auto" w:fill="FFFFFF"/>
          <w:lang w:val="fi-FI"/>
        </w:rPr>
        <w:t xml:space="preserve">OJ L, 2024/765, 29.2.2024, </w:t>
      </w:r>
      <w:r w:rsidRPr="00586E92">
        <w:rPr>
          <w:bCs/>
          <w:iCs/>
          <w:sz w:val="24"/>
          <w:shd w:val="clear" w:color="auto" w:fill="FFFFFF"/>
          <w:lang w:val="fi-FI"/>
        </w:rPr>
        <w:t>ELI:</w:t>
      </w:r>
      <w:r w:rsidRPr="00586E92">
        <w:rPr>
          <w:bCs/>
          <w:iCs/>
          <w:color w:val="333333"/>
          <w:sz w:val="24"/>
          <w:shd w:val="clear" w:color="auto" w:fill="FFFFFF"/>
          <w:lang w:val="fi-FI"/>
        </w:rPr>
        <w:t xml:space="preserve"> </w:t>
      </w:r>
      <w:hyperlink r:id="rId4" w:history="1">
        <w:r w:rsidRPr="00586E92">
          <w:rPr>
            <w:rStyle w:val="Hyperlink"/>
            <w:bCs/>
            <w:iCs/>
            <w:sz w:val="24"/>
            <w:shd w:val="clear" w:color="auto" w:fill="FFFFFF"/>
            <w:lang w:val="fi-FI"/>
          </w:rPr>
          <w:t>http://data.europa.eu/eli/reg/2024/765/oj</w:t>
        </w:r>
      </w:hyperlink>
      <w:r w:rsidRPr="00586E92">
        <w:rPr>
          <w:bCs/>
          <w:i/>
          <w:iCs/>
          <w:color w:val="333333"/>
          <w:sz w:val="24"/>
          <w:shd w:val="clear" w:color="auto" w:fill="FFFFFF"/>
          <w:lang w:val="fi-FI"/>
        </w:rPr>
        <w:t>.</w:t>
      </w:r>
    </w:p>
  </w:footnote>
  <w:footnote w:id="6">
    <w:p w:rsidR="00361E6A" w:rsidRPr="00586E92" w:rsidP="00196DFF" w14:paraId="6A2E1997" w14:textId="0B96B449">
      <w:pPr>
        <w:pStyle w:val="FootnoteText"/>
        <w:ind w:left="567" w:hanging="567"/>
        <w:rPr>
          <w:sz w:val="24"/>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r w:rsidRPr="00586E92">
        <w:rPr>
          <w:sz w:val="24"/>
          <w:lang w:val="en-GB"/>
        </w:rPr>
        <w:t xml:space="preserve">OJ L 433 I, 22.12.2020, p. 28, ELI: </w:t>
      </w:r>
      <w:hyperlink r:id="rId5" w:history="1">
        <w:r w:rsidRPr="00586E92">
          <w:rPr>
            <w:rStyle w:val="Hyperlink"/>
            <w:sz w:val="24"/>
            <w:lang w:val="en-GB"/>
          </w:rPr>
          <w:t>http://data.europa.eu/eli/agree_interinstit/2020/1222/oj</w:t>
        </w:r>
      </w:hyperlink>
      <w:r w:rsidRPr="00586E92">
        <w:rPr>
          <w:sz w:val="24"/>
          <w:lang w:val="en-GB"/>
        </w:rPr>
        <w:t>.</w:t>
      </w:r>
    </w:p>
  </w:footnote>
  <w:footnote w:id="7">
    <w:p w:rsidR="00361E6A" w:rsidRPr="00586E92" w:rsidP="00196DFF" w14:paraId="0598A162" w14:textId="1B9785CE">
      <w:pPr>
        <w:pStyle w:val="FootnoteText"/>
        <w:ind w:left="567" w:hanging="567"/>
        <w:rPr>
          <w:sz w:val="24"/>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r w:rsidRPr="00586E92">
        <w:rPr>
          <w:sz w:val="24"/>
          <w:lang w:val="en-GB"/>
        </w:rPr>
        <w:t>Within the meaning of Article 3 of the EGF Regulation.</w:t>
      </w:r>
    </w:p>
  </w:footnote>
  <w:footnote w:id="8">
    <w:p w:rsidR="00361E6A" w:rsidRPr="00586E92" w:rsidP="00196DFF" w14:paraId="4B73D2D1" w14:textId="35C3CE96">
      <w:pPr>
        <w:pStyle w:val="FootnoteText"/>
        <w:ind w:left="567" w:hanging="567"/>
        <w:rPr>
          <w:sz w:val="24"/>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r w:rsidRPr="00586E92">
        <w:rPr>
          <w:sz w:val="24"/>
          <w:lang w:val="en-GB"/>
        </w:rPr>
        <w:t>Article 8 of the MFF Regulation.</w:t>
      </w:r>
    </w:p>
  </w:footnote>
  <w:footnote w:id="9">
    <w:p w:rsidR="00361E6A" w:rsidRPr="00586E92" w:rsidP="00196DFF" w14:paraId="356B67D4" w14:textId="2BD84076">
      <w:pPr>
        <w:pStyle w:val="FootnoteText"/>
        <w:ind w:left="567" w:hanging="567"/>
        <w:rPr>
          <w:sz w:val="24"/>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hyperlink r:id="rId6" w:history="1">
        <w:r w:rsidRPr="00586E92">
          <w:rPr>
            <w:rStyle w:val="Hyperlink"/>
            <w:sz w:val="24"/>
            <w:lang w:val="en-GB"/>
          </w:rPr>
          <w:t>https://www.clustercollaboration.eu/content/galician-automotive-industry-achieves-record-figures-and-strengthens-its-role</w:t>
        </w:r>
      </w:hyperlink>
      <w:r w:rsidRPr="00586E92">
        <w:rPr>
          <w:rStyle w:val="Hyperlink"/>
          <w:sz w:val="24"/>
          <w:lang w:val="en-GB"/>
        </w:rPr>
        <w:t>.</w:t>
      </w:r>
    </w:p>
  </w:footnote>
  <w:footnote w:id="10">
    <w:p w:rsidR="00361E6A" w:rsidRPr="00586E92" w:rsidP="00196DFF" w14:paraId="747B09ED" w14:textId="060C6256">
      <w:pPr>
        <w:pStyle w:val="FootnoteText"/>
        <w:ind w:left="567" w:hanging="567"/>
        <w:rPr>
          <w:sz w:val="24"/>
          <w:lang w:val="fi-FI"/>
        </w:rPr>
      </w:pPr>
      <w:r w:rsidRPr="00586E92">
        <w:rPr>
          <w:rStyle w:val="FootnoteReference"/>
          <w:sz w:val="24"/>
          <w:lang w:val="en-GB"/>
        </w:rPr>
        <w:footnoteRef/>
      </w:r>
      <w:r w:rsidRPr="00586E92" w:rsidR="00196DFF">
        <w:rPr>
          <w:sz w:val="24"/>
          <w:lang w:val="fi-FI"/>
        </w:rPr>
        <w:t xml:space="preserve"> </w:t>
      </w:r>
      <w:r w:rsidRPr="00586E92" w:rsidR="00196DFF">
        <w:rPr>
          <w:sz w:val="24"/>
          <w:lang w:val="fi-FI"/>
        </w:rPr>
        <w:tab/>
      </w:r>
      <w:r w:rsidRPr="00586E92">
        <w:rPr>
          <w:sz w:val="24"/>
          <w:lang w:val="fi-FI"/>
        </w:rPr>
        <w:t>OJ L 153, 3.5.2021, p. 48, ELI: http://data.europa.eu/eli/reg/2021/691/oj.</w:t>
      </w:r>
    </w:p>
  </w:footnote>
  <w:footnote w:id="11">
    <w:p w:rsidR="00361E6A" w:rsidRPr="00586E92" w:rsidP="00196DFF" w14:paraId="2F38C81A" w14:textId="6A226C34">
      <w:pPr>
        <w:pStyle w:val="FootnoteText"/>
        <w:ind w:left="567" w:hanging="567"/>
        <w:rPr>
          <w:sz w:val="24"/>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r w:rsidRPr="00586E92">
        <w:rPr>
          <w:sz w:val="24"/>
          <w:lang w:val="en-GB"/>
        </w:rPr>
        <w:t>OJ L 433 I, 22.12.2020, p. 28, ELI: http://data.europa.eu/eli/agree_interinstit/2020/1222/oj.</w:t>
      </w:r>
    </w:p>
  </w:footnote>
  <w:footnote w:id="12">
    <w:p w:rsidR="00361E6A" w:rsidRPr="00586E92" w:rsidP="00196DFF" w14:paraId="306162CA" w14:textId="55C8CBD6">
      <w:pPr>
        <w:pStyle w:val="FootnoteText"/>
        <w:ind w:left="567" w:hanging="567"/>
        <w:rPr>
          <w:sz w:val="24"/>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r w:rsidRPr="00586E92">
        <w:rPr>
          <w:sz w:val="24"/>
          <w:lang w:val="en-GB"/>
        </w:rPr>
        <w:t>Council Regulation (EU, Euratom) 2020/2093 of 17 December 2020 laying down the multiannual financial framework for the years 2021 to 2027 (OJ L 433 I, 22.12.2020, p. 11, ELI: </w:t>
      </w:r>
      <w:hyperlink r:id="rId3" w:tooltip="Gives access to this document through its ELI URI." w:history="1">
        <w:r w:rsidRPr="00586E92">
          <w:rPr>
            <w:rStyle w:val="Hyperlink"/>
            <w:sz w:val="24"/>
            <w:lang w:val="en-GB"/>
          </w:rPr>
          <w:t>http://data.europa.eu/eli/reg/2020/2093/oj</w:t>
        </w:r>
      </w:hyperlink>
      <w:r w:rsidRPr="00586E92">
        <w:rPr>
          <w:sz w:val="24"/>
          <w:lang w:val="en-GB"/>
        </w:rPr>
        <w:t>).</w:t>
      </w:r>
    </w:p>
  </w:footnote>
  <w:footnote w:id="13">
    <w:p w:rsidR="00361E6A" w:rsidRPr="00586E92" w:rsidP="00196DFF" w14:paraId="2317B4F4" w14:textId="341639B5">
      <w:pPr>
        <w:pStyle w:val="FootnoteText"/>
        <w:ind w:left="567" w:hanging="567"/>
        <w:rPr>
          <w:sz w:val="24"/>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r w:rsidRPr="00586E92">
        <w:rPr>
          <w:sz w:val="24"/>
          <w:lang w:val="en-GB"/>
        </w:rPr>
        <w:t xml:space="preserve">Council Regulation (EU, Euratom) 2024/765 of 29 February 2024 amending Regulation (EU, Euratom) 2020/2093 laying down the multiannual financial framework for the years 2021 to 2027 (OJ L, 2024/765, 29.2.2024, ELI: </w:t>
      </w:r>
      <w:hyperlink r:id="rId4" w:history="1">
        <w:r w:rsidRPr="00586E92">
          <w:rPr>
            <w:rStyle w:val="Hyperlink"/>
            <w:sz w:val="24"/>
            <w:lang w:val="en-GB"/>
          </w:rPr>
          <w:t>http://data.europa.eu/eli/reg/2024/765/oj</w:t>
        </w:r>
      </w:hyperlink>
      <w:r w:rsidRPr="00586E92">
        <w:rPr>
          <w:sz w:val="24"/>
          <w:lang w:val="en-GB"/>
        </w:rPr>
        <w:t>).</w:t>
      </w:r>
    </w:p>
  </w:footnote>
  <w:footnote w:id="14">
    <w:p w:rsidR="00F45974" w:rsidRPr="00586E92" w:rsidP="00586E92" w14:paraId="3F37B61A" w14:textId="2EEC53DB">
      <w:pPr>
        <w:pStyle w:val="FootnoteText"/>
        <w:ind w:left="567" w:hanging="567"/>
        <w:rPr>
          <w:lang w:val="lv-LV"/>
        </w:rPr>
      </w:pPr>
      <w:r w:rsidRPr="00586E92">
        <w:rPr>
          <w:rStyle w:val="FootnoteReference"/>
        </w:rPr>
        <w:footnoteRef/>
      </w:r>
      <w:r w:rsidRPr="00586E92">
        <w:rPr>
          <w:lang w:val="lv-LV"/>
        </w:rPr>
        <w:tab/>
      </w:r>
      <w:r w:rsidRPr="00586E92">
        <w:rPr>
          <w:lang w:val="en-GB"/>
        </w:rPr>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 ELI: </w:t>
      </w:r>
      <w:hyperlink r:id="rId7" w:tooltip="Gives access to this document through its ELI URI." w:history="1">
        <w:r w:rsidRPr="00586E92">
          <w:rPr>
            <w:rStyle w:val="Hyperlink"/>
            <w:lang w:val="en-GB"/>
          </w:rPr>
          <w:t>http://data.europa.eu/eli/reg/2006/1893/oj</w:t>
        </w:r>
      </w:hyperlink>
      <w:r w:rsidRPr="00586E92">
        <w:rPr>
          <w:lang w:val="en-GB"/>
        </w:rPr>
        <w:t>).</w:t>
      </w:r>
    </w:p>
  </w:footnote>
  <w:footnote w:id="15">
    <w:p w:rsidR="00F45974" w:rsidRPr="00586E92" w:rsidP="00586E92" w14:paraId="0A71180B" w14:textId="241D6262">
      <w:pPr>
        <w:pStyle w:val="FootnoteText"/>
        <w:ind w:left="567" w:hanging="567"/>
        <w:rPr>
          <w:lang w:val="lv-LV"/>
        </w:rPr>
      </w:pPr>
      <w:r w:rsidRPr="00586E92">
        <w:rPr>
          <w:rStyle w:val="FootnoteReference"/>
        </w:rPr>
        <w:footnoteRef/>
      </w:r>
      <w:r w:rsidRPr="00586E92">
        <w:rPr>
          <w:lang w:val="lv-LV"/>
        </w:rPr>
        <w:tab/>
      </w:r>
      <w:r w:rsidRPr="00586E92">
        <w:rPr>
          <w:lang w:val="en-GB"/>
        </w:rPr>
        <w:t>Commission Delegated Regulation 2019/1755 of 8 August 2019 amending the Annexes to Regulation (EC) No 1059/2003 of the European Parliament and of the Council on the establishment of a common classification of territorial units for statistics (NUTS) (OJ L 270, 24.10.2019, p. 1,</w:t>
      </w:r>
      <w:r w:rsidRPr="00586E92">
        <w:rPr>
          <w:rFonts w:ascii="Roboto" w:hAnsi="Roboto"/>
          <w:color w:val="333333"/>
          <w:sz w:val="21"/>
          <w:szCs w:val="21"/>
          <w:shd w:val="clear" w:color="auto" w:fill="FFFFFF"/>
          <w:lang w:val="en-GB" w:eastAsia="en-GB"/>
        </w:rPr>
        <w:t xml:space="preserve"> </w:t>
      </w:r>
      <w:r w:rsidRPr="00586E92">
        <w:rPr>
          <w:lang w:val="en-GB"/>
        </w:rPr>
        <w:t>ELI: </w:t>
      </w:r>
      <w:hyperlink r:id="rId8" w:tooltip="Gives access to this document through its ELI URI." w:history="1">
        <w:r w:rsidRPr="00586E92">
          <w:rPr>
            <w:rStyle w:val="Hyperlink"/>
            <w:lang w:val="en-GB"/>
          </w:rPr>
          <w:t>http://data.europa.eu/eli/reg_del/2019/1755/oj</w:t>
        </w:r>
      </w:hyperlink>
      <w:r w:rsidRPr="00586E92">
        <w:rPr>
          <w:lang w:val="en-GB"/>
        </w:rPr>
        <w:t>).</w:t>
      </w:r>
    </w:p>
  </w:footnote>
  <w:footnote w:id="16">
    <w:p w:rsidR="00361E6A" w:rsidRPr="00586E92" w:rsidP="00196DFF" w14:paraId="5F85B8C0" w14:textId="38021E9D">
      <w:pPr>
        <w:pStyle w:val="FootnoteText"/>
        <w:ind w:left="567" w:hanging="567"/>
        <w:rPr>
          <w:sz w:val="24"/>
          <w:vertAlign w:val="superscript"/>
          <w:lang w:val="en-GB"/>
        </w:rPr>
      </w:pPr>
      <w:r w:rsidRPr="00586E92">
        <w:rPr>
          <w:rStyle w:val="FootnoteReference"/>
          <w:sz w:val="24"/>
          <w:lang w:val="en-GB"/>
        </w:rPr>
        <w:footnoteRef/>
      </w:r>
      <w:r w:rsidRPr="00586E92" w:rsidR="00196DFF">
        <w:rPr>
          <w:sz w:val="24"/>
          <w:lang w:val="en-GB"/>
        </w:rPr>
        <w:t xml:space="preserve"> </w:t>
      </w:r>
      <w:r w:rsidRPr="00586E92" w:rsidR="00196DFF">
        <w:rPr>
          <w:sz w:val="24"/>
          <w:lang w:val="en-GB"/>
        </w:rPr>
        <w:tab/>
      </w:r>
      <w:r w:rsidRPr="00586E92">
        <w:rPr>
          <w:sz w:val="24"/>
          <w:lang w:val="en-GB"/>
        </w:rPr>
        <w:t>COM(</w:t>
      </w:r>
      <w:r w:rsidRPr="00586E92">
        <w:rPr>
          <w:sz w:val="24"/>
          <w:lang w:val="en-GB"/>
        </w:rPr>
        <w:t>2026) 170</w:t>
      </w:r>
    </w:p>
    <w:p w:rsidR="00361E6A" w:rsidRPr="00196DFF" w:rsidP="00196DFF" w14:paraId="280D7BDD" w14:textId="445D3890">
      <w:pPr>
        <w:pStyle w:val="FootnoteText"/>
        <w:ind w:left="567" w:hanging="567"/>
        <w:rPr>
          <w:sz w:val="24"/>
          <w:lang w:val="en-GB"/>
        </w:rPr>
      </w:pPr>
      <w:r w:rsidRPr="00586E92">
        <w:rPr>
          <w:sz w:val="24"/>
          <w:lang w:val="en-GB"/>
        </w:rPr>
        <w:t xml:space="preserve"> </w:t>
      </w:r>
      <w:r w:rsidRPr="00586E92">
        <w:rPr>
          <w:sz w:val="24"/>
          <w:lang w:val="en-GB"/>
        </w:rPr>
        <w:tab/>
      </w:r>
      <w:r w:rsidRPr="00586E92">
        <w:rPr>
          <w:sz w:val="24"/>
          <w:lang w:val="en-GB"/>
        </w:rPr>
        <w:t>* Date to be inserted by the Parliament before the publication in OJ.</w:t>
      </w:r>
      <w:r w:rsidRPr="00196DFF">
        <w:rPr>
          <w:sz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DFF" w:rsidRPr="00196DFF" w14:paraId="101E631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DFF" w:rsidRPr="00196DFF" w14:paraId="6248AB5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DFF" w:rsidRPr="00196DFF" w14:paraId="41BDABE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6DFF" w14:paraId="0C330DF9"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6DFF" w14:paraId="612B469B"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6DFF" w14:paraId="6990A25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7786206">
    <w:abstractNumId w:val="9"/>
  </w:num>
  <w:num w:numId="2" w16cid:durableId="2033606094">
    <w:abstractNumId w:val="9"/>
  </w:num>
  <w:num w:numId="3" w16cid:durableId="1387145643">
    <w:abstractNumId w:val="7"/>
  </w:num>
  <w:num w:numId="4" w16cid:durableId="696005552">
    <w:abstractNumId w:val="7"/>
  </w:num>
  <w:num w:numId="5" w16cid:durableId="2139446608">
    <w:abstractNumId w:val="6"/>
  </w:num>
  <w:num w:numId="6" w16cid:durableId="1100678932">
    <w:abstractNumId w:val="6"/>
  </w:num>
  <w:num w:numId="7" w16cid:durableId="1710183709">
    <w:abstractNumId w:val="5"/>
  </w:num>
  <w:num w:numId="8" w16cid:durableId="1596596746">
    <w:abstractNumId w:val="5"/>
  </w:num>
  <w:num w:numId="9" w16cid:durableId="2033603100">
    <w:abstractNumId w:val="4"/>
  </w:num>
  <w:num w:numId="10" w16cid:durableId="686637324">
    <w:abstractNumId w:val="4"/>
  </w:num>
  <w:num w:numId="11" w16cid:durableId="1355229955">
    <w:abstractNumId w:val="8"/>
  </w:num>
  <w:num w:numId="12" w16cid:durableId="1787505585">
    <w:abstractNumId w:val="8"/>
  </w:num>
  <w:num w:numId="13" w16cid:durableId="713121338">
    <w:abstractNumId w:val="3"/>
  </w:num>
  <w:num w:numId="14" w16cid:durableId="1765610179">
    <w:abstractNumId w:val="3"/>
  </w:num>
  <w:num w:numId="15" w16cid:durableId="1602108631">
    <w:abstractNumId w:val="2"/>
  </w:num>
  <w:num w:numId="16" w16cid:durableId="1561399039">
    <w:abstractNumId w:val="2"/>
  </w:num>
  <w:num w:numId="17" w16cid:durableId="554706481">
    <w:abstractNumId w:val="1"/>
  </w:num>
  <w:num w:numId="18" w16cid:durableId="728263324">
    <w:abstractNumId w:val="1"/>
  </w:num>
  <w:num w:numId="19" w16cid:durableId="773942294">
    <w:abstractNumId w:val="0"/>
  </w:num>
  <w:num w:numId="20" w16cid:durableId="973752133">
    <w:abstractNumId w:val="0"/>
  </w:num>
  <w:num w:numId="21" w16cid:durableId="72167888">
    <w:abstractNumId w:val="9"/>
  </w:num>
  <w:num w:numId="22" w16cid:durableId="1443065511">
    <w:abstractNumId w:val="7"/>
  </w:num>
  <w:num w:numId="23" w16cid:durableId="2023051091">
    <w:abstractNumId w:val="6"/>
  </w:num>
  <w:num w:numId="24" w16cid:durableId="461268893">
    <w:abstractNumId w:val="5"/>
  </w:num>
  <w:num w:numId="25" w16cid:durableId="1279534017">
    <w:abstractNumId w:val="4"/>
  </w:num>
  <w:num w:numId="26" w16cid:durableId="319693501">
    <w:abstractNumId w:val="8"/>
  </w:num>
  <w:num w:numId="27" w16cid:durableId="630743546">
    <w:abstractNumId w:val="3"/>
  </w:num>
  <w:num w:numId="28" w16cid:durableId="110903747">
    <w:abstractNumId w:val="2"/>
  </w:num>
  <w:num w:numId="29" w16cid:durableId="959727492">
    <w:abstractNumId w:val="1"/>
  </w:num>
  <w:num w:numId="30" w16cid:durableId="963854388">
    <w:abstractNumId w:val="0"/>
  </w:num>
  <w:num w:numId="31" w16cid:durableId="149709884">
    <w:abstractNumId w:val="9"/>
  </w:num>
  <w:num w:numId="32" w16cid:durableId="146940580">
    <w:abstractNumId w:val="7"/>
  </w:num>
  <w:num w:numId="33" w16cid:durableId="1792164389">
    <w:abstractNumId w:val="6"/>
  </w:num>
  <w:num w:numId="34" w16cid:durableId="371543516">
    <w:abstractNumId w:val="5"/>
  </w:num>
  <w:num w:numId="35" w16cid:durableId="550574808">
    <w:abstractNumId w:val="4"/>
  </w:num>
  <w:num w:numId="36" w16cid:durableId="231015107">
    <w:abstractNumId w:val="8"/>
  </w:num>
  <w:num w:numId="37" w16cid:durableId="1603536201">
    <w:abstractNumId w:val="3"/>
  </w:num>
  <w:num w:numId="38" w16cid:durableId="1965915977">
    <w:abstractNumId w:val="2"/>
  </w:num>
  <w:num w:numId="39" w16cid:durableId="990521496">
    <w:abstractNumId w:val="1"/>
  </w:num>
  <w:num w:numId="40" w16cid:durableId="358430785">
    <w:abstractNumId w:val="0"/>
  </w:num>
  <w:num w:numId="41" w16cid:durableId="1220242877">
    <w:abstractNumId w:val="10"/>
  </w:num>
  <w:num w:numId="42" w16cid:durableId="27416865">
    <w:abstractNumId w:val="10"/>
  </w:num>
  <w:num w:numId="43" w16cid:durableId="473645601">
    <w:abstractNumId w:val="10"/>
  </w:num>
  <w:num w:numId="44" w16cid:durableId="1803692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0FF"/>
    <w:rsid w:val="00002272"/>
    <w:rsid w:val="00064002"/>
    <w:rsid w:val="000677B9"/>
    <w:rsid w:val="000831BA"/>
    <w:rsid w:val="00095CD7"/>
    <w:rsid w:val="000A42CC"/>
    <w:rsid w:val="000E004D"/>
    <w:rsid w:val="000E7DD9"/>
    <w:rsid w:val="0010095E"/>
    <w:rsid w:val="00125B37"/>
    <w:rsid w:val="00187494"/>
    <w:rsid w:val="00196DFF"/>
    <w:rsid w:val="001F32AE"/>
    <w:rsid w:val="002767FF"/>
    <w:rsid w:val="002A70F0"/>
    <w:rsid w:val="002B18FE"/>
    <w:rsid w:val="002B5493"/>
    <w:rsid w:val="00343214"/>
    <w:rsid w:val="00354BD2"/>
    <w:rsid w:val="00361C00"/>
    <w:rsid w:val="00361E6A"/>
    <w:rsid w:val="00395FA1"/>
    <w:rsid w:val="003C1264"/>
    <w:rsid w:val="003D09B9"/>
    <w:rsid w:val="003E15D4"/>
    <w:rsid w:val="00411CCE"/>
    <w:rsid w:val="0041666E"/>
    <w:rsid w:val="00421060"/>
    <w:rsid w:val="00462147"/>
    <w:rsid w:val="00471C19"/>
    <w:rsid w:val="004867E3"/>
    <w:rsid w:val="00494A28"/>
    <w:rsid w:val="004C0004"/>
    <w:rsid w:val="004C5D52"/>
    <w:rsid w:val="0050519A"/>
    <w:rsid w:val="005072A1"/>
    <w:rsid w:val="00514517"/>
    <w:rsid w:val="00545827"/>
    <w:rsid w:val="00560270"/>
    <w:rsid w:val="005677BA"/>
    <w:rsid w:val="00586E92"/>
    <w:rsid w:val="005C2568"/>
    <w:rsid w:val="005F1B17"/>
    <w:rsid w:val="006037C0"/>
    <w:rsid w:val="006631B6"/>
    <w:rsid w:val="00667C8B"/>
    <w:rsid w:val="00680577"/>
    <w:rsid w:val="006F74FA"/>
    <w:rsid w:val="00731ADD"/>
    <w:rsid w:val="00734777"/>
    <w:rsid w:val="007370FF"/>
    <w:rsid w:val="00747932"/>
    <w:rsid w:val="00751A4A"/>
    <w:rsid w:val="00756632"/>
    <w:rsid w:val="00762C74"/>
    <w:rsid w:val="00786EC0"/>
    <w:rsid w:val="007B6C78"/>
    <w:rsid w:val="007D1690"/>
    <w:rsid w:val="007E22AD"/>
    <w:rsid w:val="00817416"/>
    <w:rsid w:val="00842779"/>
    <w:rsid w:val="00865F67"/>
    <w:rsid w:val="00877C78"/>
    <w:rsid w:val="00881A7B"/>
    <w:rsid w:val="008840E5"/>
    <w:rsid w:val="00887B3E"/>
    <w:rsid w:val="008A516B"/>
    <w:rsid w:val="008C2AC6"/>
    <w:rsid w:val="00930C23"/>
    <w:rsid w:val="0093193B"/>
    <w:rsid w:val="009509D8"/>
    <w:rsid w:val="00950B64"/>
    <w:rsid w:val="00981893"/>
    <w:rsid w:val="009B790B"/>
    <w:rsid w:val="009F6F67"/>
    <w:rsid w:val="00A1687D"/>
    <w:rsid w:val="00A43E52"/>
    <w:rsid w:val="00A4678D"/>
    <w:rsid w:val="00A778C7"/>
    <w:rsid w:val="00AB441E"/>
    <w:rsid w:val="00AB6293"/>
    <w:rsid w:val="00AE0928"/>
    <w:rsid w:val="00AF3B82"/>
    <w:rsid w:val="00B12E95"/>
    <w:rsid w:val="00B22876"/>
    <w:rsid w:val="00B558F0"/>
    <w:rsid w:val="00B66575"/>
    <w:rsid w:val="00BD48FE"/>
    <w:rsid w:val="00BD7BD8"/>
    <w:rsid w:val="00BE6ADC"/>
    <w:rsid w:val="00C05BFE"/>
    <w:rsid w:val="00C23CD4"/>
    <w:rsid w:val="00C61C0C"/>
    <w:rsid w:val="00C87DBE"/>
    <w:rsid w:val="00C941CB"/>
    <w:rsid w:val="00CC2357"/>
    <w:rsid w:val="00CC305D"/>
    <w:rsid w:val="00CF071A"/>
    <w:rsid w:val="00D058B8"/>
    <w:rsid w:val="00D56C11"/>
    <w:rsid w:val="00D834A0"/>
    <w:rsid w:val="00D872DF"/>
    <w:rsid w:val="00D91E21"/>
    <w:rsid w:val="00DA7FCD"/>
    <w:rsid w:val="00E365E1"/>
    <w:rsid w:val="00E820A4"/>
    <w:rsid w:val="00EB006A"/>
    <w:rsid w:val="00EB4772"/>
    <w:rsid w:val="00ED169E"/>
    <w:rsid w:val="00ED3A54"/>
    <w:rsid w:val="00ED4235"/>
    <w:rsid w:val="00F04346"/>
    <w:rsid w:val="00F075DC"/>
    <w:rsid w:val="00F149E9"/>
    <w:rsid w:val="00F45974"/>
    <w:rsid w:val="00F5134D"/>
    <w:rsid w:val="00F74202"/>
    <w:rsid w:val="00F87713"/>
    <w:rsid w:val="00FB4360"/>
    <w:rsid w:val="00FD0C70"/>
    <w:rsid w:val="00FD5BE0"/>
  </w:rsids>
  <w:docVars>
    <w:docVar w:name="dvdocse" w:val="A10-0242/2026"/>
    <w:docVar w:name="dvlangue" w:val="EN"/>
    <w:docVar w:name="dvnumam" w:val="0"/>
    <w:docVar w:name="dvpe" w:val="791.964"/>
    <w:docVar w:name="dvrapporteur" w:val="Rapporteur: "/>
    <w:docVar w:name="dvtitre" w:val="European Parliament resolution of xx Xxxx 2026 on the proposal for a decision of the European Parliament and of the Council on the mobilisation of the European Globalisation Adjustment Fund for Displaced Workers following an application from Spain – EGF/2026/002 ES/Galicia automotive ancillary(COM(2026)0170 – C10-0198/2026 – 2026/0195(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CEEBC0"/>
  <w15:chartTrackingRefBased/>
  <w15:docId w15:val="{B336B662-A079-4487-87D8-E96EB3E1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361E6A"/>
    <w:pPr>
      <w:keepNext/>
      <w:spacing w:after="480"/>
      <w:jc w:val="center"/>
    </w:pPr>
    <w:rPr>
      <w:rFonts w:ascii="Arial" w:hAnsi="Arial" w:cs="Arial"/>
      <w:b/>
    </w:rPr>
  </w:style>
  <w:style w:type="paragraph" w:customStyle="1" w:styleId="NormalHanging12a">
    <w:name w:val="NormalHanging12a"/>
    <w:basedOn w:val="Normal"/>
    <w:link w:val="NormalHanging12aChar"/>
    <w:rsid w:val="00361E6A"/>
    <w:pPr>
      <w:spacing w:after="240"/>
      <w:ind w:left="567" w:hanging="567"/>
    </w:pPr>
  </w:style>
  <w:style w:type="paragraph" w:customStyle="1" w:styleId="NormalBold24a">
    <w:name w:val="NormalBold24a"/>
    <w:basedOn w:val="Normal"/>
    <w:rsid w:val="00361E6A"/>
    <w:pPr>
      <w:spacing w:after="480"/>
    </w:pPr>
    <w:rPr>
      <w:b/>
      <w:bCs/>
    </w:rPr>
  </w:style>
  <w:style w:type="paragraph" w:customStyle="1" w:styleId="EPComma">
    <w:name w:val="EPComma"/>
    <w:basedOn w:val="Normal"/>
    <w:rsid w:val="00361E6A"/>
    <w:pPr>
      <w:spacing w:before="480" w:after="240"/>
    </w:pPr>
  </w:style>
  <w:style w:type="character" w:styleId="Hyperlink">
    <w:name w:val="Hyperlink"/>
    <w:basedOn w:val="DefaultParagraphFont"/>
    <w:rsid w:val="00361E6A"/>
    <w:rPr>
      <w:color w:val="0563C1" w:themeColor="hyperlink"/>
      <w:u w:val="single"/>
    </w:rPr>
  </w:style>
  <w:style w:type="character" w:customStyle="1" w:styleId="NormalHanging12aChar">
    <w:name w:val="NormalHanging12a Char"/>
    <w:basedOn w:val="DefaultParagraphFont"/>
    <w:link w:val="NormalHanging12a"/>
    <w:locked/>
    <w:rsid w:val="00361E6A"/>
    <w:rPr>
      <w:sz w:val="24"/>
    </w:rPr>
  </w:style>
  <w:style w:type="character" w:customStyle="1" w:styleId="PageHeadingChar">
    <w:name w:val="PageHeading Char"/>
    <w:basedOn w:val="DefaultParagraphFont"/>
    <w:link w:val="PageHeading"/>
    <w:rsid w:val="00361E6A"/>
    <w:rPr>
      <w:rFonts w:ascii="Arial" w:hAnsi="Arial" w:cs="Arial"/>
      <w:b/>
      <w:sz w:val="24"/>
    </w:rPr>
  </w:style>
  <w:style w:type="paragraph" w:styleId="Header">
    <w:name w:val="header"/>
    <w:basedOn w:val="Normal"/>
    <w:link w:val="HeaderChar"/>
    <w:rsid w:val="00196DFF"/>
    <w:pPr>
      <w:tabs>
        <w:tab w:val="center" w:pos="4513"/>
        <w:tab w:val="right" w:pos="9026"/>
      </w:tabs>
    </w:pPr>
  </w:style>
  <w:style w:type="character" w:customStyle="1" w:styleId="HeaderChar">
    <w:name w:val="Header Char"/>
    <w:basedOn w:val="DefaultParagraphFont"/>
    <w:link w:val="Header"/>
    <w:rsid w:val="00196DFF"/>
    <w:rPr>
      <w:sz w:val="24"/>
    </w:rPr>
  </w:style>
  <w:style w:type="paragraph" w:styleId="Footer">
    <w:name w:val="footer"/>
    <w:basedOn w:val="Normal"/>
    <w:link w:val="FooterChar"/>
    <w:rsid w:val="00196DFF"/>
    <w:pPr>
      <w:tabs>
        <w:tab w:val="center" w:pos="4513"/>
        <w:tab w:val="right" w:pos="9026"/>
      </w:tabs>
    </w:pPr>
  </w:style>
  <w:style w:type="character" w:customStyle="1" w:styleId="FooterChar">
    <w:name w:val="Footer Char"/>
    <w:basedOn w:val="DefaultParagraphFont"/>
    <w:link w:val="Footer"/>
    <w:rsid w:val="00196DFF"/>
    <w:rPr>
      <w:sz w:val="24"/>
    </w:rPr>
  </w:style>
  <w:style w:type="paragraph" w:styleId="Revision">
    <w:name w:val="Revision"/>
    <w:hidden/>
    <w:uiPriority w:val="99"/>
    <w:semiHidden/>
    <w:rsid w:val="009B790B"/>
    <w:rPr>
      <w:sz w:val="24"/>
    </w:rPr>
  </w:style>
  <w:style w:type="character" w:styleId="CommentReference">
    <w:name w:val="annotation reference"/>
    <w:basedOn w:val="DefaultParagraphFont"/>
    <w:rsid w:val="00FD5BE0"/>
    <w:rPr>
      <w:sz w:val="16"/>
      <w:szCs w:val="16"/>
    </w:rPr>
  </w:style>
  <w:style w:type="paragraph" w:styleId="CommentText">
    <w:name w:val="annotation text"/>
    <w:basedOn w:val="Normal"/>
    <w:link w:val="CommentTextChar"/>
    <w:rsid w:val="00FD5BE0"/>
    <w:rPr>
      <w:sz w:val="20"/>
    </w:rPr>
  </w:style>
  <w:style w:type="character" w:customStyle="1" w:styleId="CommentTextChar">
    <w:name w:val="Comment Text Char"/>
    <w:basedOn w:val="DefaultParagraphFont"/>
    <w:link w:val="CommentText"/>
    <w:rsid w:val="00FD5BE0"/>
  </w:style>
  <w:style w:type="paragraph" w:styleId="CommentSubject">
    <w:name w:val="annotation subject"/>
    <w:basedOn w:val="CommentText"/>
    <w:next w:val="CommentText"/>
    <w:link w:val="CommentSubjectChar"/>
    <w:rsid w:val="00FD5BE0"/>
    <w:rPr>
      <w:b/>
      <w:bCs/>
    </w:rPr>
  </w:style>
  <w:style w:type="character" w:customStyle="1" w:styleId="CommentSubjectChar">
    <w:name w:val="Comment Subject Char"/>
    <w:basedOn w:val="CommentTextChar"/>
    <w:link w:val="CommentSubject"/>
    <w:rsid w:val="00FD5BE0"/>
    <w:rPr>
      <w:b/>
      <w:bCs/>
    </w:rPr>
  </w:style>
  <w:style w:type="character" w:styleId="UnresolvedMention">
    <w:name w:val="Unresolved Mention"/>
    <w:basedOn w:val="DefaultParagraphFont"/>
    <w:uiPriority w:val="99"/>
    <w:semiHidden/>
    <w:unhideWhenUsed/>
    <w:rsid w:val="00FD5BE0"/>
    <w:rPr>
      <w:color w:val="605E5C"/>
      <w:shd w:val="clear" w:color="auto" w:fill="E1DFDD"/>
    </w:rPr>
  </w:style>
  <w:style w:type="character" w:styleId="FollowedHyperlink">
    <w:name w:val="FollowedHyperlink"/>
    <w:basedOn w:val="DefaultParagraphFont"/>
    <w:rsid w:val="00FD5B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s://www.clustercollaboration.eu/content/galician-automotive-industry-achieves-record-figures-and-strengthens-its-role" TargetMode="External" /><Relationship Id="rId7" Type="http://schemas.openxmlformats.org/officeDocument/2006/relationships/hyperlink" Target="http://data.europa.eu/eli/reg/2006/1893/oj" TargetMode="External" /><Relationship Id="rId8" Type="http://schemas.openxmlformats.org/officeDocument/2006/relationships/hyperlink" Target="http://data.europa.eu/eli/reg_del/2019/175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2610</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2026-10-07T10:30:00Z</dcterms:created>
  <dcterms:modified xsi:type="dcterms:W3CDTF">2026-10-07T10:30:00Z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A10-0242/2026</vt:lpwstr>
  </property>
  <property fmtid="{D5CDD505-2E9C-101B-9397-08002B2CF9AE}" pid="4" name="&lt;Type&gt;">
    <vt:lpwstr>RR</vt:lpwstr>
  </property>
</Properties>
</file>