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8BA0D11" w14:textId="77777777" w:rsidTr="0010095E">
        <w:tblPrEx>
          <w:tblW w:w="9072" w:type="dxa"/>
          <w:tblLook w:val="01E0"/>
        </w:tblPrEx>
        <w:trPr>
          <w:trHeight w:hRule="exact" w:val="1418"/>
        </w:trPr>
        <w:tc>
          <w:tcPr>
            <w:tcW w:w="6804" w:type="dxa"/>
            <w:vAlign w:val="center"/>
          </w:tcPr>
          <w:p w:rsidR="00751A4A" w:rsidRPr="0041740E" w:rsidP="0010095E" w14:paraId="746E2DFC" w14:textId="77777777">
            <w:pPr>
              <w:pStyle w:val="EPName"/>
            </w:pPr>
            <w:r w:rsidRPr="0041740E">
              <w:t>European Parliament</w:t>
            </w:r>
          </w:p>
          <w:p w:rsidR="00751A4A" w:rsidRPr="0041740E" w:rsidP="005F1B17" w14:paraId="41E709F1" w14:textId="77777777">
            <w:pPr>
              <w:pStyle w:val="EPTerm"/>
              <w:rPr>
                <w:rStyle w:val="HideTWBExt"/>
                <w:noProof w:val="0"/>
                <w:vanish w:val="0"/>
                <w:color w:val="auto"/>
              </w:rPr>
            </w:pPr>
            <w:r w:rsidRPr="0041740E">
              <w:t>2024</w:t>
            </w:r>
            <w:r w:rsidRPr="0041740E" w:rsidR="00817416">
              <w:t>-202</w:t>
            </w:r>
            <w:r w:rsidRPr="0041740E">
              <w:t>9</w:t>
            </w:r>
          </w:p>
        </w:tc>
        <w:tc>
          <w:tcPr>
            <w:tcW w:w="2268" w:type="dxa"/>
          </w:tcPr>
          <w:p w:rsidR="00751A4A" w:rsidRPr="0041740E" w:rsidP="0010095E" w14:paraId="577543E2" w14:textId="77777777">
            <w:pPr>
              <w:pStyle w:val="EPLogo"/>
            </w:pPr>
            <w:r w:rsidRPr="0041740E">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41740E" w:rsidP="004C5D52" w14:paraId="24942875" w14:textId="77777777">
      <w:pPr>
        <w:pStyle w:val="LineTop"/>
      </w:pPr>
    </w:p>
    <w:p w:rsidR="00680577" w:rsidRPr="0041740E" w:rsidP="00680577" w14:paraId="62E0DDD4" w14:textId="77777777">
      <w:pPr>
        <w:pStyle w:val="EPBodyTA1"/>
      </w:pPr>
      <w:r w:rsidRPr="0041740E">
        <w:t>TEXTS ADOPTED</w:t>
      </w:r>
    </w:p>
    <w:p w:rsidR="00D058B8" w:rsidRPr="0041740E" w:rsidP="00D058B8" w14:paraId="67AAF93C" w14:textId="77777777">
      <w:pPr>
        <w:pStyle w:val="LineBottom"/>
      </w:pPr>
    </w:p>
    <w:p w:rsidR="00E402D2" w:rsidRPr="0041740E" w:rsidP="00E402D2" w14:paraId="2528703B" w14:textId="57DCEBC1">
      <w:pPr>
        <w:pStyle w:val="ATHeading1"/>
      </w:pPr>
      <w:bookmarkStart w:id="0" w:name="TANumber"/>
      <w:r w:rsidRPr="0041740E">
        <w:t>P10_TA(2026)</w:t>
      </w:r>
      <w:bookmarkEnd w:id="0"/>
      <w:r w:rsidR="000E220D">
        <w:t>0332</w:t>
      </w:r>
    </w:p>
    <w:p w:rsidR="00E402D2" w:rsidRPr="0041740E" w:rsidP="00E402D2" w14:paraId="1B663D76" w14:textId="14BD141E">
      <w:pPr>
        <w:pStyle w:val="ATHeading2"/>
      </w:pPr>
      <w:bookmarkStart w:id="1" w:name="title"/>
      <w:r w:rsidRPr="0041740E">
        <w:t>Mobilisation of the European Globalisation Adjustment Fund for Displaced Workers: application EGF/2026/003 FI/Valmet Automotive - Finland</w:t>
      </w:r>
      <w:bookmarkEnd w:id="1"/>
    </w:p>
    <w:p w:rsidR="00E402D2" w:rsidRPr="0041740E" w:rsidP="00E402D2" w14:paraId="3C5089EB" w14:textId="77777777">
      <w:pPr>
        <w:rPr>
          <w:i/>
          <w:vanish/>
        </w:rPr>
      </w:pPr>
      <w:r>
        <w:rPr>
          <w:i/>
        </w:rPr>
        <w:fldChar w:fldCharType="begin"/>
      </w:r>
      <w:r w:rsidRPr="0041740E">
        <w:rPr>
          <w:i/>
        </w:rPr>
        <w:instrText xml:space="preserve"> TC"(</w:instrText>
      </w:r>
      <w:bookmarkStart w:id="2" w:name="DocNumber"/>
      <w:r w:rsidRPr="0041740E">
        <w:rPr>
          <w:i/>
        </w:rPr>
        <w:instrText>A10-0243/2026</w:instrText>
      </w:r>
      <w:bookmarkEnd w:id="2"/>
      <w:r w:rsidRPr="0041740E">
        <w:rPr>
          <w:i/>
        </w:rPr>
        <w:instrText xml:space="preserve"> - Rapporteur: Nicolae </w:instrText>
      </w:r>
      <w:r w:rsidRPr="0041740E">
        <w:rPr>
          <w:i/>
        </w:rPr>
        <w:instrText>Ștefănuță</w:instrText>
      </w:r>
      <w:r w:rsidRPr="0041740E">
        <w:rPr>
          <w:i/>
        </w:rPr>
        <w:instrText xml:space="preserve">)"\l3 \n&gt; \* MERGEFORMAT </w:instrText>
      </w:r>
      <w:r>
        <w:rPr>
          <w:i/>
        </w:rPr>
        <w:fldChar w:fldCharType="end"/>
      </w:r>
    </w:p>
    <w:p w:rsidR="00E402D2" w:rsidRPr="0041740E" w:rsidP="00E402D2" w14:paraId="78C7E318" w14:textId="77777777">
      <w:pPr>
        <w:rPr>
          <w:vanish/>
        </w:rPr>
      </w:pPr>
      <w:bookmarkStart w:id="3" w:name="Commission"/>
      <w:r w:rsidRPr="0041740E">
        <w:rPr>
          <w:vanish/>
        </w:rPr>
        <w:t>Committee on Budgets</w:t>
      </w:r>
      <w:bookmarkEnd w:id="3"/>
    </w:p>
    <w:p w:rsidR="00E402D2" w:rsidRPr="0041740E" w:rsidP="00E402D2" w14:paraId="2760110C" w14:textId="77777777">
      <w:pPr>
        <w:rPr>
          <w:vanish/>
        </w:rPr>
      </w:pPr>
      <w:bookmarkStart w:id="4" w:name="PE"/>
      <w:r w:rsidRPr="0041740E">
        <w:rPr>
          <w:vanish/>
        </w:rPr>
        <w:t>PE792.011</w:t>
      </w:r>
      <w:bookmarkEnd w:id="4"/>
    </w:p>
    <w:p w:rsidR="00E402D2" w:rsidRPr="0041740E" w:rsidP="00E402D2" w14:paraId="2B7AC09E" w14:textId="205F8D11">
      <w:pPr>
        <w:pStyle w:val="ATHeading3"/>
      </w:pPr>
      <w:bookmarkStart w:id="5" w:name="Sujet"/>
      <w:r w:rsidRPr="0041740E">
        <w:t xml:space="preserve">European Parliament resolution of </w:t>
      </w:r>
      <w:r w:rsidRPr="0041740E" w:rsidR="00CC0016">
        <w:t>7</w:t>
      </w:r>
      <w:r w:rsidRPr="0041740E">
        <w:t xml:space="preserve"> </w:t>
      </w:r>
      <w:r w:rsidRPr="0041740E" w:rsidR="00CC0016">
        <w:t>October</w:t>
      </w:r>
      <w:r w:rsidRPr="0041740E">
        <w:t xml:space="preserve"> 2026 on the proposal for a decision of the European Parliament and of the Council on the mobilisation of the European Globalisation Adjustment Fund for Displaced Workers following an application from Finland – EGF/2026/003 FI/Valmet Automotive</w:t>
      </w:r>
      <w:bookmarkEnd w:id="5"/>
      <w:r w:rsidRPr="0041740E">
        <w:t xml:space="preserve"> </w:t>
      </w:r>
      <w:bookmarkStart w:id="6" w:name="References"/>
      <w:r w:rsidRPr="0041740E">
        <w:t>(</w:t>
      </w:r>
      <w:r w:rsidRPr="0041740E">
        <w:t>COM(</w:t>
      </w:r>
      <w:r w:rsidRPr="0041740E">
        <w:t>2026)0400 – C10-0199/2026 – 2026/0220(BUD))</w:t>
      </w:r>
      <w:bookmarkEnd w:id="6"/>
    </w:p>
    <w:p w:rsidR="000B0BD5" w:rsidRPr="0041740E" w:rsidP="000B0BD5" w14:paraId="2B68465C" w14:textId="77777777">
      <w:pPr>
        <w:pStyle w:val="EPComma"/>
        <w:rPr>
          <w:noProof/>
        </w:rPr>
      </w:pPr>
      <w:r w:rsidRPr="0041740E">
        <w:rPr>
          <w:i/>
          <w:noProof/>
        </w:rPr>
        <w:t>The European Parliament</w:t>
      </w:r>
      <w:r w:rsidRPr="0041740E">
        <w:rPr>
          <w:noProof/>
        </w:rPr>
        <w:t>,</w:t>
      </w:r>
    </w:p>
    <w:p w:rsidR="000B0BD5" w:rsidRPr="0041740E" w:rsidP="000B0BD5" w14:paraId="5A60098B" w14:textId="77777777">
      <w:pPr>
        <w:pStyle w:val="NormalHanging12a"/>
        <w:rPr>
          <w:noProof/>
        </w:rPr>
      </w:pPr>
      <w:r w:rsidRPr="0041740E">
        <w:rPr>
          <w:noProof/>
        </w:rPr>
        <w:t>–</w:t>
      </w:r>
      <w:r w:rsidRPr="0041740E">
        <w:rPr>
          <w:noProof/>
        </w:rPr>
        <w:tab/>
        <w:t>having regard to the Commission proposal to the European Parliament and the Council (COM(2026)0400 – C10</w:t>
      </w:r>
      <w:r w:rsidRPr="0041740E">
        <w:rPr>
          <w:noProof/>
        </w:rPr>
        <w:noBreakHyphen/>
        <w:t>0199/2026),</w:t>
      </w:r>
    </w:p>
    <w:p w:rsidR="000B0BD5" w:rsidRPr="0041740E" w:rsidP="000B0BD5" w14:paraId="315AF655" w14:textId="77777777">
      <w:pPr>
        <w:pStyle w:val="NormalHanging12a"/>
        <w:rPr>
          <w:noProof/>
        </w:rPr>
      </w:pPr>
      <w:r w:rsidRPr="0041740E">
        <w:rPr>
          <w:noProof/>
        </w:rPr>
        <w:t>–</w:t>
      </w:r>
      <w:r w:rsidRPr="0041740E">
        <w:rPr>
          <w:noProof/>
        </w:rPr>
        <w:tab/>
        <w:t>having regard to Regulation (EU) 2021/691 of the European Parliament and of the Council of 28 April 2021 on the European Globalisation Adjustment Fund for Displaced Workers (EGF) and repealing Regulation (EU) No 1309/2013</w:t>
      </w:r>
      <w:r>
        <w:rPr>
          <w:noProof/>
          <w:vertAlign w:val="superscript"/>
        </w:rPr>
        <w:footnoteReference w:id="2"/>
      </w:r>
      <w:r w:rsidRPr="0041740E">
        <w:rPr>
          <w:noProof/>
        </w:rPr>
        <w:t xml:space="preserve"> ("EGF Regulation"), as amended by Regulation (EU) 2026/1139</w:t>
      </w:r>
      <w:r>
        <w:rPr>
          <w:noProof/>
          <w:vertAlign w:val="superscript"/>
        </w:rPr>
        <w:footnoteReference w:id="3"/>
      </w:r>
      <w:r w:rsidRPr="0041740E">
        <w:rPr>
          <w:noProof/>
        </w:rPr>
        <w:t xml:space="preserve">, </w:t>
      </w:r>
    </w:p>
    <w:p w:rsidR="000B0BD5" w:rsidRPr="0041740E" w:rsidP="000B0BD5" w14:paraId="09A8F6BF" w14:textId="77777777">
      <w:pPr>
        <w:pStyle w:val="NormalHanging12a"/>
        <w:rPr>
          <w:noProof/>
        </w:rPr>
      </w:pPr>
      <w:r w:rsidRPr="0041740E">
        <w:rPr>
          <w:noProof/>
        </w:rPr>
        <w:t>–</w:t>
      </w:r>
      <w:r w:rsidRPr="0041740E">
        <w:rPr>
          <w:noProof/>
        </w:rPr>
        <w:tab/>
        <w:t>having regard to Council Regulation (EU, Euratom) 2020/2093 of 17 December 2020 laying down the multiannual financial framework for the years 2021-2027</w:t>
      </w:r>
      <w:r>
        <w:rPr>
          <w:noProof/>
          <w:vertAlign w:val="superscript"/>
        </w:rPr>
        <w:footnoteReference w:id="4"/>
      </w:r>
      <w:r w:rsidRPr="0041740E">
        <w:rPr>
          <w:noProof/>
        </w:rPr>
        <w:t>, as amended by Regulation (EU, Euratom) 2024/765</w:t>
      </w:r>
      <w:r>
        <w:rPr>
          <w:noProof/>
          <w:vertAlign w:val="superscript"/>
        </w:rPr>
        <w:footnoteReference w:id="5"/>
      </w:r>
      <w:r w:rsidRPr="0041740E">
        <w:rPr>
          <w:noProof/>
        </w:rPr>
        <w:t xml:space="preserve">, and in particular Article 8 thereof, </w:t>
      </w:r>
    </w:p>
    <w:p w:rsidR="000B0BD5" w:rsidRPr="0041740E" w:rsidP="000B0BD5" w14:paraId="320EA506" w14:textId="77777777">
      <w:pPr>
        <w:pStyle w:val="NormalHanging12a"/>
        <w:rPr>
          <w:noProof/>
        </w:rPr>
      </w:pPr>
      <w:r w:rsidRPr="0041740E">
        <w:rPr>
          <w:noProof/>
        </w:rPr>
        <w:t>–</w:t>
      </w:r>
      <w:r w:rsidRPr="0041740E">
        <w:rPr>
          <w:noProof/>
        </w:rPr>
        <w:tab/>
        <w:t>having regard to the Interinstitutional Agreement of 16 December 2020 between the European Parliament, the Council of the European Union and the European Commission on budgetary discipline, on cooperation in budgetary matters and on sound financial management, as well as on new own resources, including a roadmap towards the introduction of new own resources</w:t>
      </w:r>
      <w:r>
        <w:rPr>
          <w:noProof/>
          <w:vertAlign w:val="superscript"/>
        </w:rPr>
        <w:footnoteReference w:id="6"/>
      </w:r>
      <w:r w:rsidRPr="0041740E">
        <w:rPr>
          <w:noProof/>
        </w:rPr>
        <w:t>, and in particular point 9 thereof,</w:t>
      </w:r>
    </w:p>
    <w:p w:rsidR="000B0BD5" w:rsidRPr="0041740E" w:rsidP="000B0BD5" w14:paraId="76DDB463" w14:textId="77777777">
      <w:pPr>
        <w:pStyle w:val="NormalHanging12a"/>
        <w:rPr>
          <w:noProof/>
        </w:rPr>
      </w:pPr>
      <w:r w:rsidRPr="0041740E">
        <w:rPr>
          <w:noProof/>
        </w:rPr>
        <w:t>–</w:t>
      </w:r>
      <w:r w:rsidRPr="0041740E">
        <w:rPr>
          <w:noProof/>
        </w:rPr>
        <w:tab/>
        <w:t>having regard to the European Pillar of Social Rights,</w:t>
      </w:r>
    </w:p>
    <w:p w:rsidR="000B0BD5" w:rsidRPr="0041740E" w:rsidP="000B0BD5" w14:paraId="325E38AB" w14:textId="77777777">
      <w:pPr>
        <w:pStyle w:val="NormalHanging12a"/>
        <w:rPr>
          <w:noProof/>
        </w:rPr>
      </w:pPr>
      <w:r w:rsidRPr="0041740E">
        <w:rPr>
          <w:noProof/>
        </w:rPr>
        <w:t>–</w:t>
      </w:r>
      <w:r w:rsidRPr="0041740E">
        <w:rPr>
          <w:noProof/>
        </w:rPr>
        <w:tab/>
        <w:t>having regard to the letter from the Committee on Employment and Social Affairs,</w:t>
      </w:r>
    </w:p>
    <w:p w:rsidR="000B0BD5" w:rsidRPr="0041740E" w:rsidP="000B0BD5" w14:paraId="63B0D7F4" w14:textId="77777777">
      <w:pPr>
        <w:pStyle w:val="NormalHanging12a"/>
        <w:rPr>
          <w:noProof/>
        </w:rPr>
      </w:pPr>
      <w:r w:rsidRPr="0041740E">
        <w:rPr>
          <w:noProof/>
        </w:rPr>
        <w:t>–</w:t>
      </w:r>
      <w:r w:rsidRPr="0041740E">
        <w:rPr>
          <w:noProof/>
        </w:rPr>
        <w:tab/>
        <w:t>having regard to the report of the Committee on Budgets (A10-0243/2026),</w:t>
      </w:r>
    </w:p>
    <w:p w:rsidR="000B0BD5" w:rsidRPr="0041740E" w:rsidP="000B0BD5" w14:paraId="125991B2" w14:textId="77777777">
      <w:pPr>
        <w:pStyle w:val="NormalHanging12a"/>
        <w:rPr>
          <w:noProof/>
        </w:rPr>
      </w:pPr>
      <w:r w:rsidRPr="0041740E">
        <w:rPr>
          <w:noProof/>
        </w:rPr>
        <w:t>A.</w:t>
      </w:r>
      <w:r w:rsidRPr="0041740E">
        <w:rPr>
          <w:noProof/>
        </w:rPr>
        <w:tab/>
        <w:t>whereas the Union has set up legislative and budgetary instruments to provide additional support to workers who are suffering from the consequences of major structural events and changes in world trade patterns or who are affected by imminent job displacement in enterprises undergoing restructuring, to assist their rapid, decent and sustainable reintegration into the labour market or their career transitions also by providing training to better equip workers with skills aligned to the labour market needs; whereas this assistance is made through a financial support given to workers;</w:t>
      </w:r>
    </w:p>
    <w:p w:rsidR="000B0BD5" w:rsidRPr="0041740E" w:rsidP="000B0BD5" w14:paraId="11371C47" w14:textId="77777777">
      <w:pPr>
        <w:pStyle w:val="NormalHanging12a"/>
        <w:rPr>
          <w:noProof/>
        </w:rPr>
      </w:pPr>
      <w:r w:rsidRPr="0041740E">
        <w:rPr>
          <w:bCs/>
          <w:iCs/>
        </w:rPr>
        <w:t>B.</w:t>
      </w:r>
      <w:r w:rsidRPr="0041740E">
        <w:rPr>
          <w:bCs/>
          <w:iCs/>
        </w:rPr>
        <w:tab/>
        <w:t>whereas the EGF is an instrument of solidarity and just transition and while it provides support following job losses, it cannot replace structural economic and social policies that sustain economic growth, promote a stable, predictable, innovation-friendly business environment, and protect Union enterprises, economic operators and their workers</w:t>
      </w:r>
      <w:r w:rsidRPr="0041740E">
        <w:rPr>
          <w:bCs/>
          <w:iCs/>
          <w:noProof/>
        </w:rPr>
        <w:t>;</w:t>
      </w:r>
    </w:p>
    <w:p w:rsidR="000B0BD5" w:rsidRPr="0041740E" w:rsidP="000B0BD5" w14:paraId="0A4495A1" w14:textId="77777777">
      <w:pPr>
        <w:pStyle w:val="NormalHanging12a"/>
        <w:rPr>
          <w:noProof/>
        </w:rPr>
      </w:pPr>
      <w:r w:rsidRPr="0041740E">
        <w:rPr>
          <w:noProof/>
        </w:rPr>
        <w:t>C.</w:t>
      </w:r>
      <w:r w:rsidRPr="0041740E">
        <w:rPr>
          <w:noProof/>
        </w:rPr>
        <w:tab/>
        <w:t>whereas Finland submitted application EGF/2026/003 FI/Valmet Automotive for a financial contribution from the EGF following 260 displacements</w:t>
      </w:r>
      <w:r>
        <w:rPr>
          <w:noProof/>
          <w:vertAlign w:val="superscript"/>
        </w:rPr>
        <w:footnoteReference w:id="7"/>
      </w:r>
      <w:r w:rsidRPr="0041740E">
        <w:rPr>
          <w:noProof/>
        </w:rPr>
        <w:t xml:space="preserve"> in the economic sector classified under the NACE Revision 2 division 29 (Manufacture of motor vehicles, trailers and semi-trailers) in the Region of Länsi-Suomi (FI19), with 239 total displacements within a reference period from 2 December 2025 to 2 April 2026, consisting of 230 displaced workers from Valmet Automotive Oyj (Manufacture of motor vehicles) and 9 from Compass Group Finland Oy (Food and beverage service activities), and 21 displacements outside the reference period;</w:t>
      </w:r>
    </w:p>
    <w:p w:rsidR="000B0BD5" w:rsidRPr="0041740E" w:rsidP="000B0BD5" w14:paraId="042D000F" w14:textId="77777777">
      <w:pPr>
        <w:pStyle w:val="NormalHanging12a"/>
        <w:rPr>
          <w:noProof/>
        </w:rPr>
      </w:pPr>
      <w:r w:rsidRPr="0041740E">
        <w:rPr>
          <w:noProof/>
        </w:rPr>
        <w:t>D.</w:t>
      </w:r>
      <w:r w:rsidRPr="0041740E">
        <w:rPr>
          <w:noProof/>
        </w:rPr>
        <w:tab/>
        <w:t>whereas the application is based on the intervention criteria of Article 4(2), point (a), of the EGF Regulation; whereas for the 21 displacements whose activity ceased before or after the four-month reference period, a clear causal link can be established with the event that triggered the cessation of activity for the displaced workers during the reference period, in accordance with Article 6 of the EGF Regulation;</w:t>
      </w:r>
    </w:p>
    <w:p w:rsidR="000B0BD5" w:rsidRPr="0041740E" w:rsidP="000B0BD5" w14:paraId="4D67E643" w14:textId="77777777">
      <w:pPr>
        <w:pStyle w:val="NormalHanging12a"/>
        <w:rPr>
          <w:noProof/>
        </w:rPr>
      </w:pPr>
      <w:r w:rsidRPr="0041740E">
        <w:rPr>
          <w:noProof/>
        </w:rPr>
        <w:t>E.</w:t>
      </w:r>
      <w:r w:rsidRPr="0041740E">
        <w:rPr>
          <w:noProof/>
        </w:rPr>
        <w:tab/>
        <w:t xml:space="preserve">whereas Valmet Automotive, a contract manufacturer of the automobile industry, has always been dependent on fixed-term contracts with large car manufacturers, and therefore subject to business fluctuations; whereas </w:t>
      </w:r>
      <w:r w:rsidRPr="0041740E">
        <w:rPr>
          <w:bCs/>
          <w:iCs/>
        </w:rPr>
        <w:t>high energy and manufacturing costs compared with global competitors have put additional pressure on European competitiveness in different industry sectors as the defence, automotive and other sectors that need high-technology solutions for European production; whereas</w:t>
      </w:r>
      <w:r w:rsidRPr="0041740E">
        <w:rPr>
          <w:bCs/>
          <w:iCs/>
          <w:noProof/>
        </w:rPr>
        <w:t xml:space="preserve"> Valmet Automotive</w:t>
      </w:r>
      <w:r w:rsidRPr="0041740E">
        <w:rPr>
          <w:noProof/>
        </w:rPr>
        <w:t xml:space="preserve"> had to gradually reduce its personnel, from just under 3 200 in the early 2020’s to approximately 1 300 before the latest redundancies;</w:t>
      </w:r>
    </w:p>
    <w:p w:rsidR="000B0BD5" w:rsidRPr="0041740E" w:rsidP="000B0BD5" w14:paraId="25F975A1" w14:textId="77777777">
      <w:pPr>
        <w:pStyle w:val="NormalHanging12a"/>
        <w:rPr>
          <w:noProof/>
        </w:rPr>
      </w:pPr>
      <w:r w:rsidRPr="0041740E">
        <w:rPr>
          <w:noProof/>
        </w:rPr>
        <w:t>F.</w:t>
      </w:r>
      <w:r w:rsidRPr="0041740E">
        <w:rPr>
          <w:noProof/>
        </w:rPr>
        <w:tab/>
        <w:t>whereas the Turku Employment Region is providing the national pre-financing and co-funding of the measures;</w:t>
      </w:r>
    </w:p>
    <w:p w:rsidR="000B0BD5" w:rsidRPr="0041740E" w:rsidP="000B0BD5" w14:paraId="6E225A6E" w14:textId="77777777">
      <w:pPr>
        <w:pStyle w:val="NormalHanging12a"/>
        <w:rPr>
          <w:noProof/>
        </w:rPr>
      </w:pPr>
      <w:r w:rsidRPr="0041740E">
        <w:rPr>
          <w:noProof/>
        </w:rPr>
        <w:t>G.</w:t>
      </w:r>
      <w:r w:rsidRPr="0041740E">
        <w:rPr>
          <w:noProof/>
        </w:rPr>
        <w:tab/>
        <w:t>whereas the requirements laid down in Union and national legislation concerning collective redundancies have been complied with;</w:t>
      </w:r>
    </w:p>
    <w:p w:rsidR="000B0BD5" w:rsidRPr="0041740E" w:rsidP="000B0BD5" w14:paraId="36F42FF6" w14:textId="0CB38ADD">
      <w:pPr>
        <w:pStyle w:val="NormalHanging12a"/>
        <w:rPr>
          <w:noProof/>
        </w:rPr>
      </w:pPr>
      <w:r w:rsidRPr="0041740E">
        <w:rPr>
          <w:noProof/>
        </w:rPr>
        <w:t>H.</w:t>
      </w:r>
      <w:r w:rsidRPr="0041740E">
        <w:tab/>
        <w:t>whereas strong and competitive businesses are essential to sustain high-quality jobs, drive economic growth, promote territorial, economic and social cohesion, and reinforce Europe’s strategic resilience;</w:t>
      </w:r>
    </w:p>
    <w:p w:rsidR="000B0BD5" w:rsidRPr="0041740E" w:rsidP="000B0BD5" w14:paraId="50E0CFE6" w14:textId="77777777">
      <w:pPr>
        <w:pStyle w:val="NormalHanging12a"/>
        <w:rPr>
          <w:noProof/>
        </w:rPr>
      </w:pPr>
      <w:r w:rsidRPr="0041740E">
        <w:rPr>
          <w:noProof/>
        </w:rPr>
        <w:t>I.</w:t>
      </w:r>
      <w:r w:rsidRPr="0041740E">
        <w:rPr>
          <w:noProof/>
        </w:rPr>
        <w:tab/>
        <w:t>whereas financial contributions from the EGF should be primarily directed at active labour market policy measures and personalised services that aim to reintegrate beneficiaries rapidly into decent and sustainable employment or support their career transitions while offering them skills training to facilitate their reintegration and develop and strengthen digital skills;</w:t>
      </w:r>
    </w:p>
    <w:p w:rsidR="000B0BD5" w:rsidRPr="0041740E" w:rsidP="000B0BD5" w14:paraId="5B949B18" w14:textId="77777777">
      <w:pPr>
        <w:pStyle w:val="NormalHanging12a"/>
        <w:rPr>
          <w:noProof/>
        </w:rPr>
      </w:pPr>
      <w:r w:rsidRPr="0041740E">
        <w:rPr>
          <w:noProof/>
        </w:rPr>
        <w:t>J.</w:t>
      </w:r>
      <w:r w:rsidRPr="0041740E">
        <w:rPr>
          <w:noProof/>
        </w:rPr>
        <w:tab/>
      </w:r>
      <w:r w:rsidRPr="0041740E">
        <w:t>whereas the take up of the EGF remains limited and geographically uneven across the Union; whereas several Member States have not yet used the Fund, despite experiencing restructuring and job losses; whereas greater awareness, appropriate legislative framework and earlier coordination with social partners , as well as enhanced technical assistance for national and regional authorities are needed to ensure visibility and timely and effective access to the EGF for eligible workers and regions affected by major restructuring events;</w:t>
      </w:r>
    </w:p>
    <w:p w:rsidR="000B0BD5" w:rsidRPr="0041740E" w:rsidP="000B0BD5" w14:paraId="6F0EE12D" w14:textId="77777777">
      <w:pPr>
        <w:pStyle w:val="NormalHanging12a"/>
        <w:rPr>
          <w:noProof/>
        </w:rPr>
      </w:pPr>
      <w:r w:rsidRPr="0041740E">
        <w:rPr>
          <w:noProof/>
        </w:rPr>
        <w:t>K.</w:t>
      </w:r>
      <w:r w:rsidRPr="0041740E">
        <w:rPr>
          <w:noProof/>
        </w:rPr>
        <w:tab/>
        <w:t>whereas the EGF shall not exceed a maximum annual amount of EUR 30 million (in 2018 prices)</w:t>
      </w:r>
      <w:r>
        <w:rPr>
          <w:noProof/>
          <w:vertAlign w:val="superscript"/>
        </w:rPr>
        <w:footnoteReference w:id="8"/>
      </w:r>
      <w:r w:rsidRPr="0041740E">
        <w:rPr>
          <w:noProof/>
        </w:rPr>
        <w:t xml:space="preserve">; </w:t>
      </w:r>
    </w:p>
    <w:p w:rsidR="000B0BD5" w:rsidRPr="0041740E" w:rsidP="000B0BD5" w14:paraId="28E1660C" w14:textId="77777777">
      <w:pPr>
        <w:pStyle w:val="NormalHanging12a"/>
        <w:rPr>
          <w:noProof/>
        </w:rPr>
      </w:pPr>
      <w:r w:rsidRPr="0041740E">
        <w:rPr>
          <w:noProof/>
        </w:rPr>
        <w:t>1.</w:t>
      </w:r>
      <w:r w:rsidRPr="0041740E">
        <w:rPr>
          <w:noProof/>
        </w:rPr>
        <w:tab/>
        <w:t>Agrees with the Commission that the conditions set out in the EGF Regulation and in particular in Article 4(2), point (a), thereof are met and that Finland is entitled to a financial contribution of EUR 410 310 under that Regulation, which represents 60 % of the total cost of EUR 683 850, comprising expenditure for personalised services of EUR 663 850 and expenditure for preparatory, management, information and publicity, control and reporting activities of EUR 20 000;</w:t>
      </w:r>
    </w:p>
    <w:p w:rsidR="000B0BD5" w:rsidRPr="0041740E" w:rsidP="000B0BD5" w14:paraId="6A14A702" w14:textId="77777777">
      <w:pPr>
        <w:pStyle w:val="NormalHanging12a"/>
        <w:rPr>
          <w:noProof/>
        </w:rPr>
      </w:pPr>
      <w:r w:rsidRPr="0041740E">
        <w:rPr>
          <w:noProof/>
        </w:rPr>
        <w:t>2.</w:t>
      </w:r>
      <w:r w:rsidRPr="0041740E">
        <w:rPr>
          <w:noProof/>
        </w:rPr>
        <w:tab/>
        <w:t xml:space="preserve">Notes that the Finnish authorities submitted the application on 5 May 2026, and that, following the receipt of additional information from Finland, the Commission finalised its assessment on 24 July 2026 and notified it to Parliament on 24 August 2026; </w:t>
      </w:r>
    </w:p>
    <w:p w:rsidR="000B0BD5" w:rsidRPr="0041740E" w:rsidP="000B0BD5" w14:paraId="3557F0F6" w14:textId="77777777">
      <w:pPr>
        <w:pStyle w:val="NormalHanging12a"/>
        <w:rPr>
          <w:noProof/>
        </w:rPr>
      </w:pPr>
      <w:r w:rsidRPr="0041740E">
        <w:rPr>
          <w:noProof/>
        </w:rPr>
        <w:t>3.</w:t>
      </w:r>
      <w:r w:rsidRPr="0041740E">
        <w:rPr>
          <w:noProof/>
        </w:rPr>
        <w:tab/>
        <w:t>Notes that the application relates to 260 targeted beneficiaries who were made redundant by Valmet Automotive and five subcontractors and suppliers; notes further that 233 displaced workers, residing in Länsi-Suomi, will be targeted beneficiaries;</w:t>
      </w:r>
    </w:p>
    <w:p w:rsidR="000B0BD5" w:rsidRPr="0041740E" w:rsidP="000B0BD5" w14:paraId="09C3E32A" w14:textId="77777777">
      <w:pPr>
        <w:pStyle w:val="NormalHanging12a"/>
        <w:rPr>
          <w:noProof/>
        </w:rPr>
      </w:pPr>
      <w:r w:rsidRPr="0041740E">
        <w:rPr>
          <w:noProof/>
        </w:rPr>
        <w:t>4.</w:t>
      </w:r>
      <w:r w:rsidRPr="0041740E">
        <w:rPr>
          <w:noProof/>
        </w:rPr>
        <w:tab/>
        <w:t xml:space="preserve">Takes note that Valmet Automotive has struggled to adapt to market changes and has had to gradually reduce its personnel since the early 2020’s; takes note that after the end of its last contract the factory no longer had any orders, forcing it to new staff reductions resulting in the dismissal of 235 workers and the temporary lay-off of 860 workers; regrets that the recent lay-offs and redundancies at Valmet led to an increase of the unemployment rate in Länsi-Suomi by nearly 15% from 2024 to 2025 reaching 12,3% in December 2025 with long-term unemployment reaching its highest level in history, up 39% from 2024; </w:t>
      </w:r>
      <w:r w:rsidRPr="0041740E">
        <w:rPr>
          <w:bCs/>
          <w:iCs/>
        </w:rPr>
        <w:t>highlights the need to prevent structural regional decline and to create high-quality, future-oriented jobs in order to strengthen long-term economic and social resilience; stresses the need for policies that foster sustainable industrial transition ensuring competitiveness, territorial, social and economic cohesion and regional development;</w:t>
      </w:r>
    </w:p>
    <w:p w:rsidR="000B0BD5" w:rsidRPr="0041740E" w:rsidP="000B0BD5" w14:paraId="3AEE74E9" w14:textId="77777777">
      <w:pPr>
        <w:pStyle w:val="NormalHanging12a"/>
        <w:rPr>
          <w:noProof/>
        </w:rPr>
      </w:pPr>
      <w:r w:rsidRPr="0041740E">
        <w:rPr>
          <w:noProof/>
        </w:rPr>
        <w:t>5.</w:t>
      </w:r>
      <w:r w:rsidRPr="0041740E">
        <w:rPr>
          <w:noProof/>
        </w:rPr>
        <w:tab/>
        <w:t>Takes note that 95% of the displaced workers have an educational attainment of post-secondary level or lower, with 27,5% being aged over 54; emphasizes that unemployment risk strongly correlates with age and education level, meaning that the most of the beneficiaries face greater barriers to re-entering the labour market; calls on the Finnish authorities to take measures to address social disparities and structural barriers leading to exclusion of work force, such as low level of education and age; welcomes that Valmet Automotive has signed a multi-year agreement covering the manufacturing of armoured vehicles potentially allowing for the re-hiring of a considerable portion of its displaced workers while hopefully others could also find employment in the maritime industry in the city of Turku in the future;</w:t>
      </w:r>
      <w:r w:rsidRPr="0041740E">
        <w:rPr>
          <w:bCs/>
          <w:iCs/>
        </w:rPr>
        <w:t xml:space="preserve"> underlines the need to provide specific support tailored to the needs and profiles of workers with lower levels of education;</w:t>
      </w:r>
    </w:p>
    <w:p w:rsidR="000B0BD5" w:rsidRPr="0041740E" w:rsidP="000B0BD5" w14:paraId="6907E064" w14:textId="77777777">
      <w:pPr>
        <w:pStyle w:val="NormalHanging12a"/>
        <w:rPr>
          <w:noProof/>
        </w:rPr>
      </w:pPr>
      <w:r w:rsidRPr="0041740E">
        <w:rPr>
          <w:noProof/>
        </w:rPr>
        <w:t>6.</w:t>
      </w:r>
      <w:r w:rsidRPr="0041740E">
        <w:rPr>
          <w:noProof/>
        </w:rPr>
        <w:tab/>
        <w:t>Recalls that, in consultation with experts and in agreement with social partners, personalised services to be provided to the displaced workers consist of the following measures: job-seeking training; job and career coaching; vocational training; occupational safety and competence cards; language training; start-up grants; incentives and allowances;</w:t>
      </w:r>
      <w:r w:rsidRPr="0041740E">
        <w:rPr>
          <w:bCs/>
          <w:iCs/>
        </w:rPr>
        <w:t xml:space="preserve"> stresses that trade union representatives should be involved throughout the entire implementation of the EGF measures, including the monitoring and evaluation phase, to ensure the quality and relevance of the support offered to beneficiaries; highlights the importance of ensuring that training and requalification measures respond to concrete labour market needs, facilitate the rapid reintegration of displaced workers and prevent long-term unemployment including for older workers;</w:t>
      </w:r>
    </w:p>
    <w:p w:rsidR="000B0BD5" w:rsidRPr="0041740E" w:rsidP="000B0BD5" w14:paraId="6E383CAF" w14:textId="77777777">
      <w:pPr>
        <w:pStyle w:val="NormalHanging12a"/>
        <w:rPr>
          <w:bCs/>
          <w:iCs/>
          <w:noProof/>
        </w:rPr>
      </w:pPr>
      <w:r w:rsidRPr="0041740E">
        <w:rPr>
          <w:noProof/>
        </w:rPr>
        <w:t>7.</w:t>
      </w:r>
      <w:r w:rsidRPr="0041740E">
        <w:rPr>
          <w:noProof/>
        </w:rPr>
        <w:tab/>
      </w:r>
      <w:r w:rsidRPr="0041740E">
        <w:rPr>
          <w:bCs/>
          <w:iCs/>
          <w:noProof/>
        </w:rPr>
        <w:t xml:space="preserve">Stresses that the Finnish authorities shall ensure the visibility of the Union funding and highlight its added value by providing effective, clear, timely and targeted information to </w:t>
      </w:r>
      <w:r w:rsidRPr="0041740E">
        <w:rPr>
          <w:noProof/>
        </w:rPr>
        <w:t>beneficiaries, regional and local authorities, social partners, and the wider public</w:t>
      </w:r>
      <w:r w:rsidRPr="0041740E">
        <w:rPr>
          <w:bCs/>
          <w:iCs/>
          <w:noProof/>
        </w:rPr>
        <w:t>;</w:t>
      </w:r>
      <w:r w:rsidRPr="0041740E">
        <w:rPr>
          <w:bCs/>
          <w:iCs/>
        </w:rPr>
        <w:t xml:space="preserve"> underlines that the EGF is a concrete expression of European solidarity and just transition demonstrating that the European Union stands with workers and communities affected by major economic and structural change; stresses that communicating the tangible benefits of EGF support is essential to strengthening citizens’ confidence in the European project and in the Union’s capacity to protect workers during economic transitions;</w:t>
      </w:r>
    </w:p>
    <w:p w:rsidR="000B0BD5" w:rsidRPr="0041740E" w:rsidP="000B0BD5" w14:paraId="7E7CF60A" w14:textId="77777777">
      <w:pPr>
        <w:pStyle w:val="NormalHanging12a"/>
        <w:rPr>
          <w:noProof/>
        </w:rPr>
      </w:pPr>
      <w:r w:rsidRPr="0041740E">
        <w:rPr>
          <w:noProof/>
        </w:rPr>
        <w:t>8.</w:t>
      </w:r>
      <w:r w:rsidRPr="0041740E">
        <w:rPr>
          <w:noProof/>
        </w:rPr>
        <w:tab/>
        <w:t xml:space="preserve">Calls for thorough final evaluations of the measures implemented, including clear information on how the funds have been used, on the success of the reintegrating of workers into the labour market, and whether the measures have achieved the objectives for which the EGF was created; </w:t>
      </w:r>
      <w:r w:rsidRPr="0041740E">
        <w:t>stresses the need to have the tools for evaluating the effectiveness of the measures financed including as regards their capacity to ensure that EGF funding effectively contributes to the rapid and sustainable reintegration of beneficiaries into quality employment;</w:t>
      </w:r>
    </w:p>
    <w:p w:rsidR="000B0BD5" w:rsidRPr="0041740E" w:rsidP="000B0BD5" w14:paraId="1AF7D033" w14:textId="77777777">
      <w:pPr>
        <w:pStyle w:val="NormalHanging12a"/>
        <w:rPr>
          <w:noProof/>
        </w:rPr>
      </w:pPr>
      <w:r w:rsidRPr="0041740E">
        <w:rPr>
          <w:noProof/>
        </w:rPr>
        <w:t>9.</w:t>
      </w:r>
      <w:r w:rsidRPr="0041740E">
        <w:rPr>
          <w:noProof/>
        </w:rPr>
        <w:tab/>
        <w:t>Notes that Finland started providing personalised services to the targeted beneficiaries and incurring administrative expenditure to implement the EGF on 23 March 2026, and that the period of eligibility for a financial contribution from the EGF will therefore be from that date until 24 months and until 31 months after the date of the entry into force of the financing decision, respectively;</w:t>
      </w:r>
    </w:p>
    <w:p w:rsidR="000B0BD5" w:rsidRPr="0041740E" w:rsidP="000B0BD5" w14:paraId="2FFB0407" w14:textId="77777777">
      <w:pPr>
        <w:pStyle w:val="NormalHanging12a"/>
        <w:rPr>
          <w:noProof/>
        </w:rPr>
      </w:pPr>
      <w:r w:rsidRPr="0041740E">
        <w:rPr>
          <w:noProof/>
        </w:rPr>
        <w:t>10.</w:t>
      </w:r>
      <w:r w:rsidRPr="0041740E">
        <w:rPr>
          <w:noProof/>
        </w:rPr>
        <w:tab/>
        <w:t>Notes that the Finnish authorities provided assurance that the principles of equality of treatment and non-discrimination will be respected in the access to the proposed actions and their implementation, and that any double financing will be prevented;</w:t>
      </w:r>
    </w:p>
    <w:p w:rsidR="000B0BD5" w:rsidRPr="0041740E" w:rsidP="000B0BD5" w14:paraId="4BD64FAB" w14:textId="77777777">
      <w:pPr>
        <w:pStyle w:val="NormalHanging12a"/>
        <w:rPr>
          <w:noProof/>
        </w:rPr>
      </w:pPr>
      <w:r w:rsidRPr="0041740E">
        <w:rPr>
          <w:noProof/>
        </w:rPr>
        <w:t>11.</w:t>
      </w:r>
      <w:r w:rsidRPr="0041740E">
        <w:rPr>
          <w:noProof/>
        </w:rPr>
        <w:tab/>
        <w:t>Reiterates that assistance from the EGF must not replace actions that are the responsibility of public authorities or companies under national law or collective agreements; recalls that the EGF is a limited, targeted and complementary mechanism;</w:t>
      </w:r>
      <w:r w:rsidRPr="0041740E">
        <w:rPr>
          <w:bCs/>
          <w:iCs/>
        </w:rPr>
        <w:t xml:space="preserve"> emphasises the importance of fostering high-quality, future-oriented jobs to ensure long-term economic and social resilience; considers therefore that the mobilisation of the EGF needs to be embedded in a larger policy response on all political levels to ensure that the workers affected find adequate opportunities in line with their qualifications and skills;</w:t>
      </w:r>
    </w:p>
    <w:p w:rsidR="000B0BD5" w:rsidRPr="0041740E" w:rsidP="000B0BD5" w14:paraId="77BB25C4" w14:textId="5EE2F0E9">
      <w:pPr>
        <w:pStyle w:val="NormalHanging12a"/>
        <w:rPr>
          <w:noProof/>
        </w:rPr>
      </w:pPr>
      <w:r w:rsidRPr="0041740E">
        <w:rPr>
          <w:noProof/>
        </w:rPr>
        <w:t>12.</w:t>
      </w:r>
      <w:r w:rsidRPr="0041740E">
        <w:rPr>
          <w:noProof/>
        </w:rPr>
        <w:tab/>
      </w:r>
      <w:r w:rsidRPr="0041740E">
        <w:t>Underlines that the European automotive industry is of strategic importance to the Union’s industrial base and provides employment to millions of workers across Member States; stresses that the European response to the transformation of the sector should combine competitiveness and industrial investment with strong social protection and just transition; calls on the Commission to ensure that existing and future Union instruments are used in a targeted and complementary manner to support workers affected by restructuring, reskilling and transitions across the automotive value chain;</w:t>
      </w:r>
    </w:p>
    <w:p w:rsidR="000B0BD5" w:rsidRPr="0041740E" w:rsidP="000B0BD5" w14:paraId="61A4B774" w14:textId="77777777">
      <w:pPr>
        <w:pStyle w:val="NormalHanging12a"/>
        <w:rPr>
          <w:noProof/>
        </w:rPr>
      </w:pPr>
      <w:r w:rsidRPr="0041740E">
        <w:rPr>
          <w:noProof/>
        </w:rPr>
        <w:t>13.</w:t>
      </w:r>
      <w:r w:rsidRPr="0041740E">
        <w:rPr>
          <w:noProof/>
        </w:rPr>
        <w:tab/>
        <w:t>Approves the decision annexed to this resolution;</w:t>
      </w:r>
    </w:p>
    <w:p w:rsidR="000B0BD5" w:rsidRPr="0041740E" w:rsidP="000B0BD5" w14:paraId="071EC2AC" w14:textId="77777777">
      <w:pPr>
        <w:pStyle w:val="NormalHanging12a"/>
        <w:rPr>
          <w:noProof/>
        </w:rPr>
      </w:pPr>
      <w:r w:rsidRPr="0041740E">
        <w:rPr>
          <w:noProof/>
        </w:rPr>
        <w:t>14.</w:t>
      </w:r>
      <w:r w:rsidRPr="0041740E">
        <w:rPr>
          <w:noProof/>
        </w:rPr>
        <w:tab/>
        <w:t xml:space="preserve">Instructs its President to sign the decision with the President of the Council and arrange for its publication in the </w:t>
      </w:r>
      <w:r w:rsidRPr="0041740E">
        <w:rPr>
          <w:i/>
          <w:noProof/>
        </w:rPr>
        <w:t>Official Journal of the European Union</w:t>
      </w:r>
      <w:r w:rsidRPr="0041740E">
        <w:rPr>
          <w:noProof/>
        </w:rPr>
        <w:t>;</w:t>
      </w:r>
    </w:p>
    <w:p w:rsidR="000B0BD5" w:rsidRPr="0041740E" w:rsidP="000B0BD5" w14:paraId="421EF8AE" w14:textId="77777777">
      <w:pPr>
        <w:pStyle w:val="NormalHanging12a"/>
        <w:rPr>
          <w:noProof/>
        </w:rPr>
      </w:pPr>
      <w:r w:rsidRPr="0041740E">
        <w:rPr>
          <w:noProof/>
        </w:rPr>
        <w:t>15.</w:t>
      </w:r>
      <w:r w:rsidRPr="0041740E">
        <w:rPr>
          <w:noProof/>
        </w:rPr>
        <w:tab/>
        <w:t>Instructs its President to forward this resolution, including its annex, to the Council and the Commission.</w:t>
      </w:r>
    </w:p>
    <w:p w:rsidR="000B0BD5" w:rsidRPr="0041740E" w:rsidP="000B0BD5" w14:paraId="39370DE4" w14:textId="77777777">
      <w:pPr>
        <w:pStyle w:val="PageHeading"/>
        <w:jc w:val="left"/>
        <w:rPr>
          <w:noProof/>
        </w:rPr>
        <w:sectPr w:rsidSect="004B5885">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pPr>
    </w:p>
    <w:p w:rsidR="000B0BD5" w:rsidRPr="0041740E" w:rsidP="000B0BD5" w14:paraId="101CC623" w14:textId="77777777">
      <w:pPr>
        <w:pStyle w:val="PageHeading"/>
        <w:rPr>
          <w:noProof/>
        </w:rPr>
      </w:pPr>
      <w:bookmarkStart w:id="7" w:name="_Toc241592527"/>
      <w:r w:rsidRPr="0041740E">
        <w:rPr>
          <w:noProof/>
        </w:rPr>
        <w:t>ANNEX: DECISION OF THE EUROPEAN PARLIAMENT AND OF THE COUNCIL</w:t>
      </w:r>
      <w:bookmarkEnd w:id="7"/>
    </w:p>
    <w:p w:rsidR="000B0BD5" w:rsidRPr="0041740E" w:rsidP="000B0BD5" w14:paraId="3AE9EC2E" w14:textId="77777777">
      <w:pPr>
        <w:pStyle w:val="NormalBold24a"/>
      </w:pPr>
      <w:r w:rsidRPr="0041740E">
        <w:t>on the mobilisation of the European Globalisation Adjustment Fund for Displaced Workers following an application from Finland – EGF/2026/003 FI/Valmet Automotive</w:t>
      </w:r>
    </w:p>
    <w:p w:rsidR="000B0BD5" w:rsidRPr="0041740E" w:rsidP="000B0BD5" w14:paraId="3B1674C8" w14:textId="77777777">
      <w:pPr>
        <w:pStyle w:val="NormalHanging12a"/>
        <w:jc w:val="both"/>
      </w:pPr>
      <w:r w:rsidRPr="0041740E">
        <w:t>THE EUROPEAN PARLIAMENT AND THE COUNCIL OF THE EUROPEAN UNION,</w:t>
      </w:r>
    </w:p>
    <w:p w:rsidR="000B0BD5" w:rsidRPr="0041740E" w:rsidP="000B0BD5" w14:paraId="678AEEDA" w14:textId="77777777">
      <w:pPr>
        <w:pStyle w:val="NormalHanging12a"/>
        <w:jc w:val="both"/>
      </w:pPr>
      <w:r w:rsidRPr="0041740E">
        <w:t>Having regard to the Treaty on the Functioning of the European Union,</w:t>
      </w:r>
    </w:p>
    <w:p w:rsidR="000B0BD5" w:rsidRPr="0041740E" w:rsidP="000B0BD5" w14:paraId="57FA0500" w14:textId="77777777">
      <w:pPr>
        <w:pStyle w:val="NormalHanging12a"/>
        <w:ind w:left="0" w:firstLine="0"/>
        <w:jc w:val="both"/>
      </w:pPr>
      <w:r w:rsidRPr="0041740E">
        <w:t>Having regard to Regulation (EU) 2021/691 of the European Parliament and of the Council of 28 April 2021 on the European Globalisation Adjustment Fund for Displaced Workers (EGF) and repealing Regulation (EU) No 1309/2013</w:t>
      </w:r>
      <w:r>
        <w:rPr>
          <w:vertAlign w:val="superscript"/>
        </w:rPr>
        <w:footnoteReference w:id="9"/>
      </w:r>
      <w:r w:rsidRPr="0041740E">
        <w:t xml:space="preserve">, and </w:t>
      </w:r>
      <w:r w:rsidRPr="0041740E">
        <w:t>in particular Article</w:t>
      </w:r>
      <w:r w:rsidRPr="0041740E">
        <w:t xml:space="preserve"> 15(1), first subparagraph, thereof,</w:t>
      </w:r>
    </w:p>
    <w:p w:rsidR="000B0BD5" w:rsidRPr="0041740E" w:rsidP="000B0BD5" w14:paraId="2D9EA8BE" w14:textId="77777777">
      <w:pPr>
        <w:pStyle w:val="NormalHanging12a"/>
        <w:ind w:left="0" w:firstLine="0"/>
        <w:jc w:val="both"/>
      </w:pPr>
      <w:r w:rsidRPr="0041740E">
        <w:t>Having regard to the Interinstitutional Agreement of 16 December 2020 between the European Parliament, the Council of the European Union and the European Commission on budgetary discipline, on cooperation in budgetary matters and on sound financial management, as well as on new own resources, including a roadmap towards the introduction of new own resources</w:t>
      </w:r>
      <w:r>
        <w:rPr>
          <w:vertAlign w:val="superscript"/>
        </w:rPr>
        <w:footnoteReference w:id="10"/>
      </w:r>
      <w:r w:rsidRPr="0041740E">
        <w:t>, and in particular point 9 thereof,</w:t>
      </w:r>
    </w:p>
    <w:p w:rsidR="000B0BD5" w:rsidRPr="0041740E" w:rsidP="000B0BD5" w14:paraId="3ABC4F66" w14:textId="77777777">
      <w:pPr>
        <w:pStyle w:val="NormalHanging12a"/>
        <w:jc w:val="both"/>
      </w:pPr>
      <w:r w:rsidRPr="0041740E">
        <w:t>Having regard to the proposal from the European Commission,</w:t>
      </w:r>
    </w:p>
    <w:p w:rsidR="000B0BD5" w:rsidRPr="0041740E" w:rsidP="000B0BD5" w14:paraId="653ED5BE" w14:textId="77777777">
      <w:pPr>
        <w:pStyle w:val="NormalHanging12a"/>
        <w:jc w:val="both"/>
      </w:pPr>
      <w:r w:rsidRPr="0041740E">
        <w:t>Whereas:</w:t>
      </w:r>
    </w:p>
    <w:p w:rsidR="000B0BD5" w:rsidRPr="0041740E" w:rsidP="000B0BD5" w14:paraId="369AC41F" w14:textId="77777777">
      <w:pPr>
        <w:pStyle w:val="NormalHanging12a"/>
        <w:jc w:val="both"/>
      </w:pPr>
      <w:r w:rsidRPr="0041740E">
        <w:t xml:space="preserve">(1) </w:t>
      </w:r>
      <w:r w:rsidRPr="0041740E">
        <w:tab/>
        <w:t>The European Globalisation Adjustment Fund for Displaced Workers (EGF) aims to demonstrate solidarity and promote decent and sustainable employment in the Union by providing support for workers made redundant and self-employed persons whose activity has ceased in the case of major restructuring events and assisting them in returning to decent and sustainable employment as soon as possible.</w:t>
      </w:r>
    </w:p>
    <w:p w:rsidR="000B0BD5" w:rsidRPr="0041740E" w:rsidP="000B0BD5" w14:paraId="6A62BAE4" w14:textId="5815E1CA">
      <w:pPr>
        <w:pStyle w:val="NormalHanging12a"/>
        <w:jc w:val="both"/>
      </w:pPr>
      <w:r w:rsidRPr="0041740E">
        <w:t>(2)</w:t>
      </w:r>
      <w:r w:rsidRPr="0041740E">
        <w:tab/>
        <w:t>The EGF is not to exceed a maximum annual amount of EUR 30 million (in 2018 prices), as laid down in Article 8 of Council Regulation (EU, Euratom) 2020/2093</w:t>
      </w:r>
      <w:r>
        <w:rPr>
          <w:i/>
          <w:vertAlign w:val="superscript"/>
        </w:rPr>
        <w:footnoteReference w:id="11"/>
      </w:r>
      <w:r w:rsidRPr="0041740E" w:rsidR="00290247">
        <w:t>,</w:t>
      </w:r>
      <w:r w:rsidRPr="0041740E">
        <w:rPr>
          <w:vertAlign w:val="superscript"/>
        </w:rPr>
        <w:t xml:space="preserve"> </w:t>
      </w:r>
      <w:r w:rsidRPr="0041740E">
        <w:t>amended by Council Regulation (EU, Euratom) 2024/765</w:t>
      </w:r>
      <w:r>
        <w:rPr>
          <w:i/>
          <w:vertAlign w:val="superscript"/>
        </w:rPr>
        <w:footnoteReference w:id="12"/>
      </w:r>
      <w:r w:rsidRPr="0041740E">
        <w:t>, and Article 16 of Regulation (EU) 2021/691.</w:t>
      </w:r>
    </w:p>
    <w:p w:rsidR="000B0BD5" w:rsidRPr="0041740E" w:rsidP="000B0BD5" w14:paraId="68A8B0AA" w14:textId="77777777">
      <w:pPr>
        <w:pStyle w:val="NormalHanging12a"/>
        <w:jc w:val="both"/>
      </w:pPr>
      <w:r w:rsidRPr="0041740E">
        <w:t>(3)</w:t>
      </w:r>
      <w:r w:rsidRPr="0041740E">
        <w:tab/>
        <w:t xml:space="preserve">On 5 May 2026, Finland submitted an application to mobilise the EGF in accordance with Article 8(1) of Regulation (EU) 2021/691, in respect of workers’ displacements in Valmet Automotive and 5 sub-contractors and suppliers in Finland. It was supplemented by additional information provided in accordance with Article 8(5) of Regulation (EU) </w:t>
      </w:r>
      <w:r w:rsidRPr="0041740E">
        <w:t>2021/691. That application is considered to comply with the conditions for providing a financial contribution from the EGF as laid down in Article 13 of Regulation (EU) 2021/691, on the basis of the assessment made by the Commission in the Proposal for a mobilisation decision of the European Parliament and of the Council</w:t>
      </w:r>
      <w:r>
        <w:rPr>
          <w:vertAlign w:val="superscript"/>
        </w:rPr>
        <w:footnoteReference w:id="13"/>
      </w:r>
      <w:r w:rsidRPr="0041740E">
        <w:t>.</w:t>
      </w:r>
    </w:p>
    <w:p w:rsidR="000B0BD5" w:rsidRPr="0041740E" w:rsidP="000B0BD5" w14:paraId="2A8E62EB" w14:textId="33063023">
      <w:pPr>
        <w:pStyle w:val="NormalHanging12a"/>
        <w:jc w:val="both"/>
      </w:pPr>
      <w:r w:rsidRPr="0041740E">
        <w:t>(4)</w:t>
      </w:r>
      <w:r w:rsidRPr="0041740E">
        <w:tab/>
        <w:t>The EGF should, therefore, be mobilised to provide a financial contribution of EUR 410 310 in respect of the application submitted by Finland.</w:t>
      </w:r>
    </w:p>
    <w:p w:rsidR="000B0BD5" w:rsidRPr="0041740E" w:rsidP="000B0BD5" w14:paraId="3375A032" w14:textId="77777777">
      <w:pPr>
        <w:pStyle w:val="NormalHanging12a"/>
        <w:jc w:val="both"/>
      </w:pPr>
      <w:r w:rsidRPr="0041740E">
        <w:t>(5)</w:t>
      </w:r>
      <w:r w:rsidRPr="0041740E">
        <w:tab/>
        <w:t>In order to minimise the time taken to mobilise the EGF, this Decision should apply from the date of its adoption,</w:t>
      </w:r>
    </w:p>
    <w:p w:rsidR="000B0BD5" w:rsidRPr="0041740E" w:rsidP="000B0BD5" w14:paraId="428F7B4D" w14:textId="77777777">
      <w:pPr>
        <w:pStyle w:val="NormalHanging12a"/>
      </w:pPr>
    </w:p>
    <w:p w:rsidR="000B0BD5" w:rsidRPr="0041740E" w:rsidP="000B0BD5" w14:paraId="157A0A59" w14:textId="77777777">
      <w:pPr>
        <w:pStyle w:val="NormalHanging12a"/>
      </w:pPr>
      <w:r w:rsidRPr="0041740E">
        <w:t>HAVE ADOPTED THIS DECISION:</w:t>
      </w:r>
    </w:p>
    <w:p w:rsidR="000B0BD5" w:rsidRPr="0041740E" w:rsidP="000B0BD5" w14:paraId="05EBB5DA" w14:textId="77777777">
      <w:pPr>
        <w:pStyle w:val="NormalHanging12a"/>
        <w:jc w:val="center"/>
        <w:rPr>
          <w:i/>
          <w:iCs/>
        </w:rPr>
      </w:pPr>
      <w:r w:rsidRPr="0041740E">
        <w:rPr>
          <w:i/>
          <w:iCs/>
        </w:rPr>
        <w:t>Article 1</w:t>
      </w:r>
    </w:p>
    <w:p w:rsidR="000B0BD5" w:rsidRPr="0041740E" w:rsidP="000B0BD5" w14:paraId="3EAC248B" w14:textId="77777777">
      <w:pPr>
        <w:pStyle w:val="NormalHanging12a"/>
        <w:ind w:left="0" w:firstLine="0"/>
      </w:pPr>
      <w:r w:rsidRPr="0041740E">
        <w:t>For the general budget of the Union for the financial year 2026, the European Globalisation Adjustment Fund for Displaced Workers shall be mobilised to provide the amount of EUR 410 310 in commitment and payment appropriations.</w:t>
      </w:r>
    </w:p>
    <w:p w:rsidR="000B0BD5" w:rsidRPr="0041740E" w:rsidP="000B0BD5" w14:paraId="6D02B2BF" w14:textId="77777777">
      <w:pPr>
        <w:pStyle w:val="NormalHanging12a"/>
        <w:jc w:val="center"/>
        <w:rPr>
          <w:i/>
          <w:iCs/>
        </w:rPr>
      </w:pPr>
      <w:r w:rsidRPr="0041740E">
        <w:rPr>
          <w:i/>
          <w:iCs/>
        </w:rPr>
        <w:t>Article 2</w:t>
      </w:r>
    </w:p>
    <w:p w:rsidR="000B0BD5" w:rsidRPr="0041740E" w:rsidP="000B0BD5" w14:paraId="1B9049D1" w14:textId="31D15E2D">
      <w:pPr>
        <w:pStyle w:val="NormalHanging12a"/>
        <w:ind w:left="0" w:firstLine="0"/>
      </w:pPr>
      <w:r w:rsidRPr="0041740E">
        <w:t xml:space="preserve">This Decision shall enter into force on the day of its publication in the </w:t>
      </w:r>
      <w:r w:rsidRPr="0041740E">
        <w:rPr>
          <w:i/>
          <w:iCs/>
        </w:rPr>
        <w:t>Official Journal of the European Union</w:t>
      </w:r>
      <w:r w:rsidRPr="0041740E">
        <w:t xml:space="preserve">. It shall apply from </w:t>
      </w:r>
      <w:r w:rsidRPr="0041740E">
        <w:rPr>
          <w:i/>
          <w:iCs/>
        </w:rPr>
        <w:t>[the date of its adoption]</w:t>
      </w:r>
      <w:r>
        <w:rPr>
          <w:rStyle w:val="FootnoteReference"/>
          <w:i/>
          <w:iCs/>
        </w:rPr>
        <w:footnoteReference w:customMarkFollows="1" w:id="14"/>
        <w:t xml:space="preserve">*</w:t>
      </w:r>
      <w:r w:rsidRPr="0041740E">
        <w:rPr>
          <w:i/>
          <w:iCs/>
        </w:rPr>
        <w:t xml:space="preserve"> .</w:t>
      </w:r>
    </w:p>
    <w:p w:rsidR="000B0BD5" w:rsidRPr="0041740E" w:rsidP="000B0BD5" w14:paraId="096C974B" w14:textId="77777777">
      <w:pPr>
        <w:pStyle w:val="NormalHanging12a"/>
      </w:pPr>
      <w:r w:rsidRPr="0041740E">
        <w:t>Done at Brussels,</w:t>
      </w:r>
    </w:p>
    <w:p w:rsidR="000B0BD5" w:rsidRPr="0041740E" w:rsidP="000B0BD5" w14:paraId="25F4CCD9" w14:textId="77777777">
      <w:pPr>
        <w:pStyle w:val="NormalHanging12a"/>
      </w:pPr>
    </w:p>
    <w:p w:rsidR="000B0BD5" w:rsidRPr="0041740E" w:rsidP="000B0BD5" w14:paraId="3B6367F1" w14:textId="77777777">
      <w:pPr>
        <w:pStyle w:val="NormalHanging12a"/>
        <w:rPr>
          <w:i/>
        </w:rPr>
      </w:pPr>
      <w:r w:rsidRPr="0041740E">
        <w:rPr>
          <w:i/>
        </w:rPr>
        <w:t>For the European Parliament</w:t>
      </w:r>
      <w:r w:rsidRPr="0041740E">
        <w:rPr>
          <w:i/>
        </w:rPr>
        <w:tab/>
      </w:r>
      <w:r w:rsidRPr="0041740E">
        <w:rPr>
          <w:i/>
        </w:rPr>
        <w:tab/>
      </w:r>
      <w:r w:rsidRPr="0041740E">
        <w:rPr>
          <w:i/>
        </w:rPr>
        <w:tab/>
      </w:r>
      <w:r w:rsidRPr="0041740E">
        <w:rPr>
          <w:i/>
        </w:rPr>
        <w:t>For</w:t>
      </w:r>
      <w:r w:rsidRPr="0041740E">
        <w:rPr>
          <w:i/>
        </w:rPr>
        <w:t xml:space="preserve"> the Council</w:t>
      </w:r>
    </w:p>
    <w:p w:rsidR="004B5885" w:rsidRPr="004B5885" w:rsidP="004B5885" w14:paraId="6F974A7C" w14:textId="65C090CD">
      <w:pPr>
        <w:pStyle w:val="NormalHanging12a"/>
      </w:pPr>
      <w:r w:rsidRPr="0041740E">
        <w:rPr>
          <w:i/>
        </w:rPr>
        <w:t>The President</w:t>
      </w:r>
      <w:r w:rsidRPr="0041740E">
        <w:rPr>
          <w:i/>
        </w:rPr>
        <w:tab/>
      </w:r>
      <w:r w:rsidRPr="0041740E">
        <w:rPr>
          <w:i/>
        </w:rPr>
        <w:tab/>
      </w:r>
      <w:r w:rsidRPr="0041740E">
        <w:rPr>
          <w:i/>
        </w:rPr>
        <w:tab/>
      </w:r>
      <w:r w:rsidRPr="0041740E">
        <w:rPr>
          <w:i/>
        </w:rPr>
        <w:tab/>
      </w:r>
      <w:r w:rsidRPr="0041740E">
        <w:rPr>
          <w:i/>
        </w:rPr>
        <w:tab/>
      </w:r>
      <w:r w:rsidRPr="0041740E">
        <w:rPr>
          <w:i/>
        </w:rPr>
        <w:t>The</w:t>
      </w:r>
      <w:r w:rsidRPr="0041740E">
        <w:rPr>
          <w:i/>
        </w:rPr>
        <w:t xml:space="preserve"> President</w:t>
      </w:r>
    </w:p>
    <w:p w:rsidR="00E365E1" w:rsidRPr="004B5885" w:rsidP="00E402D2" w14:paraId="69AE814F" w14:textId="3F920D32"/>
    <w:sectPr w:rsidSect="004B5885">
      <w:headerReference w:type="even" r:id="rId13"/>
      <w:headerReference w:type="default" r:id="rId14"/>
      <w:footerReference w:type="even" r:id="rId15"/>
      <w:foot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B5885" w:rsidRPr="004B5885" w14:paraId="6262478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B5885" w:rsidRPr="004B5885" w14:paraId="044C940A"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B5885" w:rsidRPr="004B5885" w14:paraId="3786EF26"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B5885" w14:paraId="6076478A" w14:textId="77777777"/>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B5885" w14:paraId="7DDA50C4" w14:textId="77777777"/>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B5885" w14:paraId="771697BA"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546321" w:rsidRPr="004B5885" w14:paraId="32A33058" w14:textId="77777777">
      <w:r w:rsidRPr="004B5885">
        <w:separator/>
      </w:r>
    </w:p>
  </w:footnote>
  <w:footnote w:type="continuationSeparator" w:id="1">
    <w:p w:rsidR="00546321" w:rsidRPr="004B5885" w14:paraId="5A321248" w14:textId="77777777">
      <w:r w:rsidRPr="004B5885">
        <w:continuationSeparator/>
      </w:r>
    </w:p>
  </w:footnote>
  <w:footnote w:id="2">
    <w:p w:rsidR="000B0BD5" w:rsidRPr="0041740E" w:rsidP="004B5885" w14:paraId="2A32AE58" w14:textId="5B48296E">
      <w:pPr>
        <w:pStyle w:val="FootnoteText"/>
        <w:ind w:left="567" w:hanging="567"/>
        <w:rPr>
          <w:sz w:val="24"/>
          <w:lang w:val="fi-FI"/>
        </w:rPr>
      </w:pPr>
      <w:r w:rsidRPr="0041740E">
        <w:rPr>
          <w:rStyle w:val="FootnoteReference"/>
          <w:sz w:val="24"/>
          <w:lang w:val="en-GB"/>
        </w:rPr>
        <w:footnoteRef/>
      </w:r>
      <w:r w:rsidRPr="0041740E" w:rsidR="004B5885">
        <w:rPr>
          <w:sz w:val="24"/>
          <w:lang w:val="fi-FI"/>
        </w:rPr>
        <w:t xml:space="preserve"> </w:t>
      </w:r>
      <w:r w:rsidRPr="0041740E" w:rsidR="004B5885">
        <w:rPr>
          <w:sz w:val="24"/>
          <w:lang w:val="fi-FI"/>
        </w:rPr>
        <w:tab/>
      </w:r>
      <w:r w:rsidRPr="0041740E">
        <w:rPr>
          <w:sz w:val="24"/>
          <w:lang w:val="fi-FI"/>
        </w:rPr>
        <w:t xml:space="preserve">OJ L 153, 3.5.2021, p. 48, ELI: </w:t>
      </w:r>
      <w:hyperlink r:id="rId1" w:history="1">
        <w:r w:rsidRPr="0041740E">
          <w:rPr>
            <w:rStyle w:val="Hyperlink"/>
            <w:sz w:val="24"/>
            <w:lang w:val="fi-FI"/>
          </w:rPr>
          <w:t>http://data.europa.eu/eli/reg/2021/691/oj</w:t>
        </w:r>
      </w:hyperlink>
      <w:r w:rsidRPr="0041740E">
        <w:rPr>
          <w:sz w:val="24"/>
          <w:lang w:val="fi-FI"/>
        </w:rPr>
        <w:t>.</w:t>
      </w:r>
    </w:p>
  </w:footnote>
  <w:footnote w:id="3">
    <w:p w:rsidR="000B0BD5" w:rsidRPr="0041740E" w:rsidP="004B5885" w14:paraId="755736BD" w14:textId="5B91D749">
      <w:pPr>
        <w:pStyle w:val="FootnoteText"/>
        <w:ind w:left="567" w:hanging="567"/>
        <w:rPr>
          <w:sz w:val="24"/>
          <w:lang w:val="fi-FI"/>
        </w:rPr>
      </w:pPr>
      <w:r w:rsidRPr="0041740E">
        <w:rPr>
          <w:rStyle w:val="FootnoteReference"/>
          <w:sz w:val="24"/>
          <w:lang w:val="en-GB"/>
        </w:rPr>
        <w:footnoteRef/>
      </w:r>
      <w:r w:rsidRPr="0041740E" w:rsidR="004B5885">
        <w:rPr>
          <w:sz w:val="24"/>
          <w:lang w:val="fi-FI"/>
        </w:rPr>
        <w:t xml:space="preserve"> </w:t>
      </w:r>
      <w:r w:rsidRPr="0041740E" w:rsidR="004B5885">
        <w:rPr>
          <w:sz w:val="24"/>
          <w:lang w:val="fi-FI"/>
        </w:rPr>
        <w:tab/>
      </w:r>
      <w:r w:rsidRPr="0041740E">
        <w:rPr>
          <w:sz w:val="24"/>
          <w:lang w:val="fi-FI"/>
        </w:rPr>
        <w:t xml:space="preserve">OJ L, 2026/1139, 20.5.2026, ELI: </w:t>
      </w:r>
      <w:hyperlink r:id="rId2" w:history="1">
        <w:r w:rsidRPr="0041740E">
          <w:rPr>
            <w:rStyle w:val="Hyperlink"/>
            <w:sz w:val="24"/>
            <w:lang w:val="fi-FI"/>
          </w:rPr>
          <w:t>http://data.europa.eu/eli/reg/2026/1139/oj</w:t>
        </w:r>
      </w:hyperlink>
      <w:r w:rsidRPr="0041740E">
        <w:rPr>
          <w:sz w:val="24"/>
          <w:lang w:val="fi-FI"/>
        </w:rPr>
        <w:t>.</w:t>
      </w:r>
    </w:p>
  </w:footnote>
  <w:footnote w:id="4">
    <w:p w:rsidR="000B0BD5" w:rsidRPr="0041740E" w:rsidP="004B5885" w14:paraId="2DDBE985" w14:textId="771FB343">
      <w:pPr>
        <w:pStyle w:val="FootnoteText"/>
        <w:ind w:left="567" w:hanging="567"/>
        <w:rPr>
          <w:sz w:val="24"/>
          <w:lang w:val="fi-FI"/>
        </w:rPr>
      </w:pPr>
      <w:r w:rsidRPr="0041740E">
        <w:rPr>
          <w:rStyle w:val="FootnoteReference"/>
          <w:sz w:val="24"/>
          <w:lang w:val="en-GB"/>
        </w:rPr>
        <w:footnoteRef/>
      </w:r>
      <w:r w:rsidRPr="0041740E" w:rsidR="004B5885">
        <w:rPr>
          <w:sz w:val="24"/>
          <w:lang w:val="fi-FI"/>
        </w:rPr>
        <w:t xml:space="preserve"> </w:t>
      </w:r>
      <w:r w:rsidRPr="0041740E" w:rsidR="004B5885">
        <w:rPr>
          <w:sz w:val="24"/>
          <w:lang w:val="fi-FI"/>
        </w:rPr>
        <w:tab/>
      </w:r>
      <w:r w:rsidRPr="0041740E">
        <w:rPr>
          <w:sz w:val="24"/>
          <w:lang w:val="fi-FI"/>
        </w:rPr>
        <w:t xml:space="preserve">OJ L 433 I, 22.12.2020, p. 11, ELI: </w:t>
      </w:r>
      <w:hyperlink r:id="rId3" w:history="1">
        <w:r w:rsidRPr="0041740E">
          <w:rPr>
            <w:rStyle w:val="Hyperlink"/>
            <w:sz w:val="24"/>
            <w:lang w:val="fi-FI"/>
          </w:rPr>
          <w:t>http://data.europa.eu/eli/reg/2020/2093/oj</w:t>
        </w:r>
      </w:hyperlink>
      <w:r w:rsidRPr="0041740E">
        <w:rPr>
          <w:sz w:val="24"/>
          <w:lang w:val="fi-FI"/>
        </w:rPr>
        <w:t>.</w:t>
      </w:r>
    </w:p>
  </w:footnote>
  <w:footnote w:id="5">
    <w:p w:rsidR="000B0BD5" w:rsidRPr="0041740E" w:rsidP="004B5885" w14:paraId="689A6CB4" w14:textId="565DBD67">
      <w:pPr>
        <w:pStyle w:val="FootnoteText"/>
        <w:ind w:left="567" w:hanging="567"/>
        <w:rPr>
          <w:sz w:val="24"/>
          <w:lang w:val="fi-FI"/>
        </w:rPr>
      </w:pPr>
      <w:r w:rsidRPr="0041740E">
        <w:rPr>
          <w:rStyle w:val="FootnoteReference"/>
          <w:sz w:val="24"/>
          <w:lang w:val="en-GB"/>
        </w:rPr>
        <w:footnoteRef/>
      </w:r>
      <w:r w:rsidRPr="0041740E" w:rsidR="004B5885">
        <w:rPr>
          <w:bCs/>
          <w:sz w:val="24"/>
          <w:shd w:val="clear" w:color="auto" w:fill="FFFFFF"/>
          <w:lang w:val="fi-FI"/>
        </w:rPr>
        <w:t xml:space="preserve"> </w:t>
      </w:r>
      <w:r w:rsidRPr="0041740E" w:rsidR="004B5885">
        <w:rPr>
          <w:bCs/>
          <w:sz w:val="24"/>
          <w:shd w:val="clear" w:color="auto" w:fill="FFFFFF"/>
          <w:lang w:val="fi-FI"/>
        </w:rPr>
        <w:tab/>
      </w:r>
      <w:r w:rsidRPr="0041740E">
        <w:rPr>
          <w:bCs/>
          <w:sz w:val="24"/>
          <w:shd w:val="clear" w:color="auto" w:fill="FFFFFF"/>
          <w:lang w:val="fi-FI"/>
        </w:rPr>
        <w:t xml:space="preserve">OJ L, 2024/765, 29.2.2024, </w:t>
      </w:r>
      <w:r w:rsidRPr="0041740E">
        <w:rPr>
          <w:bCs/>
          <w:iCs/>
          <w:sz w:val="24"/>
          <w:shd w:val="clear" w:color="auto" w:fill="FFFFFF"/>
          <w:lang w:val="fi-FI"/>
        </w:rPr>
        <w:t>ELI:</w:t>
      </w:r>
      <w:r w:rsidRPr="0041740E">
        <w:rPr>
          <w:bCs/>
          <w:iCs/>
          <w:color w:val="333333"/>
          <w:sz w:val="24"/>
          <w:shd w:val="clear" w:color="auto" w:fill="FFFFFF"/>
          <w:lang w:val="fi-FI"/>
        </w:rPr>
        <w:t xml:space="preserve"> </w:t>
      </w:r>
      <w:hyperlink r:id="rId4" w:history="1">
        <w:r w:rsidRPr="0041740E">
          <w:rPr>
            <w:rStyle w:val="Hyperlink"/>
            <w:bCs/>
            <w:iCs/>
            <w:sz w:val="24"/>
            <w:shd w:val="clear" w:color="auto" w:fill="FFFFFF"/>
            <w:lang w:val="fi-FI"/>
          </w:rPr>
          <w:t>http://data.europa.eu/eli/reg/2024/765/oj</w:t>
        </w:r>
      </w:hyperlink>
      <w:r w:rsidRPr="0041740E">
        <w:rPr>
          <w:bCs/>
          <w:i/>
          <w:iCs/>
          <w:color w:val="333333"/>
          <w:sz w:val="24"/>
          <w:shd w:val="clear" w:color="auto" w:fill="FFFFFF"/>
          <w:lang w:val="fi-FI"/>
        </w:rPr>
        <w:t>.</w:t>
      </w:r>
    </w:p>
  </w:footnote>
  <w:footnote w:id="6">
    <w:p w:rsidR="000B0BD5" w:rsidRPr="0041740E" w:rsidP="004B5885" w14:paraId="074929FC" w14:textId="2F6C731B">
      <w:pPr>
        <w:pStyle w:val="FootnoteText"/>
        <w:ind w:left="567" w:hanging="567"/>
        <w:rPr>
          <w:sz w:val="24"/>
          <w:lang w:val="en-GB"/>
        </w:rPr>
      </w:pPr>
      <w:r w:rsidRPr="0041740E">
        <w:rPr>
          <w:rStyle w:val="FootnoteReference"/>
          <w:sz w:val="24"/>
          <w:lang w:val="en-GB"/>
        </w:rPr>
        <w:footnoteRef/>
      </w:r>
      <w:r w:rsidRPr="0041740E" w:rsidR="004B5885">
        <w:rPr>
          <w:sz w:val="24"/>
          <w:lang w:val="en-GB"/>
        </w:rPr>
        <w:t xml:space="preserve"> </w:t>
      </w:r>
      <w:r w:rsidRPr="0041740E" w:rsidR="004B5885">
        <w:rPr>
          <w:sz w:val="24"/>
          <w:lang w:val="en-GB"/>
        </w:rPr>
        <w:tab/>
      </w:r>
      <w:r w:rsidRPr="0041740E">
        <w:rPr>
          <w:sz w:val="24"/>
          <w:lang w:val="en-GB"/>
        </w:rPr>
        <w:t xml:space="preserve">OJ L 433 I, 22.12.2020, p. 28, ELI: </w:t>
      </w:r>
      <w:hyperlink r:id="rId5" w:history="1">
        <w:r w:rsidRPr="0041740E">
          <w:rPr>
            <w:rStyle w:val="Hyperlink"/>
            <w:sz w:val="24"/>
            <w:lang w:val="en-GB"/>
          </w:rPr>
          <w:t>http://data.europa.eu/eli/agree_interinstit/2020/1222/oj</w:t>
        </w:r>
      </w:hyperlink>
      <w:r w:rsidRPr="0041740E">
        <w:rPr>
          <w:sz w:val="24"/>
          <w:lang w:val="en-GB"/>
        </w:rPr>
        <w:t>.</w:t>
      </w:r>
    </w:p>
  </w:footnote>
  <w:footnote w:id="7">
    <w:p w:rsidR="000B0BD5" w:rsidRPr="0041740E" w:rsidP="004B5885" w14:paraId="1CDC4DF0" w14:textId="09D8EA90">
      <w:pPr>
        <w:pStyle w:val="FootnoteText"/>
        <w:ind w:left="567" w:hanging="567"/>
        <w:rPr>
          <w:sz w:val="24"/>
          <w:lang w:val="en-GB"/>
        </w:rPr>
      </w:pPr>
      <w:r w:rsidRPr="0041740E">
        <w:rPr>
          <w:rStyle w:val="FootnoteReference"/>
          <w:sz w:val="24"/>
          <w:lang w:val="en-GB"/>
        </w:rPr>
        <w:footnoteRef/>
      </w:r>
      <w:r w:rsidRPr="0041740E" w:rsidR="004B5885">
        <w:rPr>
          <w:sz w:val="24"/>
          <w:lang w:val="en-GB"/>
        </w:rPr>
        <w:t xml:space="preserve"> </w:t>
      </w:r>
      <w:r w:rsidRPr="0041740E" w:rsidR="004B5885">
        <w:rPr>
          <w:sz w:val="24"/>
          <w:lang w:val="en-GB"/>
        </w:rPr>
        <w:tab/>
      </w:r>
      <w:r w:rsidRPr="0041740E">
        <w:rPr>
          <w:sz w:val="24"/>
          <w:lang w:val="en-GB"/>
        </w:rPr>
        <w:t>Within the meaning of Article 3 of the EGF Regulation.</w:t>
      </w:r>
    </w:p>
  </w:footnote>
  <w:footnote w:id="8">
    <w:p w:rsidR="000B0BD5" w:rsidRPr="0041740E" w:rsidP="004B5885" w14:paraId="4AA6BC2A" w14:textId="01ADEDE8">
      <w:pPr>
        <w:pStyle w:val="FootnoteText"/>
        <w:ind w:left="567" w:hanging="567"/>
        <w:rPr>
          <w:sz w:val="24"/>
          <w:lang w:val="en-GB"/>
        </w:rPr>
      </w:pPr>
      <w:r w:rsidRPr="0041740E">
        <w:rPr>
          <w:rStyle w:val="FootnoteReference"/>
          <w:sz w:val="24"/>
          <w:lang w:val="en-GB"/>
        </w:rPr>
        <w:footnoteRef/>
      </w:r>
      <w:r w:rsidRPr="0041740E" w:rsidR="004B5885">
        <w:rPr>
          <w:sz w:val="24"/>
          <w:lang w:val="en-GB"/>
        </w:rPr>
        <w:t xml:space="preserve"> </w:t>
      </w:r>
      <w:r w:rsidRPr="0041740E" w:rsidR="004B5885">
        <w:rPr>
          <w:sz w:val="24"/>
          <w:lang w:val="en-GB"/>
        </w:rPr>
        <w:tab/>
      </w:r>
      <w:r w:rsidRPr="0041740E">
        <w:rPr>
          <w:sz w:val="24"/>
          <w:lang w:val="en-GB"/>
        </w:rPr>
        <w:t>Article 8 of the MFF Regulation.</w:t>
      </w:r>
    </w:p>
  </w:footnote>
  <w:footnote w:id="9">
    <w:p w:rsidR="000B0BD5" w:rsidRPr="0041740E" w:rsidP="004B5885" w14:paraId="798D7823" w14:textId="12864092">
      <w:pPr>
        <w:pStyle w:val="FootnoteText"/>
        <w:ind w:left="567" w:hanging="567"/>
        <w:rPr>
          <w:sz w:val="24"/>
          <w:lang w:val="fi-FI"/>
        </w:rPr>
      </w:pPr>
      <w:r w:rsidRPr="0041740E">
        <w:rPr>
          <w:rStyle w:val="FootnoteReference"/>
          <w:sz w:val="24"/>
          <w:lang w:val="en-GB"/>
        </w:rPr>
        <w:footnoteRef/>
      </w:r>
      <w:r w:rsidRPr="0041740E" w:rsidR="004B5885">
        <w:rPr>
          <w:sz w:val="24"/>
          <w:lang w:val="fi-FI"/>
        </w:rPr>
        <w:t xml:space="preserve"> </w:t>
      </w:r>
      <w:r w:rsidRPr="0041740E" w:rsidR="004B5885">
        <w:rPr>
          <w:sz w:val="24"/>
          <w:lang w:val="fi-FI"/>
        </w:rPr>
        <w:tab/>
      </w:r>
      <w:r w:rsidRPr="0041740E">
        <w:rPr>
          <w:sz w:val="24"/>
          <w:lang w:val="fi-FI"/>
        </w:rPr>
        <w:t>OJ L 153, 3.5.2021, p. 48, ELI: http://data.europa.eu/eli/reg/2021/691/oj.</w:t>
      </w:r>
    </w:p>
  </w:footnote>
  <w:footnote w:id="10">
    <w:p w:rsidR="000B0BD5" w:rsidRPr="0041740E" w:rsidP="004B5885" w14:paraId="4346D199" w14:textId="00BDA840">
      <w:pPr>
        <w:pStyle w:val="FootnoteText"/>
        <w:ind w:left="567" w:hanging="567"/>
        <w:rPr>
          <w:sz w:val="24"/>
          <w:lang w:val="en-GB"/>
        </w:rPr>
      </w:pPr>
      <w:r w:rsidRPr="0041740E">
        <w:rPr>
          <w:rStyle w:val="FootnoteReference"/>
          <w:sz w:val="24"/>
          <w:lang w:val="en-GB"/>
        </w:rPr>
        <w:footnoteRef/>
      </w:r>
      <w:r w:rsidRPr="0041740E" w:rsidR="004B5885">
        <w:rPr>
          <w:sz w:val="24"/>
          <w:lang w:val="en-GB"/>
        </w:rPr>
        <w:t xml:space="preserve"> </w:t>
      </w:r>
      <w:r w:rsidRPr="0041740E" w:rsidR="004B5885">
        <w:rPr>
          <w:sz w:val="24"/>
          <w:lang w:val="en-GB"/>
        </w:rPr>
        <w:tab/>
      </w:r>
      <w:r w:rsidRPr="0041740E">
        <w:rPr>
          <w:sz w:val="24"/>
          <w:lang w:val="en-GB"/>
        </w:rPr>
        <w:t>OJ L 433 I, 22.12.2020, p. 28, ELI: http://data.europa.eu/eli/agree_interinstit/2020/1222/oj.</w:t>
      </w:r>
    </w:p>
  </w:footnote>
  <w:footnote w:id="11">
    <w:p w:rsidR="000B0BD5" w:rsidRPr="0041740E" w:rsidP="004B5885" w14:paraId="0EE3B03A" w14:textId="33315B1D">
      <w:pPr>
        <w:pStyle w:val="FootnoteText"/>
        <w:ind w:left="567" w:hanging="567"/>
        <w:rPr>
          <w:sz w:val="24"/>
          <w:lang w:val="en-GB"/>
        </w:rPr>
      </w:pPr>
      <w:r w:rsidRPr="0041740E">
        <w:rPr>
          <w:rStyle w:val="FootnoteReference"/>
          <w:sz w:val="24"/>
          <w:lang w:val="en-GB"/>
        </w:rPr>
        <w:footnoteRef/>
      </w:r>
      <w:r w:rsidRPr="0041740E" w:rsidR="004B5885">
        <w:rPr>
          <w:sz w:val="24"/>
          <w:lang w:val="en-GB"/>
        </w:rPr>
        <w:t xml:space="preserve"> </w:t>
      </w:r>
      <w:r w:rsidRPr="0041740E" w:rsidR="004B5885">
        <w:rPr>
          <w:sz w:val="24"/>
          <w:lang w:val="en-GB"/>
        </w:rPr>
        <w:tab/>
      </w:r>
      <w:r w:rsidRPr="0041740E">
        <w:rPr>
          <w:sz w:val="24"/>
          <w:lang w:val="en-GB"/>
        </w:rPr>
        <w:t>Council Regulation (EU, Euratom) 2020/2093 of 17 December 2020 laying down the multiannual financial framework for the years 2021 to 2027 (OJ L 433 I, 22.12.2020, p. 11, ELI: </w:t>
      </w:r>
      <w:hyperlink r:id="rId3" w:tooltip="Gives access to this document through its ELI URI." w:history="1">
        <w:r w:rsidRPr="0041740E">
          <w:rPr>
            <w:rStyle w:val="Hyperlink"/>
            <w:sz w:val="24"/>
            <w:lang w:val="en-GB"/>
          </w:rPr>
          <w:t>http://data.europa.eu/eli/reg/2020/2093/oj</w:t>
        </w:r>
      </w:hyperlink>
      <w:r w:rsidRPr="0041740E">
        <w:rPr>
          <w:sz w:val="24"/>
          <w:lang w:val="en-GB"/>
        </w:rPr>
        <w:t>).</w:t>
      </w:r>
    </w:p>
  </w:footnote>
  <w:footnote w:id="12">
    <w:p w:rsidR="000B0BD5" w:rsidRPr="0041740E" w:rsidP="004B5885" w14:paraId="4FEC6C26" w14:textId="05BFB597">
      <w:pPr>
        <w:pStyle w:val="FootnoteText"/>
        <w:ind w:left="567" w:hanging="567"/>
        <w:rPr>
          <w:sz w:val="24"/>
          <w:lang w:val="en-GB"/>
        </w:rPr>
      </w:pPr>
      <w:r w:rsidRPr="0041740E">
        <w:rPr>
          <w:rStyle w:val="FootnoteReference"/>
          <w:sz w:val="24"/>
          <w:lang w:val="en-GB"/>
        </w:rPr>
        <w:footnoteRef/>
      </w:r>
      <w:r w:rsidRPr="0041740E" w:rsidR="004B5885">
        <w:rPr>
          <w:sz w:val="24"/>
          <w:lang w:val="en-GB"/>
        </w:rPr>
        <w:t xml:space="preserve"> </w:t>
      </w:r>
      <w:r w:rsidRPr="0041740E" w:rsidR="004B5885">
        <w:rPr>
          <w:sz w:val="24"/>
          <w:lang w:val="en-GB"/>
        </w:rPr>
        <w:tab/>
      </w:r>
      <w:r w:rsidRPr="0041740E">
        <w:rPr>
          <w:sz w:val="24"/>
          <w:lang w:val="en-GB"/>
        </w:rPr>
        <w:t xml:space="preserve">Council Regulation (EU, Euratom) 2024/765 of 29 February 2024 amending Regulation (EU, Euratom) 2020/2093 laying down the multiannual financial framework for the years 2021 to 2027 (OJ L, 2024/765, 29.2.2024, ELI: </w:t>
      </w:r>
      <w:hyperlink r:id="rId4" w:history="1">
        <w:r w:rsidRPr="0041740E">
          <w:rPr>
            <w:rStyle w:val="Hyperlink"/>
            <w:sz w:val="24"/>
            <w:lang w:val="en-GB"/>
          </w:rPr>
          <w:t>http://data.europa.eu/eli/reg/2024/765/oj</w:t>
        </w:r>
      </w:hyperlink>
      <w:r w:rsidRPr="0041740E">
        <w:rPr>
          <w:sz w:val="24"/>
          <w:lang w:val="en-GB"/>
        </w:rPr>
        <w:t>).</w:t>
      </w:r>
    </w:p>
  </w:footnote>
  <w:footnote w:id="13">
    <w:p w:rsidR="000B0BD5" w:rsidRPr="0041740E" w:rsidP="004B5885" w14:paraId="3BFDC7CB" w14:textId="49F97D3B">
      <w:pPr>
        <w:pStyle w:val="FootnoteText"/>
        <w:ind w:left="567" w:hanging="567"/>
        <w:rPr>
          <w:sz w:val="24"/>
          <w:vertAlign w:val="superscript"/>
          <w:lang w:val="en-GB"/>
        </w:rPr>
      </w:pPr>
      <w:r w:rsidRPr="0041740E">
        <w:rPr>
          <w:rStyle w:val="FootnoteReference"/>
          <w:sz w:val="24"/>
          <w:lang w:val="en-GB"/>
        </w:rPr>
        <w:footnoteRef/>
      </w:r>
      <w:r w:rsidRPr="0041740E" w:rsidR="004B5885">
        <w:rPr>
          <w:sz w:val="24"/>
          <w:lang w:val="en-GB"/>
        </w:rPr>
        <w:t xml:space="preserve"> </w:t>
      </w:r>
      <w:r w:rsidRPr="0041740E" w:rsidR="004B5885">
        <w:rPr>
          <w:sz w:val="24"/>
          <w:lang w:val="en-GB"/>
        </w:rPr>
        <w:tab/>
      </w:r>
      <w:r w:rsidRPr="0041740E">
        <w:rPr>
          <w:sz w:val="24"/>
          <w:lang w:val="en-GB"/>
        </w:rPr>
        <w:t>COM(</w:t>
      </w:r>
      <w:r w:rsidRPr="0041740E">
        <w:rPr>
          <w:sz w:val="24"/>
          <w:lang w:val="en-GB"/>
        </w:rPr>
        <w:t>2026) 400.</w:t>
      </w:r>
    </w:p>
    <w:p w:rsidR="000B0BD5" w:rsidRPr="0041740E" w:rsidP="004B5885" w14:paraId="11E6965C" w14:textId="0F716EB5">
      <w:pPr>
        <w:pStyle w:val="FootnoteText"/>
        <w:ind w:left="567" w:hanging="567"/>
        <w:rPr>
          <w:sz w:val="24"/>
          <w:lang w:val="en-GB"/>
        </w:rPr>
      </w:pPr>
      <w:r w:rsidRPr="0041740E">
        <w:rPr>
          <w:sz w:val="24"/>
          <w:lang w:val="en-GB"/>
        </w:rPr>
        <w:t xml:space="preserve"> </w:t>
      </w:r>
    </w:p>
  </w:footnote>
  <w:footnote w:id="14">
    <w:p w:rsidR="00E72892" w:rsidRPr="0041740E" w14:paraId="48169F3E" w14:textId="478FF756">
      <w:pPr>
        <w:pStyle w:val="FootnoteText"/>
        <w:rPr>
          <w:lang w:val="en-GB"/>
        </w:rPr>
      </w:pPr>
      <w:r w:rsidRPr="0041740E">
        <w:rPr>
          <w:rStyle w:val="FootnoteReference"/>
          <w:lang w:val="en-GB"/>
        </w:rPr>
        <w:t>*</w:t>
      </w:r>
      <w:r w:rsidRPr="0041740E">
        <w:rPr>
          <w:lang w:val="en-GB"/>
        </w:rPr>
        <w:t xml:space="preserve"> </w:t>
      </w:r>
      <w:r w:rsidRPr="0041740E">
        <w:rPr>
          <w:lang w:val="hr-HR"/>
        </w:rPr>
        <w:tab/>
        <w:t xml:space="preserve">* </w:t>
      </w:r>
      <w:r w:rsidRPr="0041740E">
        <w:rPr>
          <w:lang w:val="en-GB"/>
        </w:rPr>
        <w:t>Date to be inserted by the Parliament before the publication in OJ.</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B5885" w:rsidRPr="004B5885" w14:paraId="7932A994"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B5885" w:rsidRPr="004B5885" w14:paraId="52D4ACA3"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B5885" w:rsidRPr="004B5885" w14:paraId="602FBED8"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B5885" w14:paraId="78D7B0A3" w14:textId="77777777"/>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B5885" w14:paraId="723B5A10" w14:textId="77777777"/>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B5885" w14:paraId="6F3F2F88"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81443923">
    <w:abstractNumId w:val="9"/>
  </w:num>
  <w:num w:numId="2" w16cid:durableId="995843488">
    <w:abstractNumId w:val="9"/>
  </w:num>
  <w:num w:numId="3" w16cid:durableId="1149711341">
    <w:abstractNumId w:val="7"/>
  </w:num>
  <w:num w:numId="4" w16cid:durableId="1825123207">
    <w:abstractNumId w:val="7"/>
  </w:num>
  <w:num w:numId="5" w16cid:durableId="1116831628">
    <w:abstractNumId w:val="6"/>
  </w:num>
  <w:num w:numId="6" w16cid:durableId="985669937">
    <w:abstractNumId w:val="6"/>
  </w:num>
  <w:num w:numId="7" w16cid:durableId="486822001">
    <w:abstractNumId w:val="5"/>
  </w:num>
  <w:num w:numId="8" w16cid:durableId="2003704344">
    <w:abstractNumId w:val="5"/>
  </w:num>
  <w:num w:numId="9" w16cid:durableId="604338653">
    <w:abstractNumId w:val="4"/>
  </w:num>
  <w:num w:numId="10" w16cid:durableId="867371408">
    <w:abstractNumId w:val="4"/>
  </w:num>
  <w:num w:numId="11" w16cid:durableId="1395547504">
    <w:abstractNumId w:val="8"/>
  </w:num>
  <w:num w:numId="12" w16cid:durableId="707603460">
    <w:abstractNumId w:val="8"/>
  </w:num>
  <w:num w:numId="13" w16cid:durableId="1142817828">
    <w:abstractNumId w:val="3"/>
  </w:num>
  <w:num w:numId="14" w16cid:durableId="1983846957">
    <w:abstractNumId w:val="3"/>
  </w:num>
  <w:num w:numId="15" w16cid:durableId="1720393064">
    <w:abstractNumId w:val="2"/>
  </w:num>
  <w:num w:numId="16" w16cid:durableId="739132771">
    <w:abstractNumId w:val="2"/>
  </w:num>
  <w:num w:numId="17" w16cid:durableId="21514954">
    <w:abstractNumId w:val="1"/>
  </w:num>
  <w:num w:numId="18" w16cid:durableId="52506181">
    <w:abstractNumId w:val="1"/>
  </w:num>
  <w:num w:numId="19" w16cid:durableId="1264260082">
    <w:abstractNumId w:val="0"/>
  </w:num>
  <w:num w:numId="20" w16cid:durableId="691540829">
    <w:abstractNumId w:val="0"/>
  </w:num>
  <w:num w:numId="21" w16cid:durableId="1532525825">
    <w:abstractNumId w:val="9"/>
  </w:num>
  <w:num w:numId="22" w16cid:durableId="1792239071">
    <w:abstractNumId w:val="7"/>
  </w:num>
  <w:num w:numId="23" w16cid:durableId="761268307">
    <w:abstractNumId w:val="6"/>
  </w:num>
  <w:num w:numId="24" w16cid:durableId="538052398">
    <w:abstractNumId w:val="5"/>
  </w:num>
  <w:num w:numId="25" w16cid:durableId="1776366868">
    <w:abstractNumId w:val="4"/>
  </w:num>
  <w:num w:numId="26" w16cid:durableId="2008361792">
    <w:abstractNumId w:val="8"/>
  </w:num>
  <w:num w:numId="27" w16cid:durableId="1666006490">
    <w:abstractNumId w:val="3"/>
  </w:num>
  <w:num w:numId="28" w16cid:durableId="1636909688">
    <w:abstractNumId w:val="2"/>
  </w:num>
  <w:num w:numId="29" w16cid:durableId="1547449246">
    <w:abstractNumId w:val="1"/>
  </w:num>
  <w:num w:numId="30" w16cid:durableId="1054428826">
    <w:abstractNumId w:val="0"/>
  </w:num>
  <w:num w:numId="31" w16cid:durableId="1192184911">
    <w:abstractNumId w:val="9"/>
  </w:num>
  <w:num w:numId="32" w16cid:durableId="1424572257">
    <w:abstractNumId w:val="7"/>
  </w:num>
  <w:num w:numId="33" w16cid:durableId="1898738441">
    <w:abstractNumId w:val="6"/>
  </w:num>
  <w:num w:numId="34" w16cid:durableId="1060403693">
    <w:abstractNumId w:val="5"/>
  </w:num>
  <w:num w:numId="35" w16cid:durableId="1472746006">
    <w:abstractNumId w:val="4"/>
  </w:num>
  <w:num w:numId="36" w16cid:durableId="634289704">
    <w:abstractNumId w:val="8"/>
  </w:num>
  <w:num w:numId="37" w16cid:durableId="512037346">
    <w:abstractNumId w:val="3"/>
  </w:num>
  <w:num w:numId="38" w16cid:durableId="315652645">
    <w:abstractNumId w:val="2"/>
  </w:num>
  <w:num w:numId="39" w16cid:durableId="241187579">
    <w:abstractNumId w:val="1"/>
  </w:num>
  <w:num w:numId="40" w16cid:durableId="2010595256">
    <w:abstractNumId w:val="0"/>
  </w:num>
  <w:num w:numId="41" w16cid:durableId="1478646484">
    <w:abstractNumId w:val="10"/>
  </w:num>
  <w:num w:numId="42" w16cid:durableId="356472312">
    <w:abstractNumId w:val="10"/>
  </w:num>
  <w:num w:numId="43" w16cid:durableId="323440934">
    <w:abstractNumId w:val="10"/>
  </w:num>
  <w:num w:numId="44" w16cid:durableId="18740320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02D2"/>
    <w:rsid w:val="00002272"/>
    <w:rsid w:val="000046D8"/>
    <w:rsid w:val="00064002"/>
    <w:rsid w:val="000677B9"/>
    <w:rsid w:val="000831BA"/>
    <w:rsid w:val="000A42CC"/>
    <w:rsid w:val="000B0BD5"/>
    <w:rsid w:val="000E220D"/>
    <w:rsid w:val="000E4768"/>
    <w:rsid w:val="000E7DD9"/>
    <w:rsid w:val="0010095E"/>
    <w:rsid w:val="00125B37"/>
    <w:rsid w:val="00187494"/>
    <w:rsid w:val="001B1794"/>
    <w:rsid w:val="001F32AE"/>
    <w:rsid w:val="0022549A"/>
    <w:rsid w:val="002767FF"/>
    <w:rsid w:val="00290247"/>
    <w:rsid w:val="002B18FE"/>
    <w:rsid w:val="002B5493"/>
    <w:rsid w:val="002E38CE"/>
    <w:rsid w:val="00343214"/>
    <w:rsid w:val="00361C00"/>
    <w:rsid w:val="00395FA1"/>
    <w:rsid w:val="003E15D4"/>
    <w:rsid w:val="00411CCE"/>
    <w:rsid w:val="0041666E"/>
    <w:rsid w:val="0041740E"/>
    <w:rsid w:val="00421060"/>
    <w:rsid w:val="00471C19"/>
    <w:rsid w:val="004867E3"/>
    <w:rsid w:val="00494A28"/>
    <w:rsid w:val="004B5885"/>
    <w:rsid w:val="004C0004"/>
    <w:rsid w:val="004C5D52"/>
    <w:rsid w:val="0050519A"/>
    <w:rsid w:val="005072A1"/>
    <w:rsid w:val="00514517"/>
    <w:rsid w:val="00545827"/>
    <w:rsid w:val="00546321"/>
    <w:rsid w:val="00560270"/>
    <w:rsid w:val="005C2568"/>
    <w:rsid w:val="005F1B17"/>
    <w:rsid w:val="006037C0"/>
    <w:rsid w:val="006631B6"/>
    <w:rsid w:val="00667C8B"/>
    <w:rsid w:val="00680577"/>
    <w:rsid w:val="006F232D"/>
    <w:rsid w:val="006F74FA"/>
    <w:rsid w:val="00731ADD"/>
    <w:rsid w:val="00734777"/>
    <w:rsid w:val="00747932"/>
    <w:rsid w:val="00751A4A"/>
    <w:rsid w:val="00756632"/>
    <w:rsid w:val="00762C74"/>
    <w:rsid w:val="00786EC0"/>
    <w:rsid w:val="007945DE"/>
    <w:rsid w:val="007D1690"/>
    <w:rsid w:val="007E22AD"/>
    <w:rsid w:val="00817416"/>
    <w:rsid w:val="00842779"/>
    <w:rsid w:val="00865F67"/>
    <w:rsid w:val="00881A7B"/>
    <w:rsid w:val="008840E5"/>
    <w:rsid w:val="00887B3E"/>
    <w:rsid w:val="008C2AC6"/>
    <w:rsid w:val="008F0981"/>
    <w:rsid w:val="00927FCD"/>
    <w:rsid w:val="00930C23"/>
    <w:rsid w:val="0093193B"/>
    <w:rsid w:val="009509D8"/>
    <w:rsid w:val="00950B64"/>
    <w:rsid w:val="009530F7"/>
    <w:rsid w:val="00981893"/>
    <w:rsid w:val="00A1687D"/>
    <w:rsid w:val="00A43E52"/>
    <w:rsid w:val="00A4678D"/>
    <w:rsid w:val="00A647A1"/>
    <w:rsid w:val="00A778C7"/>
    <w:rsid w:val="00AB441E"/>
    <w:rsid w:val="00AB6293"/>
    <w:rsid w:val="00AE0928"/>
    <w:rsid w:val="00AE292E"/>
    <w:rsid w:val="00AF3B82"/>
    <w:rsid w:val="00B12E95"/>
    <w:rsid w:val="00B22876"/>
    <w:rsid w:val="00B558F0"/>
    <w:rsid w:val="00BD48FE"/>
    <w:rsid w:val="00BD6C0B"/>
    <w:rsid w:val="00BD7BD8"/>
    <w:rsid w:val="00BE6ADC"/>
    <w:rsid w:val="00C05BFE"/>
    <w:rsid w:val="00C23CD4"/>
    <w:rsid w:val="00C61C0C"/>
    <w:rsid w:val="00C941CB"/>
    <w:rsid w:val="00CC0016"/>
    <w:rsid w:val="00CC2357"/>
    <w:rsid w:val="00CF071A"/>
    <w:rsid w:val="00D058B8"/>
    <w:rsid w:val="00D56C11"/>
    <w:rsid w:val="00D834A0"/>
    <w:rsid w:val="00D872DF"/>
    <w:rsid w:val="00D91E21"/>
    <w:rsid w:val="00DA7FCD"/>
    <w:rsid w:val="00E365E1"/>
    <w:rsid w:val="00E402D2"/>
    <w:rsid w:val="00E72892"/>
    <w:rsid w:val="00E820A4"/>
    <w:rsid w:val="00EA2A06"/>
    <w:rsid w:val="00EB006A"/>
    <w:rsid w:val="00EB4772"/>
    <w:rsid w:val="00ED169E"/>
    <w:rsid w:val="00ED4235"/>
    <w:rsid w:val="00F01711"/>
    <w:rsid w:val="00F04346"/>
    <w:rsid w:val="00F075DC"/>
    <w:rsid w:val="00F149E9"/>
    <w:rsid w:val="00F5134D"/>
    <w:rsid w:val="00F74202"/>
    <w:rsid w:val="00F87713"/>
    <w:rsid w:val="00FB4360"/>
    <w:rsid w:val="00FD0C70"/>
  </w:rsids>
  <w:docVars>
    <w:docVar w:name="dvdocse" w:val="A10-0243/2026"/>
    <w:docVar w:name="dvlangue" w:val="EN"/>
    <w:docVar w:name="dvnumam" w:val="0"/>
    <w:docVar w:name="dvpe" w:val="792.011"/>
    <w:docVar w:name="dvrapporteur" w:val="Rapporteur: "/>
    <w:docVar w:name="dvtitre" w:val="European Parliament resolution of xx Xxxx 2026 on the proposal for a decision of the European Parliament and of the Council on the mobilisation of the European Globalisation Adjustment Fund for Displaced Workers following an application from Finland – EGF/2026/003 FI/Valmet Automotive(COM(2026)0400 – C10-0199/2026 – 2026/0220(BUD))"/>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70DF7802"/>
  <w15:chartTrackingRefBased/>
  <w15:docId w15:val="{CA24E97C-05EC-4C65-B838-9EB943C9E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16 Point,Superscript 6 Point,Footnote Reference Number,Footnote Reference_LVL6,Footnote Reference_LVL61,Footnote Reference_LVL62,Footnote Reference_LVL63"/>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PageHeading">
    <w:name w:val="PageHeading"/>
    <w:basedOn w:val="Normal"/>
    <w:link w:val="PageHeadingChar"/>
    <w:rsid w:val="000B0BD5"/>
    <w:pPr>
      <w:keepNext/>
      <w:spacing w:after="480"/>
      <w:jc w:val="center"/>
    </w:pPr>
    <w:rPr>
      <w:rFonts w:ascii="Arial" w:hAnsi="Arial" w:cs="Arial"/>
      <w:b/>
    </w:rPr>
  </w:style>
  <w:style w:type="paragraph" w:customStyle="1" w:styleId="NormalHanging12a">
    <w:name w:val="NormalHanging12a"/>
    <w:basedOn w:val="Normal"/>
    <w:link w:val="NormalHanging12aChar"/>
    <w:rsid w:val="000B0BD5"/>
    <w:pPr>
      <w:spacing w:after="240"/>
      <w:ind w:left="567" w:hanging="567"/>
    </w:pPr>
  </w:style>
  <w:style w:type="paragraph" w:customStyle="1" w:styleId="NormalBold24a">
    <w:name w:val="NormalBold24a"/>
    <w:basedOn w:val="Normal"/>
    <w:rsid w:val="000B0BD5"/>
    <w:pPr>
      <w:spacing w:after="480"/>
    </w:pPr>
    <w:rPr>
      <w:b/>
      <w:bCs/>
    </w:rPr>
  </w:style>
  <w:style w:type="paragraph" w:customStyle="1" w:styleId="EPComma">
    <w:name w:val="EPComma"/>
    <w:basedOn w:val="Normal"/>
    <w:rsid w:val="000B0BD5"/>
    <w:pPr>
      <w:spacing w:before="480" w:after="240"/>
    </w:pPr>
  </w:style>
  <w:style w:type="character" w:styleId="Hyperlink">
    <w:name w:val="Hyperlink"/>
    <w:basedOn w:val="DefaultParagraphFont"/>
    <w:rsid w:val="000B0BD5"/>
    <w:rPr>
      <w:color w:val="0563C1" w:themeColor="hyperlink"/>
      <w:u w:val="single"/>
    </w:rPr>
  </w:style>
  <w:style w:type="character" w:customStyle="1" w:styleId="NormalHanging12aChar">
    <w:name w:val="NormalHanging12a Char"/>
    <w:basedOn w:val="DefaultParagraphFont"/>
    <w:link w:val="NormalHanging12a"/>
    <w:locked/>
    <w:rsid w:val="000B0BD5"/>
    <w:rPr>
      <w:sz w:val="24"/>
    </w:rPr>
  </w:style>
  <w:style w:type="character" w:customStyle="1" w:styleId="PageHeadingChar">
    <w:name w:val="PageHeading Char"/>
    <w:basedOn w:val="DefaultParagraphFont"/>
    <w:link w:val="PageHeading"/>
    <w:rsid w:val="000B0BD5"/>
    <w:rPr>
      <w:rFonts w:ascii="Arial" w:hAnsi="Arial" w:cs="Arial"/>
      <w:b/>
      <w:sz w:val="24"/>
    </w:rPr>
  </w:style>
  <w:style w:type="paragraph" w:styleId="Header">
    <w:name w:val="header"/>
    <w:basedOn w:val="Normal"/>
    <w:link w:val="HeaderChar"/>
    <w:rsid w:val="004B5885"/>
    <w:pPr>
      <w:tabs>
        <w:tab w:val="center" w:pos="4513"/>
        <w:tab w:val="right" w:pos="9026"/>
      </w:tabs>
    </w:pPr>
  </w:style>
  <w:style w:type="character" w:customStyle="1" w:styleId="HeaderChar">
    <w:name w:val="Header Char"/>
    <w:basedOn w:val="DefaultParagraphFont"/>
    <w:link w:val="Header"/>
    <w:rsid w:val="004B5885"/>
    <w:rPr>
      <w:sz w:val="24"/>
    </w:rPr>
  </w:style>
  <w:style w:type="paragraph" w:styleId="Footer">
    <w:name w:val="footer"/>
    <w:basedOn w:val="Normal"/>
    <w:link w:val="FooterChar"/>
    <w:rsid w:val="004B5885"/>
    <w:pPr>
      <w:tabs>
        <w:tab w:val="center" w:pos="4513"/>
        <w:tab w:val="right" w:pos="9026"/>
      </w:tabs>
    </w:pPr>
  </w:style>
  <w:style w:type="character" w:customStyle="1" w:styleId="FooterChar">
    <w:name w:val="Footer Char"/>
    <w:basedOn w:val="DefaultParagraphFont"/>
    <w:link w:val="Footer"/>
    <w:rsid w:val="004B5885"/>
    <w:rPr>
      <w:sz w:val="24"/>
    </w:rPr>
  </w:style>
  <w:style w:type="paragraph" w:styleId="Revision">
    <w:name w:val="Revision"/>
    <w:hidden/>
    <w:uiPriority w:val="99"/>
    <w:semiHidden/>
    <w:rsid w:val="00CC0016"/>
    <w:rPr>
      <w:sz w:val="24"/>
    </w:rPr>
  </w:style>
  <w:style w:type="character" w:styleId="CommentReference">
    <w:name w:val="annotation reference"/>
    <w:basedOn w:val="DefaultParagraphFont"/>
    <w:rsid w:val="000046D8"/>
    <w:rPr>
      <w:sz w:val="16"/>
      <w:szCs w:val="16"/>
    </w:rPr>
  </w:style>
  <w:style w:type="paragraph" w:styleId="CommentText">
    <w:name w:val="annotation text"/>
    <w:basedOn w:val="Normal"/>
    <w:link w:val="CommentTextChar"/>
    <w:rsid w:val="000046D8"/>
    <w:rPr>
      <w:sz w:val="20"/>
    </w:rPr>
  </w:style>
  <w:style w:type="character" w:customStyle="1" w:styleId="CommentTextChar">
    <w:name w:val="Comment Text Char"/>
    <w:basedOn w:val="DefaultParagraphFont"/>
    <w:link w:val="CommentText"/>
    <w:rsid w:val="000046D8"/>
  </w:style>
  <w:style w:type="paragraph" w:styleId="CommentSubject">
    <w:name w:val="annotation subject"/>
    <w:basedOn w:val="CommentText"/>
    <w:next w:val="CommentText"/>
    <w:link w:val="CommentSubjectChar"/>
    <w:rsid w:val="000046D8"/>
    <w:rPr>
      <w:b/>
      <w:bCs/>
    </w:rPr>
  </w:style>
  <w:style w:type="character" w:customStyle="1" w:styleId="CommentSubjectChar">
    <w:name w:val="Comment Subject Char"/>
    <w:basedOn w:val="CommentTextChar"/>
    <w:link w:val="CommentSubject"/>
    <w:rsid w:val="000046D8"/>
    <w:rPr>
      <w:b/>
      <w:bCs/>
    </w:rPr>
  </w:style>
  <w:style w:type="character" w:styleId="UnresolvedMention">
    <w:name w:val="Unresolved Mention"/>
    <w:basedOn w:val="DefaultParagraphFont"/>
    <w:uiPriority w:val="99"/>
    <w:semiHidden/>
    <w:unhideWhenUsed/>
    <w:rsid w:val="00290247"/>
    <w:rPr>
      <w:color w:val="605E5C"/>
      <w:shd w:val="clear" w:color="auto" w:fill="E1DFDD"/>
    </w:rPr>
  </w:style>
  <w:style w:type="character" w:styleId="FollowedHyperlink">
    <w:name w:val="FollowedHyperlink"/>
    <w:basedOn w:val="DefaultParagraphFont"/>
    <w:rsid w:val="0029024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header" Target="header5.xml" /><Relationship Id="rId15" Type="http://schemas.openxmlformats.org/officeDocument/2006/relationships/footer" Target="footer4.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theme" Target="theme/theme1.xml" /><Relationship Id="rId2" Type="http://schemas.openxmlformats.org/officeDocument/2006/relationships/settings" Target="settings.xml" /><Relationship Id="rId20" Type="http://schemas.openxmlformats.org/officeDocument/2006/relationships/numbering" Target="numbering.xml" /><Relationship Id="rId21"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1/691/oj" TargetMode="External" /><Relationship Id="rId2" Type="http://schemas.openxmlformats.org/officeDocument/2006/relationships/hyperlink" Target="http://data.europa.eu/eli/reg/2026/1139/oj" TargetMode="External" /><Relationship Id="rId3" Type="http://schemas.openxmlformats.org/officeDocument/2006/relationships/hyperlink" Target="http://data.europa.eu/eli/reg/2020/2093/oj" TargetMode="External" /><Relationship Id="rId4" Type="http://schemas.openxmlformats.org/officeDocument/2006/relationships/hyperlink" Target="http://data.europa.eu/eli/reg/2024/765/oj" TargetMode="External" /><Relationship Id="rId5" Type="http://schemas.openxmlformats.org/officeDocument/2006/relationships/hyperlink" Target="http://data.europa.eu/eli/agree_interinstit/2020/1222/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2458</Words>
  <Characters>14015</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2026-10-07T10:30:00Z</dcterms:created>
  <dcterms:modified xsi:type="dcterms:W3CDTF">2026-10-07T10:30:00Z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A10-0243/2026</vt:lpwstr>
  </property>
  <property fmtid="{D5CDD505-2E9C-101B-9397-08002B2CF9AE}" pid="4" name="&lt;Type&gt;">
    <vt:lpwstr>RR</vt:lpwstr>
  </property>
</Properties>
</file>