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64FAF5E" w14:textId="77777777" w:rsidTr="00425111">
        <w:tblPrEx>
          <w:tblW w:w="9072" w:type="dxa"/>
          <w:tblLook w:val="01E0"/>
        </w:tblPrEx>
        <w:trPr>
          <w:trHeight w:hRule="exact" w:val="1418"/>
        </w:trPr>
        <w:tc>
          <w:tcPr>
            <w:tcW w:w="6804" w:type="dxa"/>
            <w:vAlign w:val="center"/>
          </w:tcPr>
          <w:p w:rsidR="00757DD5" w:rsidRPr="00F668A8" w:rsidP="00425111" w14:paraId="291ACA86" w14:textId="77777777">
            <w:pPr>
              <w:pStyle w:val="EPName"/>
              <w:rPr>
                <w:lang w:val="en-GB"/>
              </w:rPr>
            </w:pPr>
            <w:r w:rsidRPr="00F668A8">
              <w:rPr>
                <w:lang w:val="en-GB"/>
              </w:rPr>
              <w:t>European Parliament</w:t>
            </w:r>
          </w:p>
          <w:p w:rsidR="00757DD5" w:rsidRPr="00F668A8" w:rsidP="00425111" w14:paraId="03D840B6" w14:textId="77777777">
            <w:pPr>
              <w:pStyle w:val="EPTerm"/>
              <w:rPr>
                <w:rStyle w:val="HideTWBExt"/>
                <w:vanish w:val="0"/>
                <w:lang w:val="en-GB"/>
              </w:rPr>
            </w:pPr>
            <w:r w:rsidRPr="00F668A8">
              <w:rPr>
                <w:lang w:val="en-GB"/>
              </w:rPr>
              <w:t>2024-2029</w:t>
            </w:r>
          </w:p>
        </w:tc>
        <w:tc>
          <w:tcPr>
            <w:tcW w:w="2268" w:type="dxa"/>
          </w:tcPr>
          <w:p w:rsidR="00757DD5" w:rsidRPr="00F668A8" w:rsidP="00425111" w14:paraId="1A374B47" w14:textId="77777777">
            <w:pPr>
              <w:pStyle w:val="EPLogo"/>
            </w:pPr>
            <w:r w:rsidRPr="00F668A8">
              <w:rPr>
                <w:noProof/>
              </w:rPr>
              <w:drawing>
                <wp:inline distT="0" distB="0" distL="0" distR="0">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62050" cy="647700"/>
                          </a:xfrm>
                          <a:prstGeom prst="rect">
                            <a:avLst/>
                          </a:prstGeom>
                          <a:noFill/>
                          <a:ln>
                            <a:noFill/>
                          </a:ln>
                        </pic:spPr>
                      </pic:pic>
                    </a:graphicData>
                  </a:graphic>
                </wp:inline>
              </w:drawing>
            </w:r>
          </w:p>
        </w:tc>
      </w:tr>
    </w:tbl>
    <w:p w:rsidR="008E7632" w:rsidRPr="00F668A8" w:rsidP="008E7632" w14:paraId="4A079B6A" w14:textId="77777777">
      <w:pPr>
        <w:pStyle w:val="LineTop"/>
        <w:rPr>
          <w:lang w:val="en-GB"/>
        </w:rPr>
      </w:pPr>
    </w:p>
    <w:p w:rsidR="008E7632" w:rsidRPr="00F668A8" w:rsidP="008E7632" w14:paraId="20E20B6D" w14:textId="77777777">
      <w:pPr>
        <w:pStyle w:val="ZSessionDoc"/>
        <w:rPr>
          <w:b/>
          <w:i w:val="0"/>
        </w:rPr>
      </w:pPr>
      <w:r w:rsidRPr="00F668A8">
        <w:rPr>
          <w:b/>
          <w:i w:val="0"/>
        </w:rPr>
        <w:t>TEXTS ADOPTED</w:t>
      </w:r>
    </w:p>
    <w:p w:rsidR="008E7632" w:rsidRPr="00F668A8" w:rsidP="008E7632" w14:paraId="1ADD06E1" w14:textId="77777777">
      <w:pPr>
        <w:pStyle w:val="LineBottom"/>
      </w:pPr>
      <w:r w:rsidRPr="00F668A8">
        <w:rPr>
          <w:rFonts w:cs="Arial"/>
          <w:i/>
          <w:sz w:val="20"/>
          <w:szCs w:val="22"/>
        </w:rPr>
        <w:t xml:space="preserve"> </w:t>
      </w:r>
    </w:p>
    <w:p w:rsidR="009C4014" w:rsidRPr="00F668A8" w:rsidP="008E7632" w14:paraId="2C5D94A5" w14:textId="0D0BF1EC">
      <w:pPr>
        <w:pStyle w:val="ATHeading1"/>
        <w:spacing w:before="480"/>
        <w:rPr>
          <w:lang w:val="en-GB"/>
        </w:rPr>
      </w:pPr>
      <w:bookmarkStart w:id="0" w:name="TA_Heading"/>
      <w:r w:rsidRPr="00F668A8">
        <w:rPr>
          <w:lang w:val="en-GB"/>
        </w:rPr>
        <w:t>P10_TA(2026)</w:t>
      </w:r>
      <w:bookmarkEnd w:id="0"/>
      <w:r w:rsidRPr="00F668A8" w:rsidR="00BA7CE6">
        <w:rPr>
          <w:lang w:val="en-GB"/>
        </w:rPr>
        <w:t>0360</w:t>
      </w:r>
    </w:p>
    <w:p w:rsidR="009C4014" w:rsidRPr="00F668A8" w:rsidP="00E112A4" w14:paraId="1D1C4C8B" w14:textId="77777777">
      <w:pPr>
        <w:pStyle w:val="ATHeading2"/>
        <w:rPr>
          <w:lang w:val="en-GB"/>
        </w:rPr>
      </w:pPr>
      <w:bookmarkStart w:id="1" w:name="title"/>
      <w:r w:rsidRPr="00F668A8">
        <w:rPr>
          <w:lang w:val="en-GB"/>
        </w:rPr>
        <w:t>Reduction of methane emissions in the energy sector: postponement of certain obligations</w:t>
      </w:r>
      <w:bookmarkEnd w:id="1"/>
      <w:r w:rsidRPr="00F668A8">
        <w:rPr>
          <w:lang w:val="en-GB"/>
        </w:rPr>
        <w:t xml:space="preserve"> </w:t>
      </w:r>
      <w:bookmarkStart w:id="2" w:name="Etoiles"/>
      <w:bookmarkEnd w:id="2"/>
    </w:p>
    <w:p w:rsidR="009C4014" w:rsidRPr="00F668A8" w:rsidP="009C4014" w14:paraId="61B138BA" w14:textId="77777777">
      <w:pPr>
        <w:rPr>
          <w:i/>
          <w:vanish/>
          <w:lang w:val="en-GB"/>
        </w:rPr>
      </w:pPr>
      <w:r>
        <w:rPr>
          <w:i/>
        </w:rPr>
        <w:fldChar w:fldCharType="begin"/>
      </w:r>
      <w:r w:rsidRPr="00F668A8">
        <w:rPr>
          <w:i/>
          <w:lang w:val="en-GB"/>
        </w:rPr>
        <w:instrText xml:space="preserve"> TC"</w:instrText>
      </w:r>
      <w:bookmarkStart w:id="3" w:name="DocNumber"/>
      <w:r w:rsidRPr="00F668A8" w:rsidR="00E112A4">
        <w:rPr>
          <w:i/>
          <w:lang w:val="en-GB"/>
        </w:rPr>
        <w:instrText>(C10-0258/2026)</w:instrText>
      </w:r>
      <w:bookmarkEnd w:id="3"/>
      <w:r w:rsidRPr="00F668A8">
        <w:rPr>
          <w:i/>
          <w:lang w:val="en-GB"/>
        </w:rPr>
        <w:instrText xml:space="preserve">"\l3 \n&gt; \* MERGEFORMAT </w:instrText>
      </w:r>
      <w:r>
        <w:rPr>
          <w:i/>
        </w:rPr>
        <w:fldChar w:fldCharType="end"/>
      </w:r>
    </w:p>
    <w:p w:rsidR="00E112A4" w:rsidRPr="00F668A8" w:rsidP="009C4014" w14:paraId="66DA154E" w14:textId="77777777">
      <w:pPr>
        <w:rPr>
          <w:vanish/>
          <w:lang w:val="en-GB"/>
        </w:rPr>
      </w:pPr>
      <w:bookmarkStart w:id="4" w:name="Commission"/>
      <w:r w:rsidRPr="00F668A8">
        <w:rPr>
          <w:vanish/>
          <w:lang w:val="en-GB"/>
        </w:rPr>
        <w:t>Committee on the Environment, Climate and Food Safety, Committee on Industry, Research and Energy</w:t>
      </w:r>
    </w:p>
    <w:p w:rsidR="009C4014" w:rsidRPr="00F668A8" w:rsidP="009C4014" w14:paraId="57703417" w14:textId="3998B203">
      <w:pPr>
        <w:rPr>
          <w:vanish/>
          <w:lang w:val="en-GB"/>
        </w:rPr>
      </w:pPr>
      <w:bookmarkStart w:id="5" w:name="PE"/>
      <w:bookmarkEnd w:id="4"/>
      <w:r w:rsidRPr="00F668A8">
        <w:rPr>
          <w:vanish/>
          <w:lang w:val="en-GB"/>
        </w:rPr>
        <w:t>PE</w:t>
      </w:r>
      <w:r w:rsidRPr="00F668A8" w:rsidR="0040314E">
        <w:rPr>
          <w:vanish/>
          <w:lang w:val="en-GB"/>
        </w:rPr>
        <w:t>797.178</w:t>
      </w:r>
      <w:bookmarkEnd w:id="5"/>
    </w:p>
    <w:p w:rsidR="00E112A4" w:rsidRPr="00F668A8" w:rsidP="00E112A4" w14:paraId="5C905D65" w14:textId="1E4C9320">
      <w:pPr>
        <w:pStyle w:val="ATHeading3"/>
        <w:rPr>
          <w:lang w:val="en-GB"/>
        </w:rPr>
      </w:pPr>
      <w:bookmarkStart w:id="6" w:name="Sujet"/>
      <w:r w:rsidRPr="00F668A8">
        <w:rPr>
          <w:lang w:val="en-GB"/>
        </w:rPr>
        <w:t xml:space="preserve">Amendments adopted by the European Parliament on </w:t>
      </w:r>
      <w:r w:rsidRPr="00F668A8">
        <w:rPr>
          <w:lang w:val="en-GB"/>
        </w:rPr>
        <w:t>22 October 2026 on the proposal for a regulation of the European Parliament and of the Council amending Regulation (EU) 2024/1787 on the reduction of methane emissions in the energy sector as regards the postponement of certain obligations (COM(2026)0569 - C10-0258/2026 - 2026/0325(COD))</w:t>
      </w:r>
      <w:r>
        <w:rPr>
          <w:rStyle w:val="FootnoteReference"/>
        </w:rPr>
        <w:footnoteReference w:id="2"/>
      </w:r>
    </w:p>
    <w:p w:rsidR="00E112A4" w:rsidRPr="00F668A8" w:rsidP="00E112A4" w14:paraId="295BC349" w14:textId="77777777">
      <w:pPr>
        <w:pStyle w:val="ATHeading3"/>
        <w:rPr>
          <w:lang w:val="en-GB"/>
        </w:rPr>
      </w:pPr>
      <w:r w:rsidRPr="00F668A8">
        <w:rPr>
          <w:lang w:val="en-GB"/>
        </w:rPr>
        <w:t>(Ordinary legislative procedure: first reading</w:t>
      </w:r>
      <w:bookmarkEnd w:id="6"/>
      <w:r w:rsidRPr="00F668A8">
        <w:rPr>
          <w:lang w:val="en-GB"/>
        </w:rPr>
        <w:t>)</w:t>
      </w:r>
    </w:p>
    <w:p w:rsidR="009F28EF" w:rsidRPr="00F668A8" w:rsidP="00E112A4" w14:paraId="67A9839B" w14:textId="7D96DAA8">
      <w:pPr>
        <w:pStyle w:val="ATHeading3"/>
        <w:keepNext w:val="0"/>
        <w:keepLines w:val="0"/>
        <w:spacing w:before="0" w:after="240"/>
        <w:ind w:left="567" w:hanging="567"/>
        <w:outlineLvl w:val="9"/>
        <w:rPr>
          <w:b w:val="0"/>
          <w:bCs/>
          <w:snapToGrid w:val="0"/>
          <w:lang w:val="en-GB"/>
        </w:rPr>
      </w:pPr>
      <w:bookmarkStart w:id="7" w:name="TextBodyBegin"/>
      <w:bookmarkEnd w:id="7"/>
    </w:p>
    <w:p w:rsidR="00BA7CE6" w:rsidRPr="00F668A8" w:rsidP="00BA7CE6" w14:paraId="64E6AA4E" w14:textId="77777777">
      <w:pPr>
        <w:rPr>
          <w:lang w:val="en-GB"/>
        </w:rPr>
      </w:pPr>
    </w:p>
    <w:p w:rsidR="009421B9" w:rsidRPr="00F668A8" w:rsidP="009421B9" w14:paraId="61C2E82C" w14:textId="39EA4D52">
      <w:pPr>
        <w:pStyle w:val="AmNumberTabs"/>
      </w:pPr>
      <w:r w:rsidRPr="00F668A8">
        <w:t>Amendment</w:t>
      </w:r>
      <w:r w:rsidRPr="00F668A8">
        <w:tab/>
      </w:r>
      <w:r w:rsidRPr="00F668A8">
        <w:tab/>
        <w:t>3</w:t>
      </w:r>
    </w:p>
    <w:p w:rsidR="009421B9" w:rsidRPr="00F668A8" w:rsidP="009421B9" w14:paraId="44F91F1F" w14:textId="77777777">
      <w:pPr>
        <w:pStyle w:val="NormalBold"/>
      </w:pPr>
    </w:p>
    <w:p w:rsidR="009421B9" w:rsidRPr="00F668A8" w:rsidP="009421B9" w14:paraId="50FE4050" w14:textId="435F572E">
      <w:pPr>
        <w:pStyle w:val="NormalBold"/>
      </w:pPr>
      <w:r w:rsidRPr="00F668A8">
        <w:t>Proposal for a regulation</w:t>
      </w:r>
    </w:p>
    <w:p w:rsidR="009421B9" w:rsidRPr="00F668A8" w:rsidP="009421B9" w14:paraId="44F62D3B" w14:textId="03FF9C1D">
      <w:pPr>
        <w:pStyle w:val="NormalBold"/>
      </w:pPr>
      <w:r w:rsidRPr="00F668A8">
        <w:t>Recital 7 a (new)</w:t>
      </w:r>
    </w:p>
    <w:tbl>
      <w:tblPr>
        <w:tblW w:w="9752" w:type="dxa"/>
        <w:jc w:val="center"/>
        <w:tblLayout w:type="fixed"/>
        <w:tblCellMar>
          <w:left w:w="340" w:type="dxa"/>
          <w:right w:w="340" w:type="dxa"/>
        </w:tblCellMar>
        <w:tblLook w:val="0000"/>
      </w:tblPr>
      <w:tblGrid>
        <w:gridCol w:w="4876"/>
        <w:gridCol w:w="4876"/>
      </w:tblGrid>
      <w:tr w14:paraId="214556AA" w14:textId="77777777" w:rsidTr="007B3BB1">
        <w:tblPrEx>
          <w:tblW w:w="9752" w:type="dxa"/>
          <w:jc w:val="center"/>
          <w:tblLayout w:type="fixed"/>
          <w:tblLook w:val="0000"/>
        </w:tblPrEx>
        <w:trPr>
          <w:jc w:val="center"/>
        </w:trPr>
        <w:tc>
          <w:tcPr>
            <w:tcW w:w="9752" w:type="dxa"/>
            <w:gridSpan w:val="2"/>
          </w:tcPr>
          <w:p w:rsidR="009421B9" w:rsidRPr="00F668A8" w:rsidP="007B3BB1" w14:paraId="3332070D" w14:textId="77777777">
            <w:pPr>
              <w:keepNext/>
              <w:rPr>
                <w:lang w:val="en-GB"/>
              </w:rPr>
            </w:pPr>
          </w:p>
        </w:tc>
      </w:tr>
      <w:tr w14:paraId="6D0CAF0D" w14:textId="77777777" w:rsidTr="007B3BB1">
        <w:tblPrEx>
          <w:tblW w:w="9752" w:type="dxa"/>
          <w:jc w:val="center"/>
          <w:tblLayout w:type="fixed"/>
          <w:tblLook w:val="0000"/>
        </w:tblPrEx>
        <w:trPr>
          <w:jc w:val="center"/>
        </w:trPr>
        <w:tc>
          <w:tcPr>
            <w:tcW w:w="4876" w:type="dxa"/>
          </w:tcPr>
          <w:p w:rsidR="009421B9" w:rsidRPr="00F668A8" w:rsidP="007B3BB1" w14:paraId="7C1A8288" w14:textId="77777777">
            <w:pPr>
              <w:pStyle w:val="AmColumnHeading"/>
              <w:keepNext/>
            </w:pPr>
            <w:r w:rsidRPr="00F668A8">
              <w:t>Text proposed by the Commission</w:t>
            </w:r>
          </w:p>
        </w:tc>
        <w:tc>
          <w:tcPr>
            <w:tcW w:w="4876" w:type="dxa"/>
          </w:tcPr>
          <w:p w:rsidR="009421B9" w:rsidRPr="00F668A8" w:rsidP="007B3BB1" w14:paraId="200EA640" w14:textId="77777777">
            <w:pPr>
              <w:pStyle w:val="AmColumnHeading"/>
              <w:keepNext/>
            </w:pPr>
            <w:r w:rsidRPr="00F668A8">
              <w:t>Amendment</w:t>
            </w:r>
          </w:p>
        </w:tc>
      </w:tr>
      <w:tr w14:paraId="3EE0E3A8" w14:textId="77777777" w:rsidTr="007B3BB1">
        <w:tblPrEx>
          <w:tblW w:w="9752" w:type="dxa"/>
          <w:jc w:val="center"/>
          <w:tblLayout w:type="fixed"/>
          <w:tblLook w:val="0000"/>
        </w:tblPrEx>
        <w:trPr>
          <w:jc w:val="center"/>
        </w:trPr>
        <w:tc>
          <w:tcPr>
            <w:tcW w:w="4876" w:type="dxa"/>
          </w:tcPr>
          <w:p w:rsidR="009421B9" w:rsidRPr="00F668A8" w:rsidP="007B3BB1" w14:paraId="1AA482B5" w14:textId="77777777">
            <w:pPr>
              <w:pStyle w:val="Normal6a"/>
            </w:pPr>
          </w:p>
        </w:tc>
        <w:tc>
          <w:tcPr>
            <w:tcW w:w="4876" w:type="dxa"/>
          </w:tcPr>
          <w:p w:rsidR="009421B9" w:rsidRPr="00F668A8" w:rsidP="007B3BB1" w14:paraId="34370C55" w14:textId="77777777">
            <w:pPr>
              <w:pStyle w:val="Normal6a"/>
              <w:rPr>
                <w:szCs w:val="24"/>
              </w:rPr>
            </w:pPr>
            <w:r w:rsidRPr="00F668A8">
              <w:rPr>
                <w:rFonts w:eastAsia="Calibri"/>
                <w:b/>
                <w:i/>
              </w:rPr>
              <w:t xml:space="preserve">(7a) </w:t>
            </w:r>
            <w:r w:rsidRPr="00F668A8">
              <w:rPr>
                <w:rFonts w:eastAsia="Calibri"/>
                <w:b/>
                <w:i/>
              </w:rPr>
              <w:tab/>
              <w:t xml:space="preserve">The additional time granted by this Regulation responds to difficulties in securing sufficient compliant supply from reliable partners. It should not benefit crude oil, natural gas or coal originating in, or exported directly or indirectly from, third countries subject to restrictive measures adopted under Article 29 TEU or Article 215 TFEU prohibiting or restricting the import into the Union of those products from those countries. This </w:t>
            </w:r>
            <w:r w:rsidRPr="00F668A8">
              <w:rPr>
                <w:rFonts w:eastAsia="Calibri"/>
                <w:b/>
                <w:i/>
              </w:rPr>
              <w:t>is consistent with recital 75 of Regulation (EU) 2024/1787, which provides that the Commission should not adopt equivalence decisions or enter into dialogues that would risk circumventing such restrictive measures, with the country benchmarking carried out under Regulation (EU) 2023/1115, in which countries subject to UN or Union sanctions on the relevant commodities were classified as high risk, and with Regulation (EU) 2026/261, which phases out imports of natural gas originating in or exported from Russia independently of restrictive measures. The criterion is objective, relies on measures already adopted by the Union and applies without prejudice to those measures.</w:t>
            </w:r>
          </w:p>
        </w:tc>
      </w:tr>
    </w:tbl>
    <w:p w:rsidR="009421B9" w:rsidRPr="00F668A8" w:rsidP="00BA7CE6" w14:paraId="6D0BAA03" w14:textId="77777777">
      <w:pPr>
        <w:rPr>
          <w:lang w:val="en-GB"/>
        </w:rPr>
      </w:pPr>
    </w:p>
    <w:p w:rsidR="00BA7CE6" w:rsidRPr="00F668A8" w:rsidP="00BA7CE6" w14:paraId="57E94823" w14:textId="3B13FF9A">
      <w:pPr>
        <w:pStyle w:val="AmNumberTabs"/>
      </w:pPr>
      <w:r w:rsidRPr="00F668A8">
        <w:t>Amendment</w:t>
      </w:r>
      <w:r w:rsidRPr="00F668A8">
        <w:tab/>
      </w:r>
      <w:r w:rsidRPr="00F668A8">
        <w:tab/>
        <w:t>5</w:t>
      </w:r>
    </w:p>
    <w:p w:rsidR="00BA7CE6" w:rsidRPr="00F668A8" w:rsidP="00BA7CE6" w14:paraId="582885A3" w14:textId="77777777">
      <w:pPr>
        <w:pStyle w:val="NormalBold"/>
      </w:pPr>
    </w:p>
    <w:p w:rsidR="00BA7CE6" w:rsidRPr="00F668A8" w:rsidP="00BA7CE6" w14:paraId="5DC5DC6B" w14:textId="55EBFFBB">
      <w:pPr>
        <w:pStyle w:val="NormalBold"/>
      </w:pPr>
      <w:r w:rsidRPr="00F668A8">
        <w:t>Proposal for a regulation</w:t>
      </w:r>
    </w:p>
    <w:p w:rsidR="00BA7CE6" w:rsidRPr="00F668A8" w:rsidP="00BA7CE6" w14:paraId="0AA5CFFD" w14:textId="762857D1">
      <w:pPr>
        <w:pStyle w:val="NormalBold"/>
        <w:rPr>
          <w:lang w:val="fr-BE"/>
        </w:rPr>
      </w:pPr>
      <w:r w:rsidRPr="00F668A8">
        <w:rPr>
          <w:bCs/>
          <w:lang w:val="fr-BE"/>
        </w:rPr>
        <w:t xml:space="preserve">Article 1 – </w:t>
      </w:r>
      <w:r w:rsidRPr="00F668A8">
        <w:rPr>
          <w:bCs/>
          <w:lang w:val="fr-BE"/>
        </w:rPr>
        <w:t>paragraph</w:t>
      </w:r>
      <w:r w:rsidRPr="00F668A8">
        <w:rPr>
          <w:bCs/>
          <w:lang w:val="fr-BE"/>
        </w:rPr>
        <w:t xml:space="preserve"> 1 – point -1 (new)</w:t>
      </w:r>
    </w:p>
    <w:p w:rsidR="00BA7CE6" w:rsidRPr="00F668A8" w:rsidP="00BA7CE6" w14:paraId="1628CB98" w14:textId="51EEDC42">
      <w:pPr>
        <w:rPr>
          <w:lang w:val="fr-BE"/>
        </w:rPr>
      </w:pPr>
      <w:r w:rsidRPr="00F668A8">
        <w:rPr>
          <w:lang w:val="fr-BE"/>
        </w:rPr>
        <w:t>Regulation</w:t>
      </w:r>
      <w:r w:rsidRPr="00F668A8">
        <w:rPr>
          <w:lang w:val="fr-BE"/>
        </w:rPr>
        <w:t xml:space="preserve"> (EU) 2024/1787</w:t>
      </w:r>
    </w:p>
    <w:p w:rsidR="00BA7CE6" w:rsidRPr="00F668A8" w:rsidP="00BA7CE6" w14:paraId="36173FEA" w14:textId="30702DEA">
      <w:pPr>
        <w:rPr>
          <w:lang w:val="fr-BE"/>
        </w:rPr>
      </w:pPr>
      <w:r w:rsidRPr="00F668A8">
        <w:rPr>
          <w:lang w:val="fr-BE"/>
        </w:rPr>
        <w:t xml:space="preserve">Article 12 – </w:t>
      </w:r>
      <w:r w:rsidRPr="00F668A8">
        <w:rPr>
          <w:lang w:val="fr-BE"/>
        </w:rPr>
        <w:t>paragraph</w:t>
      </w:r>
      <w:r w:rsidRPr="00F668A8">
        <w:rPr>
          <w:lang w:val="fr-BE"/>
        </w:rPr>
        <w:t xml:space="preserve"> 3</w:t>
      </w:r>
    </w:p>
    <w:tbl>
      <w:tblPr>
        <w:tblW w:w="9752" w:type="dxa"/>
        <w:jc w:val="center"/>
        <w:tblLayout w:type="fixed"/>
        <w:tblCellMar>
          <w:left w:w="340" w:type="dxa"/>
          <w:right w:w="340" w:type="dxa"/>
        </w:tblCellMar>
        <w:tblLook w:val="0000"/>
      </w:tblPr>
      <w:tblGrid>
        <w:gridCol w:w="4876"/>
        <w:gridCol w:w="4876"/>
      </w:tblGrid>
      <w:tr w14:paraId="3A4B988F" w14:textId="77777777" w:rsidTr="007B3BB1">
        <w:tblPrEx>
          <w:tblW w:w="9752" w:type="dxa"/>
          <w:jc w:val="center"/>
          <w:tblLayout w:type="fixed"/>
          <w:tblLook w:val="0000"/>
        </w:tblPrEx>
        <w:trPr>
          <w:jc w:val="center"/>
        </w:trPr>
        <w:tc>
          <w:tcPr>
            <w:tcW w:w="9752" w:type="dxa"/>
            <w:gridSpan w:val="2"/>
          </w:tcPr>
          <w:p w:rsidR="00BA7CE6" w:rsidRPr="00F668A8" w:rsidP="007B3BB1" w14:paraId="34FBC89A" w14:textId="77777777">
            <w:pPr>
              <w:keepNext/>
              <w:rPr>
                <w:lang w:val="fr-BE"/>
              </w:rPr>
            </w:pPr>
          </w:p>
        </w:tc>
      </w:tr>
      <w:tr w14:paraId="615EC807" w14:textId="77777777" w:rsidTr="007B3BB1">
        <w:tblPrEx>
          <w:tblW w:w="9752" w:type="dxa"/>
          <w:jc w:val="center"/>
          <w:tblLayout w:type="fixed"/>
          <w:tblLook w:val="0000"/>
        </w:tblPrEx>
        <w:trPr>
          <w:jc w:val="center"/>
        </w:trPr>
        <w:tc>
          <w:tcPr>
            <w:tcW w:w="4876" w:type="dxa"/>
          </w:tcPr>
          <w:p w:rsidR="00BA7CE6" w:rsidRPr="00F668A8" w:rsidP="007B3BB1" w14:paraId="01286CE9" w14:textId="77777777">
            <w:pPr>
              <w:pStyle w:val="AmColumnHeading"/>
              <w:keepNext/>
            </w:pPr>
            <w:r w:rsidRPr="00F668A8">
              <w:t>Present text</w:t>
            </w:r>
          </w:p>
        </w:tc>
        <w:tc>
          <w:tcPr>
            <w:tcW w:w="4876" w:type="dxa"/>
          </w:tcPr>
          <w:p w:rsidR="00BA7CE6" w:rsidRPr="00F668A8" w:rsidP="007B3BB1" w14:paraId="06E6DAA6" w14:textId="77777777">
            <w:pPr>
              <w:pStyle w:val="AmColumnHeading"/>
              <w:keepNext/>
            </w:pPr>
            <w:r w:rsidRPr="00F668A8">
              <w:t>Amendment</w:t>
            </w:r>
          </w:p>
        </w:tc>
      </w:tr>
      <w:tr w14:paraId="2D8BCCDF" w14:textId="77777777" w:rsidTr="007B3BB1">
        <w:tblPrEx>
          <w:tblW w:w="9752" w:type="dxa"/>
          <w:jc w:val="center"/>
          <w:tblLayout w:type="fixed"/>
          <w:tblLook w:val="0000"/>
        </w:tblPrEx>
        <w:trPr>
          <w:jc w:val="center"/>
        </w:trPr>
        <w:tc>
          <w:tcPr>
            <w:tcW w:w="4876" w:type="dxa"/>
          </w:tcPr>
          <w:p w:rsidR="00BA7CE6" w:rsidRPr="00F668A8" w:rsidP="007B3BB1" w14:paraId="0C2CA2F4" w14:textId="77777777">
            <w:pPr>
              <w:pStyle w:val="Normal6a"/>
            </w:pPr>
          </w:p>
        </w:tc>
        <w:tc>
          <w:tcPr>
            <w:tcW w:w="4876" w:type="dxa"/>
          </w:tcPr>
          <w:p w:rsidR="00BA7CE6" w:rsidRPr="00F668A8" w:rsidP="007B3BB1" w14:paraId="277423BD" w14:textId="77777777">
            <w:pPr>
              <w:pStyle w:val="Normal6a"/>
              <w:rPr>
                <w:szCs w:val="24"/>
              </w:rPr>
            </w:pPr>
            <w:r w:rsidRPr="00F668A8">
              <w:rPr>
                <w:b/>
                <w:bCs/>
                <w:i/>
                <w:iCs/>
                <w:szCs w:val="24"/>
              </w:rPr>
              <w:t>-1. in Article 12, paragraph 3 is replaced by the following:</w:t>
            </w:r>
          </w:p>
        </w:tc>
      </w:tr>
      <w:tr w14:paraId="221E0FDE" w14:textId="77777777" w:rsidTr="007B3BB1">
        <w:tblPrEx>
          <w:tblW w:w="9752" w:type="dxa"/>
          <w:jc w:val="center"/>
          <w:tblLayout w:type="fixed"/>
          <w:tblLook w:val="0000"/>
        </w:tblPrEx>
        <w:trPr>
          <w:jc w:val="center"/>
        </w:trPr>
        <w:tc>
          <w:tcPr>
            <w:tcW w:w="4876" w:type="dxa"/>
          </w:tcPr>
          <w:p w:rsidR="00BA7CE6" w:rsidRPr="00F668A8" w:rsidP="007B3BB1" w14:paraId="673F5E3A" w14:textId="77777777">
            <w:pPr>
              <w:pStyle w:val="Normal6a"/>
            </w:pPr>
            <w:r w:rsidRPr="00F668A8">
              <w:t>Operators and undertakings established in the Union shall submit a report to the competent authorities of the Member State where the asset is located containing quantification of source-level methane emissions, complemented by measurements of site-level methane emissions, thereby allowing assessment of and comparison with the source-level estimates aggregated by site:</w:t>
            </w:r>
          </w:p>
        </w:tc>
        <w:tc>
          <w:tcPr>
            <w:tcW w:w="4876" w:type="dxa"/>
          </w:tcPr>
          <w:p w:rsidR="00BA7CE6" w:rsidRPr="00F668A8" w:rsidP="007B3BB1" w14:paraId="050EC166" w14:textId="699CDD63">
            <w:pPr>
              <w:pStyle w:val="Normal6a"/>
              <w:rPr>
                <w:szCs w:val="24"/>
              </w:rPr>
            </w:pPr>
            <w:r w:rsidRPr="00F668A8">
              <w:rPr>
                <w:szCs w:val="24"/>
              </w:rPr>
              <w:t>‘</w:t>
            </w:r>
            <w:r w:rsidRPr="00F668A8">
              <w:rPr>
                <w:szCs w:val="24"/>
              </w:rPr>
              <w:t>Operators and undertakings established in the Union shall submit a report to the competent authorities of the Member State where the asset is located containing quantification of source-level methane emissions, complemented by measurements of site-level methane emissions, thereby allowing assessment of and comparison with the source-level estimates aggregated by site:</w:t>
            </w:r>
          </w:p>
        </w:tc>
      </w:tr>
      <w:tr w14:paraId="46599119" w14:textId="77777777" w:rsidTr="007B3BB1">
        <w:tblPrEx>
          <w:tblW w:w="9752" w:type="dxa"/>
          <w:jc w:val="center"/>
          <w:tblLayout w:type="fixed"/>
          <w:tblLook w:val="0000"/>
        </w:tblPrEx>
        <w:trPr>
          <w:jc w:val="center"/>
        </w:trPr>
        <w:tc>
          <w:tcPr>
            <w:tcW w:w="4876" w:type="dxa"/>
          </w:tcPr>
          <w:p w:rsidR="00BA7CE6" w:rsidRPr="00F668A8" w:rsidP="007B3BB1" w14:paraId="765378C2" w14:textId="77777777">
            <w:pPr>
              <w:pStyle w:val="Normal6a"/>
            </w:pPr>
            <w:r w:rsidRPr="00F668A8">
              <w:t xml:space="preserve">(a) for operated assets, by 5 February </w:t>
            </w:r>
            <w:r w:rsidRPr="00F668A8">
              <w:rPr>
                <w:b/>
                <w:bCs/>
                <w:i/>
                <w:iCs/>
              </w:rPr>
              <w:t>2027</w:t>
            </w:r>
            <w:r w:rsidRPr="00F668A8">
              <w:t xml:space="preserve"> and by 31 May every year thereafter; and</w:t>
            </w:r>
          </w:p>
        </w:tc>
        <w:tc>
          <w:tcPr>
            <w:tcW w:w="4876" w:type="dxa"/>
          </w:tcPr>
          <w:p w:rsidR="00BA7CE6" w:rsidRPr="00F668A8" w:rsidP="007B3BB1" w14:paraId="7B4CA4C2" w14:textId="77777777">
            <w:pPr>
              <w:pStyle w:val="Normal6a"/>
              <w:rPr>
                <w:szCs w:val="24"/>
              </w:rPr>
            </w:pPr>
            <w:r w:rsidRPr="00F668A8">
              <w:rPr>
                <w:szCs w:val="24"/>
              </w:rPr>
              <w:t xml:space="preserve">(a) for operated assets, by 5 February </w:t>
            </w:r>
            <w:r w:rsidRPr="00F668A8">
              <w:rPr>
                <w:b/>
                <w:bCs/>
                <w:i/>
                <w:iCs/>
                <w:szCs w:val="24"/>
              </w:rPr>
              <w:t>2030</w:t>
            </w:r>
            <w:r w:rsidRPr="00F668A8">
              <w:rPr>
                <w:szCs w:val="24"/>
              </w:rPr>
              <w:t xml:space="preserve"> and by 31 May every year thereafter; and </w:t>
            </w:r>
          </w:p>
        </w:tc>
      </w:tr>
      <w:tr w14:paraId="01FB9CA6" w14:textId="77777777" w:rsidTr="007B3BB1">
        <w:tblPrEx>
          <w:tblW w:w="9752" w:type="dxa"/>
          <w:jc w:val="center"/>
          <w:tblLayout w:type="fixed"/>
          <w:tblLook w:val="0000"/>
        </w:tblPrEx>
        <w:trPr>
          <w:jc w:val="center"/>
        </w:trPr>
        <w:tc>
          <w:tcPr>
            <w:tcW w:w="4876" w:type="dxa"/>
          </w:tcPr>
          <w:p w:rsidR="00BA7CE6" w:rsidRPr="00F668A8" w:rsidP="007B3BB1" w14:paraId="75205833" w14:textId="77777777">
            <w:pPr>
              <w:pStyle w:val="Normal6a"/>
            </w:pPr>
            <w:r w:rsidRPr="00F668A8">
              <w:t xml:space="preserve">(b) for non-operated assets, by 5 August </w:t>
            </w:r>
            <w:r w:rsidRPr="00F668A8">
              <w:rPr>
                <w:b/>
                <w:bCs/>
                <w:i/>
                <w:iCs/>
              </w:rPr>
              <w:t>2028</w:t>
            </w:r>
            <w:r w:rsidRPr="00F668A8">
              <w:t xml:space="preserve"> and by 31 May every year thereafter, where those assets have not been reported under point (a).</w:t>
            </w:r>
          </w:p>
        </w:tc>
        <w:tc>
          <w:tcPr>
            <w:tcW w:w="4876" w:type="dxa"/>
          </w:tcPr>
          <w:p w:rsidR="00BA7CE6" w:rsidRPr="00F668A8" w:rsidP="007B3BB1" w14:paraId="74E4A0D9" w14:textId="77777777">
            <w:pPr>
              <w:pStyle w:val="Normal6a"/>
              <w:rPr>
                <w:szCs w:val="24"/>
              </w:rPr>
            </w:pPr>
            <w:r w:rsidRPr="00F668A8">
              <w:rPr>
                <w:szCs w:val="24"/>
              </w:rPr>
              <w:t xml:space="preserve">(b) for non-operated assets, by 5 August </w:t>
            </w:r>
            <w:r w:rsidRPr="00F668A8">
              <w:rPr>
                <w:b/>
                <w:bCs/>
                <w:i/>
                <w:iCs/>
                <w:szCs w:val="24"/>
              </w:rPr>
              <w:t>2031</w:t>
            </w:r>
            <w:r w:rsidRPr="00F668A8">
              <w:rPr>
                <w:szCs w:val="24"/>
              </w:rPr>
              <w:t xml:space="preserve"> and by 31 May every year thereafter, where those assets have not been reported under point (a). </w:t>
            </w:r>
          </w:p>
        </w:tc>
      </w:tr>
      <w:tr w14:paraId="6854E6F5" w14:textId="77777777" w:rsidTr="007B3BB1">
        <w:tblPrEx>
          <w:tblW w:w="9752" w:type="dxa"/>
          <w:jc w:val="center"/>
          <w:tblLayout w:type="fixed"/>
          <w:tblLook w:val="0000"/>
        </w:tblPrEx>
        <w:trPr>
          <w:jc w:val="center"/>
        </w:trPr>
        <w:tc>
          <w:tcPr>
            <w:tcW w:w="4876" w:type="dxa"/>
          </w:tcPr>
          <w:p w:rsidR="00BA7CE6" w:rsidRPr="00F668A8" w:rsidP="007B3BB1" w14:paraId="2CB52A81" w14:textId="77777777">
            <w:pPr>
              <w:pStyle w:val="Normal6a"/>
            </w:pPr>
            <w:r w:rsidRPr="00F668A8">
              <w:t xml:space="preserve">Before submitting the report to the competent authorities, operators and undertakings shall ensure that the report is </w:t>
            </w:r>
            <w:r w:rsidRPr="00F668A8">
              <w:t>assessed by a verifier and includes a verification statement issued in accordance with Article 8.</w:t>
            </w:r>
          </w:p>
        </w:tc>
        <w:tc>
          <w:tcPr>
            <w:tcW w:w="4876" w:type="dxa"/>
          </w:tcPr>
          <w:p w:rsidR="00BA7CE6" w:rsidRPr="00F668A8" w:rsidP="007B3BB1" w14:paraId="3D2C520F" w14:textId="77777777">
            <w:pPr>
              <w:pStyle w:val="Normal6a"/>
              <w:rPr>
                <w:szCs w:val="24"/>
              </w:rPr>
            </w:pPr>
            <w:r w:rsidRPr="00F668A8">
              <w:rPr>
                <w:szCs w:val="24"/>
              </w:rPr>
              <w:t xml:space="preserve">Before submitting the report to the competent authorities, operators and undertakings shall ensure that the report is </w:t>
            </w:r>
            <w:r w:rsidRPr="00F668A8">
              <w:rPr>
                <w:szCs w:val="24"/>
              </w:rPr>
              <w:t>assessed by a verifier and includes a verification statement issued in accordance with Article 8.</w:t>
            </w:r>
          </w:p>
        </w:tc>
      </w:tr>
      <w:tr w14:paraId="2100D5FC" w14:textId="77777777" w:rsidTr="007B3BB1">
        <w:tblPrEx>
          <w:tblW w:w="9752" w:type="dxa"/>
          <w:jc w:val="center"/>
          <w:tblLayout w:type="fixed"/>
          <w:tblLook w:val="0000"/>
        </w:tblPrEx>
        <w:trPr>
          <w:jc w:val="center"/>
        </w:trPr>
        <w:tc>
          <w:tcPr>
            <w:tcW w:w="4876" w:type="dxa"/>
          </w:tcPr>
          <w:p w:rsidR="00BA7CE6" w:rsidRPr="00F668A8" w:rsidP="007B3BB1" w14:paraId="1C2D3938" w14:textId="77777777">
            <w:pPr>
              <w:pStyle w:val="Normal6a"/>
            </w:pPr>
          </w:p>
        </w:tc>
        <w:tc>
          <w:tcPr>
            <w:tcW w:w="4876" w:type="dxa"/>
          </w:tcPr>
          <w:p w:rsidR="00BA7CE6" w:rsidRPr="00F668A8" w:rsidP="007B3BB1" w14:paraId="0DF8E89F" w14:textId="3979BF97">
            <w:pPr>
              <w:pStyle w:val="Normal6a"/>
              <w:rPr>
                <w:b/>
                <w:bCs/>
                <w:i/>
                <w:iCs/>
              </w:rPr>
            </w:pPr>
            <w:r w:rsidRPr="00F668A8">
              <w:rPr>
                <w:b/>
                <w:bCs/>
                <w:i/>
                <w:iCs/>
                <w:szCs w:val="24"/>
              </w:rPr>
              <w:t>Where operators deploy continuous site-level monitoring systems meeting the performance requirements laid down in the methodologies and standards adopted under this Regulation, the data from such systems shall be accepted as site-level measurements for the purposes of this paragraph and shall be deemed to satisfy the requirement for site-level measurement campaigns.</w:t>
            </w:r>
            <w:r w:rsidRPr="00F668A8" w:rsidR="00154C6A">
              <w:rPr>
                <w:b/>
                <w:bCs/>
                <w:i/>
                <w:iCs/>
                <w:szCs w:val="24"/>
              </w:rPr>
              <w:t>’</w:t>
            </w:r>
          </w:p>
        </w:tc>
      </w:tr>
    </w:tbl>
    <w:p w:rsidR="00BA7CE6" w:rsidRPr="00F668A8" w:rsidP="00BA7CE6" w14:paraId="35FED25A" w14:textId="77777777">
      <w:pPr>
        <w:rPr>
          <w:lang w:val="en-GB"/>
        </w:rPr>
      </w:pPr>
    </w:p>
    <w:p w:rsidR="00BA7CE6" w:rsidRPr="00F668A8" w:rsidP="00BA7CE6" w14:paraId="6C36B76E" w14:textId="0B2FE7CE">
      <w:pPr>
        <w:pStyle w:val="AmNumberTabs"/>
      </w:pPr>
      <w:r w:rsidRPr="00F668A8">
        <w:t>Amendment</w:t>
      </w:r>
      <w:r w:rsidRPr="00F668A8">
        <w:tab/>
      </w:r>
      <w:r w:rsidRPr="00F668A8">
        <w:tab/>
        <w:t>7</w:t>
      </w:r>
    </w:p>
    <w:p w:rsidR="00BA7CE6" w:rsidRPr="00F668A8" w:rsidP="00BA7CE6" w14:paraId="2EA8CF72" w14:textId="77777777">
      <w:pPr>
        <w:pStyle w:val="NormalBold"/>
      </w:pPr>
    </w:p>
    <w:p w:rsidR="00BA7CE6" w:rsidRPr="00F668A8" w:rsidP="00BA7CE6" w14:paraId="74879514" w14:textId="27D66243">
      <w:pPr>
        <w:pStyle w:val="NormalBold"/>
      </w:pPr>
      <w:r w:rsidRPr="00F668A8">
        <w:t>Proposal for a regulation</w:t>
      </w:r>
    </w:p>
    <w:p w:rsidR="00BA7CE6" w:rsidRPr="00F668A8" w:rsidP="00BA7CE6" w14:paraId="106F141C" w14:textId="7637F1FC">
      <w:pPr>
        <w:pStyle w:val="NormalBold"/>
        <w:rPr>
          <w:lang w:val="fr-BE"/>
        </w:rPr>
      </w:pPr>
      <w:r w:rsidRPr="00F668A8">
        <w:rPr>
          <w:bCs/>
          <w:lang w:val="fr-BE"/>
        </w:rPr>
        <w:t xml:space="preserve">Article 1 – </w:t>
      </w:r>
      <w:r w:rsidRPr="00F668A8">
        <w:rPr>
          <w:bCs/>
          <w:lang w:val="fr-BE"/>
        </w:rPr>
        <w:t>paragraph</w:t>
      </w:r>
      <w:r w:rsidRPr="00F668A8">
        <w:rPr>
          <w:bCs/>
          <w:lang w:val="fr-BE"/>
        </w:rPr>
        <w:t xml:space="preserve"> 1 – point 1 – point a</w:t>
      </w:r>
    </w:p>
    <w:p w:rsidR="00BA7CE6" w:rsidRPr="00F668A8" w:rsidP="00BA7CE6" w14:paraId="106322C2" w14:textId="0C4882FB">
      <w:pPr>
        <w:rPr>
          <w:lang w:val="fr-BE"/>
        </w:rPr>
      </w:pPr>
      <w:r w:rsidRPr="00F668A8">
        <w:rPr>
          <w:lang w:val="fr-BE"/>
        </w:rPr>
        <w:t>Regulation</w:t>
      </w:r>
      <w:r w:rsidRPr="00F668A8">
        <w:rPr>
          <w:lang w:val="fr-BE"/>
        </w:rPr>
        <w:t xml:space="preserve"> (EU) 2024/1787</w:t>
      </w:r>
    </w:p>
    <w:p w:rsidR="00BA7CE6" w:rsidRPr="00F668A8" w:rsidP="00BA7CE6" w14:paraId="463922E0" w14:textId="2FBD82D2">
      <w:pPr>
        <w:rPr>
          <w:lang w:val="fr-BE"/>
        </w:rPr>
      </w:pPr>
      <w:r w:rsidRPr="00F668A8">
        <w:rPr>
          <w:lang w:val="fr-BE"/>
        </w:rPr>
        <w:t xml:space="preserve">Article 28 – </w:t>
      </w:r>
      <w:r w:rsidRPr="00F668A8">
        <w:rPr>
          <w:lang w:val="fr-BE"/>
        </w:rPr>
        <w:t>paragraph</w:t>
      </w:r>
      <w:r w:rsidRPr="00F668A8">
        <w:rPr>
          <w:lang w:val="fr-BE"/>
        </w:rPr>
        <w:t xml:space="preserve"> 1</w:t>
      </w:r>
    </w:p>
    <w:tbl>
      <w:tblPr>
        <w:tblW w:w="9752" w:type="dxa"/>
        <w:jc w:val="center"/>
        <w:tblLayout w:type="fixed"/>
        <w:tblCellMar>
          <w:left w:w="340" w:type="dxa"/>
          <w:right w:w="340" w:type="dxa"/>
        </w:tblCellMar>
        <w:tblLook w:val="0000"/>
      </w:tblPr>
      <w:tblGrid>
        <w:gridCol w:w="4876"/>
        <w:gridCol w:w="4876"/>
      </w:tblGrid>
      <w:tr w14:paraId="0D0BE931" w14:textId="77777777" w:rsidTr="007B3BB1">
        <w:tblPrEx>
          <w:tblW w:w="9752" w:type="dxa"/>
          <w:jc w:val="center"/>
          <w:tblLayout w:type="fixed"/>
          <w:tblLook w:val="0000"/>
        </w:tblPrEx>
        <w:trPr>
          <w:jc w:val="center"/>
        </w:trPr>
        <w:tc>
          <w:tcPr>
            <w:tcW w:w="9752" w:type="dxa"/>
            <w:gridSpan w:val="2"/>
          </w:tcPr>
          <w:p w:rsidR="00BA7CE6" w:rsidRPr="00F668A8" w:rsidP="007B3BB1" w14:paraId="18FBC045" w14:textId="77777777">
            <w:pPr>
              <w:keepNext/>
              <w:rPr>
                <w:lang w:val="fr-BE"/>
              </w:rPr>
            </w:pPr>
          </w:p>
        </w:tc>
      </w:tr>
      <w:tr w14:paraId="0721EB40" w14:textId="77777777" w:rsidTr="007B3BB1">
        <w:tblPrEx>
          <w:tblW w:w="9752" w:type="dxa"/>
          <w:jc w:val="center"/>
          <w:tblLayout w:type="fixed"/>
          <w:tblLook w:val="0000"/>
        </w:tblPrEx>
        <w:trPr>
          <w:jc w:val="center"/>
        </w:trPr>
        <w:tc>
          <w:tcPr>
            <w:tcW w:w="4876" w:type="dxa"/>
          </w:tcPr>
          <w:p w:rsidR="00BA7CE6" w:rsidRPr="00F668A8" w:rsidP="007B3BB1" w14:paraId="1CFDB347" w14:textId="77777777">
            <w:pPr>
              <w:pStyle w:val="AmColumnHeading"/>
              <w:keepNext/>
            </w:pPr>
            <w:r w:rsidRPr="00F668A8">
              <w:t>Text proposed by the Commission</w:t>
            </w:r>
          </w:p>
        </w:tc>
        <w:tc>
          <w:tcPr>
            <w:tcW w:w="4876" w:type="dxa"/>
          </w:tcPr>
          <w:p w:rsidR="00BA7CE6" w:rsidRPr="00F668A8" w:rsidP="007B3BB1" w14:paraId="4BD3604B" w14:textId="77777777">
            <w:pPr>
              <w:pStyle w:val="AmColumnHeading"/>
              <w:keepNext/>
            </w:pPr>
            <w:r w:rsidRPr="00F668A8">
              <w:t>Amendment</w:t>
            </w:r>
          </w:p>
        </w:tc>
      </w:tr>
      <w:tr w14:paraId="28E8BEFF" w14:textId="77777777" w:rsidTr="007B3BB1">
        <w:tblPrEx>
          <w:tblW w:w="9752" w:type="dxa"/>
          <w:jc w:val="center"/>
          <w:tblLayout w:type="fixed"/>
          <w:tblLook w:val="0000"/>
        </w:tblPrEx>
        <w:trPr>
          <w:jc w:val="center"/>
        </w:trPr>
        <w:tc>
          <w:tcPr>
            <w:tcW w:w="4876" w:type="dxa"/>
          </w:tcPr>
          <w:p w:rsidR="00BA7CE6" w:rsidRPr="00F668A8" w:rsidP="007B3BB1" w14:paraId="3B4AAD19" w14:textId="77777777">
            <w:pPr>
              <w:pStyle w:val="Normal6a"/>
              <w:rPr>
                <w:szCs w:val="24"/>
              </w:rPr>
            </w:pPr>
          </w:p>
        </w:tc>
        <w:tc>
          <w:tcPr>
            <w:tcW w:w="4876" w:type="dxa"/>
          </w:tcPr>
          <w:p w:rsidR="00BA7CE6" w:rsidRPr="00F668A8" w:rsidP="007B3BB1" w14:paraId="3ADF706C" w14:textId="77777777">
            <w:pPr>
              <w:pStyle w:val="Normal6a"/>
            </w:pPr>
          </w:p>
        </w:tc>
      </w:tr>
      <w:tr w14:paraId="668570FD" w14:textId="77777777" w:rsidTr="007B3BB1">
        <w:tblPrEx>
          <w:tblW w:w="9752" w:type="dxa"/>
          <w:jc w:val="center"/>
          <w:tblLayout w:type="fixed"/>
          <w:tblLook w:val="0000"/>
        </w:tblPrEx>
        <w:trPr>
          <w:jc w:val="center"/>
        </w:trPr>
        <w:tc>
          <w:tcPr>
            <w:tcW w:w="4876" w:type="dxa"/>
          </w:tcPr>
          <w:p w:rsidR="00BA7CE6" w:rsidRPr="00F668A8" w:rsidP="007B3BB1" w14:paraId="03F3F55D" w14:textId="77777777">
            <w:pPr>
              <w:pStyle w:val="Normal6a"/>
              <w:rPr>
                <w:szCs w:val="24"/>
              </w:rPr>
            </w:pPr>
            <w:r w:rsidRPr="00F668A8">
              <w:rPr>
                <w:szCs w:val="24"/>
              </w:rPr>
              <w:t xml:space="preserve">‘By 31 May </w:t>
            </w:r>
            <w:r w:rsidRPr="00F668A8">
              <w:rPr>
                <w:b/>
                <w:bCs/>
                <w:i/>
                <w:iCs/>
                <w:szCs w:val="24"/>
              </w:rPr>
              <w:t>2029</w:t>
            </w:r>
            <w:r w:rsidRPr="00F668A8">
              <w:rPr>
                <w:szCs w:val="24"/>
              </w:rPr>
              <w:t xml:space="preserve"> and every year thereafter, importers shall demonstrate, and report in accordance with Article 27(1),</w:t>
            </w:r>
            <w:r w:rsidRPr="00F668A8">
              <w:rPr>
                <w:rFonts w:ascii="Europea" w:hAnsi="Europea"/>
                <w:sz w:val="22"/>
                <w:szCs w:val="22"/>
              </w:rPr>
              <w:t xml:space="preserve"> </w:t>
            </w:r>
            <w:r w:rsidRPr="00F668A8">
              <w:rPr>
                <w:szCs w:val="24"/>
              </w:rPr>
              <w:t>to the competent authorities of the Member State in which they are established that the contracts concluded or renewed on or after 4 August 2024 for the previous calendar year’s supply of crude oil, natural gas or coal produced outside the Union cover only crude oil, natural gas or coal that is subject to monitoring, reporting and verification measures applied at the level of the producer that are equivalent to those set out in this Regulation.’</w:t>
            </w:r>
          </w:p>
        </w:tc>
        <w:tc>
          <w:tcPr>
            <w:tcW w:w="4876" w:type="dxa"/>
          </w:tcPr>
          <w:p w:rsidR="00BA7CE6" w:rsidRPr="00F668A8" w:rsidP="007B3BB1" w14:paraId="41189128" w14:textId="77777777">
            <w:pPr>
              <w:pStyle w:val="Normal6a"/>
            </w:pPr>
            <w:r w:rsidRPr="00F668A8">
              <w:t xml:space="preserve">‘By 31 May </w:t>
            </w:r>
            <w:r w:rsidRPr="00F668A8">
              <w:rPr>
                <w:b/>
                <w:bCs/>
                <w:i/>
                <w:iCs/>
              </w:rPr>
              <w:t>2031</w:t>
            </w:r>
            <w:r w:rsidRPr="00F668A8">
              <w:t xml:space="preserve"> and every year thereafter, importers shall demonstrate, and report in accordance with Article 27(1), </w:t>
            </w:r>
            <w:r w:rsidRPr="00F668A8">
              <w:rPr>
                <w:szCs w:val="24"/>
              </w:rPr>
              <w:t>to the competent authorities of the Member State in which they are established that the contracts concluded or renewed on or after 4 August 2024 for the previous calendar year’s supply of crude oil, natural gas or coal produced outside the Union cover only crude oil, natural gas or coal that is subject to monitoring, reporting and verification measures applied at the level of the producer that are equivalent to those set out in this Regulation.’</w:t>
            </w:r>
          </w:p>
        </w:tc>
      </w:tr>
    </w:tbl>
    <w:p w:rsidR="00BA7CE6" w:rsidRPr="00F668A8" w:rsidP="00BA7CE6" w14:paraId="5607F3C9" w14:textId="77777777">
      <w:pPr>
        <w:rPr>
          <w:lang w:val="en-GB"/>
        </w:rPr>
      </w:pPr>
    </w:p>
    <w:p w:rsidR="009421B9" w:rsidRPr="00F668A8" w:rsidP="009421B9" w14:paraId="03DB100C" w14:textId="42FEEA59">
      <w:pPr>
        <w:pStyle w:val="AmNumberTabs"/>
      </w:pPr>
      <w:r w:rsidRPr="00F668A8">
        <w:t>Amendments</w:t>
      </w:r>
      <w:r w:rsidRPr="00F668A8">
        <w:tab/>
      </w:r>
      <w:r w:rsidRPr="00F668A8">
        <w:tab/>
        <w:t>8 and 28</w:t>
      </w:r>
    </w:p>
    <w:p w:rsidR="009421B9" w:rsidRPr="00F668A8" w:rsidP="009421B9" w14:paraId="320DEC31" w14:textId="77777777">
      <w:pPr>
        <w:pStyle w:val="NormalBold"/>
      </w:pPr>
    </w:p>
    <w:p w:rsidR="009421B9" w:rsidRPr="00F668A8" w:rsidP="009421B9" w14:paraId="4A3B8492" w14:textId="7DDB74AE">
      <w:pPr>
        <w:pStyle w:val="NormalBold"/>
      </w:pPr>
      <w:r w:rsidRPr="00F668A8">
        <w:t>Proposal for a regulation</w:t>
      </w:r>
    </w:p>
    <w:p w:rsidR="009421B9" w:rsidRPr="00F668A8" w:rsidP="009421B9" w14:paraId="6859A390" w14:textId="310AC3D9">
      <w:pPr>
        <w:pStyle w:val="NormalBold"/>
        <w:rPr>
          <w:lang w:val="fr-BE"/>
        </w:rPr>
      </w:pPr>
      <w:r w:rsidRPr="00F668A8">
        <w:rPr>
          <w:bCs/>
          <w:lang w:val="fr-BE"/>
        </w:rPr>
        <w:t xml:space="preserve">Article 1 – </w:t>
      </w:r>
      <w:r w:rsidRPr="00F668A8">
        <w:rPr>
          <w:bCs/>
          <w:lang w:val="fr-BE"/>
        </w:rPr>
        <w:t>paragraph</w:t>
      </w:r>
      <w:r w:rsidRPr="00F668A8">
        <w:rPr>
          <w:bCs/>
          <w:lang w:val="fr-BE"/>
        </w:rPr>
        <w:t xml:space="preserve"> 1 – point 1 – point b</w:t>
      </w:r>
    </w:p>
    <w:p w:rsidR="009421B9" w:rsidRPr="00F668A8" w:rsidP="009421B9" w14:paraId="51E4B2F0" w14:textId="68435785">
      <w:pPr>
        <w:rPr>
          <w:lang w:val="fr-BE"/>
        </w:rPr>
      </w:pPr>
      <w:r w:rsidRPr="00F668A8">
        <w:rPr>
          <w:lang w:val="fr-BE"/>
        </w:rPr>
        <w:t>Regulation</w:t>
      </w:r>
      <w:r w:rsidRPr="00F668A8">
        <w:rPr>
          <w:lang w:val="fr-BE"/>
        </w:rPr>
        <w:t xml:space="preserve"> (EU) 2024/1787</w:t>
      </w:r>
    </w:p>
    <w:p w:rsidR="009421B9" w:rsidRPr="00F668A8" w:rsidP="009421B9" w14:paraId="4DB1830B" w14:textId="7A1BE9A5">
      <w:pPr>
        <w:rPr>
          <w:lang w:val="fr-BE"/>
        </w:rPr>
      </w:pPr>
      <w:r w:rsidRPr="00F668A8">
        <w:rPr>
          <w:lang w:val="fr-BE"/>
        </w:rPr>
        <w:t xml:space="preserve">Article 28 – </w:t>
      </w:r>
      <w:r w:rsidRPr="00F668A8">
        <w:rPr>
          <w:lang w:val="fr-BE"/>
        </w:rPr>
        <w:t>paragraph</w:t>
      </w:r>
      <w:r w:rsidRPr="00F668A8">
        <w:rPr>
          <w:lang w:val="fr-BE"/>
        </w:rPr>
        <w:t xml:space="preserve"> 2 – </w:t>
      </w:r>
      <w:r w:rsidRPr="00F668A8">
        <w:rPr>
          <w:lang w:val="fr-BE"/>
        </w:rPr>
        <w:t>subparagraph</w:t>
      </w:r>
      <w:r w:rsidRPr="00F668A8">
        <w:rPr>
          <w:lang w:val="fr-BE"/>
        </w:rPr>
        <w:t xml:space="preserve"> 2</w:t>
      </w:r>
    </w:p>
    <w:tbl>
      <w:tblPr>
        <w:tblW w:w="9752" w:type="dxa"/>
        <w:jc w:val="center"/>
        <w:tblLayout w:type="fixed"/>
        <w:tblCellMar>
          <w:left w:w="340" w:type="dxa"/>
          <w:right w:w="340" w:type="dxa"/>
        </w:tblCellMar>
        <w:tblLook w:val="0000"/>
      </w:tblPr>
      <w:tblGrid>
        <w:gridCol w:w="4876"/>
        <w:gridCol w:w="4876"/>
      </w:tblGrid>
      <w:tr w14:paraId="62A992AB" w14:textId="77777777" w:rsidTr="007B3BB1">
        <w:tblPrEx>
          <w:tblW w:w="9752" w:type="dxa"/>
          <w:jc w:val="center"/>
          <w:tblLayout w:type="fixed"/>
          <w:tblLook w:val="0000"/>
        </w:tblPrEx>
        <w:trPr>
          <w:jc w:val="center"/>
        </w:trPr>
        <w:tc>
          <w:tcPr>
            <w:tcW w:w="9752" w:type="dxa"/>
            <w:gridSpan w:val="2"/>
          </w:tcPr>
          <w:p w:rsidR="009421B9" w:rsidRPr="00F668A8" w:rsidP="007B3BB1" w14:paraId="2DFD1F61" w14:textId="77777777">
            <w:pPr>
              <w:keepNext/>
              <w:rPr>
                <w:lang w:val="fr-BE"/>
              </w:rPr>
            </w:pPr>
          </w:p>
        </w:tc>
      </w:tr>
      <w:tr w14:paraId="4983F579" w14:textId="77777777" w:rsidTr="007B3BB1">
        <w:tblPrEx>
          <w:tblW w:w="9752" w:type="dxa"/>
          <w:jc w:val="center"/>
          <w:tblLayout w:type="fixed"/>
          <w:tblLook w:val="0000"/>
        </w:tblPrEx>
        <w:trPr>
          <w:jc w:val="center"/>
        </w:trPr>
        <w:tc>
          <w:tcPr>
            <w:tcW w:w="4876" w:type="dxa"/>
          </w:tcPr>
          <w:p w:rsidR="009421B9" w:rsidRPr="00F668A8" w:rsidP="007B3BB1" w14:paraId="1E6CA06F" w14:textId="77777777">
            <w:pPr>
              <w:pStyle w:val="AmColumnHeading"/>
              <w:keepNext/>
            </w:pPr>
            <w:r w:rsidRPr="00F668A8">
              <w:t>Text proposed by the Commission</w:t>
            </w:r>
          </w:p>
        </w:tc>
        <w:tc>
          <w:tcPr>
            <w:tcW w:w="4876" w:type="dxa"/>
          </w:tcPr>
          <w:p w:rsidR="009421B9" w:rsidRPr="00F668A8" w:rsidP="007B3BB1" w14:paraId="485394E5" w14:textId="77777777">
            <w:pPr>
              <w:pStyle w:val="AmColumnHeading"/>
              <w:keepNext/>
            </w:pPr>
            <w:r w:rsidRPr="00F668A8">
              <w:t>Amendment</w:t>
            </w:r>
          </w:p>
        </w:tc>
      </w:tr>
      <w:tr w14:paraId="57BA1831" w14:textId="77777777" w:rsidTr="007B3BB1">
        <w:tblPrEx>
          <w:tblW w:w="9752" w:type="dxa"/>
          <w:jc w:val="center"/>
          <w:tblLayout w:type="fixed"/>
          <w:tblLook w:val="0000"/>
        </w:tblPrEx>
        <w:trPr>
          <w:jc w:val="center"/>
        </w:trPr>
        <w:tc>
          <w:tcPr>
            <w:tcW w:w="4876" w:type="dxa"/>
          </w:tcPr>
          <w:p w:rsidR="009421B9" w:rsidRPr="00F668A8" w:rsidP="007B3BB1" w14:paraId="666D0C74" w14:textId="77777777">
            <w:pPr>
              <w:pStyle w:val="Normal6a"/>
            </w:pPr>
          </w:p>
        </w:tc>
        <w:tc>
          <w:tcPr>
            <w:tcW w:w="4876" w:type="dxa"/>
          </w:tcPr>
          <w:p w:rsidR="009421B9" w:rsidRPr="00F668A8" w:rsidP="007B3BB1" w14:paraId="0083B4C2" w14:textId="77777777">
            <w:pPr>
              <w:pStyle w:val="Normal6a"/>
              <w:rPr>
                <w:szCs w:val="24"/>
              </w:rPr>
            </w:pPr>
          </w:p>
        </w:tc>
      </w:tr>
      <w:tr w14:paraId="03DFA1B9" w14:textId="77777777" w:rsidTr="007B3BB1">
        <w:tblPrEx>
          <w:tblW w:w="9752" w:type="dxa"/>
          <w:jc w:val="center"/>
          <w:tblLayout w:type="fixed"/>
          <w:tblLook w:val="0000"/>
        </w:tblPrEx>
        <w:trPr>
          <w:jc w:val="center"/>
        </w:trPr>
        <w:tc>
          <w:tcPr>
            <w:tcW w:w="4876" w:type="dxa"/>
          </w:tcPr>
          <w:p w:rsidR="009421B9" w:rsidRPr="00F668A8" w:rsidP="007B3BB1" w14:paraId="193F05F7" w14:textId="77777777">
            <w:pPr>
              <w:pStyle w:val="Normal6a"/>
              <w:rPr>
                <w:szCs w:val="24"/>
              </w:rPr>
            </w:pPr>
            <w:r w:rsidRPr="00F668A8">
              <w:rPr>
                <w:szCs w:val="24"/>
              </w:rPr>
              <w:t xml:space="preserve">‘By 31 May </w:t>
            </w:r>
            <w:r w:rsidRPr="00F668A8">
              <w:rPr>
                <w:b/>
                <w:bCs/>
                <w:i/>
                <w:iCs/>
                <w:szCs w:val="24"/>
              </w:rPr>
              <w:t>2029</w:t>
            </w:r>
            <w:r w:rsidRPr="00F668A8">
              <w:rPr>
                <w:szCs w:val="24"/>
              </w:rPr>
              <w:t xml:space="preserve"> and every year thereafter, importers shall annually inform the competent authorities of the Member State in which they are established of the results of such efforts for the previous calendar year, as part of the information to be provided pursuant to Article 27(1) and, in case of failure, provide sound justification to those competent authorities for such failure and set out the actions that they have undertaken as part of those efforts.’</w:t>
            </w:r>
          </w:p>
          <w:p w:rsidR="009421B9" w:rsidRPr="00F668A8" w:rsidP="007B3BB1" w14:paraId="21D4A4D5" w14:textId="77777777">
            <w:pPr>
              <w:pStyle w:val="Normal6a"/>
              <w:rPr>
                <w:szCs w:val="24"/>
              </w:rPr>
            </w:pPr>
          </w:p>
        </w:tc>
        <w:tc>
          <w:tcPr>
            <w:tcW w:w="4876" w:type="dxa"/>
          </w:tcPr>
          <w:p w:rsidR="009421B9" w:rsidRPr="00F668A8" w:rsidP="007B3BB1" w14:paraId="75C43985" w14:textId="77777777">
            <w:pPr>
              <w:pStyle w:val="Normal6a"/>
            </w:pPr>
            <w:r w:rsidRPr="00F668A8">
              <w:t xml:space="preserve">‘By 31 May </w:t>
            </w:r>
            <w:r w:rsidRPr="00F668A8">
              <w:rPr>
                <w:b/>
                <w:bCs/>
                <w:i/>
                <w:iCs/>
              </w:rPr>
              <w:t xml:space="preserve">2031 </w:t>
            </w:r>
            <w:r w:rsidRPr="00F668A8">
              <w:t xml:space="preserve">and every year thereafter, importers shall annually inform the competent authorities of the Member State in which they are established of the results of such efforts for the previous calendar year, </w:t>
            </w:r>
            <w:r w:rsidRPr="00F668A8">
              <w:rPr>
                <w:szCs w:val="24"/>
              </w:rPr>
              <w:t>as part of the information to be provided pursuant to Article 27(1) and, in case of failure, provide sound justification to those competent authorities for such failure and set out the actions that they have undertaken as part of those efforts.’</w:t>
            </w:r>
          </w:p>
        </w:tc>
      </w:tr>
    </w:tbl>
    <w:p w:rsidR="00BA7CE6" w:rsidRPr="00F668A8" w:rsidP="00BA7CE6" w14:paraId="66773BE1" w14:textId="77777777">
      <w:pPr>
        <w:rPr>
          <w:lang w:val="en-GB"/>
        </w:rPr>
      </w:pPr>
    </w:p>
    <w:p w:rsidR="009421B9" w:rsidRPr="00F668A8" w:rsidP="009421B9" w14:paraId="53A583AE" w14:textId="3CBE45F0">
      <w:pPr>
        <w:pStyle w:val="AmNumberTabs"/>
      </w:pPr>
      <w:r w:rsidRPr="00F668A8">
        <w:t>Amendment</w:t>
      </w:r>
      <w:r w:rsidRPr="00F668A8">
        <w:tab/>
      </w:r>
      <w:r w:rsidRPr="00F668A8">
        <w:tab/>
        <w:t>9</w:t>
      </w:r>
    </w:p>
    <w:p w:rsidR="009421B9" w:rsidRPr="00F668A8" w:rsidP="009421B9" w14:paraId="243E2F8D" w14:textId="77777777">
      <w:pPr>
        <w:pStyle w:val="NormalBold"/>
      </w:pPr>
    </w:p>
    <w:p w:rsidR="009421B9" w:rsidRPr="00F668A8" w:rsidP="009421B9" w14:paraId="54CB11C7" w14:textId="67696924">
      <w:pPr>
        <w:pStyle w:val="NormalBold"/>
      </w:pPr>
      <w:r w:rsidRPr="00F668A8">
        <w:t>Proposal for a regulation</w:t>
      </w:r>
    </w:p>
    <w:p w:rsidR="009421B9" w:rsidRPr="00F668A8" w:rsidP="009421B9" w14:paraId="0D75D670" w14:textId="3E2E3DF8">
      <w:pPr>
        <w:pStyle w:val="NormalBold"/>
        <w:rPr>
          <w:lang w:val="fr-BE"/>
        </w:rPr>
      </w:pPr>
      <w:r w:rsidRPr="00F668A8">
        <w:rPr>
          <w:bCs/>
          <w:lang w:val="fr-BE"/>
        </w:rPr>
        <w:t xml:space="preserve">Article 1 – </w:t>
      </w:r>
      <w:r w:rsidRPr="00F668A8">
        <w:rPr>
          <w:bCs/>
          <w:lang w:val="fr-BE"/>
        </w:rPr>
        <w:t>paragraph</w:t>
      </w:r>
      <w:r w:rsidRPr="00F668A8">
        <w:rPr>
          <w:bCs/>
          <w:lang w:val="fr-BE"/>
        </w:rPr>
        <w:t xml:space="preserve"> 1 – point 2 – point a</w:t>
      </w:r>
    </w:p>
    <w:p w:rsidR="009421B9" w:rsidRPr="00F668A8" w:rsidP="009421B9" w14:paraId="7CB043AD" w14:textId="26F7A3D0">
      <w:pPr>
        <w:rPr>
          <w:lang w:val="fr-BE"/>
        </w:rPr>
      </w:pPr>
      <w:r w:rsidRPr="00F668A8">
        <w:rPr>
          <w:lang w:val="fr-BE"/>
        </w:rPr>
        <w:t>Regulation</w:t>
      </w:r>
      <w:r w:rsidRPr="00F668A8">
        <w:rPr>
          <w:lang w:val="fr-BE"/>
        </w:rPr>
        <w:t xml:space="preserve"> (EU) 2024/1787</w:t>
      </w:r>
    </w:p>
    <w:p w:rsidR="009421B9" w:rsidRPr="00F668A8" w:rsidP="009421B9" w14:paraId="11213E82" w14:textId="7C909CEE">
      <w:pPr>
        <w:rPr>
          <w:lang w:val="fr-BE"/>
        </w:rPr>
      </w:pPr>
      <w:r w:rsidRPr="00F668A8">
        <w:rPr>
          <w:lang w:val="fr-BE"/>
        </w:rPr>
        <w:t xml:space="preserve">Article 29 – </w:t>
      </w:r>
      <w:r w:rsidRPr="00F668A8">
        <w:rPr>
          <w:lang w:val="fr-BE"/>
        </w:rPr>
        <w:t>paragraph</w:t>
      </w:r>
      <w:r w:rsidRPr="00F668A8">
        <w:rPr>
          <w:lang w:val="fr-BE"/>
        </w:rPr>
        <w:t xml:space="preserve"> 1</w:t>
      </w:r>
    </w:p>
    <w:tbl>
      <w:tblPr>
        <w:tblW w:w="9752" w:type="dxa"/>
        <w:jc w:val="center"/>
        <w:tblLayout w:type="fixed"/>
        <w:tblCellMar>
          <w:left w:w="340" w:type="dxa"/>
          <w:right w:w="340" w:type="dxa"/>
        </w:tblCellMar>
        <w:tblLook w:val="0000"/>
      </w:tblPr>
      <w:tblGrid>
        <w:gridCol w:w="4876"/>
        <w:gridCol w:w="4876"/>
      </w:tblGrid>
      <w:tr w14:paraId="7E8BD80A" w14:textId="77777777" w:rsidTr="007B3BB1">
        <w:tblPrEx>
          <w:tblW w:w="9752" w:type="dxa"/>
          <w:jc w:val="center"/>
          <w:tblLayout w:type="fixed"/>
          <w:tblLook w:val="0000"/>
        </w:tblPrEx>
        <w:trPr>
          <w:jc w:val="center"/>
        </w:trPr>
        <w:tc>
          <w:tcPr>
            <w:tcW w:w="9752" w:type="dxa"/>
            <w:gridSpan w:val="2"/>
          </w:tcPr>
          <w:p w:rsidR="009421B9" w:rsidRPr="00F668A8" w:rsidP="007B3BB1" w14:paraId="4367C20A" w14:textId="77777777">
            <w:pPr>
              <w:keepNext/>
              <w:rPr>
                <w:lang w:val="fr-BE"/>
              </w:rPr>
            </w:pPr>
          </w:p>
        </w:tc>
      </w:tr>
      <w:tr w14:paraId="4E0BE134" w14:textId="77777777" w:rsidTr="007B3BB1">
        <w:tblPrEx>
          <w:tblW w:w="9752" w:type="dxa"/>
          <w:jc w:val="center"/>
          <w:tblLayout w:type="fixed"/>
          <w:tblLook w:val="0000"/>
        </w:tblPrEx>
        <w:trPr>
          <w:jc w:val="center"/>
        </w:trPr>
        <w:tc>
          <w:tcPr>
            <w:tcW w:w="4876" w:type="dxa"/>
          </w:tcPr>
          <w:p w:rsidR="009421B9" w:rsidRPr="00F668A8" w:rsidP="007B3BB1" w14:paraId="55EBF2BD" w14:textId="77777777">
            <w:pPr>
              <w:pStyle w:val="AmColumnHeading"/>
              <w:keepNext/>
            </w:pPr>
            <w:r w:rsidRPr="00F668A8">
              <w:t>Text proposed by the Commission</w:t>
            </w:r>
          </w:p>
        </w:tc>
        <w:tc>
          <w:tcPr>
            <w:tcW w:w="4876" w:type="dxa"/>
          </w:tcPr>
          <w:p w:rsidR="009421B9" w:rsidRPr="00F668A8" w:rsidP="007B3BB1" w14:paraId="57CC2748" w14:textId="77777777">
            <w:pPr>
              <w:pStyle w:val="AmColumnHeading"/>
              <w:keepNext/>
            </w:pPr>
            <w:r w:rsidRPr="00F668A8">
              <w:t>Amendment</w:t>
            </w:r>
          </w:p>
        </w:tc>
      </w:tr>
      <w:tr w14:paraId="47BC9FDA" w14:textId="77777777" w:rsidTr="007B3BB1">
        <w:tblPrEx>
          <w:tblW w:w="9752" w:type="dxa"/>
          <w:jc w:val="center"/>
          <w:tblLayout w:type="fixed"/>
          <w:tblLook w:val="0000"/>
        </w:tblPrEx>
        <w:trPr>
          <w:jc w:val="center"/>
        </w:trPr>
        <w:tc>
          <w:tcPr>
            <w:tcW w:w="4876" w:type="dxa"/>
          </w:tcPr>
          <w:p w:rsidR="009421B9" w:rsidRPr="00F668A8" w:rsidP="007B3BB1" w14:paraId="38CB5EE2" w14:textId="77777777">
            <w:pPr>
              <w:pStyle w:val="Normal6a"/>
              <w:rPr>
                <w:szCs w:val="24"/>
              </w:rPr>
            </w:pPr>
          </w:p>
        </w:tc>
        <w:tc>
          <w:tcPr>
            <w:tcW w:w="4876" w:type="dxa"/>
          </w:tcPr>
          <w:p w:rsidR="009421B9" w:rsidRPr="00F668A8" w:rsidP="007B3BB1" w14:paraId="6D03D984" w14:textId="77777777">
            <w:pPr>
              <w:pStyle w:val="Normal6a"/>
            </w:pPr>
          </w:p>
        </w:tc>
      </w:tr>
      <w:tr w14:paraId="649D3E92" w14:textId="77777777" w:rsidTr="007B3BB1">
        <w:tblPrEx>
          <w:tblW w:w="9752" w:type="dxa"/>
          <w:jc w:val="center"/>
          <w:tblLayout w:type="fixed"/>
          <w:tblLook w:val="0000"/>
        </w:tblPrEx>
        <w:trPr>
          <w:jc w:val="center"/>
        </w:trPr>
        <w:tc>
          <w:tcPr>
            <w:tcW w:w="4876" w:type="dxa"/>
          </w:tcPr>
          <w:p w:rsidR="009421B9" w:rsidRPr="00F668A8" w:rsidP="007B3BB1" w14:paraId="2A4D54A0" w14:textId="77777777">
            <w:pPr>
              <w:pStyle w:val="Normal6a"/>
            </w:pPr>
            <w:r w:rsidRPr="00F668A8">
              <w:rPr>
                <w:szCs w:val="24"/>
              </w:rPr>
              <w:t xml:space="preserve">‘By 5 August </w:t>
            </w:r>
            <w:r w:rsidRPr="00F668A8">
              <w:rPr>
                <w:b/>
                <w:bCs/>
                <w:i/>
                <w:iCs/>
                <w:szCs w:val="24"/>
              </w:rPr>
              <w:t>2029</w:t>
            </w:r>
            <w:r w:rsidRPr="00F668A8">
              <w:rPr>
                <w:szCs w:val="24"/>
              </w:rPr>
              <w:t xml:space="preserve"> and by 31 May every year thereafter, for the supply contracts concluded or renewed on or after 4 August 2024 Union producers and, pursuant to Article 27(1), importers shall report to the competent authorities of the Member State in which they are established the methane intensity of the production of crude oil, natural gas and coal placed by them on the Union market in the previous calendar year, calculated in accordance with the methodology set out pursuant to paragraph 4 of this Article. </w:t>
            </w:r>
          </w:p>
        </w:tc>
        <w:tc>
          <w:tcPr>
            <w:tcW w:w="4876" w:type="dxa"/>
          </w:tcPr>
          <w:p w:rsidR="009421B9" w:rsidRPr="00F668A8" w:rsidP="007B3BB1" w14:paraId="73B43D36" w14:textId="77777777">
            <w:pPr>
              <w:pStyle w:val="Normal6a"/>
              <w:rPr>
                <w:szCs w:val="24"/>
              </w:rPr>
            </w:pPr>
            <w:r w:rsidRPr="00F668A8">
              <w:t xml:space="preserve">‘By 5 August </w:t>
            </w:r>
            <w:r w:rsidRPr="00F668A8">
              <w:rPr>
                <w:b/>
                <w:bCs/>
                <w:i/>
                <w:iCs/>
              </w:rPr>
              <w:t>2031</w:t>
            </w:r>
            <w:r w:rsidRPr="00F668A8">
              <w:t xml:space="preserve"> and by 31 May every year thereafter, for the supply contracts concluded or renewed on or after 4 August 2024 Union producers and, pursuant to Article 27(1), importers shall report to the competent authorities of the Member State in which they are established the methane intensity of the production of crude oil, natural gas and coal placed by them on the Union market in the previous calendar year, calculated in accordance with the methodology set out pursuant to paragraph 4 of this Article. </w:t>
            </w:r>
          </w:p>
        </w:tc>
      </w:tr>
      <w:tr w14:paraId="784E9382" w14:textId="77777777" w:rsidTr="007B3BB1">
        <w:tblPrEx>
          <w:tblW w:w="9752" w:type="dxa"/>
          <w:jc w:val="center"/>
          <w:tblLayout w:type="fixed"/>
          <w:tblLook w:val="0000"/>
        </w:tblPrEx>
        <w:trPr>
          <w:jc w:val="center"/>
        </w:trPr>
        <w:tc>
          <w:tcPr>
            <w:tcW w:w="4876" w:type="dxa"/>
          </w:tcPr>
          <w:p w:rsidR="009421B9" w:rsidRPr="00F668A8" w:rsidP="007B3BB1" w14:paraId="7F764DE9" w14:textId="77777777">
            <w:pPr>
              <w:pStyle w:val="Normal6a"/>
              <w:rPr>
                <w:szCs w:val="24"/>
              </w:rPr>
            </w:pPr>
            <w:r w:rsidRPr="00F668A8">
              <w:rPr>
                <w:szCs w:val="24"/>
              </w:rPr>
              <w:t xml:space="preserve">For supply contracts concluded before 4 August 2024, Union producers and, pursuant to Article 27(1), importers shall undertake all reasonable efforts to report to the competent authorities of the Member State in which they are established the methane intensity of the production of </w:t>
            </w:r>
            <w:r w:rsidRPr="00F668A8">
              <w:rPr>
                <w:szCs w:val="24"/>
              </w:rPr>
              <w:t xml:space="preserve">crude oil, natural gas and coal placed by them on the Union market in the previous calendar year, calculated in accordance with the methodology set out pursuant to paragraph 4 of this Article. By 5 August </w:t>
            </w:r>
            <w:r w:rsidRPr="00F668A8">
              <w:rPr>
                <w:b/>
                <w:bCs/>
                <w:i/>
                <w:iCs/>
                <w:szCs w:val="24"/>
              </w:rPr>
              <w:t>2029</w:t>
            </w:r>
            <w:r w:rsidRPr="00F668A8">
              <w:rPr>
                <w:szCs w:val="24"/>
              </w:rPr>
              <w:t xml:space="preserve"> and by 31 May every year thereafter, Union producers and importers placing crude oil, natural gas or coal on the Union market shall report annually to the competent authorities of the Member State in which they are established of the results of such efforts.’;</w:t>
            </w:r>
          </w:p>
        </w:tc>
        <w:tc>
          <w:tcPr>
            <w:tcW w:w="4876" w:type="dxa"/>
          </w:tcPr>
          <w:p w:rsidR="009421B9" w:rsidRPr="00F668A8" w:rsidP="007B3BB1" w14:paraId="7897F2E7" w14:textId="77777777">
            <w:pPr>
              <w:pStyle w:val="Normal6a"/>
            </w:pPr>
            <w:r w:rsidRPr="00F668A8">
              <w:t xml:space="preserve">For supply contracts concluded before 4 August 2024, Union producers and, pursuant to Article 27(1), importers shall undertake all reasonable efforts to report to the competent authorities of the Member State in which they are established the methane intensity of the production of </w:t>
            </w:r>
            <w:r w:rsidRPr="00F668A8">
              <w:t xml:space="preserve">crude oil, natural gas and coal placed by them on the Union market in the previous calendar year, calculated in accordance with the methodology set out pursuant to paragraph 4 of this Article. By 5 August </w:t>
            </w:r>
            <w:r w:rsidRPr="00F668A8">
              <w:rPr>
                <w:b/>
                <w:bCs/>
                <w:i/>
                <w:iCs/>
              </w:rPr>
              <w:t>2031</w:t>
            </w:r>
            <w:r w:rsidRPr="00F668A8">
              <w:t xml:space="preserve"> and by 31 May every year thereafter, Union producers and importers placing crude oil, natural gas or coal on the Union market shall report annually to the competent authorities of the Member State in which they are established of the results of such efforts.’;</w:t>
            </w:r>
          </w:p>
        </w:tc>
      </w:tr>
    </w:tbl>
    <w:p w:rsidR="009421B9" w:rsidRPr="00F668A8" w:rsidP="00BA7CE6" w14:paraId="017C6E70" w14:textId="77777777">
      <w:pPr>
        <w:rPr>
          <w:lang w:val="en-GB"/>
        </w:rPr>
      </w:pPr>
    </w:p>
    <w:p w:rsidR="009421B9" w:rsidRPr="00F668A8" w:rsidP="009421B9" w14:paraId="3CD59124" w14:textId="4FD51B26">
      <w:pPr>
        <w:pStyle w:val="AmNumberTabs"/>
      </w:pPr>
      <w:r w:rsidRPr="00F668A8">
        <w:t>Amendment</w:t>
      </w:r>
      <w:r w:rsidRPr="00F668A8">
        <w:tab/>
      </w:r>
      <w:r w:rsidRPr="00F668A8">
        <w:tab/>
        <w:t>4</w:t>
      </w:r>
    </w:p>
    <w:p w:rsidR="009421B9" w:rsidRPr="00F668A8" w:rsidP="009421B9" w14:paraId="6EE684BF" w14:textId="77777777">
      <w:pPr>
        <w:pStyle w:val="NormalBold"/>
      </w:pPr>
    </w:p>
    <w:p w:rsidR="009421B9" w:rsidRPr="00F668A8" w:rsidP="009421B9" w14:paraId="0BEA4011" w14:textId="36039116">
      <w:pPr>
        <w:pStyle w:val="NormalBold"/>
      </w:pPr>
      <w:r w:rsidRPr="00F668A8">
        <w:t>Proposal for a regulation</w:t>
      </w:r>
    </w:p>
    <w:p w:rsidR="009421B9" w:rsidRPr="00F668A8" w:rsidP="009421B9" w14:paraId="34A88AF7" w14:textId="212C2CC2">
      <w:pPr>
        <w:pStyle w:val="NormalBold"/>
        <w:rPr>
          <w:lang w:val="fr-BE"/>
        </w:rPr>
      </w:pPr>
      <w:r w:rsidRPr="00F668A8">
        <w:rPr>
          <w:bCs/>
          <w:lang w:val="fr-BE"/>
        </w:rPr>
        <w:t xml:space="preserve">Article 1 – </w:t>
      </w:r>
      <w:r w:rsidRPr="00F668A8">
        <w:rPr>
          <w:bCs/>
          <w:lang w:val="fr-BE"/>
        </w:rPr>
        <w:t>paragraph</w:t>
      </w:r>
      <w:r w:rsidRPr="00F668A8">
        <w:rPr>
          <w:bCs/>
          <w:lang w:val="fr-BE"/>
        </w:rPr>
        <w:t xml:space="preserve"> 1 – point 2 a (new)</w:t>
      </w:r>
    </w:p>
    <w:p w:rsidR="009421B9" w:rsidRPr="00F668A8" w:rsidP="009421B9" w14:paraId="40E807D0" w14:textId="57883CA3">
      <w:r w:rsidRPr="00F668A8">
        <w:t>Regulation</w:t>
      </w:r>
      <w:r w:rsidRPr="00F668A8">
        <w:t xml:space="preserve"> (EU) 2024/1787</w:t>
      </w:r>
    </w:p>
    <w:p w:rsidR="009421B9" w:rsidRPr="00F668A8" w:rsidP="009421B9" w14:paraId="2080877D" w14:textId="231B4B57">
      <w:r w:rsidRPr="00F668A8">
        <w:t>Article 29 a (new)</w:t>
      </w:r>
    </w:p>
    <w:tbl>
      <w:tblPr>
        <w:tblW w:w="9752" w:type="dxa"/>
        <w:jc w:val="center"/>
        <w:tblLayout w:type="fixed"/>
        <w:tblCellMar>
          <w:left w:w="340" w:type="dxa"/>
          <w:right w:w="340" w:type="dxa"/>
        </w:tblCellMar>
        <w:tblLook w:val="0000"/>
      </w:tblPr>
      <w:tblGrid>
        <w:gridCol w:w="4876"/>
        <w:gridCol w:w="4876"/>
      </w:tblGrid>
      <w:tr w14:paraId="427FBFC2" w14:textId="77777777" w:rsidTr="007B3BB1">
        <w:tblPrEx>
          <w:tblW w:w="9752" w:type="dxa"/>
          <w:jc w:val="center"/>
          <w:tblLayout w:type="fixed"/>
          <w:tblLook w:val="0000"/>
        </w:tblPrEx>
        <w:trPr>
          <w:jc w:val="center"/>
        </w:trPr>
        <w:tc>
          <w:tcPr>
            <w:tcW w:w="9752" w:type="dxa"/>
            <w:gridSpan w:val="2"/>
          </w:tcPr>
          <w:p w:rsidR="009421B9" w:rsidRPr="00F668A8" w:rsidP="007B3BB1" w14:paraId="7DDA807A" w14:textId="77777777">
            <w:pPr>
              <w:keepNext/>
            </w:pPr>
          </w:p>
        </w:tc>
      </w:tr>
      <w:tr w14:paraId="60730246" w14:textId="77777777" w:rsidTr="007B3BB1">
        <w:tblPrEx>
          <w:tblW w:w="9752" w:type="dxa"/>
          <w:jc w:val="center"/>
          <w:tblLayout w:type="fixed"/>
          <w:tblLook w:val="0000"/>
        </w:tblPrEx>
        <w:trPr>
          <w:jc w:val="center"/>
        </w:trPr>
        <w:tc>
          <w:tcPr>
            <w:tcW w:w="4876" w:type="dxa"/>
          </w:tcPr>
          <w:p w:rsidR="009421B9" w:rsidRPr="00F668A8" w:rsidP="007B3BB1" w14:paraId="39EC3DA2" w14:textId="77777777">
            <w:pPr>
              <w:pStyle w:val="AmColumnHeading"/>
              <w:keepNext/>
            </w:pPr>
            <w:r w:rsidRPr="00F668A8">
              <w:t>Text proposed by the Commission</w:t>
            </w:r>
          </w:p>
        </w:tc>
        <w:tc>
          <w:tcPr>
            <w:tcW w:w="4876" w:type="dxa"/>
          </w:tcPr>
          <w:p w:rsidR="009421B9" w:rsidRPr="00F668A8" w:rsidP="007B3BB1" w14:paraId="3705469F" w14:textId="77777777">
            <w:pPr>
              <w:pStyle w:val="AmColumnHeading"/>
              <w:keepNext/>
            </w:pPr>
            <w:r w:rsidRPr="00F668A8">
              <w:t>Amendment</w:t>
            </w:r>
          </w:p>
        </w:tc>
      </w:tr>
      <w:tr w14:paraId="43293113" w14:textId="77777777" w:rsidTr="007B3BB1">
        <w:tblPrEx>
          <w:tblW w:w="9752" w:type="dxa"/>
          <w:jc w:val="center"/>
          <w:tblLayout w:type="fixed"/>
          <w:tblLook w:val="0000"/>
        </w:tblPrEx>
        <w:trPr>
          <w:jc w:val="center"/>
        </w:trPr>
        <w:tc>
          <w:tcPr>
            <w:tcW w:w="4876" w:type="dxa"/>
          </w:tcPr>
          <w:p w:rsidR="009421B9" w:rsidRPr="00F668A8" w:rsidP="007B3BB1" w14:paraId="372B2055" w14:textId="77777777">
            <w:pPr>
              <w:pStyle w:val="Normal6a"/>
            </w:pPr>
          </w:p>
        </w:tc>
        <w:tc>
          <w:tcPr>
            <w:tcW w:w="4876" w:type="dxa"/>
          </w:tcPr>
          <w:p w:rsidR="009421B9" w:rsidRPr="00F668A8" w:rsidP="007B3BB1" w14:paraId="0C841BBF" w14:textId="1F4F6382">
            <w:pPr>
              <w:pStyle w:val="Normal6a"/>
              <w:rPr>
                <w:szCs w:val="24"/>
              </w:rPr>
            </w:pPr>
            <w:r w:rsidRPr="00F668A8">
              <w:rPr>
                <w:rFonts w:eastAsia="Calibri"/>
                <w:b/>
                <w:i/>
              </w:rPr>
              <w:t xml:space="preserve">(2a) </w:t>
            </w:r>
            <w:r w:rsidRPr="00F668A8">
              <w:rPr>
                <w:rFonts w:eastAsia="Calibri"/>
                <w:b/>
                <w:i/>
              </w:rPr>
              <w:tab/>
              <w:t xml:space="preserve">the following </w:t>
            </w:r>
            <w:r w:rsidRPr="00F668A8" w:rsidR="00154C6A">
              <w:rPr>
                <w:rFonts w:eastAsia="Calibri"/>
                <w:b/>
                <w:i/>
              </w:rPr>
              <w:t>a</w:t>
            </w:r>
            <w:r w:rsidRPr="00F668A8">
              <w:rPr>
                <w:rFonts w:eastAsia="Calibri"/>
                <w:b/>
                <w:i/>
              </w:rPr>
              <w:t>rticle is inserted:</w:t>
            </w:r>
          </w:p>
        </w:tc>
      </w:tr>
      <w:tr w14:paraId="2B1A2614" w14:textId="77777777" w:rsidTr="007B3BB1">
        <w:tblPrEx>
          <w:tblW w:w="9752" w:type="dxa"/>
          <w:jc w:val="center"/>
          <w:tblLayout w:type="fixed"/>
          <w:tblLook w:val="0000"/>
        </w:tblPrEx>
        <w:trPr>
          <w:jc w:val="center"/>
        </w:trPr>
        <w:tc>
          <w:tcPr>
            <w:tcW w:w="4876" w:type="dxa"/>
          </w:tcPr>
          <w:p w:rsidR="009421B9" w:rsidRPr="00F668A8" w:rsidP="007B3BB1" w14:paraId="1E4C72B5" w14:textId="77777777">
            <w:pPr>
              <w:pStyle w:val="Normal6a"/>
            </w:pPr>
          </w:p>
        </w:tc>
        <w:tc>
          <w:tcPr>
            <w:tcW w:w="4876" w:type="dxa"/>
          </w:tcPr>
          <w:p w:rsidR="009421B9" w:rsidRPr="00F668A8" w:rsidP="007B3BB1" w14:paraId="75D94432" w14:textId="77777777">
            <w:pPr>
              <w:pStyle w:val="Normal6a"/>
              <w:jc w:val="center"/>
              <w:rPr>
                <w:rFonts w:eastAsia="Calibri"/>
                <w:b/>
                <w:i/>
              </w:rPr>
            </w:pPr>
            <w:r w:rsidRPr="00F668A8">
              <w:rPr>
                <w:rFonts w:eastAsia="Calibri"/>
                <w:b/>
                <w:i/>
              </w:rPr>
              <w:t>'Article 29a</w:t>
            </w:r>
          </w:p>
        </w:tc>
      </w:tr>
      <w:tr w14:paraId="61E6B012" w14:textId="77777777" w:rsidTr="007B3BB1">
        <w:tblPrEx>
          <w:tblW w:w="9752" w:type="dxa"/>
          <w:jc w:val="center"/>
          <w:tblLayout w:type="fixed"/>
          <w:tblLook w:val="0000"/>
        </w:tblPrEx>
        <w:trPr>
          <w:jc w:val="center"/>
        </w:trPr>
        <w:tc>
          <w:tcPr>
            <w:tcW w:w="4876" w:type="dxa"/>
          </w:tcPr>
          <w:p w:rsidR="009421B9" w:rsidRPr="00F668A8" w:rsidP="007B3BB1" w14:paraId="2533A71B" w14:textId="77777777">
            <w:pPr>
              <w:pStyle w:val="Normal6a"/>
            </w:pPr>
          </w:p>
        </w:tc>
        <w:tc>
          <w:tcPr>
            <w:tcW w:w="4876" w:type="dxa"/>
          </w:tcPr>
          <w:p w:rsidR="009421B9" w:rsidRPr="00F668A8" w:rsidP="007B3BB1" w14:paraId="499E887B" w14:textId="77777777">
            <w:pPr>
              <w:pStyle w:val="Normal6a"/>
              <w:jc w:val="center"/>
              <w:rPr>
                <w:rFonts w:eastAsia="Calibri"/>
                <w:b/>
                <w:i/>
              </w:rPr>
            </w:pPr>
            <w:r w:rsidRPr="00F668A8">
              <w:rPr>
                <w:rFonts w:eastAsia="Calibri"/>
                <w:b/>
                <w:i/>
              </w:rPr>
              <w:t>Crude oil, natural gas and coal from third countries subject to restrictive measures</w:t>
            </w:r>
          </w:p>
        </w:tc>
      </w:tr>
      <w:tr w14:paraId="2C3F7D01" w14:textId="77777777" w:rsidTr="007B3BB1">
        <w:tblPrEx>
          <w:tblW w:w="9752" w:type="dxa"/>
          <w:jc w:val="center"/>
          <w:tblLayout w:type="fixed"/>
          <w:tblLook w:val="0000"/>
        </w:tblPrEx>
        <w:trPr>
          <w:jc w:val="center"/>
        </w:trPr>
        <w:tc>
          <w:tcPr>
            <w:tcW w:w="4876" w:type="dxa"/>
          </w:tcPr>
          <w:p w:rsidR="009421B9" w:rsidRPr="00F668A8" w:rsidP="007B3BB1" w14:paraId="69FD9720" w14:textId="77777777">
            <w:pPr>
              <w:pStyle w:val="Normal6a"/>
            </w:pPr>
          </w:p>
        </w:tc>
        <w:tc>
          <w:tcPr>
            <w:tcW w:w="4876" w:type="dxa"/>
          </w:tcPr>
          <w:p w:rsidR="009421B9" w:rsidRPr="00F668A8" w:rsidP="007B3BB1" w14:paraId="409B98BE" w14:textId="77777777">
            <w:pPr>
              <w:pStyle w:val="Normal6a"/>
              <w:rPr>
                <w:rFonts w:eastAsia="Calibri"/>
                <w:b/>
                <w:i/>
              </w:rPr>
            </w:pPr>
            <w:r w:rsidRPr="00F668A8">
              <w:rPr>
                <w:rFonts w:eastAsia="Calibri"/>
                <w:b/>
                <w:i/>
              </w:rPr>
              <w:t xml:space="preserve">1. </w:t>
            </w:r>
            <w:r w:rsidRPr="00F668A8">
              <w:rPr>
                <w:rFonts w:eastAsia="Calibri"/>
                <w:b/>
                <w:i/>
              </w:rPr>
              <w:tab/>
              <w:t>By way of derogation from Article 28(1), Article 28(2), second subparagraph, and Article 29(1) and (2), for crude oil, natural gas or coal originating in, or exported directly or indirectly from, a third country subject to restrictive measures adopted pursuant to Article 29 TEU or Article 215 TFEU prohibiting or restricting the import into the Union of crude oil, natural gas or coal from that country:</w:t>
            </w:r>
            <w:r w:rsidRPr="00F668A8">
              <w:rPr>
                <w:rFonts w:eastAsia="Calibri"/>
              </w:rPr>
              <w:t xml:space="preserve"> </w:t>
            </w:r>
          </w:p>
        </w:tc>
      </w:tr>
      <w:tr w14:paraId="45E8A468" w14:textId="77777777" w:rsidTr="007B3BB1">
        <w:tblPrEx>
          <w:tblW w:w="9752" w:type="dxa"/>
          <w:jc w:val="center"/>
          <w:tblLayout w:type="fixed"/>
          <w:tblLook w:val="0000"/>
        </w:tblPrEx>
        <w:trPr>
          <w:jc w:val="center"/>
        </w:trPr>
        <w:tc>
          <w:tcPr>
            <w:tcW w:w="4876" w:type="dxa"/>
          </w:tcPr>
          <w:p w:rsidR="009421B9" w:rsidRPr="00F668A8" w:rsidP="007B3BB1" w14:paraId="1AAB49E3" w14:textId="77777777">
            <w:pPr>
              <w:pStyle w:val="Normal6a"/>
            </w:pPr>
          </w:p>
        </w:tc>
        <w:tc>
          <w:tcPr>
            <w:tcW w:w="4876" w:type="dxa"/>
          </w:tcPr>
          <w:p w:rsidR="009421B9" w:rsidRPr="00F668A8" w:rsidP="007B3BB1" w14:paraId="383E379F" w14:textId="77777777">
            <w:pPr>
              <w:pStyle w:val="Normal6a"/>
              <w:rPr>
                <w:rFonts w:eastAsia="Calibri"/>
                <w:b/>
                <w:i/>
              </w:rPr>
            </w:pPr>
            <w:r w:rsidRPr="00F668A8">
              <w:rPr>
                <w:rFonts w:eastAsia="Calibri"/>
                <w:b/>
                <w:i/>
              </w:rPr>
              <w:t xml:space="preserve">(a) </w:t>
            </w:r>
            <w:r w:rsidRPr="00F668A8">
              <w:rPr>
                <w:rFonts w:eastAsia="Calibri"/>
                <w:b/>
                <w:i/>
              </w:rPr>
              <w:tab/>
              <w:t>the obligations laid down in Article 28(1) and in the second subparagraph of Article 28(2) shall apply by 31 May 2028 and every</w:t>
            </w:r>
            <w:r w:rsidRPr="00F668A8">
              <w:rPr>
                <w:b/>
                <w:i/>
              </w:rPr>
              <w:t xml:space="preserve"> </w:t>
            </w:r>
            <w:r w:rsidRPr="00F668A8">
              <w:rPr>
                <w:rFonts w:eastAsia="Calibri"/>
                <w:b/>
                <w:i/>
              </w:rPr>
              <w:t>year thereafter, for the previous calendar year's supply;</w:t>
            </w:r>
            <w:r w:rsidRPr="00F668A8">
              <w:rPr>
                <w:rFonts w:eastAsia="Calibri"/>
              </w:rPr>
              <w:t xml:space="preserve"> </w:t>
            </w:r>
          </w:p>
        </w:tc>
      </w:tr>
      <w:tr w14:paraId="6DAD4B40" w14:textId="77777777" w:rsidTr="007B3BB1">
        <w:tblPrEx>
          <w:tblW w:w="9752" w:type="dxa"/>
          <w:jc w:val="center"/>
          <w:tblLayout w:type="fixed"/>
          <w:tblLook w:val="0000"/>
        </w:tblPrEx>
        <w:trPr>
          <w:jc w:val="center"/>
        </w:trPr>
        <w:tc>
          <w:tcPr>
            <w:tcW w:w="4876" w:type="dxa"/>
          </w:tcPr>
          <w:p w:rsidR="009421B9" w:rsidRPr="00F668A8" w:rsidP="007B3BB1" w14:paraId="08F7F4DD" w14:textId="77777777">
            <w:pPr>
              <w:pStyle w:val="Normal6a"/>
            </w:pPr>
          </w:p>
        </w:tc>
        <w:tc>
          <w:tcPr>
            <w:tcW w:w="4876" w:type="dxa"/>
          </w:tcPr>
          <w:p w:rsidR="009421B9" w:rsidRPr="00F668A8" w:rsidP="007B3BB1" w14:paraId="2B7975EA" w14:textId="77777777">
            <w:pPr>
              <w:pStyle w:val="Normal6a"/>
              <w:rPr>
                <w:rFonts w:eastAsia="Calibri"/>
                <w:b/>
                <w:i/>
              </w:rPr>
            </w:pPr>
            <w:r w:rsidRPr="00F668A8">
              <w:rPr>
                <w:rFonts w:eastAsia="Calibri"/>
                <w:b/>
                <w:i/>
              </w:rPr>
              <w:t xml:space="preserve">(b) </w:t>
            </w:r>
            <w:r w:rsidRPr="00F668A8">
              <w:rPr>
                <w:rFonts w:eastAsia="Calibri"/>
                <w:b/>
                <w:i/>
              </w:rPr>
              <w:tab/>
              <w:t>the obligations laid down in Article 29(1) shall apply by 5 August 2028 and by 31 May every year thereafter, for the previous calendar year;</w:t>
            </w:r>
          </w:p>
        </w:tc>
      </w:tr>
      <w:tr w14:paraId="6C037681" w14:textId="77777777" w:rsidTr="007B3BB1">
        <w:tblPrEx>
          <w:tblW w:w="9752" w:type="dxa"/>
          <w:jc w:val="center"/>
          <w:tblLayout w:type="fixed"/>
          <w:tblLook w:val="0000"/>
        </w:tblPrEx>
        <w:trPr>
          <w:jc w:val="center"/>
        </w:trPr>
        <w:tc>
          <w:tcPr>
            <w:tcW w:w="4876" w:type="dxa"/>
          </w:tcPr>
          <w:p w:rsidR="009421B9" w:rsidRPr="00F668A8" w:rsidP="007B3BB1" w14:paraId="2C2CCDC3" w14:textId="77777777">
            <w:pPr>
              <w:pStyle w:val="Normal6a"/>
            </w:pPr>
          </w:p>
        </w:tc>
        <w:tc>
          <w:tcPr>
            <w:tcW w:w="4876" w:type="dxa"/>
          </w:tcPr>
          <w:p w:rsidR="009421B9" w:rsidRPr="00F668A8" w:rsidP="007B3BB1" w14:paraId="4DDE80E4" w14:textId="77777777">
            <w:pPr>
              <w:pStyle w:val="Normal6a"/>
              <w:rPr>
                <w:rFonts w:eastAsia="Calibri"/>
                <w:b/>
                <w:i/>
              </w:rPr>
            </w:pPr>
            <w:r w:rsidRPr="00F668A8">
              <w:rPr>
                <w:rFonts w:eastAsia="Calibri"/>
                <w:b/>
                <w:i/>
              </w:rPr>
              <w:t xml:space="preserve">(c) </w:t>
            </w:r>
            <w:r w:rsidRPr="00F668A8">
              <w:rPr>
                <w:rFonts w:eastAsia="Calibri"/>
                <w:b/>
                <w:i/>
              </w:rPr>
              <w:tab/>
            </w:r>
            <w:r w:rsidRPr="00F668A8">
              <w:rPr>
                <w:rFonts w:eastAsia="Calibri"/>
                <w:b/>
                <w:bCs/>
                <w:i/>
                <w:iCs/>
              </w:rPr>
              <w:t xml:space="preserve">the obligation laid down in Article </w:t>
            </w:r>
            <w:r w:rsidRPr="00F668A8">
              <w:rPr>
                <w:rFonts w:eastAsia="Calibri"/>
                <w:b/>
                <w:bCs/>
                <w:i/>
                <w:iCs/>
              </w:rPr>
              <w:t>29(2) shall apply by 5 August 2030 and by 31 May every year thereafter.</w:t>
            </w:r>
          </w:p>
        </w:tc>
      </w:tr>
      <w:tr w14:paraId="1F81147D" w14:textId="77777777" w:rsidTr="007B3BB1">
        <w:tblPrEx>
          <w:tblW w:w="9752" w:type="dxa"/>
          <w:jc w:val="center"/>
          <w:tblLayout w:type="fixed"/>
          <w:tblLook w:val="0000"/>
        </w:tblPrEx>
        <w:trPr>
          <w:jc w:val="center"/>
        </w:trPr>
        <w:tc>
          <w:tcPr>
            <w:tcW w:w="4876" w:type="dxa"/>
          </w:tcPr>
          <w:p w:rsidR="009421B9" w:rsidRPr="00F668A8" w:rsidP="007B3BB1" w14:paraId="5BE61E3C" w14:textId="77777777">
            <w:pPr>
              <w:pStyle w:val="Normal6a"/>
            </w:pPr>
          </w:p>
        </w:tc>
        <w:tc>
          <w:tcPr>
            <w:tcW w:w="4876" w:type="dxa"/>
          </w:tcPr>
          <w:p w:rsidR="009421B9" w:rsidRPr="00F668A8" w:rsidP="007B3BB1" w14:paraId="2622C8E1" w14:textId="77777777">
            <w:pPr>
              <w:pStyle w:val="Normal6a"/>
              <w:rPr>
                <w:rFonts w:eastAsia="Calibri"/>
                <w:b/>
                <w:i/>
              </w:rPr>
            </w:pPr>
            <w:r w:rsidRPr="00F668A8">
              <w:rPr>
                <w:rFonts w:eastAsia="Calibri"/>
                <w:b/>
                <w:i/>
              </w:rPr>
              <w:t xml:space="preserve">2. </w:t>
            </w:r>
            <w:r w:rsidRPr="00F668A8">
              <w:rPr>
                <w:rFonts w:eastAsia="Calibri"/>
                <w:b/>
                <w:i/>
              </w:rPr>
              <w:tab/>
              <w:t>Importers shall identify separately, in the information provided pursuant to Article 27(1), the volumes falling under paragraph 1 of this Article, including the volumes contained in mixed cargoes.</w:t>
            </w:r>
            <w:r w:rsidRPr="00F668A8">
              <w:rPr>
                <w:rFonts w:eastAsia="Calibri"/>
              </w:rPr>
              <w:t xml:space="preserve"> </w:t>
            </w:r>
          </w:p>
        </w:tc>
      </w:tr>
      <w:tr w14:paraId="6D1BE71E" w14:textId="77777777" w:rsidTr="007B3BB1">
        <w:tblPrEx>
          <w:tblW w:w="9752" w:type="dxa"/>
          <w:jc w:val="center"/>
          <w:tblLayout w:type="fixed"/>
          <w:tblLook w:val="0000"/>
        </w:tblPrEx>
        <w:trPr>
          <w:jc w:val="center"/>
        </w:trPr>
        <w:tc>
          <w:tcPr>
            <w:tcW w:w="4876" w:type="dxa"/>
          </w:tcPr>
          <w:p w:rsidR="009421B9" w:rsidRPr="00F668A8" w:rsidP="007B3BB1" w14:paraId="35FBD474" w14:textId="77777777">
            <w:pPr>
              <w:pStyle w:val="Normal6a"/>
            </w:pPr>
          </w:p>
        </w:tc>
        <w:tc>
          <w:tcPr>
            <w:tcW w:w="4876" w:type="dxa"/>
          </w:tcPr>
          <w:p w:rsidR="009421B9" w:rsidRPr="00F668A8" w:rsidP="007B3BB1" w14:paraId="19124634" w14:textId="77777777">
            <w:pPr>
              <w:pStyle w:val="Normal6a"/>
              <w:rPr>
                <w:rFonts w:eastAsia="Calibri"/>
                <w:b/>
                <w:i/>
              </w:rPr>
            </w:pPr>
            <w:r w:rsidRPr="00F668A8">
              <w:rPr>
                <w:rFonts w:eastAsia="Calibri"/>
                <w:b/>
                <w:i/>
              </w:rPr>
              <w:t xml:space="preserve">3. </w:t>
            </w:r>
            <w:r w:rsidRPr="00F668A8">
              <w:rPr>
                <w:rFonts w:eastAsia="Calibri"/>
                <w:b/>
                <w:i/>
              </w:rPr>
              <w:tab/>
              <w:t>The Commission shall publish, and keep up to date, an indicative list of the third countries referred to in paragraph 1.</w:t>
            </w:r>
            <w:r w:rsidRPr="00F668A8">
              <w:rPr>
                <w:rFonts w:eastAsia="Calibri"/>
              </w:rPr>
              <w:t xml:space="preserve"> </w:t>
            </w:r>
          </w:p>
        </w:tc>
      </w:tr>
      <w:tr w14:paraId="1AFE5B3F" w14:textId="77777777" w:rsidTr="007B3BB1">
        <w:tblPrEx>
          <w:tblW w:w="9752" w:type="dxa"/>
          <w:jc w:val="center"/>
          <w:tblLayout w:type="fixed"/>
          <w:tblLook w:val="0000"/>
        </w:tblPrEx>
        <w:trPr>
          <w:jc w:val="center"/>
        </w:trPr>
        <w:tc>
          <w:tcPr>
            <w:tcW w:w="4876" w:type="dxa"/>
          </w:tcPr>
          <w:p w:rsidR="009421B9" w:rsidRPr="00F668A8" w:rsidP="007B3BB1" w14:paraId="627E6CDF" w14:textId="77777777">
            <w:pPr>
              <w:pStyle w:val="Normal6a"/>
            </w:pPr>
          </w:p>
        </w:tc>
        <w:tc>
          <w:tcPr>
            <w:tcW w:w="4876" w:type="dxa"/>
          </w:tcPr>
          <w:p w:rsidR="009421B9" w:rsidRPr="00F668A8" w:rsidP="007B3BB1" w14:paraId="27239455" w14:textId="77777777">
            <w:pPr>
              <w:pStyle w:val="Normal6a"/>
              <w:rPr>
                <w:rFonts w:eastAsia="Calibri"/>
                <w:b/>
                <w:i/>
              </w:rPr>
            </w:pPr>
            <w:r w:rsidRPr="00F668A8">
              <w:rPr>
                <w:rFonts w:eastAsia="Calibri"/>
                <w:b/>
                <w:i/>
              </w:rPr>
              <w:t xml:space="preserve">4. </w:t>
            </w:r>
            <w:r w:rsidRPr="00F668A8">
              <w:rPr>
                <w:rFonts w:eastAsia="Calibri"/>
                <w:b/>
                <w:i/>
              </w:rPr>
              <w:tab/>
              <w:t>This Article is without prejudice to restrictive measures adopted pursuant to Article 29 TEU or Article 215 TFEU and to Regulation (EU) 2026/261. It shall not be construed as authorising the placing on the Union market of any product whose import is prohibited.'</w:t>
            </w:r>
          </w:p>
        </w:tc>
      </w:tr>
    </w:tbl>
    <w:p w:rsidR="009421B9" w:rsidRPr="00F668A8" w:rsidP="00BA7CE6" w14:paraId="752E6DF6" w14:textId="77777777">
      <w:pPr>
        <w:rPr>
          <w:lang w:val="en-GB"/>
        </w:rPr>
      </w:pPr>
    </w:p>
    <w:p w:rsidR="009421B9" w:rsidRPr="00F668A8" w:rsidP="009421B9" w14:paraId="4873ACD6" w14:textId="6878DF23">
      <w:pPr>
        <w:pStyle w:val="AmNumberTabs"/>
      </w:pPr>
      <w:r w:rsidRPr="00F668A8">
        <w:t>Amendment</w:t>
      </w:r>
      <w:r w:rsidRPr="00F668A8">
        <w:tab/>
      </w:r>
      <w:r w:rsidRPr="00F668A8">
        <w:tab/>
        <w:t>10</w:t>
      </w:r>
    </w:p>
    <w:p w:rsidR="009421B9" w:rsidRPr="00F668A8" w:rsidP="009421B9" w14:paraId="0891C8F0" w14:textId="77777777">
      <w:pPr>
        <w:pStyle w:val="NormalBold"/>
      </w:pPr>
    </w:p>
    <w:p w:rsidR="009421B9" w:rsidRPr="00F668A8" w:rsidP="009421B9" w14:paraId="510FB52B" w14:textId="60D77415">
      <w:pPr>
        <w:pStyle w:val="NormalBold"/>
      </w:pPr>
      <w:r w:rsidRPr="00F668A8">
        <w:t>Proposal for a regulation</w:t>
      </w:r>
    </w:p>
    <w:p w:rsidR="009421B9" w:rsidRPr="00F668A8" w:rsidP="009421B9" w14:paraId="62A60411" w14:textId="72774DED">
      <w:pPr>
        <w:pStyle w:val="NormalBold"/>
        <w:rPr>
          <w:lang w:val="fr-BE"/>
        </w:rPr>
      </w:pPr>
      <w:r w:rsidRPr="00F668A8">
        <w:rPr>
          <w:bCs/>
          <w:lang w:val="fr-BE"/>
        </w:rPr>
        <w:t xml:space="preserve">Article 1 – </w:t>
      </w:r>
      <w:r w:rsidRPr="00F668A8">
        <w:rPr>
          <w:bCs/>
          <w:lang w:val="fr-BE"/>
        </w:rPr>
        <w:t>paragraph</w:t>
      </w:r>
      <w:r w:rsidRPr="00F668A8">
        <w:rPr>
          <w:bCs/>
          <w:lang w:val="fr-BE"/>
        </w:rPr>
        <w:t xml:space="preserve"> 1 – point 2 b (new)</w:t>
      </w:r>
    </w:p>
    <w:p w:rsidR="009421B9" w:rsidRPr="00F668A8" w:rsidP="009421B9" w14:paraId="15F6EB07" w14:textId="6B283299">
      <w:pPr>
        <w:rPr>
          <w:lang w:val="fr-BE"/>
        </w:rPr>
      </w:pPr>
      <w:r w:rsidRPr="00F668A8">
        <w:rPr>
          <w:lang w:val="fr-BE"/>
        </w:rPr>
        <w:t>Regulation</w:t>
      </w:r>
      <w:r w:rsidRPr="00F668A8">
        <w:rPr>
          <w:lang w:val="fr-BE"/>
        </w:rPr>
        <w:t xml:space="preserve"> (EU) 2024/1787</w:t>
      </w:r>
    </w:p>
    <w:p w:rsidR="009421B9" w:rsidRPr="00F668A8" w:rsidP="009421B9" w14:paraId="3CA31FC5" w14:textId="5C41C3E0">
      <w:pPr>
        <w:rPr>
          <w:lang w:val="fr-BE"/>
        </w:rPr>
      </w:pPr>
      <w:r w:rsidRPr="00F668A8">
        <w:rPr>
          <w:lang w:val="fr-BE"/>
        </w:rPr>
        <w:t xml:space="preserve">Article 36 – </w:t>
      </w:r>
      <w:r w:rsidRPr="00F668A8">
        <w:rPr>
          <w:lang w:val="fr-BE"/>
        </w:rPr>
        <w:t>paragraph</w:t>
      </w:r>
      <w:r w:rsidRPr="00F668A8">
        <w:rPr>
          <w:lang w:val="fr-BE"/>
        </w:rPr>
        <w:t xml:space="preserve"> 1 a (new)</w:t>
      </w:r>
    </w:p>
    <w:tbl>
      <w:tblPr>
        <w:tblW w:w="9752" w:type="dxa"/>
        <w:jc w:val="center"/>
        <w:tblLayout w:type="fixed"/>
        <w:tblCellMar>
          <w:left w:w="340" w:type="dxa"/>
          <w:right w:w="340" w:type="dxa"/>
        </w:tblCellMar>
        <w:tblLook w:val="0000"/>
      </w:tblPr>
      <w:tblGrid>
        <w:gridCol w:w="4876"/>
        <w:gridCol w:w="4876"/>
      </w:tblGrid>
      <w:tr w14:paraId="6C49BBB4" w14:textId="77777777" w:rsidTr="007B3BB1">
        <w:tblPrEx>
          <w:tblW w:w="9752" w:type="dxa"/>
          <w:jc w:val="center"/>
          <w:tblLayout w:type="fixed"/>
          <w:tblLook w:val="0000"/>
        </w:tblPrEx>
        <w:trPr>
          <w:jc w:val="center"/>
        </w:trPr>
        <w:tc>
          <w:tcPr>
            <w:tcW w:w="9752" w:type="dxa"/>
            <w:gridSpan w:val="2"/>
          </w:tcPr>
          <w:p w:rsidR="009421B9" w:rsidRPr="00F668A8" w:rsidP="007B3BB1" w14:paraId="59069332" w14:textId="77777777">
            <w:pPr>
              <w:keepNext/>
              <w:rPr>
                <w:lang w:val="fr-BE"/>
              </w:rPr>
            </w:pPr>
          </w:p>
        </w:tc>
      </w:tr>
      <w:tr w14:paraId="7991B570" w14:textId="77777777" w:rsidTr="007B3BB1">
        <w:tblPrEx>
          <w:tblW w:w="9752" w:type="dxa"/>
          <w:jc w:val="center"/>
          <w:tblLayout w:type="fixed"/>
          <w:tblLook w:val="0000"/>
        </w:tblPrEx>
        <w:trPr>
          <w:jc w:val="center"/>
        </w:trPr>
        <w:tc>
          <w:tcPr>
            <w:tcW w:w="4876" w:type="dxa"/>
          </w:tcPr>
          <w:p w:rsidR="009421B9" w:rsidRPr="00F668A8" w:rsidP="007B3BB1" w14:paraId="63B2E0B9" w14:textId="77777777">
            <w:pPr>
              <w:pStyle w:val="AmColumnHeading"/>
              <w:keepNext/>
            </w:pPr>
            <w:r w:rsidRPr="00F668A8">
              <w:t>Text proposed by the Commission</w:t>
            </w:r>
          </w:p>
        </w:tc>
        <w:tc>
          <w:tcPr>
            <w:tcW w:w="4876" w:type="dxa"/>
          </w:tcPr>
          <w:p w:rsidR="009421B9" w:rsidRPr="00F668A8" w:rsidP="007B3BB1" w14:paraId="60640E9E" w14:textId="77777777">
            <w:pPr>
              <w:pStyle w:val="AmColumnHeading"/>
              <w:keepNext/>
            </w:pPr>
            <w:r w:rsidRPr="00F668A8">
              <w:t>Amendment</w:t>
            </w:r>
          </w:p>
        </w:tc>
      </w:tr>
      <w:tr w14:paraId="17700729" w14:textId="77777777" w:rsidTr="007B3BB1">
        <w:tblPrEx>
          <w:tblW w:w="9752" w:type="dxa"/>
          <w:jc w:val="center"/>
          <w:tblLayout w:type="fixed"/>
          <w:tblLook w:val="0000"/>
        </w:tblPrEx>
        <w:trPr>
          <w:jc w:val="center"/>
        </w:trPr>
        <w:tc>
          <w:tcPr>
            <w:tcW w:w="4876" w:type="dxa"/>
          </w:tcPr>
          <w:p w:rsidR="009421B9" w:rsidRPr="00F668A8" w:rsidP="007B3BB1" w14:paraId="65EA750F" w14:textId="77777777">
            <w:pPr>
              <w:pStyle w:val="Normal6a"/>
            </w:pPr>
          </w:p>
        </w:tc>
        <w:tc>
          <w:tcPr>
            <w:tcW w:w="4876" w:type="dxa"/>
          </w:tcPr>
          <w:p w:rsidR="009421B9" w:rsidRPr="00F668A8" w:rsidP="007B3BB1" w14:paraId="6E99A586" w14:textId="77BB9B87">
            <w:pPr>
              <w:pStyle w:val="Normal6a"/>
              <w:rPr>
                <w:szCs w:val="24"/>
              </w:rPr>
            </w:pPr>
            <w:r w:rsidRPr="00F668A8">
              <w:rPr>
                <w:b/>
                <w:i/>
              </w:rPr>
              <w:t xml:space="preserve">(2b) </w:t>
            </w:r>
            <w:r w:rsidRPr="00F668A8">
              <w:rPr>
                <w:b/>
                <w:i/>
              </w:rPr>
              <w:tab/>
              <w:t>in Article 36, the following paragraph is inserted:</w:t>
            </w:r>
            <w:r w:rsidRPr="00F668A8">
              <w:t xml:space="preserve"> </w:t>
            </w:r>
          </w:p>
        </w:tc>
      </w:tr>
      <w:tr w14:paraId="794D3C75" w14:textId="77777777" w:rsidTr="007B3BB1">
        <w:tblPrEx>
          <w:tblW w:w="9752" w:type="dxa"/>
          <w:jc w:val="center"/>
          <w:tblLayout w:type="fixed"/>
          <w:tblLook w:val="0000"/>
        </w:tblPrEx>
        <w:trPr>
          <w:jc w:val="center"/>
        </w:trPr>
        <w:tc>
          <w:tcPr>
            <w:tcW w:w="4876" w:type="dxa"/>
          </w:tcPr>
          <w:p w:rsidR="009421B9" w:rsidRPr="00F668A8" w:rsidP="007B3BB1" w14:paraId="3FCF5E93" w14:textId="77777777">
            <w:pPr>
              <w:pStyle w:val="Normal6a"/>
            </w:pPr>
          </w:p>
        </w:tc>
        <w:tc>
          <w:tcPr>
            <w:tcW w:w="4876" w:type="dxa"/>
          </w:tcPr>
          <w:p w:rsidR="009421B9" w:rsidRPr="00F668A8" w:rsidP="007B3BB1" w14:paraId="116C0D77" w14:textId="77777777">
            <w:pPr>
              <w:pStyle w:val="Normal6a"/>
              <w:rPr>
                <w:b/>
                <w:i/>
              </w:rPr>
            </w:pPr>
            <w:r w:rsidRPr="00F668A8">
              <w:rPr>
                <w:b/>
                <w:i/>
              </w:rPr>
              <w:t xml:space="preserve">'1a. By 1 July 2029, the Commission shall submit a report to the European Parliament and to the Council on the state of implementation of Articles 27 to 29. The report shall cover </w:t>
            </w:r>
            <w:r w:rsidRPr="00F668A8">
              <w:rPr>
                <w:b/>
                <w:i/>
              </w:rPr>
              <w:t>in particular the</w:t>
            </w:r>
            <w:r w:rsidRPr="00F668A8">
              <w:rPr>
                <w:b/>
                <w:i/>
              </w:rPr>
              <w:t xml:space="preserve"> adoption of national penalty regimes, the accreditation of verifiers, the recognition of compliance solutions, progress on the acts referred to in Article 29(4) to (6), the information reported pursuant to Article 28(2a) and the security of supply situation. The Commission shall, where appropriate and necessary, </w:t>
            </w:r>
            <w:r w:rsidRPr="00F668A8">
              <w:rPr>
                <w:b/>
                <w:i/>
                <w:iCs/>
              </w:rPr>
              <w:t xml:space="preserve">propose changes to this Regulation in case of continued challenges for implementation or a threat to the security of supply, </w:t>
            </w:r>
            <w:r w:rsidRPr="00F668A8">
              <w:rPr>
                <w:b/>
                <w:i/>
                <w:iCs/>
              </w:rPr>
              <w:t>in light of</w:t>
            </w:r>
            <w:r w:rsidRPr="00F668A8">
              <w:rPr>
                <w:b/>
                <w:i/>
                <w:iCs/>
              </w:rPr>
              <w:t xml:space="preserve"> the deadlines provided for in Articles 28 and 29.</w:t>
            </w:r>
            <w:r w:rsidRPr="00F668A8">
              <w:rPr>
                <w:b/>
                <w:i/>
              </w:rPr>
              <w:t>'</w:t>
            </w:r>
          </w:p>
        </w:tc>
      </w:tr>
    </w:tbl>
    <w:p w:rsidR="009421B9" w:rsidRPr="00F668A8" w:rsidP="00BA7CE6" w14:paraId="60EF9CBC" w14:textId="77777777">
      <w:pPr>
        <w:rPr>
          <w:lang w:val="en-GB"/>
        </w:rPr>
      </w:pPr>
    </w:p>
    <w:p w:rsidR="009421B9" w:rsidRPr="00F668A8" w:rsidP="009421B9" w14:paraId="11A8E2D7" w14:textId="1DFCBE10">
      <w:pPr>
        <w:pStyle w:val="AmNumberTabs"/>
      </w:pPr>
      <w:r w:rsidRPr="00F668A8">
        <w:t>Amendment</w:t>
      </w:r>
      <w:r w:rsidRPr="00F668A8">
        <w:tab/>
      </w:r>
      <w:r w:rsidRPr="00F668A8">
        <w:tab/>
        <w:t>11</w:t>
      </w:r>
    </w:p>
    <w:p w:rsidR="009421B9" w:rsidRPr="00F668A8" w:rsidP="009421B9" w14:paraId="596CE087" w14:textId="77777777">
      <w:pPr>
        <w:pStyle w:val="NormalBold"/>
      </w:pPr>
    </w:p>
    <w:p w:rsidR="009421B9" w:rsidRPr="00F668A8" w:rsidP="009421B9" w14:paraId="34F71EDC" w14:textId="45025C2C">
      <w:pPr>
        <w:pStyle w:val="NormalBold"/>
      </w:pPr>
      <w:r w:rsidRPr="00F668A8">
        <w:t>Proposal for a regulation</w:t>
      </w:r>
    </w:p>
    <w:p w:rsidR="009421B9" w:rsidRPr="00F668A8" w:rsidP="009421B9" w14:paraId="07679E24" w14:textId="50C989AC">
      <w:pPr>
        <w:pStyle w:val="NormalBold"/>
      </w:pPr>
      <w:r w:rsidRPr="00F668A8">
        <w:rPr>
          <w:bCs/>
        </w:rPr>
        <w:t>Article 2 – paragraph 1</w:t>
      </w:r>
    </w:p>
    <w:tbl>
      <w:tblPr>
        <w:tblW w:w="9752" w:type="dxa"/>
        <w:jc w:val="center"/>
        <w:tblLayout w:type="fixed"/>
        <w:tblCellMar>
          <w:left w:w="340" w:type="dxa"/>
          <w:right w:w="340" w:type="dxa"/>
        </w:tblCellMar>
        <w:tblLook w:val="0000"/>
      </w:tblPr>
      <w:tblGrid>
        <w:gridCol w:w="4876"/>
        <w:gridCol w:w="4876"/>
      </w:tblGrid>
      <w:tr w14:paraId="505A555F" w14:textId="77777777" w:rsidTr="007B3BB1">
        <w:tblPrEx>
          <w:tblW w:w="9752" w:type="dxa"/>
          <w:jc w:val="center"/>
          <w:tblLayout w:type="fixed"/>
          <w:tblLook w:val="0000"/>
        </w:tblPrEx>
        <w:trPr>
          <w:jc w:val="center"/>
        </w:trPr>
        <w:tc>
          <w:tcPr>
            <w:tcW w:w="9752" w:type="dxa"/>
            <w:gridSpan w:val="2"/>
          </w:tcPr>
          <w:p w:rsidR="009421B9" w:rsidRPr="00F668A8" w:rsidP="007B3BB1" w14:paraId="2D2A71BE" w14:textId="77777777">
            <w:pPr>
              <w:keepNext/>
            </w:pPr>
          </w:p>
        </w:tc>
      </w:tr>
      <w:tr w14:paraId="1440E688" w14:textId="77777777" w:rsidTr="007B3BB1">
        <w:tblPrEx>
          <w:tblW w:w="9752" w:type="dxa"/>
          <w:jc w:val="center"/>
          <w:tblLayout w:type="fixed"/>
          <w:tblLook w:val="0000"/>
        </w:tblPrEx>
        <w:trPr>
          <w:jc w:val="center"/>
        </w:trPr>
        <w:tc>
          <w:tcPr>
            <w:tcW w:w="4876" w:type="dxa"/>
          </w:tcPr>
          <w:p w:rsidR="009421B9" w:rsidRPr="00F668A8" w:rsidP="007B3BB1" w14:paraId="348A0510" w14:textId="77777777">
            <w:pPr>
              <w:pStyle w:val="AmColumnHeading"/>
              <w:keepNext/>
            </w:pPr>
            <w:r w:rsidRPr="00F668A8">
              <w:t>Text proposed by the Commission</w:t>
            </w:r>
          </w:p>
        </w:tc>
        <w:tc>
          <w:tcPr>
            <w:tcW w:w="4876" w:type="dxa"/>
          </w:tcPr>
          <w:p w:rsidR="009421B9" w:rsidRPr="00F668A8" w:rsidP="007B3BB1" w14:paraId="2DF111B4" w14:textId="77777777">
            <w:pPr>
              <w:pStyle w:val="AmColumnHeading"/>
              <w:keepNext/>
            </w:pPr>
            <w:r w:rsidRPr="00F668A8">
              <w:t>Amendment</w:t>
            </w:r>
          </w:p>
        </w:tc>
      </w:tr>
      <w:tr w14:paraId="0D01DF35" w14:textId="77777777" w:rsidTr="007B3BB1">
        <w:tblPrEx>
          <w:tblW w:w="9752" w:type="dxa"/>
          <w:jc w:val="center"/>
          <w:tblLayout w:type="fixed"/>
          <w:tblLook w:val="0000"/>
        </w:tblPrEx>
        <w:trPr>
          <w:jc w:val="center"/>
        </w:trPr>
        <w:tc>
          <w:tcPr>
            <w:tcW w:w="4876" w:type="dxa"/>
          </w:tcPr>
          <w:p w:rsidR="009421B9" w:rsidRPr="00F668A8" w:rsidP="007B3BB1" w14:paraId="18D8B578" w14:textId="77777777">
            <w:pPr>
              <w:pStyle w:val="Normal6a"/>
              <w:rPr>
                <w:spacing w:val="-2"/>
              </w:rPr>
            </w:pPr>
            <w:r w:rsidRPr="00F668A8">
              <w:rPr>
                <w:szCs w:val="24"/>
              </w:rPr>
              <w:t xml:space="preserve">This Regulation shall enter into force on the </w:t>
            </w:r>
            <w:r w:rsidRPr="00F668A8">
              <w:rPr>
                <w:b/>
                <w:bCs/>
                <w:i/>
                <w:iCs/>
                <w:szCs w:val="24"/>
              </w:rPr>
              <w:t>twentieth</w:t>
            </w:r>
            <w:r w:rsidRPr="00F668A8">
              <w:rPr>
                <w:szCs w:val="24"/>
              </w:rPr>
              <w:t xml:space="preserve"> day following that of its publication in the Official Journal of the European Union.</w:t>
            </w:r>
          </w:p>
        </w:tc>
        <w:tc>
          <w:tcPr>
            <w:tcW w:w="4876" w:type="dxa"/>
          </w:tcPr>
          <w:p w:rsidR="009421B9" w:rsidRPr="00D220FD" w:rsidP="007B3BB1" w14:paraId="4CB669B3" w14:textId="77777777">
            <w:pPr>
              <w:pStyle w:val="Normal6a"/>
              <w:rPr>
                <w:spacing w:val="-2"/>
              </w:rPr>
            </w:pPr>
            <w:r w:rsidRPr="00F668A8">
              <w:rPr>
                <w:spacing w:val="-2"/>
              </w:rPr>
              <w:t>This Regulation shall enter into force on the day</w:t>
            </w:r>
            <w:r w:rsidRPr="00F668A8">
              <w:rPr>
                <w:b/>
                <w:bCs/>
                <w:i/>
                <w:iCs/>
                <w:spacing w:val="-2"/>
              </w:rPr>
              <w:t xml:space="preserve"> </w:t>
            </w:r>
            <w:r w:rsidRPr="00F668A8">
              <w:rPr>
                <w:spacing w:val="-2"/>
              </w:rPr>
              <w:t>following that of its publication in the Official Journal of the European Union.</w:t>
            </w:r>
          </w:p>
        </w:tc>
      </w:tr>
    </w:tbl>
    <w:p w:rsidR="009421B9" w:rsidRPr="00BA7CE6" w:rsidP="00F668A8" w14:paraId="2F2593EC" w14:textId="77777777">
      <w:pPr>
        <w:rPr>
          <w:lang w:val="en-GB"/>
        </w:rPr>
      </w:pPr>
    </w:p>
    <w:sectPr w:rsidSect="00666512">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Europea">
    <w:panose1 w:val="00000000000000000000"/>
    <w:charset w:val="00"/>
    <w:family w:val="auto"/>
    <w:pitch w:val="variable"/>
    <w:sig w:usb0="A00002FF" w:usb1="5001E47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5E15" w14:paraId="5B3A1ADF" w14:textId="77777777">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5E15" w14:paraId="456BB4C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5E15" w14:paraId="12809D6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77687" w:rsidP="009C4014" w14:paraId="7AF18A7B" w14:textId="77777777">
      <w:r>
        <w:separator/>
      </w:r>
    </w:p>
  </w:footnote>
  <w:footnote w:type="continuationSeparator" w:id="1">
    <w:p w:rsidR="00577687" w:rsidP="009C4014" w14:paraId="6FF0EC28" w14:textId="77777777">
      <w:r>
        <w:continuationSeparator/>
      </w:r>
    </w:p>
  </w:footnote>
  <w:footnote w:id="2">
    <w:p w:rsidR="00BA7CE6" w:rsidRPr="00334BA4" w:rsidP="00BA7CE6" w14:paraId="0A99EE42" w14:textId="4E91B323">
      <w:pPr>
        <w:pStyle w:val="FootnoteText"/>
        <w:ind w:left="567" w:hanging="567"/>
        <w:rPr>
          <w:sz w:val="24"/>
          <w:szCs w:val="24"/>
          <w:lang w:val="en-GB"/>
        </w:rPr>
      </w:pPr>
      <w:r w:rsidRPr="00F668A8">
        <w:rPr>
          <w:rStyle w:val="FootnoteReference"/>
          <w:sz w:val="24"/>
          <w:szCs w:val="24"/>
        </w:rPr>
        <w:footnoteRef/>
      </w:r>
      <w:r w:rsidRPr="00F668A8">
        <w:rPr>
          <w:sz w:val="24"/>
          <w:szCs w:val="24"/>
          <w:lang w:val="en-GB"/>
        </w:rPr>
        <w:t xml:space="preserve"> </w:t>
      </w:r>
      <w:r w:rsidRPr="00F668A8">
        <w:rPr>
          <w:sz w:val="24"/>
          <w:szCs w:val="24"/>
          <w:lang w:val="en-GB"/>
        </w:rPr>
        <w:tab/>
        <w:t xml:space="preserve">The matter was </w:t>
      </w:r>
      <w:r w:rsidRPr="00F668A8">
        <w:rPr>
          <w:sz w:val="24"/>
          <w:szCs w:val="24"/>
          <w:lang w:val="en-GB"/>
        </w:rPr>
        <w:t>referred back</w:t>
      </w:r>
      <w:r w:rsidRPr="00F668A8">
        <w:rPr>
          <w:sz w:val="24"/>
          <w:szCs w:val="24"/>
          <w:lang w:val="en-GB"/>
        </w:rPr>
        <w:t xml:space="preserve"> for interinstitutional negotiations to the committee</w:t>
      </w:r>
      <w:r w:rsidRPr="00F668A8" w:rsidR="006B6EC8">
        <w:rPr>
          <w:sz w:val="24"/>
          <w:szCs w:val="24"/>
          <w:lang w:val="en-GB"/>
        </w:rPr>
        <w:t>s</w:t>
      </w:r>
      <w:r w:rsidRPr="00F668A8">
        <w:rPr>
          <w:sz w:val="24"/>
          <w:szCs w:val="24"/>
          <w:lang w:val="en-GB"/>
        </w:rPr>
        <w:t xml:space="preserve"> responsible, pursuant to Rule 60(4), fourth subparagraph (C10-0258/2026).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5E15" w14:paraId="62A1605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5E15" w14:paraId="6C30DFE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5E15" w14:paraId="3174D76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nsid w:val="7ECB7708"/>
    <w:multiLevelType w:val="singleLevel"/>
    <w:tmpl w:val="71B46F9E"/>
    <w:lvl w:ilvl="0">
      <w:start w:val="1"/>
      <w:numFmt w:val="decimal"/>
      <w:lvlText w:val="%1."/>
      <w:lvlJc w:val="left"/>
      <w:pPr>
        <w:tabs>
          <w:tab w:val="num" w:pos="360"/>
        </w:tabs>
        <w:ind w:left="360" w:hanging="360"/>
      </w:pPr>
    </w:lvl>
  </w:abstractNum>
  <w:num w:numId="1" w16cid:durableId="1015115665">
    <w:abstractNumId w:val="3"/>
  </w:num>
  <w:num w:numId="2" w16cid:durableId="1202283803">
    <w:abstractNumId w:val="2"/>
  </w:num>
  <w:num w:numId="3" w16cid:durableId="2093768840">
    <w:abstractNumId w:val="1"/>
  </w:num>
  <w:num w:numId="4" w16cid:durableId="400325517">
    <w:abstractNumId w:val="0"/>
  </w:num>
  <w:num w:numId="5" w16cid:durableId="2003772161">
    <w:abstractNumId w:val="6"/>
  </w:num>
  <w:num w:numId="6" w16cid:durableId="1675186566">
    <w:abstractNumId w:val="5"/>
  </w:num>
  <w:num w:numId="7" w16cid:durableId="1389109810">
    <w:abstractNumId w:val="4"/>
  </w:num>
  <w:num w:numId="8" w16cid:durableId="1076318123">
    <w:abstractNumId w:val="7"/>
  </w:num>
  <w:num w:numId="9" w16cid:durableId="12647983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cumentProtection w:edit="readOnly" w:enforcement="0"/>
  <w:defaultTabStop w:val="567"/>
  <w:drawingGridHorizontalSpacing w:val="120"/>
  <w:displayHorizontalDrawingGridEvery w:val="0"/>
  <w:displayVerticalDrawingGridEvery w:val="0"/>
  <w:noPunctuationKerning/>
  <w:characterSpacingControl w:val="doNotCompress"/>
  <w:footnotePr>
    <w:numRestart w:val="eachPage"/>
    <w:footnote w:id="0"/>
    <w:footnote w:id="1"/>
  </w:footnotePr>
  <w:endnotePr>
    <w:numFmt w:val="decimal"/>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2A4"/>
    <w:rsid w:val="00013B2A"/>
    <w:rsid w:val="000349A2"/>
    <w:rsid w:val="00084DFA"/>
    <w:rsid w:val="000867FE"/>
    <w:rsid w:val="000C2BFE"/>
    <w:rsid w:val="000F27A9"/>
    <w:rsid w:val="000F6208"/>
    <w:rsid w:val="00120A77"/>
    <w:rsid w:val="00125CBC"/>
    <w:rsid w:val="00154C6A"/>
    <w:rsid w:val="00172070"/>
    <w:rsid w:val="00185E15"/>
    <w:rsid w:val="001D4BBF"/>
    <w:rsid w:val="001D63A8"/>
    <w:rsid w:val="002924A9"/>
    <w:rsid w:val="002A1D4E"/>
    <w:rsid w:val="002B4BCF"/>
    <w:rsid w:val="002B5390"/>
    <w:rsid w:val="002E36EB"/>
    <w:rsid w:val="002F1925"/>
    <w:rsid w:val="00300C61"/>
    <w:rsid w:val="00312A38"/>
    <w:rsid w:val="003202DD"/>
    <w:rsid w:val="00334BA4"/>
    <w:rsid w:val="003775B9"/>
    <w:rsid w:val="00397B2A"/>
    <w:rsid w:val="003E1189"/>
    <w:rsid w:val="003F4DFE"/>
    <w:rsid w:val="0040314E"/>
    <w:rsid w:val="00417638"/>
    <w:rsid w:val="00425111"/>
    <w:rsid w:val="00451C48"/>
    <w:rsid w:val="0047030E"/>
    <w:rsid w:val="004E6A17"/>
    <w:rsid w:val="004F2EA7"/>
    <w:rsid w:val="00520780"/>
    <w:rsid w:val="00525ED0"/>
    <w:rsid w:val="00534CAB"/>
    <w:rsid w:val="00547BB1"/>
    <w:rsid w:val="00577687"/>
    <w:rsid w:val="00591365"/>
    <w:rsid w:val="005A2421"/>
    <w:rsid w:val="005B23C9"/>
    <w:rsid w:val="005F0CA1"/>
    <w:rsid w:val="005F35F8"/>
    <w:rsid w:val="00603B14"/>
    <w:rsid w:val="006656E5"/>
    <w:rsid w:val="00666512"/>
    <w:rsid w:val="006735C5"/>
    <w:rsid w:val="00683842"/>
    <w:rsid w:val="00683F78"/>
    <w:rsid w:val="006A1E82"/>
    <w:rsid w:val="006A7C85"/>
    <w:rsid w:val="006A7CE5"/>
    <w:rsid w:val="006B1646"/>
    <w:rsid w:val="006B6EC8"/>
    <w:rsid w:val="006D1782"/>
    <w:rsid w:val="006E5420"/>
    <w:rsid w:val="006F135E"/>
    <w:rsid w:val="00751383"/>
    <w:rsid w:val="00757DD5"/>
    <w:rsid w:val="00760EC5"/>
    <w:rsid w:val="007713FD"/>
    <w:rsid w:val="00774A9B"/>
    <w:rsid w:val="007906DB"/>
    <w:rsid w:val="007B16FE"/>
    <w:rsid w:val="007B3BB1"/>
    <w:rsid w:val="007B5D1F"/>
    <w:rsid w:val="007C3388"/>
    <w:rsid w:val="00840724"/>
    <w:rsid w:val="008512F3"/>
    <w:rsid w:val="00857458"/>
    <w:rsid w:val="00873A0F"/>
    <w:rsid w:val="00895FA0"/>
    <w:rsid w:val="008B1C2E"/>
    <w:rsid w:val="008D7C16"/>
    <w:rsid w:val="008E7632"/>
    <w:rsid w:val="008F0108"/>
    <w:rsid w:val="008F7F1C"/>
    <w:rsid w:val="00907FE0"/>
    <w:rsid w:val="009421B9"/>
    <w:rsid w:val="009865B7"/>
    <w:rsid w:val="009B7E10"/>
    <w:rsid w:val="009C4014"/>
    <w:rsid w:val="009E1EFB"/>
    <w:rsid w:val="009F28EF"/>
    <w:rsid w:val="00A1739E"/>
    <w:rsid w:val="00AA7C5C"/>
    <w:rsid w:val="00B54C72"/>
    <w:rsid w:val="00B85C1E"/>
    <w:rsid w:val="00BA7CE6"/>
    <w:rsid w:val="00BF0D36"/>
    <w:rsid w:val="00C15516"/>
    <w:rsid w:val="00C16C81"/>
    <w:rsid w:val="00C57739"/>
    <w:rsid w:val="00C65BE8"/>
    <w:rsid w:val="00CB451F"/>
    <w:rsid w:val="00CC4897"/>
    <w:rsid w:val="00D202A4"/>
    <w:rsid w:val="00D220FD"/>
    <w:rsid w:val="00D238F4"/>
    <w:rsid w:val="00D91669"/>
    <w:rsid w:val="00DB2F6A"/>
    <w:rsid w:val="00DF097A"/>
    <w:rsid w:val="00DF53A8"/>
    <w:rsid w:val="00E039BF"/>
    <w:rsid w:val="00E112A4"/>
    <w:rsid w:val="00E11822"/>
    <w:rsid w:val="00E73B02"/>
    <w:rsid w:val="00E74BF3"/>
    <w:rsid w:val="00EE4102"/>
    <w:rsid w:val="00EF3610"/>
    <w:rsid w:val="00F177A4"/>
    <w:rsid w:val="00F550E4"/>
    <w:rsid w:val="00F668A8"/>
    <w:rsid w:val="00F97E29"/>
    <w:rsid w:val="00FB1507"/>
    <w:rsid w:val="00FB3609"/>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4:docId w14:val="40A0CCF9"/>
  <w15:chartTrackingRefBased/>
  <w15:docId w15:val="{6E25D25A-042B-4B15-80CF-1F05CD1A1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rPr>
      <w:b w:val="0"/>
      <w:vertAlign w:val="superscript"/>
    </w:rPr>
  </w:style>
  <w:style w:type="paragraph" w:styleId="FootnoteText">
    <w:name w:val="footnote text"/>
    <w:basedOn w:val="Normal"/>
    <w:link w:val="FootnoteTextChar"/>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styleId="Hyperlink">
    <w:name w:val="Hyperlink"/>
    <w:uiPriority w:val="99"/>
    <w:rsid w:val="00E112A4"/>
    <w:rPr>
      <w:color w:val="0000FF"/>
      <w:u w:val="single"/>
    </w:rPr>
  </w:style>
  <w:style w:type="character" w:styleId="CommentReference">
    <w:name w:val="annotation reference"/>
    <w:rsid w:val="00E112A4"/>
    <w:rPr>
      <w:rFonts w:cs="Times New Roman"/>
      <w:sz w:val="16"/>
      <w:szCs w:val="16"/>
    </w:rPr>
  </w:style>
  <w:style w:type="paragraph" w:styleId="CommentText">
    <w:name w:val="annotation text"/>
    <w:basedOn w:val="Normal"/>
    <w:link w:val="CommentTextChar"/>
    <w:rsid w:val="00E112A4"/>
    <w:pPr>
      <w:spacing w:before="120" w:after="120"/>
      <w:jc w:val="both"/>
    </w:pPr>
    <w:rPr>
      <w:sz w:val="20"/>
    </w:rPr>
  </w:style>
  <w:style w:type="character" w:customStyle="1" w:styleId="CommentTextChar">
    <w:name w:val="Comment Text Char"/>
    <w:basedOn w:val="DefaultParagraphFont"/>
    <w:link w:val="CommentText"/>
    <w:rsid w:val="00E112A4"/>
    <w:rPr>
      <w:lang w:val="fr-FR"/>
    </w:rPr>
  </w:style>
  <w:style w:type="paragraph" w:styleId="CommentSubject">
    <w:name w:val="annotation subject"/>
    <w:basedOn w:val="CommentText"/>
    <w:next w:val="CommentText"/>
    <w:link w:val="CommentSubjectChar"/>
    <w:rsid w:val="006D1782"/>
    <w:pPr>
      <w:spacing w:before="0" w:after="0"/>
      <w:jc w:val="left"/>
    </w:pPr>
    <w:rPr>
      <w:b/>
      <w:bCs/>
    </w:rPr>
  </w:style>
  <w:style w:type="character" w:customStyle="1" w:styleId="CommentSubjectChar">
    <w:name w:val="Comment Subject Char"/>
    <w:basedOn w:val="CommentTextChar"/>
    <w:link w:val="CommentSubject"/>
    <w:rsid w:val="006D1782"/>
    <w:rPr>
      <w:b/>
      <w:bCs/>
      <w:lang w:val="fr-FR"/>
    </w:rPr>
  </w:style>
  <w:style w:type="paragraph" w:styleId="Revision">
    <w:name w:val="Revision"/>
    <w:hidden/>
    <w:uiPriority w:val="99"/>
    <w:semiHidden/>
    <w:rsid w:val="0040314E"/>
    <w:rPr>
      <w:sz w:val="24"/>
      <w:lang w:val="fr-FR"/>
    </w:rPr>
  </w:style>
  <w:style w:type="character" w:customStyle="1" w:styleId="FootnoteTextChar">
    <w:name w:val="Footnote Text Char"/>
    <w:link w:val="FootnoteText"/>
    <w:rsid w:val="0040314E"/>
    <w:rPr>
      <w:sz w:val="22"/>
      <w:lang w:val="fr-FR"/>
    </w:rPr>
  </w:style>
  <w:style w:type="paragraph" w:customStyle="1" w:styleId="NormalHanging12a">
    <w:name w:val="NormalHanging12a"/>
    <w:basedOn w:val="Normal"/>
    <w:rsid w:val="0040314E"/>
    <w:pPr>
      <w:widowControl w:val="0"/>
      <w:spacing w:after="240"/>
      <w:ind w:left="567" w:hanging="567"/>
    </w:pPr>
    <w:rPr>
      <w:lang w:val="en-GB"/>
    </w:rPr>
  </w:style>
  <w:style w:type="paragraph" w:customStyle="1" w:styleId="AmDocTypeTab">
    <w:name w:val="AmDocTypeTab"/>
    <w:basedOn w:val="Normal"/>
    <w:rsid w:val="00BA7CE6"/>
    <w:pPr>
      <w:widowControl w:val="0"/>
      <w:tabs>
        <w:tab w:val="right" w:pos="9071"/>
      </w:tabs>
    </w:pPr>
    <w:rPr>
      <w:b/>
      <w:lang w:val="en-GB"/>
    </w:rPr>
  </w:style>
  <w:style w:type="paragraph" w:customStyle="1" w:styleId="Normal12a">
    <w:name w:val="Normal12a"/>
    <w:basedOn w:val="Normal"/>
    <w:rsid w:val="00BA7CE6"/>
    <w:pPr>
      <w:widowControl w:val="0"/>
      <w:spacing w:after="240"/>
    </w:pPr>
    <w:rPr>
      <w:lang w:val="en-GB"/>
    </w:rPr>
  </w:style>
  <w:style w:type="paragraph" w:customStyle="1" w:styleId="Normal6a">
    <w:name w:val="Normal6a"/>
    <w:basedOn w:val="Normal"/>
    <w:rsid w:val="00BA7CE6"/>
    <w:pPr>
      <w:widowControl w:val="0"/>
      <w:spacing w:after="120"/>
    </w:pPr>
    <w:rPr>
      <w:lang w:val="en-GB"/>
    </w:rPr>
  </w:style>
  <w:style w:type="paragraph" w:customStyle="1" w:styleId="AmColumnHeading">
    <w:name w:val="AmColumnHeading"/>
    <w:basedOn w:val="Normal"/>
    <w:rsid w:val="00BA7CE6"/>
    <w:pPr>
      <w:widowControl w:val="0"/>
      <w:spacing w:after="240"/>
      <w:jc w:val="center"/>
    </w:pPr>
    <w:rPr>
      <w:i/>
      <w:lang w:val="en-GB"/>
    </w:rPr>
  </w:style>
  <w:style w:type="paragraph" w:customStyle="1" w:styleId="AmNumberTabs">
    <w:name w:val="AmNumberTabs"/>
    <w:basedOn w:val="Normal"/>
    <w:rsid w:val="00BA7CE6"/>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n-GB"/>
    </w:rPr>
  </w:style>
  <w:style w:type="character" w:customStyle="1" w:styleId="HideTWBInt">
    <w:name w:val="HideTWBInt"/>
    <w:rsid w:val="00BA7CE6"/>
    <w:rPr>
      <w:rFonts w:ascii="Arial" w:hAnsi="Arial"/>
      <w:vanish/>
      <w:color w:val="80808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image" Target="media/image1.png" /></Relationships>
</file>

<file path=word/_rels/settings.xml.rels><?xml version="1.0" encoding="utf-8" standalone="yes"?><Relationships xmlns="http://schemas.openxmlformats.org/package/2006/relationships"><Relationship Id="rId1" Type="http://schemas.openxmlformats.org/officeDocument/2006/relationships/attachedTemplate" Target="file:///\\Presbruanasc01\Verif\word\admin\properties\TADAT\ta_woText.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ages_x0020_in_x0020_TA xmlns="6be1dce2-9521-46ab-a530-b289ee0cb0ed">7</Pages_x0020_in_x0020_TA>
    <Allowed_x0020_Contributions xmlns="6be1dce2-9521-46ab-a530-b289ee0cb0ed">false</Allowed_x0020_Contributions>
    <Consolidated xmlns="6be1dce2-9521-46ab-a530-b289ee0cb0ed">false</Consolidated>
    <Amendments xmlns="6be1dce2-9521-46ab-a530-b289ee0cb0ed">7</Amendment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10EB9B6C258D9458F403629C924D5B2" ma:contentTypeVersion="5" ma:contentTypeDescription="Create a new document." ma:contentTypeScope="" ma:versionID="f68e7e917c1c5f007045eebab5e93f1b">
  <xsd:schema xmlns:xsd="http://www.w3.org/2001/XMLSchema" xmlns:xs="http://www.w3.org/2001/XMLSchema" xmlns:p="http://schemas.microsoft.com/office/2006/metadata/properties" xmlns:ns2="66bb8730-6482-4c50-b53f-ab2db4d523eb" xmlns:ns3="6be1dce2-9521-46ab-a530-b289ee0cb0ed" targetNamespace="http://schemas.microsoft.com/office/2006/metadata/properties" ma:root="true" ma:fieldsID="0b7fef82edd2e190d079d37ba92c25d5" ns2:_="" ns3:_="">
    <xsd:import namespace="66bb8730-6482-4c50-b53f-ab2db4d523eb"/>
    <xsd:import namespace="6be1dce2-9521-46ab-a530-b289ee0cb0ed"/>
    <xsd:element name="properties">
      <xsd:complexType>
        <xsd:sequence>
          <xsd:element name="documentManagement">
            <xsd:complexType>
              <xsd:all>
                <xsd:element ref="ns2:SharedWithUsers" minOccurs="0"/>
                <xsd:element ref="ns3:Pages_x0020_in_x0020_TA" minOccurs="0"/>
                <xsd:element ref="ns3:Amendments" minOccurs="0"/>
                <xsd:element ref="ns3:Consolidated" minOccurs="0"/>
                <xsd:element ref="ns3:Allowed_x0020_Contribut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b8730-6482-4c50-b53f-ab2db4d523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be1dce2-9521-46ab-a530-b289ee0cb0ed" elementFormDefault="qualified">
    <xsd:import namespace="http://schemas.microsoft.com/office/2006/documentManagement/types"/>
    <xsd:import namespace="http://schemas.microsoft.com/office/infopath/2007/PartnerControls"/>
    <xsd:element name="Pages_x0020_in_x0020_TA" ma:index="9" nillable="true" ma:displayName="Pages in TA" ma:decimals="0" ma:internalName="Pages_x0020_in_x0020_TA">
      <xsd:simpleType>
        <xsd:restriction base="dms:Number"/>
      </xsd:simpleType>
    </xsd:element>
    <xsd:element name="Amendments" ma:index="10" nillable="true" ma:displayName="Amendments" ma:decimals="0" ma:internalName="Amendments">
      <xsd:simpleType>
        <xsd:restriction base="dms:Number"/>
      </xsd:simpleType>
    </xsd:element>
    <xsd:element name="Consolidated" ma:index="11" nillable="true" ma:displayName="Consolidated" ma:default="0" ma:internalName="Consolidated">
      <xsd:simpleType>
        <xsd:restriction base="dms:Boolean"/>
      </xsd:simpleType>
    </xsd:element>
    <xsd:element name="Allowed_x0020_Contributions" ma:index="12" nillable="true" ma:displayName="Allowed Contributions" ma:default="0" ma:internalName="Allowed_x0020_Contributions">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customXml/itemProps2.xml><?xml version="1.0" encoding="utf-8"?>
<ds:datastoreItem xmlns:ds="http://schemas.openxmlformats.org/officeDocument/2006/customXml" ds:itemID="{033C5349-E23F-46C9-9A54-123AADD4CB04}">
  <ds:schemaRefs>
    <ds:schemaRef ds:uri="http://schemas.microsoft.com/office/2006/metadata/properties"/>
    <ds:schemaRef ds:uri="http://schemas.microsoft.com/office/infopath/2007/PartnerControls"/>
    <ds:schemaRef ds:uri="6be1dce2-9521-46ab-a530-b289ee0cb0ed"/>
  </ds:schemaRefs>
</ds:datastoreItem>
</file>

<file path=customXml/itemProps3.xml><?xml version="1.0" encoding="utf-8"?>
<ds:datastoreItem xmlns:ds="http://schemas.openxmlformats.org/officeDocument/2006/customXml" ds:itemID="{10BF06F7-B3AB-4B9C-9C1D-D737BA357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b8730-6482-4c50-b53f-ab2db4d523eb"/>
    <ds:schemaRef ds:uri="6be1dce2-9521-46ab-a530-b289ee0cb0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1D317C-4DE7-4E4E-8B8A-5D5A6D5B3B4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ta_woText.dotx</Template>
  <TotalTime>1</TotalTime>
  <Pages>7</Pages>
  <Words>1982</Words>
  <Characters>10471</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12340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 MEF AFTER VOTE</dc:title>
  <dc:creator>European Parliament</dc:creator>
  <cp:lastModifiedBy>European Parliament</cp:lastModifiedBy>
  <cp:revision>2</cp:revision>
  <cp:lastPrinted>2014-08-07T13:15:00Z</cp:lastPrinted>
  <dcterms:created xsi:type="dcterms:W3CDTF">2026-10-22T13:07:00Z</dcterms:created>
  <dcterms:modified xsi:type="dcterms:W3CDTF">2026-10-22T13:07:00Z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lowed_x0020_Contributions">
    <vt:bool>false</vt:bool>
  </property>
  <property fmtid="{D5CDD505-2E9C-101B-9397-08002B2CF9AE}" pid="3" name="Amendments">
    <vt:i4>7</vt:i4>
  </property>
  <property fmtid="{D5CDD505-2E9C-101B-9397-08002B2CF9AE}" pid="4" name="Consolidated">
    <vt:bool>false</vt:bool>
  </property>
  <property fmtid="{D5CDD505-2E9C-101B-9397-08002B2CF9AE}" pid="5" name="ContentTypeId">
    <vt:lpwstr>0x010100210EB9B6C258D9458F403629C924D5B2</vt:lpwstr>
  </property>
  <property fmtid="{D5CDD505-2E9C-101B-9397-08002B2CF9AE}" pid="6" name="Pages_x0020_in_x0020_TA">
    <vt:i4>7</vt:i4>
  </property>
</Properties>
</file>