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75044" w:rsidTr="0010095E">
        <w:trPr>
          <w:trHeight w:hRule="exact" w:val="1418"/>
        </w:trPr>
        <w:tc>
          <w:tcPr>
            <w:tcW w:w="6804" w:type="dxa"/>
            <w:shd w:val="clear" w:color="auto" w:fill="auto"/>
            <w:vAlign w:val="center"/>
          </w:tcPr>
          <w:p w:rsidR="00751A4A" w:rsidRPr="00B75044" w:rsidRDefault="00A84525" w:rsidP="0010095E">
            <w:pPr>
              <w:pStyle w:val="EPName"/>
            </w:pPr>
            <w:r w:rsidRPr="00B75044">
              <w:t>Europa-Parlamentet</w:t>
            </w:r>
          </w:p>
          <w:p w:rsidR="00751A4A" w:rsidRPr="00B75044" w:rsidRDefault="00817416" w:rsidP="00756632">
            <w:pPr>
              <w:pStyle w:val="EPTerm"/>
              <w:rPr>
                <w:rStyle w:val="HideTWBExt"/>
                <w:noProof w:val="0"/>
                <w:vanish w:val="0"/>
                <w:color w:val="auto"/>
              </w:rPr>
            </w:pPr>
            <w:r w:rsidRPr="00B75044">
              <w:t>2019-2024</w:t>
            </w:r>
          </w:p>
        </w:tc>
        <w:tc>
          <w:tcPr>
            <w:tcW w:w="2268" w:type="dxa"/>
            <w:shd w:val="clear" w:color="auto" w:fill="auto"/>
          </w:tcPr>
          <w:p w:rsidR="00751A4A" w:rsidRPr="00B75044" w:rsidRDefault="00187494" w:rsidP="0010095E">
            <w:pPr>
              <w:pStyle w:val="EPLogo"/>
            </w:pPr>
            <w:r w:rsidRPr="00B75044">
              <w:rPr>
                <w:noProof/>
                <w:lang w:eastAsia="da-DK"/>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75044" w:rsidRDefault="00D058B8" w:rsidP="004C5D52">
      <w:pPr>
        <w:pStyle w:val="LineTop"/>
      </w:pPr>
    </w:p>
    <w:p w:rsidR="00680577" w:rsidRPr="00B75044" w:rsidRDefault="00A84525" w:rsidP="00680577">
      <w:pPr>
        <w:pStyle w:val="EPBodyTA1"/>
      </w:pPr>
      <w:r w:rsidRPr="00B75044">
        <w:t>VEDTAGNE TEKSTER</w:t>
      </w:r>
    </w:p>
    <w:p w:rsidR="00D058B8" w:rsidRPr="00B75044" w:rsidRDefault="00D058B8" w:rsidP="00D058B8">
      <w:pPr>
        <w:pStyle w:val="LineBottom"/>
      </w:pPr>
    </w:p>
    <w:p w:rsidR="00A84525" w:rsidRPr="00B75044" w:rsidRDefault="00A84525" w:rsidP="00A84525">
      <w:pPr>
        <w:pStyle w:val="ATHeading1"/>
      </w:pPr>
      <w:bookmarkStart w:id="0" w:name="TANumber"/>
      <w:r w:rsidRPr="00B75044">
        <w:t>P</w:t>
      </w:r>
      <w:r w:rsidR="00DF668C">
        <w:t>9</w:t>
      </w:r>
      <w:r w:rsidRPr="00B75044">
        <w:t>_</w:t>
      </w:r>
      <w:proofErr w:type="gramStart"/>
      <w:r w:rsidRPr="00B75044">
        <w:t>TA(</w:t>
      </w:r>
      <w:proofErr w:type="gramEnd"/>
      <w:r w:rsidRPr="00B75044">
        <w:t>2021)0</w:t>
      </w:r>
      <w:bookmarkEnd w:id="0"/>
      <w:r w:rsidR="008F1634">
        <w:t>458</w:t>
      </w:r>
    </w:p>
    <w:p w:rsidR="00A84525" w:rsidRPr="00B75044" w:rsidRDefault="00A35527" w:rsidP="00A35527">
      <w:pPr>
        <w:pStyle w:val="ATHeading2"/>
      </w:pPr>
      <w:r>
        <w:t>Den fælles landbrugspolitik - ændring af forordningen om en fælles markedsordning for landbrugsprodukter og andre forordninger</w:t>
      </w:r>
      <w:r w:rsidR="00A84525" w:rsidRPr="00B75044">
        <w:t xml:space="preserve"> </w:t>
      </w:r>
      <w:bookmarkStart w:id="1" w:name="Etoiles"/>
      <w:r w:rsidR="00A84525" w:rsidRPr="00B75044">
        <w:t>***I</w:t>
      </w:r>
      <w:bookmarkEnd w:id="1"/>
    </w:p>
    <w:p w:rsidR="00A84525" w:rsidRPr="00B75044" w:rsidRDefault="00A84525" w:rsidP="00A84525">
      <w:pPr>
        <w:rPr>
          <w:i/>
          <w:vanish/>
        </w:rPr>
      </w:pPr>
      <w:r w:rsidRPr="00B75044">
        <w:rPr>
          <w:i/>
        </w:rPr>
        <w:fldChar w:fldCharType="begin"/>
      </w:r>
      <w:r w:rsidRPr="00B75044">
        <w:rPr>
          <w:i/>
        </w:rPr>
        <w:instrText xml:space="preserve"> TC"(</w:instrText>
      </w:r>
      <w:bookmarkStart w:id="2" w:name="DocNumber"/>
      <w:r w:rsidRPr="00B75044">
        <w:rPr>
          <w:i/>
        </w:rPr>
        <w:instrText>A8-0198/2019</w:instrText>
      </w:r>
      <w:bookmarkEnd w:id="2"/>
      <w:r w:rsidRPr="00B75044">
        <w:rPr>
          <w:i/>
        </w:rPr>
        <w:instrText xml:space="preserve"> - Ordfører: Eric </w:instrText>
      </w:r>
      <w:proofErr w:type="spellStart"/>
      <w:r w:rsidRPr="00B75044">
        <w:rPr>
          <w:i/>
        </w:rPr>
        <w:instrText>Andrieu</w:instrText>
      </w:r>
      <w:proofErr w:type="spellEnd"/>
      <w:r w:rsidRPr="00B75044">
        <w:rPr>
          <w:i/>
        </w:rPr>
        <w:instrText xml:space="preserve">)"\l3 \n&gt; \* MERGEFORMAT </w:instrText>
      </w:r>
      <w:r w:rsidRPr="00B75044">
        <w:rPr>
          <w:i/>
        </w:rPr>
        <w:fldChar w:fldCharType="end"/>
      </w:r>
    </w:p>
    <w:p w:rsidR="00A84525" w:rsidRPr="00B75044" w:rsidRDefault="00A84525" w:rsidP="00A84525">
      <w:pPr>
        <w:rPr>
          <w:vanish/>
        </w:rPr>
      </w:pPr>
      <w:bookmarkStart w:id="3" w:name="Commission"/>
      <w:r w:rsidRPr="00B75044">
        <w:rPr>
          <w:vanish/>
        </w:rPr>
        <w:t>Udvalget om Landbrug og Udvikling af Landdistrikter</w:t>
      </w:r>
      <w:bookmarkEnd w:id="3"/>
    </w:p>
    <w:p w:rsidR="00A84525" w:rsidRPr="00B75044" w:rsidRDefault="00A84525" w:rsidP="00A84525">
      <w:pPr>
        <w:rPr>
          <w:vanish/>
        </w:rPr>
      </w:pPr>
      <w:bookmarkStart w:id="4" w:name="PE"/>
      <w:r w:rsidRPr="00B75044">
        <w:rPr>
          <w:vanish/>
        </w:rPr>
        <w:t>PE623.922</w:t>
      </w:r>
      <w:bookmarkEnd w:id="4"/>
    </w:p>
    <w:p w:rsidR="00A84525" w:rsidRPr="00B75044" w:rsidRDefault="00A84525" w:rsidP="00A84525">
      <w:pPr>
        <w:pStyle w:val="ATHeading3"/>
      </w:pPr>
      <w:bookmarkStart w:id="5" w:name="Sujet"/>
      <w:r w:rsidRPr="00B75044">
        <w:t xml:space="preserve">Europa-Parlamentets lovgivningsmæssige beslutning af </w:t>
      </w:r>
      <w:r w:rsidR="00C91EAD">
        <w:t>23</w:t>
      </w:r>
      <w:r w:rsidRPr="00B75044">
        <w:t>.</w:t>
      </w:r>
      <w:r w:rsidR="00A35527">
        <w:t xml:space="preserve"> november</w:t>
      </w:r>
      <w:r w:rsidRPr="00B75044">
        <w:t xml:space="preserve"> 2021 om forslag til Europa-Parlamentets og Rådets forordning om ændring af forordning (EU) nr. 1308/2013 om en fælles markedsordning for landbrugsprodukter, (EU) nr. 1151/2012 om kvalitetsordninger for landbrugsprodukter og fødevarer, (EU) nr. 251/2014 om definition, beskrivelse, præsentation, mærkning og beskyttelse af geografiske betegnelser for aromatiserede vinprodukter, (EU) nr. 228/2013 om særlige foranstaltninger på landbrugsområdet i Unionens fjernområder og (EU) nr. 229/2013 om særlige foranstaltninger på landbrugsområdet til fordel for de mindre øer i Det Ægæiske Hav</w:t>
      </w:r>
      <w:bookmarkEnd w:id="5"/>
      <w:r w:rsidRPr="00B75044">
        <w:t xml:space="preserve"> </w:t>
      </w:r>
      <w:bookmarkStart w:id="6" w:name="References"/>
      <w:r w:rsidRPr="00B75044">
        <w:t>(COM(2018)0394 – C8-0246/2018 – 2018/0218(COD))</w:t>
      </w:r>
      <w:bookmarkEnd w:id="6"/>
    </w:p>
    <w:p w:rsidR="00A84525" w:rsidRPr="00B75044" w:rsidRDefault="00A84525" w:rsidP="00A84525"/>
    <w:p w:rsidR="00CD0114" w:rsidRPr="00B75044" w:rsidRDefault="00CD0114" w:rsidP="00CD0114">
      <w:pPr>
        <w:pStyle w:val="Normal12Bold"/>
      </w:pPr>
      <w:bookmarkStart w:id="7" w:name="TextBodyBegin"/>
      <w:bookmarkEnd w:id="7"/>
      <w:r w:rsidRPr="00B75044">
        <w:t>(Almindelig lovgivningsprocedure: førstebehandling)</w:t>
      </w:r>
    </w:p>
    <w:p w:rsidR="00CD0114" w:rsidRPr="00B75044" w:rsidRDefault="00CD0114" w:rsidP="00CD0114">
      <w:pPr>
        <w:pStyle w:val="Normal12"/>
      </w:pPr>
      <w:r w:rsidRPr="00B75044">
        <w:rPr>
          <w:i/>
        </w:rPr>
        <w:t>Europa-Parlamentet</w:t>
      </w:r>
      <w:r w:rsidRPr="00B75044">
        <w:t>,</w:t>
      </w:r>
    </w:p>
    <w:p w:rsidR="00CD0114" w:rsidRPr="00B75044" w:rsidRDefault="00CD0114" w:rsidP="00CD0114">
      <w:pPr>
        <w:pStyle w:val="Normal12Hanging"/>
      </w:pPr>
      <w:r w:rsidRPr="00B75044">
        <w:t>–</w:t>
      </w:r>
      <w:r w:rsidRPr="00B75044">
        <w:tab/>
        <w:t>der henviser til Kommissionens forslag til Europa-Parlamentet og Rådet (</w:t>
      </w:r>
      <w:proofErr w:type="gramStart"/>
      <w:r w:rsidRPr="00B75044">
        <w:t>COM(</w:t>
      </w:r>
      <w:proofErr w:type="gramEnd"/>
      <w:r w:rsidRPr="00B75044">
        <w:t>2018)0394),</w:t>
      </w:r>
    </w:p>
    <w:p w:rsidR="00CD0114" w:rsidRPr="00B75044" w:rsidRDefault="00CD0114" w:rsidP="00CD0114">
      <w:pPr>
        <w:pStyle w:val="Normal12Hanging"/>
      </w:pPr>
      <w:r w:rsidRPr="00B75044">
        <w:t>–</w:t>
      </w:r>
      <w:r w:rsidRPr="00B75044">
        <w:tab/>
        <w:t xml:space="preserve">der henviser til artikel 294, stk. 2, og artikel 43, stk. 2, artikel </w:t>
      </w:r>
      <w:r w:rsidR="008628F7">
        <w:t>114</w:t>
      </w:r>
      <w:r w:rsidRPr="00B75044">
        <w:t>, artikel 118, stk. 1</w:t>
      </w:r>
      <w:r w:rsidR="00536376">
        <w:t>,</w:t>
      </w:r>
      <w:r w:rsidRPr="00B75044">
        <w:t xml:space="preserve"> og artikel 349 i traktaten om Den Europæiske Unions funktionsmåde, på grundlag af hvilke Kommissionen har forelagt forslaget for Parlamentet (C8-0246/2018),</w:t>
      </w:r>
    </w:p>
    <w:p w:rsidR="00CD0114" w:rsidRPr="00B75044" w:rsidRDefault="00CD0114" w:rsidP="00CD0114">
      <w:pPr>
        <w:pStyle w:val="Normal12Hanging"/>
      </w:pPr>
      <w:r w:rsidRPr="00B75044">
        <w:t>–</w:t>
      </w:r>
      <w:r w:rsidRPr="00B75044">
        <w:tab/>
        <w:t>der henviser til artikel 294, stk. 3, i traktaten om Den Europæiske Unions funktionsmåde,</w:t>
      </w:r>
    </w:p>
    <w:p w:rsidR="00CD0114" w:rsidRPr="00B75044" w:rsidRDefault="00CD0114" w:rsidP="00CD0114">
      <w:pPr>
        <w:pStyle w:val="Normal12Hanging"/>
      </w:pPr>
      <w:r w:rsidRPr="00B75044">
        <w:t>–</w:t>
      </w:r>
      <w:r w:rsidRPr="00B75044">
        <w:tab/>
        <w:t>der henviser til udtalelse af 17. oktober 2018 fra Det Europæiske Økonomiske og Sociale Udvalg</w:t>
      </w:r>
      <w:r w:rsidRPr="00B75044">
        <w:rPr>
          <w:rStyle w:val="FootnoteReference"/>
        </w:rPr>
        <w:footnoteReference w:id="1"/>
      </w:r>
      <w:r w:rsidRPr="00B75044">
        <w:t>,</w:t>
      </w:r>
    </w:p>
    <w:p w:rsidR="00CD0114" w:rsidRPr="00B75044" w:rsidRDefault="00CD0114" w:rsidP="00CD0114">
      <w:pPr>
        <w:pStyle w:val="Normal12Hanging"/>
      </w:pPr>
      <w:r w:rsidRPr="00B75044">
        <w:t>–</w:t>
      </w:r>
      <w:r w:rsidRPr="00B75044">
        <w:tab/>
        <w:t>der henviser til udtalelse af 5. december 2018 fra Regionsudvalget</w:t>
      </w:r>
      <w:r w:rsidRPr="00B75044">
        <w:rPr>
          <w:rStyle w:val="FootnoteReference"/>
        </w:rPr>
        <w:footnoteReference w:id="2"/>
      </w:r>
      <w:r w:rsidRPr="00B75044">
        <w:t>,</w:t>
      </w:r>
    </w:p>
    <w:p w:rsidR="00C91EAD" w:rsidRDefault="00C91EAD" w:rsidP="00C91EAD">
      <w:pPr>
        <w:pStyle w:val="Normal12Hanging"/>
      </w:pPr>
      <w:r w:rsidRPr="00C424A5">
        <w:t>–</w:t>
      </w:r>
      <w:r w:rsidRPr="00C424A5">
        <w:tab/>
      </w:r>
      <w:r w:rsidRPr="00110487">
        <w:rPr>
          <w:noProof/>
          <w:szCs w:val="24"/>
        </w:rPr>
        <w:t xml:space="preserve">der henviser til, at det kompetente udvalg har godkendt den foreløbige aftale i henhold til forretningsordenens artikel </w:t>
      </w:r>
      <w:r>
        <w:rPr>
          <w:noProof/>
          <w:szCs w:val="24"/>
        </w:rPr>
        <w:t>74</w:t>
      </w:r>
      <w:r w:rsidRPr="00110487">
        <w:rPr>
          <w:noProof/>
          <w:szCs w:val="24"/>
        </w:rPr>
        <w:t xml:space="preserve">, stk. 4, og at Rådets repræsentant ved skrivelse af </w:t>
      </w:r>
      <w:r>
        <w:rPr>
          <w:noProof/>
          <w:szCs w:val="24"/>
        </w:rPr>
        <w:t>23. juli</w:t>
      </w:r>
      <w:r w:rsidRPr="00110487">
        <w:rPr>
          <w:noProof/>
          <w:szCs w:val="24"/>
        </w:rPr>
        <w:t xml:space="preserve"> 20</w:t>
      </w:r>
      <w:r>
        <w:rPr>
          <w:noProof/>
          <w:szCs w:val="24"/>
        </w:rPr>
        <w:t>2</w:t>
      </w:r>
      <w:r w:rsidRPr="00110487">
        <w:rPr>
          <w:noProof/>
          <w:szCs w:val="24"/>
        </w:rPr>
        <w:t xml:space="preserve">1 forpligtede sig til at godkende Europa-Parlamentets holdning, jf. artikel 294, </w:t>
      </w:r>
      <w:r w:rsidRPr="00110487">
        <w:rPr>
          <w:noProof/>
          <w:szCs w:val="24"/>
        </w:rPr>
        <w:lastRenderedPageBreak/>
        <w:t>stk. 4, i traktaten om Den Europæiske Unions funktionsmåde</w:t>
      </w:r>
      <w:r>
        <w:t>,</w:t>
      </w:r>
    </w:p>
    <w:p w:rsidR="00CD0114" w:rsidRPr="00B75044" w:rsidRDefault="00CD0114" w:rsidP="00CD0114">
      <w:pPr>
        <w:pStyle w:val="Normal12Hanging"/>
      </w:pPr>
      <w:r w:rsidRPr="00B75044">
        <w:t>–</w:t>
      </w:r>
      <w:r w:rsidRPr="00B75044">
        <w:tab/>
        <w:t>der henviser til forretningsordenens artikel 59,</w:t>
      </w:r>
    </w:p>
    <w:p w:rsidR="00CD0114" w:rsidRPr="00B75044" w:rsidRDefault="00CD0114" w:rsidP="00CD0114">
      <w:pPr>
        <w:pStyle w:val="Normal12Hanging"/>
      </w:pPr>
      <w:r w:rsidRPr="00B75044">
        <w:t>–</w:t>
      </w:r>
      <w:r w:rsidRPr="00B75044">
        <w:tab/>
        <w:t>der henviser til betænkning fra Udvalget om Landbrug og Udvikling af Landdistrikter og udtalelser og holdninger i form af ændringsforslag fra Udviklingsudvalget, Budgetudvalget, Budgetkontroludvalget, Udvalget om Miljø, Folkesundhed og Fødevaresikkerhed og Regionaludviklingsudvalget (A8-0198/2019),</w:t>
      </w:r>
    </w:p>
    <w:p w:rsidR="00CD0114" w:rsidRDefault="00CD0114" w:rsidP="00CD0114">
      <w:pPr>
        <w:pStyle w:val="Normal12Hanging"/>
      </w:pPr>
      <w:r w:rsidRPr="00B75044">
        <w:t>1.</w:t>
      </w:r>
      <w:r w:rsidRPr="00B75044">
        <w:tab/>
        <w:t>vedtager nedenstående holdning ved førstebehandling</w:t>
      </w:r>
      <w:r w:rsidR="00A35527">
        <w:rPr>
          <w:rStyle w:val="FootnoteReference"/>
        </w:rPr>
        <w:footnoteReference w:id="3"/>
      </w:r>
      <w:r w:rsidRPr="00B75044">
        <w:t>;</w:t>
      </w:r>
    </w:p>
    <w:p w:rsidR="00C91EAD" w:rsidRDefault="00C91EAD" w:rsidP="00C91EAD">
      <w:pPr>
        <w:pStyle w:val="Normal12Hanging"/>
      </w:pPr>
      <w:r>
        <w:t>2.</w:t>
      </w:r>
      <w:r>
        <w:tab/>
      </w:r>
      <w:r w:rsidRPr="00BD259B">
        <w:rPr>
          <w:rFonts w:eastAsiaTheme="minorEastAsia"/>
          <w:szCs w:val="22"/>
        </w:rPr>
        <w:t>godkender de fælles erklæring</w:t>
      </w:r>
      <w:r>
        <w:rPr>
          <w:rFonts w:eastAsiaTheme="minorEastAsia"/>
          <w:szCs w:val="22"/>
        </w:rPr>
        <w:t>er</w:t>
      </w:r>
      <w:r w:rsidRPr="00BD259B">
        <w:rPr>
          <w:rFonts w:eastAsiaTheme="minorEastAsia"/>
          <w:szCs w:val="22"/>
        </w:rPr>
        <w:t xml:space="preserve"> fra Europa-Parlamentet</w:t>
      </w:r>
      <w:r>
        <w:rPr>
          <w:rFonts w:eastAsiaTheme="minorEastAsia"/>
          <w:szCs w:val="22"/>
        </w:rPr>
        <w:t>,</w:t>
      </w:r>
      <w:r w:rsidRPr="00BD259B">
        <w:rPr>
          <w:rFonts w:eastAsiaTheme="minorEastAsia"/>
          <w:szCs w:val="22"/>
        </w:rPr>
        <w:t xml:space="preserve"> Rådet</w:t>
      </w:r>
      <w:r>
        <w:rPr>
          <w:rFonts w:eastAsiaTheme="minorEastAsia"/>
          <w:szCs w:val="22"/>
        </w:rPr>
        <w:t xml:space="preserve"> </w:t>
      </w:r>
      <w:r w:rsidRPr="00BD259B">
        <w:rPr>
          <w:rFonts w:eastAsiaTheme="minorEastAsia"/>
          <w:szCs w:val="22"/>
        </w:rPr>
        <w:t xml:space="preserve">og </w:t>
      </w:r>
      <w:r w:rsidRPr="00DB0DA5">
        <w:t>Kommissionen</w:t>
      </w:r>
      <w:r w:rsidR="008628F7">
        <w:t xml:space="preserve"> og </w:t>
      </w:r>
      <w:r w:rsidR="008628F7" w:rsidRPr="00BD259B">
        <w:rPr>
          <w:rFonts w:eastAsiaTheme="minorEastAsia"/>
          <w:szCs w:val="22"/>
        </w:rPr>
        <w:t>de</w:t>
      </w:r>
      <w:r w:rsidR="008628F7">
        <w:rPr>
          <w:rFonts w:eastAsiaTheme="minorEastAsia"/>
          <w:szCs w:val="22"/>
        </w:rPr>
        <w:t>n</w:t>
      </w:r>
      <w:r w:rsidR="008628F7" w:rsidRPr="00BD259B">
        <w:rPr>
          <w:rFonts w:eastAsiaTheme="minorEastAsia"/>
          <w:szCs w:val="22"/>
        </w:rPr>
        <w:t xml:space="preserve"> fælles erklæring fra Europa-Parlamentet</w:t>
      </w:r>
      <w:r w:rsidR="008628F7">
        <w:rPr>
          <w:rFonts w:eastAsiaTheme="minorEastAsia"/>
          <w:szCs w:val="22"/>
        </w:rPr>
        <w:t xml:space="preserve"> og</w:t>
      </w:r>
      <w:r w:rsidR="008628F7" w:rsidRPr="00BD259B">
        <w:rPr>
          <w:rFonts w:eastAsiaTheme="minorEastAsia"/>
          <w:szCs w:val="22"/>
        </w:rPr>
        <w:t xml:space="preserve"> Rådet</w:t>
      </w:r>
      <w:r w:rsidRPr="00BD259B">
        <w:rPr>
          <w:rFonts w:eastAsiaTheme="minorEastAsia"/>
          <w:szCs w:val="22"/>
        </w:rPr>
        <w:t xml:space="preserve">, der er vedføjet </w:t>
      </w:r>
      <w:r w:rsidR="009706D2" w:rsidRPr="00DB0DA5">
        <w:t>som bilag til</w:t>
      </w:r>
      <w:r w:rsidR="009706D2">
        <w:t xml:space="preserve"> </w:t>
      </w:r>
      <w:r w:rsidRPr="00BD259B">
        <w:rPr>
          <w:rFonts w:eastAsiaTheme="minorEastAsia"/>
          <w:szCs w:val="22"/>
        </w:rPr>
        <w:t xml:space="preserve">denne beslutning, og </w:t>
      </w:r>
      <w:r>
        <w:rPr>
          <w:rFonts w:eastAsiaTheme="minorEastAsia"/>
          <w:szCs w:val="22"/>
        </w:rPr>
        <w:t>som vil blive offentliggjort i C</w:t>
      </w:r>
      <w:r w:rsidRPr="00BD259B">
        <w:rPr>
          <w:rFonts w:eastAsiaTheme="minorEastAsia"/>
          <w:szCs w:val="22"/>
        </w:rPr>
        <w:t xml:space="preserve">-udgaven af </w:t>
      </w:r>
      <w:r w:rsidRPr="009B1AB8">
        <w:rPr>
          <w:rFonts w:eastAsiaTheme="minorEastAsia"/>
          <w:i/>
          <w:szCs w:val="22"/>
        </w:rPr>
        <w:t>Den Europæiske Unions Tidende</w:t>
      </w:r>
      <w:r>
        <w:t>;</w:t>
      </w:r>
    </w:p>
    <w:p w:rsidR="00C91EAD" w:rsidRPr="00B75044" w:rsidRDefault="00C91EAD" w:rsidP="00CD0114">
      <w:pPr>
        <w:pStyle w:val="Normal12Hanging"/>
      </w:pPr>
      <w:r>
        <w:t>3.</w:t>
      </w:r>
      <w:r>
        <w:tab/>
      </w:r>
      <w:r w:rsidRPr="00DB0DA5">
        <w:t>tager Kommissionens erklæring</w:t>
      </w:r>
      <w:r>
        <w:t>er</w:t>
      </w:r>
      <w:r w:rsidRPr="00DB0DA5">
        <w:t xml:space="preserve">, der er </w:t>
      </w:r>
      <w:r w:rsidRPr="00DB0DA5">
        <w:rPr>
          <w:rFonts w:eastAsiaTheme="minorEastAsia"/>
          <w:szCs w:val="22"/>
        </w:rPr>
        <w:t xml:space="preserve">vedføjet </w:t>
      </w:r>
      <w:r w:rsidRPr="00DB0DA5">
        <w:t xml:space="preserve">som bilag til denne beslutning, og </w:t>
      </w:r>
      <w:r>
        <w:t>som vil blive offentliggjort i C</w:t>
      </w:r>
      <w:r w:rsidRPr="00DB0DA5">
        <w:t xml:space="preserve">-udgaven af </w:t>
      </w:r>
      <w:r w:rsidRPr="00DB0DA5">
        <w:rPr>
          <w:i/>
        </w:rPr>
        <w:t>Den Europæiske Unions Tidende</w:t>
      </w:r>
      <w:r w:rsidRPr="00A81A29">
        <w:t>, til efterretning</w:t>
      </w:r>
      <w:r w:rsidRPr="00C07098">
        <w:t>;</w:t>
      </w:r>
    </w:p>
    <w:p w:rsidR="00CD0114" w:rsidRPr="00B75044" w:rsidRDefault="00C91EAD" w:rsidP="00CD0114">
      <w:pPr>
        <w:pStyle w:val="Normal12Hanging"/>
      </w:pPr>
      <w:r>
        <w:t>4</w:t>
      </w:r>
      <w:r w:rsidR="00CD0114" w:rsidRPr="00B75044">
        <w:t>.</w:t>
      </w:r>
      <w:r w:rsidR="00CD0114" w:rsidRPr="00B75044">
        <w:tab/>
        <w:t>anmoder om fornyet forelæggelse, hvis Kommissionen erstatter, i væsentlig grad ændrer eller agter i væsentlig grad at ændre sit forslag;</w:t>
      </w:r>
    </w:p>
    <w:p w:rsidR="00CD0114" w:rsidRPr="00B75044" w:rsidRDefault="00C91EAD" w:rsidP="00CD0114">
      <w:pPr>
        <w:pStyle w:val="Normal12Hanging"/>
      </w:pPr>
      <w:r>
        <w:t>5</w:t>
      </w:r>
      <w:r w:rsidR="00CD0114" w:rsidRPr="00B75044">
        <w:t>.</w:t>
      </w:r>
      <w:r w:rsidR="00CD0114" w:rsidRPr="00B75044">
        <w:tab/>
        <w:t>pålægger sin formand at sende Parlamentets holdning til Rådet og Kommissionen samt til de nationale parlamenter.</w:t>
      </w:r>
    </w:p>
    <w:p w:rsidR="005E0AC5" w:rsidRDefault="005E0AC5" w:rsidP="00C91EAD">
      <w:pPr>
        <w:pStyle w:val="ATHeading3"/>
        <w:sectPr w:rsidR="005E0AC5" w:rsidSect="00B7504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A35527" w:rsidRPr="00BA3F76" w:rsidRDefault="00A35527" w:rsidP="00C91EAD">
      <w:pPr>
        <w:pStyle w:val="ATHeading3"/>
      </w:pPr>
      <w:r w:rsidRPr="00BA3F76">
        <w:lastRenderedPageBreak/>
        <w:t>P</w:t>
      </w:r>
      <w:r>
        <w:t>9</w:t>
      </w:r>
      <w:r w:rsidRPr="00BA3F76">
        <w:t>_TC1-</w:t>
      </w:r>
      <w:proofErr w:type="gramStart"/>
      <w:r w:rsidRPr="00BA3F76">
        <w:t>COD(</w:t>
      </w:r>
      <w:proofErr w:type="gramEnd"/>
      <w:r w:rsidRPr="00BA3F76">
        <w:t>20</w:t>
      </w:r>
      <w:r>
        <w:t>18</w:t>
      </w:r>
      <w:r w:rsidRPr="00BA3F76">
        <w:t>)0</w:t>
      </w:r>
      <w:r>
        <w:t>218</w:t>
      </w:r>
    </w:p>
    <w:p w:rsidR="00700669" w:rsidRDefault="00A35527" w:rsidP="00700669">
      <w:pPr>
        <w:pStyle w:val="Typedudocument"/>
        <w:spacing w:before="240" w:after="240"/>
        <w:jc w:val="left"/>
        <w:rPr>
          <w:rFonts w:eastAsiaTheme="minorEastAsia"/>
          <w:szCs w:val="22"/>
        </w:rPr>
      </w:pPr>
      <w:r w:rsidRPr="00BA3F76">
        <w:t xml:space="preserve">Europa-Parlamentets holdning fastlagt ved førstebehandlingen den </w:t>
      </w:r>
      <w:r w:rsidR="00C91EAD">
        <w:t>23</w:t>
      </w:r>
      <w:r>
        <w:t>. november 2021</w:t>
      </w:r>
      <w:r w:rsidRPr="00FF3F42">
        <w:t xml:space="preserve"> </w:t>
      </w:r>
      <w:r w:rsidRPr="00BA3F76">
        <w:t>med henblik på vedtagelse af Europa-Parlamentets og Råde</w:t>
      </w:r>
      <w:r>
        <w:t xml:space="preserve">ts </w:t>
      </w:r>
      <w:r>
        <w:rPr>
          <w:rFonts w:eastAsia="Calibri"/>
          <w:szCs w:val="22"/>
        </w:rPr>
        <w:t xml:space="preserve">forordning </w:t>
      </w:r>
      <w:r>
        <w:t xml:space="preserve">(EU) </w:t>
      </w:r>
      <w:r>
        <w:rPr>
          <w:rFonts w:eastAsia="Calibri"/>
          <w:szCs w:val="22"/>
        </w:rPr>
        <w:t xml:space="preserve">2021/... </w:t>
      </w:r>
      <w:r w:rsidRPr="002B2CAF">
        <w:rPr>
          <w:rFonts w:eastAsia="Calibri"/>
          <w:szCs w:val="22"/>
        </w:rPr>
        <w:t xml:space="preserve">om </w:t>
      </w:r>
      <w:r w:rsidR="0066695E" w:rsidRPr="0066695E">
        <w:rPr>
          <w:rFonts w:eastAsiaTheme="minorEastAsia"/>
          <w:szCs w:val="22"/>
        </w:rPr>
        <w:t xml:space="preserve">ændring af forordning (EU) nr. 1308/2013 om en fælles markedsordning for landbrugsprodukter, (EU) nr. 1151/2012 om kvalitetsordninger for landbrugsprodukter og fødevarer, (EU) nr. 251/2014 om definition, beskrivelse, præsentation, mærkning og beskyttelse af geografiske betegnelser for aromatiserede vinprodukter og (EU) nr. 228/2013 om særlige foranstaltninger på landbrugsområdet i Unionens fjernområder </w:t>
      </w:r>
    </w:p>
    <w:p w:rsidR="00700669" w:rsidRPr="00700669" w:rsidRDefault="00700669" w:rsidP="00700669">
      <w:pPr>
        <w:rPr>
          <w:lang w:eastAsia="en-US"/>
        </w:rPr>
      </w:pPr>
    </w:p>
    <w:p w:rsidR="00700669" w:rsidRPr="00A851C6" w:rsidRDefault="00700669" w:rsidP="00591088">
      <w:pPr>
        <w:rPr>
          <w:i/>
        </w:rPr>
      </w:pPr>
      <w:r w:rsidRPr="00A851C6">
        <w:rPr>
          <w:i/>
        </w:rPr>
        <w:t xml:space="preserve">(Eftersom der var indgået en aftale mellem Parlamentet og Rådet, svarer Parlamentets holdning til den endelige retsakt, </w:t>
      </w:r>
      <w:r>
        <w:rPr>
          <w:i/>
        </w:rPr>
        <w:t>forordning (EU) 2021/2117</w:t>
      </w:r>
      <w:bookmarkStart w:id="8" w:name="_GoBack"/>
      <w:bookmarkEnd w:id="8"/>
      <w:r>
        <w:rPr>
          <w:i/>
        </w:rPr>
        <w:t>.)</w:t>
      </w:r>
    </w:p>
    <w:p w:rsidR="00700669" w:rsidRDefault="00700669" w:rsidP="00591088">
      <w:pPr>
        <w:tabs>
          <w:tab w:val="left" w:pos="567"/>
          <w:tab w:val="left" w:pos="851"/>
          <w:tab w:val="left" w:pos="1134"/>
          <w:tab w:val="left" w:pos="1418"/>
          <w:tab w:val="left" w:pos="1701"/>
        </w:tabs>
        <w:ind w:right="-1"/>
      </w:pPr>
    </w:p>
    <w:p w:rsidR="00C91EAD" w:rsidRDefault="00C91EAD">
      <w:pPr>
        <w:widowControl/>
      </w:pPr>
      <w:r>
        <w:br w:type="page"/>
      </w:r>
    </w:p>
    <w:p w:rsidR="00C91EAD" w:rsidRPr="00F02317" w:rsidRDefault="00C91EAD" w:rsidP="00C91EAD">
      <w:pPr>
        <w:jc w:val="right"/>
      </w:pPr>
      <w:r w:rsidRPr="00F02317">
        <w:lastRenderedPageBreak/>
        <w:t>BILAG TIL DEN LOVGIVNINGSMÆSSIGE BESLUTNING</w:t>
      </w:r>
      <w:r w:rsidR="00BF2436">
        <w:rPr>
          <w:rStyle w:val="FootnoteReference"/>
        </w:rPr>
        <w:footnoteReference w:id="4"/>
      </w:r>
    </w:p>
    <w:p w:rsidR="00C91EAD" w:rsidRDefault="00C91EAD" w:rsidP="00C91EAD">
      <w:pPr>
        <w:pStyle w:val="Normal12Hanging"/>
      </w:pPr>
    </w:p>
    <w:p w:rsidR="00C91EAD" w:rsidRPr="00180C7F" w:rsidRDefault="00C91EAD" w:rsidP="00C91EAD">
      <w:pPr>
        <w:pStyle w:val="Normal12a"/>
        <w:spacing w:before="120" w:after="120" w:line="360" w:lineRule="auto"/>
        <w:rPr>
          <w:b/>
          <w:szCs w:val="24"/>
        </w:rPr>
      </w:pPr>
      <w:r w:rsidRPr="00180C7F">
        <w:rPr>
          <w:b/>
          <w:szCs w:val="24"/>
        </w:rPr>
        <w:t>Fælles erklæring fra Europa-Parlamentet, Rådet og Kommissionen om proaktivt engagement på multilateralt niveau i forbindelse med anvendelsen af EU's sundheds- og miljøstandarder på importerede landbrugsprodukter</w:t>
      </w:r>
    </w:p>
    <w:p w:rsidR="00C91EAD" w:rsidRPr="00180C7F" w:rsidRDefault="00C91EAD" w:rsidP="00C91EAD">
      <w:pPr>
        <w:pStyle w:val="Normal12a"/>
        <w:spacing w:before="120" w:after="120" w:line="360" w:lineRule="auto"/>
        <w:rPr>
          <w:szCs w:val="24"/>
        </w:rPr>
      </w:pPr>
      <w:r w:rsidRPr="00180C7F">
        <w:rPr>
          <w:szCs w:val="24"/>
        </w:rPr>
        <w:t xml:space="preserve">Europa-Parlamentet, Rådet og Kommissionen anerkender behovet for at tilstræbe større sammenhæng mellem de sundheds- og miljøstandarder, der gælder for landbrugsprodukter i Den Europæiske Union, og dem, der gælder for importerede landbrugsprodukter, i overensstemmelse med internationale handelsregler. For at tackle spørgsmål om bæredygtig udvikling, navnlig klimaændringer og tab af biodiversitet, som er af global betydning, og for at matche borgernes forventninger om mere bæredygtige fødevarer af højere kvalitet har Den Europæiske Union løbende hævet disse standarder i mange år. Den europæiske grønne pagt og dens sektorstrategier, herunder Kommissionens meddelelse "En jord til bord-strategi", tilstræber at nå dette mål og vil resultere i en yderligere forhøjelse af disse standarder, der anvendes i EU, herunder, hvor det er relevant, for importerede produkter. </w:t>
      </w:r>
    </w:p>
    <w:p w:rsidR="00C91EAD" w:rsidRPr="00180C7F" w:rsidRDefault="00C91EAD" w:rsidP="00C91EAD">
      <w:pPr>
        <w:pStyle w:val="Normal12a"/>
        <w:spacing w:before="120" w:after="120" w:line="360" w:lineRule="auto"/>
        <w:rPr>
          <w:szCs w:val="24"/>
        </w:rPr>
      </w:pPr>
      <w:r w:rsidRPr="00180C7F">
        <w:rPr>
          <w:szCs w:val="24"/>
        </w:rPr>
        <w:t>Europa-Parlamentet, Rådet og Kommissionen anerkender behovet for proaktivt at engagere sig på multilateralt niveau for at øge ambitionerne om internationale miljømål, når internationale handelsregler håndhæves og forbedres. Som anført i Kommissionens meddelelse om gennemgang af handelspolitikken er det også hensigtsmæssigt, at Den Europæiske Union under visse omstændigheder som defineret i WTO-reglerne kræver, at importerede landbrugsprodukter opfylder visse produktionskrav for at sikre effektiviteten af de sundheds-, dyrevelfærds- og miljøstandarder, der gælder for landbrugsprodukter i Den Europæiske Union, og bidrage til den fulde gennemførelse af meddelelserne om den europæiske grønne pagt og jord til bord-strategien. I betragtning af dets markeds betydning for den internationale handel kan Den Europæiske Union udnytte sin løftestangskapacitet til at hæve sundheds- og miljøstandarderne globalt og dermed bidrage til at nå internationale miljømål som f.eks. målene fra Parisaftalen.</w:t>
      </w:r>
    </w:p>
    <w:p w:rsidR="00C91EAD" w:rsidRPr="00180C7F" w:rsidRDefault="00C91EAD" w:rsidP="00C91EAD">
      <w:pPr>
        <w:pStyle w:val="Normal12a"/>
        <w:spacing w:before="120" w:after="120" w:line="360" w:lineRule="auto"/>
        <w:rPr>
          <w:szCs w:val="24"/>
        </w:rPr>
      </w:pPr>
      <w:r w:rsidRPr="00180C7F">
        <w:rPr>
          <w:szCs w:val="24"/>
        </w:rPr>
        <w:t xml:space="preserve">Europa-Parlamentet, Rådet og Kommissionen glæder sig over den bredere tilgang, der blev </w:t>
      </w:r>
      <w:r w:rsidRPr="00180C7F">
        <w:rPr>
          <w:szCs w:val="24"/>
        </w:rPr>
        <w:lastRenderedPageBreak/>
        <w:t>foreslået i meddelelsen om gennemgang af handelspolitikken, med hensyn til behovet for et større engagement på multilateralt niveau for at tackle centrale spørgsmål såsom strategiske lagre, navnlig fordi fødevarer er en nødvendighedsvare. En forbedring af den globale fødevaresikkerhed indebærer, at ustabiliteten på landbrugsmarkederne mindskes gennem mere samarbejde på multilateralt niveau, der rækker ud over at mindske markedsforvridninger, som er en nødvendig, men ikke tilstrækkelig faktor til stabilisering af de internationale markeder.</w:t>
      </w:r>
    </w:p>
    <w:p w:rsidR="00C91EAD" w:rsidRDefault="00C91EAD" w:rsidP="00C91EAD">
      <w:pPr>
        <w:pStyle w:val="Normal12Hanging"/>
      </w:pPr>
    </w:p>
    <w:p w:rsidR="00C91EAD" w:rsidRPr="005E0AC5" w:rsidRDefault="00C566E8" w:rsidP="005E0AC5">
      <w:pPr>
        <w:spacing w:line="360" w:lineRule="auto"/>
        <w:rPr>
          <w:b/>
          <w:szCs w:val="24"/>
        </w:rPr>
      </w:pPr>
      <w:r w:rsidRPr="00C566E8">
        <w:rPr>
          <w:b/>
          <w:szCs w:val="24"/>
        </w:rPr>
        <w:t xml:space="preserve">Fælles erklæring fra </w:t>
      </w:r>
      <w:r w:rsidRPr="0011735C">
        <w:rPr>
          <w:b/>
          <w:szCs w:val="24"/>
        </w:rPr>
        <w:t>Europa-Parlamentet</w:t>
      </w:r>
      <w:r>
        <w:rPr>
          <w:b/>
          <w:szCs w:val="24"/>
        </w:rPr>
        <w:t>,</w:t>
      </w:r>
      <w:r w:rsidRPr="0011735C">
        <w:rPr>
          <w:b/>
          <w:szCs w:val="24"/>
        </w:rPr>
        <w:t xml:space="preserve"> </w:t>
      </w:r>
      <w:r w:rsidRPr="00C566E8">
        <w:rPr>
          <w:b/>
          <w:szCs w:val="24"/>
        </w:rPr>
        <w:t>Rådet</w:t>
      </w:r>
      <w:r w:rsidR="00C91EAD" w:rsidRPr="005E0AC5">
        <w:rPr>
          <w:b/>
          <w:szCs w:val="24"/>
        </w:rPr>
        <w:t xml:space="preserve"> og Kommissionen om bestemmelserne i den fælles markedsordning for landbrugsprodukter vedrørende sukkersektoren i EU </w:t>
      </w:r>
    </w:p>
    <w:p w:rsidR="00D12B23" w:rsidRDefault="00D12B23" w:rsidP="005E0AC5">
      <w:pPr>
        <w:spacing w:line="360" w:lineRule="auto"/>
        <w:rPr>
          <w:szCs w:val="24"/>
        </w:rPr>
      </w:pPr>
    </w:p>
    <w:p w:rsidR="00C91EAD" w:rsidRDefault="00C566E8" w:rsidP="005E0AC5">
      <w:pPr>
        <w:spacing w:line="360" w:lineRule="auto"/>
        <w:rPr>
          <w:szCs w:val="24"/>
        </w:rPr>
      </w:pPr>
      <w:r w:rsidRPr="00C566E8">
        <w:rPr>
          <w:szCs w:val="24"/>
        </w:rPr>
        <w:t>Europa-Parlamentet, Rådet og Kommissionen</w:t>
      </w:r>
      <w:r w:rsidR="00C91EAD" w:rsidRPr="00C91EAD">
        <w:rPr>
          <w:szCs w:val="24"/>
        </w:rPr>
        <w:t xml:space="preserve"> noterer sig de vanskeligheder, som sukkersektoren står over for efter afskaffelsen af sukkerkvoterne i oktober 2017, og som er kendetegnet ved ustabilitet på de internationale markeder, stagnerende forbrug og faldende sukkerroe- og sukkerproduktion. Denne situation vækker uro i sukkersektoren i EU.</w:t>
      </w:r>
    </w:p>
    <w:p w:rsidR="00D12B23" w:rsidRDefault="00D12B23" w:rsidP="005E0AC5">
      <w:pPr>
        <w:spacing w:line="360" w:lineRule="auto"/>
        <w:rPr>
          <w:szCs w:val="24"/>
        </w:rPr>
      </w:pPr>
    </w:p>
    <w:p w:rsidR="00C91EAD" w:rsidRDefault="00C91EAD" w:rsidP="005E0AC5">
      <w:pPr>
        <w:spacing w:line="360" w:lineRule="auto"/>
        <w:rPr>
          <w:szCs w:val="24"/>
        </w:rPr>
      </w:pPr>
      <w:r w:rsidRPr="00C91EAD">
        <w:rPr>
          <w:szCs w:val="24"/>
        </w:rPr>
        <w:t>Sektorens nuværende situation og dens tilpasningsstrategier vil blive vurderet grundigt inden for rammerne af en undersøgelse, der skal f</w:t>
      </w:r>
      <w:r w:rsidRPr="004242F1">
        <w:rPr>
          <w:szCs w:val="24"/>
        </w:rPr>
        <w:t xml:space="preserve">oreligge i efteråret 2021. Undersøgelsen vil analysere de europæiske og nationale politiske instrumenter, der er til rådighed for sukkersektoren, den private sektors og de offentlige institutioners respektive roller i forbindelse med håndteringen af de største risici, der påvirker sektoren, og identificere mulige strategier til forbedring af den europæiske sukkersektors modstandsdygtighed. </w:t>
      </w:r>
    </w:p>
    <w:p w:rsidR="00C60AD8" w:rsidRPr="004242F1" w:rsidRDefault="00C60AD8" w:rsidP="005E0AC5">
      <w:pPr>
        <w:spacing w:line="360" w:lineRule="auto"/>
        <w:rPr>
          <w:szCs w:val="24"/>
        </w:rPr>
      </w:pPr>
    </w:p>
    <w:p w:rsidR="00C91EAD" w:rsidRPr="00C60AD8" w:rsidRDefault="00C60AD8" w:rsidP="005E0AC5">
      <w:pPr>
        <w:spacing w:line="360" w:lineRule="auto"/>
        <w:rPr>
          <w:szCs w:val="24"/>
        </w:rPr>
      </w:pPr>
      <w:r w:rsidRPr="00C566E8">
        <w:rPr>
          <w:szCs w:val="24"/>
        </w:rPr>
        <w:t>Europa-Parlamentet, Rådet og Kommissionen</w:t>
      </w:r>
      <w:r w:rsidR="00C91EAD" w:rsidRPr="00C60AD8">
        <w:rPr>
          <w:szCs w:val="24"/>
        </w:rPr>
        <w:t xml:space="preserve"> vil overveje enhver relevant fremtidig politik i lyset af de vigtigste resultater og konklusioner, der forelægges i forbindelse med denne undersøgelse. En sådan fremtidig politik kunne omfatte alle relevante lovgivningsmæssige og ikkelovgivningsmæssige initiativer vedrørende markeds- og krisestyringsværktøjer, markedsgennemsigtighed i sukkerforsyningskæden, kontraktforhold mellem avlere og sukkerproducenter, international handel og udviklingen af bioøkonomien. </w:t>
      </w:r>
    </w:p>
    <w:p w:rsidR="00C91EAD" w:rsidRPr="008628F7" w:rsidRDefault="00C91EAD" w:rsidP="005E0AC5">
      <w:pPr>
        <w:spacing w:line="360" w:lineRule="auto"/>
        <w:rPr>
          <w:szCs w:val="24"/>
        </w:rPr>
      </w:pPr>
    </w:p>
    <w:p w:rsidR="00C91EAD" w:rsidRPr="008628F7" w:rsidRDefault="00C91EAD" w:rsidP="005E0AC5">
      <w:pPr>
        <w:pStyle w:val="Normal12a"/>
        <w:spacing w:before="120" w:after="120" w:line="360" w:lineRule="auto"/>
        <w:rPr>
          <w:b/>
          <w:szCs w:val="24"/>
        </w:rPr>
      </w:pPr>
      <w:r w:rsidRPr="008628F7">
        <w:rPr>
          <w:b/>
          <w:szCs w:val="24"/>
        </w:rPr>
        <w:t>Fælles erklæring fra Europa-Parlamentet og Rådet om anvendelsen af EU's sundheds- og miljøstandarder på importerede landbrugsprodukter</w:t>
      </w:r>
    </w:p>
    <w:p w:rsidR="00C91EAD" w:rsidRPr="008628F7" w:rsidRDefault="00C91EAD" w:rsidP="00C91EAD">
      <w:pPr>
        <w:pStyle w:val="Normal12a"/>
        <w:spacing w:before="120" w:after="120" w:line="360" w:lineRule="auto"/>
        <w:rPr>
          <w:szCs w:val="24"/>
        </w:rPr>
      </w:pPr>
      <w:r w:rsidRPr="008628F7">
        <w:rPr>
          <w:szCs w:val="24"/>
        </w:rPr>
        <w:t xml:space="preserve">Europa-Parlamentet og Rådet opfordrer Kommissionen til senest i juni 2022 at forelægge en </w:t>
      </w:r>
      <w:r w:rsidRPr="008628F7">
        <w:rPr>
          <w:szCs w:val="24"/>
        </w:rPr>
        <w:lastRenderedPageBreak/>
        <w:t>rapport med en vurdering af begrundelsen for og den juridiske gennemførlighed af at anvende EU's sundheds- og miljøstandarder (herunder dyrevelfærdsstandarder samt processer og produktionsmetoder) på importerede landbrugsprodukter og landbrugsfødevarer og identificere konkrete initiativer til at sikre en bedre sammenhæng i deres anvendelse i overensstemmelse med WTO-reglerne. Rapporten bør dække alle relevante offentlige politikområder, herunder – men ikke begrænset til – den fælles landbrugspolitik, sundheds- og fødevaresikkerhedspolitikken, miljøpolitikken og den fælles handelspolitik.</w:t>
      </w:r>
    </w:p>
    <w:p w:rsidR="00C91EAD" w:rsidRPr="009706D2" w:rsidRDefault="00C91EAD" w:rsidP="005E0AC5">
      <w:pPr>
        <w:spacing w:line="360" w:lineRule="auto"/>
        <w:rPr>
          <w:szCs w:val="24"/>
        </w:rPr>
      </w:pPr>
    </w:p>
    <w:p w:rsidR="00C91EAD" w:rsidRPr="005E0AC5" w:rsidRDefault="00C91EAD" w:rsidP="005E0AC5">
      <w:pPr>
        <w:spacing w:line="360" w:lineRule="auto"/>
        <w:rPr>
          <w:b/>
          <w:szCs w:val="24"/>
        </w:rPr>
      </w:pPr>
      <w:r w:rsidRPr="005E0AC5">
        <w:rPr>
          <w:b/>
          <w:szCs w:val="24"/>
        </w:rPr>
        <w:t xml:space="preserve">Erklæring fra Kommissionen om revideringen af importtolerancer og </w:t>
      </w:r>
      <w:proofErr w:type="spellStart"/>
      <w:r w:rsidRPr="005E0AC5">
        <w:rPr>
          <w:b/>
          <w:szCs w:val="24"/>
        </w:rPr>
        <w:t>Codex</w:t>
      </w:r>
      <w:proofErr w:type="spellEnd"/>
      <w:r w:rsidRPr="005E0AC5">
        <w:rPr>
          <w:b/>
          <w:szCs w:val="24"/>
        </w:rPr>
        <w:t>-maksimalgrænseværdier (CXL'er)</w:t>
      </w:r>
    </w:p>
    <w:p w:rsidR="00C91EAD" w:rsidRPr="008628F7" w:rsidRDefault="00C91EAD" w:rsidP="005E0AC5">
      <w:pPr>
        <w:spacing w:line="360" w:lineRule="auto"/>
        <w:rPr>
          <w:szCs w:val="24"/>
        </w:rPr>
      </w:pPr>
      <w:r w:rsidRPr="00D12B23">
        <w:rPr>
          <w:szCs w:val="24"/>
        </w:rPr>
        <w:t xml:space="preserve">Kommissionen vil fortsat sikre, at importtolerancerne og </w:t>
      </w:r>
      <w:proofErr w:type="spellStart"/>
      <w:r w:rsidRPr="00D12B23">
        <w:rPr>
          <w:szCs w:val="24"/>
        </w:rPr>
        <w:t>Codex</w:t>
      </w:r>
      <w:proofErr w:type="spellEnd"/>
      <w:r w:rsidRPr="00D12B23">
        <w:rPr>
          <w:szCs w:val="24"/>
        </w:rPr>
        <w:t xml:space="preserve">-maksimalgrænseværdierne (CXL'er) efter en grundig vurdering af de foreliggende videnskabelige oplysninger vedrørende aktivstoffer, der er adgang til inden for rammerne af procedurerne i forordning (EF) nr. 1107/2009 eller procedurerne i forordning (EF) nr. 396/2005 og i overensstemmelse med WTO-reglerne, vurderes og gennemgås for aktivstoffer, der ikke eller ikke længere er godkendt  i EU, således at restkoncentrationer i fødevarer eller </w:t>
      </w:r>
      <w:r w:rsidRPr="008628F7">
        <w:rPr>
          <w:szCs w:val="24"/>
        </w:rPr>
        <w:t>foder ikke udgør nogen risiko for forbrugerne. Ud over de aspekter vedrørende sundhed og god landbrugspraksis, der i øjeblikket behandles, vil Kommissionen i overensstemmelse med WTO-reglerne også tage hensyn til miljøspørgsmål af global karakter ved vurderingen af ansøgninger om importtolerancer eller ved revideringen af importtolerancer for aktivstoffer, der ikke længere er godkendt i EU. Kommissionens forelæggelse af forslaget til en retlig ramme for bæredygtige fødevaresystemer er et afgørende yderligere skridt hen imod fuld opfyldelse af dette mål i overensstemmelse med målene i den grønne pagt.</w:t>
      </w:r>
    </w:p>
    <w:p w:rsidR="00C91EAD" w:rsidRPr="008628F7" w:rsidRDefault="00C91EAD" w:rsidP="005E0AC5">
      <w:pPr>
        <w:spacing w:line="360" w:lineRule="auto"/>
        <w:rPr>
          <w:szCs w:val="24"/>
        </w:rPr>
      </w:pPr>
    </w:p>
    <w:p w:rsidR="00C91EAD" w:rsidRPr="005E0AC5" w:rsidRDefault="00C91EAD" w:rsidP="005E0AC5">
      <w:pPr>
        <w:spacing w:line="360" w:lineRule="auto"/>
        <w:rPr>
          <w:b/>
          <w:szCs w:val="24"/>
        </w:rPr>
      </w:pPr>
      <w:r w:rsidRPr="005E0AC5">
        <w:rPr>
          <w:b/>
          <w:szCs w:val="24"/>
        </w:rPr>
        <w:t xml:space="preserve">Erklæring fra Kommissionen om vins og aromatiserede vinprodukters ernærings- og ingrediensmærkning </w:t>
      </w:r>
    </w:p>
    <w:p w:rsidR="00C91EAD" w:rsidRPr="008628F7" w:rsidRDefault="00C91EAD" w:rsidP="005E0AC5">
      <w:pPr>
        <w:spacing w:line="360" w:lineRule="auto"/>
        <w:rPr>
          <w:szCs w:val="24"/>
        </w:rPr>
      </w:pPr>
      <w:r w:rsidRPr="008628F7">
        <w:rPr>
          <w:szCs w:val="24"/>
        </w:rPr>
        <w:t xml:space="preserve">Kommissionen mener, at produkter med et alkoholindhold på 1,2 % vol. eller derunder fortsat bør reguleres ved mærkningsforordningen og forbeholder sig ret til at vende tilbage til de retlige rammer for mærkning af vin i forbindelse med det kommende initiativ om mærkning af alle alkoholholdige drikkevarer inden for rammerne af EU's kræfthandlingsplan. </w:t>
      </w:r>
    </w:p>
    <w:p w:rsidR="00C91EAD" w:rsidRPr="00C91EAD" w:rsidRDefault="00C91EAD" w:rsidP="005E0AC5">
      <w:pPr>
        <w:spacing w:line="360" w:lineRule="auto"/>
        <w:rPr>
          <w:szCs w:val="24"/>
        </w:rPr>
      </w:pPr>
      <w:r w:rsidRPr="008628F7">
        <w:rPr>
          <w:szCs w:val="24"/>
        </w:rPr>
        <w:t xml:space="preserve">Kommissionen mener også, at det nuværende kompromis om mærkning af vin og aromatiserede vinprodukter hvad angår ingredienslisten og næringsdeklarationen ikke kan anses for at skabe præcedens for fremtidige lovgivningsmæssige forslag og forhandlinger og forbeholder sig ret til at bringe mærkningskravene for alle vine i overensstemmelse med EU's </w:t>
      </w:r>
      <w:r w:rsidRPr="008628F7">
        <w:rPr>
          <w:szCs w:val="24"/>
        </w:rPr>
        <w:lastRenderedPageBreak/>
        <w:t>kræfthandlingsplan.</w:t>
      </w:r>
    </w:p>
    <w:sectPr w:rsidR="00C91EAD" w:rsidRPr="00C91EAD" w:rsidSect="00B7504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436" w:rsidRPr="00B75044" w:rsidRDefault="00BF2436">
      <w:r w:rsidRPr="00B75044">
        <w:separator/>
      </w:r>
    </w:p>
  </w:endnote>
  <w:endnote w:type="continuationSeparator" w:id="0">
    <w:p w:rsidR="00BF2436" w:rsidRPr="00B75044" w:rsidRDefault="00BF2436">
      <w:r w:rsidRPr="00B75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436" w:rsidRPr="00B75044" w:rsidRDefault="00BF2436">
      <w:r w:rsidRPr="00B75044">
        <w:separator/>
      </w:r>
    </w:p>
  </w:footnote>
  <w:footnote w:type="continuationSeparator" w:id="0">
    <w:p w:rsidR="00BF2436" w:rsidRPr="00B75044" w:rsidRDefault="00BF2436">
      <w:r w:rsidRPr="00B75044">
        <w:continuationSeparator/>
      </w:r>
    </w:p>
  </w:footnote>
  <w:footnote w:id="1">
    <w:p w:rsidR="00BF2436" w:rsidRPr="00B75044" w:rsidRDefault="00BF2436" w:rsidP="00B75044">
      <w:pPr>
        <w:pStyle w:val="FootnoteText"/>
        <w:ind w:left="567" w:hanging="567"/>
        <w:rPr>
          <w:sz w:val="24"/>
          <w:lang w:val="da-DK"/>
        </w:rPr>
      </w:pPr>
      <w:r w:rsidRPr="00B75044">
        <w:rPr>
          <w:rStyle w:val="FootnoteReference"/>
          <w:sz w:val="24"/>
          <w:lang w:val="da-DK"/>
        </w:rPr>
        <w:footnoteRef/>
      </w:r>
      <w:r w:rsidRPr="00B75044">
        <w:rPr>
          <w:sz w:val="24"/>
          <w:lang w:val="da-DK"/>
        </w:rPr>
        <w:t xml:space="preserve"> </w:t>
      </w:r>
      <w:r w:rsidRPr="00B75044">
        <w:rPr>
          <w:sz w:val="24"/>
          <w:lang w:val="da-DK"/>
        </w:rPr>
        <w:tab/>
        <w:t>EUT C 62 af 15.2</w:t>
      </w:r>
      <w:r>
        <w:rPr>
          <w:sz w:val="24"/>
          <w:lang w:val="da-DK"/>
        </w:rPr>
        <w:t>.</w:t>
      </w:r>
      <w:r w:rsidRPr="00B75044">
        <w:rPr>
          <w:sz w:val="24"/>
          <w:lang w:val="da-DK"/>
        </w:rPr>
        <w:t>2019, s. 214.</w:t>
      </w:r>
    </w:p>
  </w:footnote>
  <w:footnote w:id="2">
    <w:p w:rsidR="00BF2436" w:rsidRPr="00B75044" w:rsidRDefault="00BF2436" w:rsidP="00B75044">
      <w:pPr>
        <w:pStyle w:val="FootnoteText"/>
        <w:ind w:left="567" w:hanging="567"/>
        <w:rPr>
          <w:sz w:val="24"/>
          <w:lang w:val="da-DK"/>
        </w:rPr>
      </w:pPr>
      <w:r w:rsidRPr="00B75044">
        <w:rPr>
          <w:rStyle w:val="FootnoteReference"/>
          <w:sz w:val="24"/>
          <w:lang w:val="da-DK"/>
        </w:rPr>
        <w:footnoteRef/>
      </w:r>
      <w:r w:rsidRPr="00B75044">
        <w:rPr>
          <w:sz w:val="24"/>
          <w:lang w:val="da-DK"/>
        </w:rPr>
        <w:t xml:space="preserve"> </w:t>
      </w:r>
      <w:r w:rsidRPr="00B75044">
        <w:rPr>
          <w:sz w:val="24"/>
          <w:lang w:val="da-DK"/>
        </w:rPr>
        <w:tab/>
        <w:t>EUT C 86 af 7.3</w:t>
      </w:r>
      <w:r>
        <w:rPr>
          <w:sz w:val="24"/>
          <w:lang w:val="da-DK"/>
        </w:rPr>
        <w:t>.</w:t>
      </w:r>
      <w:r w:rsidRPr="00B75044">
        <w:rPr>
          <w:sz w:val="24"/>
          <w:lang w:val="da-DK"/>
        </w:rPr>
        <w:t>2019, s. 173.</w:t>
      </w:r>
    </w:p>
  </w:footnote>
  <w:footnote w:id="3">
    <w:p w:rsidR="00BF2436" w:rsidRPr="005E0AC5" w:rsidRDefault="00BF2436" w:rsidP="005E0AC5">
      <w:pPr>
        <w:pStyle w:val="FootnoteText"/>
        <w:ind w:left="567" w:hanging="567"/>
        <w:rPr>
          <w:sz w:val="24"/>
          <w:szCs w:val="24"/>
          <w:lang w:val="da-DK"/>
        </w:rPr>
      </w:pPr>
      <w:r w:rsidRPr="005E0AC5">
        <w:rPr>
          <w:rStyle w:val="FootnoteReference"/>
          <w:sz w:val="24"/>
          <w:szCs w:val="24"/>
        </w:rPr>
        <w:footnoteRef/>
      </w:r>
      <w:r w:rsidRPr="005E0AC5">
        <w:rPr>
          <w:sz w:val="24"/>
          <w:szCs w:val="24"/>
          <w:lang w:val="da-DK"/>
        </w:rPr>
        <w:t xml:space="preserve"> </w:t>
      </w:r>
      <w:r w:rsidRPr="005E0AC5">
        <w:rPr>
          <w:sz w:val="24"/>
          <w:szCs w:val="24"/>
          <w:lang w:val="da-DK"/>
        </w:rPr>
        <w:tab/>
        <w:t xml:space="preserve">Denne holdning erstatter de ændringer, der blev vedtaget den </w:t>
      </w:r>
      <w:r>
        <w:rPr>
          <w:sz w:val="24"/>
          <w:szCs w:val="24"/>
          <w:lang w:val="da-DK"/>
        </w:rPr>
        <w:t>23. oktober</w:t>
      </w:r>
      <w:r w:rsidRPr="005E0AC5">
        <w:rPr>
          <w:sz w:val="24"/>
          <w:szCs w:val="24"/>
          <w:lang w:val="da-DK"/>
        </w:rPr>
        <w:t xml:space="preserve"> 20</w:t>
      </w:r>
      <w:r>
        <w:rPr>
          <w:sz w:val="24"/>
          <w:szCs w:val="24"/>
          <w:lang w:val="da-DK"/>
        </w:rPr>
        <w:t>20</w:t>
      </w:r>
      <w:r w:rsidRPr="005E0AC5">
        <w:rPr>
          <w:sz w:val="24"/>
          <w:szCs w:val="24"/>
          <w:lang w:val="da-DK"/>
        </w:rPr>
        <w:t xml:space="preserve"> (Vedtagne tekster, P</w:t>
      </w:r>
      <w:r>
        <w:rPr>
          <w:sz w:val="24"/>
          <w:szCs w:val="24"/>
          <w:lang w:val="da-DK"/>
        </w:rPr>
        <w:t>9</w:t>
      </w:r>
      <w:r w:rsidRPr="005E0AC5">
        <w:rPr>
          <w:sz w:val="24"/>
          <w:szCs w:val="24"/>
          <w:lang w:val="da-DK"/>
        </w:rPr>
        <w:t>_</w:t>
      </w:r>
      <w:proofErr w:type="gramStart"/>
      <w:r w:rsidRPr="005E0AC5">
        <w:rPr>
          <w:sz w:val="24"/>
          <w:szCs w:val="24"/>
          <w:lang w:val="da-DK"/>
        </w:rPr>
        <w:t>TA(</w:t>
      </w:r>
      <w:proofErr w:type="gramEnd"/>
      <w:r w:rsidRPr="005E0AC5">
        <w:rPr>
          <w:sz w:val="24"/>
          <w:szCs w:val="24"/>
          <w:lang w:val="da-DK"/>
        </w:rPr>
        <w:t>20</w:t>
      </w:r>
      <w:r>
        <w:rPr>
          <w:sz w:val="24"/>
          <w:szCs w:val="24"/>
          <w:lang w:val="da-DK"/>
        </w:rPr>
        <w:t>20</w:t>
      </w:r>
      <w:r w:rsidRPr="005E0AC5">
        <w:rPr>
          <w:sz w:val="24"/>
          <w:szCs w:val="24"/>
          <w:lang w:val="da-DK"/>
        </w:rPr>
        <w:t>)0</w:t>
      </w:r>
      <w:r>
        <w:rPr>
          <w:sz w:val="24"/>
          <w:szCs w:val="24"/>
          <w:lang w:val="da-DK"/>
        </w:rPr>
        <w:t>289</w:t>
      </w:r>
      <w:r w:rsidRPr="005E0AC5">
        <w:rPr>
          <w:sz w:val="24"/>
          <w:szCs w:val="24"/>
          <w:lang w:val="da-DK"/>
        </w:rPr>
        <w:t>).</w:t>
      </w:r>
    </w:p>
  </w:footnote>
  <w:footnote w:id="4">
    <w:p w:rsidR="00BF2436" w:rsidRPr="00115A6F" w:rsidRDefault="00BF2436" w:rsidP="00115A6F">
      <w:pPr>
        <w:pStyle w:val="FootnoteText"/>
        <w:ind w:left="0" w:firstLine="0"/>
        <w:rPr>
          <w:lang w:val="da-DK"/>
        </w:rPr>
      </w:pPr>
      <w:r>
        <w:rPr>
          <w:rStyle w:val="FootnoteReference"/>
        </w:rPr>
        <w:footnoteRef/>
      </w:r>
      <w:r w:rsidRPr="00115A6F">
        <w:rPr>
          <w:lang w:val="da-DK"/>
        </w:rPr>
        <w:t xml:space="preserve"> Teknisk fodnote: </w:t>
      </w:r>
      <w:r w:rsidR="004947DD">
        <w:rPr>
          <w:lang w:val="da-DK"/>
        </w:rPr>
        <w:t>D</w:t>
      </w:r>
      <w:r w:rsidRPr="00115A6F">
        <w:rPr>
          <w:lang w:val="da-DK"/>
        </w:rPr>
        <w:t xml:space="preserve">en fælles erklæring </w:t>
      </w:r>
      <w:r>
        <w:rPr>
          <w:lang w:val="da-DK"/>
        </w:rPr>
        <w:t xml:space="preserve">om </w:t>
      </w:r>
      <w:r w:rsidRPr="00115A6F">
        <w:rPr>
          <w:szCs w:val="24"/>
          <w:lang w:val="da-DK"/>
        </w:rPr>
        <w:t>proaktivt engagement på multilateralt niveau i forbindelse med anvendelsen af EU's sundheds- og miljøstandarder på importerede landbrugsprodukter</w:t>
      </w:r>
      <w:r>
        <w:rPr>
          <w:szCs w:val="24"/>
          <w:lang w:val="da-DK"/>
        </w:rPr>
        <w:t xml:space="preserve">, som angivet i ændringsforslag 283, indeholdt et yderligere </w:t>
      </w:r>
      <w:r w:rsidR="001B7CF6">
        <w:rPr>
          <w:szCs w:val="24"/>
          <w:lang w:val="da-DK"/>
        </w:rPr>
        <w:t xml:space="preserve">andet </w:t>
      </w:r>
      <w:r>
        <w:rPr>
          <w:szCs w:val="24"/>
          <w:lang w:val="da-DK"/>
        </w:rPr>
        <w:t xml:space="preserve">afsnit (om importtolerancer for pesticider). Indsættelsen af dette afsnit i ændringsforslaget skyldtes en skrivefejl. Indholdet at dette afsnit er allerede dækket af Kommissionens </w:t>
      </w:r>
      <w:r w:rsidR="001B7CF6">
        <w:rPr>
          <w:szCs w:val="24"/>
          <w:lang w:val="da-DK"/>
        </w:rPr>
        <w:t>ensidige</w:t>
      </w:r>
      <w:r>
        <w:rPr>
          <w:szCs w:val="24"/>
          <w:lang w:val="da-DK"/>
        </w:rPr>
        <w:t xml:space="preserve"> erklæring om </w:t>
      </w:r>
      <w:r w:rsidRPr="00115A6F">
        <w:rPr>
          <w:szCs w:val="24"/>
          <w:lang w:val="da-DK"/>
        </w:rPr>
        <w:t xml:space="preserve">revideringen af importtolerancer og </w:t>
      </w:r>
      <w:proofErr w:type="spellStart"/>
      <w:r w:rsidRPr="00115A6F">
        <w:rPr>
          <w:szCs w:val="24"/>
          <w:lang w:val="da-DK"/>
        </w:rPr>
        <w:t>Codex</w:t>
      </w:r>
      <w:proofErr w:type="spellEnd"/>
      <w:r w:rsidRPr="00115A6F">
        <w:rPr>
          <w:szCs w:val="24"/>
          <w:lang w:val="da-DK"/>
        </w:rPr>
        <w:t>-maksimalgrænseværdier (CXL'er)</w:t>
      </w:r>
      <w:r>
        <w:rPr>
          <w:szCs w:val="24"/>
          <w:lang w:val="da-DK"/>
        </w:rPr>
        <w:t>. Dette afsnit vil derfor ikke blive inkluderet i den fælles erklæring</w:t>
      </w:r>
      <w:r w:rsidR="004947DD">
        <w:rPr>
          <w:szCs w:val="24"/>
          <w:lang w:val="da-DK"/>
        </w:rPr>
        <w:t>,</w:t>
      </w:r>
      <w:r>
        <w:rPr>
          <w:szCs w:val="24"/>
          <w:lang w:val="da-DK"/>
        </w:rPr>
        <w:t xml:space="preserve"> som skal offentliggøres i C-udgaven af </w:t>
      </w:r>
      <w:r w:rsidRPr="00115A6F">
        <w:rPr>
          <w:i/>
          <w:szCs w:val="24"/>
          <w:lang w:val="da-DK"/>
        </w:rPr>
        <w:t>Den Europæiske Unions Tidende</w:t>
      </w:r>
      <w:r w:rsidR="004947DD">
        <w:rPr>
          <w:szCs w:val="24"/>
          <w:lang w:val="da-DK"/>
        </w:rPr>
        <w:t>,</w:t>
      </w:r>
      <w:r>
        <w:rPr>
          <w:szCs w:val="24"/>
          <w:lang w:val="da-DK"/>
        </w:rPr>
        <w:t xml:space="preserve"> og det forekommer ikke i teksten vedtaget af Parlamentet.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DA"/>
    <w:docVar w:name="dvnumam" w:val="320"/>
    <w:docVar w:name="dvpe" w:val="623.922"/>
    <w:docVar w:name="dvrapporteur" w:val="Ordfører: "/>
    <w:docVar w:name="dvtitre" w:val="Europa-Parlamentets lovgivningsmæssige beslutning af xx.xx 2021 om forslag til Europa-Parlamentets og Rådets forordning om ændring af forordning (EU) nr. 1308/2013 om en fælles markedsordning for landbrugsprodukter, (EU) nr. 1151/2012 om kvalitetsordninger for landbrugsprodukter og fødevarer, (EU) nr. 251/2014 om definition, beskrivelse, præsentation, mærkning og beskyttelse af geografiske betegnelser for aromatiserede vinprodukter, (EU) nr. 228/2013 om særlige foranstaltninger på landbrugsområdet i Unionens fjernområder og (EU) nr. 229/2013 om særlige foranstaltninger på landbrugsområdet til fordel for de mindre øer i Det Ægæiske Hav(COM(2018)0394 – C8-0246/2018 – 2018/0218(COD))"/>
  </w:docVars>
  <w:rsids>
    <w:rsidRoot w:val="00A84525"/>
    <w:rsid w:val="00002272"/>
    <w:rsid w:val="00064002"/>
    <w:rsid w:val="000677B9"/>
    <w:rsid w:val="000831BA"/>
    <w:rsid w:val="00083FA4"/>
    <w:rsid w:val="000A42CC"/>
    <w:rsid w:val="000E7DD9"/>
    <w:rsid w:val="0010095E"/>
    <w:rsid w:val="00115A6F"/>
    <w:rsid w:val="00125B37"/>
    <w:rsid w:val="001847B9"/>
    <w:rsid w:val="00187494"/>
    <w:rsid w:val="001B7CF6"/>
    <w:rsid w:val="001E6715"/>
    <w:rsid w:val="001F32AE"/>
    <w:rsid w:val="001F7299"/>
    <w:rsid w:val="002640A7"/>
    <w:rsid w:val="002767FF"/>
    <w:rsid w:val="002B18FE"/>
    <w:rsid w:val="002B5493"/>
    <w:rsid w:val="002F1823"/>
    <w:rsid w:val="00343214"/>
    <w:rsid w:val="00361C00"/>
    <w:rsid w:val="00395FA1"/>
    <w:rsid w:val="003E15D4"/>
    <w:rsid w:val="00411CCE"/>
    <w:rsid w:val="0041666E"/>
    <w:rsid w:val="00421060"/>
    <w:rsid w:val="004242F1"/>
    <w:rsid w:val="00445D3D"/>
    <w:rsid w:val="00471C19"/>
    <w:rsid w:val="004867E3"/>
    <w:rsid w:val="004947DD"/>
    <w:rsid w:val="00494A28"/>
    <w:rsid w:val="004B54E7"/>
    <w:rsid w:val="004C0004"/>
    <w:rsid w:val="004C5D52"/>
    <w:rsid w:val="004D216E"/>
    <w:rsid w:val="0050519A"/>
    <w:rsid w:val="005072A1"/>
    <w:rsid w:val="00514517"/>
    <w:rsid w:val="00536376"/>
    <w:rsid w:val="00545827"/>
    <w:rsid w:val="00560270"/>
    <w:rsid w:val="005C2568"/>
    <w:rsid w:val="005E0AC5"/>
    <w:rsid w:val="006037C0"/>
    <w:rsid w:val="006560C5"/>
    <w:rsid w:val="006631B6"/>
    <w:rsid w:val="0066695E"/>
    <w:rsid w:val="00680577"/>
    <w:rsid w:val="006F74FA"/>
    <w:rsid w:val="00700669"/>
    <w:rsid w:val="00731ADD"/>
    <w:rsid w:val="00734777"/>
    <w:rsid w:val="00747932"/>
    <w:rsid w:val="00751A4A"/>
    <w:rsid w:val="00756632"/>
    <w:rsid w:val="00762C74"/>
    <w:rsid w:val="00786EC0"/>
    <w:rsid w:val="007D1690"/>
    <w:rsid w:val="007E22AD"/>
    <w:rsid w:val="007E5A03"/>
    <w:rsid w:val="00817416"/>
    <w:rsid w:val="00842779"/>
    <w:rsid w:val="008529D3"/>
    <w:rsid w:val="008628F7"/>
    <w:rsid w:val="008646A3"/>
    <w:rsid w:val="00865F67"/>
    <w:rsid w:val="00881A7B"/>
    <w:rsid w:val="008840E5"/>
    <w:rsid w:val="00887B3E"/>
    <w:rsid w:val="008C2AC6"/>
    <w:rsid w:val="008F1634"/>
    <w:rsid w:val="00930C23"/>
    <w:rsid w:val="0093193B"/>
    <w:rsid w:val="009509D8"/>
    <w:rsid w:val="00950B64"/>
    <w:rsid w:val="00952E82"/>
    <w:rsid w:val="009706D2"/>
    <w:rsid w:val="00981893"/>
    <w:rsid w:val="00A1687D"/>
    <w:rsid w:val="00A35527"/>
    <w:rsid w:val="00A43E52"/>
    <w:rsid w:val="00A4678D"/>
    <w:rsid w:val="00A778C7"/>
    <w:rsid w:val="00A84525"/>
    <w:rsid w:val="00AB441E"/>
    <w:rsid w:val="00AB6293"/>
    <w:rsid w:val="00AE0928"/>
    <w:rsid w:val="00AF3B82"/>
    <w:rsid w:val="00AF4477"/>
    <w:rsid w:val="00B12E95"/>
    <w:rsid w:val="00B22876"/>
    <w:rsid w:val="00B558F0"/>
    <w:rsid w:val="00B75044"/>
    <w:rsid w:val="00BD48FE"/>
    <w:rsid w:val="00BD7BD8"/>
    <w:rsid w:val="00BE6ADC"/>
    <w:rsid w:val="00BF2436"/>
    <w:rsid w:val="00C05BFE"/>
    <w:rsid w:val="00C23CD4"/>
    <w:rsid w:val="00C566E8"/>
    <w:rsid w:val="00C60AD8"/>
    <w:rsid w:val="00C61C0C"/>
    <w:rsid w:val="00C91EAD"/>
    <w:rsid w:val="00C941CB"/>
    <w:rsid w:val="00CC2357"/>
    <w:rsid w:val="00CD0114"/>
    <w:rsid w:val="00CF071A"/>
    <w:rsid w:val="00D058B8"/>
    <w:rsid w:val="00D12B23"/>
    <w:rsid w:val="00D56C11"/>
    <w:rsid w:val="00D834A0"/>
    <w:rsid w:val="00D872DF"/>
    <w:rsid w:val="00D91E21"/>
    <w:rsid w:val="00DA7FCD"/>
    <w:rsid w:val="00DD172F"/>
    <w:rsid w:val="00DF668C"/>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5063F"/>
  <w15:chartTrackingRefBased/>
  <w15:docId w15:val="{BE8C3479-6FEA-4BAD-9444-2EB359CB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D0114"/>
    <w:rPr>
      <w:b/>
      <w:kern w:val="28"/>
      <w:sz w:val="28"/>
      <w:lang w:val="fr-FR" w:eastAsia="fr-FR"/>
    </w:rPr>
  </w:style>
  <w:style w:type="character" w:customStyle="1" w:styleId="Heading2Char">
    <w:name w:val="Heading 2 Char"/>
    <w:basedOn w:val="DefaultParagraphFont"/>
    <w:link w:val="Heading2"/>
    <w:uiPriority w:val="9"/>
    <w:rsid w:val="00CD0114"/>
    <w:rPr>
      <w:sz w:val="24"/>
      <w:lang w:val="fr-FR" w:eastAsia="fr-FR"/>
    </w:rPr>
  </w:style>
  <w:style w:type="character" w:customStyle="1" w:styleId="Heading3Char">
    <w:name w:val="Heading 3 Char"/>
    <w:basedOn w:val="DefaultParagraphFont"/>
    <w:link w:val="Heading3"/>
    <w:uiPriority w:val="9"/>
    <w:rsid w:val="00CD0114"/>
    <w:rPr>
      <w:rFonts w:ascii="Arial" w:hAnsi="Arial"/>
      <w:sz w:val="24"/>
      <w:lang w:val="fr-FR" w:eastAsia="fr-FR"/>
    </w:rPr>
  </w:style>
  <w:style w:type="character" w:customStyle="1" w:styleId="Heading4Char">
    <w:name w:val="Heading 4 Char"/>
    <w:basedOn w:val="DefaultParagraphFont"/>
    <w:link w:val="Heading4"/>
    <w:uiPriority w:val="9"/>
    <w:rsid w:val="00CD0114"/>
    <w:rPr>
      <w:sz w:val="24"/>
      <w:lang w:val="en-US" w:eastAsia="fr-FR"/>
    </w:rPr>
  </w:style>
  <w:style w:type="character" w:customStyle="1" w:styleId="Heading5Char">
    <w:name w:val="Heading 5 Char"/>
    <w:basedOn w:val="DefaultParagraphFont"/>
    <w:link w:val="Heading5"/>
    <w:rsid w:val="00CD0114"/>
    <w:rPr>
      <w:sz w:val="24"/>
      <w:lang w:val="en-US" w:eastAsia="fr-FR"/>
    </w:rPr>
  </w:style>
  <w:style w:type="character" w:customStyle="1" w:styleId="Heading6Char">
    <w:name w:val="Heading 6 Char"/>
    <w:basedOn w:val="DefaultParagraphFont"/>
    <w:link w:val="Heading6"/>
    <w:rsid w:val="00CD0114"/>
    <w:rPr>
      <w:i/>
      <w:sz w:val="22"/>
      <w:lang w:val="da-DK"/>
    </w:rPr>
  </w:style>
  <w:style w:type="character" w:customStyle="1" w:styleId="Heading7Char">
    <w:name w:val="Heading 7 Char"/>
    <w:basedOn w:val="DefaultParagraphFont"/>
    <w:link w:val="Heading7"/>
    <w:rsid w:val="00CD0114"/>
    <w:rPr>
      <w:rFonts w:ascii="Arial" w:hAnsi="Arial"/>
      <w:sz w:val="24"/>
      <w:lang w:val="da-DK"/>
    </w:rPr>
  </w:style>
  <w:style w:type="character" w:customStyle="1" w:styleId="Heading8Char">
    <w:name w:val="Heading 8 Char"/>
    <w:basedOn w:val="DefaultParagraphFont"/>
    <w:link w:val="Heading8"/>
    <w:rsid w:val="00CD0114"/>
    <w:rPr>
      <w:rFonts w:ascii="Arial" w:hAnsi="Arial"/>
      <w:i/>
      <w:sz w:val="24"/>
      <w:lang w:val="da-DK"/>
    </w:rPr>
  </w:style>
  <w:style w:type="character" w:customStyle="1" w:styleId="Heading9Char">
    <w:name w:val="Heading 9 Char"/>
    <w:basedOn w:val="DefaultParagraphFont"/>
    <w:link w:val="Heading9"/>
    <w:rsid w:val="00CD0114"/>
    <w:rPr>
      <w:rFonts w:ascii="Arial" w:hAnsi="Arial"/>
      <w:b/>
      <w:i/>
      <w:sz w:val="18"/>
      <w:lang w:val="da-DK"/>
    </w:rPr>
  </w:style>
  <w:style w:type="paragraph" w:styleId="TOCHeading">
    <w:name w:val="TOC Heading"/>
    <w:basedOn w:val="Normal"/>
    <w:next w:val="Normal"/>
    <w:uiPriority w:val="39"/>
    <w:unhideWhenUsed/>
    <w:qFormat/>
    <w:rsid w:val="00CD0114"/>
    <w:pPr>
      <w:widowControl/>
      <w:spacing w:after="240"/>
    </w:pPr>
    <w:rPr>
      <w:lang w:val="en-GB"/>
    </w:rPr>
  </w:style>
  <w:style w:type="paragraph" w:styleId="Footer">
    <w:name w:val="footer"/>
    <w:basedOn w:val="Normal"/>
    <w:link w:val="FooterChar"/>
    <w:rsid w:val="00CD0114"/>
    <w:pPr>
      <w:tabs>
        <w:tab w:val="center" w:pos="4535"/>
        <w:tab w:val="right" w:pos="9071"/>
      </w:tabs>
      <w:spacing w:before="240" w:after="240"/>
    </w:pPr>
    <w:rPr>
      <w:sz w:val="22"/>
    </w:rPr>
  </w:style>
  <w:style w:type="character" w:customStyle="1" w:styleId="FooterChar">
    <w:name w:val="Footer Char"/>
    <w:basedOn w:val="DefaultParagraphFont"/>
    <w:link w:val="Footer"/>
    <w:rsid w:val="00CD0114"/>
    <w:rPr>
      <w:sz w:val="22"/>
      <w:lang w:val="da-DK"/>
    </w:rPr>
  </w:style>
  <w:style w:type="paragraph" w:customStyle="1" w:styleId="Normal12a12b">
    <w:name w:val="Normal12a12b"/>
    <w:basedOn w:val="Normal"/>
    <w:rsid w:val="00CD0114"/>
    <w:pPr>
      <w:spacing w:before="240" w:after="240"/>
    </w:pPr>
  </w:style>
  <w:style w:type="paragraph" w:customStyle="1" w:styleId="Footer2">
    <w:name w:val="Footer2"/>
    <w:basedOn w:val="Normal"/>
    <w:rsid w:val="00CD0114"/>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CD0114"/>
    <w:pPr>
      <w:spacing w:after="240"/>
    </w:pPr>
  </w:style>
  <w:style w:type="paragraph" w:customStyle="1" w:styleId="TOCPage">
    <w:name w:val="TOC Page"/>
    <w:basedOn w:val="Normal12"/>
    <w:next w:val="TOC1"/>
    <w:rsid w:val="00CD0114"/>
    <w:pPr>
      <w:keepNext/>
      <w:jc w:val="right"/>
    </w:pPr>
    <w:rPr>
      <w:rFonts w:ascii="Arial" w:hAnsi="Arial"/>
      <w:b/>
    </w:rPr>
  </w:style>
  <w:style w:type="paragraph" w:customStyle="1" w:styleId="TableofEntries">
    <w:name w:val="Table of Entries"/>
    <w:basedOn w:val="Normal12"/>
    <w:rsid w:val="00CD0114"/>
    <w:pPr>
      <w:widowControl/>
      <w:tabs>
        <w:tab w:val="right" w:leader="dot" w:pos="9072"/>
      </w:tabs>
      <w:jc w:val="both"/>
    </w:pPr>
  </w:style>
  <w:style w:type="paragraph" w:customStyle="1" w:styleId="Normal6">
    <w:name w:val="Normal6"/>
    <w:basedOn w:val="Normal"/>
    <w:link w:val="Normal6Char"/>
    <w:rsid w:val="00CD0114"/>
    <w:pPr>
      <w:spacing w:after="120"/>
    </w:pPr>
  </w:style>
  <w:style w:type="character" w:customStyle="1" w:styleId="Normal6Char">
    <w:name w:val="Normal6 Char"/>
    <w:link w:val="Normal6"/>
    <w:rsid w:val="00CD0114"/>
    <w:rPr>
      <w:sz w:val="24"/>
      <w:lang w:val="da-DK"/>
    </w:rPr>
  </w:style>
  <w:style w:type="paragraph" w:customStyle="1" w:styleId="PageHeading">
    <w:name w:val="PageHeading"/>
    <w:basedOn w:val="Normal12a12b"/>
    <w:rsid w:val="00CD0114"/>
    <w:pPr>
      <w:keepNext/>
      <w:jc w:val="center"/>
    </w:pPr>
    <w:rPr>
      <w:rFonts w:ascii="Arial" w:hAnsi="Arial"/>
      <w:b/>
    </w:rPr>
  </w:style>
  <w:style w:type="paragraph" w:customStyle="1" w:styleId="NormalBold">
    <w:name w:val="NormalBold"/>
    <w:basedOn w:val="Normal"/>
    <w:link w:val="NormalBoldChar"/>
    <w:rsid w:val="00CD0114"/>
    <w:rPr>
      <w:b/>
    </w:rPr>
  </w:style>
  <w:style w:type="character" w:customStyle="1" w:styleId="NormalBoldChar">
    <w:name w:val="NormalBold Char"/>
    <w:link w:val="NormalBold"/>
    <w:rsid w:val="00CD0114"/>
    <w:rPr>
      <w:b/>
      <w:sz w:val="24"/>
      <w:lang w:val="da-DK"/>
    </w:rPr>
  </w:style>
  <w:style w:type="paragraph" w:customStyle="1" w:styleId="Normal12Bold">
    <w:name w:val="Normal12Bold"/>
    <w:basedOn w:val="Normal12"/>
    <w:rsid w:val="00CD0114"/>
    <w:rPr>
      <w:b/>
    </w:rPr>
  </w:style>
  <w:style w:type="paragraph" w:customStyle="1" w:styleId="Normal12Italic">
    <w:name w:val="Normal12Italic"/>
    <w:basedOn w:val="Normal"/>
    <w:rsid w:val="00CD0114"/>
    <w:pPr>
      <w:spacing w:before="240"/>
    </w:pPr>
    <w:rPr>
      <w:i/>
    </w:rPr>
  </w:style>
  <w:style w:type="paragraph" w:customStyle="1" w:styleId="Normal12Hanging">
    <w:name w:val="Normal12Hanging"/>
    <w:basedOn w:val="Normal12"/>
    <w:qFormat/>
    <w:rsid w:val="00CD0114"/>
    <w:pPr>
      <w:ind w:left="567" w:hanging="567"/>
    </w:pPr>
  </w:style>
  <w:style w:type="paragraph" w:customStyle="1" w:styleId="Normal24">
    <w:name w:val="Normal24"/>
    <w:basedOn w:val="Normal"/>
    <w:rsid w:val="00CD0114"/>
    <w:pPr>
      <w:spacing w:after="480"/>
    </w:pPr>
  </w:style>
  <w:style w:type="paragraph" w:customStyle="1" w:styleId="Cover24">
    <w:name w:val="Cover24"/>
    <w:basedOn w:val="Normal24"/>
    <w:rsid w:val="00CD0114"/>
    <w:pPr>
      <w:ind w:left="1418"/>
    </w:pPr>
  </w:style>
  <w:style w:type="paragraph" w:customStyle="1" w:styleId="CoverNormal">
    <w:name w:val="CoverNormal"/>
    <w:basedOn w:val="Normal"/>
    <w:rsid w:val="00CD0114"/>
    <w:pPr>
      <w:ind w:left="1418"/>
    </w:pPr>
  </w:style>
  <w:style w:type="paragraph" w:customStyle="1" w:styleId="CrossRef">
    <w:name w:val="CrossRef"/>
    <w:basedOn w:val="Normal"/>
    <w:rsid w:val="00CD0114"/>
    <w:pPr>
      <w:spacing w:before="240"/>
      <w:jc w:val="center"/>
    </w:pPr>
    <w:rPr>
      <w:i/>
    </w:rPr>
  </w:style>
  <w:style w:type="paragraph" w:customStyle="1" w:styleId="JustificationTitle">
    <w:name w:val="JustificationTitle"/>
    <w:basedOn w:val="Normal"/>
    <w:next w:val="Normal12"/>
    <w:rsid w:val="00CD0114"/>
    <w:pPr>
      <w:keepNext/>
      <w:spacing w:before="240"/>
      <w:jc w:val="center"/>
    </w:pPr>
    <w:rPr>
      <w:i/>
    </w:rPr>
  </w:style>
  <w:style w:type="paragraph" w:customStyle="1" w:styleId="Normal12Centre">
    <w:name w:val="Normal12Centre"/>
    <w:basedOn w:val="Normal12"/>
    <w:rsid w:val="00CD0114"/>
    <w:pPr>
      <w:jc w:val="center"/>
    </w:pPr>
  </w:style>
  <w:style w:type="paragraph" w:customStyle="1" w:styleId="Normal12Keep">
    <w:name w:val="Normal12Keep"/>
    <w:basedOn w:val="Normal12"/>
    <w:rsid w:val="00CD0114"/>
    <w:pPr>
      <w:keepNext/>
    </w:pPr>
  </w:style>
  <w:style w:type="paragraph" w:customStyle="1" w:styleId="Normal12Tab">
    <w:name w:val="Normal12Tab"/>
    <w:basedOn w:val="Normal12"/>
    <w:rsid w:val="00CD0114"/>
    <w:pPr>
      <w:tabs>
        <w:tab w:val="left" w:pos="567"/>
      </w:tabs>
    </w:pPr>
  </w:style>
  <w:style w:type="paragraph" w:customStyle="1" w:styleId="RefProc">
    <w:name w:val="RefProc"/>
    <w:basedOn w:val="Normal"/>
    <w:rsid w:val="00CD0114"/>
    <w:pPr>
      <w:spacing w:before="240" w:after="240"/>
      <w:jc w:val="right"/>
    </w:pPr>
    <w:rPr>
      <w:rFonts w:ascii="Arial" w:hAnsi="Arial"/>
      <w:b/>
      <w:caps/>
    </w:rPr>
  </w:style>
  <w:style w:type="paragraph" w:customStyle="1" w:styleId="StarsAndIs">
    <w:name w:val="StarsAndIs"/>
    <w:basedOn w:val="Normal"/>
    <w:rsid w:val="00CD0114"/>
    <w:pPr>
      <w:ind w:left="1418"/>
    </w:pPr>
    <w:rPr>
      <w:rFonts w:ascii="Arial" w:hAnsi="Arial"/>
      <w:b/>
      <w:sz w:val="48"/>
    </w:rPr>
  </w:style>
  <w:style w:type="paragraph" w:customStyle="1" w:styleId="Lgendesigne">
    <w:name w:val="Légende signe"/>
    <w:basedOn w:val="Normal"/>
    <w:rsid w:val="00CD0114"/>
    <w:pPr>
      <w:tabs>
        <w:tab w:val="right" w:pos="454"/>
        <w:tab w:val="left" w:pos="737"/>
      </w:tabs>
      <w:ind w:left="737" w:hanging="737"/>
    </w:pPr>
    <w:rPr>
      <w:snapToGrid w:val="0"/>
      <w:sz w:val="18"/>
      <w:lang w:eastAsia="en-US"/>
    </w:rPr>
  </w:style>
  <w:style w:type="paragraph" w:customStyle="1" w:styleId="TypeDoc">
    <w:name w:val="TypeDoc"/>
    <w:basedOn w:val="Normal24"/>
    <w:rsid w:val="00CD0114"/>
    <w:pPr>
      <w:ind w:left="1418"/>
    </w:pPr>
    <w:rPr>
      <w:rFonts w:ascii="Arial" w:hAnsi="Arial"/>
      <w:b/>
      <w:sz w:val="48"/>
    </w:rPr>
  </w:style>
  <w:style w:type="paragraph" w:customStyle="1" w:styleId="ZDate">
    <w:name w:val="ZDate"/>
    <w:basedOn w:val="Normal"/>
    <w:rsid w:val="00CD0114"/>
    <w:pPr>
      <w:spacing w:after="1200"/>
    </w:pPr>
  </w:style>
  <w:style w:type="paragraph" w:styleId="Header">
    <w:name w:val="header"/>
    <w:basedOn w:val="Normal"/>
    <w:link w:val="HeaderChar"/>
    <w:uiPriority w:val="99"/>
    <w:rsid w:val="00CD0114"/>
    <w:pPr>
      <w:tabs>
        <w:tab w:val="center" w:pos="4153"/>
        <w:tab w:val="right" w:pos="8306"/>
      </w:tabs>
    </w:pPr>
  </w:style>
  <w:style w:type="character" w:customStyle="1" w:styleId="HeaderChar">
    <w:name w:val="Header Char"/>
    <w:basedOn w:val="DefaultParagraphFont"/>
    <w:link w:val="Header"/>
    <w:uiPriority w:val="99"/>
    <w:rsid w:val="00CD0114"/>
    <w:rPr>
      <w:sz w:val="24"/>
      <w:lang w:val="da-DK"/>
    </w:rPr>
  </w:style>
  <w:style w:type="paragraph" w:customStyle="1" w:styleId="Olang">
    <w:name w:val="Olang"/>
    <w:basedOn w:val="Normal"/>
    <w:rsid w:val="00CD0114"/>
    <w:pPr>
      <w:spacing w:before="240" w:after="240"/>
      <w:jc w:val="right"/>
    </w:pPr>
    <w:rPr>
      <w:noProof/>
    </w:rPr>
  </w:style>
  <w:style w:type="paragraph" w:customStyle="1" w:styleId="ColumnHeading">
    <w:name w:val="ColumnHeading"/>
    <w:basedOn w:val="Normal"/>
    <w:rsid w:val="00CD0114"/>
    <w:pPr>
      <w:spacing w:after="240"/>
      <w:jc w:val="center"/>
    </w:pPr>
    <w:rPr>
      <w:i/>
    </w:rPr>
  </w:style>
  <w:style w:type="paragraph" w:customStyle="1" w:styleId="AMNumberTabs">
    <w:name w:val="AMNumberTabs"/>
    <w:basedOn w:val="Normal"/>
    <w:rsid w:val="00CD011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D0114"/>
    <w:pPr>
      <w:spacing w:before="240"/>
    </w:pPr>
    <w:rPr>
      <w:b/>
    </w:rPr>
  </w:style>
  <w:style w:type="paragraph" w:customStyle="1" w:styleId="ZCommittee">
    <w:name w:val="ZCommittee"/>
    <w:basedOn w:val="Normal"/>
    <w:next w:val="Normal"/>
    <w:rsid w:val="00CD0114"/>
    <w:pPr>
      <w:jc w:val="center"/>
    </w:pPr>
    <w:rPr>
      <w:rFonts w:ascii="Arial" w:hAnsi="Arial" w:cs="Arial"/>
      <w:i/>
      <w:sz w:val="22"/>
      <w:szCs w:val="22"/>
    </w:rPr>
  </w:style>
  <w:style w:type="paragraph" w:customStyle="1" w:styleId="Lgendetitre">
    <w:name w:val="Légende titre"/>
    <w:basedOn w:val="Normal"/>
    <w:rsid w:val="00CD0114"/>
    <w:pPr>
      <w:spacing w:before="240" w:after="240"/>
    </w:pPr>
    <w:rPr>
      <w:b/>
      <w:i/>
      <w:snapToGrid w:val="0"/>
      <w:lang w:eastAsia="en-US"/>
    </w:rPr>
  </w:style>
  <w:style w:type="paragraph" w:customStyle="1" w:styleId="Lgendestandard">
    <w:name w:val="Légende standard"/>
    <w:basedOn w:val="Lgendesigne"/>
    <w:rsid w:val="00CD0114"/>
    <w:pPr>
      <w:ind w:left="0" w:firstLine="0"/>
    </w:pPr>
  </w:style>
  <w:style w:type="character" w:customStyle="1" w:styleId="Normal12Char">
    <w:name w:val="Normal12 Char"/>
    <w:basedOn w:val="DefaultParagraphFont"/>
    <w:link w:val="Normal12"/>
    <w:locked/>
    <w:rsid w:val="00CD0114"/>
    <w:rPr>
      <w:sz w:val="24"/>
      <w:lang w:val="da-DK"/>
    </w:rPr>
  </w:style>
  <w:style w:type="paragraph" w:styleId="BalloonText">
    <w:name w:val="Balloon Text"/>
    <w:basedOn w:val="Normal"/>
    <w:link w:val="BalloonTextChar"/>
    <w:uiPriority w:val="99"/>
    <w:rsid w:val="00CD0114"/>
    <w:rPr>
      <w:rFonts w:ascii="Segoe UI" w:hAnsi="Segoe UI" w:cs="Segoe UI"/>
      <w:sz w:val="18"/>
      <w:szCs w:val="18"/>
    </w:rPr>
  </w:style>
  <w:style w:type="character" w:customStyle="1" w:styleId="BalloonTextChar">
    <w:name w:val="Balloon Text Char"/>
    <w:basedOn w:val="DefaultParagraphFont"/>
    <w:link w:val="BalloonText"/>
    <w:rsid w:val="00CD0114"/>
    <w:rPr>
      <w:rFonts w:ascii="Segoe UI" w:hAnsi="Segoe UI" w:cs="Segoe UI"/>
      <w:sz w:val="18"/>
      <w:szCs w:val="18"/>
      <w:lang w:val="da-DK"/>
    </w:rPr>
  </w:style>
  <w:style w:type="paragraph" w:customStyle="1" w:styleId="modref">
    <w:name w:val="modref"/>
    <w:basedOn w:val="Normal"/>
    <w:rsid w:val="00CD0114"/>
    <w:pPr>
      <w:widowControl/>
      <w:spacing w:before="120"/>
    </w:pPr>
    <w:rPr>
      <w:b/>
      <w:bCs/>
      <w:szCs w:val="24"/>
    </w:rPr>
  </w:style>
  <w:style w:type="paragraph" w:customStyle="1" w:styleId="stitle-article-norm">
    <w:name w:val="stitle-article-norm"/>
    <w:basedOn w:val="Normal"/>
    <w:rsid w:val="00CD0114"/>
    <w:pPr>
      <w:widowControl/>
      <w:spacing w:before="240" w:after="120"/>
      <w:jc w:val="center"/>
    </w:pPr>
    <w:rPr>
      <w:b/>
      <w:bCs/>
      <w:szCs w:val="24"/>
    </w:rPr>
  </w:style>
  <w:style w:type="character" w:styleId="Hyperlink">
    <w:name w:val="Hyperlink"/>
    <w:uiPriority w:val="99"/>
    <w:unhideWhenUsed/>
    <w:rsid w:val="00CD0114"/>
    <w:rPr>
      <w:color w:val="0000FF"/>
      <w:u w:val="single"/>
    </w:rPr>
  </w:style>
  <w:style w:type="character" w:styleId="CommentReference">
    <w:name w:val="annotation reference"/>
    <w:basedOn w:val="DefaultParagraphFont"/>
    <w:uiPriority w:val="99"/>
    <w:rsid w:val="00CD0114"/>
    <w:rPr>
      <w:sz w:val="16"/>
      <w:szCs w:val="16"/>
    </w:rPr>
  </w:style>
  <w:style w:type="paragraph" w:styleId="CommentText">
    <w:name w:val="annotation text"/>
    <w:basedOn w:val="Normal"/>
    <w:link w:val="CommentTextChar"/>
    <w:uiPriority w:val="99"/>
    <w:rsid w:val="00CD0114"/>
    <w:rPr>
      <w:sz w:val="20"/>
    </w:rPr>
  </w:style>
  <w:style w:type="character" w:customStyle="1" w:styleId="CommentTextChar">
    <w:name w:val="Comment Text Char"/>
    <w:basedOn w:val="DefaultParagraphFont"/>
    <w:link w:val="CommentText"/>
    <w:uiPriority w:val="99"/>
    <w:rsid w:val="00CD0114"/>
    <w:rPr>
      <w:lang w:val="da-DK"/>
    </w:rPr>
  </w:style>
  <w:style w:type="paragraph" w:styleId="CommentSubject">
    <w:name w:val="annotation subject"/>
    <w:basedOn w:val="CommentText"/>
    <w:next w:val="CommentText"/>
    <w:link w:val="CommentSubjectChar"/>
    <w:uiPriority w:val="99"/>
    <w:rsid w:val="00CD0114"/>
    <w:rPr>
      <w:b/>
      <w:bCs/>
    </w:rPr>
  </w:style>
  <w:style w:type="character" w:customStyle="1" w:styleId="CommentSubjectChar">
    <w:name w:val="Comment Subject Char"/>
    <w:basedOn w:val="CommentTextChar"/>
    <w:link w:val="CommentSubject"/>
    <w:rsid w:val="00CD0114"/>
    <w:rPr>
      <w:b/>
      <w:bCs/>
      <w:lang w:val="da-DK"/>
    </w:rPr>
  </w:style>
  <w:style w:type="paragraph" w:styleId="Revision">
    <w:name w:val="Revision"/>
    <w:hidden/>
    <w:uiPriority w:val="99"/>
    <w:rsid w:val="00CD0114"/>
    <w:rPr>
      <w:sz w:val="24"/>
      <w:lang w:val="da-DK"/>
    </w:rPr>
  </w:style>
  <w:style w:type="character" w:customStyle="1" w:styleId="Sup">
    <w:name w:val="Sup"/>
    <w:uiPriority w:val="1"/>
    <w:qFormat/>
    <w:rsid w:val="00CD0114"/>
    <w:rPr>
      <w:color w:val="000000"/>
      <w:vertAlign w:val="superscript"/>
    </w:rPr>
  </w:style>
  <w:style w:type="paragraph" w:customStyle="1" w:styleId="Point1">
    <w:name w:val="Point 1"/>
    <w:basedOn w:val="Normal"/>
    <w:rsid w:val="00CD0114"/>
    <w:pPr>
      <w:widowControl/>
      <w:spacing w:before="120" w:after="120"/>
      <w:ind w:left="1417" w:hanging="567"/>
      <w:jc w:val="both"/>
    </w:pPr>
    <w:rPr>
      <w:rFonts w:eastAsia="Calibri"/>
      <w:szCs w:val="22"/>
      <w:lang w:eastAsia="en-US"/>
    </w:rPr>
  </w:style>
  <w:style w:type="character" w:customStyle="1" w:styleId="superscript">
    <w:name w:val="superscript"/>
    <w:rsid w:val="00CD0114"/>
    <w:rPr>
      <w:sz w:val="17"/>
      <w:szCs w:val="17"/>
      <w:vertAlign w:val="superscript"/>
    </w:rPr>
  </w:style>
  <w:style w:type="paragraph" w:customStyle="1" w:styleId="norm">
    <w:name w:val="norm"/>
    <w:basedOn w:val="Normal"/>
    <w:rsid w:val="00CD0114"/>
    <w:pPr>
      <w:widowControl/>
      <w:spacing w:before="120"/>
      <w:jc w:val="both"/>
    </w:pPr>
    <w:rPr>
      <w:szCs w:val="24"/>
    </w:rPr>
  </w:style>
  <w:style w:type="paragraph" w:customStyle="1" w:styleId="PageHeadingNotTOC">
    <w:name w:val="PageHeadingNotTOC"/>
    <w:basedOn w:val="Normal"/>
    <w:rsid w:val="00CD0114"/>
    <w:pPr>
      <w:keepNext/>
      <w:spacing w:before="240" w:after="240"/>
      <w:jc w:val="center"/>
    </w:pPr>
    <w:rPr>
      <w:rFonts w:ascii="Arial" w:hAnsi="Arial"/>
      <w:b/>
    </w:rPr>
  </w:style>
  <w:style w:type="paragraph" w:customStyle="1" w:styleId="ConclusionsPA">
    <w:name w:val="ConclusionsPA"/>
    <w:basedOn w:val="Normal12"/>
    <w:rsid w:val="00CD0114"/>
    <w:pPr>
      <w:spacing w:before="480"/>
      <w:jc w:val="center"/>
    </w:pPr>
    <w:rPr>
      <w:rFonts w:ascii="Arial" w:hAnsi="Arial"/>
      <w:b/>
      <w:caps/>
      <w:snapToGrid w:val="0"/>
      <w:lang w:eastAsia="en-US"/>
    </w:rPr>
  </w:style>
  <w:style w:type="paragraph" w:customStyle="1" w:styleId="NormalTabs">
    <w:name w:val="NormalTabs"/>
    <w:basedOn w:val="Normal"/>
    <w:qFormat/>
    <w:rsid w:val="00CD0114"/>
    <w:pPr>
      <w:tabs>
        <w:tab w:val="center" w:pos="284"/>
        <w:tab w:val="left" w:pos="426"/>
      </w:tabs>
    </w:pPr>
    <w:rPr>
      <w:snapToGrid w:val="0"/>
      <w:lang w:eastAsia="en-US"/>
    </w:rPr>
  </w:style>
  <w:style w:type="paragraph" w:customStyle="1" w:styleId="Normal24a12b">
    <w:name w:val="Normal24a12b"/>
    <w:basedOn w:val="Normal"/>
    <w:qFormat/>
    <w:rsid w:val="00CD0114"/>
    <w:pPr>
      <w:spacing w:before="240" w:after="480"/>
    </w:pPr>
  </w:style>
  <w:style w:type="paragraph" w:customStyle="1" w:styleId="NormalBoldCentre">
    <w:name w:val="NormalBoldCentre"/>
    <w:basedOn w:val="Normal"/>
    <w:next w:val="Normal"/>
    <w:qFormat/>
    <w:rsid w:val="00CD0114"/>
    <w:pPr>
      <w:jc w:val="center"/>
    </w:pPr>
    <w:rPr>
      <w:b/>
    </w:rPr>
  </w:style>
  <w:style w:type="paragraph" w:customStyle="1" w:styleId="Text2">
    <w:name w:val="Text 2"/>
    <w:basedOn w:val="Normal"/>
    <w:rsid w:val="00CD0114"/>
    <w:pPr>
      <w:widowControl/>
      <w:spacing w:before="120" w:after="120"/>
      <w:ind w:left="1417"/>
      <w:jc w:val="both"/>
    </w:pPr>
    <w:rPr>
      <w:rFonts w:eastAsia="Calibri"/>
      <w:szCs w:val="22"/>
      <w:lang w:eastAsia="en-US"/>
    </w:rPr>
  </w:style>
  <w:style w:type="paragraph" w:customStyle="1" w:styleId="Body">
    <w:name w:val="Body"/>
    <w:rsid w:val="00CD0114"/>
    <w:pPr>
      <w:jc w:val="both"/>
    </w:pPr>
    <w:rPr>
      <w:rFonts w:eastAsia="Arial Unicode MS" w:cs="Arial Unicode MS"/>
      <w:color w:val="000000"/>
      <w:sz w:val="24"/>
      <w:szCs w:val="24"/>
      <w:u w:color="000000"/>
      <w:lang w:val="da-DK"/>
    </w:rPr>
  </w:style>
  <w:style w:type="paragraph" w:customStyle="1" w:styleId="Typedudocument">
    <w:name w:val="Type du document"/>
    <w:basedOn w:val="Normal"/>
    <w:next w:val="Normal"/>
    <w:rsid w:val="00A35527"/>
    <w:pPr>
      <w:widowControl/>
      <w:spacing w:before="360"/>
      <w:jc w:val="center"/>
    </w:pPr>
    <w:rPr>
      <w:b/>
      <w:szCs w:val="24"/>
      <w:lang w:eastAsia="en-US"/>
    </w:rPr>
  </w:style>
  <w:style w:type="numbering" w:customStyle="1" w:styleId="NoList1">
    <w:name w:val="No List1"/>
    <w:next w:val="NoList"/>
    <w:uiPriority w:val="99"/>
    <w:semiHidden/>
    <w:unhideWhenUsed/>
    <w:rsid w:val="0066695E"/>
  </w:style>
  <w:style w:type="paragraph" w:customStyle="1" w:styleId="Text1">
    <w:name w:val="Text 1"/>
    <w:basedOn w:val="Normal"/>
    <w:rsid w:val="0066695E"/>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66695E"/>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66695E"/>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66695E"/>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66695E"/>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66695E"/>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66695E"/>
    <w:pPr>
      <w:autoSpaceDE w:val="0"/>
      <w:autoSpaceDN w:val="0"/>
      <w:adjustRightInd w:val="0"/>
    </w:pPr>
    <w:rPr>
      <w:rFonts w:eastAsiaTheme="minorEastAsia"/>
      <w:sz w:val="2"/>
      <w:szCs w:val="22"/>
    </w:rPr>
  </w:style>
  <w:style w:type="paragraph" w:customStyle="1" w:styleId="FooterCouncil">
    <w:name w:val="Footer Council"/>
    <w:basedOn w:val="Normal"/>
    <w:rsid w:val="0066695E"/>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66695E"/>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66695E"/>
    <w:rPr>
      <w:rFonts w:ascii="Times New Roman" w:hAnsi="Times New Roman" w:cs="Times New Roman"/>
      <w:sz w:val="24"/>
      <w:lang w:val="da-DK"/>
    </w:rPr>
  </w:style>
  <w:style w:type="paragraph" w:customStyle="1" w:styleId="FinalLine">
    <w:name w:val="Final Line"/>
    <w:basedOn w:val="Normal"/>
    <w:next w:val="Normal"/>
    <w:rsid w:val="0066695E"/>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66695E"/>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66695E"/>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66695E"/>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66695E"/>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66695E"/>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66695E"/>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66695E"/>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66695E"/>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66695E"/>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66695E"/>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66695E"/>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66695E"/>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66695E"/>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66695E"/>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66695E"/>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66695E"/>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66695E"/>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66695E"/>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66695E"/>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66695E"/>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66695E"/>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66695E"/>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66695E"/>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66695E"/>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66695E"/>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66695E"/>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66695E"/>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66695E"/>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66695E"/>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66695E"/>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66695E"/>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66695E"/>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66695E"/>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66695E"/>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66695E"/>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66695E"/>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66695E"/>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66695E"/>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66695E"/>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66695E"/>
    <w:pPr>
      <w:numPr>
        <w:numId w:val="8"/>
      </w:numPr>
      <w:tabs>
        <w:tab w:val="clear" w:pos="567"/>
      </w:tabs>
    </w:pPr>
  </w:style>
  <w:style w:type="paragraph" w:customStyle="1" w:styleId="DashEqual1">
    <w:name w:val="Dash Equal 1"/>
    <w:basedOn w:val="Dash1"/>
    <w:rsid w:val="0066695E"/>
    <w:pPr>
      <w:numPr>
        <w:numId w:val="9"/>
      </w:numPr>
      <w:tabs>
        <w:tab w:val="clear" w:pos="1134"/>
      </w:tabs>
    </w:pPr>
  </w:style>
  <w:style w:type="paragraph" w:customStyle="1" w:styleId="DashEqual2">
    <w:name w:val="Dash Equal 2"/>
    <w:basedOn w:val="Dash2"/>
    <w:rsid w:val="0066695E"/>
    <w:pPr>
      <w:numPr>
        <w:numId w:val="10"/>
      </w:numPr>
      <w:tabs>
        <w:tab w:val="clear" w:pos="1701"/>
        <w:tab w:val="num" w:pos="567"/>
      </w:tabs>
    </w:pPr>
  </w:style>
  <w:style w:type="paragraph" w:customStyle="1" w:styleId="DashEqual3">
    <w:name w:val="Dash Equal 3"/>
    <w:basedOn w:val="Dash3"/>
    <w:rsid w:val="0066695E"/>
    <w:pPr>
      <w:numPr>
        <w:numId w:val="11"/>
      </w:numPr>
      <w:tabs>
        <w:tab w:val="clear" w:pos="2268"/>
        <w:tab w:val="num" w:pos="1134"/>
      </w:tabs>
    </w:pPr>
  </w:style>
  <w:style w:type="paragraph" w:customStyle="1" w:styleId="DashEqual4">
    <w:name w:val="Dash Equal 4"/>
    <w:basedOn w:val="Dash4"/>
    <w:rsid w:val="0066695E"/>
    <w:pPr>
      <w:numPr>
        <w:numId w:val="12"/>
      </w:numPr>
      <w:tabs>
        <w:tab w:val="clear" w:pos="2835"/>
        <w:tab w:val="num" w:pos="1701"/>
      </w:tabs>
    </w:pPr>
  </w:style>
  <w:style w:type="character" w:customStyle="1" w:styleId="Marker">
    <w:name w:val="Marker"/>
    <w:basedOn w:val="DefaultParagraphFont"/>
    <w:rsid w:val="0066695E"/>
    <w:rPr>
      <w:color w:val="0000FF"/>
      <w:shd w:val="clear" w:color="auto" w:fill="auto"/>
    </w:rPr>
  </w:style>
  <w:style w:type="character" w:customStyle="1" w:styleId="Marker1">
    <w:name w:val="Marker1"/>
    <w:basedOn w:val="DefaultParagraphFont"/>
    <w:rsid w:val="0066695E"/>
    <w:rPr>
      <w:color w:val="008000"/>
      <w:shd w:val="clear" w:color="auto" w:fill="auto"/>
    </w:rPr>
  </w:style>
  <w:style w:type="paragraph" w:customStyle="1" w:styleId="HeadingLeft">
    <w:name w:val="Heading Left"/>
    <w:basedOn w:val="Normal"/>
    <w:next w:val="Normal"/>
    <w:rsid w:val="0066695E"/>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66695E"/>
    <w:pPr>
      <w:numPr>
        <w:numId w:val="22"/>
      </w:numPr>
      <w:tabs>
        <w:tab w:val="left" w:pos="567"/>
      </w:tabs>
    </w:pPr>
  </w:style>
  <w:style w:type="paragraph" w:customStyle="1" w:styleId="Heading123">
    <w:name w:val="Heading 123"/>
    <w:basedOn w:val="HeadingLeft"/>
    <w:next w:val="Normal"/>
    <w:rsid w:val="0066695E"/>
    <w:pPr>
      <w:numPr>
        <w:numId w:val="21"/>
      </w:numPr>
      <w:tabs>
        <w:tab w:val="left" w:pos="567"/>
      </w:tabs>
    </w:pPr>
  </w:style>
  <w:style w:type="paragraph" w:customStyle="1" w:styleId="HeadingABC">
    <w:name w:val="Heading ABC"/>
    <w:basedOn w:val="HeadingLeft"/>
    <w:next w:val="Normal"/>
    <w:rsid w:val="0066695E"/>
    <w:pPr>
      <w:numPr>
        <w:numId w:val="20"/>
      </w:numPr>
      <w:tabs>
        <w:tab w:val="left" w:pos="567"/>
      </w:tabs>
    </w:pPr>
  </w:style>
  <w:style w:type="paragraph" w:customStyle="1" w:styleId="HeadingCentered">
    <w:name w:val="Heading Centered"/>
    <w:basedOn w:val="HeadingLeft"/>
    <w:next w:val="Normal"/>
    <w:rsid w:val="0066695E"/>
    <w:pPr>
      <w:jc w:val="center"/>
    </w:pPr>
  </w:style>
  <w:style w:type="paragraph" w:customStyle="1" w:styleId="Jardin">
    <w:name w:val="Jardin"/>
    <w:basedOn w:val="Normal"/>
    <w:rsid w:val="0066695E"/>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66695E"/>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66695E"/>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66695E"/>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66695E"/>
    <w:rPr>
      <w:b/>
    </w:rPr>
  </w:style>
  <w:style w:type="paragraph" w:customStyle="1" w:styleId="Annex">
    <w:name w:val="Annex"/>
    <w:basedOn w:val="Normal"/>
    <w:next w:val="Normal"/>
    <w:rsid w:val="0066695E"/>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66695E"/>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66695E"/>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66695E"/>
    <w:rPr>
      <w:rFonts w:ascii="Times New Roman" w:hAnsi="Times New Roman" w:cs="Times New Roman"/>
      <w:b/>
      <w:sz w:val="24"/>
      <w:shd w:val="clear" w:color="auto" w:fill="CCCCCC"/>
    </w:rPr>
  </w:style>
  <w:style w:type="paragraph" w:customStyle="1" w:styleId="NormalCompact">
    <w:name w:val="Normal Compact"/>
    <w:basedOn w:val="Normal"/>
    <w:next w:val="Normal"/>
    <w:rsid w:val="0066695E"/>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66695E"/>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66695E"/>
    <w:rPr>
      <w:rFonts w:eastAsiaTheme="minorEastAsia"/>
      <w:lang w:val="da-DK"/>
    </w:rPr>
  </w:style>
  <w:style w:type="character" w:styleId="EndnoteReference">
    <w:name w:val="endnote reference"/>
    <w:basedOn w:val="DefaultParagraphFont"/>
    <w:uiPriority w:val="99"/>
    <w:rsid w:val="0066695E"/>
    <w:rPr>
      <w:vertAlign w:val="superscript"/>
    </w:rPr>
  </w:style>
  <w:style w:type="paragraph" w:customStyle="1" w:styleId="HeaderCouncilLarge">
    <w:name w:val="Header Council Large"/>
    <w:basedOn w:val="Normal"/>
    <w:rsid w:val="0066695E"/>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66695E"/>
    <w:rPr>
      <w:rFonts w:ascii="Times New Roman" w:hAnsi="Times New Roman" w:cs="Times New Roman"/>
      <w:sz w:val="2"/>
      <w:lang w:val="da-DK"/>
    </w:rPr>
  </w:style>
  <w:style w:type="paragraph" w:customStyle="1" w:styleId="FooterText">
    <w:name w:val="Footer Text"/>
    <w:basedOn w:val="Normal"/>
    <w:rsid w:val="0066695E"/>
    <w:pPr>
      <w:autoSpaceDE w:val="0"/>
      <w:autoSpaceDN w:val="0"/>
      <w:adjustRightInd w:val="0"/>
    </w:pPr>
    <w:rPr>
      <w:rFonts w:eastAsiaTheme="minorEastAsia"/>
      <w:szCs w:val="24"/>
    </w:rPr>
  </w:style>
  <w:style w:type="character" w:styleId="PlaceholderText">
    <w:name w:val="Placeholder Text"/>
    <w:basedOn w:val="DefaultParagraphFont"/>
    <w:uiPriority w:val="99"/>
    <w:rsid w:val="0066695E"/>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66695E"/>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66695E"/>
    <w:rPr>
      <w:rFonts w:ascii="Times New Roman" w:eastAsia="Times New Roman" w:hAnsi="Times New Roman" w:cs="Times New Roman"/>
      <w:sz w:val="24"/>
      <w:lang w:val="da-DK"/>
    </w:rPr>
  </w:style>
  <w:style w:type="paragraph" w:styleId="NormalWeb">
    <w:name w:val="Normal (Web)"/>
    <w:basedOn w:val="Normal"/>
    <w:uiPriority w:val="99"/>
    <w:rsid w:val="0066695E"/>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66695E"/>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66695E"/>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66695E"/>
    <w:pPr>
      <w:autoSpaceDE w:val="0"/>
      <w:autoSpaceDN w:val="0"/>
      <w:adjustRightInd w:val="0"/>
      <w:spacing w:before="120" w:after="120"/>
    </w:pPr>
    <w:rPr>
      <w:rFonts w:eastAsiaTheme="minorEastAsia"/>
      <w:szCs w:val="22"/>
    </w:rPr>
  </w:style>
  <w:style w:type="paragraph" w:customStyle="1" w:styleId="QuotedText">
    <w:name w:val="Quoted Text"/>
    <w:basedOn w:val="Normal"/>
    <w:rsid w:val="0066695E"/>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66695E"/>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66695E"/>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66695E"/>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66695E"/>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66695E"/>
    <w:pPr>
      <w:numPr>
        <w:numId w:val="27"/>
      </w:numPr>
      <w:tabs>
        <w:tab w:val="left" w:pos="850"/>
      </w:tabs>
    </w:pPr>
  </w:style>
  <w:style w:type="paragraph" w:customStyle="1" w:styleId="Tiret1">
    <w:name w:val="Tiret 1"/>
    <w:basedOn w:val="Point1"/>
    <w:rsid w:val="0066695E"/>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66695E"/>
    <w:pPr>
      <w:numPr>
        <w:numId w:val="29"/>
      </w:numPr>
      <w:tabs>
        <w:tab w:val="left" w:pos="1984"/>
      </w:tabs>
    </w:pPr>
  </w:style>
  <w:style w:type="paragraph" w:customStyle="1" w:styleId="Tiret3">
    <w:name w:val="Tiret 3"/>
    <w:basedOn w:val="Point3"/>
    <w:rsid w:val="0066695E"/>
    <w:pPr>
      <w:numPr>
        <w:numId w:val="30"/>
      </w:numPr>
      <w:tabs>
        <w:tab w:val="left" w:pos="2551"/>
      </w:tabs>
    </w:pPr>
  </w:style>
  <w:style w:type="paragraph" w:customStyle="1" w:styleId="Tiret4">
    <w:name w:val="Tiret 4"/>
    <w:basedOn w:val="Point4"/>
    <w:rsid w:val="0066695E"/>
    <w:pPr>
      <w:numPr>
        <w:numId w:val="31"/>
      </w:numPr>
      <w:tabs>
        <w:tab w:val="left" w:pos="3118"/>
      </w:tabs>
    </w:pPr>
  </w:style>
  <w:style w:type="paragraph" w:customStyle="1" w:styleId="PointDouble0">
    <w:name w:val="PointDouble 0"/>
    <w:basedOn w:val="Normal"/>
    <w:rsid w:val="0066695E"/>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66695E"/>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66695E"/>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66695E"/>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66695E"/>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66695E"/>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66695E"/>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66695E"/>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66695E"/>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66695E"/>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66695E"/>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66695E"/>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66695E"/>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66695E"/>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66695E"/>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66695E"/>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66695E"/>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66695E"/>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66695E"/>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66695E"/>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66695E"/>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66695E"/>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66695E"/>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66695E"/>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66695E"/>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66695E"/>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66695E"/>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66695E"/>
    <w:rPr>
      <w:color w:val="FF0000"/>
      <w:shd w:val="clear" w:color="auto" w:fill="auto"/>
    </w:rPr>
  </w:style>
  <w:style w:type="paragraph" w:customStyle="1" w:styleId="Point0number">
    <w:name w:val="Point 0 (number)"/>
    <w:basedOn w:val="Normal"/>
    <w:qFormat/>
    <w:rsid w:val="0066695E"/>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66695E"/>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66695E"/>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66695E"/>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66695E"/>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66695E"/>
    <w:pPr>
      <w:widowControl w:val="0"/>
      <w:autoSpaceDE w:val="0"/>
      <w:autoSpaceDN w:val="0"/>
      <w:adjustRightInd w:val="0"/>
      <w:spacing w:before="120" w:after="120"/>
      <w:ind w:left="1418" w:hanging="567"/>
      <w:jc w:val="both"/>
    </w:pPr>
    <w:rPr>
      <w:rFonts w:eastAsiaTheme="minorEastAsia"/>
      <w:sz w:val="24"/>
      <w:szCs w:val="22"/>
      <w:lang w:val="da-DK"/>
    </w:rPr>
  </w:style>
  <w:style w:type="paragraph" w:customStyle="1" w:styleId="Point2letter">
    <w:name w:val="Point 2 (letter)"/>
    <w:basedOn w:val="Normal"/>
    <w:rsid w:val="0066695E"/>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66695E"/>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66695E"/>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66695E"/>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66695E"/>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66695E"/>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66695E"/>
    <w:pPr>
      <w:autoSpaceDE w:val="0"/>
      <w:autoSpaceDN w:val="0"/>
      <w:adjustRightInd w:val="0"/>
      <w:ind w:left="5103"/>
    </w:pPr>
    <w:rPr>
      <w:rFonts w:eastAsiaTheme="minorEastAsia"/>
      <w:szCs w:val="22"/>
    </w:rPr>
  </w:style>
  <w:style w:type="paragraph" w:customStyle="1" w:styleId="Statut">
    <w:name w:val="Statut"/>
    <w:basedOn w:val="Normal"/>
    <w:next w:val="Typedudocument"/>
    <w:rsid w:val="0066695E"/>
    <w:pPr>
      <w:autoSpaceDE w:val="0"/>
      <w:autoSpaceDN w:val="0"/>
      <w:adjustRightInd w:val="0"/>
      <w:spacing w:before="360"/>
      <w:jc w:val="center"/>
    </w:pPr>
    <w:rPr>
      <w:rFonts w:eastAsiaTheme="minorEastAsia"/>
      <w:szCs w:val="22"/>
    </w:rPr>
  </w:style>
  <w:style w:type="paragraph" w:customStyle="1" w:styleId="Titreobjet">
    <w:name w:val="Titre objet"/>
    <w:basedOn w:val="Normal"/>
    <w:next w:val="IntrtEEE"/>
    <w:rsid w:val="0066695E"/>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66695E"/>
    <w:pPr>
      <w:spacing w:after="240"/>
    </w:pPr>
  </w:style>
  <w:style w:type="paragraph" w:customStyle="1" w:styleId="Languesfaisantfoi">
    <w:name w:val="Langues faisant foi"/>
    <w:basedOn w:val="Normal"/>
    <w:next w:val="Normal"/>
    <w:rsid w:val="0066695E"/>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66695E"/>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66695E"/>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66695E"/>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66695E"/>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66695E"/>
    <w:pPr>
      <w:widowControl w:val="0"/>
      <w:autoSpaceDE w:val="0"/>
      <w:autoSpaceDN w:val="0"/>
      <w:adjustRightInd w:val="0"/>
    </w:pPr>
    <w:rPr>
      <w:rFonts w:eastAsiaTheme="minorEastAsia"/>
      <w:szCs w:val="22"/>
      <w:lang w:eastAsia="en-GB"/>
    </w:rPr>
  </w:style>
  <w:style w:type="paragraph" w:customStyle="1" w:styleId="TitreobjetPagedecouverture">
    <w:name w:val="Titre objet (Page de couverture)"/>
    <w:basedOn w:val="Titreobjet"/>
    <w:next w:val="IntrtEEEPagedecouverture"/>
    <w:rsid w:val="0066695E"/>
  </w:style>
  <w:style w:type="paragraph" w:customStyle="1" w:styleId="IntrtEEEPagedecouverture">
    <w:name w:val="Intérêt EEE (Page de couverture)"/>
    <w:basedOn w:val="IntrtEEE"/>
    <w:next w:val="Rfrencecroise"/>
    <w:rsid w:val="0066695E"/>
  </w:style>
  <w:style w:type="paragraph" w:customStyle="1" w:styleId="Rfrencecroise">
    <w:name w:val="Référence croisée"/>
    <w:basedOn w:val="Normal"/>
    <w:rsid w:val="0066695E"/>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66695E"/>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66695E"/>
    <w:pPr>
      <w:autoSpaceDE w:val="0"/>
      <w:autoSpaceDN w:val="0"/>
      <w:adjustRightInd w:val="0"/>
      <w:jc w:val="both"/>
    </w:pPr>
    <w:rPr>
      <w:rFonts w:eastAsiaTheme="minorEastAsia"/>
      <w:szCs w:val="22"/>
    </w:rPr>
  </w:style>
  <w:style w:type="paragraph" w:customStyle="1" w:styleId="Disclaimer">
    <w:name w:val="Disclaimer"/>
    <w:basedOn w:val="Normal"/>
    <w:rsid w:val="0066695E"/>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66695E"/>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66695E"/>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66695E"/>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66695E"/>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66695E"/>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66695E"/>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66695E"/>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66695E"/>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66695E"/>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66695E"/>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66695E"/>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66695E"/>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66695E"/>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66695E"/>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66695E"/>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66695E"/>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66695E"/>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66695E"/>
    <w:rPr>
      <w:b/>
      <w:u w:val="single"/>
      <w:shd w:val="clear" w:color="auto" w:fill="auto"/>
    </w:rPr>
  </w:style>
  <w:style w:type="character" w:customStyle="1" w:styleId="Deleted">
    <w:name w:val="Deleted"/>
    <w:basedOn w:val="DefaultParagraphFont"/>
    <w:rsid w:val="0066695E"/>
    <w:rPr>
      <w:strike/>
      <w:shd w:val="clear" w:color="auto" w:fill="auto"/>
    </w:rPr>
  </w:style>
  <w:style w:type="paragraph" w:customStyle="1" w:styleId="Address">
    <w:name w:val="Address"/>
    <w:basedOn w:val="Normal"/>
    <w:next w:val="Normal"/>
    <w:rsid w:val="0066695E"/>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66695E"/>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66695E"/>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66695E"/>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66695E"/>
  </w:style>
  <w:style w:type="paragraph" w:customStyle="1" w:styleId="RfrenceinterinstitutionnellePagedecouverture">
    <w:name w:val="Référence interinstitutionnelle (Page de couverture)"/>
    <w:basedOn w:val="Rfrenceinterinstitutionnelle"/>
    <w:next w:val="Confidentialit"/>
    <w:rsid w:val="0066695E"/>
  </w:style>
  <w:style w:type="paragraph" w:customStyle="1" w:styleId="StatutPagedecouverture">
    <w:name w:val="Statut (Page de couverture)"/>
    <w:basedOn w:val="Statut"/>
    <w:next w:val="TypedudocumentPagedecouverture"/>
    <w:rsid w:val="0066695E"/>
  </w:style>
  <w:style w:type="paragraph" w:customStyle="1" w:styleId="Volume">
    <w:name w:val="Volume"/>
    <w:basedOn w:val="Normal"/>
    <w:next w:val="Confidentialit"/>
    <w:rsid w:val="0066695E"/>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66695E"/>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66695E"/>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66695E"/>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66695E"/>
  </w:style>
  <w:style w:type="paragraph" w:customStyle="1" w:styleId="TypeacteprincipalPagedecouverture">
    <w:name w:val="Type acte principal (Page de couverture)"/>
    <w:basedOn w:val="Typeacteprincipal"/>
    <w:next w:val="ObjetacteprincipalPagedecouverture"/>
    <w:rsid w:val="0066695E"/>
  </w:style>
  <w:style w:type="paragraph" w:customStyle="1" w:styleId="ObjetacteprincipalPagedecouverture">
    <w:name w:val="Objet acte principal (Page de couverture)"/>
    <w:basedOn w:val="Objetacteprincipal"/>
    <w:next w:val="Rfrencecroise"/>
    <w:rsid w:val="0066695E"/>
  </w:style>
  <w:style w:type="paragraph" w:customStyle="1" w:styleId="LanguesfaisantfoiPagedecouverture">
    <w:name w:val="Langues faisant foi (Page de couverture)"/>
    <w:basedOn w:val="Normal"/>
    <w:next w:val="Normal"/>
    <w:rsid w:val="0066695E"/>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66695E"/>
    <w:pPr>
      <w:autoSpaceDE w:val="0"/>
      <w:autoSpaceDN w:val="0"/>
      <w:adjustRightInd w:val="0"/>
      <w:jc w:val="center"/>
    </w:pPr>
    <w:rPr>
      <w:rFonts w:eastAsiaTheme="minorEastAsia"/>
      <w:b/>
      <w:szCs w:val="24"/>
    </w:rPr>
  </w:style>
  <w:style w:type="paragraph" w:customStyle="1" w:styleId="ListNumberLevel2">
    <w:name w:val="List Number (Level 2)"/>
    <w:basedOn w:val="Normal"/>
    <w:rsid w:val="0066695E"/>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66695E"/>
    <w:pPr>
      <w:widowControl w:val="0"/>
      <w:autoSpaceDE w:val="0"/>
      <w:autoSpaceDN w:val="0"/>
      <w:adjustRightInd w:val="0"/>
      <w:spacing w:before="120" w:after="120"/>
      <w:jc w:val="both"/>
    </w:pPr>
    <w:rPr>
      <w:rFonts w:eastAsiaTheme="minorEastAsia"/>
      <w:sz w:val="24"/>
      <w:szCs w:val="22"/>
      <w:lang w:val="da-DK"/>
    </w:rPr>
  </w:style>
  <w:style w:type="character" w:customStyle="1" w:styleId="Sub">
    <w:name w:val="Sub"/>
    <w:uiPriority w:val="1"/>
    <w:qFormat/>
    <w:rsid w:val="0066695E"/>
    <w:rPr>
      <w:rFonts w:ascii="Times New Roman" w:hAnsi="Times New Roman"/>
      <w:sz w:val="24"/>
      <w:vertAlign w:val="subscript"/>
    </w:rPr>
  </w:style>
  <w:style w:type="character" w:customStyle="1" w:styleId="Italic">
    <w:name w:val="Italic"/>
    <w:uiPriority w:val="1"/>
    <w:qFormat/>
    <w:rsid w:val="0066695E"/>
    <w:rPr>
      <w:rFonts w:ascii="Times New Roman" w:hAnsi="Times New Roman"/>
      <w:i/>
      <w:sz w:val="24"/>
    </w:rPr>
  </w:style>
  <w:style w:type="character" w:customStyle="1" w:styleId="Bold">
    <w:name w:val="Bold"/>
    <w:uiPriority w:val="1"/>
    <w:qFormat/>
    <w:rsid w:val="0066695E"/>
    <w:rPr>
      <w:rFonts w:ascii="Times New Roman" w:hAnsi="Times New Roman"/>
      <w:b/>
      <w:sz w:val="24"/>
    </w:rPr>
  </w:style>
  <w:style w:type="character" w:customStyle="1" w:styleId="Underline">
    <w:name w:val="Underline"/>
    <w:uiPriority w:val="1"/>
    <w:qFormat/>
    <w:rsid w:val="0066695E"/>
    <w:rPr>
      <w:rFonts w:ascii="Times New Roman" w:hAnsi="Times New Roman"/>
      <w:sz w:val="24"/>
      <w:u w:val="single"/>
    </w:rPr>
  </w:style>
  <w:style w:type="character" w:customStyle="1" w:styleId="Strikethrough">
    <w:name w:val="Strikethrough"/>
    <w:uiPriority w:val="1"/>
    <w:qFormat/>
    <w:rsid w:val="0066695E"/>
    <w:rPr>
      <w:rFonts w:ascii="Times New Roman" w:hAnsi="Times New Roman"/>
      <w:strike/>
      <w:sz w:val="24"/>
    </w:rPr>
  </w:style>
  <w:style w:type="character" w:customStyle="1" w:styleId="BoldItalic">
    <w:name w:val="BoldItalic"/>
    <w:basedOn w:val="Bold"/>
    <w:uiPriority w:val="1"/>
    <w:qFormat/>
    <w:rsid w:val="0066695E"/>
    <w:rPr>
      <w:rFonts w:ascii="Times New Roman" w:hAnsi="Times New Roman"/>
      <w:b/>
      <w:i/>
      <w:sz w:val="24"/>
    </w:rPr>
  </w:style>
  <w:style w:type="character" w:customStyle="1" w:styleId="BoldItalicFootnote">
    <w:name w:val="BoldItalicFootnote"/>
    <w:basedOn w:val="BoldItalic"/>
    <w:uiPriority w:val="1"/>
    <w:qFormat/>
    <w:rsid w:val="0066695E"/>
    <w:rPr>
      <w:rFonts w:ascii="Times New Roman" w:hAnsi="Times New Roman"/>
      <w:b/>
      <w:i/>
      <w:sz w:val="20"/>
    </w:rPr>
  </w:style>
  <w:style w:type="character" w:customStyle="1" w:styleId="StrikethroughFootnote">
    <w:name w:val="StrikethroughFootnote"/>
    <w:basedOn w:val="Strikethrough"/>
    <w:uiPriority w:val="1"/>
    <w:qFormat/>
    <w:rsid w:val="0066695E"/>
    <w:rPr>
      <w:rFonts w:ascii="Times New Roman" w:hAnsi="Times New Roman"/>
      <w:strike/>
      <w:sz w:val="20"/>
    </w:rPr>
  </w:style>
  <w:style w:type="paragraph" w:customStyle="1" w:styleId="HeaderDisclaimer">
    <w:name w:val="HeaderDisclaimer"/>
    <w:basedOn w:val="Normal"/>
    <w:qFormat/>
    <w:rsid w:val="0066695E"/>
    <w:pPr>
      <w:autoSpaceDE w:val="0"/>
      <w:autoSpaceDN w:val="0"/>
      <w:adjustRightInd w:val="0"/>
      <w:jc w:val="both"/>
    </w:pPr>
    <w:rPr>
      <w:rFonts w:eastAsiaTheme="minorEastAsia"/>
      <w:i/>
      <w:szCs w:val="22"/>
    </w:rPr>
  </w:style>
  <w:style w:type="paragraph" w:customStyle="1" w:styleId="Normal12b">
    <w:name w:val="Normal12b"/>
    <w:basedOn w:val="Normal"/>
    <w:qFormat/>
    <w:rsid w:val="0066695E"/>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66695E"/>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66695E"/>
    <w:pPr>
      <w:spacing w:before="120"/>
    </w:pPr>
  </w:style>
  <w:style w:type="paragraph" w:customStyle="1" w:styleId="TitlePar3">
    <w:name w:val="TitlePar 3"/>
    <w:basedOn w:val="TitlePar2"/>
    <w:qFormat/>
    <w:rsid w:val="0066695E"/>
    <w:rPr>
      <w:b w:val="0"/>
      <w:i/>
    </w:rPr>
  </w:style>
  <w:style w:type="paragraph" w:customStyle="1" w:styleId="SubsectionTitle">
    <w:name w:val="SubsectionTitle"/>
    <w:basedOn w:val="SectionTitle"/>
    <w:qFormat/>
    <w:rsid w:val="0066695E"/>
    <w:pPr>
      <w:spacing w:after="240"/>
    </w:pPr>
    <w:rPr>
      <w:sz w:val="24"/>
    </w:rPr>
  </w:style>
  <w:style w:type="paragraph" w:customStyle="1" w:styleId="TextBorder0">
    <w:name w:val="TextBorder 0"/>
    <w:basedOn w:val="NormalWeb"/>
    <w:qFormat/>
    <w:rsid w:val="0066695E"/>
    <w:pPr>
      <w:pBdr>
        <w:bottom w:val="single" w:sz="4" w:space="1" w:color="auto"/>
      </w:pBdr>
      <w:spacing w:before="0" w:line="240" w:lineRule="auto"/>
      <w:ind w:right="7371"/>
    </w:pPr>
  </w:style>
  <w:style w:type="paragraph" w:customStyle="1" w:styleId="NormalCenteredBold">
    <w:name w:val="Normal Centered Bold"/>
    <w:basedOn w:val="NormalCentered"/>
    <w:qFormat/>
    <w:rsid w:val="0066695E"/>
    <w:pPr>
      <w:spacing w:before="120" w:line="240" w:lineRule="auto"/>
    </w:pPr>
    <w:rPr>
      <w:b/>
    </w:rPr>
  </w:style>
  <w:style w:type="paragraph" w:customStyle="1" w:styleId="NumTitle">
    <w:name w:val="NumTitle"/>
    <w:basedOn w:val="Normal"/>
    <w:qFormat/>
    <w:rsid w:val="0066695E"/>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66695E"/>
  </w:style>
  <w:style w:type="character" w:customStyle="1" w:styleId="BalloonTextChar1">
    <w:name w:val="Balloon Text Char1"/>
    <w:basedOn w:val="DefaultParagraphFont"/>
    <w:uiPriority w:val="99"/>
    <w:rsid w:val="0066695E"/>
    <w:rPr>
      <w:rFonts w:ascii="Segoe UI" w:hAnsi="Segoe UI" w:cs="Segoe UI"/>
      <w:sz w:val="18"/>
      <w:szCs w:val="18"/>
    </w:rPr>
  </w:style>
  <w:style w:type="paragraph" w:customStyle="1" w:styleId="CM11">
    <w:name w:val="CM1+1"/>
    <w:basedOn w:val="Normal"/>
    <w:next w:val="Normal"/>
    <w:uiPriority w:val="99"/>
    <w:rsid w:val="0066695E"/>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66695E"/>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66695E"/>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66695E"/>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66695E"/>
    <w:rPr>
      <w:rFonts w:ascii="Times New Roman" w:hAnsi="Times New Roman" w:cs="Times New Roman"/>
      <w:b/>
      <w:sz w:val="20"/>
      <w:szCs w:val="20"/>
      <w:lang w:val="da-DK"/>
    </w:rPr>
  </w:style>
  <w:style w:type="paragraph" w:styleId="NoSpacing">
    <w:name w:val="No Spacing"/>
    <w:uiPriority w:val="1"/>
    <w:qFormat/>
    <w:rsid w:val="0066695E"/>
    <w:pPr>
      <w:widowControl w:val="0"/>
      <w:autoSpaceDE w:val="0"/>
      <w:autoSpaceDN w:val="0"/>
      <w:adjustRightInd w:val="0"/>
    </w:pPr>
    <w:rPr>
      <w:rFonts w:ascii="Calibri" w:eastAsiaTheme="minorEastAsia" w:hAnsi="Calibri" w:cs="Calibri"/>
      <w:sz w:val="22"/>
      <w:szCs w:val="22"/>
      <w:lang w:val="da-DK"/>
    </w:rPr>
  </w:style>
  <w:style w:type="paragraph" w:styleId="ListBullet">
    <w:name w:val="List Bullet"/>
    <w:basedOn w:val="Normal"/>
    <w:uiPriority w:val="99"/>
    <w:rsid w:val="0066695E"/>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66695E"/>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66695E"/>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66695E"/>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66695E"/>
    <w:pPr>
      <w:widowControl w:val="0"/>
      <w:autoSpaceDE w:val="0"/>
      <w:autoSpaceDN w:val="0"/>
      <w:adjustRightInd w:val="0"/>
    </w:pPr>
    <w:rPr>
      <w:rFonts w:ascii="Verdana" w:eastAsiaTheme="minorEastAsia" w:hAnsi="Verdana" w:cs="Arial"/>
      <w:color w:val="000000"/>
      <w:sz w:val="24"/>
      <w:szCs w:val="24"/>
      <w:lang w:val="da-DK"/>
    </w:rPr>
  </w:style>
  <w:style w:type="paragraph" w:customStyle="1" w:styleId="CM1">
    <w:name w:val="CM1"/>
    <w:basedOn w:val="Default"/>
    <w:next w:val="Default"/>
    <w:uiPriority w:val="99"/>
    <w:rsid w:val="0066695E"/>
    <w:rPr>
      <w:rFonts w:ascii="Times New Roman" w:hAnsi="Times New Roman" w:cs="Times New Roman"/>
      <w:color w:val="auto"/>
    </w:rPr>
  </w:style>
  <w:style w:type="paragraph" w:customStyle="1" w:styleId="CM3">
    <w:name w:val="CM3"/>
    <w:basedOn w:val="Default"/>
    <w:next w:val="Default"/>
    <w:uiPriority w:val="99"/>
    <w:rsid w:val="0066695E"/>
    <w:rPr>
      <w:rFonts w:ascii="Times New Roman" w:hAnsi="Times New Roman" w:cs="Times New Roman"/>
      <w:color w:val="auto"/>
    </w:rPr>
  </w:style>
  <w:style w:type="paragraph" w:styleId="Caption">
    <w:name w:val="caption"/>
    <w:basedOn w:val="Normal"/>
    <w:next w:val="Normal"/>
    <w:uiPriority w:val="35"/>
    <w:qFormat/>
    <w:rsid w:val="0066695E"/>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66695E"/>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66695E"/>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66695E"/>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66695E"/>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66695E"/>
    <w:rPr>
      <w:rFonts w:ascii="Times New Roman" w:hAnsi="Times New Roman" w:cs="Times New Roman"/>
      <w:color w:val="auto"/>
    </w:rPr>
  </w:style>
  <w:style w:type="character" w:styleId="Strong">
    <w:name w:val="Strong"/>
    <w:basedOn w:val="DefaultParagraphFont"/>
    <w:uiPriority w:val="22"/>
    <w:qFormat/>
    <w:rsid w:val="0066695E"/>
    <w:rPr>
      <w:b/>
    </w:rPr>
  </w:style>
  <w:style w:type="character" w:customStyle="1" w:styleId="outputecli">
    <w:name w:val="outputecli"/>
    <w:basedOn w:val="DefaultParagraphFont"/>
    <w:rsid w:val="0066695E"/>
  </w:style>
  <w:style w:type="paragraph" w:customStyle="1" w:styleId="Num">
    <w:name w:val="Num"/>
    <w:basedOn w:val="Normal"/>
    <w:rsid w:val="0066695E"/>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66695E"/>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66695E"/>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66695E"/>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66695E"/>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66695E"/>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66695E"/>
  </w:style>
  <w:style w:type="paragraph" w:customStyle="1" w:styleId="ChapterTI">
    <w:name w:val="Chapter TI"/>
    <w:basedOn w:val="Normal"/>
    <w:rsid w:val="0066695E"/>
    <w:pPr>
      <w:autoSpaceDE w:val="0"/>
      <w:autoSpaceDN w:val="0"/>
      <w:adjustRightInd w:val="0"/>
      <w:spacing w:before="120" w:after="120"/>
      <w:jc w:val="both"/>
    </w:pPr>
    <w:rPr>
      <w:rFonts w:eastAsiaTheme="minorEastAsia"/>
      <w:szCs w:val="22"/>
    </w:rPr>
  </w:style>
  <w:style w:type="paragraph" w:customStyle="1" w:styleId="Point">
    <w:name w:val="Point"/>
    <w:basedOn w:val="Normal"/>
    <w:rsid w:val="0066695E"/>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66695E"/>
    <w:pPr>
      <w:spacing w:line="240" w:lineRule="auto"/>
      <w:ind w:left="850"/>
      <w:jc w:val="both"/>
    </w:pPr>
  </w:style>
  <w:style w:type="paragraph" w:customStyle="1" w:styleId="Opoint1">
    <w:name w:val="Opoint 1"/>
    <w:basedOn w:val="Point0letter"/>
    <w:rsid w:val="0066695E"/>
    <w:pPr>
      <w:numPr>
        <w:ilvl w:val="0"/>
        <w:numId w:val="0"/>
      </w:numPr>
      <w:ind w:left="850" w:hanging="850"/>
    </w:pPr>
  </w:style>
  <w:style w:type="paragraph" w:customStyle="1" w:styleId="Part">
    <w:name w:val="Part"/>
    <w:basedOn w:val="Point2number"/>
    <w:rsid w:val="0066695E"/>
    <w:pPr>
      <w:tabs>
        <w:tab w:val="left" w:pos="1984"/>
      </w:tabs>
      <w:ind w:left="1984"/>
    </w:pPr>
  </w:style>
  <w:style w:type="paragraph" w:customStyle="1" w:styleId="Chapter">
    <w:name w:val="Chapter"/>
    <w:basedOn w:val="Point2number"/>
    <w:rsid w:val="0066695E"/>
    <w:pPr>
      <w:tabs>
        <w:tab w:val="left" w:pos="1984"/>
      </w:tabs>
      <w:ind w:left="1984"/>
    </w:pPr>
  </w:style>
  <w:style w:type="paragraph" w:customStyle="1" w:styleId="a">
    <w:name w:val="#"/>
    <w:basedOn w:val="Point0letter"/>
    <w:rsid w:val="0066695E"/>
    <w:pPr>
      <w:numPr>
        <w:ilvl w:val="0"/>
        <w:numId w:val="0"/>
      </w:numPr>
      <w:ind w:left="960" w:hanging="850"/>
    </w:pPr>
  </w:style>
  <w:style w:type="paragraph" w:customStyle="1" w:styleId="Article">
    <w:name w:val="Article"/>
    <w:basedOn w:val="Point0letter"/>
    <w:rsid w:val="0066695E"/>
    <w:pPr>
      <w:numPr>
        <w:ilvl w:val="0"/>
        <w:numId w:val="0"/>
      </w:numPr>
      <w:ind w:left="850" w:hanging="850"/>
    </w:pPr>
  </w:style>
  <w:style w:type="paragraph" w:customStyle="1" w:styleId="Parnum">
    <w:name w:val="Parnum"/>
    <w:basedOn w:val="Text1"/>
    <w:rsid w:val="0066695E"/>
    <w:pPr>
      <w:spacing w:line="240" w:lineRule="auto"/>
      <w:ind w:left="850"/>
      <w:jc w:val="both"/>
    </w:pPr>
  </w:style>
  <w:style w:type="paragraph" w:customStyle="1" w:styleId="PointLETT">
    <w:name w:val="Point = LETT"/>
    <w:basedOn w:val="NumPar1"/>
    <w:rsid w:val="0066695E"/>
    <w:pPr>
      <w:tabs>
        <w:tab w:val="left" w:pos="850"/>
      </w:tabs>
      <w:ind w:left="850" w:hanging="850"/>
    </w:pPr>
  </w:style>
  <w:style w:type="paragraph" w:customStyle="1" w:styleId="ChapterTItre">
    <w:name w:val="Chapter TItre"/>
    <w:basedOn w:val="Point2number"/>
    <w:rsid w:val="0066695E"/>
    <w:pPr>
      <w:tabs>
        <w:tab w:val="left" w:pos="1984"/>
      </w:tabs>
      <w:ind w:left="1984"/>
    </w:pPr>
  </w:style>
  <w:style w:type="paragraph" w:customStyle="1" w:styleId="PointL">
    <w:name w:val="Point L"/>
    <w:basedOn w:val="NumPar1"/>
    <w:rsid w:val="0066695E"/>
    <w:pPr>
      <w:tabs>
        <w:tab w:val="left" w:pos="850"/>
      </w:tabs>
      <w:ind w:left="850" w:hanging="850"/>
    </w:pPr>
  </w:style>
  <w:style w:type="paragraph" w:customStyle="1" w:styleId="Titr">
    <w:name w:val="Titr"/>
    <w:basedOn w:val="NumPar1"/>
    <w:rsid w:val="0066695E"/>
    <w:pPr>
      <w:tabs>
        <w:tab w:val="left" w:pos="850"/>
      </w:tabs>
      <w:ind w:left="850" w:hanging="850"/>
    </w:pPr>
    <w:rPr>
      <w:i/>
    </w:rPr>
  </w:style>
  <w:style w:type="paragraph" w:customStyle="1" w:styleId="Partti">
    <w:name w:val="Part ti"/>
    <w:basedOn w:val="ChapterTitle"/>
    <w:rsid w:val="0066695E"/>
  </w:style>
  <w:style w:type="paragraph" w:customStyle="1" w:styleId="TitreARTICLE0">
    <w:name w:val="TitreARTICLE"/>
    <w:basedOn w:val="ChapterTitle"/>
    <w:rsid w:val="0066695E"/>
  </w:style>
  <w:style w:type="paragraph" w:customStyle="1" w:styleId="Itre">
    <w:name w:val="Itre"/>
    <w:basedOn w:val="Normal"/>
    <w:rsid w:val="0066695E"/>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66695E"/>
    <w:pPr>
      <w:autoSpaceDE w:val="0"/>
      <w:autoSpaceDN w:val="0"/>
      <w:adjustRightInd w:val="0"/>
      <w:spacing w:before="120" w:after="120"/>
      <w:jc w:val="both"/>
    </w:pPr>
    <w:rPr>
      <w:szCs w:val="22"/>
    </w:rPr>
  </w:style>
  <w:style w:type="paragraph" w:customStyle="1" w:styleId="Titre">
    <w:name w:val="Titre+"/>
    <w:basedOn w:val="Titrearticel"/>
    <w:rsid w:val="0066695E"/>
  </w:style>
  <w:style w:type="paragraph" w:customStyle="1" w:styleId="Titl">
    <w:name w:val="Titl"/>
    <w:basedOn w:val="stitle-article-norm"/>
    <w:rsid w:val="0066695E"/>
    <w:pPr>
      <w:widowControl w:val="0"/>
      <w:autoSpaceDE w:val="0"/>
      <w:autoSpaceDN w:val="0"/>
      <w:adjustRightInd w:val="0"/>
    </w:pPr>
    <w:rPr>
      <w:rFonts w:eastAsiaTheme="minorEastAsia"/>
      <w:bCs w:val="0"/>
    </w:rPr>
  </w:style>
  <w:style w:type="paragraph" w:customStyle="1" w:styleId="Tim">
    <w:name w:val="Tim"/>
    <w:basedOn w:val="Normal"/>
    <w:rsid w:val="0066695E"/>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66695E"/>
    <w:pPr>
      <w:tabs>
        <w:tab w:val="clear" w:pos="2835"/>
        <w:tab w:val="left" w:pos="850"/>
      </w:tabs>
      <w:ind w:left="850" w:hanging="850"/>
    </w:pPr>
  </w:style>
  <w:style w:type="table" w:customStyle="1" w:styleId="TableGrid1">
    <w:name w:val="Table Grid1"/>
    <w:basedOn w:val="TableNormal"/>
    <w:next w:val="TableGrid"/>
    <w:uiPriority w:val="39"/>
    <w:rsid w:val="0066695E"/>
    <w:rPr>
      <w:rFonts w:asciiTheme="minorHAnsi" w:eastAsiaTheme="minorEastAsia" w:hAnsiTheme="minorHAnsi" w:cstheme="minorBidi"/>
      <w:sz w:val="22"/>
      <w:szCs w:val="22"/>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66695E"/>
    <w:pPr>
      <w:spacing w:line="240" w:lineRule="auto"/>
      <w:ind w:left="850"/>
      <w:jc w:val="both"/>
    </w:pPr>
  </w:style>
  <w:style w:type="paragraph" w:customStyle="1" w:styleId="Normale1">
    <w:name w:val="Normale1"/>
    <w:basedOn w:val="Normal"/>
    <w:rsid w:val="0066695E"/>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66695E"/>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66695E"/>
    <w:pPr>
      <w:tabs>
        <w:tab w:val="left" w:pos="850"/>
      </w:tabs>
      <w:ind w:left="850" w:hanging="850"/>
    </w:pPr>
  </w:style>
  <w:style w:type="paragraph" w:customStyle="1" w:styleId="Rnormal">
    <w:name w:val="Rnormal"/>
    <w:basedOn w:val="NumPar1"/>
    <w:rsid w:val="0066695E"/>
    <w:pPr>
      <w:tabs>
        <w:tab w:val="left" w:pos="850"/>
      </w:tabs>
      <w:ind w:left="850" w:hanging="850"/>
    </w:pPr>
  </w:style>
  <w:style w:type="paragraph" w:customStyle="1" w:styleId="Br">
    <w:name w:val="Br"/>
    <w:basedOn w:val="Titrearticle"/>
    <w:rsid w:val="0066695E"/>
    <w:rPr>
      <w:b/>
      <w:i w:val="0"/>
    </w:rPr>
  </w:style>
  <w:style w:type="paragraph" w:customStyle="1" w:styleId="Numpar">
    <w:name w:val="Num par"/>
    <w:basedOn w:val="Normal"/>
    <w:rsid w:val="0066695E"/>
    <w:pPr>
      <w:autoSpaceDE w:val="0"/>
      <w:autoSpaceDN w:val="0"/>
      <w:adjustRightInd w:val="0"/>
      <w:jc w:val="both"/>
    </w:pPr>
    <w:rPr>
      <w:rFonts w:eastAsiaTheme="minorEastAsia"/>
      <w:szCs w:val="22"/>
    </w:rPr>
  </w:style>
  <w:style w:type="paragraph" w:customStyle="1" w:styleId="NumPar10">
    <w:name w:val="NumPar1"/>
    <w:basedOn w:val="Normal"/>
    <w:rsid w:val="0066695E"/>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66695E"/>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66695E"/>
    <w:rPr>
      <w:color w:val="800080"/>
      <w:u w:val="single"/>
    </w:rPr>
  </w:style>
  <w:style w:type="paragraph" w:customStyle="1" w:styleId="ListDash">
    <w:name w:val="List Dash"/>
    <w:basedOn w:val="Normal"/>
    <w:rsid w:val="0066695E"/>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66695E"/>
    <w:rPr>
      <w:szCs w:val="22"/>
    </w:rPr>
  </w:style>
  <w:style w:type="paragraph" w:customStyle="1" w:styleId="ManualHeading2g1">
    <w:name w:val="Manual Heading 2g 1"/>
    <w:basedOn w:val="ManualHeading1"/>
    <w:rsid w:val="0066695E"/>
    <w:rPr>
      <w:noProof/>
    </w:rPr>
  </w:style>
  <w:style w:type="paragraph" w:styleId="TOC4">
    <w:name w:val="toc 4"/>
    <w:basedOn w:val="Normal"/>
    <w:next w:val="Normal"/>
    <w:uiPriority w:val="39"/>
    <w:rsid w:val="0066695E"/>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66695E"/>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66695E"/>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66695E"/>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66695E"/>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66695E"/>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66695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66695E"/>
    <w:pPr>
      <w:widowControl/>
      <w:spacing w:before="120" w:after="120" w:line="360" w:lineRule="auto"/>
    </w:pPr>
    <w:rPr>
      <w:rFonts w:eastAsiaTheme="minorHAnsi"/>
      <w:szCs w:val="22"/>
      <w:lang w:eastAsia="en-US"/>
    </w:rPr>
  </w:style>
  <w:style w:type="paragraph" w:customStyle="1" w:styleId="pj">
    <w:name w:val="p.j."/>
    <w:basedOn w:val="Normal"/>
    <w:rsid w:val="0066695E"/>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66695E"/>
    <w:rPr>
      <w:rFonts w:ascii="Times New Roman" w:hAnsi="Times New Roman" w:cs="Times New Roman"/>
      <w:sz w:val="24"/>
      <w:lang w:val="da-DK"/>
    </w:rPr>
  </w:style>
  <w:style w:type="paragraph" w:customStyle="1" w:styleId="nbbordered">
    <w:name w:val="nb bordered"/>
    <w:basedOn w:val="Normal"/>
    <w:rsid w:val="0066695E"/>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66695E"/>
    <w:rPr>
      <w:rFonts w:ascii="Times New Roman" w:hAnsi="Times New Roman" w:cs="Times New Roman"/>
      <w:b/>
      <w:sz w:val="24"/>
      <w:lang w:val="da-DK"/>
    </w:rPr>
  </w:style>
  <w:style w:type="character" w:customStyle="1" w:styleId="HeaderCouncilChar">
    <w:name w:val="Header Council Char"/>
    <w:basedOn w:val="DefaultParagraphFont"/>
    <w:rsid w:val="0066695E"/>
    <w:rPr>
      <w:rFonts w:ascii="Times New Roman" w:hAnsi="Times New Roman" w:cs="Times New Roman"/>
      <w:sz w:val="2"/>
      <w:lang w:val="da-DK"/>
    </w:rPr>
  </w:style>
  <w:style w:type="character" w:customStyle="1" w:styleId="FooterCouncilChar">
    <w:name w:val="Footer Council Char"/>
    <w:basedOn w:val="DefaultParagraphFont"/>
    <w:rsid w:val="0066695E"/>
    <w:rPr>
      <w:rFonts w:ascii="Times New Roman" w:hAnsi="Times New Roman" w:cs="Times New Roman"/>
      <w:sz w:val="2"/>
      <w:lang w:val="da-DK"/>
    </w:rPr>
  </w:style>
  <w:style w:type="paragraph" w:customStyle="1" w:styleId="DeltaViewTableHeading">
    <w:name w:val="DeltaView Table Heading"/>
    <w:basedOn w:val="Normal"/>
    <w:uiPriority w:val="99"/>
    <w:rsid w:val="0066695E"/>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66695E"/>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66695E"/>
    <w:pPr>
      <w:autoSpaceDE w:val="0"/>
      <w:autoSpaceDN w:val="0"/>
      <w:adjustRightInd w:val="0"/>
      <w:spacing w:before="100" w:beforeAutospacing="1" w:after="100" w:afterAutospacing="1"/>
    </w:pPr>
    <w:rPr>
      <w:rFonts w:ascii="Arial" w:eastAsiaTheme="minorEastAsia" w:hAnsi="Arial" w:cs="Calibri"/>
      <w:sz w:val="24"/>
      <w:szCs w:val="24"/>
      <w:lang w:val="da-DK"/>
    </w:rPr>
  </w:style>
  <w:style w:type="paragraph" w:styleId="BodyText">
    <w:name w:val="Body Text"/>
    <w:basedOn w:val="Normal"/>
    <w:link w:val="BodyTextChar"/>
    <w:uiPriority w:val="99"/>
    <w:rsid w:val="0066695E"/>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66695E"/>
    <w:rPr>
      <w:rFonts w:ascii="Calibri" w:eastAsiaTheme="minorEastAsia" w:hAnsi="Calibri" w:cs="Calibri"/>
      <w:sz w:val="18"/>
      <w:szCs w:val="24"/>
      <w:lang w:val="da-DK"/>
    </w:rPr>
  </w:style>
  <w:style w:type="character" w:customStyle="1" w:styleId="DeltaViewInsertion">
    <w:name w:val="DeltaView Insertion"/>
    <w:uiPriority w:val="99"/>
    <w:rsid w:val="0066695E"/>
    <w:rPr>
      <w:b/>
      <w:i/>
      <w:color w:val="000000"/>
    </w:rPr>
  </w:style>
  <w:style w:type="character" w:customStyle="1" w:styleId="DeltaViewDeletion">
    <w:name w:val="DeltaView Deletion"/>
    <w:uiPriority w:val="99"/>
    <w:rsid w:val="0066695E"/>
    <w:rPr>
      <w:strike/>
      <w:color w:val="000000"/>
    </w:rPr>
  </w:style>
  <w:style w:type="character" w:customStyle="1" w:styleId="DeltaViewMoveSource">
    <w:name w:val="DeltaView Move Source"/>
    <w:uiPriority w:val="99"/>
    <w:rsid w:val="0066695E"/>
    <w:rPr>
      <w:strike/>
      <w:color w:val="000000"/>
    </w:rPr>
  </w:style>
  <w:style w:type="character" w:customStyle="1" w:styleId="DeltaViewMoveDestination">
    <w:name w:val="DeltaView Move Destination"/>
    <w:uiPriority w:val="99"/>
    <w:rsid w:val="0066695E"/>
    <w:rPr>
      <w:color w:val="000000"/>
      <w:u w:val="double"/>
    </w:rPr>
  </w:style>
  <w:style w:type="character" w:customStyle="1" w:styleId="DeltaViewChangeNumber">
    <w:name w:val="DeltaView Change Number"/>
    <w:uiPriority w:val="99"/>
    <w:rsid w:val="0066695E"/>
    <w:rPr>
      <w:color w:val="000000"/>
      <w:vertAlign w:val="superscript"/>
    </w:rPr>
  </w:style>
  <w:style w:type="character" w:customStyle="1" w:styleId="DeltaViewDelimiter">
    <w:name w:val="DeltaView Delimiter"/>
    <w:uiPriority w:val="99"/>
    <w:rsid w:val="0066695E"/>
  </w:style>
  <w:style w:type="paragraph" w:styleId="DocumentMap">
    <w:name w:val="Document Map"/>
    <w:basedOn w:val="Normal"/>
    <w:next w:val="NormalCentered"/>
    <w:link w:val="DocumentMapChar"/>
    <w:uiPriority w:val="99"/>
    <w:rsid w:val="0066695E"/>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66695E"/>
    <w:rPr>
      <w:rFonts w:ascii="Tahoma" w:eastAsiaTheme="minorEastAsia" w:hAnsi="Tahoma" w:cs="Calibri"/>
      <w:sz w:val="24"/>
      <w:szCs w:val="24"/>
      <w:shd w:val="clear" w:color="auto" w:fill="000080"/>
      <w:lang w:val="da-DK"/>
    </w:rPr>
  </w:style>
  <w:style w:type="character" w:customStyle="1" w:styleId="DeltaViewFormatChange">
    <w:name w:val="DeltaView Format Change"/>
    <w:uiPriority w:val="99"/>
    <w:rsid w:val="0066695E"/>
    <w:rPr>
      <w:color w:val="000000"/>
    </w:rPr>
  </w:style>
  <w:style w:type="character" w:customStyle="1" w:styleId="DeltaViewMovedDeletion">
    <w:name w:val="DeltaView Moved Deletion"/>
    <w:uiPriority w:val="99"/>
    <w:rsid w:val="0066695E"/>
    <w:rPr>
      <w:strike/>
      <w:color w:val="C08080"/>
    </w:rPr>
  </w:style>
  <w:style w:type="character" w:customStyle="1" w:styleId="DeltaViewComment">
    <w:name w:val="DeltaView Comment"/>
    <w:basedOn w:val="DefaultParagraphFont"/>
    <w:uiPriority w:val="99"/>
    <w:rsid w:val="0066695E"/>
    <w:rPr>
      <w:color w:val="000000"/>
    </w:rPr>
  </w:style>
  <w:style w:type="character" w:customStyle="1" w:styleId="DeltaViewStyleChangeText">
    <w:name w:val="DeltaView Style Change Text"/>
    <w:uiPriority w:val="99"/>
    <w:rsid w:val="0066695E"/>
    <w:rPr>
      <w:color w:val="000000"/>
      <w:u w:val="double"/>
    </w:rPr>
  </w:style>
  <w:style w:type="character" w:customStyle="1" w:styleId="DeltaViewStyleChangeLabel">
    <w:name w:val="DeltaView Style Change Label"/>
    <w:uiPriority w:val="99"/>
    <w:rsid w:val="0066695E"/>
    <w:rPr>
      <w:color w:val="000000"/>
    </w:rPr>
  </w:style>
  <w:style w:type="character" w:customStyle="1" w:styleId="DeltaViewInsertedComment">
    <w:name w:val="DeltaView Inserted Comment"/>
    <w:basedOn w:val="DeltaViewComment"/>
    <w:uiPriority w:val="99"/>
    <w:rsid w:val="0066695E"/>
    <w:rPr>
      <w:color w:val="0000FF"/>
      <w:u w:val="double"/>
    </w:rPr>
  </w:style>
  <w:style w:type="character" w:customStyle="1" w:styleId="DeltaViewDeletedComment">
    <w:name w:val="DeltaView Deleted Comment"/>
    <w:basedOn w:val="DeltaViewComment"/>
    <w:uiPriority w:val="99"/>
    <w:rsid w:val="0066695E"/>
    <w:rPr>
      <w:strike/>
      <w:color w:val="FF0000"/>
    </w:rPr>
  </w:style>
  <w:style w:type="paragraph" w:customStyle="1" w:styleId="CharChar">
    <w:name w:val="Char Char"/>
    <w:basedOn w:val="Normal"/>
    <w:rsid w:val="0066695E"/>
    <w:pPr>
      <w:widowControl/>
    </w:pPr>
    <w:rPr>
      <w:szCs w:val="24"/>
      <w:lang w:eastAsia="pl-PL"/>
    </w:rPr>
  </w:style>
  <w:style w:type="character" w:styleId="Emphasis">
    <w:name w:val="Emphasis"/>
    <w:basedOn w:val="DefaultParagraphFont"/>
    <w:uiPriority w:val="20"/>
    <w:qFormat/>
    <w:rsid w:val="0066695E"/>
    <w:rPr>
      <w:i/>
      <w:iCs/>
    </w:rPr>
  </w:style>
  <w:style w:type="paragraph" w:customStyle="1" w:styleId="Normal12a">
    <w:name w:val="Normal12a"/>
    <w:basedOn w:val="Normal"/>
    <w:rsid w:val="00C91EAD"/>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FF76-CFEA-4642-BC21-B56A2EB9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1408</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BENDIXEN Majbritt</cp:lastModifiedBy>
  <cp:revision>2</cp:revision>
  <cp:lastPrinted>2004-11-19T15:42:00Z</cp:lastPrinted>
  <dcterms:created xsi:type="dcterms:W3CDTF">2022-02-02T10:14:00Z</dcterms:created>
  <dcterms:modified xsi:type="dcterms:W3CDTF">2022-02-02T10:14:00Z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P9_TA(2021)0458_</vt:lpwstr>
  </property>
  <property fmtid="{D5CDD505-2E9C-101B-9397-08002B2CF9AE}" pid="4" name="&lt;Type&gt;">
    <vt:lpwstr>RR</vt:lpwstr>
  </property>
</Properties>
</file>