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71EB1" w14:paraId="348E5F26" w14:textId="77777777" w:rsidTr="0010095E">
        <w:trPr>
          <w:trHeight w:hRule="exact" w:val="1418"/>
        </w:trPr>
        <w:tc>
          <w:tcPr>
            <w:tcW w:w="6804" w:type="dxa"/>
            <w:shd w:val="clear" w:color="auto" w:fill="auto"/>
            <w:vAlign w:val="center"/>
          </w:tcPr>
          <w:p w14:paraId="380192AE" w14:textId="77777777" w:rsidR="00751A4A" w:rsidRPr="00D71EB1" w:rsidRDefault="005D1F6B" w:rsidP="0010095E">
            <w:pPr>
              <w:pStyle w:val="EPName"/>
            </w:pPr>
            <w:r w:rsidRPr="00D71EB1">
              <w:t>Evropski parlament</w:t>
            </w:r>
          </w:p>
          <w:p w14:paraId="2F64E272" w14:textId="77777777" w:rsidR="00751A4A" w:rsidRPr="00D71EB1" w:rsidRDefault="00817416" w:rsidP="00756632">
            <w:pPr>
              <w:pStyle w:val="EPTerm"/>
              <w:rPr>
                <w:rStyle w:val="HideTWBExt"/>
                <w:noProof w:val="0"/>
                <w:vanish w:val="0"/>
                <w:color w:val="auto"/>
              </w:rPr>
            </w:pPr>
            <w:r w:rsidRPr="00D71EB1">
              <w:t>2019-2024</w:t>
            </w:r>
          </w:p>
        </w:tc>
        <w:tc>
          <w:tcPr>
            <w:tcW w:w="2268" w:type="dxa"/>
            <w:shd w:val="clear" w:color="auto" w:fill="auto"/>
          </w:tcPr>
          <w:p w14:paraId="4C5002F5" w14:textId="77777777" w:rsidR="00751A4A" w:rsidRPr="00D71EB1" w:rsidRDefault="00187494" w:rsidP="0010095E">
            <w:pPr>
              <w:pStyle w:val="EPLogo"/>
            </w:pPr>
            <w:r w:rsidRPr="00D71EB1">
              <w:rPr>
                <w:noProof/>
                <w:lang w:val="en-GB"/>
              </w:rPr>
              <w:drawing>
                <wp:inline distT="0" distB="0" distL="0" distR="0" wp14:anchorId="3E8CE3E6" wp14:editId="3E0FBBF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4E50F18" w14:textId="77777777" w:rsidR="00D058B8" w:rsidRPr="00D71EB1" w:rsidRDefault="00D058B8" w:rsidP="004C5D52">
      <w:pPr>
        <w:pStyle w:val="LineTop"/>
      </w:pPr>
    </w:p>
    <w:p w14:paraId="7280E0D6" w14:textId="77777777" w:rsidR="00680577" w:rsidRPr="00D71EB1" w:rsidRDefault="005D1F6B" w:rsidP="00680577">
      <w:pPr>
        <w:pStyle w:val="EPBodyTA1"/>
      </w:pPr>
      <w:r w:rsidRPr="00D71EB1">
        <w:t>SPREJETA BESEDILA</w:t>
      </w:r>
    </w:p>
    <w:p w14:paraId="553E58C5" w14:textId="77777777" w:rsidR="00D058B8" w:rsidRPr="00D71EB1" w:rsidRDefault="00D058B8" w:rsidP="00D058B8">
      <w:pPr>
        <w:pStyle w:val="LineBottom"/>
      </w:pPr>
    </w:p>
    <w:p w14:paraId="53E04E1D" w14:textId="2A1252C7" w:rsidR="005D1F6B" w:rsidRPr="008A3364" w:rsidRDefault="005D1F6B" w:rsidP="008A3364">
      <w:pPr>
        <w:pStyle w:val="ATHeading1"/>
      </w:pPr>
      <w:bookmarkStart w:id="0" w:name="TANumber"/>
      <w:r w:rsidRPr="00D71EB1">
        <w:t>P9_TA(2021)0</w:t>
      </w:r>
      <w:bookmarkEnd w:id="0"/>
      <w:r w:rsidR="008A3364">
        <w:t>458</w:t>
      </w:r>
    </w:p>
    <w:p w14:paraId="5F21927D" w14:textId="0586A38C" w:rsidR="005D1F6B" w:rsidRPr="00D71EB1" w:rsidRDefault="004E0443" w:rsidP="00BB6C47">
      <w:pPr>
        <w:pStyle w:val="ATHeading2"/>
      </w:pPr>
      <w:bookmarkStart w:id="1" w:name="title"/>
      <w:r w:rsidRPr="004E0443">
        <w:t>Skupna kmetijska politika – sprememba uredbe o skupni ureditvi trgov kmetijskih proizvodov in drugih</w:t>
      </w:r>
      <w:r>
        <w:t xml:space="preserve"> </w:t>
      </w:r>
      <w:r w:rsidR="00BB6C47">
        <w:t>uredb</w:t>
      </w:r>
      <w:bookmarkStart w:id="2" w:name="Etoiles"/>
      <w:bookmarkEnd w:id="1"/>
      <w:r w:rsidR="006F1335">
        <w:t xml:space="preserve"> </w:t>
      </w:r>
      <w:r w:rsidR="005D1F6B" w:rsidRPr="00D71EB1">
        <w:t>***I</w:t>
      </w:r>
      <w:bookmarkEnd w:id="2"/>
    </w:p>
    <w:p w14:paraId="25FDAB17" w14:textId="77777777" w:rsidR="005D1F6B" w:rsidRPr="00D71EB1" w:rsidRDefault="005D1F6B" w:rsidP="005D1F6B">
      <w:pPr>
        <w:rPr>
          <w:i/>
          <w:vanish/>
        </w:rPr>
      </w:pPr>
      <w:r w:rsidRPr="00D71EB1">
        <w:rPr>
          <w:i/>
        </w:rPr>
        <w:fldChar w:fldCharType="begin"/>
      </w:r>
      <w:r w:rsidRPr="00D71EB1">
        <w:rPr>
          <w:i/>
        </w:rPr>
        <w:instrText xml:space="preserve"> TC"(</w:instrText>
      </w:r>
      <w:bookmarkStart w:id="3" w:name="DocNumber"/>
      <w:r w:rsidRPr="00D71EB1">
        <w:rPr>
          <w:i/>
        </w:rPr>
        <w:instrText>A8-0198/2019</w:instrText>
      </w:r>
      <w:bookmarkEnd w:id="3"/>
      <w:r w:rsidRPr="00D71EB1">
        <w:rPr>
          <w:i/>
        </w:rPr>
        <w:instrText xml:space="preserve"> - Poročevalec: Eric Andrieu)"\l3 \n&gt; \* MERGEFORMAT </w:instrText>
      </w:r>
      <w:r w:rsidRPr="00D71EB1">
        <w:rPr>
          <w:i/>
        </w:rPr>
        <w:fldChar w:fldCharType="end"/>
      </w:r>
    </w:p>
    <w:p w14:paraId="0F99577E" w14:textId="77777777" w:rsidR="005D1F6B" w:rsidRPr="00D71EB1" w:rsidRDefault="005D1F6B" w:rsidP="005D1F6B">
      <w:pPr>
        <w:rPr>
          <w:vanish/>
        </w:rPr>
      </w:pPr>
      <w:bookmarkStart w:id="4" w:name="Commission"/>
      <w:r w:rsidRPr="00D71EB1">
        <w:rPr>
          <w:vanish/>
        </w:rPr>
        <w:t>Odbor za kmetijstvo in razvoj podeželja</w:t>
      </w:r>
      <w:bookmarkEnd w:id="4"/>
    </w:p>
    <w:p w14:paraId="08BE30DA" w14:textId="77777777" w:rsidR="005D1F6B" w:rsidRPr="00D71EB1" w:rsidRDefault="005D1F6B" w:rsidP="005D1F6B">
      <w:pPr>
        <w:rPr>
          <w:vanish/>
        </w:rPr>
      </w:pPr>
      <w:bookmarkStart w:id="5" w:name="PE"/>
      <w:r w:rsidRPr="00D71EB1">
        <w:rPr>
          <w:vanish/>
        </w:rPr>
        <w:t>PE623.922</w:t>
      </w:r>
      <w:bookmarkEnd w:id="5"/>
    </w:p>
    <w:p w14:paraId="0364D7E4" w14:textId="6514D4A0" w:rsidR="005D1F6B" w:rsidRPr="00D71EB1" w:rsidRDefault="005D1F6B" w:rsidP="005D1F6B">
      <w:pPr>
        <w:pStyle w:val="ATHeading3"/>
      </w:pPr>
      <w:bookmarkStart w:id="6" w:name="Sujet"/>
      <w:r w:rsidRPr="00D71EB1">
        <w:t xml:space="preserve">Zakonodajna resolucija Evropskega parlamenta z dne </w:t>
      </w:r>
      <w:r w:rsidR="004E0443">
        <w:t xml:space="preserve">23. </w:t>
      </w:r>
      <w:r w:rsidR="00E4100F">
        <w:t>novembra</w:t>
      </w:r>
      <w:r w:rsidRPr="00D71EB1">
        <w:t xml:space="preserve"> 2021 predlog uredbe Evropskega parlamenta in Sveta </w:t>
      </w:r>
      <w:r w:rsidR="00F0404A" w:rsidRPr="00F0404A">
        <w:t>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(EU) št. 228/2013 o posebnih ukrepih za kmetijstvo v najbolj oddaljenih regijah Unije in (EU) št. 229/2013 o posebnih ukrepih za kmetijstvo v korist manjših egejskih otokov</w:t>
      </w:r>
      <w:bookmarkStart w:id="7" w:name="References"/>
      <w:bookmarkEnd w:id="6"/>
      <w:r w:rsidR="00F0404A">
        <w:t xml:space="preserve"> </w:t>
      </w:r>
      <w:r w:rsidRPr="00D71EB1">
        <w:t>(COM(2018)0394 – C8-0246/2018 – 2018/0218(COD))</w:t>
      </w:r>
      <w:bookmarkEnd w:id="7"/>
    </w:p>
    <w:p w14:paraId="4EBAFE40" w14:textId="77777777" w:rsidR="005D1F6B" w:rsidRPr="00D71EB1" w:rsidRDefault="005D1F6B" w:rsidP="005D1F6B"/>
    <w:p w14:paraId="76B8AE78" w14:textId="77777777" w:rsidR="0007630C" w:rsidRPr="00D71EB1" w:rsidRDefault="0007630C" w:rsidP="0007630C">
      <w:pPr>
        <w:pStyle w:val="Normal12Bold"/>
      </w:pPr>
      <w:bookmarkStart w:id="8" w:name="TextBodyBegin"/>
      <w:bookmarkEnd w:id="8"/>
      <w:r w:rsidRPr="00D71EB1">
        <w:t>(Redni zakonodajni postopek: prva obravnava)</w:t>
      </w:r>
    </w:p>
    <w:p w14:paraId="260A2DE7" w14:textId="77777777" w:rsidR="0007630C" w:rsidRPr="00D71EB1" w:rsidRDefault="0007630C" w:rsidP="0007630C">
      <w:pPr>
        <w:pStyle w:val="Normal12"/>
      </w:pPr>
      <w:r w:rsidRPr="00D71EB1">
        <w:rPr>
          <w:i/>
        </w:rPr>
        <w:t>Evropski parlament</w:t>
      </w:r>
      <w:r w:rsidRPr="00D71EB1">
        <w:t>,</w:t>
      </w:r>
    </w:p>
    <w:p w14:paraId="6F8FB794" w14:textId="77777777" w:rsidR="0007630C" w:rsidRPr="00D71EB1" w:rsidRDefault="0007630C" w:rsidP="0007630C">
      <w:pPr>
        <w:pStyle w:val="Normal12Hanging"/>
      </w:pPr>
      <w:r w:rsidRPr="00D71EB1">
        <w:t>–</w:t>
      </w:r>
      <w:r w:rsidRPr="00D71EB1">
        <w:tab/>
        <w:t>ob upoštevanju predloga Komisije Evropskemu parlamentu in Svetu (COM(2018)0394),</w:t>
      </w:r>
    </w:p>
    <w:p w14:paraId="77829F99" w14:textId="3840119C" w:rsidR="0007630C" w:rsidRPr="00D71EB1" w:rsidRDefault="0007630C" w:rsidP="0007630C">
      <w:pPr>
        <w:pStyle w:val="Normal12Hanging"/>
      </w:pPr>
      <w:r w:rsidRPr="00D71EB1">
        <w:t>–</w:t>
      </w:r>
      <w:r w:rsidRPr="00D71EB1">
        <w:tab/>
        <w:t>ob upo</w:t>
      </w:r>
      <w:r w:rsidR="00F24CE1">
        <w:t xml:space="preserve">števanju člena 294(2) ter </w:t>
      </w:r>
      <w:r w:rsidR="00F24CE1" w:rsidRPr="00F24CE1">
        <w:t>člena 43(2), člena 114, člena 118, prvi odstavek, in člena 349</w:t>
      </w:r>
      <w:r w:rsidRPr="00D71EB1">
        <w:t xml:space="preserve"> Pogodbe o delovanju Evropske unije, na podlagi katerih je Komisija podala predlog Parlamentu (C8-0246/2018),</w:t>
      </w:r>
    </w:p>
    <w:p w14:paraId="6931B414" w14:textId="77777777" w:rsidR="0007630C" w:rsidRPr="00D71EB1" w:rsidRDefault="0007630C" w:rsidP="0007630C">
      <w:pPr>
        <w:pStyle w:val="Normal12Hanging"/>
      </w:pPr>
      <w:r w:rsidRPr="00D71EB1">
        <w:t>–</w:t>
      </w:r>
      <w:r w:rsidRPr="00D71EB1">
        <w:tab/>
        <w:t>ob upoštevanju člena 294(3) Pogodbe o delovanju Evropske unije,</w:t>
      </w:r>
    </w:p>
    <w:p w14:paraId="32D65B14" w14:textId="77777777" w:rsidR="0007630C" w:rsidRPr="00D71EB1" w:rsidRDefault="0007630C" w:rsidP="0007630C">
      <w:pPr>
        <w:pStyle w:val="Normal12Hanging"/>
      </w:pPr>
      <w:r w:rsidRPr="00D71EB1">
        <w:t>–</w:t>
      </w:r>
      <w:r w:rsidRPr="00D71EB1">
        <w:tab/>
        <w:t>ob upoštevanju mnenja Evropskega ekonomsko-socialnega odbora z dne 17. oktobra 2018</w:t>
      </w:r>
      <w:r w:rsidRPr="00D71EB1">
        <w:rPr>
          <w:rStyle w:val="FootnoteReference"/>
        </w:rPr>
        <w:footnoteReference w:id="1"/>
      </w:r>
      <w:r w:rsidRPr="00D71EB1">
        <w:t>,</w:t>
      </w:r>
    </w:p>
    <w:p w14:paraId="6470D2C0" w14:textId="77777777" w:rsidR="0007630C" w:rsidRPr="00D71EB1" w:rsidRDefault="0007630C" w:rsidP="0007630C">
      <w:pPr>
        <w:pStyle w:val="Normal12Hanging"/>
      </w:pPr>
      <w:r w:rsidRPr="00D71EB1">
        <w:t>–</w:t>
      </w:r>
      <w:r w:rsidRPr="00D71EB1">
        <w:tab/>
        <w:t>ob upoštevanju mnenja Odbora regij z dne 5. decembra 2018</w:t>
      </w:r>
      <w:r w:rsidRPr="00D71EB1">
        <w:rPr>
          <w:rStyle w:val="FootnoteReference"/>
        </w:rPr>
        <w:footnoteReference w:id="2"/>
      </w:r>
      <w:r w:rsidRPr="00D71EB1">
        <w:t>,</w:t>
      </w:r>
    </w:p>
    <w:p w14:paraId="5751EA56" w14:textId="77777777" w:rsidR="004E0443" w:rsidRDefault="004E0443" w:rsidP="0007630C">
      <w:pPr>
        <w:pStyle w:val="Normal12Hanging"/>
      </w:pPr>
      <w:r>
        <w:t>–</w:t>
      </w:r>
      <w:r>
        <w:tab/>
      </w:r>
      <w:r w:rsidRPr="00AA0394">
        <w:rPr>
          <w:noProof/>
          <w:szCs w:val="24"/>
        </w:rPr>
        <w:t xml:space="preserve">ob upoštevanju začasnega dogovora, ki ga je odobril pristojni odbor v skladu s členom 74(4) Poslovnika, in zaveze predstavnika Sveta v pismu z dne </w:t>
      </w:r>
      <w:r>
        <w:t>23. julija 2021</w:t>
      </w:r>
      <w:r w:rsidRPr="00AA0394">
        <w:rPr>
          <w:noProof/>
          <w:szCs w:val="24"/>
        </w:rPr>
        <w:t xml:space="preserve">, da bo odobril stališče Evropskega parlamenta v skladu s členom 294(4) Pogodbe o delovanju </w:t>
      </w:r>
      <w:r w:rsidRPr="00AA0394">
        <w:rPr>
          <w:noProof/>
          <w:szCs w:val="24"/>
        </w:rPr>
        <w:lastRenderedPageBreak/>
        <w:t>Evropske unije,</w:t>
      </w:r>
      <w:r>
        <w:rPr>
          <w:noProof/>
          <w:szCs w:val="24"/>
        </w:rPr>
        <w:t xml:space="preserve"> </w:t>
      </w:r>
    </w:p>
    <w:p w14:paraId="7C97D63B" w14:textId="77777777" w:rsidR="0007630C" w:rsidRPr="00D71EB1" w:rsidRDefault="0007630C" w:rsidP="0007630C">
      <w:pPr>
        <w:pStyle w:val="Normal12Hanging"/>
      </w:pPr>
      <w:r w:rsidRPr="00D71EB1">
        <w:t>–</w:t>
      </w:r>
      <w:r w:rsidRPr="00D71EB1">
        <w:tab/>
        <w:t>ob upoštevanju člena 59 Poslovnika,</w:t>
      </w:r>
    </w:p>
    <w:p w14:paraId="68029256" w14:textId="77777777" w:rsidR="0007630C" w:rsidRPr="00D71EB1" w:rsidRDefault="0007630C" w:rsidP="0007630C">
      <w:pPr>
        <w:pStyle w:val="Normal12Hanging"/>
      </w:pPr>
      <w:r w:rsidRPr="00D71EB1">
        <w:t>–</w:t>
      </w:r>
      <w:r w:rsidRPr="00D71EB1">
        <w:tab/>
        <w:t>ob upoštevanju poročila Odbora za kmetijstvo in razvoj podeželja ter mnenj in stališč v obliki predlogov sprememb Odbora za razvoj, Odbora za proračunski nadzor, Odbora za okolje, javno zdravje in varnost hrane ter Odbora za regionalni razvoj (A8-0198/2019),</w:t>
      </w:r>
    </w:p>
    <w:p w14:paraId="45B4E5A7" w14:textId="77777777" w:rsidR="0007630C" w:rsidRPr="00D71EB1" w:rsidRDefault="0007630C" w:rsidP="0007630C">
      <w:pPr>
        <w:pStyle w:val="Normal12Hanging"/>
      </w:pPr>
      <w:r w:rsidRPr="00D71EB1">
        <w:t>1.</w:t>
      </w:r>
      <w:r w:rsidRPr="00D71EB1">
        <w:tab/>
        <w:t>sprejme stališče v prvi obravnavi, kakor je določeno v nadaljevanju</w:t>
      </w:r>
      <w:r w:rsidR="004E0443" w:rsidRPr="00FB5ECA">
        <w:rPr>
          <w:vertAlign w:val="superscript"/>
        </w:rPr>
        <w:footnoteReference w:id="3"/>
      </w:r>
      <w:r w:rsidRPr="00D71EB1">
        <w:t>;</w:t>
      </w:r>
    </w:p>
    <w:p w14:paraId="47DB0D89" w14:textId="09D82F90" w:rsidR="004E0443" w:rsidRPr="0012604B" w:rsidRDefault="004E0443" w:rsidP="00661AA0">
      <w:pPr>
        <w:pStyle w:val="Normal12Hanging"/>
        <w:widowControl/>
      </w:pPr>
      <w:r w:rsidRPr="0012604B">
        <w:t>2.</w:t>
      </w:r>
      <w:r w:rsidRPr="0012604B">
        <w:tab/>
      </w:r>
      <w:r w:rsidR="00EC5628">
        <w:t>odobri skupni izjavi</w:t>
      </w:r>
      <w:r>
        <w:t xml:space="preserve"> Parlamenta, Sveta in Komisije</w:t>
      </w:r>
      <w:r w:rsidRPr="0012604B">
        <w:t xml:space="preserve"> </w:t>
      </w:r>
      <w:r>
        <w:t xml:space="preserve">ter skupno izjavo Parlamenta in Sveta, priložene tej resoluciji, ki bodo objavljene v seriji C </w:t>
      </w:r>
      <w:r w:rsidRPr="00661AA0">
        <w:rPr>
          <w:i/>
        </w:rPr>
        <w:t>Uradnega lista Evropske unije</w:t>
      </w:r>
      <w:r w:rsidRPr="0012604B">
        <w:t>;</w:t>
      </w:r>
    </w:p>
    <w:p w14:paraId="39A320C1" w14:textId="4A187159" w:rsidR="004E0443" w:rsidRPr="006D4C62" w:rsidRDefault="004E0443" w:rsidP="00661AA0">
      <w:pPr>
        <w:pStyle w:val="Normal12Hanging"/>
        <w:widowControl/>
      </w:pPr>
      <w:r w:rsidRPr="0012604B">
        <w:t>3.</w:t>
      </w:r>
      <w:r w:rsidRPr="0012604B">
        <w:tab/>
      </w:r>
      <w:r w:rsidRPr="00EC5628">
        <w:t>se seznanja z izjavam</w:t>
      </w:r>
      <w:r w:rsidR="00EC5628" w:rsidRPr="00EC5628">
        <w:t>a</w:t>
      </w:r>
      <w:r w:rsidRPr="00EC5628">
        <w:t xml:space="preserve"> Komisije, priloženim</w:t>
      </w:r>
      <w:r w:rsidR="00EC5628" w:rsidRPr="00EC5628">
        <w:t>a</w:t>
      </w:r>
      <w:r w:rsidRPr="00EC5628">
        <w:t xml:space="preserve"> tej resoluciji, ki </w:t>
      </w:r>
      <w:r w:rsidR="00EC5628" w:rsidRPr="00661AA0">
        <w:t>bosta</w:t>
      </w:r>
      <w:r w:rsidRPr="00EC5628">
        <w:t xml:space="preserve"> objavljen</w:t>
      </w:r>
      <w:r w:rsidR="00EC5628" w:rsidRPr="00EC5628">
        <w:t>i</w:t>
      </w:r>
      <w:r w:rsidRPr="00EC5628">
        <w:t xml:space="preserve"> v seriji C </w:t>
      </w:r>
      <w:r w:rsidRPr="00EC5628">
        <w:rPr>
          <w:i/>
        </w:rPr>
        <w:t>Uradnega lista Evropske unije</w:t>
      </w:r>
      <w:r w:rsidRPr="00EC5628">
        <w:t>;</w:t>
      </w:r>
    </w:p>
    <w:p w14:paraId="422C59BD" w14:textId="4CF51FBD" w:rsidR="0007630C" w:rsidRPr="00D71EB1" w:rsidRDefault="004E0443" w:rsidP="0007630C">
      <w:pPr>
        <w:pStyle w:val="Normal12Hanging"/>
      </w:pPr>
      <w:r>
        <w:t>4</w:t>
      </w:r>
      <w:r w:rsidR="0007630C" w:rsidRPr="00D71EB1">
        <w:t>.</w:t>
      </w:r>
      <w:r w:rsidR="0007630C" w:rsidRPr="00D71EB1">
        <w:tab/>
        <w:t>poziva Komisijo, naj mu zadevo ponovno predloži, če svoj predlog nadomesti, ga bistveno spremeni ali ga namerava bistveno spremeniti;</w:t>
      </w:r>
    </w:p>
    <w:p w14:paraId="3A7B8865" w14:textId="3B1C5765" w:rsidR="004E0443" w:rsidRDefault="004E0443">
      <w:pPr>
        <w:pStyle w:val="Normal12Hanging"/>
      </w:pPr>
      <w:r>
        <w:t>5</w:t>
      </w:r>
      <w:r w:rsidR="0007630C" w:rsidRPr="00D71EB1">
        <w:t>.</w:t>
      </w:r>
      <w:r w:rsidR="0007630C" w:rsidRPr="00D71EB1">
        <w:tab/>
        <w:t>naroči svojemu predsedniku, naj stališče Parlamenta posreduje Svetu</w:t>
      </w:r>
      <w:r w:rsidR="002F7868">
        <w:t>,</w:t>
      </w:r>
      <w:r w:rsidR="0007630C" w:rsidRPr="00D71EB1">
        <w:t xml:space="preserve"> Komisiji </w:t>
      </w:r>
      <w:r w:rsidR="002F7868">
        <w:t>in</w:t>
      </w:r>
      <w:r w:rsidR="0007630C" w:rsidRPr="00D71EB1">
        <w:t xml:space="preserve"> nacionalnim parlamentom.</w:t>
      </w:r>
      <w:bookmarkStart w:id="9" w:name="TextBodyEnd"/>
      <w:bookmarkEnd w:id="9"/>
    </w:p>
    <w:p w14:paraId="302C5146" w14:textId="77777777" w:rsidR="004E0443" w:rsidRDefault="004E0443">
      <w:pPr>
        <w:widowControl/>
      </w:pPr>
      <w:r>
        <w:br w:type="page"/>
      </w:r>
    </w:p>
    <w:p w14:paraId="2F36C851" w14:textId="77777777" w:rsidR="004E0443" w:rsidRPr="00E703E6" w:rsidRDefault="004E0443" w:rsidP="004E0443">
      <w:pPr>
        <w:rPr>
          <w:b/>
        </w:rPr>
      </w:pPr>
      <w:r w:rsidRPr="00E703E6">
        <w:rPr>
          <w:b/>
        </w:rPr>
        <w:lastRenderedPageBreak/>
        <w:t>P9_TC1-COD(</w:t>
      </w:r>
      <w:r>
        <w:rPr>
          <w:b/>
        </w:rPr>
        <w:t>2018</w:t>
      </w:r>
      <w:r w:rsidRPr="00E703E6">
        <w:rPr>
          <w:b/>
        </w:rPr>
        <w:t>)</w:t>
      </w:r>
      <w:r>
        <w:rPr>
          <w:b/>
        </w:rPr>
        <w:t>0218</w:t>
      </w:r>
    </w:p>
    <w:p w14:paraId="63AF95C1" w14:textId="3A9AC8EC" w:rsidR="004E0443" w:rsidRPr="00E06D04" w:rsidRDefault="004E0443" w:rsidP="004E0443">
      <w:pPr>
        <w:spacing w:before="240" w:after="200"/>
        <w:rPr>
          <w:rFonts w:eastAsiaTheme="minorEastAsia"/>
          <w:b/>
          <w:bCs/>
          <w:szCs w:val="22"/>
        </w:rPr>
      </w:pPr>
      <w:r w:rsidRPr="00E06D04">
        <w:rPr>
          <w:b/>
        </w:rPr>
        <w:t xml:space="preserve">Stališče Evropskega parlamenta, sprejeto v prvi obravnavi dne 23. novembra 2021 z namenom sprejetja Uredbe (EU) 2021/... Evropskega parlamenta in Sveta </w:t>
      </w:r>
      <w:r w:rsidR="008554CA" w:rsidRPr="00E06D04">
        <w:rPr>
          <w:rFonts w:eastAsiaTheme="minorEastAsia"/>
          <w:b/>
          <w:bCs/>
          <w:szCs w:val="22"/>
        </w:rPr>
        <w:t>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in (EU) št. 228/2013 o posebnih ukrepih za kmetijstvo v najbolj oddaljenih regijah Unije</w:t>
      </w:r>
    </w:p>
    <w:p w14:paraId="5F1AC6FF" w14:textId="1B0509AE" w:rsidR="00E06D04" w:rsidRPr="00E703E6" w:rsidRDefault="00E06D04" w:rsidP="00E06D04">
      <w:pPr>
        <w:widowControl/>
        <w:spacing w:before="240"/>
        <w:rPr>
          <w:b/>
        </w:rPr>
      </w:pPr>
      <w:r w:rsidRPr="00AB3CD5">
        <w:rPr>
          <w:bCs/>
          <w:i/>
        </w:rPr>
        <w:t xml:space="preserve">(Ker je bil dosežen sporazum med Parlamentom in Svetom, je stališče Parlamenta enako končnemu zakonodajnemu aktu, </w:t>
      </w:r>
      <w:bookmarkStart w:id="10" w:name="_GoBack"/>
      <w:r>
        <w:rPr>
          <w:bCs/>
          <w:i/>
        </w:rPr>
        <w:t>Uredbi (EU) 2021</w:t>
      </w:r>
      <w:r w:rsidRPr="00AB3CD5">
        <w:rPr>
          <w:bCs/>
          <w:i/>
        </w:rPr>
        <w:t>/</w:t>
      </w:r>
      <w:r>
        <w:rPr>
          <w:bCs/>
          <w:i/>
        </w:rPr>
        <w:t>2117</w:t>
      </w:r>
      <w:bookmarkEnd w:id="10"/>
      <w:r w:rsidRPr="00AB3CD5">
        <w:rPr>
          <w:bCs/>
          <w:i/>
        </w:rPr>
        <w:t>.)</w:t>
      </w:r>
    </w:p>
    <w:p w14:paraId="79B99813" w14:textId="77777777" w:rsidR="00E06D04" w:rsidRDefault="00E06D04">
      <w:pPr>
        <w:widowControl/>
        <w:rPr>
          <w:szCs w:val="24"/>
        </w:rPr>
      </w:pPr>
      <w:r>
        <w:rPr>
          <w:szCs w:val="24"/>
        </w:rPr>
        <w:br w:type="page"/>
      </w:r>
    </w:p>
    <w:p w14:paraId="7F04E936" w14:textId="161333DE" w:rsidR="00F0404A" w:rsidRPr="00661AA0" w:rsidRDefault="00F0404A" w:rsidP="00661AA0">
      <w:pPr>
        <w:spacing w:before="120" w:after="120" w:line="360" w:lineRule="auto"/>
        <w:jc w:val="right"/>
        <w:rPr>
          <w:szCs w:val="24"/>
        </w:rPr>
      </w:pPr>
      <w:r w:rsidRPr="00661AA0">
        <w:rPr>
          <w:szCs w:val="24"/>
        </w:rPr>
        <w:lastRenderedPageBreak/>
        <w:t xml:space="preserve">PRILOGA K ZAKONODAJNI </w:t>
      </w:r>
      <w:r w:rsidRPr="009D720F">
        <w:rPr>
          <w:szCs w:val="24"/>
        </w:rPr>
        <w:t>RESOLUCIJI</w:t>
      </w:r>
      <w:r w:rsidR="009D720F" w:rsidRPr="00201F04">
        <w:rPr>
          <w:rStyle w:val="FootnoteReference"/>
        </w:rPr>
        <w:footnoteReference w:id="4"/>
      </w:r>
      <w:r w:rsidRPr="00661AA0">
        <w:rPr>
          <w:szCs w:val="24"/>
        </w:rPr>
        <w:t xml:space="preserve"> </w:t>
      </w:r>
    </w:p>
    <w:p w14:paraId="3B411272" w14:textId="77777777" w:rsidR="00EC5628" w:rsidRPr="00EC5628" w:rsidRDefault="00EC5628" w:rsidP="00661AA0">
      <w:pPr>
        <w:spacing w:before="120" w:after="120" w:line="360" w:lineRule="auto"/>
        <w:rPr>
          <w:b/>
        </w:rPr>
      </w:pPr>
      <w:r w:rsidRPr="00EC5628">
        <w:rPr>
          <w:b/>
        </w:rPr>
        <w:t>Skupna izjava Evropskega parlamenta, Sveta in Komisije o proaktivnem sodelovanju na večstranski ravni v zvezi z uporabo zdravstvenih in okoljskih standardov EU za uvožene kmetijske proizvode</w:t>
      </w:r>
    </w:p>
    <w:p w14:paraId="4A6D68FE" w14:textId="77777777" w:rsidR="00EC5628" w:rsidRPr="00EC5628" w:rsidRDefault="00EC5628" w:rsidP="00EC5628">
      <w:pPr>
        <w:spacing w:before="120" w:after="120" w:line="360" w:lineRule="auto"/>
      </w:pPr>
      <w:r w:rsidRPr="00EC5628">
        <w:t xml:space="preserve">Evropski parlament, Svet in Komisija priznavajo, da si je treba prizadevati za večjo skladnost med zdravstvenimi in okoljskimi standardi, ki se uporabljajo za kmetijske proizvode v Evropski uniji, in tistimi, ki se uporabljajo za uvožene kmetijske proizvode, v skladu z mednarodnimi trgovinskimi pravili. Evropska unija je te standarde že vrsto let zviševala, da bi obravnavali vprašanja trajnostnega razvoja, zlasti podnebne spremembe in izgubo biotske raznovrstnosti, ki so vprašanja na svetovni ravni, ter da bi izpolnili pričakovanja državljanov glede bolj kakovostnih in trajnostnih živil. Ta cilj se skuša doseči z evropskim zelenim dogovorom in njegovimi sektorskimi strategijami, vključno s sporočilom Komisije Strategija „od vil do vilic“, in zaradi njih se bodo dodatno zvišali standardi, ki se uporabljajo v EU, po potrebi tudi za uvožene proizvode. </w:t>
      </w:r>
    </w:p>
    <w:p w14:paraId="5B1CFBA2" w14:textId="77777777" w:rsidR="00EC5628" w:rsidRPr="00EC5628" w:rsidRDefault="00EC5628" w:rsidP="00EC5628">
      <w:pPr>
        <w:spacing w:before="120" w:after="120" w:line="360" w:lineRule="auto"/>
      </w:pPr>
      <w:r w:rsidRPr="00EC5628">
        <w:t>Evropski parlament, Svet in Komisija priznavajo, da je potrebno proaktivno sodelovanje na večstranski ravni, da bi se povečala ambicioznost mednarodnih okoljskih ciljev pri uveljavljanju in izboljševanju pravil mednarodne trgovine. Kot je navedeno v sporočilu Komisije o pregledu trgovinske politike, je tudi ustrezno, da Evropska unija v določenih okoliščinah, opredeljenih v pravilih Svetovne trgovinske organizacije, zahteva, da uvoženi kmetijski proizvodi izpolnjujejo nekatere proizvodne zahteve, da bi se zagotovila učinkovitost zdravstvenih standardov, standardov dobrobiti živali in okoljskih standardov, ki se uporabljajo za kmetijske proizvode v Evropski uniji, ter bi se prispevalo k polnemu izvajanju evropskega zelenega dogovora in sporočil o strategiji „od vil do vilic“. Glede na pomen svojega trga v mednarodni trgovini lahko Evropska unija izkoristi svoj vpliv za dvig zdravstvenih in okoljskih standardov na svetovni ravni ter tako prispeva k doseganju mednarodnih okoljskih ciljev, kot so cilji Pariškega sporazuma.</w:t>
      </w:r>
    </w:p>
    <w:p w14:paraId="01EE65E0" w14:textId="77777777" w:rsidR="00EC5628" w:rsidRPr="00EC5628" w:rsidRDefault="00EC5628" w:rsidP="00EC5628">
      <w:pPr>
        <w:spacing w:before="120" w:after="120" w:line="360" w:lineRule="auto"/>
      </w:pPr>
      <w:r w:rsidRPr="00EC5628">
        <w:lastRenderedPageBreak/>
        <w:t>Evropski parlament, Svet in Komisija pozdravljajo širši pristop iz pregleda trgovinske politike v zvezi s tem, da je pri obravnavi ključnih vprašanj, kot so strateške zaloge, potrebnega več sodelovanja na večstranski ravni, zlasti ker je hrana bistvena dobrina. Za izboljšanje svetovne prehranske varnosti je potrebno zmanjšanje nestabilnosti kmetijskih trgov z okrepljenim sodelovanjem na večstranski ravni, ki presega zmanjšanje izkrivljanja trga, kar je nujen, vendar nezadosten dejavnik za stabilizacijo mednarodnih trgov.</w:t>
      </w:r>
    </w:p>
    <w:p w14:paraId="785D46F9" w14:textId="77777777" w:rsidR="00EC5628" w:rsidRDefault="00EC5628" w:rsidP="00661AA0">
      <w:pPr>
        <w:spacing w:before="120" w:after="120" w:line="360" w:lineRule="auto"/>
        <w:rPr>
          <w:b/>
          <w:szCs w:val="24"/>
        </w:rPr>
      </w:pPr>
    </w:p>
    <w:p w14:paraId="42A4D10A" w14:textId="5854D5E9" w:rsidR="00F0404A" w:rsidRPr="00661AA0" w:rsidRDefault="00F0404A" w:rsidP="00661AA0">
      <w:pPr>
        <w:spacing w:before="120" w:after="120" w:line="360" w:lineRule="auto"/>
        <w:rPr>
          <w:b/>
          <w:bCs/>
          <w:szCs w:val="24"/>
        </w:rPr>
      </w:pPr>
      <w:r w:rsidRPr="00661AA0">
        <w:rPr>
          <w:b/>
          <w:szCs w:val="24"/>
        </w:rPr>
        <w:t xml:space="preserve">Skupna izjava Evropskega parlamenta </w:t>
      </w:r>
      <w:r w:rsidR="00EC5628">
        <w:rPr>
          <w:b/>
          <w:szCs w:val="24"/>
        </w:rPr>
        <w:t xml:space="preserve">Sveta </w:t>
      </w:r>
      <w:r w:rsidRPr="00661AA0">
        <w:rPr>
          <w:b/>
          <w:szCs w:val="24"/>
        </w:rPr>
        <w:t xml:space="preserve">in </w:t>
      </w:r>
      <w:r w:rsidR="00EC5628">
        <w:rPr>
          <w:b/>
          <w:szCs w:val="24"/>
        </w:rPr>
        <w:t>K</w:t>
      </w:r>
      <w:r w:rsidR="00EC5628" w:rsidRPr="00661AA0">
        <w:rPr>
          <w:b/>
          <w:szCs w:val="24"/>
        </w:rPr>
        <w:t xml:space="preserve">omisije </w:t>
      </w:r>
      <w:r w:rsidRPr="00661AA0">
        <w:rPr>
          <w:b/>
          <w:szCs w:val="24"/>
        </w:rPr>
        <w:t xml:space="preserve">v zvezi z določbami o skupni ureditvi trgov za sladkorni sektor EU </w:t>
      </w:r>
    </w:p>
    <w:p w14:paraId="035429B5" w14:textId="7AFA85DE" w:rsidR="00F0404A" w:rsidRPr="00661AA0" w:rsidRDefault="00F0404A" w:rsidP="00661AA0">
      <w:pPr>
        <w:spacing w:before="120" w:after="120" w:line="360" w:lineRule="auto"/>
        <w:rPr>
          <w:szCs w:val="24"/>
        </w:rPr>
      </w:pPr>
      <w:r w:rsidRPr="00661AA0">
        <w:rPr>
          <w:szCs w:val="24"/>
        </w:rPr>
        <w:t>Evropski parlament</w:t>
      </w:r>
      <w:r w:rsidR="00EC5628">
        <w:rPr>
          <w:szCs w:val="24"/>
        </w:rPr>
        <w:t>,</w:t>
      </w:r>
      <w:r w:rsidRPr="00661AA0">
        <w:rPr>
          <w:szCs w:val="24"/>
        </w:rPr>
        <w:t xml:space="preserve"> </w:t>
      </w:r>
      <w:r w:rsidR="00EC5628" w:rsidRPr="004E5F6D">
        <w:rPr>
          <w:szCs w:val="24"/>
        </w:rPr>
        <w:t>S</w:t>
      </w:r>
      <w:r w:rsidR="00EC5628">
        <w:rPr>
          <w:szCs w:val="24"/>
        </w:rPr>
        <w:t>vet</w:t>
      </w:r>
      <w:r w:rsidR="00EC5628" w:rsidRPr="004E5F6D">
        <w:rPr>
          <w:szCs w:val="24"/>
        </w:rPr>
        <w:t xml:space="preserve"> </w:t>
      </w:r>
      <w:r w:rsidRPr="00661AA0">
        <w:rPr>
          <w:szCs w:val="24"/>
        </w:rPr>
        <w:t xml:space="preserve">in </w:t>
      </w:r>
      <w:r w:rsidR="00EC5628">
        <w:rPr>
          <w:szCs w:val="24"/>
        </w:rPr>
        <w:t>K</w:t>
      </w:r>
      <w:r w:rsidRPr="00661AA0">
        <w:rPr>
          <w:szCs w:val="24"/>
        </w:rPr>
        <w:t>omisija priznavajo, da se sladkorni sektor sooča s težavami, potem ko so bile leta 2017 odpravljene kvote za sladkor. Težave se kažejo v nestabilnosti na mednarodnih trgih, stagnaciji porabe ter upadanju proizvodnje sladkorne pese in sladkorja. To povzroča zaskrbljenost v sladkornem sektorju EU.</w:t>
      </w:r>
    </w:p>
    <w:p w14:paraId="38E2197A" w14:textId="77777777" w:rsidR="00F0404A" w:rsidRPr="00661AA0" w:rsidRDefault="00F0404A" w:rsidP="00661AA0">
      <w:pPr>
        <w:spacing w:before="120" w:after="120" w:line="360" w:lineRule="auto"/>
        <w:rPr>
          <w:szCs w:val="24"/>
        </w:rPr>
      </w:pPr>
      <w:r w:rsidRPr="00661AA0">
        <w:rPr>
          <w:szCs w:val="24"/>
        </w:rPr>
        <w:t xml:space="preserve">V študiji, ki bo končana jeseni 2021, bo temeljito ocenjeno sedanje stanje v sektorju in njegove prilagoditvene strategije. V njej bodo analizirani evropski in nacionalni politični instrumenti, ki so na voljo sladkornemu sektorju, ter vloga zasebnega sektorja in javnih institucij pri odzivanju na velika tveganja, ki vplivajo na sektor, določene pa bodo tudi možne strategije za izboljšanje odpornosti evropskega sladkornega sektorja. </w:t>
      </w:r>
    </w:p>
    <w:p w14:paraId="52D8E103" w14:textId="77EE9C24" w:rsidR="00F0404A" w:rsidRPr="00661AA0" w:rsidRDefault="00EC5628" w:rsidP="00661AA0">
      <w:pPr>
        <w:spacing w:before="120" w:after="120" w:line="360" w:lineRule="auto"/>
        <w:rPr>
          <w:szCs w:val="24"/>
        </w:rPr>
      </w:pPr>
      <w:r w:rsidRPr="00E82BFF">
        <w:rPr>
          <w:szCs w:val="24"/>
        </w:rPr>
        <w:t>Evropski parlament</w:t>
      </w:r>
      <w:r>
        <w:rPr>
          <w:szCs w:val="24"/>
        </w:rPr>
        <w:t>,</w:t>
      </w:r>
      <w:r w:rsidRPr="00E82BFF">
        <w:rPr>
          <w:szCs w:val="24"/>
        </w:rPr>
        <w:t xml:space="preserve"> </w:t>
      </w:r>
      <w:r w:rsidRPr="004E5F6D">
        <w:rPr>
          <w:szCs w:val="24"/>
        </w:rPr>
        <w:t>S</w:t>
      </w:r>
      <w:r>
        <w:rPr>
          <w:szCs w:val="24"/>
        </w:rPr>
        <w:t>vet</w:t>
      </w:r>
      <w:r w:rsidRPr="004E5F6D">
        <w:rPr>
          <w:szCs w:val="24"/>
        </w:rPr>
        <w:t xml:space="preserve"> </w:t>
      </w:r>
      <w:r w:rsidRPr="00E82BFF">
        <w:rPr>
          <w:szCs w:val="24"/>
        </w:rPr>
        <w:t xml:space="preserve">in </w:t>
      </w:r>
      <w:r>
        <w:rPr>
          <w:szCs w:val="24"/>
        </w:rPr>
        <w:t>K</w:t>
      </w:r>
      <w:r w:rsidRPr="00E82BFF">
        <w:rPr>
          <w:szCs w:val="24"/>
        </w:rPr>
        <w:t xml:space="preserve">omisija </w:t>
      </w:r>
      <w:r w:rsidR="00F0404A" w:rsidRPr="00661AA0">
        <w:rPr>
          <w:szCs w:val="24"/>
        </w:rPr>
        <w:t xml:space="preserve">bodo glede na ključne ugotovitve in zaključke študije razmislili o morebitni ustrezni prihodnji politični usmeritvi. Ta bi lahko vključevala vse ustrezne regulativne in </w:t>
      </w:r>
      <w:proofErr w:type="spellStart"/>
      <w:r w:rsidR="00F0404A" w:rsidRPr="00661AA0">
        <w:rPr>
          <w:szCs w:val="24"/>
        </w:rPr>
        <w:t>neregulativne</w:t>
      </w:r>
      <w:proofErr w:type="spellEnd"/>
      <w:r w:rsidR="00F0404A" w:rsidRPr="00661AA0">
        <w:rPr>
          <w:szCs w:val="24"/>
        </w:rPr>
        <w:t xml:space="preserve"> pobude v zvezi z orodji za upravljanje trga in kriz, preglednost trga v sladkorni dobavni verigi, pogodbene odnose med pridelovalci in proizvajalci sladkorja, mednarodno trgovino in razvoj biogospodarstva. </w:t>
      </w:r>
    </w:p>
    <w:p w14:paraId="653D1311" w14:textId="77777777" w:rsidR="00F0404A" w:rsidRPr="00661AA0" w:rsidRDefault="00F0404A" w:rsidP="00661AA0">
      <w:pPr>
        <w:spacing w:before="120" w:after="120" w:line="360" w:lineRule="auto"/>
        <w:rPr>
          <w:szCs w:val="24"/>
        </w:rPr>
      </w:pPr>
    </w:p>
    <w:p w14:paraId="2761DB1A" w14:textId="77777777" w:rsidR="00EC5628" w:rsidRPr="00EC5628" w:rsidRDefault="00EC5628" w:rsidP="00661AA0">
      <w:pPr>
        <w:spacing w:before="120" w:after="120" w:line="360" w:lineRule="auto"/>
        <w:rPr>
          <w:b/>
        </w:rPr>
      </w:pPr>
      <w:r w:rsidRPr="00EC5628">
        <w:rPr>
          <w:b/>
        </w:rPr>
        <w:t>Skupna izjava Evropskega parlamenta in Sveta o uporabi zdravstvenih in okoljskih standardov EU za uvožene kmetijske proizvode</w:t>
      </w:r>
    </w:p>
    <w:p w14:paraId="701F3BED" w14:textId="77777777" w:rsidR="00EC5628" w:rsidRPr="00EC5628" w:rsidRDefault="00EC5628" w:rsidP="00EC5628">
      <w:pPr>
        <w:spacing w:before="120" w:after="120" w:line="360" w:lineRule="auto"/>
      </w:pPr>
      <w:r w:rsidRPr="00EC5628">
        <w:t xml:space="preserve">Evropski parlament in Svet pozivata Komisijo, naj najpozneje junija 2022 predstavi poročilo z oceno utemeljitve in pravne izvedljivosti uporabe zdravstvenih in okoljskih standardov EU (vključno s standardi za dobrobit živali ter postopki in proizvodnimi metodami) za uvožene kmetijske in agroživilske proizvode ter opredelitvijo konkretnih pobud za zagotovitev večje skladnosti pri njihovi uporabi v skladu s pravili Svetovne trgovinske organizacije. Poročilo bi </w:t>
      </w:r>
      <w:r w:rsidRPr="00EC5628">
        <w:lastRenderedPageBreak/>
        <w:t>moralo zajemati vsa ustrezna področja javne politike, med drugim skupno kmetijsko politiko, zdravstveno politiko in politiko za varnost hrane, okoljsko politiko in skupno trgovinsko politiko.</w:t>
      </w:r>
    </w:p>
    <w:p w14:paraId="794AD7DF" w14:textId="77777777" w:rsidR="00EC5628" w:rsidRPr="00EC5628" w:rsidRDefault="00EC5628" w:rsidP="00661AA0">
      <w:pPr>
        <w:widowControl/>
        <w:spacing w:before="120" w:after="120" w:line="360" w:lineRule="auto"/>
        <w:rPr>
          <w:rFonts w:eastAsia="Calibri"/>
          <w:szCs w:val="24"/>
          <w:lang w:eastAsia="en-US"/>
        </w:rPr>
      </w:pPr>
    </w:p>
    <w:p w14:paraId="05768369" w14:textId="77777777" w:rsidR="00EC5628" w:rsidRPr="00661AA0" w:rsidRDefault="00EC5628" w:rsidP="00661AA0">
      <w:pPr>
        <w:spacing w:before="120" w:after="120" w:line="360" w:lineRule="auto"/>
        <w:rPr>
          <w:b/>
          <w:szCs w:val="24"/>
        </w:rPr>
      </w:pPr>
      <w:r w:rsidRPr="00661AA0">
        <w:rPr>
          <w:b/>
          <w:szCs w:val="24"/>
        </w:rPr>
        <w:t xml:space="preserve">Izjava Komisije o pregledu uvoznih toleranc in mejnih vrednosti ostankov po </w:t>
      </w:r>
      <w:proofErr w:type="spellStart"/>
      <w:r w:rsidRPr="00661AA0">
        <w:rPr>
          <w:b/>
          <w:szCs w:val="24"/>
        </w:rPr>
        <w:t>Codexu</w:t>
      </w:r>
      <w:proofErr w:type="spellEnd"/>
      <w:r w:rsidRPr="00661AA0">
        <w:rPr>
          <w:b/>
          <w:szCs w:val="24"/>
        </w:rPr>
        <w:t xml:space="preserve"> (MRL)</w:t>
      </w:r>
    </w:p>
    <w:p w14:paraId="2E9BF6E3" w14:textId="77777777" w:rsidR="00EC5628" w:rsidRPr="00661AA0" w:rsidRDefault="00EC5628" w:rsidP="00661AA0">
      <w:pPr>
        <w:spacing w:before="120" w:after="120" w:line="360" w:lineRule="auto"/>
        <w:rPr>
          <w:szCs w:val="24"/>
        </w:rPr>
      </w:pPr>
      <w:r w:rsidRPr="00661AA0">
        <w:rPr>
          <w:szCs w:val="24"/>
        </w:rPr>
        <w:t xml:space="preserve">Evropska komisija bo še naprej zagotavljala, da se po temeljiti oceni znanstvenih informacij, ki so na voljo za aktivne snovi, pri postopkih iz Uredbe (ES) št. 1107/2009 ali postopkih iz Uredbe (ES) št. 396/2005 ter v skladu s pravili STO uvozne tolerance in mejne vrednosti ostankov po </w:t>
      </w:r>
      <w:proofErr w:type="spellStart"/>
      <w:r w:rsidRPr="00661AA0">
        <w:rPr>
          <w:szCs w:val="24"/>
        </w:rPr>
        <w:t>Codexu</w:t>
      </w:r>
      <w:proofErr w:type="spellEnd"/>
      <w:r w:rsidRPr="00661AA0">
        <w:rPr>
          <w:szCs w:val="24"/>
        </w:rPr>
        <w:t xml:space="preserve"> (CXL) ocenijo in pregledajo za aktivne snovi, ki niso ali niso več odobrene v EU, tako da morebitni ostanki v živilih ali krmi ne predstavljajo tveganja za potrošnike. Poleg zdravstvenih vidikov in vidikov dobre kmetijske prakse, ki se zdaj upoštevajo, bo Komisija pri ocenjevanju vlog za uvozne tolerance ali pri pregledu uvoznih toleranc za aktivne snovi, ki niso več odobrene v EU, upoštevala tudi okoljske vidike globalne narave po pravilih STO. </w:t>
      </w:r>
      <w:proofErr w:type="spellStart"/>
      <w:r w:rsidRPr="00661AA0">
        <w:rPr>
          <w:szCs w:val="24"/>
        </w:rPr>
        <w:t>Komisijina</w:t>
      </w:r>
      <w:proofErr w:type="spellEnd"/>
      <w:r w:rsidRPr="00661AA0">
        <w:rPr>
          <w:szCs w:val="24"/>
        </w:rPr>
        <w:t xml:space="preserve"> predstavitev predloga zakonodajnega okvira za trajnostne prehranske sisteme bo ključen dodatni korak k popolnemu doseganju tega cilja v skladu s cilji zelenega dogovora.</w:t>
      </w:r>
    </w:p>
    <w:p w14:paraId="7311715A" w14:textId="77777777" w:rsidR="00F0404A" w:rsidRPr="00661AA0" w:rsidRDefault="00F0404A" w:rsidP="00661AA0">
      <w:pPr>
        <w:spacing w:before="120" w:after="120" w:line="360" w:lineRule="auto"/>
        <w:rPr>
          <w:szCs w:val="24"/>
        </w:rPr>
      </w:pPr>
    </w:p>
    <w:p w14:paraId="68B038F6" w14:textId="17E91315" w:rsidR="00EC5628" w:rsidRPr="00661AA0" w:rsidRDefault="00EC5628" w:rsidP="00661AA0">
      <w:pPr>
        <w:spacing w:before="120" w:after="120" w:line="360" w:lineRule="auto"/>
        <w:rPr>
          <w:b/>
          <w:szCs w:val="24"/>
        </w:rPr>
      </w:pPr>
      <w:r w:rsidRPr="00661AA0">
        <w:rPr>
          <w:b/>
          <w:szCs w:val="24"/>
        </w:rPr>
        <w:t xml:space="preserve">Izjava Komisije o označevanju hranilne vrednosti in sestavin vina in aromatiziranih vinskih proizvodov </w:t>
      </w:r>
    </w:p>
    <w:p w14:paraId="4B862097" w14:textId="77777777" w:rsidR="00EC5628" w:rsidRPr="00661AA0" w:rsidRDefault="00EC5628" w:rsidP="00661AA0">
      <w:pPr>
        <w:spacing w:before="120" w:after="120" w:line="360" w:lineRule="auto"/>
        <w:rPr>
          <w:szCs w:val="24"/>
        </w:rPr>
      </w:pPr>
      <w:r w:rsidRPr="00661AA0">
        <w:rPr>
          <w:szCs w:val="24"/>
        </w:rPr>
        <w:t xml:space="preserve">Komisija meni, da bi morala uredba o zagotavljanju informacij o živilih potrošnikom še naprej urejati izdelke, ki vsebujejo 1,2 vol. % in manj alkohola, in si pridržuje pravico do uporabe pravnega okvira za označevanje vina pri prihodnji pobudi za označevanje vseh alkoholnih pijač iz načrta EU za boj proti raku. </w:t>
      </w:r>
    </w:p>
    <w:p w14:paraId="370DD55C" w14:textId="3F00C0C4" w:rsidR="00E365E1" w:rsidRPr="00EC5628" w:rsidRDefault="00EC5628" w:rsidP="00661AA0">
      <w:pPr>
        <w:spacing w:before="120" w:after="120" w:line="360" w:lineRule="auto"/>
        <w:rPr>
          <w:szCs w:val="24"/>
        </w:rPr>
      </w:pPr>
      <w:r w:rsidRPr="00661AA0">
        <w:rPr>
          <w:szCs w:val="24"/>
        </w:rPr>
        <w:t>Komisija tudi meni, da sedanjega kompromisa pri označevanju vin in aromatiziranih vinskih proizvodov glede seznama sestavin in označbe hranilne vrednosti ni mogoče šteti za precedens za prihodnji zakonodajni predlog in pogajanja ter si pridržuje pravico, da zahteve za označevanje vseh vin uskladi z načrtom EU za boj proti raku.</w:t>
      </w:r>
    </w:p>
    <w:sectPr w:rsidR="00E365E1" w:rsidRPr="00EC5628" w:rsidSect="00D71EB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ECB84" w14:textId="77777777" w:rsidR="009D720F" w:rsidRPr="00D71EB1" w:rsidRDefault="009D720F">
      <w:r w:rsidRPr="00D71EB1">
        <w:separator/>
      </w:r>
    </w:p>
  </w:endnote>
  <w:endnote w:type="continuationSeparator" w:id="0">
    <w:p w14:paraId="66938E8B" w14:textId="77777777" w:rsidR="009D720F" w:rsidRPr="00D71EB1" w:rsidRDefault="009D720F">
      <w:r w:rsidRPr="00D71E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B19EB" w14:textId="77777777" w:rsidR="009D720F" w:rsidRPr="00D71EB1" w:rsidRDefault="009D720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2050F" w14:textId="77777777" w:rsidR="009D720F" w:rsidRPr="00D71EB1" w:rsidRDefault="009D720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BD6CF" w14:textId="77777777" w:rsidR="009D720F" w:rsidRPr="00D71EB1" w:rsidRDefault="009D720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A68CF" w14:textId="77777777" w:rsidR="009D720F" w:rsidRPr="00D71EB1" w:rsidRDefault="009D720F">
      <w:r w:rsidRPr="00D71EB1">
        <w:separator/>
      </w:r>
    </w:p>
  </w:footnote>
  <w:footnote w:type="continuationSeparator" w:id="0">
    <w:p w14:paraId="5917D2CE" w14:textId="77777777" w:rsidR="009D720F" w:rsidRPr="00D71EB1" w:rsidRDefault="009D720F">
      <w:r w:rsidRPr="00D71EB1">
        <w:continuationSeparator/>
      </w:r>
    </w:p>
  </w:footnote>
  <w:footnote w:id="1">
    <w:p w14:paraId="2AAEEDE1" w14:textId="77777777" w:rsidR="009D720F" w:rsidRPr="009D720F" w:rsidRDefault="009D720F" w:rsidP="00661AA0">
      <w:pPr>
        <w:pStyle w:val="FootnoteText"/>
        <w:ind w:left="709" w:hanging="709"/>
        <w:rPr>
          <w:sz w:val="24"/>
          <w:szCs w:val="24"/>
          <w:lang w:val="sl-SI"/>
        </w:rPr>
      </w:pPr>
      <w:r w:rsidRPr="009D720F">
        <w:rPr>
          <w:rStyle w:val="FootnoteReference"/>
          <w:sz w:val="24"/>
          <w:szCs w:val="24"/>
          <w:lang w:val="sl-SI"/>
        </w:rPr>
        <w:footnoteRef/>
      </w:r>
      <w:r w:rsidRPr="009D720F">
        <w:rPr>
          <w:sz w:val="24"/>
          <w:szCs w:val="24"/>
          <w:lang w:val="sl-SI"/>
        </w:rPr>
        <w:t xml:space="preserve"> </w:t>
      </w:r>
      <w:r w:rsidRPr="009D720F">
        <w:rPr>
          <w:sz w:val="24"/>
          <w:szCs w:val="24"/>
          <w:lang w:val="sl-SI"/>
        </w:rPr>
        <w:tab/>
        <w:t>UL C 62, 15.2.2019, str. 214.</w:t>
      </w:r>
    </w:p>
  </w:footnote>
  <w:footnote w:id="2">
    <w:p w14:paraId="13E8AC14" w14:textId="77777777" w:rsidR="009D720F" w:rsidRPr="009D720F" w:rsidRDefault="009D720F" w:rsidP="00661AA0">
      <w:pPr>
        <w:pStyle w:val="FootnoteText"/>
        <w:ind w:left="709" w:hanging="709"/>
        <w:rPr>
          <w:sz w:val="24"/>
          <w:szCs w:val="24"/>
          <w:lang w:val="sl-SI"/>
        </w:rPr>
      </w:pPr>
      <w:r w:rsidRPr="009D720F">
        <w:rPr>
          <w:rStyle w:val="FootnoteReference"/>
          <w:sz w:val="24"/>
          <w:szCs w:val="24"/>
          <w:lang w:val="sl-SI"/>
        </w:rPr>
        <w:footnoteRef/>
      </w:r>
      <w:r w:rsidRPr="009D720F">
        <w:rPr>
          <w:sz w:val="24"/>
          <w:szCs w:val="24"/>
          <w:lang w:val="sl-SI"/>
        </w:rPr>
        <w:t xml:space="preserve"> </w:t>
      </w:r>
      <w:r w:rsidRPr="009D720F">
        <w:rPr>
          <w:sz w:val="24"/>
          <w:szCs w:val="24"/>
          <w:lang w:val="sl-SI"/>
        </w:rPr>
        <w:tab/>
        <w:t>UL C 86, 7.3.2019, str. 173.</w:t>
      </w:r>
    </w:p>
  </w:footnote>
  <w:footnote w:id="3">
    <w:p w14:paraId="601E3ED9" w14:textId="77777777" w:rsidR="009D720F" w:rsidRPr="009D720F" w:rsidRDefault="009D720F" w:rsidP="00661AA0">
      <w:pPr>
        <w:pStyle w:val="FootnoteText"/>
        <w:ind w:left="709" w:hanging="709"/>
        <w:rPr>
          <w:sz w:val="24"/>
          <w:szCs w:val="24"/>
          <w:lang w:val="sl-SI"/>
        </w:rPr>
      </w:pPr>
      <w:r w:rsidRPr="009D720F">
        <w:rPr>
          <w:rStyle w:val="FootnoteReference"/>
          <w:sz w:val="24"/>
          <w:szCs w:val="24"/>
          <w:lang w:val="sl-SI"/>
        </w:rPr>
        <w:footnoteRef/>
      </w:r>
      <w:r w:rsidRPr="009D720F">
        <w:rPr>
          <w:sz w:val="24"/>
          <w:szCs w:val="24"/>
          <w:lang w:val="sl-SI"/>
        </w:rPr>
        <w:t xml:space="preserve"> </w:t>
      </w:r>
      <w:r w:rsidRPr="009D720F">
        <w:rPr>
          <w:sz w:val="24"/>
          <w:szCs w:val="24"/>
          <w:lang w:val="sl-SI"/>
        </w:rPr>
        <w:tab/>
        <w:t>To stališče nadomesti spremembe, sprejete 23. oktobra 2020 (Sprejeta besedila, P9_TA(2020)0289).</w:t>
      </w:r>
    </w:p>
  </w:footnote>
  <w:footnote w:id="4">
    <w:p w14:paraId="04F1FBFA" w14:textId="1C374FAB" w:rsidR="009D720F" w:rsidRPr="00201F04" w:rsidRDefault="009D720F" w:rsidP="00F71898">
      <w:pPr>
        <w:pStyle w:val="FootnoteText"/>
        <w:ind w:left="567" w:hanging="566"/>
        <w:rPr>
          <w:lang w:val="sl-SI"/>
        </w:rPr>
      </w:pPr>
      <w:r w:rsidRPr="00201F04">
        <w:rPr>
          <w:rStyle w:val="FootnoteReference"/>
          <w:lang w:val="sl-SI"/>
        </w:rPr>
        <w:footnoteRef/>
      </w:r>
      <w:r w:rsidRPr="00201F04">
        <w:rPr>
          <w:lang w:val="sl-SI"/>
        </w:rPr>
        <w:t xml:space="preserve"> </w:t>
      </w:r>
      <w:r w:rsidRPr="00201F04">
        <w:rPr>
          <w:lang w:val="sl-SI"/>
        </w:rPr>
        <w:tab/>
      </w:r>
      <w:r w:rsidRPr="00201F04">
        <w:rPr>
          <w:sz w:val="24"/>
          <w:szCs w:val="24"/>
          <w:lang w:val="sl-SI"/>
        </w:rPr>
        <w:t xml:space="preserve">Tehnična opomba: skupna izjava o proaktivnem sodelovanju na večstranski ravni v zvezi z uporabo zdravstvenih in okoljskih standardov EU za uvožene kmetijske proizvode, </w:t>
      </w:r>
      <w:r w:rsidRPr="001476DE">
        <w:rPr>
          <w:sz w:val="24"/>
          <w:szCs w:val="24"/>
          <w:lang w:val="sl-SI"/>
        </w:rPr>
        <w:t>k</w:t>
      </w:r>
      <w:r w:rsidR="000C738C">
        <w:rPr>
          <w:sz w:val="24"/>
          <w:szCs w:val="24"/>
          <w:lang w:val="sl-SI"/>
        </w:rPr>
        <w:t>ot</w:t>
      </w:r>
      <w:r w:rsidRPr="001476DE">
        <w:rPr>
          <w:sz w:val="24"/>
          <w:szCs w:val="24"/>
          <w:lang w:val="sl-SI"/>
        </w:rPr>
        <w:t xml:space="preserve"> je bila </w:t>
      </w:r>
      <w:r w:rsidR="000C738C">
        <w:rPr>
          <w:sz w:val="24"/>
          <w:szCs w:val="24"/>
          <w:lang w:val="sl-SI"/>
        </w:rPr>
        <w:t>vključena v</w:t>
      </w:r>
      <w:r w:rsidRPr="001476DE">
        <w:rPr>
          <w:sz w:val="24"/>
          <w:szCs w:val="24"/>
          <w:lang w:val="sl-SI"/>
        </w:rPr>
        <w:t xml:space="preserve"> predlog </w:t>
      </w:r>
      <w:r w:rsidRPr="00201F04">
        <w:rPr>
          <w:sz w:val="24"/>
          <w:szCs w:val="24"/>
          <w:lang w:val="sl-SI"/>
        </w:rPr>
        <w:t xml:space="preserve">spremembe 283, je vsebovala </w:t>
      </w:r>
      <w:r w:rsidRPr="001476DE">
        <w:rPr>
          <w:sz w:val="24"/>
          <w:szCs w:val="24"/>
          <w:lang w:val="sl-SI"/>
        </w:rPr>
        <w:t xml:space="preserve">dodatni </w:t>
      </w:r>
      <w:r w:rsidRPr="00201F04">
        <w:rPr>
          <w:sz w:val="24"/>
          <w:szCs w:val="24"/>
          <w:lang w:val="sl-SI"/>
        </w:rPr>
        <w:t xml:space="preserve">drugi odstavek (o uvoznih tolerancah za pesticide). </w:t>
      </w:r>
      <w:r w:rsidRPr="001476DE">
        <w:rPr>
          <w:sz w:val="24"/>
          <w:szCs w:val="24"/>
          <w:lang w:val="sl-SI"/>
        </w:rPr>
        <w:t xml:space="preserve">Vključitev tega odstavka v predlog spremembe je bila tipkarska napaka. Vsebina tega odstavka je </w:t>
      </w:r>
      <w:r w:rsidR="000C738C" w:rsidRPr="001476DE">
        <w:rPr>
          <w:sz w:val="24"/>
          <w:szCs w:val="24"/>
          <w:lang w:val="sl-SI"/>
        </w:rPr>
        <w:t xml:space="preserve">že </w:t>
      </w:r>
      <w:r w:rsidRPr="001476DE">
        <w:rPr>
          <w:sz w:val="24"/>
          <w:szCs w:val="24"/>
          <w:lang w:val="sl-SI"/>
        </w:rPr>
        <w:t xml:space="preserve">zajeta v enostranski izjavi Komisije o pregledu uvoznih toleranc in mejnih vrednosti ostankov po </w:t>
      </w:r>
      <w:proofErr w:type="spellStart"/>
      <w:r w:rsidRPr="001476DE">
        <w:rPr>
          <w:sz w:val="24"/>
          <w:szCs w:val="24"/>
          <w:lang w:val="sl-SI"/>
        </w:rPr>
        <w:t>Codexu</w:t>
      </w:r>
      <w:proofErr w:type="spellEnd"/>
      <w:r w:rsidRPr="001476DE">
        <w:rPr>
          <w:sz w:val="24"/>
          <w:szCs w:val="24"/>
          <w:lang w:val="sl-SI"/>
        </w:rPr>
        <w:t xml:space="preserve"> (MRL)</w:t>
      </w:r>
      <w:r w:rsidRPr="00201F04">
        <w:rPr>
          <w:sz w:val="24"/>
          <w:szCs w:val="24"/>
          <w:lang w:val="sl-SI"/>
        </w:rPr>
        <w:t xml:space="preserve">. Ta odstavek </w:t>
      </w:r>
      <w:r w:rsidR="001476DE" w:rsidRPr="00201F04">
        <w:rPr>
          <w:sz w:val="24"/>
          <w:szCs w:val="24"/>
          <w:lang w:val="sl-SI"/>
        </w:rPr>
        <w:t>zato</w:t>
      </w:r>
      <w:r w:rsidRPr="00201F04">
        <w:rPr>
          <w:sz w:val="24"/>
          <w:szCs w:val="24"/>
          <w:lang w:val="sl-SI"/>
        </w:rPr>
        <w:t xml:space="preserve"> ne bo vključen v </w:t>
      </w:r>
      <w:r w:rsidR="001476DE" w:rsidRPr="00201F04">
        <w:rPr>
          <w:sz w:val="24"/>
          <w:szCs w:val="24"/>
          <w:lang w:val="sl-SI"/>
        </w:rPr>
        <w:t xml:space="preserve">skupno izjavo, </w:t>
      </w:r>
      <w:r w:rsidR="001476DE" w:rsidRPr="001476DE">
        <w:rPr>
          <w:sz w:val="24"/>
          <w:szCs w:val="24"/>
          <w:lang w:val="sl-SI"/>
        </w:rPr>
        <w:t xml:space="preserve">ki bo objavljena v seriji C </w:t>
      </w:r>
      <w:r w:rsidR="001476DE" w:rsidRPr="00201F04">
        <w:rPr>
          <w:i/>
          <w:sz w:val="24"/>
          <w:szCs w:val="24"/>
          <w:lang w:val="sl-SI"/>
        </w:rPr>
        <w:t>Uradnega lista Evropske unije</w:t>
      </w:r>
      <w:r w:rsidR="001476DE" w:rsidRPr="001476DE">
        <w:rPr>
          <w:i/>
          <w:sz w:val="24"/>
          <w:szCs w:val="24"/>
          <w:lang w:val="sl-SI"/>
        </w:rPr>
        <w:t xml:space="preserve">, </w:t>
      </w:r>
      <w:r w:rsidR="001476DE" w:rsidRPr="00201F04">
        <w:rPr>
          <w:sz w:val="24"/>
          <w:szCs w:val="24"/>
          <w:lang w:val="sl-SI"/>
        </w:rPr>
        <w:t xml:space="preserve">in se ne pojavi v besedilu, ki ga je sprejel </w:t>
      </w:r>
      <w:r w:rsidR="001476DE" w:rsidRPr="001476DE">
        <w:rPr>
          <w:sz w:val="24"/>
          <w:szCs w:val="24"/>
          <w:lang w:val="sl-SI"/>
        </w:rPr>
        <w:t>Parlament</w:t>
      </w:r>
      <w:r w:rsidR="001476DE" w:rsidRPr="00201F04">
        <w:rPr>
          <w:sz w:val="24"/>
          <w:szCs w:val="24"/>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54AE9" w14:textId="77777777" w:rsidR="009D720F" w:rsidRPr="00D71EB1" w:rsidRDefault="009D720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C7052" w14:textId="77777777" w:rsidR="009D720F" w:rsidRPr="00D71EB1" w:rsidRDefault="009D720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8573F" w14:textId="77777777" w:rsidR="009D720F" w:rsidRPr="00D71EB1" w:rsidRDefault="009D720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SL"/>
    <w:docVar w:name="dvnumam" w:val="320"/>
    <w:docVar w:name="dvpe" w:val="623.922"/>
    <w:docVar w:name="dvrapporteur" w:val="Poročevalec: "/>
    <w:docVar w:name="dvtitre" w:val="Zakonodajna resolucija Evropskega parlamenta z dne … 2021 predlog uredbe Evropskega parlamenta in Sveta 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EU) št. 228/2013 o posebnih ukrepih za kmetijstvo v najbolj oddaljenih regijah Unije in (EU) št. 229/2013 o posebnih ukrepih za kmetijstvo v korist manjših egejskih otokov(COM(2018)0394 – C8-0246/2018 – 2018/0218(COD))"/>
  </w:docVars>
  <w:rsids>
    <w:rsidRoot w:val="005D1F6B"/>
    <w:rsid w:val="00002272"/>
    <w:rsid w:val="00064002"/>
    <w:rsid w:val="000677B9"/>
    <w:rsid w:val="0007630C"/>
    <w:rsid w:val="000831BA"/>
    <w:rsid w:val="000A42CC"/>
    <w:rsid w:val="000C738C"/>
    <w:rsid w:val="000E7DD9"/>
    <w:rsid w:val="0010095E"/>
    <w:rsid w:val="00125B37"/>
    <w:rsid w:val="001476DE"/>
    <w:rsid w:val="00187494"/>
    <w:rsid w:val="001F32AE"/>
    <w:rsid w:val="00201F04"/>
    <w:rsid w:val="002767FF"/>
    <w:rsid w:val="002B18FE"/>
    <w:rsid w:val="002B5493"/>
    <w:rsid w:val="002F7868"/>
    <w:rsid w:val="00343214"/>
    <w:rsid w:val="00361C00"/>
    <w:rsid w:val="00395FA1"/>
    <w:rsid w:val="003E15D4"/>
    <w:rsid w:val="00411CCE"/>
    <w:rsid w:val="0041666E"/>
    <w:rsid w:val="00421060"/>
    <w:rsid w:val="00471C19"/>
    <w:rsid w:val="004867E3"/>
    <w:rsid w:val="00494A28"/>
    <w:rsid w:val="004C0004"/>
    <w:rsid w:val="004C5D52"/>
    <w:rsid w:val="004E0443"/>
    <w:rsid w:val="0050519A"/>
    <w:rsid w:val="005072A1"/>
    <w:rsid w:val="00514517"/>
    <w:rsid w:val="00545827"/>
    <w:rsid w:val="00560270"/>
    <w:rsid w:val="005C2568"/>
    <w:rsid w:val="005D1F6B"/>
    <w:rsid w:val="006037C0"/>
    <w:rsid w:val="00661AA0"/>
    <w:rsid w:val="006631B6"/>
    <w:rsid w:val="00680577"/>
    <w:rsid w:val="006F1335"/>
    <w:rsid w:val="006F57E6"/>
    <w:rsid w:val="006F74FA"/>
    <w:rsid w:val="00731ADD"/>
    <w:rsid w:val="00734777"/>
    <w:rsid w:val="00747932"/>
    <w:rsid w:val="00751A4A"/>
    <w:rsid w:val="00756632"/>
    <w:rsid w:val="00762C74"/>
    <w:rsid w:val="00786EC0"/>
    <w:rsid w:val="007D1690"/>
    <w:rsid w:val="007E22AD"/>
    <w:rsid w:val="00817416"/>
    <w:rsid w:val="00842779"/>
    <w:rsid w:val="008554CA"/>
    <w:rsid w:val="00865F67"/>
    <w:rsid w:val="00881A7B"/>
    <w:rsid w:val="008840E5"/>
    <w:rsid w:val="00887B3E"/>
    <w:rsid w:val="008A3364"/>
    <w:rsid w:val="008C2AC6"/>
    <w:rsid w:val="00930C23"/>
    <w:rsid w:val="0093193B"/>
    <w:rsid w:val="009509D8"/>
    <w:rsid w:val="00950B64"/>
    <w:rsid w:val="0096182D"/>
    <w:rsid w:val="00981893"/>
    <w:rsid w:val="009D720F"/>
    <w:rsid w:val="00A1687D"/>
    <w:rsid w:val="00A43E52"/>
    <w:rsid w:val="00A4678D"/>
    <w:rsid w:val="00A778C7"/>
    <w:rsid w:val="00AB441E"/>
    <w:rsid w:val="00AB6293"/>
    <w:rsid w:val="00AE0928"/>
    <w:rsid w:val="00AF3B82"/>
    <w:rsid w:val="00B12E95"/>
    <w:rsid w:val="00B22876"/>
    <w:rsid w:val="00B558F0"/>
    <w:rsid w:val="00BB6C47"/>
    <w:rsid w:val="00BD48FE"/>
    <w:rsid w:val="00BD7BD8"/>
    <w:rsid w:val="00BE6ADC"/>
    <w:rsid w:val="00C05BFE"/>
    <w:rsid w:val="00C23CD4"/>
    <w:rsid w:val="00C61C0C"/>
    <w:rsid w:val="00C941CB"/>
    <w:rsid w:val="00CC2357"/>
    <w:rsid w:val="00CF071A"/>
    <w:rsid w:val="00D058B8"/>
    <w:rsid w:val="00D56C11"/>
    <w:rsid w:val="00D71EB1"/>
    <w:rsid w:val="00D834A0"/>
    <w:rsid w:val="00D872DF"/>
    <w:rsid w:val="00D91E21"/>
    <w:rsid w:val="00DA7FCD"/>
    <w:rsid w:val="00DD4FA4"/>
    <w:rsid w:val="00E06D04"/>
    <w:rsid w:val="00E365E1"/>
    <w:rsid w:val="00E4100F"/>
    <w:rsid w:val="00E820A4"/>
    <w:rsid w:val="00EB006A"/>
    <w:rsid w:val="00EB4772"/>
    <w:rsid w:val="00EC5628"/>
    <w:rsid w:val="00ED169E"/>
    <w:rsid w:val="00ED4235"/>
    <w:rsid w:val="00F0404A"/>
    <w:rsid w:val="00F04346"/>
    <w:rsid w:val="00F075DC"/>
    <w:rsid w:val="00F149E9"/>
    <w:rsid w:val="00F24CE1"/>
    <w:rsid w:val="00F5134D"/>
    <w:rsid w:val="00F71898"/>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6D812"/>
  <w15:chartTrackingRefBased/>
  <w15:docId w15:val="{97B7D496-91A6-4375-891C-3C609C7EF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7630C"/>
    <w:rPr>
      <w:b/>
      <w:kern w:val="28"/>
      <w:sz w:val="28"/>
      <w:lang w:val="fr-FR" w:eastAsia="fr-FR"/>
    </w:rPr>
  </w:style>
  <w:style w:type="character" w:customStyle="1" w:styleId="Heading2Char">
    <w:name w:val="Heading 2 Char"/>
    <w:basedOn w:val="DefaultParagraphFont"/>
    <w:link w:val="Heading2"/>
    <w:uiPriority w:val="9"/>
    <w:rsid w:val="0007630C"/>
    <w:rPr>
      <w:sz w:val="24"/>
      <w:lang w:val="fr-FR" w:eastAsia="fr-FR"/>
    </w:rPr>
  </w:style>
  <w:style w:type="character" w:customStyle="1" w:styleId="Heading3Char">
    <w:name w:val="Heading 3 Char"/>
    <w:basedOn w:val="DefaultParagraphFont"/>
    <w:link w:val="Heading3"/>
    <w:uiPriority w:val="9"/>
    <w:rsid w:val="0007630C"/>
    <w:rPr>
      <w:rFonts w:ascii="Arial" w:hAnsi="Arial"/>
      <w:sz w:val="24"/>
      <w:lang w:val="fr-FR" w:eastAsia="fr-FR"/>
    </w:rPr>
  </w:style>
  <w:style w:type="character" w:customStyle="1" w:styleId="Heading4Char">
    <w:name w:val="Heading 4 Char"/>
    <w:basedOn w:val="DefaultParagraphFont"/>
    <w:link w:val="Heading4"/>
    <w:uiPriority w:val="9"/>
    <w:rsid w:val="0007630C"/>
    <w:rPr>
      <w:sz w:val="24"/>
      <w:lang w:val="en-US" w:eastAsia="fr-FR"/>
    </w:rPr>
  </w:style>
  <w:style w:type="character" w:customStyle="1" w:styleId="Heading5Char">
    <w:name w:val="Heading 5 Char"/>
    <w:basedOn w:val="DefaultParagraphFont"/>
    <w:link w:val="Heading5"/>
    <w:rsid w:val="0007630C"/>
    <w:rPr>
      <w:sz w:val="24"/>
      <w:lang w:val="en-US" w:eastAsia="fr-FR"/>
    </w:rPr>
  </w:style>
  <w:style w:type="character" w:customStyle="1" w:styleId="Heading6Char">
    <w:name w:val="Heading 6 Char"/>
    <w:basedOn w:val="DefaultParagraphFont"/>
    <w:link w:val="Heading6"/>
    <w:rsid w:val="0007630C"/>
    <w:rPr>
      <w:i/>
      <w:sz w:val="22"/>
      <w:lang w:val="sl-SI"/>
    </w:rPr>
  </w:style>
  <w:style w:type="character" w:customStyle="1" w:styleId="Heading7Char">
    <w:name w:val="Heading 7 Char"/>
    <w:basedOn w:val="DefaultParagraphFont"/>
    <w:link w:val="Heading7"/>
    <w:rsid w:val="0007630C"/>
    <w:rPr>
      <w:rFonts w:ascii="Arial" w:hAnsi="Arial"/>
      <w:sz w:val="24"/>
      <w:lang w:val="sl-SI"/>
    </w:rPr>
  </w:style>
  <w:style w:type="character" w:customStyle="1" w:styleId="Heading8Char">
    <w:name w:val="Heading 8 Char"/>
    <w:basedOn w:val="DefaultParagraphFont"/>
    <w:link w:val="Heading8"/>
    <w:rsid w:val="0007630C"/>
    <w:rPr>
      <w:rFonts w:ascii="Arial" w:hAnsi="Arial"/>
      <w:i/>
      <w:sz w:val="24"/>
      <w:lang w:val="sl-SI"/>
    </w:rPr>
  </w:style>
  <w:style w:type="character" w:customStyle="1" w:styleId="Heading9Char">
    <w:name w:val="Heading 9 Char"/>
    <w:basedOn w:val="DefaultParagraphFont"/>
    <w:link w:val="Heading9"/>
    <w:rsid w:val="0007630C"/>
    <w:rPr>
      <w:rFonts w:ascii="Arial" w:hAnsi="Arial"/>
      <w:b/>
      <w:i/>
      <w:sz w:val="18"/>
      <w:lang w:val="sl-SI"/>
    </w:rPr>
  </w:style>
  <w:style w:type="paragraph" w:styleId="TOCHeading">
    <w:name w:val="TOC Heading"/>
    <w:basedOn w:val="Normal"/>
    <w:next w:val="Normal"/>
    <w:uiPriority w:val="39"/>
    <w:unhideWhenUsed/>
    <w:qFormat/>
    <w:rsid w:val="0007630C"/>
    <w:pPr>
      <w:widowControl/>
      <w:spacing w:after="240"/>
    </w:pPr>
    <w:rPr>
      <w:lang w:val="en-GB"/>
    </w:rPr>
  </w:style>
  <w:style w:type="paragraph" w:styleId="Footer">
    <w:name w:val="footer"/>
    <w:basedOn w:val="Normal"/>
    <w:link w:val="FooterChar"/>
    <w:rsid w:val="0007630C"/>
    <w:pPr>
      <w:tabs>
        <w:tab w:val="center" w:pos="4535"/>
        <w:tab w:val="right" w:pos="9071"/>
      </w:tabs>
      <w:spacing w:before="240" w:after="240"/>
    </w:pPr>
    <w:rPr>
      <w:sz w:val="22"/>
    </w:rPr>
  </w:style>
  <w:style w:type="character" w:customStyle="1" w:styleId="FooterChar">
    <w:name w:val="Footer Char"/>
    <w:basedOn w:val="DefaultParagraphFont"/>
    <w:link w:val="Footer"/>
    <w:rsid w:val="0007630C"/>
    <w:rPr>
      <w:sz w:val="22"/>
      <w:lang w:val="sl-SI"/>
    </w:rPr>
  </w:style>
  <w:style w:type="paragraph" w:customStyle="1" w:styleId="Normal12a12b">
    <w:name w:val="Normal12a12b"/>
    <w:basedOn w:val="Normal"/>
    <w:rsid w:val="0007630C"/>
    <w:pPr>
      <w:spacing w:before="240" w:after="240"/>
    </w:pPr>
  </w:style>
  <w:style w:type="paragraph" w:customStyle="1" w:styleId="Footer2">
    <w:name w:val="Footer2"/>
    <w:basedOn w:val="Normal"/>
    <w:rsid w:val="0007630C"/>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07630C"/>
    <w:pPr>
      <w:spacing w:after="240"/>
    </w:pPr>
  </w:style>
  <w:style w:type="character" w:customStyle="1" w:styleId="Normal12Char">
    <w:name w:val="Normal12 Char"/>
    <w:basedOn w:val="DefaultParagraphFont"/>
    <w:link w:val="Normal12"/>
    <w:locked/>
    <w:rsid w:val="0007630C"/>
    <w:rPr>
      <w:sz w:val="24"/>
      <w:lang w:val="sl-SI"/>
    </w:rPr>
  </w:style>
  <w:style w:type="paragraph" w:customStyle="1" w:styleId="TOCPage">
    <w:name w:val="TOC Page"/>
    <w:basedOn w:val="Normal12"/>
    <w:next w:val="TOC1"/>
    <w:rsid w:val="0007630C"/>
    <w:pPr>
      <w:keepNext/>
      <w:jc w:val="right"/>
    </w:pPr>
    <w:rPr>
      <w:rFonts w:ascii="Arial" w:hAnsi="Arial"/>
      <w:b/>
    </w:rPr>
  </w:style>
  <w:style w:type="paragraph" w:customStyle="1" w:styleId="TableofEntries">
    <w:name w:val="Table of Entries"/>
    <w:basedOn w:val="Normal12"/>
    <w:rsid w:val="0007630C"/>
    <w:pPr>
      <w:widowControl/>
      <w:tabs>
        <w:tab w:val="right" w:leader="dot" w:pos="9072"/>
      </w:tabs>
      <w:jc w:val="both"/>
    </w:pPr>
  </w:style>
  <w:style w:type="paragraph" w:customStyle="1" w:styleId="Normal6">
    <w:name w:val="Normal6"/>
    <w:basedOn w:val="Normal"/>
    <w:link w:val="Normal6Char"/>
    <w:rsid w:val="0007630C"/>
    <w:pPr>
      <w:spacing w:after="120"/>
    </w:pPr>
  </w:style>
  <w:style w:type="character" w:customStyle="1" w:styleId="Normal6Char">
    <w:name w:val="Normal6 Char"/>
    <w:link w:val="Normal6"/>
    <w:rsid w:val="0007630C"/>
    <w:rPr>
      <w:sz w:val="24"/>
      <w:lang w:val="sl-SI"/>
    </w:rPr>
  </w:style>
  <w:style w:type="paragraph" w:customStyle="1" w:styleId="PageHeading">
    <w:name w:val="PageHeading"/>
    <w:basedOn w:val="Normal12a12b"/>
    <w:rsid w:val="0007630C"/>
    <w:pPr>
      <w:keepNext/>
      <w:jc w:val="center"/>
    </w:pPr>
    <w:rPr>
      <w:rFonts w:ascii="Arial" w:eastAsia="Calibri" w:hAnsi="Arial"/>
      <w:b/>
      <w:lang w:eastAsia="en-US"/>
    </w:rPr>
  </w:style>
  <w:style w:type="paragraph" w:customStyle="1" w:styleId="NormalBold">
    <w:name w:val="NormalBold"/>
    <w:basedOn w:val="Normal"/>
    <w:link w:val="NormalBoldChar"/>
    <w:rsid w:val="0007630C"/>
    <w:rPr>
      <w:b/>
    </w:rPr>
  </w:style>
  <w:style w:type="character" w:customStyle="1" w:styleId="NormalBoldChar">
    <w:name w:val="NormalBold Char"/>
    <w:link w:val="NormalBold"/>
    <w:rsid w:val="0007630C"/>
    <w:rPr>
      <w:b/>
      <w:sz w:val="24"/>
      <w:lang w:val="sl-SI"/>
    </w:rPr>
  </w:style>
  <w:style w:type="paragraph" w:customStyle="1" w:styleId="Normal12Bold">
    <w:name w:val="Normal12Bold"/>
    <w:basedOn w:val="Normal12"/>
    <w:rsid w:val="0007630C"/>
    <w:rPr>
      <w:b/>
    </w:rPr>
  </w:style>
  <w:style w:type="paragraph" w:customStyle="1" w:styleId="Normal12Italic">
    <w:name w:val="Normal12Italic"/>
    <w:basedOn w:val="Normal"/>
    <w:rsid w:val="0007630C"/>
    <w:pPr>
      <w:spacing w:before="240"/>
    </w:pPr>
    <w:rPr>
      <w:i/>
    </w:rPr>
  </w:style>
  <w:style w:type="paragraph" w:customStyle="1" w:styleId="Normal12Hanging">
    <w:name w:val="Normal12Hanging"/>
    <w:basedOn w:val="Normal12"/>
    <w:qFormat/>
    <w:rsid w:val="0007630C"/>
    <w:pPr>
      <w:ind w:left="567" w:hanging="567"/>
    </w:pPr>
  </w:style>
  <w:style w:type="paragraph" w:customStyle="1" w:styleId="Normal24">
    <w:name w:val="Normal24"/>
    <w:basedOn w:val="Normal"/>
    <w:rsid w:val="0007630C"/>
    <w:pPr>
      <w:spacing w:after="480"/>
    </w:pPr>
  </w:style>
  <w:style w:type="paragraph" w:customStyle="1" w:styleId="Cover24">
    <w:name w:val="Cover24"/>
    <w:basedOn w:val="Normal24"/>
    <w:rsid w:val="0007630C"/>
    <w:pPr>
      <w:ind w:left="1418"/>
    </w:pPr>
  </w:style>
  <w:style w:type="paragraph" w:customStyle="1" w:styleId="CoverNormal">
    <w:name w:val="CoverNormal"/>
    <w:basedOn w:val="Normal"/>
    <w:rsid w:val="0007630C"/>
    <w:pPr>
      <w:ind w:left="1418"/>
    </w:pPr>
  </w:style>
  <w:style w:type="paragraph" w:customStyle="1" w:styleId="CrossRef">
    <w:name w:val="CrossRef"/>
    <w:basedOn w:val="Normal"/>
    <w:rsid w:val="0007630C"/>
    <w:pPr>
      <w:spacing w:before="240"/>
      <w:jc w:val="center"/>
    </w:pPr>
    <w:rPr>
      <w:i/>
    </w:rPr>
  </w:style>
  <w:style w:type="paragraph" w:customStyle="1" w:styleId="JustificationTitle">
    <w:name w:val="JustificationTitle"/>
    <w:basedOn w:val="Normal"/>
    <w:next w:val="Normal12"/>
    <w:rsid w:val="0007630C"/>
    <w:pPr>
      <w:keepNext/>
      <w:spacing w:before="240"/>
      <w:jc w:val="center"/>
    </w:pPr>
    <w:rPr>
      <w:i/>
    </w:rPr>
  </w:style>
  <w:style w:type="paragraph" w:customStyle="1" w:styleId="Normal12Centre">
    <w:name w:val="Normal12Centre"/>
    <w:basedOn w:val="Normal12"/>
    <w:rsid w:val="0007630C"/>
    <w:pPr>
      <w:jc w:val="center"/>
    </w:pPr>
  </w:style>
  <w:style w:type="paragraph" w:customStyle="1" w:styleId="Normal12Keep">
    <w:name w:val="Normal12Keep"/>
    <w:basedOn w:val="Normal12"/>
    <w:rsid w:val="0007630C"/>
    <w:pPr>
      <w:keepNext/>
    </w:pPr>
  </w:style>
  <w:style w:type="paragraph" w:customStyle="1" w:styleId="Normal12Tab">
    <w:name w:val="Normal12Tab"/>
    <w:basedOn w:val="Normal12"/>
    <w:rsid w:val="0007630C"/>
    <w:pPr>
      <w:tabs>
        <w:tab w:val="left" w:pos="567"/>
      </w:tabs>
    </w:pPr>
  </w:style>
  <w:style w:type="paragraph" w:customStyle="1" w:styleId="RefProc">
    <w:name w:val="RefProc"/>
    <w:basedOn w:val="Normal"/>
    <w:rsid w:val="0007630C"/>
    <w:pPr>
      <w:spacing w:before="240" w:after="240"/>
      <w:jc w:val="right"/>
    </w:pPr>
    <w:rPr>
      <w:rFonts w:ascii="Arial" w:hAnsi="Arial"/>
      <w:b/>
      <w:caps/>
    </w:rPr>
  </w:style>
  <w:style w:type="paragraph" w:customStyle="1" w:styleId="StarsAndIs">
    <w:name w:val="StarsAndIs"/>
    <w:basedOn w:val="Normal"/>
    <w:rsid w:val="0007630C"/>
    <w:pPr>
      <w:ind w:left="1418"/>
    </w:pPr>
    <w:rPr>
      <w:rFonts w:ascii="Arial" w:hAnsi="Arial"/>
      <w:b/>
      <w:sz w:val="48"/>
    </w:rPr>
  </w:style>
  <w:style w:type="paragraph" w:customStyle="1" w:styleId="TypeDoc">
    <w:name w:val="TypeDoc"/>
    <w:basedOn w:val="Normal24"/>
    <w:rsid w:val="0007630C"/>
    <w:pPr>
      <w:ind w:left="1418"/>
    </w:pPr>
    <w:rPr>
      <w:rFonts w:ascii="Arial" w:hAnsi="Arial"/>
      <w:b/>
      <w:sz w:val="48"/>
    </w:rPr>
  </w:style>
  <w:style w:type="paragraph" w:customStyle="1" w:styleId="ZDate">
    <w:name w:val="ZDate"/>
    <w:basedOn w:val="Normal"/>
    <w:rsid w:val="0007630C"/>
    <w:pPr>
      <w:spacing w:after="1200"/>
    </w:pPr>
  </w:style>
  <w:style w:type="paragraph" w:styleId="Header">
    <w:name w:val="header"/>
    <w:basedOn w:val="Normal"/>
    <w:link w:val="HeaderChar"/>
    <w:uiPriority w:val="99"/>
    <w:rsid w:val="0007630C"/>
    <w:pPr>
      <w:tabs>
        <w:tab w:val="center" w:pos="4153"/>
        <w:tab w:val="right" w:pos="8306"/>
      </w:tabs>
    </w:pPr>
  </w:style>
  <w:style w:type="character" w:customStyle="1" w:styleId="HeaderChar">
    <w:name w:val="Header Char"/>
    <w:basedOn w:val="DefaultParagraphFont"/>
    <w:link w:val="Header"/>
    <w:uiPriority w:val="99"/>
    <w:rsid w:val="0007630C"/>
    <w:rPr>
      <w:sz w:val="24"/>
      <w:lang w:val="sl-SI"/>
    </w:rPr>
  </w:style>
  <w:style w:type="paragraph" w:customStyle="1" w:styleId="Olang">
    <w:name w:val="Olang"/>
    <w:basedOn w:val="Normal"/>
    <w:rsid w:val="0007630C"/>
    <w:pPr>
      <w:spacing w:before="240" w:after="240"/>
      <w:jc w:val="right"/>
    </w:pPr>
    <w:rPr>
      <w:noProof/>
    </w:rPr>
  </w:style>
  <w:style w:type="paragraph" w:customStyle="1" w:styleId="ColumnHeading">
    <w:name w:val="ColumnHeading"/>
    <w:basedOn w:val="Normal"/>
    <w:rsid w:val="0007630C"/>
    <w:pPr>
      <w:spacing w:after="240"/>
      <w:jc w:val="center"/>
    </w:pPr>
    <w:rPr>
      <w:i/>
    </w:rPr>
  </w:style>
  <w:style w:type="paragraph" w:customStyle="1" w:styleId="AMNumberTabs">
    <w:name w:val="AMNumberTabs"/>
    <w:basedOn w:val="Normal"/>
    <w:rsid w:val="0007630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7630C"/>
    <w:pPr>
      <w:spacing w:before="240"/>
    </w:pPr>
    <w:rPr>
      <w:b/>
    </w:rPr>
  </w:style>
  <w:style w:type="paragraph" w:customStyle="1" w:styleId="ZCommittee">
    <w:name w:val="ZCommittee"/>
    <w:basedOn w:val="Normal"/>
    <w:next w:val="Normal"/>
    <w:rsid w:val="0007630C"/>
    <w:pPr>
      <w:jc w:val="center"/>
    </w:pPr>
    <w:rPr>
      <w:rFonts w:ascii="Arial" w:hAnsi="Arial" w:cs="Arial"/>
      <w:i/>
      <w:sz w:val="22"/>
      <w:szCs w:val="22"/>
    </w:rPr>
  </w:style>
  <w:style w:type="paragraph" w:customStyle="1" w:styleId="Lgendesigne">
    <w:name w:val="Légende signe"/>
    <w:basedOn w:val="Normal"/>
    <w:rsid w:val="0007630C"/>
    <w:pPr>
      <w:tabs>
        <w:tab w:val="right" w:pos="454"/>
        <w:tab w:val="left" w:pos="737"/>
      </w:tabs>
      <w:ind w:left="737" w:hanging="737"/>
    </w:pPr>
    <w:rPr>
      <w:sz w:val="18"/>
    </w:rPr>
  </w:style>
  <w:style w:type="paragraph" w:customStyle="1" w:styleId="Lgendestandard">
    <w:name w:val="Légende standard"/>
    <w:basedOn w:val="Lgendesigne"/>
    <w:rsid w:val="0007630C"/>
    <w:pPr>
      <w:ind w:left="0" w:firstLine="0"/>
    </w:pPr>
  </w:style>
  <w:style w:type="paragraph" w:customStyle="1" w:styleId="Lgendetitre">
    <w:name w:val="Légende titre"/>
    <w:basedOn w:val="Normal"/>
    <w:rsid w:val="0007630C"/>
    <w:pPr>
      <w:spacing w:before="240" w:after="240"/>
    </w:pPr>
    <w:rPr>
      <w:b/>
      <w:i/>
    </w:rPr>
  </w:style>
  <w:style w:type="paragraph" w:styleId="BalloonText">
    <w:name w:val="Balloon Text"/>
    <w:basedOn w:val="Normal"/>
    <w:link w:val="BalloonTextChar"/>
    <w:uiPriority w:val="99"/>
    <w:rsid w:val="0007630C"/>
    <w:rPr>
      <w:rFonts w:ascii="Segoe UI" w:hAnsi="Segoe UI" w:cs="Segoe UI"/>
      <w:sz w:val="18"/>
      <w:szCs w:val="18"/>
    </w:rPr>
  </w:style>
  <w:style w:type="character" w:customStyle="1" w:styleId="BalloonTextChar">
    <w:name w:val="Balloon Text Char"/>
    <w:basedOn w:val="DefaultParagraphFont"/>
    <w:link w:val="BalloonText"/>
    <w:rsid w:val="0007630C"/>
    <w:rPr>
      <w:rFonts w:ascii="Segoe UI" w:hAnsi="Segoe UI" w:cs="Segoe UI"/>
      <w:sz w:val="18"/>
      <w:szCs w:val="18"/>
      <w:lang w:val="sl-SI"/>
    </w:rPr>
  </w:style>
  <w:style w:type="paragraph" w:customStyle="1" w:styleId="modref">
    <w:name w:val="modref"/>
    <w:basedOn w:val="Normal"/>
    <w:rsid w:val="0007630C"/>
    <w:pPr>
      <w:widowControl/>
      <w:spacing w:before="120"/>
    </w:pPr>
    <w:rPr>
      <w:b/>
      <w:bCs/>
      <w:szCs w:val="24"/>
    </w:rPr>
  </w:style>
  <w:style w:type="paragraph" w:customStyle="1" w:styleId="stitle-article-norm">
    <w:name w:val="stitle-article-norm"/>
    <w:basedOn w:val="Normal"/>
    <w:rsid w:val="0007630C"/>
    <w:pPr>
      <w:widowControl/>
      <w:spacing w:before="240" w:after="120"/>
      <w:jc w:val="center"/>
    </w:pPr>
    <w:rPr>
      <w:b/>
      <w:bCs/>
      <w:szCs w:val="24"/>
    </w:rPr>
  </w:style>
  <w:style w:type="character" w:styleId="Hyperlink">
    <w:name w:val="Hyperlink"/>
    <w:uiPriority w:val="99"/>
    <w:unhideWhenUsed/>
    <w:rsid w:val="0007630C"/>
    <w:rPr>
      <w:color w:val="0000FF"/>
      <w:u w:val="single"/>
    </w:rPr>
  </w:style>
  <w:style w:type="character" w:styleId="CommentReference">
    <w:name w:val="annotation reference"/>
    <w:basedOn w:val="DefaultParagraphFont"/>
    <w:rsid w:val="0007630C"/>
    <w:rPr>
      <w:sz w:val="16"/>
      <w:szCs w:val="16"/>
    </w:rPr>
  </w:style>
  <w:style w:type="paragraph" w:styleId="CommentText">
    <w:name w:val="annotation text"/>
    <w:basedOn w:val="Normal"/>
    <w:link w:val="CommentTextChar"/>
    <w:uiPriority w:val="99"/>
    <w:rsid w:val="0007630C"/>
    <w:rPr>
      <w:sz w:val="20"/>
    </w:rPr>
  </w:style>
  <w:style w:type="character" w:customStyle="1" w:styleId="CommentTextChar">
    <w:name w:val="Comment Text Char"/>
    <w:basedOn w:val="DefaultParagraphFont"/>
    <w:link w:val="CommentText"/>
    <w:uiPriority w:val="99"/>
    <w:rsid w:val="0007630C"/>
    <w:rPr>
      <w:lang w:val="sl-SI"/>
    </w:rPr>
  </w:style>
  <w:style w:type="paragraph" w:styleId="CommentSubject">
    <w:name w:val="annotation subject"/>
    <w:basedOn w:val="CommentText"/>
    <w:next w:val="CommentText"/>
    <w:link w:val="CommentSubjectChar"/>
    <w:uiPriority w:val="99"/>
    <w:rsid w:val="0007630C"/>
    <w:rPr>
      <w:b/>
      <w:bCs/>
    </w:rPr>
  </w:style>
  <w:style w:type="character" w:customStyle="1" w:styleId="CommentSubjectChar">
    <w:name w:val="Comment Subject Char"/>
    <w:basedOn w:val="CommentTextChar"/>
    <w:link w:val="CommentSubject"/>
    <w:rsid w:val="0007630C"/>
    <w:rPr>
      <w:b/>
      <w:bCs/>
      <w:lang w:val="sl-SI"/>
    </w:rPr>
  </w:style>
  <w:style w:type="character" w:styleId="FollowedHyperlink">
    <w:name w:val="FollowedHyperlink"/>
    <w:uiPriority w:val="99"/>
    <w:unhideWhenUsed/>
    <w:rsid w:val="0007630C"/>
    <w:rPr>
      <w:color w:val="954F72"/>
      <w:u w:val="single"/>
    </w:rPr>
  </w:style>
  <w:style w:type="paragraph" w:customStyle="1" w:styleId="msonormal0">
    <w:name w:val="msonormal"/>
    <w:basedOn w:val="Normal"/>
    <w:rsid w:val="0007630C"/>
    <w:pPr>
      <w:widowControl/>
      <w:spacing w:before="100" w:beforeAutospacing="1" w:after="100" w:afterAutospacing="1"/>
    </w:pPr>
    <w:rPr>
      <w:szCs w:val="24"/>
    </w:rPr>
  </w:style>
  <w:style w:type="paragraph" w:styleId="Revision">
    <w:name w:val="Revision"/>
    <w:hidden/>
    <w:uiPriority w:val="99"/>
    <w:rsid w:val="0007630C"/>
    <w:rPr>
      <w:sz w:val="24"/>
      <w:lang w:val="sl-SI"/>
    </w:rPr>
  </w:style>
  <w:style w:type="character" w:customStyle="1" w:styleId="Sup">
    <w:name w:val="Sup"/>
    <w:uiPriority w:val="1"/>
    <w:qFormat/>
    <w:rsid w:val="0007630C"/>
    <w:rPr>
      <w:color w:val="000000"/>
      <w:vertAlign w:val="superscript"/>
    </w:rPr>
  </w:style>
  <w:style w:type="paragraph" w:customStyle="1" w:styleId="Point1">
    <w:name w:val="Point 1"/>
    <w:basedOn w:val="Normal"/>
    <w:rsid w:val="0007630C"/>
    <w:pPr>
      <w:widowControl/>
      <w:spacing w:before="120" w:after="120"/>
      <w:ind w:left="1417" w:hanging="567"/>
      <w:jc w:val="both"/>
    </w:pPr>
    <w:rPr>
      <w:rFonts w:eastAsia="Calibri"/>
      <w:szCs w:val="22"/>
      <w:lang w:eastAsia="en-US"/>
    </w:rPr>
  </w:style>
  <w:style w:type="character" w:customStyle="1" w:styleId="superscript">
    <w:name w:val="superscript"/>
    <w:rsid w:val="0007630C"/>
    <w:rPr>
      <w:sz w:val="17"/>
      <w:szCs w:val="17"/>
      <w:vertAlign w:val="superscript"/>
    </w:rPr>
  </w:style>
  <w:style w:type="paragraph" w:customStyle="1" w:styleId="norm">
    <w:name w:val="norm"/>
    <w:basedOn w:val="Normal"/>
    <w:rsid w:val="0007630C"/>
    <w:pPr>
      <w:widowControl/>
      <w:spacing w:before="120"/>
      <w:jc w:val="both"/>
    </w:pPr>
    <w:rPr>
      <w:szCs w:val="24"/>
    </w:rPr>
  </w:style>
  <w:style w:type="paragraph" w:customStyle="1" w:styleId="PageHeadingNotTOC">
    <w:name w:val="PageHeadingNotTOC"/>
    <w:basedOn w:val="Normal"/>
    <w:rsid w:val="0007630C"/>
    <w:pPr>
      <w:keepNext/>
      <w:spacing w:before="240" w:after="240"/>
      <w:jc w:val="center"/>
    </w:pPr>
    <w:rPr>
      <w:rFonts w:ascii="Arial" w:hAnsi="Arial"/>
      <w:b/>
    </w:rPr>
  </w:style>
  <w:style w:type="paragraph" w:customStyle="1" w:styleId="ConclusionsPA">
    <w:name w:val="ConclusionsPA"/>
    <w:basedOn w:val="Normal12"/>
    <w:rsid w:val="0007630C"/>
    <w:pPr>
      <w:spacing w:before="480"/>
      <w:jc w:val="center"/>
    </w:pPr>
    <w:rPr>
      <w:rFonts w:ascii="Arial" w:hAnsi="Arial"/>
      <w:b/>
      <w:caps/>
      <w:snapToGrid w:val="0"/>
      <w:lang w:eastAsia="en-US"/>
    </w:rPr>
  </w:style>
  <w:style w:type="paragraph" w:customStyle="1" w:styleId="NormalTabs">
    <w:name w:val="NormalTabs"/>
    <w:basedOn w:val="Normal"/>
    <w:qFormat/>
    <w:rsid w:val="0007630C"/>
    <w:pPr>
      <w:tabs>
        <w:tab w:val="center" w:pos="284"/>
        <w:tab w:val="left" w:pos="426"/>
      </w:tabs>
    </w:pPr>
    <w:rPr>
      <w:snapToGrid w:val="0"/>
      <w:lang w:eastAsia="en-US"/>
    </w:rPr>
  </w:style>
  <w:style w:type="paragraph" w:customStyle="1" w:styleId="Normal24a12b">
    <w:name w:val="Normal24a12b"/>
    <w:basedOn w:val="Normal"/>
    <w:qFormat/>
    <w:rsid w:val="0007630C"/>
    <w:pPr>
      <w:spacing w:before="240" w:after="480"/>
    </w:pPr>
  </w:style>
  <w:style w:type="paragraph" w:customStyle="1" w:styleId="NormalBoldCentre">
    <w:name w:val="NormalBoldCentre"/>
    <w:basedOn w:val="Normal"/>
    <w:next w:val="Normal"/>
    <w:qFormat/>
    <w:rsid w:val="0007630C"/>
    <w:pPr>
      <w:jc w:val="center"/>
    </w:pPr>
    <w:rPr>
      <w:b/>
    </w:rPr>
  </w:style>
  <w:style w:type="paragraph" w:customStyle="1" w:styleId="Text2">
    <w:name w:val="Text 2"/>
    <w:basedOn w:val="Normal"/>
    <w:rsid w:val="0007630C"/>
    <w:pPr>
      <w:widowControl/>
      <w:spacing w:before="120" w:after="120"/>
      <w:ind w:left="1417"/>
      <w:jc w:val="both"/>
    </w:pPr>
    <w:rPr>
      <w:rFonts w:eastAsia="Calibri"/>
      <w:szCs w:val="22"/>
      <w:lang w:eastAsia="en-US"/>
    </w:rPr>
  </w:style>
  <w:style w:type="numbering" w:customStyle="1" w:styleId="NoList1">
    <w:name w:val="No List1"/>
    <w:next w:val="NoList"/>
    <w:uiPriority w:val="99"/>
    <w:semiHidden/>
    <w:unhideWhenUsed/>
    <w:rsid w:val="0007630C"/>
  </w:style>
  <w:style w:type="numbering" w:customStyle="1" w:styleId="NoList11">
    <w:name w:val="No List11"/>
    <w:next w:val="NoList"/>
    <w:uiPriority w:val="99"/>
    <w:semiHidden/>
    <w:unhideWhenUsed/>
    <w:rsid w:val="0007630C"/>
  </w:style>
  <w:style w:type="table" w:customStyle="1" w:styleId="TableGrid1">
    <w:name w:val="Table Grid1"/>
    <w:basedOn w:val="TableNormal"/>
    <w:next w:val="TableGrid"/>
    <w:rsid w:val="0007630C"/>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7630C"/>
  </w:style>
  <w:style w:type="numbering" w:customStyle="1" w:styleId="NoList12">
    <w:name w:val="No List12"/>
    <w:next w:val="NoList"/>
    <w:uiPriority w:val="99"/>
    <w:semiHidden/>
    <w:unhideWhenUsed/>
    <w:rsid w:val="0007630C"/>
  </w:style>
  <w:style w:type="table" w:customStyle="1" w:styleId="TableGrid2">
    <w:name w:val="Table Grid2"/>
    <w:basedOn w:val="TableNormal"/>
    <w:next w:val="TableGrid"/>
    <w:rsid w:val="0007630C"/>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554CA"/>
  </w:style>
  <w:style w:type="paragraph" w:customStyle="1" w:styleId="Text1">
    <w:name w:val="Text 1"/>
    <w:basedOn w:val="Normal"/>
    <w:rsid w:val="008554CA"/>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8554CA"/>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8554CA"/>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8554CA"/>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8554CA"/>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8554CA"/>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8554CA"/>
    <w:pPr>
      <w:autoSpaceDE w:val="0"/>
      <w:autoSpaceDN w:val="0"/>
      <w:adjustRightInd w:val="0"/>
    </w:pPr>
    <w:rPr>
      <w:rFonts w:eastAsiaTheme="minorEastAsia"/>
      <w:sz w:val="2"/>
      <w:szCs w:val="22"/>
    </w:rPr>
  </w:style>
  <w:style w:type="paragraph" w:customStyle="1" w:styleId="FooterCouncil">
    <w:name w:val="Footer Council"/>
    <w:basedOn w:val="Normal"/>
    <w:rsid w:val="008554CA"/>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8554CA"/>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8554CA"/>
    <w:rPr>
      <w:rFonts w:ascii="Times New Roman" w:hAnsi="Times New Roman" w:cs="Times New Roman"/>
      <w:sz w:val="24"/>
      <w:lang w:val="sl-SI"/>
    </w:rPr>
  </w:style>
  <w:style w:type="paragraph" w:customStyle="1" w:styleId="FinalLine">
    <w:name w:val="Final Line"/>
    <w:basedOn w:val="Normal"/>
    <w:next w:val="Normal"/>
    <w:rsid w:val="008554CA"/>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8554CA"/>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8554CA"/>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8554CA"/>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8554CA"/>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8554CA"/>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8554CA"/>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8554CA"/>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8554CA"/>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8554CA"/>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8554CA"/>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8554CA"/>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8554CA"/>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8554CA"/>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8554CA"/>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8554CA"/>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8554CA"/>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8554CA"/>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8554CA"/>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8554CA"/>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8554CA"/>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8554CA"/>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8554CA"/>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8554CA"/>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8554CA"/>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8554CA"/>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8554CA"/>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8554CA"/>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8554CA"/>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8554CA"/>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8554CA"/>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8554CA"/>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8554CA"/>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8554CA"/>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8554CA"/>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8554CA"/>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8554CA"/>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8554CA"/>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8554CA"/>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8554CA"/>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8554CA"/>
    <w:pPr>
      <w:numPr>
        <w:numId w:val="8"/>
      </w:numPr>
      <w:tabs>
        <w:tab w:val="clear" w:pos="567"/>
      </w:tabs>
    </w:pPr>
  </w:style>
  <w:style w:type="paragraph" w:customStyle="1" w:styleId="DashEqual1">
    <w:name w:val="Dash Equal 1"/>
    <w:basedOn w:val="Dash1"/>
    <w:rsid w:val="008554CA"/>
    <w:pPr>
      <w:numPr>
        <w:numId w:val="9"/>
      </w:numPr>
      <w:tabs>
        <w:tab w:val="clear" w:pos="1134"/>
      </w:tabs>
    </w:pPr>
  </w:style>
  <w:style w:type="paragraph" w:customStyle="1" w:styleId="DashEqual2">
    <w:name w:val="Dash Equal 2"/>
    <w:basedOn w:val="Dash2"/>
    <w:rsid w:val="008554CA"/>
    <w:pPr>
      <w:numPr>
        <w:numId w:val="10"/>
      </w:numPr>
      <w:tabs>
        <w:tab w:val="clear" w:pos="1701"/>
        <w:tab w:val="num" w:pos="567"/>
      </w:tabs>
    </w:pPr>
  </w:style>
  <w:style w:type="paragraph" w:customStyle="1" w:styleId="DashEqual3">
    <w:name w:val="Dash Equal 3"/>
    <w:basedOn w:val="Dash3"/>
    <w:rsid w:val="008554CA"/>
    <w:pPr>
      <w:numPr>
        <w:numId w:val="11"/>
      </w:numPr>
      <w:tabs>
        <w:tab w:val="clear" w:pos="2268"/>
        <w:tab w:val="num" w:pos="1134"/>
      </w:tabs>
    </w:pPr>
  </w:style>
  <w:style w:type="paragraph" w:customStyle="1" w:styleId="DashEqual4">
    <w:name w:val="Dash Equal 4"/>
    <w:basedOn w:val="Dash4"/>
    <w:rsid w:val="008554CA"/>
    <w:pPr>
      <w:numPr>
        <w:numId w:val="12"/>
      </w:numPr>
      <w:tabs>
        <w:tab w:val="clear" w:pos="2835"/>
        <w:tab w:val="num" w:pos="1701"/>
      </w:tabs>
    </w:pPr>
  </w:style>
  <w:style w:type="character" w:customStyle="1" w:styleId="Marker">
    <w:name w:val="Marker"/>
    <w:basedOn w:val="DefaultParagraphFont"/>
    <w:rsid w:val="008554CA"/>
    <w:rPr>
      <w:color w:val="0000FF"/>
      <w:shd w:val="clear" w:color="auto" w:fill="auto"/>
    </w:rPr>
  </w:style>
  <w:style w:type="character" w:customStyle="1" w:styleId="Marker1">
    <w:name w:val="Marker1"/>
    <w:basedOn w:val="DefaultParagraphFont"/>
    <w:rsid w:val="008554CA"/>
    <w:rPr>
      <w:color w:val="008000"/>
      <w:shd w:val="clear" w:color="auto" w:fill="auto"/>
    </w:rPr>
  </w:style>
  <w:style w:type="paragraph" w:customStyle="1" w:styleId="HeadingLeft">
    <w:name w:val="Heading Left"/>
    <w:basedOn w:val="Normal"/>
    <w:next w:val="Normal"/>
    <w:rsid w:val="008554CA"/>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8554CA"/>
    <w:pPr>
      <w:numPr>
        <w:numId w:val="22"/>
      </w:numPr>
      <w:tabs>
        <w:tab w:val="left" w:pos="567"/>
      </w:tabs>
    </w:pPr>
  </w:style>
  <w:style w:type="paragraph" w:customStyle="1" w:styleId="Heading123">
    <w:name w:val="Heading 123"/>
    <w:basedOn w:val="HeadingLeft"/>
    <w:next w:val="Normal"/>
    <w:rsid w:val="008554CA"/>
    <w:pPr>
      <w:numPr>
        <w:numId w:val="21"/>
      </w:numPr>
      <w:tabs>
        <w:tab w:val="left" w:pos="567"/>
      </w:tabs>
    </w:pPr>
  </w:style>
  <w:style w:type="paragraph" w:customStyle="1" w:styleId="HeadingABC">
    <w:name w:val="Heading ABC"/>
    <w:basedOn w:val="HeadingLeft"/>
    <w:next w:val="Normal"/>
    <w:rsid w:val="008554CA"/>
    <w:pPr>
      <w:numPr>
        <w:numId w:val="20"/>
      </w:numPr>
      <w:tabs>
        <w:tab w:val="left" w:pos="567"/>
      </w:tabs>
    </w:pPr>
  </w:style>
  <w:style w:type="paragraph" w:customStyle="1" w:styleId="HeadingCentered">
    <w:name w:val="Heading Centered"/>
    <w:basedOn w:val="HeadingLeft"/>
    <w:next w:val="Normal"/>
    <w:rsid w:val="008554CA"/>
    <w:pPr>
      <w:jc w:val="center"/>
    </w:pPr>
  </w:style>
  <w:style w:type="paragraph" w:customStyle="1" w:styleId="Jardin">
    <w:name w:val="Jardin"/>
    <w:basedOn w:val="Normal"/>
    <w:rsid w:val="008554CA"/>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8554CA"/>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8554CA"/>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8554CA"/>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8554CA"/>
    <w:rPr>
      <w:b/>
    </w:rPr>
  </w:style>
  <w:style w:type="paragraph" w:customStyle="1" w:styleId="Annex">
    <w:name w:val="Annex"/>
    <w:basedOn w:val="Normal"/>
    <w:next w:val="Normal"/>
    <w:rsid w:val="008554CA"/>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8554CA"/>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8554CA"/>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8554CA"/>
    <w:rPr>
      <w:rFonts w:ascii="Times New Roman" w:hAnsi="Times New Roman" w:cs="Times New Roman"/>
      <w:b/>
      <w:sz w:val="24"/>
      <w:shd w:val="clear" w:color="auto" w:fill="CCCCCC"/>
    </w:rPr>
  </w:style>
  <w:style w:type="paragraph" w:customStyle="1" w:styleId="NormalCompact">
    <w:name w:val="Normal Compact"/>
    <w:basedOn w:val="Normal"/>
    <w:next w:val="Normal"/>
    <w:rsid w:val="008554CA"/>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8554CA"/>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8554CA"/>
    <w:rPr>
      <w:rFonts w:eastAsiaTheme="minorEastAsia"/>
      <w:lang w:val="sl-SI"/>
    </w:rPr>
  </w:style>
  <w:style w:type="character" w:styleId="EndnoteReference">
    <w:name w:val="endnote reference"/>
    <w:basedOn w:val="DefaultParagraphFont"/>
    <w:uiPriority w:val="99"/>
    <w:rsid w:val="008554CA"/>
    <w:rPr>
      <w:vertAlign w:val="superscript"/>
    </w:rPr>
  </w:style>
  <w:style w:type="paragraph" w:customStyle="1" w:styleId="HeaderCouncilLarge">
    <w:name w:val="Header Council Large"/>
    <w:basedOn w:val="Normal"/>
    <w:rsid w:val="008554CA"/>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8554CA"/>
    <w:rPr>
      <w:rFonts w:ascii="Times New Roman" w:hAnsi="Times New Roman" w:cs="Times New Roman"/>
      <w:sz w:val="2"/>
      <w:lang w:val="sl-SI"/>
    </w:rPr>
  </w:style>
  <w:style w:type="paragraph" w:customStyle="1" w:styleId="FooterText">
    <w:name w:val="Footer Text"/>
    <w:basedOn w:val="Normal"/>
    <w:rsid w:val="008554CA"/>
    <w:pPr>
      <w:autoSpaceDE w:val="0"/>
      <w:autoSpaceDN w:val="0"/>
      <w:adjustRightInd w:val="0"/>
    </w:pPr>
    <w:rPr>
      <w:rFonts w:eastAsiaTheme="minorEastAsia"/>
      <w:szCs w:val="24"/>
    </w:rPr>
  </w:style>
  <w:style w:type="character" w:styleId="PlaceholderText">
    <w:name w:val="Placeholder Text"/>
    <w:basedOn w:val="DefaultParagraphFont"/>
    <w:uiPriority w:val="99"/>
    <w:rsid w:val="008554CA"/>
    <w:rPr>
      <w:color w:val="808080"/>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8554CA"/>
    <w:pPr>
      <w:autoSpaceDE w:val="0"/>
      <w:autoSpaceDN w:val="0"/>
      <w:adjustRightInd w:val="0"/>
      <w:spacing w:before="120" w:after="120"/>
      <w:ind w:left="720"/>
      <w:contextualSpacing/>
      <w:jc w:val="both"/>
    </w:pPr>
    <w:rPr>
      <w:rFonts w:eastAsiaTheme="minorEastAsia"/>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8554CA"/>
    <w:rPr>
      <w:rFonts w:ascii="Times New Roman" w:eastAsia="Times New Roman" w:hAnsi="Times New Roman" w:cs="Times New Roman"/>
      <w:sz w:val="24"/>
      <w:lang w:val="sl-SI"/>
    </w:rPr>
  </w:style>
  <w:style w:type="paragraph" w:styleId="NormalWeb">
    <w:name w:val="Normal (Web)"/>
    <w:basedOn w:val="Normal"/>
    <w:uiPriority w:val="99"/>
    <w:rsid w:val="008554CA"/>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8554CA"/>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8554CA"/>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8554CA"/>
    <w:pPr>
      <w:autoSpaceDE w:val="0"/>
      <w:autoSpaceDN w:val="0"/>
      <w:adjustRightInd w:val="0"/>
      <w:spacing w:before="120" w:after="120"/>
    </w:pPr>
    <w:rPr>
      <w:rFonts w:eastAsiaTheme="minorEastAsia"/>
      <w:szCs w:val="22"/>
    </w:rPr>
  </w:style>
  <w:style w:type="paragraph" w:customStyle="1" w:styleId="QuotedText">
    <w:name w:val="Quoted Text"/>
    <w:basedOn w:val="Normal"/>
    <w:rsid w:val="008554CA"/>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8554CA"/>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8554CA"/>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8554CA"/>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8554CA"/>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8554CA"/>
    <w:pPr>
      <w:numPr>
        <w:numId w:val="27"/>
      </w:numPr>
      <w:tabs>
        <w:tab w:val="left" w:pos="850"/>
      </w:tabs>
    </w:pPr>
  </w:style>
  <w:style w:type="paragraph" w:customStyle="1" w:styleId="Tiret1">
    <w:name w:val="Tiret 1"/>
    <w:basedOn w:val="Point1"/>
    <w:rsid w:val="008554CA"/>
    <w:pPr>
      <w:widowControl w:val="0"/>
      <w:numPr>
        <w:numId w:val="28"/>
      </w:numPr>
      <w:tabs>
        <w:tab w:val="left" w:pos="1417"/>
      </w:tabs>
      <w:autoSpaceDE w:val="0"/>
      <w:autoSpaceDN w:val="0"/>
      <w:adjustRightInd w:val="0"/>
    </w:pPr>
    <w:rPr>
      <w:rFonts w:eastAsiaTheme="minorEastAsia"/>
      <w:lang w:eastAsia="en-GB"/>
    </w:rPr>
  </w:style>
  <w:style w:type="paragraph" w:customStyle="1" w:styleId="Tiret2">
    <w:name w:val="Tiret 2"/>
    <w:basedOn w:val="Point2"/>
    <w:rsid w:val="008554CA"/>
    <w:pPr>
      <w:numPr>
        <w:numId w:val="29"/>
      </w:numPr>
      <w:tabs>
        <w:tab w:val="left" w:pos="1984"/>
      </w:tabs>
    </w:pPr>
  </w:style>
  <w:style w:type="paragraph" w:customStyle="1" w:styleId="Tiret3">
    <w:name w:val="Tiret 3"/>
    <w:basedOn w:val="Point3"/>
    <w:rsid w:val="008554CA"/>
    <w:pPr>
      <w:numPr>
        <w:numId w:val="30"/>
      </w:numPr>
      <w:tabs>
        <w:tab w:val="left" w:pos="2551"/>
      </w:tabs>
    </w:pPr>
  </w:style>
  <w:style w:type="paragraph" w:customStyle="1" w:styleId="Tiret4">
    <w:name w:val="Tiret 4"/>
    <w:basedOn w:val="Point4"/>
    <w:rsid w:val="008554CA"/>
    <w:pPr>
      <w:numPr>
        <w:numId w:val="31"/>
      </w:numPr>
      <w:tabs>
        <w:tab w:val="left" w:pos="3118"/>
      </w:tabs>
    </w:pPr>
  </w:style>
  <w:style w:type="paragraph" w:customStyle="1" w:styleId="PointDouble0">
    <w:name w:val="PointDouble 0"/>
    <w:basedOn w:val="Normal"/>
    <w:rsid w:val="008554CA"/>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8554CA"/>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8554CA"/>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8554CA"/>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8554CA"/>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8554CA"/>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8554CA"/>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8554CA"/>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8554CA"/>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8554CA"/>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8554CA"/>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8554CA"/>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8554CA"/>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8554CA"/>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8554CA"/>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8554CA"/>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8554CA"/>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8554CA"/>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8554CA"/>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8554CA"/>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8554CA"/>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8554CA"/>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8554CA"/>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8554CA"/>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8554CA"/>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8554CA"/>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8554CA"/>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8554CA"/>
    <w:rPr>
      <w:color w:val="FF0000"/>
      <w:shd w:val="clear" w:color="auto" w:fill="auto"/>
    </w:rPr>
  </w:style>
  <w:style w:type="paragraph" w:customStyle="1" w:styleId="Point0number">
    <w:name w:val="Point 0 (number)"/>
    <w:basedOn w:val="Normal"/>
    <w:qFormat/>
    <w:rsid w:val="008554CA"/>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8554CA"/>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8554CA"/>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8554CA"/>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8554CA"/>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8554CA"/>
    <w:pPr>
      <w:widowControl w:val="0"/>
      <w:autoSpaceDE w:val="0"/>
      <w:autoSpaceDN w:val="0"/>
      <w:adjustRightInd w:val="0"/>
      <w:spacing w:before="120" w:after="120"/>
      <w:ind w:left="1418" w:hanging="567"/>
      <w:jc w:val="both"/>
    </w:pPr>
    <w:rPr>
      <w:rFonts w:eastAsiaTheme="minorEastAsia"/>
      <w:sz w:val="24"/>
      <w:szCs w:val="22"/>
      <w:lang w:val="sl-SI"/>
    </w:rPr>
  </w:style>
  <w:style w:type="paragraph" w:customStyle="1" w:styleId="Point2letter">
    <w:name w:val="Point 2 (letter)"/>
    <w:basedOn w:val="Normal"/>
    <w:rsid w:val="008554CA"/>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8554CA"/>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8554CA"/>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8554CA"/>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8554CA"/>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8554CA"/>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8554CA"/>
    <w:pPr>
      <w:autoSpaceDE w:val="0"/>
      <w:autoSpaceDN w:val="0"/>
      <w:adjustRightInd w:val="0"/>
      <w:ind w:left="5103"/>
    </w:pPr>
    <w:rPr>
      <w:rFonts w:eastAsiaTheme="minorEastAsia"/>
      <w:szCs w:val="22"/>
    </w:rPr>
  </w:style>
  <w:style w:type="paragraph" w:customStyle="1" w:styleId="Statut">
    <w:name w:val="Statut"/>
    <w:basedOn w:val="Normal"/>
    <w:next w:val="Typedudocument"/>
    <w:rsid w:val="008554CA"/>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8554CA"/>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8554CA"/>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8554CA"/>
    <w:pPr>
      <w:spacing w:after="240"/>
    </w:pPr>
  </w:style>
  <w:style w:type="paragraph" w:customStyle="1" w:styleId="Languesfaisantfoi">
    <w:name w:val="Langues faisant foi"/>
    <w:basedOn w:val="Normal"/>
    <w:next w:val="Normal"/>
    <w:rsid w:val="008554CA"/>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8554CA"/>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8554CA"/>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8554CA"/>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8554CA"/>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8554CA"/>
  </w:style>
  <w:style w:type="paragraph" w:customStyle="1" w:styleId="TitreobjetPagedecouverture">
    <w:name w:val="Titre objet (Page de couverture)"/>
    <w:basedOn w:val="Titreobjet"/>
    <w:next w:val="IntrtEEEPagedecouverture"/>
    <w:rsid w:val="008554CA"/>
  </w:style>
  <w:style w:type="paragraph" w:customStyle="1" w:styleId="IntrtEEEPagedecouverture">
    <w:name w:val="Intérêt EEE (Page de couverture)"/>
    <w:basedOn w:val="IntrtEEE"/>
    <w:next w:val="Rfrencecroise"/>
    <w:rsid w:val="008554CA"/>
  </w:style>
  <w:style w:type="paragraph" w:customStyle="1" w:styleId="Rfrencecroise">
    <w:name w:val="Référence croisée"/>
    <w:basedOn w:val="Normal"/>
    <w:rsid w:val="008554CA"/>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8554CA"/>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8554CA"/>
    <w:pPr>
      <w:autoSpaceDE w:val="0"/>
      <w:autoSpaceDN w:val="0"/>
      <w:adjustRightInd w:val="0"/>
      <w:jc w:val="both"/>
    </w:pPr>
    <w:rPr>
      <w:rFonts w:eastAsiaTheme="minorEastAsia"/>
      <w:szCs w:val="22"/>
    </w:rPr>
  </w:style>
  <w:style w:type="paragraph" w:customStyle="1" w:styleId="Disclaimer">
    <w:name w:val="Disclaimer"/>
    <w:basedOn w:val="Normal"/>
    <w:rsid w:val="008554CA"/>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8554CA"/>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8554CA"/>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8554CA"/>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8554CA"/>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8554CA"/>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8554CA"/>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8554CA"/>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8554CA"/>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8554CA"/>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8554CA"/>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8554CA"/>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8554CA"/>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8554CA"/>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8554CA"/>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8554CA"/>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8554CA"/>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8554CA"/>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8554CA"/>
    <w:rPr>
      <w:b/>
      <w:u w:val="single"/>
      <w:shd w:val="clear" w:color="auto" w:fill="auto"/>
    </w:rPr>
  </w:style>
  <w:style w:type="character" w:customStyle="1" w:styleId="Deleted">
    <w:name w:val="Deleted"/>
    <w:basedOn w:val="DefaultParagraphFont"/>
    <w:rsid w:val="008554CA"/>
    <w:rPr>
      <w:strike/>
      <w:shd w:val="clear" w:color="auto" w:fill="auto"/>
    </w:rPr>
  </w:style>
  <w:style w:type="paragraph" w:customStyle="1" w:styleId="Address">
    <w:name w:val="Address"/>
    <w:basedOn w:val="Normal"/>
    <w:next w:val="Normal"/>
    <w:rsid w:val="008554CA"/>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8554CA"/>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8554CA"/>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8554CA"/>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8554CA"/>
  </w:style>
  <w:style w:type="paragraph" w:customStyle="1" w:styleId="RfrenceinterinstitutionnellePagedecouverture">
    <w:name w:val="Référence interinstitutionnelle (Page de couverture)"/>
    <w:basedOn w:val="Rfrenceinterinstitutionnelle"/>
    <w:next w:val="Confidentialit"/>
    <w:rsid w:val="008554CA"/>
  </w:style>
  <w:style w:type="paragraph" w:customStyle="1" w:styleId="StatutPagedecouverture">
    <w:name w:val="Statut (Page de couverture)"/>
    <w:basedOn w:val="Statut"/>
    <w:next w:val="TypedudocumentPagedecouverture"/>
    <w:rsid w:val="008554CA"/>
  </w:style>
  <w:style w:type="paragraph" w:customStyle="1" w:styleId="Volume">
    <w:name w:val="Volume"/>
    <w:basedOn w:val="Normal"/>
    <w:next w:val="Confidentialit"/>
    <w:rsid w:val="008554CA"/>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8554CA"/>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8554CA"/>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8554CA"/>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8554CA"/>
  </w:style>
  <w:style w:type="paragraph" w:customStyle="1" w:styleId="TypeacteprincipalPagedecouverture">
    <w:name w:val="Type acte principal (Page de couverture)"/>
    <w:basedOn w:val="Typeacteprincipal"/>
    <w:next w:val="ObjetacteprincipalPagedecouverture"/>
    <w:rsid w:val="008554CA"/>
  </w:style>
  <w:style w:type="paragraph" w:customStyle="1" w:styleId="ObjetacteprincipalPagedecouverture">
    <w:name w:val="Objet acte principal (Page de couverture)"/>
    <w:basedOn w:val="Objetacteprincipal"/>
    <w:next w:val="Rfrencecroise"/>
    <w:rsid w:val="008554CA"/>
  </w:style>
  <w:style w:type="paragraph" w:customStyle="1" w:styleId="LanguesfaisantfoiPagedecouverture">
    <w:name w:val="Langues faisant foi (Page de couverture)"/>
    <w:basedOn w:val="Normal"/>
    <w:next w:val="Normal"/>
    <w:rsid w:val="008554CA"/>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8554CA"/>
    <w:pPr>
      <w:autoSpaceDE w:val="0"/>
      <w:autoSpaceDN w:val="0"/>
      <w:adjustRightInd w:val="0"/>
      <w:jc w:val="center"/>
    </w:pPr>
    <w:rPr>
      <w:rFonts w:eastAsiaTheme="minorEastAsia"/>
      <w:b/>
      <w:szCs w:val="24"/>
    </w:rPr>
  </w:style>
  <w:style w:type="paragraph" w:customStyle="1" w:styleId="ListNumberLevel2">
    <w:name w:val="List Number (Level 2)"/>
    <w:basedOn w:val="Normal"/>
    <w:rsid w:val="008554CA"/>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8554CA"/>
    <w:pPr>
      <w:widowControl w:val="0"/>
      <w:autoSpaceDE w:val="0"/>
      <w:autoSpaceDN w:val="0"/>
      <w:adjustRightInd w:val="0"/>
      <w:spacing w:before="120" w:after="120"/>
      <w:jc w:val="both"/>
    </w:pPr>
    <w:rPr>
      <w:rFonts w:eastAsiaTheme="minorEastAsia"/>
      <w:sz w:val="24"/>
      <w:szCs w:val="22"/>
      <w:lang w:val="sl-SI"/>
    </w:rPr>
  </w:style>
  <w:style w:type="character" w:customStyle="1" w:styleId="Sub">
    <w:name w:val="Sub"/>
    <w:uiPriority w:val="1"/>
    <w:qFormat/>
    <w:rsid w:val="008554CA"/>
    <w:rPr>
      <w:rFonts w:ascii="Times New Roman" w:hAnsi="Times New Roman"/>
      <w:sz w:val="24"/>
      <w:vertAlign w:val="subscript"/>
    </w:rPr>
  </w:style>
  <w:style w:type="character" w:customStyle="1" w:styleId="Italic">
    <w:name w:val="Italic"/>
    <w:uiPriority w:val="1"/>
    <w:qFormat/>
    <w:rsid w:val="008554CA"/>
    <w:rPr>
      <w:rFonts w:ascii="Times New Roman" w:hAnsi="Times New Roman"/>
      <w:i/>
      <w:sz w:val="24"/>
    </w:rPr>
  </w:style>
  <w:style w:type="character" w:customStyle="1" w:styleId="Bold">
    <w:name w:val="Bold"/>
    <w:uiPriority w:val="1"/>
    <w:qFormat/>
    <w:rsid w:val="008554CA"/>
    <w:rPr>
      <w:rFonts w:ascii="Times New Roman" w:hAnsi="Times New Roman"/>
      <w:b/>
      <w:sz w:val="24"/>
    </w:rPr>
  </w:style>
  <w:style w:type="character" w:customStyle="1" w:styleId="Underline">
    <w:name w:val="Underline"/>
    <w:uiPriority w:val="1"/>
    <w:qFormat/>
    <w:rsid w:val="008554CA"/>
    <w:rPr>
      <w:rFonts w:ascii="Times New Roman" w:hAnsi="Times New Roman"/>
      <w:sz w:val="24"/>
      <w:u w:val="single"/>
    </w:rPr>
  </w:style>
  <w:style w:type="character" w:customStyle="1" w:styleId="Strikethrough">
    <w:name w:val="Strikethrough"/>
    <w:uiPriority w:val="1"/>
    <w:qFormat/>
    <w:rsid w:val="008554CA"/>
    <w:rPr>
      <w:rFonts w:ascii="Times New Roman" w:hAnsi="Times New Roman"/>
      <w:strike/>
      <w:sz w:val="24"/>
    </w:rPr>
  </w:style>
  <w:style w:type="character" w:customStyle="1" w:styleId="BoldItalic">
    <w:name w:val="BoldItalic"/>
    <w:basedOn w:val="Bold"/>
    <w:uiPriority w:val="1"/>
    <w:qFormat/>
    <w:rsid w:val="008554CA"/>
    <w:rPr>
      <w:rFonts w:ascii="Times New Roman" w:hAnsi="Times New Roman"/>
      <w:b/>
      <w:i/>
      <w:sz w:val="24"/>
    </w:rPr>
  </w:style>
  <w:style w:type="character" w:customStyle="1" w:styleId="BoldItalicFootnote">
    <w:name w:val="BoldItalicFootnote"/>
    <w:basedOn w:val="BoldItalic"/>
    <w:uiPriority w:val="1"/>
    <w:qFormat/>
    <w:rsid w:val="008554CA"/>
    <w:rPr>
      <w:rFonts w:ascii="Times New Roman" w:hAnsi="Times New Roman"/>
      <w:b/>
      <w:i/>
      <w:sz w:val="20"/>
    </w:rPr>
  </w:style>
  <w:style w:type="character" w:customStyle="1" w:styleId="StrikethroughFootnote">
    <w:name w:val="StrikethroughFootnote"/>
    <w:basedOn w:val="Strikethrough"/>
    <w:uiPriority w:val="1"/>
    <w:qFormat/>
    <w:rsid w:val="008554CA"/>
    <w:rPr>
      <w:rFonts w:ascii="Times New Roman" w:hAnsi="Times New Roman"/>
      <w:strike/>
      <w:sz w:val="20"/>
    </w:rPr>
  </w:style>
  <w:style w:type="paragraph" w:customStyle="1" w:styleId="HeaderDisclaimer">
    <w:name w:val="HeaderDisclaimer"/>
    <w:basedOn w:val="Normal"/>
    <w:qFormat/>
    <w:rsid w:val="008554CA"/>
    <w:pPr>
      <w:autoSpaceDE w:val="0"/>
      <w:autoSpaceDN w:val="0"/>
      <w:adjustRightInd w:val="0"/>
      <w:jc w:val="both"/>
    </w:pPr>
    <w:rPr>
      <w:rFonts w:eastAsiaTheme="minorEastAsia"/>
      <w:i/>
      <w:szCs w:val="22"/>
    </w:rPr>
  </w:style>
  <w:style w:type="paragraph" w:customStyle="1" w:styleId="Normal12b">
    <w:name w:val="Normal12b"/>
    <w:basedOn w:val="Normal"/>
    <w:qFormat/>
    <w:rsid w:val="008554CA"/>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8554CA"/>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8554CA"/>
    <w:pPr>
      <w:spacing w:before="120"/>
    </w:pPr>
  </w:style>
  <w:style w:type="paragraph" w:customStyle="1" w:styleId="TitlePar3">
    <w:name w:val="TitlePar 3"/>
    <w:basedOn w:val="TitlePar2"/>
    <w:qFormat/>
    <w:rsid w:val="008554CA"/>
    <w:rPr>
      <w:b w:val="0"/>
      <w:i/>
    </w:rPr>
  </w:style>
  <w:style w:type="paragraph" w:customStyle="1" w:styleId="SubsectionTitle">
    <w:name w:val="SubsectionTitle"/>
    <w:basedOn w:val="SectionTitle"/>
    <w:qFormat/>
    <w:rsid w:val="008554CA"/>
    <w:pPr>
      <w:spacing w:after="240"/>
    </w:pPr>
    <w:rPr>
      <w:sz w:val="24"/>
    </w:rPr>
  </w:style>
  <w:style w:type="paragraph" w:customStyle="1" w:styleId="TextBorder0">
    <w:name w:val="TextBorder 0"/>
    <w:basedOn w:val="NormalWeb"/>
    <w:qFormat/>
    <w:rsid w:val="008554CA"/>
    <w:pPr>
      <w:pBdr>
        <w:bottom w:val="single" w:sz="4" w:space="1" w:color="auto"/>
      </w:pBdr>
      <w:spacing w:before="0" w:line="240" w:lineRule="auto"/>
      <w:ind w:right="7371"/>
    </w:pPr>
  </w:style>
  <w:style w:type="paragraph" w:customStyle="1" w:styleId="NormalCenteredBold">
    <w:name w:val="Normal Centered Bold"/>
    <w:basedOn w:val="NormalCentered"/>
    <w:qFormat/>
    <w:rsid w:val="008554CA"/>
    <w:pPr>
      <w:spacing w:before="120" w:line="240" w:lineRule="auto"/>
    </w:pPr>
    <w:rPr>
      <w:b/>
    </w:rPr>
  </w:style>
  <w:style w:type="paragraph" w:customStyle="1" w:styleId="NumTitle">
    <w:name w:val="NumTitle"/>
    <w:basedOn w:val="Normal"/>
    <w:qFormat/>
    <w:rsid w:val="008554CA"/>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8554CA"/>
  </w:style>
  <w:style w:type="character" w:customStyle="1" w:styleId="BalloonTextChar1">
    <w:name w:val="Balloon Text Char1"/>
    <w:basedOn w:val="DefaultParagraphFont"/>
    <w:uiPriority w:val="99"/>
    <w:rsid w:val="008554CA"/>
    <w:rPr>
      <w:rFonts w:ascii="Segoe UI" w:hAnsi="Segoe UI" w:cs="Segoe UI"/>
      <w:sz w:val="18"/>
      <w:szCs w:val="18"/>
    </w:rPr>
  </w:style>
  <w:style w:type="paragraph" w:customStyle="1" w:styleId="CM11">
    <w:name w:val="CM1+1"/>
    <w:basedOn w:val="Normal"/>
    <w:next w:val="Normal"/>
    <w:uiPriority w:val="99"/>
    <w:rsid w:val="008554CA"/>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8554CA"/>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8554CA"/>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8554CA"/>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8554CA"/>
    <w:rPr>
      <w:rFonts w:ascii="Times New Roman" w:hAnsi="Times New Roman" w:cs="Times New Roman"/>
      <w:b/>
      <w:sz w:val="20"/>
      <w:szCs w:val="20"/>
      <w:lang w:val="sl-SI"/>
    </w:rPr>
  </w:style>
  <w:style w:type="paragraph" w:styleId="NoSpacing">
    <w:name w:val="No Spacing"/>
    <w:uiPriority w:val="1"/>
    <w:qFormat/>
    <w:rsid w:val="008554CA"/>
    <w:pPr>
      <w:widowControl w:val="0"/>
      <w:autoSpaceDE w:val="0"/>
      <w:autoSpaceDN w:val="0"/>
      <w:adjustRightInd w:val="0"/>
    </w:pPr>
    <w:rPr>
      <w:rFonts w:ascii="Calibri" w:eastAsiaTheme="minorEastAsia" w:hAnsi="Calibri" w:cs="Calibri"/>
      <w:sz w:val="22"/>
      <w:szCs w:val="22"/>
      <w:lang w:val="sl-SI"/>
    </w:rPr>
  </w:style>
  <w:style w:type="paragraph" w:styleId="ListBullet">
    <w:name w:val="List Bullet"/>
    <w:basedOn w:val="Normal"/>
    <w:uiPriority w:val="99"/>
    <w:rsid w:val="008554CA"/>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8554CA"/>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8554CA"/>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8554CA"/>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8554CA"/>
    <w:pPr>
      <w:widowControl w:val="0"/>
      <w:autoSpaceDE w:val="0"/>
      <w:autoSpaceDN w:val="0"/>
      <w:adjustRightInd w:val="0"/>
    </w:pPr>
    <w:rPr>
      <w:rFonts w:ascii="Verdana" w:eastAsiaTheme="minorEastAsia" w:hAnsi="Verdana" w:cs="Arial"/>
      <w:color w:val="000000"/>
      <w:sz w:val="24"/>
      <w:szCs w:val="24"/>
      <w:lang w:val="sl-SI"/>
    </w:rPr>
  </w:style>
  <w:style w:type="paragraph" w:customStyle="1" w:styleId="CM1">
    <w:name w:val="CM1"/>
    <w:basedOn w:val="Default"/>
    <w:next w:val="Default"/>
    <w:uiPriority w:val="99"/>
    <w:rsid w:val="008554CA"/>
    <w:rPr>
      <w:rFonts w:ascii="Times New Roman" w:hAnsi="Times New Roman" w:cs="Times New Roman"/>
      <w:color w:val="auto"/>
    </w:rPr>
  </w:style>
  <w:style w:type="paragraph" w:customStyle="1" w:styleId="CM3">
    <w:name w:val="CM3"/>
    <w:basedOn w:val="Default"/>
    <w:next w:val="Default"/>
    <w:uiPriority w:val="99"/>
    <w:rsid w:val="008554CA"/>
    <w:rPr>
      <w:rFonts w:ascii="Times New Roman" w:hAnsi="Times New Roman" w:cs="Times New Roman"/>
      <w:color w:val="auto"/>
    </w:rPr>
  </w:style>
  <w:style w:type="paragraph" w:styleId="Caption">
    <w:name w:val="caption"/>
    <w:basedOn w:val="Normal"/>
    <w:next w:val="Normal"/>
    <w:uiPriority w:val="35"/>
    <w:qFormat/>
    <w:rsid w:val="008554CA"/>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8554CA"/>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8554CA"/>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8554CA"/>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8554CA"/>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8554CA"/>
    <w:rPr>
      <w:rFonts w:ascii="Times New Roman" w:hAnsi="Times New Roman" w:cs="Times New Roman"/>
      <w:color w:val="auto"/>
    </w:rPr>
  </w:style>
  <w:style w:type="character" w:styleId="Strong">
    <w:name w:val="Strong"/>
    <w:basedOn w:val="DefaultParagraphFont"/>
    <w:uiPriority w:val="22"/>
    <w:qFormat/>
    <w:rsid w:val="008554CA"/>
    <w:rPr>
      <w:b/>
    </w:rPr>
  </w:style>
  <w:style w:type="character" w:customStyle="1" w:styleId="outputecli">
    <w:name w:val="outputecli"/>
    <w:basedOn w:val="DefaultParagraphFont"/>
    <w:rsid w:val="008554CA"/>
  </w:style>
  <w:style w:type="paragraph" w:customStyle="1" w:styleId="Num">
    <w:name w:val="Num"/>
    <w:basedOn w:val="Normal"/>
    <w:rsid w:val="008554CA"/>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8554CA"/>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8554CA"/>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8554CA"/>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8554CA"/>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8554CA"/>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8554CA"/>
  </w:style>
  <w:style w:type="paragraph" w:customStyle="1" w:styleId="ChapterTI">
    <w:name w:val="Chapter TI"/>
    <w:basedOn w:val="Normal"/>
    <w:rsid w:val="008554CA"/>
    <w:pPr>
      <w:autoSpaceDE w:val="0"/>
      <w:autoSpaceDN w:val="0"/>
      <w:adjustRightInd w:val="0"/>
      <w:spacing w:before="120" w:after="120"/>
      <w:jc w:val="both"/>
    </w:pPr>
    <w:rPr>
      <w:rFonts w:eastAsiaTheme="minorEastAsia"/>
      <w:szCs w:val="22"/>
    </w:rPr>
  </w:style>
  <w:style w:type="paragraph" w:customStyle="1" w:styleId="Point">
    <w:name w:val="Point"/>
    <w:basedOn w:val="Normal"/>
    <w:rsid w:val="008554CA"/>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8554CA"/>
    <w:pPr>
      <w:spacing w:line="240" w:lineRule="auto"/>
      <w:ind w:left="850"/>
      <w:jc w:val="both"/>
    </w:pPr>
  </w:style>
  <w:style w:type="paragraph" w:customStyle="1" w:styleId="Opoint1">
    <w:name w:val="Opoint 1"/>
    <w:basedOn w:val="Point0letter"/>
    <w:rsid w:val="008554CA"/>
    <w:pPr>
      <w:numPr>
        <w:ilvl w:val="0"/>
        <w:numId w:val="0"/>
      </w:numPr>
      <w:ind w:left="850" w:hanging="850"/>
    </w:pPr>
  </w:style>
  <w:style w:type="paragraph" w:customStyle="1" w:styleId="Part">
    <w:name w:val="Part"/>
    <w:basedOn w:val="Point2number"/>
    <w:rsid w:val="008554CA"/>
    <w:pPr>
      <w:tabs>
        <w:tab w:val="left" w:pos="1984"/>
      </w:tabs>
      <w:ind w:left="1984"/>
    </w:pPr>
  </w:style>
  <w:style w:type="paragraph" w:customStyle="1" w:styleId="Chapter">
    <w:name w:val="Chapter"/>
    <w:basedOn w:val="Point2number"/>
    <w:rsid w:val="008554CA"/>
    <w:pPr>
      <w:tabs>
        <w:tab w:val="left" w:pos="1984"/>
      </w:tabs>
      <w:ind w:left="1984"/>
    </w:pPr>
  </w:style>
  <w:style w:type="paragraph" w:customStyle="1" w:styleId="a">
    <w:name w:val="#"/>
    <w:basedOn w:val="Point0letter"/>
    <w:rsid w:val="008554CA"/>
    <w:pPr>
      <w:numPr>
        <w:ilvl w:val="0"/>
        <w:numId w:val="0"/>
      </w:numPr>
      <w:ind w:left="960" w:hanging="850"/>
    </w:pPr>
  </w:style>
  <w:style w:type="paragraph" w:customStyle="1" w:styleId="Article">
    <w:name w:val="Article"/>
    <w:basedOn w:val="Point0letter"/>
    <w:rsid w:val="008554CA"/>
    <w:pPr>
      <w:numPr>
        <w:ilvl w:val="0"/>
        <w:numId w:val="0"/>
      </w:numPr>
      <w:ind w:left="850" w:hanging="850"/>
    </w:pPr>
  </w:style>
  <w:style w:type="paragraph" w:customStyle="1" w:styleId="Parnum">
    <w:name w:val="Parnum"/>
    <w:basedOn w:val="Text1"/>
    <w:rsid w:val="008554CA"/>
    <w:pPr>
      <w:spacing w:line="240" w:lineRule="auto"/>
      <w:ind w:left="850"/>
      <w:jc w:val="both"/>
    </w:pPr>
  </w:style>
  <w:style w:type="paragraph" w:customStyle="1" w:styleId="PointLETT">
    <w:name w:val="Point = LETT"/>
    <w:basedOn w:val="NumPar1"/>
    <w:rsid w:val="008554CA"/>
    <w:pPr>
      <w:tabs>
        <w:tab w:val="left" w:pos="850"/>
      </w:tabs>
      <w:ind w:left="850" w:hanging="850"/>
    </w:pPr>
  </w:style>
  <w:style w:type="paragraph" w:customStyle="1" w:styleId="ChapterTItre">
    <w:name w:val="Chapter TItre"/>
    <w:basedOn w:val="Point2number"/>
    <w:rsid w:val="008554CA"/>
    <w:pPr>
      <w:tabs>
        <w:tab w:val="left" w:pos="1984"/>
      </w:tabs>
      <w:ind w:left="1984"/>
    </w:pPr>
  </w:style>
  <w:style w:type="paragraph" w:customStyle="1" w:styleId="PointL">
    <w:name w:val="Point L"/>
    <w:basedOn w:val="NumPar1"/>
    <w:rsid w:val="008554CA"/>
    <w:pPr>
      <w:tabs>
        <w:tab w:val="left" w:pos="850"/>
      </w:tabs>
      <w:ind w:left="850" w:hanging="850"/>
    </w:pPr>
  </w:style>
  <w:style w:type="paragraph" w:customStyle="1" w:styleId="Titr">
    <w:name w:val="Titr"/>
    <w:basedOn w:val="NumPar1"/>
    <w:rsid w:val="008554CA"/>
    <w:pPr>
      <w:tabs>
        <w:tab w:val="left" w:pos="850"/>
      </w:tabs>
      <w:ind w:left="850" w:hanging="850"/>
    </w:pPr>
    <w:rPr>
      <w:i/>
    </w:rPr>
  </w:style>
  <w:style w:type="paragraph" w:customStyle="1" w:styleId="Partti">
    <w:name w:val="Part ti"/>
    <w:basedOn w:val="ChapterTitle"/>
    <w:rsid w:val="008554CA"/>
  </w:style>
  <w:style w:type="paragraph" w:customStyle="1" w:styleId="TitreARTICLE0">
    <w:name w:val="TitreARTICLE"/>
    <w:basedOn w:val="ChapterTitle"/>
    <w:rsid w:val="008554CA"/>
  </w:style>
  <w:style w:type="paragraph" w:customStyle="1" w:styleId="Itre">
    <w:name w:val="Itre"/>
    <w:basedOn w:val="Normal"/>
    <w:rsid w:val="008554CA"/>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8554CA"/>
    <w:pPr>
      <w:autoSpaceDE w:val="0"/>
      <w:autoSpaceDN w:val="0"/>
      <w:adjustRightInd w:val="0"/>
      <w:spacing w:before="120" w:after="120"/>
      <w:jc w:val="both"/>
    </w:pPr>
    <w:rPr>
      <w:szCs w:val="22"/>
    </w:rPr>
  </w:style>
  <w:style w:type="paragraph" w:customStyle="1" w:styleId="Titre">
    <w:name w:val="Titre+"/>
    <w:basedOn w:val="Titrearticel"/>
    <w:rsid w:val="008554CA"/>
  </w:style>
  <w:style w:type="paragraph" w:customStyle="1" w:styleId="Titl">
    <w:name w:val="Titl"/>
    <w:basedOn w:val="stitle-article-norm"/>
    <w:rsid w:val="008554CA"/>
    <w:pPr>
      <w:widowControl w:val="0"/>
      <w:autoSpaceDE w:val="0"/>
      <w:autoSpaceDN w:val="0"/>
      <w:adjustRightInd w:val="0"/>
    </w:pPr>
    <w:rPr>
      <w:rFonts w:eastAsiaTheme="minorEastAsia"/>
      <w:bCs w:val="0"/>
    </w:rPr>
  </w:style>
  <w:style w:type="paragraph" w:customStyle="1" w:styleId="Tim">
    <w:name w:val="Tim"/>
    <w:basedOn w:val="Normal"/>
    <w:rsid w:val="008554CA"/>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8554CA"/>
    <w:pPr>
      <w:tabs>
        <w:tab w:val="clear" w:pos="2835"/>
        <w:tab w:val="left" w:pos="850"/>
      </w:tabs>
      <w:ind w:left="850" w:hanging="850"/>
    </w:pPr>
  </w:style>
  <w:style w:type="table" w:customStyle="1" w:styleId="TableGrid3">
    <w:name w:val="Table Grid3"/>
    <w:basedOn w:val="TableNormal"/>
    <w:next w:val="TableGrid"/>
    <w:uiPriority w:val="39"/>
    <w:rsid w:val="008554CA"/>
    <w:rPr>
      <w:rFonts w:asciiTheme="minorHAnsi" w:eastAsiaTheme="minorEastAsia" w:hAnsiTheme="minorHAnsi" w:cstheme="minorBidi"/>
      <w:sz w:val="22"/>
      <w:szCs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8554CA"/>
    <w:pPr>
      <w:spacing w:line="240" w:lineRule="auto"/>
      <w:ind w:left="850"/>
      <w:jc w:val="both"/>
    </w:pPr>
  </w:style>
  <w:style w:type="paragraph" w:customStyle="1" w:styleId="Normale1">
    <w:name w:val="Normale1"/>
    <w:basedOn w:val="Normal"/>
    <w:rsid w:val="008554CA"/>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8554CA"/>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8554CA"/>
    <w:pPr>
      <w:tabs>
        <w:tab w:val="left" w:pos="850"/>
      </w:tabs>
      <w:ind w:left="850" w:hanging="850"/>
    </w:pPr>
  </w:style>
  <w:style w:type="paragraph" w:customStyle="1" w:styleId="Rnormal">
    <w:name w:val="Rnormal"/>
    <w:basedOn w:val="NumPar1"/>
    <w:rsid w:val="008554CA"/>
    <w:pPr>
      <w:tabs>
        <w:tab w:val="left" w:pos="850"/>
      </w:tabs>
      <w:ind w:left="850" w:hanging="850"/>
    </w:pPr>
  </w:style>
  <w:style w:type="paragraph" w:customStyle="1" w:styleId="Br">
    <w:name w:val="Br"/>
    <w:basedOn w:val="Titrearticle"/>
    <w:rsid w:val="008554CA"/>
    <w:rPr>
      <w:b/>
      <w:i w:val="0"/>
    </w:rPr>
  </w:style>
  <w:style w:type="paragraph" w:customStyle="1" w:styleId="Numpar">
    <w:name w:val="Num par"/>
    <w:basedOn w:val="Normal"/>
    <w:rsid w:val="008554CA"/>
    <w:pPr>
      <w:autoSpaceDE w:val="0"/>
      <w:autoSpaceDN w:val="0"/>
      <w:adjustRightInd w:val="0"/>
      <w:jc w:val="both"/>
    </w:pPr>
    <w:rPr>
      <w:rFonts w:eastAsiaTheme="minorEastAsia"/>
      <w:szCs w:val="22"/>
    </w:rPr>
  </w:style>
  <w:style w:type="paragraph" w:customStyle="1" w:styleId="NumPar10">
    <w:name w:val="NumPar1"/>
    <w:basedOn w:val="Normal"/>
    <w:rsid w:val="008554CA"/>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8554CA"/>
    <w:pPr>
      <w:autoSpaceDE w:val="0"/>
      <w:autoSpaceDN w:val="0"/>
      <w:adjustRightInd w:val="0"/>
      <w:spacing w:after="200" w:line="276" w:lineRule="auto"/>
    </w:pPr>
    <w:rPr>
      <w:rFonts w:ascii="Calibri" w:eastAsiaTheme="minorEastAsia" w:hAnsi="Calibri" w:cs="Wingdings"/>
      <w:color w:val="000000"/>
      <w:sz w:val="22"/>
      <w:szCs w:val="22"/>
    </w:rPr>
  </w:style>
  <w:style w:type="paragraph" w:customStyle="1" w:styleId="ListDash">
    <w:name w:val="List Dash"/>
    <w:basedOn w:val="Normal"/>
    <w:rsid w:val="008554CA"/>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8554CA"/>
    <w:rPr>
      <w:szCs w:val="22"/>
    </w:rPr>
  </w:style>
  <w:style w:type="paragraph" w:customStyle="1" w:styleId="ManualHeading2g1">
    <w:name w:val="Manual Heading 2g 1"/>
    <w:basedOn w:val="ManualHeading1"/>
    <w:rsid w:val="008554CA"/>
    <w:rPr>
      <w:noProof/>
    </w:rPr>
  </w:style>
  <w:style w:type="paragraph" w:styleId="TOC4">
    <w:name w:val="toc 4"/>
    <w:basedOn w:val="Normal"/>
    <w:next w:val="Normal"/>
    <w:uiPriority w:val="39"/>
    <w:rsid w:val="008554CA"/>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8554CA"/>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8554CA"/>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8554CA"/>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8554CA"/>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8554CA"/>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8554CA"/>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8554CA"/>
    <w:pPr>
      <w:widowControl/>
      <w:spacing w:before="120" w:after="120" w:line="360" w:lineRule="auto"/>
    </w:pPr>
    <w:rPr>
      <w:rFonts w:eastAsiaTheme="minorHAnsi"/>
      <w:szCs w:val="22"/>
      <w:lang w:eastAsia="en-US"/>
    </w:rPr>
  </w:style>
  <w:style w:type="paragraph" w:customStyle="1" w:styleId="pj">
    <w:name w:val="p.j."/>
    <w:basedOn w:val="Normal"/>
    <w:rsid w:val="008554CA"/>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8554CA"/>
    <w:rPr>
      <w:rFonts w:ascii="Times New Roman" w:hAnsi="Times New Roman" w:cs="Times New Roman"/>
      <w:sz w:val="24"/>
      <w:lang w:val="sl-SI"/>
    </w:rPr>
  </w:style>
  <w:style w:type="paragraph" w:customStyle="1" w:styleId="nbbordered">
    <w:name w:val="nb bordered"/>
    <w:basedOn w:val="Normal"/>
    <w:rsid w:val="008554CA"/>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8554CA"/>
    <w:rPr>
      <w:rFonts w:ascii="Times New Roman" w:hAnsi="Times New Roman" w:cs="Times New Roman"/>
      <w:b/>
      <w:sz w:val="24"/>
      <w:lang w:val="sl-SI"/>
    </w:rPr>
  </w:style>
  <w:style w:type="character" w:customStyle="1" w:styleId="HeaderCouncilChar">
    <w:name w:val="Header Council Char"/>
    <w:basedOn w:val="DefaultParagraphFont"/>
    <w:rsid w:val="008554CA"/>
    <w:rPr>
      <w:rFonts w:ascii="Times New Roman" w:hAnsi="Times New Roman" w:cs="Times New Roman"/>
      <w:sz w:val="2"/>
      <w:lang w:val="sl-SI"/>
    </w:rPr>
  </w:style>
  <w:style w:type="character" w:customStyle="1" w:styleId="FooterCouncilChar">
    <w:name w:val="Footer Council Char"/>
    <w:basedOn w:val="DefaultParagraphFont"/>
    <w:rsid w:val="008554CA"/>
    <w:rPr>
      <w:rFonts w:ascii="Times New Roman" w:hAnsi="Times New Roman" w:cs="Times New Roman"/>
      <w:sz w:val="2"/>
      <w:lang w:val="sl-SI"/>
    </w:rPr>
  </w:style>
  <w:style w:type="paragraph" w:customStyle="1" w:styleId="DeltaViewTableHeading">
    <w:name w:val="DeltaView Table Heading"/>
    <w:basedOn w:val="Normal"/>
    <w:uiPriority w:val="99"/>
    <w:rsid w:val="008554CA"/>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8554CA"/>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8554CA"/>
    <w:pPr>
      <w:autoSpaceDE w:val="0"/>
      <w:autoSpaceDN w:val="0"/>
      <w:adjustRightInd w:val="0"/>
      <w:spacing w:before="100" w:beforeAutospacing="1" w:after="100" w:afterAutospacing="1"/>
    </w:pPr>
    <w:rPr>
      <w:rFonts w:ascii="Arial" w:eastAsiaTheme="minorEastAsia" w:hAnsi="Arial" w:cs="Calibri"/>
      <w:sz w:val="24"/>
      <w:szCs w:val="24"/>
      <w:lang w:val="sl-SI"/>
    </w:rPr>
  </w:style>
  <w:style w:type="paragraph" w:styleId="BodyText">
    <w:name w:val="Body Text"/>
    <w:basedOn w:val="Normal"/>
    <w:link w:val="BodyTextChar"/>
    <w:uiPriority w:val="99"/>
    <w:rsid w:val="008554CA"/>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8554CA"/>
    <w:rPr>
      <w:rFonts w:ascii="Calibri" w:eastAsiaTheme="minorEastAsia" w:hAnsi="Calibri" w:cs="Calibri"/>
      <w:sz w:val="18"/>
      <w:szCs w:val="24"/>
      <w:lang w:val="sl-SI"/>
    </w:rPr>
  </w:style>
  <w:style w:type="character" w:customStyle="1" w:styleId="DeltaViewInsertion">
    <w:name w:val="DeltaView Insertion"/>
    <w:uiPriority w:val="99"/>
    <w:rsid w:val="008554CA"/>
    <w:rPr>
      <w:b/>
      <w:i/>
      <w:color w:val="000000"/>
    </w:rPr>
  </w:style>
  <w:style w:type="character" w:customStyle="1" w:styleId="DeltaViewDeletion">
    <w:name w:val="DeltaView Deletion"/>
    <w:uiPriority w:val="99"/>
    <w:rsid w:val="008554CA"/>
    <w:rPr>
      <w:strike/>
      <w:color w:val="000000"/>
    </w:rPr>
  </w:style>
  <w:style w:type="character" w:customStyle="1" w:styleId="DeltaViewMoveSource">
    <w:name w:val="DeltaView Move Source"/>
    <w:uiPriority w:val="99"/>
    <w:rsid w:val="008554CA"/>
    <w:rPr>
      <w:strike/>
      <w:color w:val="000000"/>
    </w:rPr>
  </w:style>
  <w:style w:type="character" w:customStyle="1" w:styleId="DeltaViewMoveDestination">
    <w:name w:val="DeltaView Move Destination"/>
    <w:uiPriority w:val="99"/>
    <w:rsid w:val="008554CA"/>
    <w:rPr>
      <w:color w:val="000000"/>
      <w:u w:val="double"/>
    </w:rPr>
  </w:style>
  <w:style w:type="character" w:customStyle="1" w:styleId="DeltaViewChangeNumber">
    <w:name w:val="DeltaView Change Number"/>
    <w:uiPriority w:val="99"/>
    <w:rsid w:val="008554CA"/>
    <w:rPr>
      <w:color w:val="000000"/>
      <w:vertAlign w:val="superscript"/>
    </w:rPr>
  </w:style>
  <w:style w:type="character" w:customStyle="1" w:styleId="DeltaViewDelimiter">
    <w:name w:val="DeltaView Delimiter"/>
    <w:uiPriority w:val="99"/>
    <w:rsid w:val="008554CA"/>
  </w:style>
  <w:style w:type="paragraph" w:styleId="DocumentMap">
    <w:name w:val="Document Map"/>
    <w:basedOn w:val="Normal"/>
    <w:next w:val="NormalCentered"/>
    <w:link w:val="DocumentMapChar"/>
    <w:uiPriority w:val="99"/>
    <w:rsid w:val="008554CA"/>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8554CA"/>
    <w:rPr>
      <w:rFonts w:ascii="Tahoma" w:eastAsiaTheme="minorEastAsia" w:hAnsi="Tahoma" w:cs="Calibri"/>
      <w:sz w:val="24"/>
      <w:szCs w:val="24"/>
      <w:shd w:val="clear" w:color="auto" w:fill="000080"/>
      <w:lang w:val="sl-SI"/>
    </w:rPr>
  </w:style>
  <w:style w:type="character" w:customStyle="1" w:styleId="DeltaViewFormatChange">
    <w:name w:val="DeltaView Format Change"/>
    <w:uiPriority w:val="99"/>
    <w:rsid w:val="008554CA"/>
    <w:rPr>
      <w:color w:val="000000"/>
    </w:rPr>
  </w:style>
  <w:style w:type="character" w:customStyle="1" w:styleId="DeltaViewMovedDeletion">
    <w:name w:val="DeltaView Moved Deletion"/>
    <w:uiPriority w:val="99"/>
    <w:rsid w:val="008554CA"/>
    <w:rPr>
      <w:strike/>
      <w:color w:val="C08080"/>
    </w:rPr>
  </w:style>
  <w:style w:type="character" w:customStyle="1" w:styleId="DeltaViewComment">
    <w:name w:val="DeltaView Comment"/>
    <w:basedOn w:val="DefaultParagraphFont"/>
    <w:uiPriority w:val="99"/>
    <w:rsid w:val="008554CA"/>
    <w:rPr>
      <w:color w:val="000000"/>
    </w:rPr>
  </w:style>
  <w:style w:type="character" w:customStyle="1" w:styleId="DeltaViewStyleChangeText">
    <w:name w:val="DeltaView Style Change Text"/>
    <w:uiPriority w:val="99"/>
    <w:rsid w:val="008554CA"/>
    <w:rPr>
      <w:color w:val="000000"/>
      <w:u w:val="double"/>
    </w:rPr>
  </w:style>
  <w:style w:type="character" w:customStyle="1" w:styleId="DeltaViewStyleChangeLabel">
    <w:name w:val="DeltaView Style Change Label"/>
    <w:uiPriority w:val="99"/>
    <w:rsid w:val="008554CA"/>
    <w:rPr>
      <w:color w:val="000000"/>
    </w:rPr>
  </w:style>
  <w:style w:type="character" w:customStyle="1" w:styleId="DeltaViewInsertedComment">
    <w:name w:val="DeltaView Inserted Comment"/>
    <w:basedOn w:val="DeltaViewComment"/>
    <w:uiPriority w:val="99"/>
    <w:rsid w:val="008554CA"/>
    <w:rPr>
      <w:color w:val="0000FF"/>
      <w:u w:val="double"/>
    </w:rPr>
  </w:style>
  <w:style w:type="character" w:customStyle="1" w:styleId="DeltaViewDeletedComment">
    <w:name w:val="DeltaView Deleted Comment"/>
    <w:basedOn w:val="DeltaViewComment"/>
    <w:uiPriority w:val="99"/>
    <w:rsid w:val="008554CA"/>
    <w:rPr>
      <w:strike/>
      <w:color w:val="FF0000"/>
    </w:rPr>
  </w:style>
  <w:style w:type="paragraph" w:customStyle="1" w:styleId="CharChar">
    <w:name w:val="Char Char"/>
    <w:basedOn w:val="Normal"/>
    <w:rsid w:val="008554CA"/>
    <w:pPr>
      <w:widowControl/>
    </w:pPr>
    <w:rPr>
      <w:szCs w:val="24"/>
      <w:lang w:eastAsia="pl-PL"/>
    </w:rPr>
  </w:style>
  <w:style w:type="character" w:styleId="Emphasis">
    <w:name w:val="Emphasis"/>
    <w:basedOn w:val="DefaultParagraphFont"/>
    <w:uiPriority w:val="20"/>
    <w:qFormat/>
    <w:rsid w:val="008554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48C42-1CBB-4059-82D1-06373518A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1387</Words>
  <Characters>8529</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BAH CRCEK Anita</dc:creator>
  <cp:keywords/>
  <cp:lastModifiedBy>GOROPECNIK Tina</cp:lastModifiedBy>
  <cp:revision>2</cp:revision>
  <cp:lastPrinted>2004-11-19T15:42:00Z</cp:lastPrinted>
  <dcterms:created xsi:type="dcterms:W3CDTF">2022-02-08T09:24:00Z</dcterms:created>
  <dcterms:modified xsi:type="dcterms:W3CDTF">2022-02-08T09:24:00Z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P9_TA(2021)0458_</vt:lpwstr>
  </property>
  <property fmtid="{D5CDD505-2E9C-101B-9397-08002B2CF9AE}" pid="4" name="&lt;Type&gt;">
    <vt:lpwstr>RR</vt:lpwstr>
  </property>
</Properties>
</file>