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201F" w:rsidTr="0010095E">
        <w:trPr>
          <w:trHeight w:hRule="exact" w:val="1418"/>
        </w:trPr>
        <w:tc>
          <w:tcPr>
            <w:tcW w:w="6804" w:type="dxa"/>
            <w:shd w:val="clear" w:color="auto" w:fill="auto"/>
            <w:vAlign w:val="center"/>
          </w:tcPr>
          <w:p w:rsidR="00751A4A" w:rsidRPr="0070201F" w:rsidRDefault="00B305F3" w:rsidP="0010095E">
            <w:pPr>
              <w:pStyle w:val="EPName"/>
            </w:pPr>
            <w:r w:rsidRPr="0070201F">
              <w:t>Европейски</w:t>
            </w:r>
            <w:r w:rsidR="00FE712E" w:rsidRPr="0070201F">
              <w:t xml:space="preserve"> парламент</w:t>
            </w:r>
          </w:p>
          <w:p w:rsidR="00751A4A" w:rsidRPr="0070201F" w:rsidRDefault="00817416" w:rsidP="00756632">
            <w:pPr>
              <w:pStyle w:val="EPTerm"/>
              <w:rPr>
                <w:rStyle w:val="HideTWBExt"/>
                <w:noProof w:val="0"/>
                <w:vanish w:val="0"/>
                <w:color w:val="auto"/>
              </w:rPr>
            </w:pPr>
            <w:r w:rsidRPr="0070201F">
              <w:t>2019</w:t>
            </w:r>
            <w:r w:rsidR="00B305F3" w:rsidRPr="0070201F">
              <w:t> – </w:t>
            </w:r>
            <w:r w:rsidRPr="0070201F">
              <w:t>2024</w:t>
            </w:r>
          </w:p>
        </w:tc>
        <w:tc>
          <w:tcPr>
            <w:tcW w:w="2268" w:type="dxa"/>
            <w:shd w:val="clear" w:color="auto" w:fill="auto"/>
          </w:tcPr>
          <w:p w:rsidR="00751A4A" w:rsidRPr="0070201F" w:rsidRDefault="00187494" w:rsidP="0010095E">
            <w:pPr>
              <w:pStyle w:val="EPLogo"/>
            </w:pPr>
            <w:r w:rsidRPr="007020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201F" w:rsidRDefault="00D058B8" w:rsidP="004C5D52">
      <w:pPr>
        <w:pStyle w:val="LineTop"/>
      </w:pPr>
    </w:p>
    <w:p w:rsidR="00680577" w:rsidRPr="0070201F" w:rsidRDefault="00FE712E" w:rsidP="00680577">
      <w:pPr>
        <w:pStyle w:val="EPBodyTA1"/>
      </w:pPr>
      <w:r w:rsidRPr="0070201F">
        <w:t>ПРИЕТИ ТЕКСТОВЕ</w:t>
      </w:r>
    </w:p>
    <w:p w:rsidR="00D058B8" w:rsidRPr="0070201F" w:rsidRDefault="00D058B8" w:rsidP="00D058B8">
      <w:pPr>
        <w:pStyle w:val="LineBottom"/>
      </w:pPr>
    </w:p>
    <w:p w:rsidR="00FE712E" w:rsidRPr="0070201F" w:rsidRDefault="00FE712E" w:rsidP="00FE712E">
      <w:pPr>
        <w:pStyle w:val="ATHeading1"/>
      </w:pPr>
      <w:bookmarkStart w:id="0" w:name="TANumber"/>
      <w:r w:rsidRPr="0070201F">
        <w:t>P9_TA(2023)0</w:t>
      </w:r>
      <w:r w:rsidR="006173E9" w:rsidRPr="0070201F">
        <w:t>277</w:t>
      </w:r>
      <w:bookmarkEnd w:id="0"/>
    </w:p>
    <w:p w:rsidR="00FE712E" w:rsidRPr="0070201F" w:rsidRDefault="00FE712E" w:rsidP="00FE712E">
      <w:pPr>
        <w:pStyle w:val="ATHeading2"/>
      </w:pPr>
      <w:bookmarkStart w:id="1" w:name="title"/>
      <w:r w:rsidRPr="0070201F">
        <w:t>Възстановяване на природата</w:t>
      </w:r>
      <w:bookmarkEnd w:id="1"/>
    </w:p>
    <w:p w:rsidR="00FE712E" w:rsidRPr="0070201F" w:rsidRDefault="00FE712E" w:rsidP="00FE712E">
      <w:pPr>
        <w:rPr>
          <w:i/>
          <w:vanish/>
        </w:rPr>
      </w:pPr>
      <w:r w:rsidRPr="0070201F">
        <w:rPr>
          <w:i/>
        </w:rPr>
        <w:fldChar w:fldCharType="begin"/>
      </w:r>
      <w:r w:rsidRPr="0070201F">
        <w:rPr>
          <w:i/>
        </w:rPr>
        <w:instrText xml:space="preserve"> TC"(</w:instrText>
      </w:r>
      <w:bookmarkStart w:id="2" w:name="DocNumber"/>
      <w:r w:rsidRPr="0070201F">
        <w:rPr>
          <w:i/>
        </w:rPr>
        <w:instrText>A9-0220/2023</w:instrText>
      </w:r>
      <w:bookmarkEnd w:id="2"/>
      <w:r w:rsidRPr="0070201F">
        <w:rPr>
          <w:i/>
        </w:rPr>
        <w:instrText xml:space="preserve"> - Докладчик: Сесар Луена)"\l3 \n&gt; \* MERGEFORMAT </w:instrText>
      </w:r>
      <w:r w:rsidRPr="0070201F">
        <w:rPr>
          <w:i/>
        </w:rPr>
        <w:fldChar w:fldCharType="end"/>
      </w:r>
    </w:p>
    <w:p w:rsidR="00FE712E" w:rsidRPr="0070201F" w:rsidRDefault="00FE712E" w:rsidP="00FE712E">
      <w:pPr>
        <w:rPr>
          <w:vanish/>
        </w:rPr>
      </w:pPr>
      <w:bookmarkStart w:id="3" w:name="Commission"/>
      <w:r w:rsidRPr="0070201F">
        <w:rPr>
          <w:vanish/>
        </w:rPr>
        <w:t>Комисия по околна среда, обществено здраве и безопасност на храните</w:t>
      </w:r>
      <w:bookmarkEnd w:id="3"/>
    </w:p>
    <w:p w:rsidR="00FE712E" w:rsidRPr="0070201F" w:rsidRDefault="00FE712E" w:rsidP="00FE712E">
      <w:pPr>
        <w:rPr>
          <w:vanish/>
        </w:rPr>
      </w:pPr>
      <w:bookmarkStart w:id="4" w:name="PE"/>
      <w:r w:rsidRPr="0070201F">
        <w:rPr>
          <w:vanish/>
        </w:rPr>
        <w:t>PE737.282</w:t>
      </w:r>
      <w:bookmarkEnd w:id="4"/>
    </w:p>
    <w:p w:rsidR="00FE712E" w:rsidRPr="0070201F" w:rsidRDefault="00B96301" w:rsidP="00F55AE0">
      <w:pPr>
        <w:pStyle w:val="ATHeading3"/>
      </w:pPr>
      <w:bookmarkStart w:id="5" w:name="Sujet"/>
      <w:r w:rsidRPr="0070201F">
        <w:t>Изменения</w:t>
      </w:r>
      <w:r w:rsidR="00F55AE0" w:rsidRPr="00223ACF">
        <w:rPr>
          <w:vertAlign w:val="superscript"/>
        </w:rPr>
        <w:footnoteReference w:customMarkFollows="1" w:id="1"/>
        <w:t>*</w:t>
      </w:r>
      <w:r w:rsidRPr="0070201F">
        <w:t xml:space="preserve">, приети от </w:t>
      </w:r>
      <w:r w:rsidR="00FE712E" w:rsidRPr="0070201F">
        <w:t xml:space="preserve">Европейския парламент </w:t>
      </w:r>
      <w:r w:rsidRPr="0070201F">
        <w:t>на</w:t>
      </w:r>
      <w:r w:rsidR="00FE712E" w:rsidRPr="0070201F">
        <w:t xml:space="preserve"> </w:t>
      </w:r>
      <w:r w:rsidR="00B305F3" w:rsidRPr="0070201F">
        <w:t>1</w:t>
      </w:r>
      <w:r w:rsidR="006173E9" w:rsidRPr="0070201F">
        <w:t>2</w:t>
      </w:r>
      <w:r w:rsidR="00B305F3" w:rsidRPr="0070201F">
        <w:t xml:space="preserve"> юли</w:t>
      </w:r>
      <w:r w:rsidR="00FE712E" w:rsidRPr="0070201F">
        <w:t xml:space="preserve"> 2023 г. </w:t>
      </w:r>
      <w:r w:rsidRPr="0070201F">
        <w:t>към</w:t>
      </w:r>
      <w:r w:rsidR="00FE712E" w:rsidRPr="0070201F">
        <w:t xml:space="preserve"> предложението за регламент на Европейския парламент и на Съвета относно възстановяването на природата</w:t>
      </w:r>
      <w:bookmarkEnd w:id="5"/>
      <w:r w:rsidR="00FE712E" w:rsidRPr="0070201F">
        <w:t xml:space="preserve"> </w:t>
      </w:r>
      <w:bookmarkStart w:id="6" w:name="References"/>
      <w:r w:rsidR="00FE712E" w:rsidRPr="0070201F">
        <w:t>(COM(2022)0304 – C9-0208/2022 – 2022/0195(COD))</w:t>
      </w:r>
      <w:bookmarkEnd w:id="6"/>
      <w:r w:rsidRPr="0070201F">
        <w:rPr>
          <w:rStyle w:val="FootnoteReference"/>
        </w:rPr>
        <w:footnoteReference w:id="2"/>
      </w:r>
    </w:p>
    <w:p w:rsidR="00FE712E" w:rsidRPr="0070201F" w:rsidRDefault="00FE712E" w:rsidP="00FE712E"/>
    <w:p w:rsidR="00596A9C" w:rsidRPr="0070201F" w:rsidRDefault="00596A9C" w:rsidP="00596A9C">
      <w:pPr>
        <w:pStyle w:val="NormalBold"/>
        <w:widowControl/>
      </w:pPr>
      <w:bookmarkStart w:id="7" w:name="TextBodyBegin"/>
      <w:bookmarkEnd w:id="7"/>
      <w:r w:rsidRPr="0070201F">
        <w:t>(Обикновена законодателна процедура: първо четене)</w:t>
      </w:r>
    </w:p>
    <w:p w:rsidR="006173E9" w:rsidRPr="0070201F" w:rsidRDefault="006173E9">
      <w:pPr>
        <w:widowControl/>
      </w:pPr>
      <w:r w:rsidRPr="0070201F">
        <w:br w:type="page"/>
      </w:r>
    </w:p>
    <w:p w:rsidR="0016114A" w:rsidRPr="00223ACF" w:rsidRDefault="0016114A" w:rsidP="0070201F">
      <w:pPr>
        <w:pStyle w:val="AmHeadingConsam"/>
        <w:jc w:val="left"/>
        <w:rPr>
          <w:b/>
        </w:rPr>
      </w:pPr>
      <w:r w:rsidRPr="00223ACF">
        <w:rPr>
          <w:b/>
        </w:rPr>
        <w:lastRenderedPageBreak/>
        <w:t>[</w:t>
      </w:r>
      <w:r w:rsidRPr="0070201F">
        <w:rPr>
          <w:b/>
        </w:rPr>
        <w:t>Изменение</w:t>
      </w:r>
      <w:r w:rsidRPr="00223ACF">
        <w:rPr>
          <w:b/>
        </w:rPr>
        <w:t xml:space="preserve"> 18, </w:t>
      </w:r>
      <w:r w:rsidRPr="0070201F">
        <w:rPr>
          <w:b/>
        </w:rPr>
        <w:t>освен ако не е посочено друго</w:t>
      </w:r>
      <w:r w:rsidRPr="00223ACF">
        <w:rPr>
          <w:b/>
        </w:rPr>
        <w:t>]</w:t>
      </w:r>
    </w:p>
    <w:p w:rsidR="006173E9" w:rsidRPr="0070201F" w:rsidRDefault="006173E9" w:rsidP="006173E9">
      <w:pPr>
        <w:pStyle w:val="AmHeadingConsam"/>
      </w:pPr>
      <w:r w:rsidRPr="0070201F">
        <w:t>ИЗМЕНЕНИЯ, ВНЕСЕНИ ОТ ЕВРОПЕЙСКИЯ ПАРЛАМЕНТ</w:t>
      </w:r>
      <w:r w:rsidRPr="0070201F">
        <w:rPr>
          <w:rStyle w:val="FootnoteReference"/>
        </w:rPr>
        <w:footnoteReference w:customMarkFollows="1" w:id="3"/>
        <w:t>*</w:t>
      </w:r>
    </w:p>
    <w:p w:rsidR="006173E9" w:rsidRPr="0070201F" w:rsidRDefault="006173E9" w:rsidP="006173E9">
      <w:pPr>
        <w:pStyle w:val="NormalCenter12a"/>
      </w:pPr>
      <w:r w:rsidRPr="0070201F">
        <w:t>към предложението на Комисията</w:t>
      </w:r>
    </w:p>
    <w:p w:rsidR="006173E9" w:rsidRPr="0070201F" w:rsidRDefault="006173E9" w:rsidP="006173E9">
      <w:pPr>
        <w:pStyle w:val="NormalCenter12a"/>
      </w:pPr>
      <w:r w:rsidRPr="0070201F">
        <w:t>---------------------------------------------------------</w:t>
      </w:r>
    </w:p>
    <w:p w:rsidR="006173E9" w:rsidRPr="0070201F" w:rsidRDefault="006173E9" w:rsidP="006173E9">
      <w:pPr>
        <w:suppressAutoHyphens/>
        <w:spacing w:before="360"/>
        <w:jc w:val="center"/>
        <w:rPr>
          <w:rFonts w:eastAsia="Calibri"/>
          <w:b/>
        </w:rPr>
      </w:pPr>
      <w:r w:rsidRPr="0070201F">
        <w:rPr>
          <w:b/>
        </w:rPr>
        <w:t>РЕГЛАМЕНТ НА ЕВРОПЕЙСКИЯ ПАРЛАМЕНТ И НА СЪВЕТА</w:t>
      </w:r>
    </w:p>
    <w:p w:rsidR="006173E9" w:rsidRPr="0070201F" w:rsidRDefault="006173E9" w:rsidP="006173E9">
      <w:pPr>
        <w:suppressAutoHyphens/>
        <w:spacing w:before="360" w:line="360" w:lineRule="auto"/>
        <w:jc w:val="center"/>
        <w:rPr>
          <w:rFonts w:eastAsia="Calibri"/>
          <w:b/>
        </w:rPr>
      </w:pPr>
      <w:r w:rsidRPr="0070201F">
        <w:rPr>
          <w:b/>
        </w:rPr>
        <w:t>относно възстановяването на природата</w:t>
      </w:r>
    </w:p>
    <w:p w:rsidR="006173E9" w:rsidRPr="0070201F" w:rsidRDefault="006173E9" w:rsidP="006173E9">
      <w:pPr>
        <w:suppressAutoHyphens/>
        <w:spacing w:before="360" w:after="240" w:line="360" w:lineRule="auto"/>
        <w:jc w:val="center"/>
        <w:rPr>
          <w:rFonts w:eastAsia="Calibri"/>
        </w:rPr>
      </w:pPr>
      <w:r w:rsidRPr="0070201F">
        <w:t>(текст от значение за ЕИП)</w:t>
      </w:r>
    </w:p>
    <w:p w:rsidR="006173E9" w:rsidRPr="0070201F" w:rsidRDefault="006173E9" w:rsidP="006173E9">
      <w:pPr>
        <w:keepNext/>
        <w:suppressAutoHyphens/>
        <w:spacing w:line="360" w:lineRule="auto"/>
        <w:rPr>
          <w:rFonts w:eastAsia="Calibri"/>
        </w:rPr>
      </w:pPr>
      <w:r w:rsidRPr="0070201F">
        <w:t>ЕВРОПЕЙСКИЯТ ПАРЛАМЕНТ И СЪВЕТЪТ НА ЕВРОПЕЙСКИЯ СЪЮЗ,</w:t>
      </w:r>
    </w:p>
    <w:p w:rsidR="006173E9" w:rsidRPr="0070201F" w:rsidRDefault="006173E9" w:rsidP="006173E9">
      <w:pPr>
        <w:suppressAutoHyphens/>
        <w:spacing w:line="360" w:lineRule="auto"/>
        <w:rPr>
          <w:rFonts w:eastAsia="Calibri"/>
        </w:rPr>
      </w:pPr>
      <w:r w:rsidRPr="0070201F">
        <w:t>като взеха предвид Договора за функционирането на Европейския съюз, и по-специално член 192, параграф 1 от него,</w:t>
      </w:r>
    </w:p>
    <w:p w:rsidR="006173E9" w:rsidRPr="0070201F" w:rsidRDefault="006173E9" w:rsidP="006173E9">
      <w:pPr>
        <w:suppressAutoHyphens/>
        <w:spacing w:line="360" w:lineRule="auto"/>
        <w:rPr>
          <w:rFonts w:eastAsia="Calibri"/>
        </w:rPr>
      </w:pPr>
      <w:r w:rsidRPr="0070201F">
        <w:t>като взеха предвид предложението на Европейската комисия,</w:t>
      </w:r>
    </w:p>
    <w:p w:rsidR="006173E9" w:rsidRPr="0070201F" w:rsidRDefault="006173E9" w:rsidP="006173E9">
      <w:pPr>
        <w:suppressAutoHyphens/>
        <w:spacing w:line="360" w:lineRule="auto"/>
        <w:rPr>
          <w:rFonts w:eastAsia="Calibri"/>
        </w:rPr>
      </w:pPr>
      <w:r w:rsidRPr="0070201F">
        <w:t>след предаване на проекта на законодателния акт на националните парламенти,</w:t>
      </w:r>
    </w:p>
    <w:p w:rsidR="006173E9" w:rsidRPr="0070201F" w:rsidRDefault="006173E9" w:rsidP="006173E9">
      <w:pPr>
        <w:suppressAutoHyphens/>
        <w:spacing w:line="360" w:lineRule="auto"/>
        <w:rPr>
          <w:rFonts w:eastAsia="Calibri"/>
        </w:rPr>
      </w:pPr>
      <w:r w:rsidRPr="0070201F">
        <w:t>като взеха предвид становището на Европейския икономически и социален комитет</w:t>
      </w:r>
      <w:r w:rsidRPr="0070201F">
        <w:rPr>
          <w:rFonts w:eastAsia="Calibri"/>
          <w:bCs/>
          <w:vertAlign w:val="superscript"/>
        </w:rPr>
        <w:footnoteReference w:id="4"/>
      </w:r>
      <w:r w:rsidRPr="0070201F">
        <w:t>,</w:t>
      </w:r>
    </w:p>
    <w:p w:rsidR="006173E9" w:rsidRPr="0070201F" w:rsidRDefault="006173E9" w:rsidP="006173E9">
      <w:pPr>
        <w:suppressAutoHyphens/>
        <w:spacing w:line="360" w:lineRule="auto"/>
        <w:rPr>
          <w:rFonts w:eastAsia="Calibri"/>
        </w:rPr>
      </w:pPr>
      <w:r w:rsidRPr="0070201F">
        <w:t>като взеха предвид становището на Комитета на регионите,</w:t>
      </w:r>
    </w:p>
    <w:p w:rsidR="006173E9" w:rsidRPr="0070201F" w:rsidRDefault="006173E9" w:rsidP="006173E9">
      <w:pPr>
        <w:suppressAutoHyphens/>
        <w:spacing w:line="360" w:lineRule="auto"/>
        <w:rPr>
          <w:rFonts w:eastAsia="Calibri"/>
        </w:rPr>
      </w:pPr>
      <w:r w:rsidRPr="0070201F">
        <w:t>в съответствие с обикновената законодателна процедура,</w:t>
      </w:r>
    </w:p>
    <w:p w:rsidR="006173E9" w:rsidRPr="0070201F" w:rsidRDefault="006173E9" w:rsidP="006173E9">
      <w:pPr>
        <w:suppressAutoHyphens/>
        <w:spacing w:line="360" w:lineRule="auto"/>
        <w:rPr>
          <w:rFonts w:eastAsia="Calibri"/>
        </w:rPr>
      </w:pPr>
      <w:r w:rsidRPr="0070201F">
        <w:t>като имат предвид, че:</w:t>
      </w:r>
    </w:p>
    <w:p w:rsidR="006173E9" w:rsidRPr="0070201F" w:rsidRDefault="006173E9" w:rsidP="006173E9">
      <w:pPr>
        <w:suppressAutoHyphens/>
        <w:spacing w:before="120" w:after="120" w:line="360" w:lineRule="auto"/>
        <w:ind w:left="567" w:right="-1" w:hanging="567"/>
        <w:rPr>
          <w:rFonts w:eastAsia="Calibri"/>
        </w:rPr>
      </w:pPr>
      <w:r w:rsidRPr="0070201F">
        <w:t>(1)</w:t>
      </w:r>
      <w:r w:rsidRPr="0070201F">
        <w:tab/>
        <w:t xml:space="preserve">За да се гарантира възстановяването на биологичното разнообразие и устойчивостта на природата на цялата територия на Съюза, е необходимо да се определят правила на равнището на Съюза за възстановяване на екосистемите. Възстановяването на екосистемите допринася и за целите на Съюза за смекчаване на изменението на климата и за адаптиране към него. </w:t>
      </w:r>
    </w:p>
    <w:p w:rsidR="006173E9" w:rsidRPr="0070201F" w:rsidRDefault="006173E9" w:rsidP="006173E9">
      <w:pPr>
        <w:suppressAutoHyphens/>
        <w:spacing w:before="120" w:after="120" w:line="360" w:lineRule="auto"/>
        <w:ind w:left="567" w:right="-1" w:hanging="567"/>
        <w:rPr>
          <w:rFonts w:eastAsia="Calibri"/>
        </w:rPr>
      </w:pPr>
      <w:r w:rsidRPr="0070201F">
        <w:br w:type="page"/>
      </w:r>
    </w:p>
    <w:p w:rsidR="006173E9" w:rsidRPr="0070201F" w:rsidRDefault="006173E9" w:rsidP="006173E9">
      <w:pPr>
        <w:suppressAutoHyphens/>
        <w:spacing w:before="120" w:after="120" w:line="360" w:lineRule="auto"/>
        <w:ind w:left="567" w:right="-1" w:hanging="567"/>
        <w:rPr>
          <w:rFonts w:eastAsia="Calibri"/>
        </w:rPr>
      </w:pPr>
      <w:r w:rsidRPr="0070201F">
        <w:lastRenderedPageBreak/>
        <w:t>(2)</w:t>
      </w:r>
      <w:r w:rsidRPr="0070201F">
        <w:tab/>
        <w:t>В Европейския зелен пакт</w:t>
      </w:r>
      <w:r w:rsidRPr="0070201F">
        <w:rPr>
          <w:rFonts w:eastAsia="Calibri"/>
          <w:vertAlign w:val="superscript"/>
        </w:rPr>
        <w:footnoteReference w:id="5"/>
      </w:r>
      <w:r w:rsidRPr="0070201F">
        <w:t xml:space="preserve"> е определена амбициозна пътна карта за превръщане на Съюза в справедливо и благоденстващо общество с модерна и конкурентоспособна икономика с ефективно използване на ресурсите, която има за цел да се опазва, съхранява и увеличава природният капитал на Съюза, както и да се опазват здравето и благосъстоянието на гражданите от рискове и въздействия, свързани с околната среда. Като част от Европейския зелен пакт Комисията прие стратегия на ЕС за биологичното разнообразие за 2030 г.</w:t>
      </w:r>
      <w:r w:rsidRPr="0070201F">
        <w:rPr>
          <w:rFonts w:eastAsia="Calibri"/>
          <w:vertAlign w:val="superscript"/>
        </w:rPr>
        <w:footnoteReference w:id="6"/>
      </w:r>
      <w:r w:rsidRPr="0070201F">
        <w:t>.</w:t>
      </w:r>
    </w:p>
    <w:p w:rsidR="006173E9" w:rsidRPr="0070201F" w:rsidRDefault="006173E9" w:rsidP="006173E9">
      <w:pPr>
        <w:suppressAutoHyphens/>
        <w:spacing w:before="120" w:after="120" w:line="360" w:lineRule="auto"/>
        <w:ind w:left="567" w:right="-1" w:hanging="567"/>
        <w:rPr>
          <w:rFonts w:eastAsia="Calibri"/>
        </w:rPr>
      </w:pPr>
      <w:r w:rsidRPr="0070201F">
        <w:t>(3)</w:t>
      </w:r>
      <w:r w:rsidRPr="0070201F">
        <w:tab/>
        <w:t>Като страни по Конвенцията за биологичното разнообразие, одобрена с Решение № 93/626/ЕИО</w:t>
      </w:r>
      <w:r w:rsidRPr="0070201F">
        <w:rPr>
          <w:rFonts w:eastAsia="Calibri"/>
          <w:vertAlign w:val="superscript"/>
        </w:rPr>
        <w:footnoteReference w:id="7"/>
      </w:r>
      <w:r w:rsidRPr="0070201F">
        <w:t xml:space="preserve"> на Съвета, Съюзът и неговите държави членки са ангажирани с дългосрочната стратегическа визия, приета от Конференцията на страните през 2010 г. с Решение X/2 — Стратегически план за биологичното разнообразие за периода 2011—2020 г.</w:t>
      </w:r>
      <w:r w:rsidRPr="0070201F">
        <w:rPr>
          <w:rFonts w:eastAsia="Calibri"/>
          <w:vertAlign w:val="superscript"/>
        </w:rPr>
        <w:footnoteReference w:id="8"/>
      </w:r>
      <w:r w:rsidRPr="0070201F">
        <w:t>, съгласно която до 2050 г. биологичното разнообразие трябва да бъде оценено, да се опазва, възстановява и използва разумно, като се поддържат екосистемните услуги, здрава планета и се осигуряват ползи, които са от съществено значение за всички хора.</w:t>
      </w:r>
    </w:p>
    <w:p w:rsidR="006173E9" w:rsidRPr="0070201F" w:rsidRDefault="006173E9" w:rsidP="006173E9">
      <w:pPr>
        <w:suppressAutoHyphens/>
        <w:spacing w:before="120" w:after="120" w:line="360" w:lineRule="auto"/>
        <w:ind w:left="567" w:right="-1" w:hanging="567"/>
        <w:rPr>
          <w:rFonts w:eastAsia="Calibri"/>
        </w:rPr>
      </w:pPr>
      <w:r w:rsidRPr="0070201F">
        <w:br w:type="page"/>
      </w:r>
      <w:r w:rsidRPr="0070201F">
        <w:lastRenderedPageBreak/>
        <w:t>(4)</w:t>
      </w:r>
      <w:r w:rsidRPr="0070201F">
        <w:tab/>
      </w:r>
      <w:r w:rsidRPr="0070201F">
        <w:rPr>
          <w:b/>
          <w:bCs/>
          <w:i/>
          <w:iCs/>
        </w:rPr>
        <w:t>Конвенцията за биологичното разнообразие, договорена на 15-ата конференция на страните по РКOОНИК през декември 2022 г.</w:t>
      </w:r>
      <w:r w:rsidRPr="0070201F">
        <w:rPr>
          <w:rFonts w:eastAsia="Calibri"/>
          <w:b/>
          <w:i/>
          <w:vertAlign w:val="superscript"/>
        </w:rPr>
        <w:footnoteReference w:id="9"/>
      </w:r>
      <w:r w:rsidRPr="0070201F">
        <w:rPr>
          <w:b/>
          <w:bCs/>
          <w:i/>
          <w:iCs/>
        </w:rPr>
        <w:t xml:space="preserve">, </w:t>
      </w:r>
      <w:bookmarkStart w:id="8" w:name="_Hlk129711629"/>
      <w:r w:rsidRPr="0070201F">
        <w:rPr>
          <w:b/>
          <w:bCs/>
          <w:i/>
          <w:iCs/>
        </w:rPr>
        <w:t xml:space="preserve">Глобалната рамка за биологичното разнообразие, в която се определят ориентирани към действие глобални цели </w:t>
      </w:r>
      <w:r w:rsidRPr="0070201F">
        <w:rPr>
          <w:b/>
          <w:bCs/>
          <w:i/>
          <w:iCs/>
          <w:shd w:val="clear" w:color="auto" w:fill="FFFFFF"/>
        </w:rPr>
        <w:t>за спешни действия през десетилетието до 2030 г.</w:t>
      </w:r>
      <w:r w:rsidRPr="0070201F">
        <w:rPr>
          <w:b/>
          <w:bCs/>
          <w:i/>
          <w:iCs/>
        </w:rPr>
        <w:t xml:space="preserve">, за </w:t>
      </w:r>
      <w:r w:rsidRPr="0070201F">
        <w:rPr>
          <w:b/>
          <w:bCs/>
          <w:i/>
          <w:iCs/>
          <w:shd w:val="clear" w:color="auto" w:fill="FFFFFF"/>
        </w:rPr>
        <w:t>да се гарантира, че всички зони са обект на приобщаващи, интегрирани и включващи биологичното разнообразие процеси на пространствено планиране и/или ефективно управление, насочени към промените в земеползването и използването на морето;</w:t>
      </w:r>
      <w:r w:rsidRPr="0070201F">
        <w:rPr>
          <w:b/>
          <w:i/>
          <w:shd w:val="clear" w:color="auto" w:fill="FFFFFF"/>
        </w:rPr>
        <w:t xml:space="preserve"> </w:t>
      </w:r>
      <w:r w:rsidRPr="0070201F">
        <w:rPr>
          <w:b/>
          <w:i/>
        </w:rPr>
        <w:t xml:space="preserve">за да може до 2030 г. да се сведе почти до нула </w:t>
      </w:r>
      <w:r w:rsidRPr="0070201F">
        <w:rPr>
          <w:b/>
          <w:i/>
          <w:shd w:val="clear" w:color="auto" w:fill="FFFFFF"/>
        </w:rPr>
        <w:t>загубата на зони от голямо значение за биологичното разнообразие, включително екосистеми с високо ниво на екологична цялост, като същевременно се зачитат правата на коренното население и местните общности,</w:t>
      </w:r>
      <w:r w:rsidRPr="0070201F">
        <w:rPr>
          <w:b/>
          <w:i/>
        </w:rPr>
        <w:t xml:space="preserve"> изложени в Декларацията на ООН за правата на коренното население</w:t>
      </w:r>
      <w:r w:rsidRPr="0070201F">
        <w:rPr>
          <w:b/>
          <w:i/>
          <w:shd w:val="clear" w:color="auto" w:fill="FFFFFF"/>
        </w:rPr>
        <w:t xml:space="preserve">; </w:t>
      </w:r>
      <w:r w:rsidRPr="0070201F">
        <w:rPr>
          <w:b/>
          <w:i/>
        </w:rPr>
        <w:t>за да се гарантира, че до 2030 г. най-малко 30% от зоните с деградирали сухоземни, вътрешноводни, морски и крайбрежни екосистеми са в процес на ефективно възстановяване с цел подобряване на биологичното разнообразие и екосистемните функции и услуги, както и екологичната цялост и свързаност;</w:t>
      </w:r>
      <w:r w:rsidRPr="0070201F">
        <w:rPr>
          <w:b/>
          <w:i/>
          <w:shd w:val="clear" w:color="auto" w:fill="FFFFFF"/>
        </w:rPr>
        <w:t xml:space="preserve"> за да се възстанови, поддържа и увеличи приносът на природата за хората, включително екосистемните функции и услуги, като например регулирането на въздуха, водата и климата, здравето на почвите, опрашването на растенията и намаляването на риска от заболявания, както и защитата от природни опасности и бедствия чрез природосъобразни решения и/или екосистемни подходи в полза на всички хора и природата. Глобалната</w:t>
      </w:r>
      <w:r w:rsidRPr="0070201F">
        <w:rPr>
          <w:b/>
          <w:i/>
        </w:rPr>
        <w:t xml:space="preserve"> рамка </w:t>
      </w:r>
      <w:r w:rsidRPr="0070201F">
        <w:rPr>
          <w:b/>
          <w:i/>
          <w:shd w:val="clear" w:color="auto" w:fill="FFFFFF"/>
        </w:rPr>
        <w:t>за биологичното разнообразие ще даде възможност за напредък към постигането на ориентираните към резултати цели за 2050 г.</w:t>
      </w:r>
      <w:bookmarkEnd w:id="8"/>
    </w:p>
    <w:p w:rsidR="006173E9" w:rsidRPr="0070201F" w:rsidRDefault="006173E9" w:rsidP="006173E9">
      <w:pPr>
        <w:suppressAutoHyphens/>
        <w:spacing w:before="120" w:after="120" w:line="360" w:lineRule="auto"/>
        <w:ind w:left="567" w:right="-1" w:hanging="567"/>
        <w:rPr>
          <w:rFonts w:eastAsia="Calibri"/>
        </w:rPr>
      </w:pPr>
      <w:r w:rsidRPr="0070201F">
        <w:t>(5)</w:t>
      </w:r>
      <w:r w:rsidRPr="0070201F">
        <w:tab/>
        <w:t>Целите на ООН за устойчиво развитие</w:t>
      </w:r>
      <w:r w:rsidRPr="0070201F">
        <w:rPr>
          <w:rFonts w:eastAsia="Calibri"/>
          <w:vertAlign w:val="superscript"/>
        </w:rPr>
        <w:footnoteReference w:id="10"/>
      </w:r>
      <w:r w:rsidRPr="0070201F">
        <w:t>, по-специално цели 14.2, 15.1, 15.2 и 15.3, се отнасят до необходимостта да се гарантират опазването, възстановяването и устойчивото използване на сухоземните и вътрешните сладководни екосистеми и техните услуги, по-специално горите, влажните зони, планините и сухите зони.</w:t>
      </w:r>
    </w:p>
    <w:p w:rsidR="006173E9" w:rsidRPr="0070201F" w:rsidRDefault="006173E9" w:rsidP="006173E9">
      <w:pPr>
        <w:suppressAutoHyphens/>
        <w:spacing w:before="120" w:after="120" w:line="360" w:lineRule="auto"/>
        <w:ind w:left="567" w:right="-1" w:hanging="567"/>
        <w:rPr>
          <w:rFonts w:eastAsia="Calibri"/>
        </w:rPr>
      </w:pPr>
      <w:r w:rsidRPr="0070201F">
        <w:t>(6)</w:t>
      </w:r>
      <w:r w:rsidRPr="0070201F">
        <w:tab/>
        <w:t>В резолюция от 1 март 2019 г.</w:t>
      </w:r>
      <w:r w:rsidRPr="0070201F">
        <w:rPr>
          <w:rFonts w:eastAsia="Calibri"/>
          <w:vertAlign w:val="superscript"/>
        </w:rPr>
        <w:footnoteReference w:id="11"/>
      </w:r>
      <w:r w:rsidRPr="0070201F">
        <w:t xml:space="preserve"> Общото събрание на Организацията на обединените нации обяви периода 2021—2030 г. за десетилетието на ООН за възстановяване на екосистемите с цел подкрепа и увеличаване на усилията за предотвратяване, спиране и обръщане на процеса на деградация на екосистемите в световен мащаб и повишаване </w:t>
      </w:r>
      <w:r w:rsidRPr="0070201F">
        <w:lastRenderedPageBreak/>
        <w:t>на осведомеността относно значението на възстановяването на екосистемите.</w:t>
      </w:r>
    </w:p>
    <w:p w:rsidR="006173E9" w:rsidRPr="0070201F" w:rsidRDefault="006173E9" w:rsidP="006173E9">
      <w:pPr>
        <w:spacing w:after="200" w:line="276" w:lineRule="auto"/>
        <w:rPr>
          <w:rFonts w:eastAsia="Calibri"/>
        </w:rPr>
      </w:pPr>
      <w:r w:rsidRPr="0070201F">
        <w:br w:type="page"/>
      </w:r>
    </w:p>
    <w:p w:rsidR="006173E9" w:rsidRPr="0070201F" w:rsidRDefault="006173E9" w:rsidP="006173E9">
      <w:pPr>
        <w:suppressAutoHyphens/>
        <w:spacing w:before="120" w:after="120" w:line="360" w:lineRule="auto"/>
        <w:ind w:left="567" w:right="-1" w:hanging="567"/>
        <w:rPr>
          <w:rFonts w:eastAsia="Calibri"/>
        </w:rPr>
      </w:pPr>
      <w:r w:rsidRPr="0070201F">
        <w:lastRenderedPageBreak/>
        <w:t>(7)</w:t>
      </w:r>
      <w:r w:rsidRPr="0070201F">
        <w:tab/>
        <w:t>Стратегията на ЕС за биологичното разнообразие за 2030 г. има за цел да се гарантира, че биологичното разнообразие в Европа ще започне да се възстановява до 2030 г. в полза на хората, планетата, климата и нашата икономика. В нея се определя амбициозен план на ЕС за възстановяване на природата с редица ключови ангажименти, включително ангажимент за представяне на предложение за правно обвързващи цели на ЕС за възстановяване на природата с цел възстановяване на увредените екосистеми, по-специално екосистемите с най-голям потенциал за улавяне и съхранение на въглерод, както и за предотвратяване и намаляване на въздействието на природните бедствия.</w:t>
      </w:r>
    </w:p>
    <w:p w:rsidR="006173E9" w:rsidRPr="0070201F" w:rsidRDefault="006173E9" w:rsidP="006173E9">
      <w:pPr>
        <w:suppressAutoHyphens/>
        <w:spacing w:before="120" w:after="120" w:line="360" w:lineRule="auto"/>
        <w:ind w:left="567" w:right="-1" w:hanging="567"/>
        <w:rPr>
          <w:rFonts w:eastAsia="Calibri"/>
        </w:rPr>
      </w:pPr>
      <w:r w:rsidRPr="0070201F">
        <w:t>(8)</w:t>
      </w:r>
      <w:r w:rsidRPr="0070201F">
        <w:tab/>
        <w:t>В своята резолюция от 9 юни 2021 г.</w:t>
      </w:r>
      <w:r w:rsidRPr="0070201F">
        <w:rPr>
          <w:rFonts w:eastAsia="Calibri"/>
          <w:vertAlign w:val="superscript"/>
        </w:rPr>
        <w:footnoteReference w:id="12"/>
      </w:r>
      <w:r w:rsidRPr="0070201F">
        <w:t xml:space="preserve"> Европейският парламент горещо приветства ангажимента за изготвяне на законодателно предложение с обвързващи цели за възстановяване на природата, като освен това счита, че в допълнение към общата цел за възстановяване следва да бъдат включени специфични за екосистемите, местообитанията и видовете цели за възстановяване, които обхващат горите, тревните площи, влажните зони, торфищата, опрашителите, свободно течащите реки, крайбрежните зони и морските екосистеми.</w:t>
      </w:r>
    </w:p>
    <w:p w:rsidR="006173E9" w:rsidRPr="0070201F" w:rsidRDefault="006173E9" w:rsidP="006173E9">
      <w:pPr>
        <w:suppressAutoHyphens/>
        <w:spacing w:before="120" w:after="120" w:line="360" w:lineRule="auto"/>
        <w:ind w:left="567" w:right="-1" w:hanging="567"/>
        <w:rPr>
          <w:rFonts w:eastAsia="Calibri"/>
        </w:rPr>
      </w:pPr>
      <w:r w:rsidRPr="0070201F">
        <w:t>(9)</w:t>
      </w:r>
      <w:r w:rsidRPr="0070201F">
        <w:tab/>
        <w:t>В заключенията си от 23 октомври 2020 г.</w:t>
      </w:r>
      <w:r w:rsidRPr="0070201F">
        <w:rPr>
          <w:rFonts w:eastAsia="Calibri"/>
          <w:vertAlign w:val="superscript"/>
        </w:rPr>
        <w:footnoteReference w:id="13"/>
      </w:r>
      <w:r w:rsidRPr="0070201F">
        <w:t xml:space="preserve"> Съветът призна, че предотвратяването на по-нататъшното влошаване на настоящото състояние на биологичното разнообразие и природата ще бъде от съществено значение, но няма да бъде достатъчно за осигуряване на полагащото се място на природата в нашия живот. Съветът отново потвърди, че е необходима по-голяма амбиция по отношение на възстановяването на природата, както се предлага в новия план на ЕС за възстановяване на природата, който включва мерки за опазване и възстановяване на биологичното разнообразие извън защитените зони. Съветът заяви също, че очаква предложение за правно обвързващи цели за възстановяване на природата, което подлежи на оценка на въздействието.</w:t>
      </w:r>
    </w:p>
    <w:p w:rsidR="006173E9" w:rsidRPr="0070201F" w:rsidRDefault="006173E9" w:rsidP="006173E9">
      <w:pPr>
        <w:suppressAutoHyphens/>
        <w:spacing w:before="120" w:after="120" w:line="360" w:lineRule="auto"/>
        <w:ind w:left="567" w:right="-1" w:hanging="567"/>
        <w:rPr>
          <w:rFonts w:eastAsia="Calibri"/>
        </w:rPr>
      </w:pPr>
      <w:r w:rsidRPr="0070201F">
        <w:br w:type="page"/>
      </w:r>
      <w:r w:rsidRPr="0070201F">
        <w:lastRenderedPageBreak/>
        <w:t>(10)</w:t>
      </w:r>
      <w:r w:rsidRPr="0070201F">
        <w:tab/>
        <w:t>В стратегията на ЕС за биологичното разнообразие за 2030 г. се определя ангажимент за правна защита на най-малко 30 % от сухоземните зони, включително вътрешните води, и 30 % от моретата в Съюза, от които най-малко една трета следва да бъдат строго защитени, включително всички останали девствени и вековни гори. В критериите и насоките за определяне на допълнителни защитени зони от държавите членки</w:t>
      </w:r>
      <w:r w:rsidRPr="0070201F">
        <w:rPr>
          <w:rFonts w:eastAsia="Calibri"/>
          <w:vertAlign w:val="superscript"/>
        </w:rPr>
        <w:footnoteReference w:id="14"/>
      </w:r>
      <w:r w:rsidRPr="0070201F">
        <w:t xml:space="preserve"> („критерии и насоки“), разработени от Комисията в сътрудничество с държавите членки и заинтересованите страни, се подчертава, че ако възстановените зони отговарят или се очаква да отговарят на критериите за защитени зони, след като възстановяването достигне пълния си ефект, тези възстановени зони следва също така да допринесат за постигането на целите на Съюза по отношение на защитените зони. В критериите и насоките също така се подчертава, че защитените зони могат да осигурят важен принос към целите за възстановяване, заложени в стратегията на ЕС за биологичното разнообразие за 2030 г., като създават условията за успеха на усилията за възстановяване. Това важи по-специално за райони, които могат да се възстановят по естествен път, като се спира или ограничава натискът от човешката дейност. Поставянето на такива зони, включително в морската среда, под строга защита в някои случаи ще бъде достатъчно, за да доведе до възстановяване на природните ценности, които се намират в тях. Освен това в критериите и насоките се подчертава, че от всички държави членки се очаква да допринасят за постигането на целите на Съюза за защитените зони, установени в стратегията на ЕС за биологичното разнообразие за 2030 г., до степен, която е пропорционална на природните ценности в тях и на потенциала им за възстановяване на природата.</w:t>
      </w:r>
    </w:p>
    <w:p w:rsidR="006173E9" w:rsidRPr="0070201F" w:rsidRDefault="006173E9" w:rsidP="006173E9">
      <w:pPr>
        <w:suppressAutoHyphens/>
        <w:spacing w:before="120" w:after="120" w:line="360" w:lineRule="auto"/>
        <w:ind w:left="567" w:right="-1" w:hanging="567"/>
        <w:rPr>
          <w:rFonts w:eastAsia="Calibri"/>
        </w:rPr>
      </w:pPr>
      <w:r w:rsidRPr="0070201F">
        <w:br w:type="page"/>
      </w:r>
      <w:r w:rsidRPr="0070201F">
        <w:lastRenderedPageBreak/>
        <w:t>(11)</w:t>
      </w:r>
      <w:r w:rsidRPr="0070201F">
        <w:tab/>
        <w:t>В стратегията на ЕС за биологичното разнообразие за 2030 г. се поставя цел да се гарантира, че до 2030 г. няма да има влошаване на тенденциите в опазването или на състоянието на защитените местообитания и видове и че най-малко 30 % от видовете и местообитанията, които понастоящем не са в благоприятно състояние, ще попаднат в тази категория или ще има силно положителна тенденция да попаднат в тази категория. В насоките</w:t>
      </w:r>
      <w:r w:rsidRPr="0070201F">
        <w:rPr>
          <w:rFonts w:eastAsia="Calibri"/>
          <w:vertAlign w:val="superscript"/>
        </w:rPr>
        <w:footnoteReference w:id="15"/>
      </w:r>
      <w:r w:rsidRPr="0070201F">
        <w:t>, разработени от Комисията в сътрудничество с държавите членки и заинтересованите страни в подкрепа на постигането на тези цели, се подчертава, че за повечето от тези местообитания и видове вероятно ще бъдат необходими усилия за поддържането и възстановяването чрез спиране на настоящите отрицателни тенденции до 2030 г. или чрез поддържане на настоящите тенденции на стабилно или подобряващо се състояние, или чрез предотвратяване на намаляването на местообитанията и видовете с благоприятен природозащитен статус. Освен това в насоките се подчертава, че тези усилия за възстановяване трябва преди всичко да бъдат планирани, изпълнени и координирани на национално или регионално равнище и че при подбора и приоритизирането на видовете и местообитанията, които трябва да бъдат подобрени до 2030 г., трябва да се търсят полезни взаимодействия с други цели на Съюза и международни цели, по-специално с целите на политиката в областта на околната среда или климата.</w:t>
      </w:r>
    </w:p>
    <w:p w:rsidR="006173E9" w:rsidRPr="0070201F" w:rsidRDefault="006173E9" w:rsidP="006173E9">
      <w:pPr>
        <w:suppressAutoHyphens/>
        <w:spacing w:before="120" w:after="120" w:line="360" w:lineRule="auto"/>
        <w:ind w:left="567" w:right="-1" w:hanging="567"/>
      </w:pPr>
      <w:r w:rsidRPr="0070201F">
        <w:t>(12)</w:t>
      </w:r>
      <w:r w:rsidRPr="0070201F">
        <w:tab/>
        <w:t>В доклада на Комисията за състоянието на природата от 2020 г.</w:t>
      </w:r>
      <w:r w:rsidRPr="0070201F">
        <w:rPr>
          <w:rFonts w:eastAsia="Calibri"/>
          <w:vertAlign w:val="superscript"/>
        </w:rPr>
        <w:footnoteReference w:id="16"/>
      </w:r>
      <w:r w:rsidRPr="0070201F">
        <w:t xml:space="preserve"> се отбелязва, че Съюзът все още не е успял да спре намаляването на защитените типове местообитания и видове, чието опазване е от значение за Съюза. Това намаляване се дължи най-вече на изоставянето на екстензивното земеделие, интензивирането на практиките на управление, изменението на хидроложките режими, урбанизацията и замърсяването, както и неустойчивите горски дейности и експлоатацията на видовете. Освен това инвазивните чуждоземни видове и изменението на климата представляват големи и нарастващи заплахи за местната флора и фауна на Съюза.</w:t>
      </w:r>
    </w:p>
    <w:p w:rsidR="0016114A" w:rsidRPr="0070201F" w:rsidRDefault="0016114A" w:rsidP="0016114A">
      <w:pPr>
        <w:suppressAutoHyphens/>
        <w:spacing w:before="120" w:after="120" w:line="360" w:lineRule="auto"/>
        <w:ind w:left="567" w:right="-1" w:hanging="567"/>
        <w:rPr>
          <w:rFonts w:eastAsia="Calibri"/>
          <w:b/>
          <w:bCs/>
          <w:iCs/>
        </w:rPr>
      </w:pPr>
      <w:r w:rsidRPr="0070201F">
        <w:rPr>
          <w:b/>
          <w:bCs/>
          <w:i/>
          <w:iCs/>
        </w:rPr>
        <w:t>(12а)</w:t>
      </w:r>
      <w:r w:rsidRPr="0070201F">
        <w:rPr>
          <w:b/>
          <w:bCs/>
          <w:i/>
          <w:iCs/>
        </w:rPr>
        <w:tab/>
      </w:r>
      <w:r w:rsidRPr="0070201F">
        <w:rPr>
          <w:rFonts w:eastAsia="Calibri"/>
          <w:b/>
          <w:bCs/>
          <w:i/>
          <w:iCs/>
        </w:rPr>
        <w:t xml:space="preserve">В съобщението на Комисията, озаглавено „Преглед на търговската политика – </w:t>
      </w:r>
      <w:r w:rsidRPr="0070201F">
        <w:rPr>
          <w:rFonts w:eastAsia="Calibri"/>
          <w:b/>
          <w:bCs/>
          <w:i/>
          <w:iCs/>
        </w:rPr>
        <w:lastRenderedPageBreak/>
        <w:t>отворена, устойчива и решителна търговска политика“</w:t>
      </w:r>
      <w:r w:rsidR="00175D69" w:rsidRPr="0070201F">
        <w:rPr>
          <w:rStyle w:val="FootnoteReference"/>
          <w:rFonts w:eastAsia="Calibri"/>
          <w:b/>
          <w:bCs/>
          <w:i/>
          <w:iCs/>
        </w:rPr>
        <w:footnoteReference w:id="17"/>
      </w:r>
      <w:r w:rsidRPr="0070201F">
        <w:rPr>
          <w:rFonts w:eastAsia="Calibri"/>
          <w:b/>
          <w:bCs/>
          <w:i/>
          <w:iCs/>
        </w:rPr>
        <w:t xml:space="preserve"> се казва, че Европейският зелен пакт представлява новата стратегия на ЕС за растеж, която ще е движещата сила на нашата конкурентоспособност и ще доведе до постепенна, но дълбока трансформация на нашите икономики, което на свой ред ще даде силно отражение върху моделите на търговия, докато в същото време широката мрежа на ЕС от двустранни търговски споразумения представлява важна платформа за сътрудничество с нашите партньори в областта на изменението на климата и биологичното разнообразие и следователно изисква въвеждането на „огледални“ мерки в съответствие с правилата на СТО. </w:t>
      </w:r>
      <w:r w:rsidRPr="0070201F">
        <w:rPr>
          <w:rFonts w:eastAsia="Calibri"/>
          <w:b/>
          <w:bCs/>
          <w:iCs/>
        </w:rPr>
        <w:t>[Устно изменение]</w:t>
      </w:r>
    </w:p>
    <w:p w:rsidR="006173E9" w:rsidRPr="0070201F" w:rsidRDefault="006173E9" w:rsidP="006173E9">
      <w:pPr>
        <w:suppressAutoHyphens/>
        <w:spacing w:before="120" w:after="120" w:line="360" w:lineRule="auto"/>
        <w:ind w:left="567" w:right="-1" w:hanging="567"/>
        <w:rPr>
          <w:rFonts w:eastAsia="Calibri"/>
        </w:rPr>
      </w:pPr>
      <w:r w:rsidRPr="0070201F">
        <w:t>(13)</w:t>
      </w:r>
      <w:r w:rsidRPr="0070201F">
        <w:tab/>
        <w:t>Целесъобразно е да се определи основна цел за възстановяване на екосистемите, за да се стимулират икономическите и обществените промени, създаването на висококачествени работни места и устойчивият растеж. Екосистемите с биологично разнообразие, като например влажни зони, сладководни басейни, гори, както и селскостопански зони, зони с рядка растителност, морски, крайбрежни и градски екосистеми, предоставят, ако са в добро състояние, редица основни екосистемни услуги, като ползите от възстановяването до добро състояние на увредените екосистеми във всички сухоземни и морски зони далеч надхвърлят разходите за възстановяване. В зависимост от икономическите, социалните, културните, регионалните и местните характеристики тези екосистемни услуги допринасят за широк спектър от социално-икономически ползи.</w:t>
      </w:r>
    </w:p>
    <w:p w:rsidR="006173E9" w:rsidRPr="0070201F" w:rsidRDefault="006173E9" w:rsidP="006173E9">
      <w:pPr>
        <w:suppressAutoHyphens/>
        <w:spacing w:before="120" w:after="120" w:line="360" w:lineRule="auto"/>
        <w:ind w:left="567" w:right="-1" w:hanging="567"/>
        <w:rPr>
          <w:rFonts w:eastAsia="Calibri"/>
        </w:rPr>
      </w:pPr>
      <w:r w:rsidRPr="0070201F">
        <w:t>(14)</w:t>
      </w:r>
      <w:r w:rsidRPr="0070201F">
        <w:tab/>
        <w:t>На своята 52-ра сесия през март 2021 г. Статистическата комисия на ООН прие Екосистемното счетоводство в рамките на Системата от интегрирани икономически сметки за околната среда (SEEA EA)</w:t>
      </w:r>
      <w:r w:rsidRPr="0070201F">
        <w:rPr>
          <w:rFonts w:eastAsia="Calibri"/>
          <w:vertAlign w:val="superscript"/>
        </w:rPr>
        <w:footnoteReference w:id="18"/>
      </w:r>
      <w:r w:rsidRPr="0070201F">
        <w:t xml:space="preserve">. SEEA EA представлява интегрирана и всеобхватна статистическа рамка за организиране на данни за местообитанията и ландшафта, за измерване на обхвата, състоянието и услугите на екосистемите, за проследяване на промените в активите на екосистемите и за свързване на тази информация с икономическата и друга човешка дейност. </w:t>
      </w:r>
    </w:p>
    <w:p w:rsidR="006173E9" w:rsidRPr="0070201F" w:rsidRDefault="006173E9" w:rsidP="006173E9">
      <w:pPr>
        <w:suppressAutoHyphens/>
        <w:spacing w:before="120" w:after="120" w:line="360" w:lineRule="auto"/>
        <w:ind w:left="567" w:right="-1" w:hanging="567"/>
        <w:rPr>
          <w:rFonts w:eastAsia="Calibri"/>
        </w:rPr>
      </w:pPr>
      <w:r w:rsidRPr="0070201F">
        <w:t>(15)</w:t>
      </w:r>
      <w:r w:rsidRPr="0070201F">
        <w:tab/>
        <w:t xml:space="preserve">Гарантирането на екосистеми с биологично разнообразие и справянето с изменението </w:t>
      </w:r>
      <w:r w:rsidRPr="0070201F">
        <w:lastRenderedPageBreak/>
        <w:t>на климата са неразривно свързани. Естествените и природосъобразните решения, включително естествените въглеродни запаси и поглътителите на въглерод, са от основно значение за борбата с кризата, свързана с климата. В същото време кризата с климата вече е движещ фактор за промените в сухоземните и морските екосистеми и Съюзът трябва да се подготви за нарастващата интензивност, честота и разпространение на последиците от нея. В специалния доклад на Междуправителствения комитет по изменение на климата (IPCC)</w:t>
      </w:r>
      <w:r w:rsidRPr="0070201F">
        <w:rPr>
          <w:rFonts w:eastAsia="Calibri"/>
          <w:vertAlign w:val="superscript"/>
        </w:rPr>
        <w:footnoteReference w:id="19"/>
      </w:r>
      <w:r w:rsidRPr="0070201F">
        <w:t xml:space="preserve"> относно въздействието на глобалното затопляне с 1,5 C се посочва, че някои въздействия могат да бъдат дълготрайни или необратими. В Шестия доклад за оценка на IPCC</w:t>
      </w:r>
      <w:r w:rsidRPr="0070201F">
        <w:rPr>
          <w:rFonts w:eastAsia="Calibri"/>
          <w:vertAlign w:val="superscript"/>
        </w:rPr>
        <w:footnoteReference w:id="20"/>
      </w:r>
      <w:r w:rsidRPr="0070201F">
        <w:t xml:space="preserve"> се посочва, че възстановяването на екосистемите ще бъде от основно значение за подпомагане на борбата с изменението на климата, както и за намаляване на рисковете за продоволствената сигурност. В своя доклад за глобална оценка на биологичното разнообразие и екосистемните услуги</w:t>
      </w:r>
      <w:r w:rsidRPr="0070201F">
        <w:rPr>
          <w:rFonts w:eastAsia="Calibri"/>
          <w:vertAlign w:val="superscript"/>
        </w:rPr>
        <w:footnoteReference w:id="21"/>
      </w:r>
      <w:r w:rsidRPr="0070201F">
        <w:t xml:space="preserve"> от 2019 г. Междуправителствената научно-политическа платформа за биологично разнообразие и екосистемни услуги (IPBES) счита, че изменението на климата е основен движещ фактор на промяната в природата, и очаква въздействието му да се увеличи през следващите десетилетия, а в някои случаи да надхвърли въздействието на други фактори за промяна на екосистемите, като например промененото земеползване и използване на морето.</w:t>
      </w:r>
    </w:p>
    <w:p w:rsidR="006173E9" w:rsidRPr="0070201F" w:rsidRDefault="006173E9" w:rsidP="006173E9">
      <w:pPr>
        <w:suppressAutoHyphens/>
        <w:spacing w:before="120" w:after="120" w:line="360" w:lineRule="auto"/>
        <w:ind w:left="567" w:right="-1" w:hanging="567"/>
        <w:rPr>
          <w:rFonts w:eastAsia="Calibri"/>
        </w:rPr>
      </w:pPr>
      <w:r w:rsidRPr="0070201F">
        <w:br w:type="page"/>
      </w:r>
      <w:r w:rsidRPr="0070201F">
        <w:lastRenderedPageBreak/>
        <w:t>(16)</w:t>
      </w:r>
      <w:r w:rsidRPr="0070201F">
        <w:tab/>
        <w:t>С Регламент (ЕС) 2021/1119 на Европейския парламент и на Съвета</w:t>
      </w:r>
      <w:r w:rsidRPr="0070201F">
        <w:rPr>
          <w:rFonts w:eastAsia="Calibri"/>
          <w:vertAlign w:val="superscript"/>
        </w:rPr>
        <w:footnoteReference w:id="22"/>
      </w:r>
      <w:r w:rsidRPr="0070201F">
        <w:t xml:space="preserve"> се определя обвързваща цел за неутралност по отношение на климата в Съюза до 2050 г. и за отрицателни емисии след това, както и за даване на приоритет на бързото и предвидимо намаляване на емисиите и същевременно за увеличаване на поглъщанията от естествени поглътители. Възстановяването на екосистемите може да допринесе значително за поддържането, управлението и подобряването на състоянието на естествените поглътители и за увеличаването на биологичното разнообразие успоредно с борбата с изменението на климата. В Регламент (ЕС) 2021/1119 също така се изисква от съответните институции на Съюза и от държавите членки да гарантират постоянен напредък в повишаването на адаптивната способност, укрепването на устойчивостта и намаляването на уязвимостта към изменението на климата. В него се изисква също така държавите членки да интегрират адаптирането към изменението на климата във всички области на политиката и да насърчават природосъобразните решения</w:t>
      </w:r>
      <w:r w:rsidRPr="0070201F">
        <w:rPr>
          <w:rFonts w:eastAsia="Calibri"/>
          <w:vertAlign w:val="superscript"/>
        </w:rPr>
        <w:footnoteReference w:id="23"/>
      </w:r>
      <w:r w:rsidRPr="0070201F">
        <w:t xml:space="preserve"> и основаващото се на екосистемите адаптиране. </w:t>
      </w:r>
    </w:p>
    <w:p w:rsidR="006173E9" w:rsidRPr="0070201F" w:rsidRDefault="006173E9" w:rsidP="006173E9">
      <w:pPr>
        <w:suppressAutoHyphens/>
        <w:spacing w:before="120" w:after="120" w:line="360" w:lineRule="auto"/>
        <w:ind w:left="567" w:right="-1" w:hanging="567"/>
        <w:rPr>
          <w:rFonts w:eastAsia="Calibri"/>
        </w:rPr>
      </w:pPr>
      <w:r w:rsidRPr="0070201F">
        <w:t>(17)</w:t>
      </w:r>
      <w:r w:rsidRPr="0070201F">
        <w:tab/>
        <w:t>В съобщението на Комисията относно адаптирането към изменението на климата от 2021 г.</w:t>
      </w:r>
      <w:r w:rsidRPr="0070201F">
        <w:rPr>
          <w:rFonts w:eastAsia="Calibri"/>
          <w:vertAlign w:val="superscript"/>
        </w:rPr>
        <w:footnoteReference w:id="24"/>
      </w:r>
      <w:r w:rsidRPr="0070201F">
        <w:t xml:space="preserve"> се подчертава необходимостта да се насърчават природосъобразни решения и се признава, че икономически ефективно адаптиране към изменението на климата може да бъде постигнато чрез защита и възстановяване на влажните зони и торфищата, както и на крайбрежните и морските екосистеми, чрез разработване на градски зелени пространства и монтиране на зелени покриви и стени, както и чрез насърчаване и устойчиво управление на горите и земеделската земя. Наличието на по-голям брой екосистеми с биологично разнообразие води до по-голяма устойчивост към изменението на климата и осигурява по-ефективни начини за намаляване и </w:t>
      </w:r>
      <w:r w:rsidRPr="0070201F">
        <w:lastRenderedPageBreak/>
        <w:t>предотвратяване на бедствия.</w:t>
      </w:r>
    </w:p>
    <w:p w:rsidR="006173E9" w:rsidRPr="0070201F" w:rsidRDefault="006173E9" w:rsidP="006173E9">
      <w:pPr>
        <w:suppressAutoHyphens/>
        <w:spacing w:before="120" w:after="120" w:line="360" w:lineRule="auto"/>
        <w:ind w:left="567" w:right="-1" w:hanging="567"/>
        <w:rPr>
          <w:rFonts w:eastAsia="Calibri"/>
        </w:rPr>
      </w:pPr>
      <w:r w:rsidRPr="0070201F">
        <w:br w:type="page"/>
      </w:r>
      <w:r w:rsidRPr="0070201F">
        <w:lastRenderedPageBreak/>
        <w:t>(18)</w:t>
      </w:r>
      <w:r w:rsidRPr="0070201F">
        <w:tab/>
        <w:t>Политиката на Съюза в областта на климата е в процес на преразглеждане, за да следва предложения в Регламент (ЕС) 2021/1119 път за намаляване на нетните емисии с най-малко 55 % до 2030 г. в сравнение с 1990 г. По-специално предложението за регламент на Европейския парламент и на Съвета за изменение на регламенти (ЕС) 2018/841 и (ЕС) 2018/1999</w:t>
      </w:r>
      <w:r w:rsidRPr="0070201F">
        <w:rPr>
          <w:rFonts w:eastAsia="Calibri"/>
          <w:vertAlign w:val="superscript"/>
        </w:rPr>
        <w:footnoteReference w:id="25"/>
      </w:r>
      <w:r w:rsidRPr="0070201F">
        <w:t xml:space="preserve"> има за цел да засили приноса на поземления сектор към общите амбиции в областта на климата за 2030 г. и привежда целите по отношение на отчитането на емисиите и поглъщанията от сектора на земеползването, промените в земеползването и горското стопанство (ЗПЗГС) в съответствие със свързаните инициативи на политиките в областта на биологичното разнообразие. В това предложение се обръща специално внимание на необходимостта от запазване и подобряване на природосъобразните поглъщания на въглерод, подобряване на устойчивостта на екосистемите спрямо изменението на климата, възстановяване на засегнатите от деградация земи и екосистеми и възстановяване на влагата в торфища. Освен това то има за цел да се подобрят мониторингът и отчитането на емисиите и поглъщанията на парникови газове от земи, които са обект на опазване и възстановяване. В този контекст е важно екосистемите във всички категории земи, включително горите, тревните площи, обработваемите земи и влажните зони, да бъдат в добро състояние, за да могат ефективно да улавят и съхраняват въглерод.</w:t>
      </w:r>
    </w:p>
    <w:p w:rsidR="006173E9" w:rsidRPr="0070201F" w:rsidRDefault="006173E9" w:rsidP="006173E9">
      <w:pPr>
        <w:suppressAutoHyphens/>
        <w:spacing w:before="120" w:after="120" w:line="360" w:lineRule="auto"/>
        <w:ind w:left="567" w:right="-1" w:hanging="567"/>
        <w:rPr>
          <w:rFonts w:eastAsia="Calibri"/>
        </w:rPr>
      </w:pPr>
      <w:r w:rsidRPr="0070201F">
        <w:t>(19)</w:t>
      </w:r>
      <w:r w:rsidRPr="0070201F">
        <w:tab/>
        <w:t>Геополитически събития допълнително подчертаха необходимостта от гарантиране на устойчивостта на продоволствените системи</w:t>
      </w:r>
      <w:r w:rsidRPr="0070201F">
        <w:rPr>
          <w:rFonts w:eastAsia="Calibri"/>
          <w:vertAlign w:val="superscript"/>
        </w:rPr>
        <w:footnoteReference w:id="26"/>
      </w:r>
      <w:r w:rsidRPr="0070201F">
        <w:t>.</w:t>
      </w:r>
      <w:r w:rsidRPr="0070201F">
        <w:rPr>
          <w:vertAlign w:val="superscript"/>
        </w:rPr>
        <w:t xml:space="preserve"> </w:t>
      </w:r>
      <w:r w:rsidRPr="0070201F">
        <w:t>Данните показват, че възстановяването на агроекосистемите има положително въздействие в дългосрочен план върху производството на храни и че възстановяването на природата действа като гарант за дългосрочната устойчивост и издръжливост на ЕС.</w:t>
      </w:r>
    </w:p>
    <w:p w:rsidR="006173E9" w:rsidRPr="0070201F" w:rsidRDefault="006173E9" w:rsidP="006173E9">
      <w:pPr>
        <w:suppressAutoHyphens/>
        <w:spacing w:before="120" w:after="120" w:line="360" w:lineRule="auto"/>
        <w:ind w:left="567" w:right="-1" w:hanging="567"/>
        <w:rPr>
          <w:rFonts w:eastAsia="Calibri"/>
          <w:shd w:val="clear" w:color="auto" w:fill="FFFFFF"/>
        </w:rPr>
      </w:pPr>
      <w:r w:rsidRPr="0070201F">
        <w:t>(20)</w:t>
      </w:r>
      <w:r w:rsidRPr="0070201F">
        <w:tab/>
        <w:t xml:space="preserve">В окончателния доклад на </w:t>
      </w:r>
      <w:r w:rsidRPr="0070201F">
        <w:rPr>
          <w:shd w:val="clear" w:color="auto" w:fill="FFFFFF"/>
        </w:rPr>
        <w:t>Конференцията за бъдещето на Европа</w:t>
      </w:r>
      <w:r w:rsidRPr="0070201F">
        <w:t xml:space="preserve"> гражданите призовават Съюза да опазва и възстановява биологичното разнообразие, ландшафта и океаните, да премахне замърсяването и да насърчава знанията, осведомеността, </w:t>
      </w:r>
      <w:r w:rsidRPr="0070201F">
        <w:lastRenderedPageBreak/>
        <w:t>образованието и диалозите за околната среда, изменението на климата, потреблението на енергия и устойчивостта</w:t>
      </w:r>
      <w:r w:rsidRPr="0070201F">
        <w:rPr>
          <w:rFonts w:eastAsia="Calibri"/>
          <w:vertAlign w:val="superscript"/>
        </w:rPr>
        <w:footnoteReference w:id="27"/>
      </w:r>
      <w:r w:rsidRPr="0070201F">
        <w:rPr>
          <w:shd w:val="clear" w:color="auto" w:fill="FFFFFF"/>
        </w:rPr>
        <w:t>.</w:t>
      </w:r>
    </w:p>
    <w:p w:rsidR="006173E9" w:rsidRPr="0070201F" w:rsidRDefault="006173E9" w:rsidP="006173E9">
      <w:pPr>
        <w:spacing w:after="200" w:line="276" w:lineRule="auto"/>
        <w:rPr>
          <w:rFonts w:eastAsia="Calibri"/>
          <w:shd w:val="clear" w:color="auto" w:fill="FFFFFF"/>
        </w:rPr>
      </w:pPr>
      <w:r w:rsidRPr="0070201F">
        <w:br w:type="page"/>
      </w:r>
    </w:p>
    <w:p w:rsidR="006173E9" w:rsidRPr="0070201F" w:rsidRDefault="006173E9" w:rsidP="006173E9">
      <w:pPr>
        <w:suppressAutoHyphens/>
        <w:spacing w:before="120" w:after="120" w:line="360" w:lineRule="auto"/>
        <w:ind w:left="567" w:right="-1" w:hanging="567"/>
        <w:rPr>
          <w:rFonts w:eastAsia="Calibri"/>
        </w:rPr>
      </w:pPr>
      <w:r w:rsidRPr="0070201F">
        <w:lastRenderedPageBreak/>
        <w:t>(21)</w:t>
      </w:r>
      <w:r w:rsidRPr="0070201F">
        <w:tab/>
        <w:t>Възстановяването на екосистемите, съчетано с усилия за намаляване на търговията и потреблението на екземпляри от дивата флора и фауна, ще спомогне и за предотвратяването на евентуални заразни болести със зоонозен потенциал в бъдеще, и за осигуряването на съпротивителна способност спрямо тях, като по този начин се намалят рисковете от огнища на болести и пандемии, и ще подкрепи усилията на ЕС и в света за прилагане на подхода „Едно здраве“, който признава неразривната връзка между здравето на хората, здравето на животните и устойчивата и здрава природа.</w:t>
      </w:r>
    </w:p>
    <w:p w:rsidR="006173E9" w:rsidRPr="0070201F" w:rsidRDefault="006173E9" w:rsidP="006173E9">
      <w:pPr>
        <w:suppressAutoHyphens/>
        <w:spacing w:before="120" w:after="120" w:line="360" w:lineRule="auto"/>
        <w:ind w:left="567" w:right="-1" w:hanging="567"/>
        <w:rPr>
          <w:rFonts w:eastAsia="Calibri"/>
        </w:rPr>
      </w:pPr>
      <w:r w:rsidRPr="0070201F">
        <w:t>(22)</w:t>
      </w:r>
      <w:r w:rsidRPr="0070201F">
        <w:tab/>
        <w:t>Почвите са неразделна част от сухоземните екосистеми. В съобщението на Комисията от 2021 г. „Стратегия на ЕС за почвите за 2030 г.“</w:t>
      </w:r>
      <w:r w:rsidRPr="0070201F">
        <w:rPr>
          <w:rFonts w:eastAsia="Calibri"/>
          <w:vertAlign w:val="superscript"/>
        </w:rPr>
        <w:footnoteReference w:id="28"/>
      </w:r>
      <w:r w:rsidRPr="0070201F">
        <w:t xml:space="preserve"> се подчертава необходимостта от възстановяване на деградиралите почви и подобряване на биологичното разнообразие на почвите.</w:t>
      </w:r>
      <w:r w:rsidRPr="0070201F">
        <w:rPr>
          <w:b/>
          <w:i/>
        </w:rPr>
        <w:t xml:space="preserve"> Глобалният механизъм и секретариатът на Конвенцията на ООН за борба с опустиняването (UNCCD) създадоха програма за определяне на цели за неутралност по отношение на деградацията на земите, с чиято помощ държавите да постигнат неутралност по отношение на деградацията на земите до 2030 г.</w:t>
      </w:r>
    </w:p>
    <w:p w:rsidR="006173E9" w:rsidRPr="0070201F" w:rsidRDefault="006173E9" w:rsidP="006173E9">
      <w:pPr>
        <w:suppressAutoHyphens/>
        <w:spacing w:before="120" w:after="120" w:line="360" w:lineRule="auto"/>
        <w:ind w:left="567" w:right="-1" w:hanging="567"/>
        <w:rPr>
          <w:rFonts w:eastAsia="Calibri"/>
          <w:b/>
          <w:u w:val="single"/>
        </w:rPr>
      </w:pPr>
      <w:r w:rsidRPr="0070201F">
        <w:t>(23)</w:t>
      </w:r>
      <w:r w:rsidRPr="0070201F">
        <w:tab/>
        <w:t>Директива 92/43/ЕИО на Съвета</w:t>
      </w:r>
      <w:r w:rsidRPr="0070201F">
        <w:rPr>
          <w:rFonts w:eastAsia="Calibri"/>
          <w:vertAlign w:val="superscript"/>
        </w:rPr>
        <w:footnoteReference w:id="29"/>
      </w:r>
      <w:r w:rsidRPr="0070201F">
        <w:t xml:space="preserve"> и Директива № 2009/147/ЕО на Европейския парламент и на Съвета</w:t>
      </w:r>
      <w:r w:rsidRPr="0070201F">
        <w:rPr>
          <w:rFonts w:eastAsia="Calibri"/>
          <w:vertAlign w:val="superscript"/>
        </w:rPr>
        <w:footnoteReference w:id="30"/>
      </w:r>
      <w:r w:rsidRPr="0070201F">
        <w:t xml:space="preserve"> имат за цел осигуряване на дългосрочната защита, опазване и оцеляване на най-ценните и застрашени видове и местообитания в Европа, както и на екосистемите, от които те са част. „Натура 2000“, която е създадена през 1992 г. и е най-голямата координирана мрежа от защитени зони в света, е основният инструмент за изпълнение на целите на тези две директиви. </w:t>
      </w:r>
      <w:r w:rsidRPr="0070201F">
        <w:rPr>
          <w:b/>
          <w:i/>
        </w:rPr>
        <w:t>Настоящият регламент, както и тези две директиви следва да се прилагат на европейската територия на държавите членки, за които се прилагат Договорите, като по този начин се приведат в съответствие и с Директива 2008/56/ЕО.</w:t>
      </w:r>
    </w:p>
    <w:p w:rsidR="006173E9" w:rsidRPr="0070201F" w:rsidRDefault="006173E9" w:rsidP="006173E9">
      <w:pPr>
        <w:suppressAutoHyphens/>
        <w:spacing w:before="120" w:after="120" w:line="360" w:lineRule="auto"/>
        <w:ind w:left="567" w:right="-1" w:hanging="567"/>
        <w:rPr>
          <w:rFonts w:eastAsia="Calibri"/>
        </w:rPr>
      </w:pPr>
      <w:r w:rsidRPr="0070201F">
        <w:t>(24)</w:t>
      </w:r>
      <w:r w:rsidRPr="0070201F">
        <w:tab/>
        <w:t>Вече има рамка и насоки</w:t>
      </w:r>
      <w:r w:rsidRPr="0070201F">
        <w:rPr>
          <w:vertAlign w:val="superscript"/>
        </w:rPr>
        <w:footnoteReference w:id="31"/>
      </w:r>
      <w:r w:rsidRPr="0070201F">
        <w:t xml:space="preserve"> за определяне на доброто състояние на типовете </w:t>
      </w:r>
      <w:r w:rsidRPr="0070201F">
        <w:lastRenderedPageBreak/>
        <w:t>местообитания, защитени съгласно Директива 92/43/ЕИО, и за определяне на достатъчно качество и достатъчно количество за местообитанията на видовете, попадащи в приложното поле на посочената директива. Целите за възстановяване за тези типове местообитания и местообитанията на видовете могат да бъдат определени въз основа на тази рамка и насоки. Това възстановяване обаче няма да бъде достатъчно, за да се обърне процесът на загуба на биологично разнообразие и да се възстановят всички екосистеми. Поради това следва да се установят допълнителни задължения въз основа на специфични показатели, за да се подобри биологичното разнообразие в мащаба на по-широките екосистеми.</w:t>
      </w:r>
    </w:p>
    <w:p w:rsidR="006173E9" w:rsidRPr="0070201F" w:rsidRDefault="006173E9" w:rsidP="006173E9">
      <w:pPr>
        <w:suppressAutoHyphens/>
        <w:spacing w:before="120" w:after="120" w:line="360" w:lineRule="auto"/>
        <w:ind w:left="567" w:right="-1" w:hanging="567"/>
      </w:pPr>
      <w:r w:rsidRPr="0070201F">
        <w:t>(25)</w:t>
      </w:r>
      <w:r w:rsidRPr="0070201F">
        <w:tab/>
        <w:t xml:space="preserve">Въз основа на директиви 92/43/ЕИО и 2009/147/ЕО и с цел да се подпомогне постигането на целите, заложени в тях, държавите членки следва да въведат мерки за възстановяване, за да се гарантира възстановяването на защитените местообитания и видове, включително дивите птици, във всички зони на Съюза, а също и в зони, които попадат извън „Натура 2000“. </w:t>
      </w:r>
    </w:p>
    <w:p w:rsidR="006173E9" w:rsidRPr="0070201F" w:rsidRDefault="006173E9" w:rsidP="006173E9">
      <w:pPr>
        <w:suppressAutoHyphens/>
        <w:spacing w:before="120" w:after="120" w:line="360" w:lineRule="auto"/>
        <w:ind w:left="567" w:right="-1" w:hanging="567"/>
        <w:rPr>
          <w:rFonts w:eastAsia="Calibri"/>
        </w:rPr>
      </w:pPr>
      <w:r w:rsidRPr="0070201F">
        <w:t>(26)</w:t>
      </w:r>
      <w:r w:rsidRPr="0070201F">
        <w:tab/>
        <w:t>Директива 92/43/ЕИО има за цел да се запази и възстанови благоприятният природозащитен статус на естествените местообитания и видовете от дивата фауна и флора, които са от интерес за Съюза. В нея обаче не се определя краен срок за постигането на тази цел. По подобен начин в Директива 2009/147/ЕО не се определя краен срок за възстановяване на популациите от птици в Съюза.</w:t>
      </w:r>
    </w:p>
    <w:p w:rsidR="006173E9" w:rsidRPr="0070201F" w:rsidRDefault="006173E9" w:rsidP="006173E9">
      <w:pPr>
        <w:suppressAutoHyphens/>
        <w:spacing w:before="120" w:after="120" w:line="360" w:lineRule="auto"/>
        <w:ind w:left="567" w:right="-1" w:hanging="567"/>
        <w:rPr>
          <w:rFonts w:eastAsia="Calibri"/>
        </w:rPr>
      </w:pPr>
      <w:r w:rsidRPr="0070201F">
        <w:t>(27)</w:t>
      </w:r>
      <w:r w:rsidRPr="0070201F">
        <w:tab/>
        <w:t>Поради това следва да се определят срокове за въвеждане на мерки за възстановяване в рамките на защитените зони по „Натура 2000“ и извън тях, за да се подобри постепенно състоянието на защитените типове местообитания в целия Съюз, както и те да се възстановят до достигане на благоприятната референтна зона, необходима за постигане на благоприятен природозащитен статус на тези типове местообитания в Съюза. За да се осигури необходимата гъвкавост за държавите членки при въвеждането на мащабни усилия за възстановяване, е целесъобразно типовете местообитания да се групират в зависимост от екосистемата, към която принадлежат, и да се определят обвързани със срокове и количествено определени цели на районен принцип за съответните групи типове местообитания. По този начин държавите членки ще могат да изберат кои местообитания първо да се възстановят в рамките на групата.</w:t>
      </w:r>
    </w:p>
    <w:p w:rsidR="006173E9" w:rsidRPr="0070201F" w:rsidRDefault="006173E9" w:rsidP="006173E9">
      <w:pPr>
        <w:spacing w:after="200" w:line="276" w:lineRule="auto"/>
        <w:rPr>
          <w:rFonts w:eastAsia="Calibri"/>
        </w:rPr>
      </w:pPr>
      <w:r w:rsidRPr="0070201F">
        <w:br w:type="page"/>
      </w:r>
    </w:p>
    <w:p w:rsidR="006173E9" w:rsidRPr="0070201F" w:rsidRDefault="006173E9" w:rsidP="006173E9">
      <w:pPr>
        <w:suppressAutoHyphens/>
        <w:spacing w:before="120" w:after="120" w:line="360" w:lineRule="auto"/>
        <w:ind w:left="567" w:right="-1" w:hanging="567"/>
        <w:rPr>
          <w:rFonts w:eastAsia="Calibri"/>
        </w:rPr>
      </w:pPr>
      <w:r w:rsidRPr="0070201F">
        <w:lastRenderedPageBreak/>
        <w:t>(28)</w:t>
      </w:r>
      <w:r w:rsidRPr="0070201F">
        <w:tab/>
        <w:t>Подобни изисквания следва да бъдат определени за местообитанията на видовете, които попадат в приложното поле на Директива 92/43/ЕИО, и местообитанията на дивите птици, които попадат в приложното поле на Директива 2009/147/ЕО, като се обръща специално внимание на необходимата свързаност между двата типа местообитания, за да могат популациите на видовете да се развиват.</w:t>
      </w:r>
    </w:p>
    <w:p w:rsidR="006173E9" w:rsidRPr="0070201F" w:rsidRDefault="006173E9" w:rsidP="006173E9">
      <w:pPr>
        <w:suppressAutoHyphens/>
        <w:spacing w:before="120" w:after="120" w:line="360" w:lineRule="auto"/>
        <w:ind w:left="567" w:right="-1" w:hanging="567"/>
        <w:rPr>
          <w:rFonts w:eastAsia="Calibri"/>
        </w:rPr>
      </w:pPr>
      <w:r w:rsidRPr="0070201F">
        <w:t>(29)</w:t>
      </w:r>
      <w:r w:rsidRPr="0070201F">
        <w:tab/>
        <w:t>Необходимо е мерките за възстановяване на типовете местообитания да бъдат подходящи и целесъобразни за постигане на добро състояние и благоприятни референтни зони възможно най-бързо с оглед постигане на благоприятния им природозащитен статус. Важно е мерките за възстановяване да бъдат необходимите за постигане на целите, обвързани със срокове и количествено определени на районен принцип. Необходимо е също така мерките за възстановяване на местообитанията на видовете да бъдат подходящи и целесъобразни за постигане на достатъчно качество и достатъчно количество възможно най-бързо с оглед постигането на благоприятния природозащитен статус на вида.</w:t>
      </w:r>
    </w:p>
    <w:p w:rsidR="006173E9" w:rsidRPr="0070201F" w:rsidRDefault="006173E9" w:rsidP="006173E9">
      <w:pPr>
        <w:suppressAutoHyphens/>
        <w:spacing w:before="120" w:after="120" w:line="360" w:lineRule="auto"/>
        <w:ind w:left="567" w:right="-1" w:hanging="567"/>
        <w:rPr>
          <w:rFonts w:eastAsia="Calibri"/>
          <w:b/>
          <w:i/>
        </w:rPr>
      </w:pPr>
      <w:bookmarkStart w:id="9" w:name="_Hlk136798909"/>
      <w:r w:rsidRPr="0070201F">
        <w:rPr>
          <w:b/>
          <w:i/>
        </w:rPr>
        <w:t>(29a)</w:t>
      </w:r>
      <w:r w:rsidRPr="0070201F">
        <w:rPr>
          <w:b/>
          <w:i/>
        </w:rPr>
        <w:tab/>
        <w:t>Мерките за възстановяване съгласно настоящия регламент с цел възстановяване или запазване на някои типове местообитания, изброени в приложение I, като например пасища и типове местообитания в пустинни райони или влажни зони, могат в определени случаи да изискват премахването на гори, за да се възстанови управлението, ориентирано към опазването на природата, което може да включва дейности като косене на трева или паша. И възстановяването на природата, и спирането на обезлесяването са важни и взаимно подсилващи се екологични цели. Комисията ще разработи насоки, както е посочено в съображение 36 от Регламент (ЕС) № [XXXX/2023] на Европейския парламент и на Съвета за предоставянето на пазара на Съюза и износа от Съюза на определени стоки и продукти, свързани с обезлесяване и деградация на горите, и за отмяна на Регламент (ЕС) № 995/2010, за да се изясни тълкуването на определението за „използване за селскостопански цели“ в член 2 от посочения регламент, по-специално във връзка с преобразуването на гори в земи, чиято цел не е използването за селскостопански цели.</w:t>
      </w:r>
    </w:p>
    <w:bookmarkEnd w:id="9"/>
    <w:p w:rsidR="006173E9" w:rsidRPr="0070201F" w:rsidRDefault="006173E9" w:rsidP="006173E9">
      <w:pPr>
        <w:suppressAutoHyphens/>
        <w:spacing w:before="120" w:after="120" w:line="360" w:lineRule="auto"/>
        <w:ind w:left="567" w:right="-1" w:hanging="567"/>
        <w:rPr>
          <w:rFonts w:eastAsia="Calibri"/>
        </w:rPr>
      </w:pPr>
      <w:r w:rsidRPr="0070201F">
        <w:t>(30)</w:t>
      </w:r>
      <w:r w:rsidRPr="0070201F">
        <w:tab/>
        <w:t>Важно е да се гарантира, че мерките за възстановяване, въведени съгласно настоящия регламент, водят до конкретно и измеримо подобряване на състоянието на екосистемите както на равнището на отделните подлежащи на възстановяване зони, така и на национално равнище и на равнището на Съюза.</w:t>
      </w:r>
    </w:p>
    <w:p w:rsidR="006173E9" w:rsidRPr="0070201F" w:rsidRDefault="006173E9" w:rsidP="006173E9">
      <w:pPr>
        <w:spacing w:after="200" w:line="276" w:lineRule="auto"/>
      </w:pPr>
      <w:r w:rsidRPr="0070201F">
        <w:br w:type="page"/>
      </w:r>
    </w:p>
    <w:p w:rsidR="006173E9" w:rsidRPr="0070201F" w:rsidRDefault="006173E9" w:rsidP="006173E9">
      <w:pPr>
        <w:suppressAutoHyphens/>
        <w:spacing w:before="120" w:after="120" w:line="360" w:lineRule="auto"/>
        <w:ind w:left="567" w:right="-1" w:hanging="567"/>
      </w:pPr>
      <w:r w:rsidRPr="0070201F">
        <w:lastRenderedPageBreak/>
        <w:t>(31)</w:t>
      </w:r>
      <w:r w:rsidRPr="0070201F">
        <w:tab/>
        <w:t>За да се гарантира, че мерките за възстановяване са ефективни и че резултатите от тях могат да бъдат измервани с течение на времето, е от съществено значение да се отчита непрекъснато подобрение до постигането на добро състояние на зоните, които са обект на такива мерки за възстановяване, с оглед подобряване на състоянието на местообитанията, попадащи в приложното поле на приложение I към Директива 92/43/ЕИО, да се възстановят тези местообитания и да се подобри свързаността им.</w:t>
      </w:r>
    </w:p>
    <w:p w:rsidR="006173E9" w:rsidRPr="0070201F" w:rsidRDefault="006173E9" w:rsidP="006173E9">
      <w:pPr>
        <w:suppressAutoHyphens/>
        <w:spacing w:before="120" w:after="120" w:line="360" w:lineRule="auto"/>
        <w:ind w:left="567" w:right="-1" w:hanging="567"/>
      </w:pPr>
      <w:r w:rsidRPr="0070201F">
        <w:t>(32)</w:t>
      </w:r>
      <w:r w:rsidRPr="0070201F">
        <w:tab/>
        <w:t>От съществено значение е също така на зоните, които са обект на мерки за възстановяване с оглед подобряване на качеството и количеството на местообитанията на видовете, попадащи в приложното поле на Директива 92/43/ЕИО, както и местообитанията на дивите птици, попадащи в приложното поле на Директива 2009/147/ЕО, да се отбелязва непрекъснато подобрение, което да допринесе за постигането на достатъчно количество и достатъчно качество на местообитанията на тези видове.</w:t>
      </w:r>
    </w:p>
    <w:p w:rsidR="006173E9" w:rsidRPr="0070201F" w:rsidRDefault="006173E9" w:rsidP="006173E9">
      <w:pPr>
        <w:suppressAutoHyphens/>
        <w:spacing w:before="120" w:after="120" w:line="360" w:lineRule="auto"/>
        <w:ind w:left="567" w:right="140" w:hanging="567"/>
        <w:rPr>
          <w:rFonts w:eastAsia="Calibri"/>
          <w:b/>
          <w:u w:val="single"/>
        </w:rPr>
      </w:pPr>
      <w:r w:rsidRPr="0070201F">
        <w:t>(33)</w:t>
      </w:r>
      <w:r w:rsidRPr="0070201F">
        <w:tab/>
        <w:t>Важно е да се осигури постепенно увеличаване на зоните, обхванати от типовете местообитания, попадащи в приложното поле на Директива 92/43/ЕИО, които са в добро състояние на територията на всички държави членки и на целия Съюза, до достигане на благоприятната референтна зона за всеки тип местообитание и най-малко 90 % на равнището на държавите членки от тази зона да бъде в добро състояние, за да се даде възможност на тези типове местообитания в Съюза да постигнат благоприятен природозащитен статус.</w:t>
      </w:r>
    </w:p>
    <w:p w:rsidR="006173E9" w:rsidRPr="0070201F" w:rsidRDefault="006173E9" w:rsidP="006173E9">
      <w:pPr>
        <w:suppressAutoHyphens/>
        <w:spacing w:before="120" w:after="120" w:line="360" w:lineRule="auto"/>
        <w:ind w:left="567" w:right="-1" w:hanging="567"/>
      </w:pPr>
      <w:r w:rsidRPr="0070201F">
        <w:t>(34)</w:t>
      </w:r>
      <w:r w:rsidRPr="0070201F">
        <w:tab/>
        <w:t>Важно е да се осигури постепенно повишаване на качеството и количеството на местообитанията на видовете, които попадат в приложното поле на Директива 92/43/ЕИО, както и на местообитанията на дивите птици, попадащи в приложното поле на Директива 2009/147/ЕО, на територията на държавите членки и в крайна сметка на Съюза, докато станат достатъчни, за да се гарантира дългосрочното оцеляване на тези видове.</w:t>
      </w:r>
    </w:p>
    <w:p w:rsidR="006173E9" w:rsidRPr="0070201F" w:rsidRDefault="006173E9" w:rsidP="006173E9">
      <w:pPr>
        <w:suppressAutoHyphens/>
        <w:spacing w:before="120" w:after="120" w:line="360" w:lineRule="auto"/>
        <w:ind w:left="567" w:right="-1" w:hanging="567"/>
      </w:pPr>
      <w:r w:rsidRPr="0070201F">
        <w:br w:type="page"/>
      </w:r>
      <w:r w:rsidRPr="0070201F">
        <w:lastRenderedPageBreak/>
        <w:t>(35)</w:t>
      </w:r>
      <w:r w:rsidRPr="0070201F">
        <w:tab/>
        <w:t xml:space="preserve">Важно е </w:t>
      </w:r>
      <w:r w:rsidRPr="0070201F">
        <w:rPr>
          <w:rFonts w:ascii="Arial" w:hAnsi="Arial"/>
          <w:snapToGrid w:val="0"/>
        </w:rPr>
        <w:t>▌</w:t>
      </w:r>
      <w:r w:rsidRPr="0070201F">
        <w:t xml:space="preserve"> зоните, обхванати от типове местообитания, попадащи в приложното поле на настоящия регламент, </w:t>
      </w:r>
      <w:r w:rsidRPr="0070201F">
        <w:rPr>
          <w:b/>
          <w:bCs/>
          <w:i/>
          <w:iCs/>
        </w:rPr>
        <w:t>които са обект на мерки за възстановяване, да показват непрекъснато подобрение, докато достигнат добро състояние, и след това да не се влошават значително, така че да не се застрашава дългосрочното им поддържане или постигането на добро състояние.</w:t>
      </w:r>
      <w:r w:rsidRPr="0070201F">
        <w:rPr>
          <w:b/>
          <w:i/>
        </w:rPr>
        <w:t xml:space="preserve"> Важно е освен това държавите членки да се стремят да полагат усилия с цел предотвратяване на значително влошаване на зоните, включващи такива типове местообитания, които вече са в добро състояние или пък не са в добро състояние, но все още не са обект на мерки за възстановяване. </w:t>
      </w:r>
      <w:r w:rsidRPr="0070201F">
        <w:rPr>
          <w:b/>
          <w:bCs/>
          <w:i/>
          <w:iCs/>
        </w:rPr>
        <w:t>Тези мерки са важни, за да се избегне увеличаването на</w:t>
      </w:r>
      <w:r w:rsidRPr="0070201F">
        <w:t xml:space="preserve"> необходимостта от прилагане на мерки за възстановяване в бъдеще, </w:t>
      </w:r>
      <w:r w:rsidRPr="0070201F">
        <w:rPr>
          <w:b/>
          <w:bCs/>
          <w:i/>
          <w:iCs/>
        </w:rPr>
        <w:t>и те следва да са насочени към зоните с типове местообитания, определени от държавите членки в националните им планове за възстановяване, които трябва да бъдат възстановени с оглед на постигането на целите за възстановяване.</w:t>
      </w:r>
      <w:r w:rsidRPr="0070201F">
        <w:t xml:space="preserve"> Целесъобразно е </w:t>
      </w:r>
      <w:r w:rsidRPr="0070201F">
        <w:rPr>
          <w:rFonts w:ascii="Arial" w:hAnsi="Arial"/>
          <w:snapToGrid w:val="0"/>
        </w:rPr>
        <w:t>▌</w:t>
      </w:r>
      <w:r w:rsidRPr="0070201F">
        <w:t xml:space="preserve">да се разгледа възможността за случаи на непреодолима сила, </w:t>
      </w:r>
      <w:r w:rsidRPr="0070201F">
        <w:rPr>
          <w:b/>
          <w:bCs/>
          <w:i/>
          <w:iCs/>
        </w:rPr>
        <w:t>като например природни бедствия,</w:t>
      </w:r>
      <w:r w:rsidRPr="0070201F">
        <w:t xml:space="preserve"> които могат да доведат до влошаване на състоянието на зоните, обхванати от тези типове местообитания, както и за неизбежни промени в местообитанията, които са пряко причинени от изменението на климата.</w:t>
      </w:r>
      <w:r w:rsidRPr="0070201F">
        <w:rPr>
          <w:b/>
          <w:i/>
        </w:rPr>
        <w:t xml:space="preserve"> </w:t>
      </w:r>
      <w:r w:rsidRPr="0070201F">
        <w:rPr>
          <w:b/>
          <w:bCs/>
          <w:i/>
          <w:iCs/>
        </w:rPr>
        <w:t>Извън защитените зони по „Натура 2000“ е целесъобразно да се вземе предвид и</w:t>
      </w:r>
      <w:r w:rsidRPr="0070201F">
        <w:t xml:space="preserve"> резултатът от план или проект от по-висш обществен интерес, за който не съществуват алтернативни решения с по-малко вредни последици.</w:t>
      </w:r>
      <w:r w:rsidRPr="0070201F">
        <w:rPr>
          <w:i/>
        </w:rPr>
        <w:t xml:space="preserve"> </w:t>
      </w:r>
      <w:r w:rsidRPr="0070201F">
        <w:rPr>
          <w:b/>
          <w:bCs/>
          <w:i/>
          <w:iCs/>
        </w:rPr>
        <w:t>За зоните, които подлежат на мерки за възстановяване, това следва</w:t>
      </w:r>
      <w:r w:rsidRPr="0070201F">
        <w:t xml:space="preserve"> да се определя за всеки случай поотделно.</w:t>
      </w:r>
      <w:r w:rsidRPr="0070201F">
        <w:rPr>
          <w:b/>
          <w:i/>
        </w:rPr>
        <w:t xml:space="preserve"> </w:t>
      </w:r>
      <w:r w:rsidRPr="0070201F">
        <w:rPr>
          <w:b/>
          <w:bCs/>
          <w:i/>
          <w:iCs/>
        </w:rPr>
        <w:t>За защитените зони по „Натура 2000“ плановете и проектите се</w:t>
      </w:r>
      <w:r w:rsidRPr="0070201F">
        <w:t xml:space="preserve"> разрешават в съответствие с член 6, параграф 4 от Директива 92/43/ЕИО.</w:t>
      </w:r>
      <w:r w:rsidRPr="0070201F">
        <w:rPr>
          <w:b/>
          <w:i/>
        </w:rPr>
        <w:t xml:space="preserve"> </w:t>
      </w:r>
      <w:bookmarkStart w:id="10" w:name="_Hlk129720012"/>
      <w:r w:rsidRPr="0070201F">
        <w:rPr>
          <w:b/>
          <w:i/>
        </w:rPr>
        <w:t>Когато дадена зона се преобразува от един тип местообитание в друг тип, който попада в обхвата на настоящия регламент, като желан резултат от прилагането на дадена мярка за възстановяване, не следва да се счита, че състоянието на зоната се влошава.</w:t>
      </w:r>
    </w:p>
    <w:p w:rsidR="006173E9" w:rsidRPr="0070201F" w:rsidRDefault="006173E9" w:rsidP="006173E9">
      <w:pPr>
        <w:suppressAutoHyphens/>
        <w:spacing w:before="120" w:after="120" w:line="360" w:lineRule="auto"/>
        <w:ind w:left="567" w:right="-1" w:hanging="567"/>
        <w:rPr>
          <w:rFonts w:eastAsia="Calibri"/>
          <w:i/>
          <w:szCs w:val="22"/>
        </w:rPr>
      </w:pPr>
      <w:bookmarkStart w:id="11" w:name="_Hlk136602132"/>
      <w:bookmarkStart w:id="12" w:name="_Hlk136878792"/>
      <w:bookmarkEnd w:id="10"/>
      <w:r w:rsidRPr="0070201F">
        <w:br w:type="page"/>
      </w:r>
      <w:r w:rsidRPr="0070201F">
        <w:rPr>
          <w:b/>
          <w:i/>
        </w:rPr>
        <w:lastRenderedPageBreak/>
        <w:t>(35a)</w:t>
      </w:r>
      <w:r w:rsidRPr="0070201F">
        <w:rPr>
          <w:b/>
          <w:i/>
        </w:rPr>
        <w:tab/>
      </w:r>
      <w:r w:rsidRPr="0070201F">
        <w:rPr>
          <w:b/>
          <w:bCs/>
          <w:i/>
          <w:iCs/>
        </w:rPr>
        <w:t xml:space="preserve">За целите на </w:t>
      </w:r>
      <w:bookmarkStart w:id="13" w:name="_Hlk136854307"/>
      <w:r w:rsidRPr="0070201F">
        <w:rPr>
          <w:b/>
          <w:bCs/>
          <w:i/>
          <w:iCs/>
        </w:rPr>
        <w:t>дерогациите от задълженията за непрекъснато подобряване и запазване на състоянието на природата, извън защитените зони по „Натура 2000“</w:t>
      </w:r>
      <w:bookmarkEnd w:id="13"/>
      <w:r w:rsidRPr="0070201F">
        <w:rPr>
          <w:b/>
          <w:bCs/>
          <w:i/>
          <w:iCs/>
        </w:rPr>
        <w:t xml:space="preserve"> в настоящия регламент, държавите членки следва да приемат, че инсталациите за производство на енергия от възобновяеми източници, тяхното свързване към мрежата, самата мрежа и съоръженията за съхранение на енергия са от по-висш обществен интерес.</w:t>
      </w:r>
      <w:r w:rsidRPr="0070201F">
        <w:rPr>
          <w:b/>
          <w:i/>
        </w:rPr>
        <w:t xml:space="preserve"> Държавите членки могат да решат да ограничат прилагането на тази презумпция при надлежно обосновани и специфични обстоятелства, като например причини, свързани с националната отбрана. </w:t>
      </w:r>
      <w:bookmarkStart w:id="14" w:name="_Hlk137545403"/>
      <w:r w:rsidRPr="0070201F">
        <w:rPr>
          <w:b/>
          <w:bCs/>
          <w:i/>
          <w:iCs/>
        </w:rPr>
        <w:t xml:space="preserve">Освен това държавите членки могат </w:t>
      </w:r>
      <w:bookmarkStart w:id="15" w:name="_Hlk136525305"/>
      <w:r w:rsidRPr="0070201F">
        <w:rPr>
          <w:b/>
          <w:bCs/>
          <w:i/>
          <w:iCs/>
        </w:rPr>
        <w:t>да освободят тези проекти от задължението за доказване, че за целите</w:t>
      </w:r>
      <w:bookmarkEnd w:id="15"/>
      <w:r w:rsidRPr="0070201F">
        <w:rPr>
          <w:b/>
          <w:bCs/>
          <w:i/>
          <w:iCs/>
        </w:rPr>
        <w:t xml:space="preserve"> на прилагането на тези дерогации не съществуват алтернативни решения с по-малко вредни последици, при условие че проектите са били подложени на стратегическа екологична оценка или на оценка за въздействието върху околната среда.</w:t>
      </w:r>
      <w:r w:rsidRPr="0070201F">
        <w:rPr>
          <w:b/>
          <w:i/>
        </w:rPr>
        <w:t xml:space="preserve"> </w:t>
      </w:r>
      <w:bookmarkEnd w:id="14"/>
      <w:r w:rsidRPr="0070201F">
        <w:rPr>
          <w:b/>
          <w:i/>
        </w:rPr>
        <w:t>Разглеждането на тези инсталации като инсталации от по-висш обществен интерес и, когато е приложимо, ограничаването на изискването за оценка на алтернативни решения с по-малко вредни последици ще позволят тези проекти да се възползват от опростена оценка във връзка с дерогациите от оценката за по-висш обществен интерес съгласно настоящия регламент.</w:t>
      </w:r>
      <w:bookmarkEnd w:id="11"/>
    </w:p>
    <w:p w:rsidR="006173E9" w:rsidRPr="0070201F" w:rsidRDefault="006173E9" w:rsidP="006173E9">
      <w:pPr>
        <w:suppressAutoHyphens/>
        <w:spacing w:before="120" w:after="120" w:line="360" w:lineRule="auto"/>
        <w:ind w:left="567" w:right="-1" w:hanging="567"/>
        <w:rPr>
          <w:rFonts w:eastAsia="Calibri"/>
          <w:b/>
          <w:bCs/>
          <w:i/>
          <w:szCs w:val="22"/>
        </w:rPr>
      </w:pPr>
      <w:r w:rsidRPr="0070201F">
        <w:rPr>
          <w:b/>
          <w:i/>
        </w:rPr>
        <w:t xml:space="preserve">(35б) Дейностите, чиято единствена цел е отбраната или националната сигурност, следва да се разглеждат като най-приоритетни дейности. Поради това при въвеждането на мерки за възстановяване държавите членки могат да освободят от тях зони, използвани за дейности, чиято единствена цел е националната отбрана, ако тези мерки се считат за несъвместими с продължителното използване на въпросните зони за военни цели. </w:t>
      </w:r>
      <w:r w:rsidRPr="0070201F">
        <w:rPr>
          <w:b/>
          <w:bCs/>
          <w:i/>
        </w:rPr>
        <w:t>Освен това за целите на прилагането на разпоредбите относно дерогациите от задълженията за непрекъснато подобряване и запазване на състоянието на природата извън защитените зони по „Натура 2000“ в настоящия регламент, на държавите членки следва да се разреши да приемат, че плановете и проектите, отнасящи се до такива дейности, са от по-висш обществен интерес.</w:t>
      </w:r>
      <w:r w:rsidRPr="0070201F">
        <w:rPr>
          <w:b/>
          <w:i/>
        </w:rPr>
        <w:t xml:space="preserve"> Държавите членки могат също така да освободят тези проекти от задължението за доказване, че не съществуват алтернативни решения с по-малко вредни последици, но при прилагането на това изключение следва да се въведат мерки за смекчаване на въздействието върху отделните типове местообитания, доколкото това е разумно и осъществимо.</w:t>
      </w:r>
    </w:p>
    <w:bookmarkEnd w:id="12"/>
    <w:p w:rsidR="006173E9" w:rsidRPr="0070201F" w:rsidRDefault="006173E9" w:rsidP="006173E9">
      <w:pPr>
        <w:suppressAutoHyphens/>
        <w:spacing w:before="120" w:after="120" w:line="360" w:lineRule="auto"/>
        <w:ind w:left="567" w:right="-1" w:hanging="567"/>
        <w:rPr>
          <w:rFonts w:eastAsia="Calibri"/>
        </w:rPr>
      </w:pPr>
      <w:r w:rsidRPr="0070201F">
        <w:lastRenderedPageBreak/>
        <w:t>(36)</w:t>
      </w:r>
      <w:r w:rsidRPr="0070201F">
        <w:tab/>
        <w:t>В стратегията на ЕС за биологичното разнообразие за 2030 г. се подчертава необходимостта от по-решителни действия за възстановяване на увредените морски екосистеми, включително богатите на въглерод екосистеми и важните зони за размножаване и развъждане на риба. В стратегията също така се обявява, че Комисията трябва да предложи нов план за действие за опазване на рибните ресурси и защита на морските екосистеми.</w:t>
      </w:r>
    </w:p>
    <w:p w:rsidR="006173E9" w:rsidRPr="0070201F" w:rsidRDefault="006173E9" w:rsidP="006173E9">
      <w:pPr>
        <w:suppressAutoHyphens/>
        <w:spacing w:before="120" w:after="120" w:line="360" w:lineRule="auto"/>
        <w:ind w:left="567" w:right="-1" w:hanging="567"/>
        <w:rPr>
          <w:b/>
          <w:u w:val="single"/>
        </w:rPr>
      </w:pPr>
      <w:r w:rsidRPr="0070201F">
        <w:br w:type="page"/>
      </w:r>
      <w:r w:rsidRPr="0070201F">
        <w:lastRenderedPageBreak/>
        <w:t>(37)</w:t>
      </w:r>
      <w:r w:rsidRPr="0070201F">
        <w:tab/>
        <w:t>Типовете морски местообитания, изброени в приложение I към Директива 92/43/ЕИО, са определени широко и включват много различни от екологична гледна точка подтипове с различен потенциал за възстановяване, което затруднява държавите членки да установят подходящи мерки за възстановяване на нивото на тези типове местообитания. Поради това типовете морски местообитания следва да бъдат допълнително уточнени, като се използват съответните нива на класификация на морските местообитания в Европейската информационна система за природата (EUNIS). Държавите членки следва да определят благоприятни референтни зони за постигане на благоприятен природозащитен статус на всеки от тези типове местообитания, доколкото тези референтни зони все още не са уредени в друго законодателство на Съюза.</w:t>
      </w:r>
      <w:r w:rsidRPr="0070201F">
        <w:rPr>
          <w:b/>
          <w:i/>
        </w:rPr>
        <w:t xml:space="preserve"> </w:t>
      </w:r>
      <w:bookmarkStart w:id="16" w:name="_Hlk132553514"/>
      <w:r w:rsidRPr="0070201F">
        <w:rPr>
          <w:b/>
          <w:i/>
        </w:rPr>
        <w:t>Групата типове местообитания с морски меки седименти, съответстващи на някои от широките бентични типове местообитания, посочени в Директива 2008/56/ЕО, се наблюдават повсеместно в морските води на няколко държави членки. Поради това на държавите членки следва да се разреши да ограничат мерките за възстановяване, които се въвеждат постепенно, до по-малък дял от площта на тези типове местообитания, които не са в добро състояние, при условие че това не възпрепятства постигането или поддържането на добро състояние на околната среда, както е определено в член 9, параграф 1 от Директива 2008/56/ЕО, като се вземат предвид по-специално праговите стойности за дескриптори 1 и 6, предвидени в съответствие с член 9, параграф 3 от посочената директива, за степента на загуба на тези типове местообитания, за неблагоприятните последици за състоянието на тези типове местообитания и за максимално допустимия обхват на тези неблагоприятни последствия.</w:t>
      </w:r>
    </w:p>
    <w:bookmarkEnd w:id="16"/>
    <w:p w:rsidR="006173E9" w:rsidRPr="0070201F" w:rsidRDefault="006173E9" w:rsidP="006173E9">
      <w:pPr>
        <w:suppressAutoHyphens/>
        <w:spacing w:before="120" w:after="120" w:line="360" w:lineRule="auto"/>
        <w:ind w:left="567" w:right="-1" w:hanging="567"/>
        <w:rPr>
          <w:rFonts w:eastAsia="Calibri"/>
          <w:color w:val="000000"/>
          <w:shd w:val="clear" w:color="auto" w:fill="FFFFFF"/>
        </w:rPr>
      </w:pPr>
      <w:r w:rsidRPr="0070201F">
        <w:br w:type="page"/>
      </w:r>
      <w:r w:rsidRPr="0070201F">
        <w:lastRenderedPageBreak/>
        <w:t>(38)</w:t>
      </w:r>
      <w:r w:rsidRPr="0070201F">
        <w:tab/>
        <w:t>Когато опазването на крайбрежните и морските местообитания налага риболовните или аквакултурните дейности да бъдат регулирани, се прилага общата политика в областта на рибарството. В Регламент (ЕС) № 1380/2013 на Европейския парламент и на Съвета</w:t>
      </w:r>
      <w:r w:rsidRPr="0070201F">
        <w:rPr>
          <w:rFonts w:eastAsia="Calibri"/>
          <w:vertAlign w:val="superscript"/>
        </w:rPr>
        <w:footnoteReference w:id="32"/>
      </w:r>
      <w:r w:rsidRPr="0070201F">
        <w:t xml:space="preserve"> се предвижда по-специално, че в общата политика в областта на рибарството </w:t>
      </w:r>
      <w:r w:rsidRPr="0070201F">
        <w:rPr>
          <w:color w:val="000000"/>
          <w:shd w:val="clear" w:color="auto" w:fill="FFFFFF"/>
        </w:rPr>
        <w:t>трябва да се прилага екосистемен подход към управлението на рибарството, за да се гарантира, че отрицателното въздействие на риболовните дейности върху морската екосистема е сведено до минимум. В посочения регламент също така се посочва, че целта на тази политика е да се гарантира, че морската среда не се влошава в резултат на отглеждането на аквакултури и на риболовните дейности.</w:t>
      </w:r>
    </w:p>
    <w:p w:rsidR="006173E9" w:rsidRPr="0070201F" w:rsidRDefault="006173E9" w:rsidP="006173E9">
      <w:pPr>
        <w:suppressAutoHyphens/>
        <w:spacing w:before="120" w:after="120" w:line="360" w:lineRule="auto"/>
        <w:ind w:left="567" w:right="-1" w:hanging="567"/>
        <w:rPr>
          <w:rFonts w:eastAsia="Calibri"/>
        </w:rPr>
      </w:pPr>
      <w:r w:rsidRPr="0070201F">
        <w:t>(39)</w:t>
      </w:r>
      <w:r w:rsidRPr="0070201F">
        <w:tab/>
      </w:r>
      <w:r w:rsidRPr="0070201F">
        <w:rPr>
          <w:shd w:val="clear" w:color="auto" w:fill="FFFFFF"/>
        </w:rPr>
        <w:t>За да се постигне целта за непрекъснато, дългосрочно и устойчиво възстановяване на биологичното разнообразие и за устойчивост на природата, държавите членки следва да се възползват в пълна степен от възможностите, предоставени в рамките на общата политика в областта на рибарството. В рамките на изключителната компетентност на Съюза по отношение на опазването на морските биологични ресурси държавите членки имат възможност да предприемат недискриминационни мерки за опазване и управление на рибните запаси и за поддържане или подобряване на природозащитния статус на морските екосистеми в границите на 12 морски мили. Освен това държавите членки, които имат пряк управленски интерес, могат да се споразумеят да представят съвместни препоръки за мерки за опазване, които са необходими за спазване на задълженията, произтичащи от законодателството на Съюза в областта на околната среда. Тези мерки се оценяват и приемат в съответствие с правилата и процедурите, предвидени в общата политика в областта на рибарството.</w:t>
      </w:r>
    </w:p>
    <w:p w:rsidR="006173E9" w:rsidRPr="0070201F" w:rsidRDefault="006173E9" w:rsidP="0016114A">
      <w:pPr>
        <w:suppressAutoHyphens/>
        <w:spacing w:before="120" w:after="120" w:line="360" w:lineRule="auto"/>
        <w:ind w:left="567" w:right="-1" w:hanging="567"/>
        <w:rPr>
          <w:rFonts w:eastAsia="Calibri"/>
        </w:rPr>
      </w:pPr>
      <w:r w:rsidRPr="0070201F">
        <w:t>(40)</w:t>
      </w:r>
      <w:r w:rsidRPr="0070201F">
        <w:tab/>
        <w:t>Директива 2008/56/ЕО изисква държавите членки да си сътрудничат двустранно и в рамките на регионалните и подрегионалните механизми за сътрудничество, включително чрез регионални морски конвенции</w:t>
      </w:r>
      <w:r w:rsidRPr="0070201F">
        <w:rPr>
          <w:vertAlign w:val="superscript"/>
        </w:rPr>
        <w:footnoteReference w:id="33"/>
      </w:r>
      <w:r w:rsidRPr="0070201F">
        <w:t xml:space="preserve">, както и, когато става въпрос за мерки в областта на рибарството, в контекста на регионалните групи, създадени в </w:t>
      </w:r>
      <w:r w:rsidRPr="0070201F">
        <w:lastRenderedPageBreak/>
        <w:t>рамките на общата политика в областта на рибарството.</w:t>
      </w:r>
      <w:r w:rsidRPr="0070201F">
        <w:br w:type="page"/>
      </w:r>
    </w:p>
    <w:p w:rsidR="006173E9" w:rsidRPr="0070201F" w:rsidRDefault="006173E9" w:rsidP="006173E9">
      <w:pPr>
        <w:suppressAutoHyphens/>
        <w:spacing w:before="120" w:after="120" w:line="360" w:lineRule="auto"/>
        <w:ind w:left="567" w:right="-1" w:hanging="567"/>
        <w:rPr>
          <w:rFonts w:eastAsia="Calibri"/>
        </w:rPr>
      </w:pPr>
      <w:r w:rsidRPr="0070201F">
        <w:lastRenderedPageBreak/>
        <w:t>(41)</w:t>
      </w:r>
      <w:r w:rsidRPr="0070201F">
        <w:tab/>
        <w:t xml:space="preserve">За местообитанията на определени морски видове, като например акули и скатове, които попадат в приложното поле на Конвенцията за опазване на мигриращите видове диви животни </w:t>
      </w:r>
      <w:r w:rsidRPr="0070201F">
        <w:rPr>
          <w:b/>
          <w:bCs/>
          <w:i/>
          <w:iCs/>
        </w:rPr>
        <w:t>или в списъците на европейските регионални морски конвенции за застрашените или изчезващите видове</w:t>
      </w:r>
      <w:r w:rsidRPr="0070201F">
        <w:t xml:space="preserve">, но са извън приложното поле на Директива 92/43/ЕИО, също трябва да се въведат мерки за възстановяване, тъй като те имат важна функция в екосистемата. </w:t>
      </w:r>
    </w:p>
    <w:p w:rsidR="006173E9" w:rsidRPr="0070201F" w:rsidRDefault="006173E9" w:rsidP="006173E9">
      <w:pPr>
        <w:suppressAutoHyphens/>
        <w:spacing w:before="120" w:after="120" w:line="360" w:lineRule="auto"/>
        <w:ind w:left="567" w:right="-1" w:hanging="567"/>
        <w:rPr>
          <w:rFonts w:eastAsia="Calibri"/>
        </w:rPr>
      </w:pPr>
      <w:r w:rsidRPr="0070201F">
        <w:t>(42)</w:t>
      </w:r>
      <w:r w:rsidRPr="0070201F">
        <w:tab/>
        <w:t>В подкрепа на възстановяването и предотвратяването на влошаването на състоянието на сухоземните, сладководните, крайбрежните и морските местообитания, държавите членки имат възможност да определят допълнителни зони като „защитени зони“ или „строго защитени зони“, да прилагат други ефективни природоохранителни мерки на районен принцип и да насърчават мерки за опазване върху частни площи.</w:t>
      </w:r>
    </w:p>
    <w:p w:rsidR="006173E9" w:rsidRPr="0070201F" w:rsidRDefault="006173E9" w:rsidP="006173E9">
      <w:pPr>
        <w:suppressAutoHyphens/>
        <w:spacing w:before="120" w:after="120" w:line="360" w:lineRule="auto"/>
        <w:ind w:left="567" w:right="-1" w:hanging="567"/>
        <w:rPr>
          <w:rFonts w:eastAsia="Calibri"/>
          <w:b/>
          <w:i/>
        </w:rPr>
      </w:pPr>
      <w:bookmarkStart w:id="17" w:name="_Hlk128428834"/>
      <w:r w:rsidRPr="0070201F">
        <w:t>(43)</w:t>
      </w:r>
      <w:r w:rsidRPr="0070201F">
        <w:tab/>
        <w:t xml:space="preserve">Градските екосистеми обхващат около 22 % от сухоземната площ на Съюза и представляват зоната, в която живеят по-голямата част от гражданите на Съюза. Градските зелени пространства включват, </w:t>
      </w:r>
      <w:r w:rsidRPr="0070201F">
        <w:rPr>
          <w:b/>
          <w:bCs/>
          <w:i/>
          <w:iCs/>
        </w:rPr>
        <w:t>наред с другото,</w:t>
      </w:r>
      <w:r w:rsidRPr="0070201F">
        <w:t xml:space="preserve"> градски гори, паркове и градини, градски ферми, улици с дървета, градски ливади и градски живи плетове.</w:t>
      </w:r>
      <w:r w:rsidRPr="0070201F">
        <w:rPr>
          <w:b/>
          <w:i/>
        </w:rPr>
        <w:t xml:space="preserve"> </w:t>
      </w:r>
      <w:r w:rsidRPr="0070201F">
        <w:rPr>
          <w:b/>
          <w:bCs/>
          <w:i/>
          <w:iCs/>
        </w:rPr>
        <w:t>Както и другите екосистеми, разглеждани в настоящия регламент, градските екосистеми</w:t>
      </w:r>
      <w:r w:rsidRPr="0070201F">
        <w:t xml:space="preserve"> осигуряват важни местообитания за биологичното разнообразие, по-специално за растения, птици и насекоми, включително опрашители. Те също така предоставят </w:t>
      </w:r>
      <w:r w:rsidRPr="0070201F">
        <w:rPr>
          <w:b/>
          <w:bCs/>
          <w:i/>
          <w:iCs/>
        </w:rPr>
        <w:t>много други</w:t>
      </w:r>
      <w:r w:rsidRPr="0070201F">
        <w:t xml:space="preserve"> жизненоважни екосистемни услуги, сред които намаляване и контрол на риска от природни бедствия (например наводнения, ефекти на топлинния остров), охлаждане, отдих, филтриране на водата и въздуха, както и смекчаване на изменението на климата и адаптиране към него.</w:t>
      </w:r>
      <w:r w:rsidRPr="0070201F">
        <w:rPr>
          <w:b/>
          <w:i/>
        </w:rPr>
        <w:t xml:space="preserve"> Увеличаването на градското зелено пространство е важен параметър за повишаване на капацитета на градските екосистеми за обезпечаване на тези важни услуги. Увеличаването на зелените площи в даден градски район забавя оттичането на водата (намаляване на риска от замърсяване на реките във връзка с преливането на дъждовни води) и спомага за понижаване на летните температури и за постигане на устойчивост спрямо изменението на климата, като освен това осигурява допълнителни възможности за развитие на природата. Повишаването на дела на градските зелени пространства в много случаи подобрява здравето на градската екосистема. На свой ред, здравите градски екосистеми са много важни за подкрепа на здравето на други ключови европейски екосистеми, като те свързват отделните природни зони в заобикалящата ги среда, подобряват здравето на реките далеч от града, осигуряват убежище и място за размножаване на различните видове птици и </w:t>
      </w:r>
      <w:r w:rsidRPr="0070201F">
        <w:rPr>
          <w:b/>
          <w:i/>
        </w:rPr>
        <w:lastRenderedPageBreak/>
        <w:t>опрашители във връзка със земеделските и горските местообитания, както и обезпечават важни местообитания за мигриращите птици.</w:t>
      </w:r>
    </w:p>
    <w:p w:rsidR="006173E9" w:rsidRPr="0070201F" w:rsidRDefault="006173E9" w:rsidP="006173E9">
      <w:pPr>
        <w:spacing w:after="200" w:line="276" w:lineRule="auto"/>
        <w:rPr>
          <w:rFonts w:eastAsia="Calibri"/>
        </w:rPr>
      </w:pPr>
      <w:r w:rsidRPr="0070201F">
        <w:br w:type="page"/>
      </w:r>
    </w:p>
    <w:p w:rsidR="006173E9" w:rsidRPr="0070201F" w:rsidRDefault="006173E9" w:rsidP="006173E9">
      <w:pPr>
        <w:suppressAutoHyphens/>
        <w:spacing w:before="120" w:after="120" w:line="360" w:lineRule="auto"/>
        <w:ind w:left="567" w:right="-1" w:hanging="567"/>
        <w:rPr>
          <w:b/>
          <w:bCs/>
          <w:i/>
          <w:iCs/>
        </w:rPr>
      </w:pPr>
      <w:r w:rsidRPr="0070201F">
        <w:lastRenderedPageBreak/>
        <w:t>(44)</w:t>
      </w:r>
      <w:bookmarkStart w:id="18" w:name="_Hlk131428298"/>
      <w:r w:rsidRPr="0070201F">
        <w:tab/>
      </w:r>
      <w:bookmarkStart w:id="19" w:name="_Hlk131080068"/>
      <w:r w:rsidRPr="0070201F">
        <w:t xml:space="preserve">Необходимо е значително да бъдат засилени действията, с които да се гарантира, че </w:t>
      </w:r>
      <w:r w:rsidRPr="0070201F">
        <w:rPr>
          <w:b/>
          <w:bCs/>
          <w:i/>
          <w:iCs/>
        </w:rPr>
        <w:t>покритието</w:t>
      </w:r>
      <w:r w:rsidRPr="0070201F">
        <w:t xml:space="preserve"> на градските зелени пространства, </w:t>
      </w:r>
      <w:r w:rsidRPr="0070201F">
        <w:rPr>
          <w:b/>
          <w:bCs/>
          <w:i/>
          <w:iCs/>
        </w:rPr>
        <w:t>и по-специално дърветата</w:t>
      </w:r>
      <w:r w:rsidRPr="0070201F">
        <w:t xml:space="preserve">, вече няма да бъдат изложени на риск от </w:t>
      </w:r>
      <w:r w:rsidRPr="0070201F">
        <w:rPr>
          <w:b/>
          <w:bCs/>
          <w:i/>
          <w:iCs/>
        </w:rPr>
        <w:t>намаляване</w:t>
      </w:r>
      <w:r w:rsidRPr="0070201F">
        <w:t xml:space="preserve">. За да се гарантира, че градските зелени пространства продължават да предоставят необходимите екосистемни услуги, тяхната загуба следва да бъде спряна и те следва да бъдат възстановени и увеличени, включително чрез </w:t>
      </w:r>
      <w:r w:rsidRPr="0070201F">
        <w:rPr>
          <w:b/>
          <w:bCs/>
          <w:i/>
          <w:iCs/>
        </w:rPr>
        <w:t>интегриране</w:t>
      </w:r>
      <w:r w:rsidRPr="0070201F">
        <w:t xml:space="preserve"> на екологосъобразна инфраструктура и природосъобразни решения </w:t>
      </w:r>
      <w:r w:rsidRPr="0070201F">
        <w:rPr>
          <w:rFonts w:ascii="Arial" w:hAnsi="Arial"/>
          <w:snapToGrid w:val="0"/>
        </w:rPr>
        <w:t>▌</w:t>
      </w:r>
      <w:r w:rsidRPr="0070201F">
        <w:t>, като например зелени покриви и зелени стени, при проектирането на сградите.</w:t>
      </w:r>
      <w:r w:rsidRPr="0070201F">
        <w:rPr>
          <w:b/>
          <w:i/>
        </w:rPr>
        <w:t xml:space="preserve"> </w:t>
      </w:r>
      <w:r w:rsidRPr="0070201F">
        <w:rPr>
          <w:b/>
          <w:bCs/>
          <w:i/>
          <w:iCs/>
        </w:rPr>
        <w:t>Това интегриране може да допринесе не само за площта на градското зелено пространство, но също така, ако включва дървета, и за площта на покритието на дървесните корони в градските зони.</w:t>
      </w:r>
      <w:bookmarkEnd w:id="18"/>
    </w:p>
    <w:p w:rsidR="0014171D" w:rsidRPr="0070201F" w:rsidRDefault="0014171D" w:rsidP="0014171D">
      <w:pPr>
        <w:suppressAutoHyphens/>
        <w:spacing w:before="120" w:after="120" w:line="360" w:lineRule="auto"/>
        <w:ind w:left="567" w:right="-1" w:hanging="567"/>
        <w:rPr>
          <w:rFonts w:eastAsia="Calibri"/>
          <w:b/>
        </w:rPr>
      </w:pPr>
      <w:r w:rsidRPr="0070201F">
        <w:rPr>
          <w:rFonts w:eastAsia="Calibri"/>
          <w:b/>
          <w:i/>
        </w:rPr>
        <w:t>(44а)</w:t>
      </w:r>
      <w:r w:rsidRPr="0070201F">
        <w:rPr>
          <w:rFonts w:eastAsia="Calibri"/>
        </w:rPr>
        <w:tab/>
      </w:r>
      <w:r w:rsidRPr="0070201F">
        <w:rPr>
          <w:rFonts w:eastAsia="Calibri"/>
          <w:b/>
          <w:i/>
        </w:rPr>
        <w:t>С увеличаването на изкуствената светлина, светлинното замърсяване се превърна в наболял въпрос. Неговите източници включват външно и вътрешно осветление на сгради, реклама, търговски имоти, офиси, фабрики, улично осветление и осветени спортни обекти. Светлинното замърсяване е двигател на намаляването на популациите на насекомите. Светлината привлича много насекоми, но изкуствената светлина може да създаде фатално привличане. Намаляването на популациите на насекомите оказва отрицателно въздействие върху всички видове, които разчитат на насекоми за храна или опрашване. Някои хищници се възползват от това привличане, засягайки хранителните мрежи по непредвидени начини.</w:t>
      </w:r>
      <w:r w:rsidRPr="0070201F">
        <w:rPr>
          <w:rFonts w:eastAsia="Calibri"/>
          <w:b/>
        </w:rPr>
        <w:t xml:space="preserve"> [Изм. 2]</w:t>
      </w:r>
    </w:p>
    <w:p w:rsidR="006173E9" w:rsidRPr="0070201F" w:rsidRDefault="006173E9" w:rsidP="006173E9">
      <w:pPr>
        <w:shd w:val="clear" w:color="auto" w:fill="FFFFFF"/>
        <w:suppressAutoHyphens/>
        <w:spacing w:before="120" w:after="120" w:line="360" w:lineRule="auto"/>
        <w:ind w:left="567" w:right="-1" w:hanging="567"/>
        <w:rPr>
          <w:rFonts w:eastAsia="Calibri"/>
        </w:rPr>
      </w:pPr>
      <w:bookmarkStart w:id="20" w:name="_Hlk133324641"/>
      <w:bookmarkEnd w:id="17"/>
      <w:bookmarkEnd w:id="19"/>
      <w:r w:rsidRPr="0070201F">
        <w:t>(45)</w:t>
      </w:r>
      <w:r w:rsidRPr="0070201F">
        <w:tab/>
        <w:t xml:space="preserve">В стратегията на ЕС за биологичното разнообразие за 2030 г. се изискват по-големи усилия за възстановяване на сладководните екосистеми и естествените функции на реките. Възстановяването на сладководните екосистеми следва да включва усилия за възстановяване на естествената </w:t>
      </w:r>
      <w:r w:rsidRPr="0070201F">
        <w:rPr>
          <w:rFonts w:ascii="Arial" w:hAnsi="Arial"/>
          <w:snapToGrid w:val="0"/>
        </w:rPr>
        <w:t>▌</w:t>
      </w:r>
      <w:r w:rsidRPr="0070201F">
        <w:t xml:space="preserve">свързаност на реките, както и на техните крайречни райони и наводнявани райони, включително чрез премахване на </w:t>
      </w:r>
      <w:r w:rsidRPr="0070201F">
        <w:rPr>
          <w:b/>
          <w:bCs/>
          <w:i/>
          <w:iCs/>
        </w:rPr>
        <w:t>изкуствените</w:t>
      </w:r>
      <w:r w:rsidRPr="0070201F">
        <w:t xml:space="preserve"> прегради, за да се подпомогне постигането на благоприятен природозащитен статус на реките, езерата и алувиалните местообитания и видовете, живеещи в местообитанията, защитени с директиви 92/43/ЕИО и 2009/147/ЕО, както и постигането на една от основните цели на стратегията на ЕС за биологичното разнообразие за 2030 г., а именно възстановяването на най-малко 25 000 km свободно течащи реки</w:t>
      </w:r>
      <w:r w:rsidRPr="0070201F">
        <w:rPr>
          <w:b/>
          <w:bCs/>
          <w:i/>
          <w:iCs/>
        </w:rPr>
        <w:t xml:space="preserve"> спрямо 2020 г., годината на представяне на стратегията.</w:t>
      </w:r>
      <w:r w:rsidRPr="0070201F">
        <w:t xml:space="preserve"> Що се отнася до премахването на преградите, държавите членки следва да премахнат най-вече остарелите, които вече не са необходими за производството на енергия от възобновяеми източници, речното корабоплаване, водоснабдяването или други цели.</w:t>
      </w:r>
    </w:p>
    <w:bookmarkEnd w:id="20"/>
    <w:p w:rsidR="006173E9" w:rsidRPr="0070201F" w:rsidRDefault="006173E9" w:rsidP="006173E9">
      <w:pPr>
        <w:suppressAutoHyphens/>
        <w:spacing w:before="120" w:after="120" w:line="360" w:lineRule="auto"/>
        <w:ind w:left="567" w:right="-1" w:hanging="567"/>
        <w:rPr>
          <w:rFonts w:eastAsia="Calibri"/>
        </w:rPr>
      </w:pPr>
      <w:r w:rsidRPr="0070201F">
        <w:lastRenderedPageBreak/>
        <w:t>(46)</w:t>
      </w:r>
      <w:r w:rsidRPr="0070201F">
        <w:tab/>
        <w:t>През последните десетилетия опрашителите в Съюза са намалели драстично, като един на всеки три вида пчели и пеперуди отбелязва намаляване, а един на всеки десет такива вида е на ръба на изчезване. Опрашителите са от съществено значение за функционирането на сухоземните екосистеми, благосъстоянието на хората и продоволствената сигурност, тъй като опрашват диворастящи и култивирани растения. Почти 5 милиарда евро от годишната селскостопанска продукция на ЕС се дължат пряко на опрашителите</w:t>
      </w:r>
      <w:r w:rsidRPr="0070201F">
        <w:rPr>
          <w:rFonts w:eastAsia="Calibri"/>
          <w:vertAlign w:val="superscript"/>
        </w:rPr>
        <w:footnoteReference w:id="34"/>
      </w:r>
      <w:r w:rsidRPr="0070201F">
        <w:t>.</w:t>
      </w:r>
    </w:p>
    <w:p w:rsidR="006173E9" w:rsidRPr="0070201F" w:rsidRDefault="006173E9" w:rsidP="006173E9">
      <w:pPr>
        <w:shd w:val="clear" w:color="auto" w:fill="FFFFFF"/>
        <w:suppressAutoHyphens/>
        <w:spacing w:before="120" w:after="120" w:line="360" w:lineRule="auto"/>
        <w:ind w:left="567" w:right="-1" w:hanging="567"/>
        <w:rPr>
          <w:b/>
          <w:u w:val="single"/>
        </w:rPr>
      </w:pPr>
      <w:r w:rsidRPr="0070201F">
        <w:br w:type="page"/>
      </w:r>
      <w:r w:rsidRPr="0070201F">
        <w:lastRenderedPageBreak/>
        <w:t>(47)</w:t>
      </w:r>
      <w:r w:rsidRPr="0070201F">
        <w:tab/>
        <w:t>На 1 юни 2018 г. Комисията стартира инициативата на ЕС за опрашителите</w:t>
      </w:r>
      <w:r w:rsidRPr="0070201F">
        <w:rPr>
          <w:rFonts w:eastAsia="Calibri"/>
          <w:vertAlign w:val="superscript"/>
        </w:rPr>
        <w:footnoteReference w:id="35"/>
      </w:r>
      <w:r w:rsidRPr="0070201F">
        <w:t xml:space="preserve"> в отговор на призивите на Европейския парламент и на Съвета за противодействие на намаляването им. Според доклада за напредъка по изпълнението на инициативата</w:t>
      </w:r>
      <w:r w:rsidRPr="0070201F">
        <w:rPr>
          <w:rFonts w:eastAsia="Calibri"/>
          <w:vertAlign w:val="superscript"/>
        </w:rPr>
        <w:footnoteReference w:id="36"/>
      </w:r>
      <w:r w:rsidRPr="0070201F">
        <w:t xml:space="preserve"> продължават да съществуват значителни предизвикателства при борбата с причините за намаляване на опрашителите, сред които и използването на пестициди. Европейският парламент</w:t>
      </w:r>
      <w:r w:rsidRPr="0070201F">
        <w:rPr>
          <w:rFonts w:eastAsia="Calibri"/>
          <w:vertAlign w:val="superscript"/>
        </w:rPr>
        <w:footnoteReference w:id="37"/>
      </w:r>
      <w:r w:rsidRPr="0070201F">
        <w:t xml:space="preserve"> и Съветът</w:t>
      </w:r>
      <w:r w:rsidRPr="0070201F">
        <w:rPr>
          <w:rFonts w:eastAsia="Calibri"/>
          <w:vertAlign w:val="superscript"/>
        </w:rPr>
        <w:footnoteReference w:id="38"/>
      </w:r>
      <w:r w:rsidRPr="0070201F">
        <w:t xml:space="preserve"> призоваха за по-решителни действия в борбата с намаляването на опрашителите и за създаване на рамка за наблюдението им в целия Съюз, както и за ясни цели и показатели по отношение на ангажимента за обръщане на тенденцията за намаляване на опрашителите. Европейската сметна палата препоръча на Комисията да създаде подходящи механизми за управление и наблюдение на действията за противодействие на заплахите за опрашителите</w:t>
      </w:r>
      <w:r w:rsidRPr="0070201F">
        <w:rPr>
          <w:rFonts w:eastAsia="Calibri"/>
          <w:vertAlign w:val="superscript"/>
        </w:rPr>
        <w:footnoteReference w:id="39"/>
      </w:r>
      <w:r w:rsidRPr="0070201F">
        <w:t>.</w:t>
      </w:r>
      <w:r w:rsidRPr="0070201F">
        <w:rPr>
          <w:b/>
          <w:i/>
        </w:rPr>
        <w:t xml:space="preserve"> На 24 януари 2023 г. Комисията представи преработена инициатива на ЕС относно опрашителите</w:t>
      </w:r>
      <w:r w:rsidRPr="0070201F">
        <w:rPr>
          <w:b/>
          <w:bCs/>
          <w:i/>
          <w:vertAlign w:val="superscript"/>
        </w:rPr>
        <w:footnoteReference w:id="40"/>
      </w:r>
      <w:r w:rsidRPr="0070201F">
        <w:rPr>
          <w:b/>
          <w:i/>
        </w:rPr>
        <w:t>. В преработения текст се определят действия, които да бъдат предприети от ЕС и от неговите държави членки за обръщане на тенденцията за намаляване на опрашителите до 2030 г.</w:t>
      </w:r>
    </w:p>
    <w:p w:rsidR="006173E9" w:rsidRPr="0070201F" w:rsidRDefault="006173E9" w:rsidP="006173E9">
      <w:pPr>
        <w:spacing w:before="120" w:after="120" w:line="360" w:lineRule="auto"/>
        <w:ind w:left="567" w:hanging="567"/>
        <w:rPr>
          <w:rFonts w:eastAsia="Calibri"/>
          <w:szCs w:val="22"/>
        </w:rPr>
      </w:pPr>
      <w:r w:rsidRPr="0070201F">
        <w:t>(48)</w:t>
      </w:r>
      <w:r w:rsidRPr="0070201F">
        <w:tab/>
        <w:t>Предложението за регламент на Европейския парламент и на Съвета относно устойчивата употреба на продукти за растителна защита [</w:t>
      </w:r>
      <w:r w:rsidRPr="0070201F">
        <w:rPr>
          <w:i/>
          <w:iCs/>
        </w:rPr>
        <w:t>предвидено да бъде прието на 22 юни 2022 г., да се посочат заглавие и номер на приетия акт, когато има такъв</w:t>
      </w:r>
      <w:r w:rsidRPr="0070201F">
        <w:t>] има за цел да се регулира един от факторите за намаляване на опрашителите, като се забрани употребата на пестициди в екологично чувствителни зони, много от които са обхванати от настоящия регламент, например зони с местообитания на видовете опрашители, които са определени в европейските червени списъци</w:t>
      </w:r>
      <w:r w:rsidRPr="0070201F">
        <w:rPr>
          <w:rFonts w:eastAsia="Calibri"/>
          <w:szCs w:val="22"/>
          <w:vertAlign w:val="superscript"/>
        </w:rPr>
        <w:footnoteReference w:id="41"/>
      </w:r>
      <w:r w:rsidRPr="0070201F">
        <w:t xml:space="preserve"> като застрашени </w:t>
      </w:r>
      <w:r w:rsidRPr="0070201F">
        <w:lastRenderedPageBreak/>
        <w:t>от изчезване.</w:t>
      </w:r>
    </w:p>
    <w:p w:rsidR="006173E9" w:rsidRPr="0070201F" w:rsidRDefault="006173E9" w:rsidP="006173E9">
      <w:pPr>
        <w:spacing w:after="200" w:line="276" w:lineRule="auto"/>
        <w:rPr>
          <w:rFonts w:eastAsia="Calibri"/>
          <w:szCs w:val="22"/>
        </w:rPr>
      </w:pPr>
      <w:r w:rsidRPr="0070201F">
        <w:br w:type="page"/>
      </w:r>
    </w:p>
    <w:p w:rsidR="006173E9" w:rsidRPr="0070201F" w:rsidRDefault="006173E9" w:rsidP="006173E9">
      <w:pPr>
        <w:shd w:val="clear" w:color="auto" w:fill="FFFFFF"/>
        <w:suppressAutoHyphens/>
        <w:spacing w:before="120" w:after="120" w:line="360" w:lineRule="auto"/>
        <w:ind w:left="567" w:right="-1" w:hanging="567"/>
        <w:rPr>
          <w:rFonts w:eastAsia="Calibri"/>
        </w:rPr>
      </w:pPr>
      <w:r w:rsidRPr="0070201F">
        <w:lastRenderedPageBreak/>
        <w:t>(49)</w:t>
      </w:r>
      <w:r w:rsidRPr="0070201F">
        <w:tab/>
        <w:t>Необходими са устойчиви, издръжливи и богати на биологично разнообразие селскостопански екосистеми, за да се осигури безопасна, устойчива, питателна и достъпна храна. Чрез богатите на биологично разнообразие селскостопански екосистеми се повишава също така издръжливостта на селското стопанство спрямо изменението на климата и рисковете за околната среда, като същевременно се гарантират безопасността на храните и продоволствената сигурност и се създават нови работни места в селските райони, по-специално работни места, свързани с биологичното земеделие, както и със селския туризъм и отдиха. Ето защо Съюзът трябва да подобри биологичното разнообразие в своите земеделски земи чрез множество съществуващи практики, които благоприятстват или са съвместими с подобряването на биологичното разнообразие, включително екстензивно земеделие. Екстензивното земеделие е от жизненоважно значение за поддържането на много видове и местообитания в богатите на биологично разнообразие зони. Съществуват много екстензивни селскостопански практики, които носят многобройни и значителни ползи за опазването на биологичното разнообразие, екосистемните услуги и особеностите на ландшафта, като прецизното земеделие, биологичното земеделие, агроекологията, агролесовъдството и използваните с ниска интензивност постоянно затревени площи.</w:t>
      </w:r>
    </w:p>
    <w:p w:rsidR="006173E9" w:rsidRPr="0070201F" w:rsidRDefault="006173E9" w:rsidP="006173E9">
      <w:pPr>
        <w:shd w:val="clear" w:color="auto" w:fill="FFFFFF"/>
        <w:suppressAutoHyphens/>
        <w:spacing w:before="120" w:after="120" w:line="360" w:lineRule="auto"/>
        <w:ind w:left="567" w:right="-1" w:hanging="567"/>
        <w:rPr>
          <w:rFonts w:eastAsia="Calibri"/>
        </w:rPr>
      </w:pPr>
      <w:r w:rsidRPr="0070201F">
        <w:t>(50)</w:t>
      </w:r>
      <w:r w:rsidRPr="0070201F">
        <w:tab/>
        <w:t>Необходимо е да се въведат мерки за възстановяване, за да се подобри биологичното разнообразие на селскостопанските екосистеми в целия Съюз, включително в зоните, които не са обхванати от типове местообитания, попадащи в обхвата на Директива 92/43/ЕИО.  Тъй като няма общ метод за оценка на състоянието на селскостопанските екосистеми, чрез който биха могли да бъдат определени специфични цели за възстановяване на селскостопанските екосистеми, е целесъобразно да се определи общо задължение за подобряване на биологичното разнообразие в селскостопанските екосистеми и да се измерва изпълнението на това задължение въз основа на съществуващите показатели.</w:t>
      </w:r>
      <w:bookmarkStart w:id="21" w:name="_Hlk135935549"/>
    </w:p>
    <w:bookmarkEnd w:id="21"/>
    <w:p w:rsidR="006173E9" w:rsidRPr="0070201F" w:rsidRDefault="006173E9" w:rsidP="006173E9">
      <w:pPr>
        <w:shd w:val="clear" w:color="auto" w:fill="FFFFFF"/>
        <w:suppressAutoHyphens/>
        <w:spacing w:before="120" w:after="120" w:line="360" w:lineRule="auto"/>
        <w:ind w:left="567" w:right="-1" w:hanging="567"/>
        <w:rPr>
          <w:rFonts w:eastAsia="Calibri"/>
        </w:rPr>
      </w:pPr>
      <w:r w:rsidRPr="0070201F">
        <w:t>(51)</w:t>
      </w:r>
      <w:r w:rsidRPr="0070201F">
        <w:tab/>
        <w:t xml:space="preserve">Тъй като птиците, живеещи върху земеделски земи, са добре известни и широко признати ключови показатели за здравето на селскостопанските екосистеми, е целесъобразно да се определят цели за тяхното възстановяване. Задължени да постигнат тези цели ще бъдат държавите членки, а не отделните земеделски стопани. Държавите членки следва да постигнат тези цели, като въведат ефективни мерки за възстановяване на земеделска земя и като сътрудничат със земеделските стопани и други заинтересовани страни и ги подкрепят при разработването и изпълнението на </w:t>
      </w:r>
      <w:r w:rsidRPr="0070201F">
        <w:lastRenderedPageBreak/>
        <w:t>такива мерки на място.</w:t>
      </w:r>
    </w:p>
    <w:p w:rsidR="006173E9" w:rsidRPr="0070201F" w:rsidRDefault="006173E9" w:rsidP="006173E9">
      <w:pPr>
        <w:spacing w:after="200" w:line="276" w:lineRule="auto"/>
        <w:rPr>
          <w:rFonts w:eastAsia="Calibri"/>
        </w:rPr>
      </w:pPr>
      <w:r w:rsidRPr="0070201F">
        <w:br w:type="page"/>
      </w:r>
    </w:p>
    <w:p w:rsidR="006173E9" w:rsidRPr="0070201F" w:rsidRDefault="006173E9" w:rsidP="0014171D">
      <w:pPr>
        <w:shd w:val="clear" w:color="auto" w:fill="FFFFFF"/>
        <w:suppressAutoHyphens/>
        <w:spacing w:before="120" w:after="120" w:line="360" w:lineRule="auto"/>
        <w:ind w:left="567" w:right="-1" w:hanging="567"/>
        <w:rPr>
          <w:rFonts w:eastAsia="Calibri"/>
          <w:b/>
        </w:rPr>
      </w:pPr>
      <w:r w:rsidRPr="0070201F">
        <w:lastRenderedPageBreak/>
        <w:t>(52)</w:t>
      </w:r>
      <w:r w:rsidRPr="0070201F">
        <w:tab/>
        <w:t xml:space="preserve">Голямото разнообразие в характеристиките на ландшафта на земеделската земя, включително буферни ивици, оборотно или трайно оставени земи под угар, живи плетове, отделни и групи дървета, дървесни редици, синори, малки парцели, канавки, водни течения, малки влажни зони, подпорни стени за терасиране, каменни пирамиди и стени, малки езера и културни обекти, осигуряват пространство за диви растения и животни, включително опрашители, предотвратяват ерозията и изтощаването на почвата, филтрират въздуха и водата, подпомагат смекчаването на изменението на климата и адаптирането към него, както и селскостопанската производителност на култури, зависими от опрашването. Продуктивните дървета, които са част от агро-лесовъдни системи върху обработваема земя, и продуктивните елементи в непродуктивни живи плетове също могат да бъдат считани за характеристики на ландшафта с голямо биологично разнообразие, при условие че не се третират с торове или пестициди и ако прибирането на реколтата се извършва само в моменти, не се застрашава голямото биологично разнообразие. Поради това следва да се въведе изискване, чрез което да се гарантира тенденция на нарастване на дела на земеделската земя с голямо разнообразие в характеристиките на ландшафта. </w:t>
      </w:r>
      <w:r w:rsidR="0014171D" w:rsidRPr="0070201F">
        <w:t xml:space="preserve">▌ </w:t>
      </w:r>
      <w:r w:rsidRPr="0070201F">
        <w:t xml:space="preserve"> Тенденции на нарастване следва да се постигнат и за други съществуващи показатели, като например индекса на полските пеперуди и запасите от органичен въглерод в обработваемите минерални почви. </w:t>
      </w:r>
      <w:r w:rsidR="0014171D" w:rsidRPr="0070201F">
        <w:rPr>
          <w:b/>
        </w:rPr>
        <w:t xml:space="preserve"> [Изм. 14]</w:t>
      </w:r>
    </w:p>
    <w:p w:rsidR="006173E9" w:rsidRPr="0070201F" w:rsidRDefault="006173E9" w:rsidP="006173E9">
      <w:pPr>
        <w:shd w:val="clear" w:color="auto" w:fill="FFFFFF"/>
        <w:suppressAutoHyphens/>
        <w:spacing w:before="120" w:after="120" w:line="360" w:lineRule="auto"/>
        <w:ind w:left="567" w:right="-1" w:hanging="567"/>
        <w:rPr>
          <w:rFonts w:eastAsia="Calibri"/>
        </w:rPr>
      </w:pPr>
      <w:r w:rsidRPr="0070201F">
        <w:br w:type="page"/>
      </w:r>
      <w:r w:rsidRPr="0070201F">
        <w:lastRenderedPageBreak/>
        <w:t>(53)</w:t>
      </w:r>
      <w:r w:rsidRPr="0070201F">
        <w:tab/>
        <w:t>Общата селскостопанска политика (ОСП) има за цел да подкрепя и засилва опазването на околната среда, включително биологичното разнообразие. Сред специфичните цели на тази политика е да допринесе за спирането на загубата на биологично разнообразие и обръщането на тази тенденция, за подобряването на екосистемните услуги и опазването на местообитанията и ландшафта. Съгласно новия стандарт на ОСП за добро земеделско и екологично състояние № 8 (ДЗЕС 8)</w:t>
      </w:r>
      <w:r w:rsidRPr="0070201F">
        <w:rPr>
          <w:rFonts w:eastAsia="Calibri"/>
          <w:vertAlign w:val="superscript"/>
        </w:rPr>
        <w:footnoteReference w:id="42"/>
      </w:r>
      <w:r w:rsidRPr="0070201F">
        <w:t xml:space="preserve"> бенефициерите на свързани с площ плащания трябва да използват най-малко 4 % от обработваемата земя на равнището на земеделското стопанство като непроизводствени площи и елементи, включително оставена под угар земя, и да запазят съществуващите особености на ландшафта. Делът от 4 % за спазване на този стандарт за ДЗЕС може да бъде намален до 3 %, ако са изпълнени определени предпоставки</w:t>
      </w:r>
      <w:r w:rsidRPr="0070201F">
        <w:rPr>
          <w:rFonts w:eastAsia="Calibri"/>
          <w:vertAlign w:val="superscript"/>
        </w:rPr>
        <w:footnoteReference w:id="43"/>
      </w:r>
      <w:r w:rsidRPr="0070201F">
        <w:t>. Това задължение ще допринесе за това държавите членки да постигнат положителна тенденция по отношение на особеностите на ландшафта с голямо разнообразие върху земеделска земя. Освен това в рамките на ОСП държавите членки имат възможността да въведат екосхеми за селскостопански практики, прилагани от земеделски стопани на земеделски площи, сред които например поддържане и създаване на особености на ландшафта или непроизводствени площи. По подобен начин в своите стратегически планове по ОСП държавите членки могат да включат и ангажименти за агроекология и климат, включително за по-доброто управление на особеностите на ландшафта, което надхвърля обвързаността с условия на ДЗЕС 8 и/или екосхеми. Проекти по програма LIFE, свързани с природата и биологичното разнообразие, също така ще спомогнат за това до 2030 г. биологичното разнообразие на Европа по земеделските земи да започне да се възстановява , като подкрепят прилагането на Директива 92/43/ЕИО и Директива 2009/147/ЕО, както и стратегията на ЕС за биологичното разнообразие за 2030 г.</w:t>
      </w:r>
    </w:p>
    <w:p w:rsidR="006173E9" w:rsidRPr="0070201F" w:rsidRDefault="006173E9" w:rsidP="006173E9">
      <w:pPr>
        <w:shd w:val="clear" w:color="auto" w:fill="FFFFFF"/>
        <w:suppressAutoHyphens/>
        <w:spacing w:before="120" w:after="120" w:line="360" w:lineRule="auto"/>
        <w:ind w:left="567" w:right="-1" w:hanging="567"/>
        <w:rPr>
          <w:rFonts w:eastAsia="Calibri"/>
          <w:i/>
        </w:rPr>
      </w:pPr>
      <w:r w:rsidRPr="0070201F">
        <w:br w:type="page"/>
      </w:r>
      <w:r w:rsidRPr="0070201F">
        <w:lastRenderedPageBreak/>
        <w:t>(54)</w:t>
      </w:r>
      <w:r w:rsidRPr="0070201F">
        <w:tab/>
        <w:t>Възстановяването на влажните зони</w:t>
      </w:r>
      <w:r w:rsidRPr="0070201F">
        <w:rPr>
          <w:rFonts w:eastAsia="Calibri"/>
          <w:vertAlign w:val="superscript"/>
        </w:rPr>
        <w:footnoteReference w:id="44"/>
      </w:r>
      <w:r w:rsidRPr="0070201F">
        <w:t xml:space="preserve"> върху органични почви</w:t>
      </w:r>
      <w:r w:rsidRPr="0070201F">
        <w:rPr>
          <w:rFonts w:eastAsia="Calibri"/>
          <w:vertAlign w:val="superscript"/>
        </w:rPr>
        <w:footnoteReference w:id="45"/>
      </w:r>
      <w:r w:rsidRPr="0070201F">
        <w:t xml:space="preserve">, които се използват за селското стопанство (т.е. като пасища или за отглеждане на култури) и представляват пресушени торфища, спомага за постигането на съществени ползи за биологичното разнообразие, за значително намаляване на емисиите на парникови газове, както и за други ползи за околната среда, като в същото време допринася за разнообразието на селскостопанския ландшафт. </w:t>
      </w:r>
      <w:bookmarkStart w:id="22" w:name="_Hlk136867766"/>
      <w:r w:rsidRPr="0070201F">
        <w:t>Държавите членки може да изберат между голям спектър от мерки за възстановяване на пресушени торфища в селското стопанство, които варират от преобразуване на обработваемата земя в постоянно затревени площи и мерки за екстензификация, придружени от намаляване на отводняването, до пълно възстановяване на влажни зони с възможност за палудикултурни практики или въвеждане на образуваща торф растителност.</w:t>
      </w:r>
      <w:bookmarkEnd w:id="22"/>
      <w:r w:rsidRPr="0070201F">
        <w:t xml:space="preserve"> Най-значителните ползи за климата се създават от възстановяването и възстановяването на влагата в обработваеми земи , следвано от възстановяването на интензивно управлявани затревени площи. В интерес на гъвкавото изпълнение на целта за пресушени торфища, използвани за селскостопански цели, държавите членки могат да отчитат както мерките за възстановяване и възстановяването на влагата в пресушени торфища в зоните за добив на торф, така и — до известна степен — възстановяването и възстановяването на влагата в пресушени торфища, използвани за друго земеползване (например гори), като принос за постигането на целите за пресушени торфища, използвани за селскостопански цели.</w:t>
      </w:r>
      <w:r w:rsidRPr="0070201F">
        <w:rPr>
          <w:b/>
          <w:i/>
        </w:rPr>
        <w:t xml:space="preserve"> Когато това е надлежно обосновано и ако възстановяването на влагата в пресушените торфища, използвани за селскостопански цели, не може да бъде осъществено поради значителни неблагоприятни въздействия върху сградите, инфраструктурата, адаптирането към изменението на климата или други обществени интереси, и ако влагата не може да бъде възстановена в торфищата, използвани за друг вид земеползване, държавите членки могат да определят по-малък размер на торфищата, в които да бъде възстановена влагата.</w:t>
      </w:r>
    </w:p>
    <w:p w:rsidR="006173E9" w:rsidRPr="0070201F" w:rsidRDefault="006173E9" w:rsidP="006173E9">
      <w:pPr>
        <w:shd w:val="clear" w:color="auto" w:fill="FFFFFF"/>
        <w:suppressAutoHyphens/>
        <w:spacing w:before="120" w:after="120" w:line="360" w:lineRule="auto"/>
        <w:ind w:left="567" w:right="-1" w:hanging="567"/>
        <w:rPr>
          <w:rFonts w:eastAsia="Calibri"/>
        </w:rPr>
      </w:pPr>
      <w:r w:rsidRPr="0070201F">
        <w:br w:type="page"/>
      </w:r>
      <w:r w:rsidRPr="0070201F">
        <w:lastRenderedPageBreak/>
        <w:t>(55)</w:t>
      </w:r>
      <w:r w:rsidRPr="0070201F">
        <w:tab/>
        <w:t>За да се извлекат пълните ползи за биологичното разнообразие, възстановяването на влажните зони на пресушени торфища следва да се простира и отвъд изброените в приложение I към Директива 92/43/ЕИО зони на типовете местообитания във влажните зони, които трябва да бъдат възстановени и повторно изградени. Данните за обхвата на органичните почви, както и за техните емисии и поглъщания на парникови газове, се наблюдават в рамките на докладването в сектора на ЗПЗГС и се включват в националните инвентаризации на парниковите газове на държавите членки, които се представят на Рамковата конвенция на ООН по изменение на климата (РКООНИК). Възстановените влажни зони на торфищата могат да продължат да се използват продуктивно по алтернативни начини. Така например палудикултурата, т.е. практиката на отглеждане на култури върху влажни торфища, може да включва отглеждане на различни видове тръстика, дървета за определени форми дървен материал, отглеждане на сини и червени боровинки, на сфагнов торф, както и паша на азиатски биволи. Тези практики следва да се основават на принципите на устойчивото управление и да са насочени към подобряване на биологичното разнообразие, така че да имат висока стойност както във финансово, така и в екологично отношение. Палудикултурата може да бъде от полза и за няколко вида, които са застрашени в Съюза, и същевременно да улесни свързаността на влажните зони и на популациите на съответните видове в Съюза. Финансирането за мерки за възстановяване и възстановяване на влагата в пресушените торфища и за компенсиране на евентуални загуби на приходи може да дойде от широк кръг източници, включително разходи от бюджета на Съюза и програми на Съюза за финансиране.</w:t>
      </w:r>
    </w:p>
    <w:p w:rsidR="006173E9" w:rsidRPr="0070201F" w:rsidRDefault="006173E9" w:rsidP="006173E9">
      <w:pPr>
        <w:shd w:val="clear" w:color="auto" w:fill="FFFFFF"/>
        <w:suppressAutoHyphens/>
        <w:spacing w:before="120" w:after="120" w:line="360" w:lineRule="auto"/>
        <w:ind w:left="567" w:right="-1" w:hanging="567"/>
        <w:rPr>
          <w:rFonts w:eastAsia="Calibri"/>
        </w:rPr>
      </w:pPr>
      <w:r w:rsidRPr="0070201F">
        <w:t>(56)</w:t>
      </w:r>
      <w:r w:rsidRPr="0070201F">
        <w:tab/>
        <w:t>В новата стратегия на ЕС за горите за 2030 г.</w:t>
      </w:r>
      <w:r w:rsidRPr="0070201F">
        <w:rPr>
          <w:rFonts w:eastAsia="Calibri"/>
          <w:vertAlign w:val="superscript"/>
        </w:rPr>
        <w:footnoteReference w:id="46"/>
      </w:r>
      <w:r w:rsidRPr="0070201F">
        <w:t xml:space="preserve"> се очертава необходимостта от възстановяване на биологичното разнообразие на горите. Горите и другите залесени земи покриват над 43,5 % от сухоземното пространство на ЕС. Горските екосистеми, в които има богато биологично разнообразие, са уязвими по отношение на изменението на климата, но същевременно </w:t>
      </w:r>
      <w:r w:rsidRPr="0070201F">
        <w:rPr>
          <w:shd w:val="clear" w:color="auto" w:fill="FFFFFF"/>
        </w:rPr>
        <w:t>представляват естествен съюзник при адаптирането към изменението на климата и борбата с него и свързаните с климата рискове, включително чрез функциите си на въглеродни запаси и поглътители на въглерод, и</w:t>
      </w:r>
      <w:r w:rsidRPr="0070201F">
        <w:t xml:space="preserve"> осигуряват много други жизненоважни екосистемни услуги и ползи, като например дървен материал и дървесина, хранителни и други недървесни продукти, регулиране на климата, стабилизиране на почвите и контрол на ерозията и пречистване на въздуха и </w:t>
      </w:r>
      <w:r w:rsidRPr="0070201F">
        <w:lastRenderedPageBreak/>
        <w:t>водата.</w:t>
      </w:r>
    </w:p>
    <w:p w:rsidR="006173E9" w:rsidRPr="0070201F" w:rsidRDefault="0014171D" w:rsidP="0070201F">
      <w:pPr>
        <w:shd w:val="clear" w:color="auto" w:fill="FFFFFF"/>
        <w:suppressAutoHyphens/>
        <w:spacing w:before="120" w:after="120" w:line="360" w:lineRule="auto"/>
        <w:ind w:left="567" w:right="-1" w:hanging="567"/>
        <w:rPr>
          <w:rFonts w:eastAsia="Calibri"/>
        </w:rPr>
      </w:pPr>
      <w:r w:rsidRPr="0070201F">
        <w:t xml:space="preserve">▌ </w:t>
      </w:r>
      <w:r w:rsidRPr="0070201F">
        <w:rPr>
          <w:b/>
        </w:rPr>
        <w:t xml:space="preserve"> [Изм. 112</w:t>
      </w:r>
      <w:r w:rsidR="00FE42A2" w:rsidRPr="00223ACF">
        <w:rPr>
          <w:b/>
        </w:rPr>
        <w:t>/</w:t>
      </w:r>
      <w:r w:rsidR="00FE42A2" w:rsidRPr="0070201F">
        <w:rPr>
          <w:b/>
          <w:lang w:val="fr-FR"/>
        </w:rPr>
        <w:t>rev</w:t>
      </w:r>
      <w:r w:rsidR="00FE42A2" w:rsidRPr="00223ACF">
        <w:rPr>
          <w:b/>
        </w:rPr>
        <w:t>1</w:t>
      </w:r>
      <w:r w:rsidRPr="0070201F">
        <w:rPr>
          <w:b/>
        </w:rPr>
        <w:t>]</w:t>
      </w:r>
      <w:r w:rsidR="006173E9" w:rsidRPr="0070201F">
        <w:br w:type="page"/>
      </w:r>
      <w:r w:rsidR="006173E9" w:rsidRPr="0070201F">
        <w:lastRenderedPageBreak/>
        <w:t>(58)</w:t>
      </w:r>
      <w:r w:rsidR="006173E9" w:rsidRPr="0070201F">
        <w:tab/>
        <w:t xml:space="preserve">Целите и задълженията за възстановяване на местообитанията и видовете, защитени съгласно директиви 92/43/ЕИО и 2009/147/ЕО, на опрашителите и на сладководните, градските, селскостопанските и горските екосистеми следва да се допълват и да имат полезно взаимодействие, за да се постигне основната цел за възстановяване на екосистемите във всички сухоземни и морски зони на </w:t>
      </w:r>
      <w:r w:rsidR="006173E9" w:rsidRPr="0070201F">
        <w:rPr>
          <w:b/>
          <w:bCs/>
          <w:i/>
          <w:iCs/>
        </w:rPr>
        <w:t>държавите членки</w:t>
      </w:r>
      <w:r w:rsidR="006173E9" w:rsidRPr="0070201F">
        <w:t xml:space="preserve">. Мерките за възстановяване, необходими за постигането на една конкретна цел, в много случаи ще допринесат за постигането и на други цели или изпълнението на други задължения. Поради това държавите членки следва да планират стратегически мерките за възстановяване, за да увеличат максимално тяхната ефективност като принос за възстановяването на природата в целия Съюз. Освен това мерките за възстановяване следва да бъдат планирани по такъв начин, че да допринесат за смекчаването на изменението на климата и адаптирането към него, както и за предотвратяването и контрола на въздействието на природните бедствия, </w:t>
      </w:r>
      <w:r w:rsidR="006173E9" w:rsidRPr="0070201F">
        <w:rPr>
          <w:b/>
          <w:bCs/>
          <w:i/>
          <w:iCs/>
        </w:rPr>
        <w:t>както и деградацията на земите.</w:t>
      </w:r>
      <w:r w:rsidR="006173E9" w:rsidRPr="0070201F">
        <w:t xml:space="preserve"> Те следва да са насочени към оптимизацията на екологичните, икономическите и социалните функции на екосистемите, включително техния потенциал за производителност, като се взема предвид техният принос за устойчивото развитие на съответните региони и общности. Важно е държавите членки да изготвят подробни национални планове за възстановяване въз основа на най-добрите налични научни доказателства. </w:t>
      </w:r>
      <w:r w:rsidR="006173E9" w:rsidRPr="0070201F">
        <w:rPr>
          <w:b/>
          <w:i/>
        </w:rPr>
        <w:t xml:space="preserve">Документираните записи за разпределението и за площите в миналото, както и за прогнозните промени в условията на околната среда, дължащи се на изменението на климата, следва да служат като основа за извършването на оценки за благоприятната референтна площ на типовете местообитания. </w:t>
      </w:r>
      <w:r w:rsidR="006173E9" w:rsidRPr="0070201F">
        <w:rPr>
          <w:b/>
          <w:bCs/>
          <w:i/>
          <w:iCs/>
        </w:rPr>
        <w:t>Освен това е важно</w:t>
      </w:r>
      <w:r w:rsidR="006173E9" w:rsidRPr="0070201F">
        <w:t xml:space="preserve"> на обществеността бъдат предоставени навременни и ефективни възможности да участва в изготвянето на плановете. Държавите членки следва да вземат предвид специфичните условия и нужди на своята територия, за да могат чрез плановете да отговорят на съответните видове натиск, заплахи и фактори за загубата на биологично разнообразие, както и да си сътрудничат, за да гарантират възстановяването и свързаността през границите.</w:t>
      </w:r>
    </w:p>
    <w:p w:rsidR="006173E9" w:rsidRPr="0070201F" w:rsidRDefault="006173E9" w:rsidP="006173E9">
      <w:pPr>
        <w:suppressAutoHyphens/>
        <w:spacing w:before="120" w:after="120" w:line="360" w:lineRule="auto"/>
        <w:ind w:left="567" w:right="-1" w:hanging="567"/>
        <w:rPr>
          <w:rFonts w:eastAsia="Calibri"/>
          <w:shd w:val="clear" w:color="auto" w:fill="FFFFFF"/>
        </w:rPr>
      </w:pPr>
      <w:r w:rsidRPr="0070201F">
        <w:br w:type="page"/>
      </w:r>
      <w:r w:rsidRPr="0070201F">
        <w:lastRenderedPageBreak/>
        <w:t>(59)</w:t>
      </w:r>
      <w:r w:rsidRPr="0070201F">
        <w:tab/>
        <w:t xml:space="preserve">За да се гарантират полезни взаимодействия между различните мерки, които са били въведени и трябва да бъдат въведени с цел защита, опазване и възстановяване на природата в Съюза, при изготвянето на своите национални планове за възстановяване държавите членки следва да вземат предвид: мерките за опазване, установени за защитените зони по „Натура 2000“, и рамките за приоритетни действия, изготвени в съответствие с директиви 92/43/ЕИО и 2009/147/ЕО; мерките за постигане на добро екологично и химично състояние на водните обекти, включени в плановете за управление на речните басейни, изготвени в съответствие с Директива 2000/60/ЕО; морските стратегии за постигане на добро екологично състояние за всички морски региони на Съюза, изготвени в съответствие с Директива 2008/56/ЕО; националните програми за контрол на замърсяването на въздуха, изготвени съгласно Директива (ЕС) 2016/2284; националните стратегии и планове за действие в областта на биологичното разнообразие, разработени в съответствие с член 6 от Конвенцията за биологичното разнообразие, както и мерките за опазване, приети в съответствие с Регламент 1380/2013, и техническите мерки, приети в съответствие с </w:t>
      </w:r>
      <w:r w:rsidRPr="0070201F">
        <w:rPr>
          <w:shd w:val="clear" w:color="auto" w:fill="FFFFFF"/>
        </w:rPr>
        <w:t>Регламент (ЕС) 2019/1241 на Европейския парламент и на Съвета</w:t>
      </w:r>
      <w:r w:rsidRPr="0070201F">
        <w:rPr>
          <w:rFonts w:eastAsia="Calibri"/>
          <w:vertAlign w:val="superscript"/>
        </w:rPr>
        <w:footnoteReference w:id="47"/>
      </w:r>
      <w:r w:rsidRPr="0070201F">
        <w:rPr>
          <w:shd w:val="clear" w:color="auto" w:fill="FFFFFF"/>
        </w:rPr>
        <w:t>.</w:t>
      </w:r>
    </w:p>
    <w:p w:rsidR="006173E9" w:rsidRPr="0070201F" w:rsidRDefault="006173E9" w:rsidP="006173E9">
      <w:pPr>
        <w:suppressAutoHyphens/>
        <w:spacing w:before="120" w:after="120" w:line="360" w:lineRule="auto"/>
        <w:ind w:left="567" w:right="-1" w:hanging="567"/>
        <w:rPr>
          <w:rFonts w:eastAsia="Calibri"/>
        </w:rPr>
      </w:pPr>
      <w:r w:rsidRPr="0070201F">
        <w:br w:type="page"/>
      </w:r>
      <w:r w:rsidRPr="0070201F">
        <w:lastRenderedPageBreak/>
        <w:t>(60)</w:t>
      </w:r>
      <w:r w:rsidRPr="0070201F">
        <w:tab/>
        <w:t>За да се осигури съгласуваност между целите на настоящия регламент и на Директива (ЕС) 2018/2001</w:t>
      </w:r>
      <w:r w:rsidRPr="0070201F">
        <w:rPr>
          <w:rFonts w:eastAsia="Calibri"/>
          <w:vertAlign w:val="superscript"/>
        </w:rPr>
        <w:footnoteReference w:id="48"/>
      </w:r>
      <w:r w:rsidRPr="0070201F">
        <w:t>, Регламент (ЕС) 2018/1999</w:t>
      </w:r>
      <w:r w:rsidRPr="0070201F">
        <w:rPr>
          <w:rFonts w:eastAsia="Calibri"/>
          <w:vertAlign w:val="superscript"/>
        </w:rPr>
        <w:footnoteReference w:id="49"/>
      </w:r>
      <w:r w:rsidRPr="0070201F">
        <w:t xml:space="preserve"> и Директива № 98/70/ЕО на Европейския парламент и на Съвета по отношение на насърчаването на използването на енергия от възобновяеми източници</w:t>
      </w:r>
      <w:r w:rsidRPr="0070201F">
        <w:rPr>
          <w:rFonts w:eastAsia="Calibri"/>
          <w:vertAlign w:val="superscript"/>
        </w:rPr>
        <w:footnoteReference w:id="50"/>
      </w:r>
      <w:r w:rsidRPr="0070201F">
        <w:t>, по-специално при изготвянето на националните планове за възстановяване, държавите членки следва да вземат предвид потенциала на проектите за енергия от възобновяеми източници да допринасят за постигането на целите за възстановяване на природата.</w:t>
      </w:r>
    </w:p>
    <w:p w:rsidR="006173E9" w:rsidRPr="0070201F" w:rsidRDefault="006173E9" w:rsidP="006173E9">
      <w:pPr>
        <w:suppressAutoHyphens/>
        <w:spacing w:before="120" w:after="120" w:line="360" w:lineRule="auto"/>
        <w:ind w:left="567" w:right="-1" w:hanging="567"/>
        <w:rPr>
          <w:rFonts w:eastAsia="Calibri"/>
          <w:shd w:val="clear" w:color="auto" w:fill="FFFFFF"/>
        </w:rPr>
      </w:pPr>
      <w:r w:rsidRPr="0070201F">
        <w:t>(61)</w:t>
      </w:r>
      <w:r w:rsidRPr="0070201F">
        <w:tab/>
      </w:r>
      <w:r w:rsidRPr="0070201F">
        <w:rPr>
          <w:shd w:val="clear" w:color="auto" w:fill="FFFFFF"/>
        </w:rPr>
        <w:t xml:space="preserve">Като се има предвид значението на последователното справяне с двойното предизвикателство, свързано със загубата на биологично разнообразие и изменението на климата, при възстановяването на биологичното разнообразие следва да се вземе предвид използването на енергията от възобновяеми източници, и обратно. </w:t>
      </w:r>
      <w:r w:rsidRPr="0070201F">
        <w:rPr>
          <w:b/>
          <w:i/>
          <w:shd w:val="clear" w:color="auto" w:fill="FFFFFF"/>
        </w:rPr>
        <w:t>Дейностите по възстановяване и изпълнението на проектите за генериране на енергия от възобновяеми източници могат да се съчетават, когато това е възможно, включително в зоните за ускорено внедряване на енергия от възобновяеми източници и в специалните зони на електроенергийната мрежа.</w:t>
      </w:r>
      <w:r w:rsidRPr="0070201F">
        <w:rPr>
          <w:shd w:val="clear" w:color="auto" w:fill="FFFFFF"/>
        </w:rPr>
        <w:t xml:space="preserve"> </w:t>
      </w:r>
      <w:r w:rsidRPr="0070201F">
        <w:rPr>
          <w:b/>
          <w:bCs/>
          <w:i/>
          <w:iCs/>
          <w:shd w:val="clear" w:color="auto" w:fill="FFFFFF"/>
        </w:rPr>
        <w:t>Съгласно Директива (ЕС) 2018/2001 от</w:t>
      </w:r>
      <w:r w:rsidRPr="0070201F">
        <w:rPr>
          <w:shd w:val="clear" w:color="auto" w:fill="FFFFFF"/>
        </w:rPr>
        <w:t xml:space="preserve"> държавите членки </w:t>
      </w:r>
      <w:r w:rsidRPr="0070201F">
        <w:rPr>
          <w:b/>
          <w:bCs/>
          <w:i/>
          <w:iCs/>
          <w:shd w:val="clear" w:color="auto" w:fill="FFFFFF"/>
        </w:rPr>
        <w:t>се изисква да извършват координирано картографиране за внедряването на енергия от възобновяеми източници на своя територия, за да определят местния потенциал и наличната земна повърхност, подпочвените, морските или вътрешните води, необходими за разполагането на инсталации за производство на енергия от възобновяеми източници, и свързаната с тях инфраструктура, като например мрежи и съоръжения за съхранение на енергия, включително акумулиране</w:t>
      </w:r>
      <w:r w:rsidRPr="0070201F">
        <w:rPr>
          <w:shd w:val="clear" w:color="auto" w:fill="FFFFFF"/>
        </w:rPr>
        <w:t xml:space="preserve"> </w:t>
      </w:r>
      <w:r w:rsidRPr="0070201F">
        <w:rPr>
          <w:b/>
          <w:bCs/>
          <w:i/>
          <w:iCs/>
          <w:shd w:val="clear" w:color="auto" w:fill="FFFFFF"/>
        </w:rPr>
        <w:t xml:space="preserve">на топлинна енергия, които са необходими за постигане най-малкото на техния национален принос във връзка с преразгледаната цел за генериране на енергия от възобновяеми </w:t>
      </w:r>
      <w:r w:rsidRPr="0070201F">
        <w:rPr>
          <w:b/>
          <w:bCs/>
          <w:i/>
          <w:iCs/>
          <w:shd w:val="clear" w:color="auto" w:fill="FFFFFF"/>
        </w:rPr>
        <w:lastRenderedPageBreak/>
        <w:t>източници до 2030 г.</w:t>
      </w:r>
      <w:r w:rsidRPr="0070201F">
        <w:rPr>
          <w:b/>
          <w:i/>
          <w:shd w:val="clear" w:color="auto" w:fill="FFFFFF"/>
        </w:rPr>
        <w:t xml:space="preserve"> </w:t>
      </w:r>
      <w:r w:rsidRPr="0070201F">
        <w:rPr>
          <w:b/>
          <w:bCs/>
          <w:i/>
          <w:iCs/>
          <w:shd w:val="clear" w:color="auto" w:fill="FFFFFF"/>
        </w:rPr>
        <w:t>Тези зони, включително съществуващите инсталации и механизмите за сътрудничество, следва да са съобразени с прогнозните криви и с всички планирани и инсталирани мощности (по технологии за производството на енергия от възобновяеми източници), определени в</w:t>
      </w:r>
      <w:r w:rsidRPr="0070201F">
        <w:rPr>
          <w:shd w:val="clear" w:color="auto" w:fill="FFFFFF"/>
        </w:rPr>
        <w:t xml:space="preserve"> националните планове в областта на енергетиката и климата. </w:t>
      </w:r>
      <w:r w:rsidRPr="0070201F">
        <w:rPr>
          <w:b/>
          <w:bCs/>
          <w:i/>
          <w:iCs/>
          <w:shd w:val="clear" w:color="auto" w:fill="FFFFFF"/>
        </w:rPr>
        <w:t xml:space="preserve">Държавите членки следва да определят подгрупа от подобни зони като </w:t>
      </w:r>
      <w:r w:rsidRPr="0070201F">
        <w:rPr>
          <w:shd w:val="clear" w:color="auto" w:fill="FFFFFF"/>
        </w:rPr>
        <w:t>зони</w:t>
      </w:r>
      <w:r w:rsidRPr="0070201F">
        <w:rPr>
          <w:b/>
          <w:bCs/>
          <w:i/>
          <w:iCs/>
          <w:shd w:val="clear" w:color="auto" w:fill="FFFFFF"/>
        </w:rPr>
        <w:t xml:space="preserve"> за ускорено внедряване на</w:t>
      </w:r>
      <w:r w:rsidRPr="0070201F">
        <w:rPr>
          <w:shd w:val="clear" w:color="auto" w:fill="FFFFFF"/>
        </w:rPr>
        <w:t xml:space="preserve"> енергия от възобновяеми източници. Тези зони са конкретни места, на сушата или в морето, които са особено подходящи за инсталиране на централи за производство на енергия от възобновяеми източници, </w:t>
      </w:r>
      <w:r w:rsidRPr="0070201F">
        <w:rPr>
          <w:rFonts w:ascii="Arial" w:hAnsi="Arial"/>
          <w:snapToGrid w:val="0"/>
          <w:shd w:val="clear" w:color="auto" w:fill="FFFFFF"/>
        </w:rPr>
        <w:t>▌</w:t>
      </w:r>
      <w:r w:rsidRPr="0070201F">
        <w:rPr>
          <w:shd w:val="clear" w:color="auto" w:fill="FFFFFF"/>
        </w:rPr>
        <w:t xml:space="preserve">в които не се очаква експлоатацията на конкретен вид възобновяеми енергийни източници да окаже значително въздействие върху околната среда, с оглед на особеностите на избраната територия. </w:t>
      </w:r>
      <w:r w:rsidRPr="0070201F">
        <w:t xml:space="preserve">Държавите членки следва да дадат приоритет на изкуствени и застроени площи като покриви </w:t>
      </w:r>
      <w:r w:rsidRPr="0070201F">
        <w:rPr>
          <w:b/>
          <w:bCs/>
          <w:i/>
          <w:iCs/>
        </w:rPr>
        <w:t>и фасади на сгради</w:t>
      </w:r>
      <w:r w:rsidRPr="0070201F">
        <w:t xml:space="preserve">, транспортна инфраструктура </w:t>
      </w:r>
      <w:r w:rsidRPr="0070201F">
        <w:rPr>
          <w:b/>
          <w:bCs/>
          <w:i/>
          <w:iCs/>
        </w:rPr>
        <w:t>и съответната пряка заобикаляща ги среда</w:t>
      </w:r>
      <w:r w:rsidRPr="0070201F">
        <w:t xml:space="preserve">, зони за паркиране, </w:t>
      </w:r>
      <w:r w:rsidRPr="0070201F">
        <w:rPr>
          <w:b/>
          <w:bCs/>
          <w:i/>
          <w:iCs/>
        </w:rPr>
        <w:t>земеделски стопанства</w:t>
      </w:r>
      <w:r w:rsidRPr="0070201F">
        <w:t xml:space="preserve">, площадки за отпадъци, промишлени обекти, рудници, изкуствени вътрешни водни басейни, езера или резервоари и, когато е целесъобразно, обекти за пречистване на градски отпадъчни води, както и земи с влошено качество, които не могат да се използват в селското стопанство. </w:t>
      </w:r>
      <w:r w:rsidRPr="0070201F">
        <w:rPr>
          <w:b/>
          <w:i/>
          <w:shd w:val="clear" w:color="auto" w:fill="FFFFFF"/>
        </w:rPr>
        <w:t>В Директива (ЕС) 2018/2001 също така се посочва, че държавите членки могат</w:t>
      </w:r>
      <w:r w:rsidRPr="0070201F">
        <w:rPr>
          <w:b/>
          <w:i/>
        </w:rPr>
        <w:t xml:space="preserve"> </w:t>
      </w:r>
      <w:r w:rsidRPr="0070201F">
        <w:rPr>
          <w:b/>
          <w:i/>
          <w:shd w:val="clear" w:color="auto" w:fill="FFFFFF"/>
        </w:rPr>
        <w:t xml:space="preserve">да приемат план или планове за определяне на специални зони за инфраструктура за разгръщането на проекти за мрежи и акумулиране, необходими за интегриране на енергията от възобновяеми източници в електроенергийната система, ако не се очаква това разгръщане да окаже значително въздействие върху околната среда или ако тези въздействия могат да бъдат надлежно смекчени или евентуално компенсирани, когато това не е възможно. Целта на тези зони е да подкрепят и да допълват зоните за ускорено внедряване на енергия от възобновяеми източници. </w:t>
      </w:r>
      <w:r w:rsidRPr="0070201F">
        <w:rPr>
          <w:shd w:val="clear" w:color="auto" w:fill="FFFFFF"/>
        </w:rPr>
        <w:t xml:space="preserve">При определянето на зони за </w:t>
      </w:r>
      <w:r w:rsidRPr="0070201F">
        <w:rPr>
          <w:b/>
          <w:bCs/>
          <w:i/>
          <w:iCs/>
          <w:shd w:val="clear" w:color="auto" w:fill="FFFFFF"/>
        </w:rPr>
        <w:t>ускорено внедряване на</w:t>
      </w:r>
      <w:r w:rsidRPr="0070201F">
        <w:rPr>
          <w:shd w:val="clear" w:color="auto" w:fill="FFFFFF"/>
        </w:rPr>
        <w:t xml:space="preserve"> енергия от възобновяеми източници </w:t>
      </w:r>
      <w:r w:rsidRPr="0070201F">
        <w:rPr>
          <w:b/>
          <w:bCs/>
          <w:i/>
          <w:iCs/>
          <w:shd w:val="clear" w:color="auto" w:fill="FFFFFF"/>
        </w:rPr>
        <w:t>и на специални инфраструктурни зони</w:t>
      </w:r>
      <w:r w:rsidRPr="0070201F">
        <w:rPr>
          <w:shd w:val="clear" w:color="auto" w:fill="FFFFFF"/>
        </w:rPr>
        <w:t xml:space="preserve"> държавите членки следва да избягват защитените зони и да вземат предвид своите национални планове за възстановяване на природата. Държавите членки следва да съгласуват разработването на национални планове за възстановяване с </w:t>
      </w:r>
      <w:r w:rsidRPr="0070201F">
        <w:rPr>
          <w:b/>
          <w:bCs/>
          <w:i/>
          <w:iCs/>
          <w:shd w:val="clear" w:color="auto" w:fill="FFFFFF"/>
        </w:rPr>
        <w:t>картографирането на зоните, необходими с оглед на националния принос за постигане на целта за генериране на енергия от възобновяеми източници за 2030 г. и, по целесъобразност, с</w:t>
      </w:r>
      <w:r w:rsidRPr="0070201F">
        <w:rPr>
          <w:shd w:val="clear" w:color="auto" w:fill="FFFFFF"/>
        </w:rPr>
        <w:t xml:space="preserve"> определянето на зони за </w:t>
      </w:r>
      <w:r w:rsidRPr="0070201F">
        <w:rPr>
          <w:b/>
          <w:bCs/>
          <w:i/>
          <w:iCs/>
          <w:shd w:val="clear" w:color="auto" w:fill="FFFFFF"/>
        </w:rPr>
        <w:t>ускорено</w:t>
      </w:r>
      <w:r w:rsidRPr="0070201F">
        <w:rPr>
          <w:shd w:val="clear" w:color="auto" w:fill="FFFFFF"/>
        </w:rPr>
        <w:t xml:space="preserve"> внедряване на </w:t>
      </w:r>
      <w:r w:rsidRPr="0070201F">
        <w:rPr>
          <w:b/>
          <w:bCs/>
          <w:i/>
          <w:iCs/>
          <w:shd w:val="clear" w:color="auto" w:fill="FFFFFF"/>
        </w:rPr>
        <w:t>енергия от възобновяеми източници и на специални зони на електроенергийната мрежа</w:t>
      </w:r>
      <w:r w:rsidRPr="0070201F">
        <w:rPr>
          <w:b/>
          <w:bCs/>
          <w:shd w:val="clear" w:color="auto" w:fill="FFFFFF"/>
        </w:rPr>
        <w:t>.</w:t>
      </w:r>
      <w:r w:rsidRPr="0070201F">
        <w:rPr>
          <w:shd w:val="clear" w:color="auto" w:fill="FFFFFF"/>
        </w:rPr>
        <w:t xml:space="preserve"> </w:t>
      </w:r>
      <w:r w:rsidRPr="0070201F">
        <w:t xml:space="preserve">По време на изготвянето на плановете за възстановяване на природата държавите членки следва да осигурят полезни взаимодействия </w:t>
      </w:r>
      <w:r w:rsidRPr="0070201F">
        <w:rPr>
          <w:b/>
          <w:bCs/>
          <w:i/>
          <w:iCs/>
        </w:rPr>
        <w:t>с</w:t>
      </w:r>
      <w:r w:rsidRPr="0070201F">
        <w:t xml:space="preserve"> </w:t>
      </w:r>
      <w:r w:rsidRPr="0070201F">
        <w:rPr>
          <w:b/>
          <w:bCs/>
          <w:i/>
          <w:iCs/>
        </w:rPr>
        <w:t xml:space="preserve">изграждането на инфраструктура за </w:t>
      </w:r>
      <w:r w:rsidRPr="0070201F">
        <w:rPr>
          <w:b/>
          <w:bCs/>
          <w:i/>
          <w:iCs/>
        </w:rPr>
        <w:lastRenderedPageBreak/>
        <w:t>генериране на енергия от възобновяеми източници и енергийна инфраструктура</w:t>
      </w:r>
      <w:r w:rsidRPr="0070201F">
        <w:t xml:space="preserve"> и с вече определените зони за </w:t>
      </w:r>
      <w:r w:rsidRPr="0070201F">
        <w:rPr>
          <w:b/>
          <w:bCs/>
          <w:i/>
          <w:iCs/>
        </w:rPr>
        <w:t>ускорено внедряване на енергия от възобновяеми източници и</w:t>
      </w:r>
      <w:r w:rsidRPr="0070201F">
        <w:t xml:space="preserve"> </w:t>
      </w:r>
      <w:r w:rsidRPr="0070201F">
        <w:rPr>
          <w:b/>
          <w:bCs/>
          <w:i/>
          <w:iCs/>
        </w:rPr>
        <w:t>специални зони на електроенергийната мрежа, както</w:t>
      </w:r>
      <w:r w:rsidRPr="0070201F">
        <w:t xml:space="preserve"> и да гарантират, че функционирането на </w:t>
      </w:r>
      <w:r w:rsidRPr="0070201F">
        <w:rPr>
          <w:b/>
          <w:bCs/>
          <w:i/>
          <w:iCs/>
        </w:rPr>
        <w:t>тези</w:t>
      </w:r>
      <w:r w:rsidRPr="0070201F">
        <w:t xml:space="preserve"> зони за </w:t>
      </w:r>
      <w:r w:rsidRPr="0070201F">
        <w:rPr>
          <w:shd w:val="clear" w:color="auto" w:fill="FFFFFF"/>
        </w:rPr>
        <w:t xml:space="preserve"> </w:t>
      </w:r>
      <w:r w:rsidRPr="0070201F">
        <w:rPr>
          <w:rFonts w:ascii="Arial" w:hAnsi="Arial"/>
          <w:snapToGrid w:val="0"/>
        </w:rPr>
        <w:t>▌</w:t>
      </w:r>
      <w:r w:rsidRPr="0070201F">
        <w:rPr>
          <w:shd w:val="clear" w:color="auto" w:fill="FFFFFF"/>
        </w:rPr>
        <w:t xml:space="preserve"> енергия от възобновяеми източници, включително процедурите за издаване на разрешения, приложими съгласно Директива (ЕС) 2018/2001 в </w:t>
      </w:r>
      <w:r w:rsidRPr="0070201F">
        <w:rPr>
          <w:b/>
          <w:bCs/>
          <w:i/>
          <w:iCs/>
          <w:shd w:val="clear" w:color="auto" w:fill="FFFFFF"/>
        </w:rPr>
        <w:t>тези</w:t>
      </w:r>
      <w:r w:rsidRPr="0070201F">
        <w:rPr>
          <w:shd w:val="clear" w:color="auto" w:fill="FFFFFF"/>
        </w:rPr>
        <w:t xml:space="preserve"> </w:t>
      </w:r>
      <w:r w:rsidRPr="0070201F">
        <w:rPr>
          <w:rFonts w:ascii="Arial" w:hAnsi="Arial"/>
          <w:snapToGrid w:val="0"/>
        </w:rPr>
        <w:t>▌</w:t>
      </w:r>
      <w:r w:rsidRPr="0070201F">
        <w:t>зони за енергия от възобновяеми източници, остават непроменени.</w:t>
      </w:r>
    </w:p>
    <w:p w:rsidR="006173E9" w:rsidRPr="0070201F" w:rsidRDefault="006173E9" w:rsidP="006173E9">
      <w:pPr>
        <w:suppressAutoHyphens/>
        <w:spacing w:before="120" w:after="120" w:line="360" w:lineRule="auto"/>
        <w:ind w:left="567" w:right="-1" w:hanging="567"/>
      </w:pPr>
      <w:r w:rsidRPr="0070201F">
        <w:t>(62)</w:t>
      </w:r>
      <w:r w:rsidRPr="0070201F">
        <w:tab/>
        <w:t>За да се гарантират полезни взаимодействия с мерките за възстановяване, които вече са планирани или въведени в държавите членки, тези мерки следва да се признават и да се вземат предвид в националните планове за възстановяване. С оглед на посочената в доклада на МКИК от 2022 г. неотложна необходимост от предприемане на действия за възстановяване на увредени екосистеми, държавите членки следва да прилагат тези мерки успоредно с изготвянето на плановете за възстановяване.</w:t>
      </w:r>
    </w:p>
    <w:p w:rsidR="006173E9" w:rsidRPr="0070201F" w:rsidRDefault="006173E9" w:rsidP="006173E9">
      <w:pPr>
        <w:suppressAutoHyphens/>
        <w:spacing w:before="120" w:after="120" w:line="360" w:lineRule="auto"/>
        <w:ind w:left="567" w:right="-1" w:hanging="567"/>
        <w:rPr>
          <w:rFonts w:eastAsia="Calibri"/>
        </w:rPr>
      </w:pPr>
      <w:bookmarkStart w:id="23" w:name="_Hlk136778969"/>
      <w:r w:rsidRPr="0070201F">
        <w:t>(63)</w:t>
      </w:r>
      <w:r w:rsidRPr="0070201F">
        <w:tab/>
        <w:t xml:space="preserve">В националните планове за възстановяване </w:t>
      </w:r>
      <w:r w:rsidRPr="0070201F">
        <w:rPr>
          <w:b/>
          <w:bCs/>
          <w:i/>
          <w:iCs/>
        </w:rPr>
        <w:t>и в мерките за възстановяване на местообитанията, както и в мерките за предотвратяване на влошаването на състоянието на местообитанията</w:t>
      </w:r>
      <w:r w:rsidRPr="0070201F">
        <w:t xml:space="preserve">, следва също така да се вземат предвид резултатите от научноизследователските проекти, които са от значение за оценката на състоянието на екосистемите, определянето и въвеждането на мерки за възстановяване и целите на наблюдението, </w:t>
      </w:r>
      <w:r w:rsidRPr="0070201F">
        <w:rPr>
          <w:b/>
          <w:bCs/>
          <w:i/>
          <w:iCs/>
        </w:rPr>
        <w:t>и когато е целесъобразно – да се взема предвид различното състояние на регионите в рамките на Съюза в съответствие с член 191, параграф 2 от Договора за функционирането на Европейския съюз (ДФЕС), като например социалните, икономическите и културните изисквания и регионалните и местните характеристики, включително и гъстотата на населението.</w:t>
      </w:r>
      <w:r w:rsidRPr="0070201F">
        <w:t xml:space="preserve"> </w:t>
      </w:r>
    </w:p>
    <w:p w:rsidR="006173E9" w:rsidRPr="0070201F" w:rsidRDefault="006173E9" w:rsidP="006173E9">
      <w:pPr>
        <w:suppressAutoHyphens/>
        <w:spacing w:before="120" w:after="120" w:line="360" w:lineRule="auto"/>
        <w:ind w:left="567" w:right="-1" w:hanging="567"/>
        <w:rPr>
          <w:rFonts w:eastAsia="Calibri"/>
        </w:rPr>
      </w:pPr>
      <w:bookmarkStart w:id="24" w:name="_Hlk136800230"/>
      <w:bookmarkEnd w:id="23"/>
      <w:r w:rsidRPr="0070201F">
        <w:br w:type="page"/>
      </w:r>
      <w:r w:rsidRPr="0070201F">
        <w:lastRenderedPageBreak/>
        <w:t>(64)</w:t>
      </w:r>
      <w:r w:rsidRPr="0070201F">
        <w:tab/>
        <w:t>Целесъобразно е да бъде взето предвид специфичното положение на най-отдалечените региони на Съюза, посочени в член 349 от Договора за функционирането на Европейския съюз (ДФЕС), в който се предвиждат специфични мерки за подкрепа на тези региони. Както е предвидено в стратегията на ЕС за биологичното разнообразие за 2030 г., следва да се обърне специално внимание на опазването и възстановяването на екосистемите на най-отдалечените региони, като се има предвид изключителната стойност на богатото им биологично разнообразие.</w:t>
      </w:r>
      <w:r w:rsidRPr="0070201F">
        <w:rPr>
          <w:b/>
          <w:i/>
        </w:rPr>
        <w:t xml:space="preserve"> Същевременно, по-специално при изготвянето на националните планове за възстановяване, следва да се вземат предвид свързаните разходи за опазване и възстановяване на тези екосистеми, както и отдалечеността, островният характер, малката площ, както и трудните релеф и климат на най-отдалечените региони.</w:t>
      </w:r>
      <w:r w:rsidRPr="0070201F">
        <w:rPr>
          <w:i/>
        </w:rPr>
        <w:t xml:space="preserve"> </w:t>
      </w:r>
      <w:r w:rsidRPr="0070201F">
        <w:rPr>
          <w:b/>
          <w:i/>
        </w:rPr>
        <w:t>Държавите членки се насърчават да включат на доброволна основа специални мерки за възстановяване в най-отдалечените региони, които не попадат в обхвата на настоящия регламент.</w:t>
      </w:r>
      <w:r w:rsidRPr="0070201F">
        <w:t xml:space="preserve"> </w:t>
      </w:r>
    </w:p>
    <w:bookmarkEnd w:id="24"/>
    <w:p w:rsidR="006173E9" w:rsidRPr="0070201F" w:rsidRDefault="006173E9" w:rsidP="006173E9">
      <w:pPr>
        <w:suppressAutoHyphens/>
        <w:spacing w:before="120" w:after="120" w:line="360" w:lineRule="auto"/>
        <w:ind w:left="567" w:right="-1" w:hanging="567"/>
        <w:rPr>
          <w:rFonts w:eastAsia="Calibri"/>
        </w:rPr>
      </w:pPr>
      <w:r w:rsidRPr="0070201F">
        <w:t>(65)</w:t>
      </w:r>
      <w:r w:rsidRPr="0070201F">
        <w:tab/>
        <w:t>Европейската агенция за околна среда (ЕАОС) следва да подпомага държавите членки при изготвянето на националните планове за възстановяване, както и при наблюдението на напредъка към постигането на целите и задълженията за възстановяване. Комисията следва да оцени дали националните планове за възстановяване са подходящи за постигането на тези цели и задължения.</w:t>
      </w:r>
    </w:p>
    <w:p w:rsidR="006173E9" w:rsidRPr="0070201F" w:rsidRDefault="006173E9" w:rsidP="006173E9">
      <w:pPr>
        <w:suppressAutoHyphens/>
        <w:spacing w:before="120" w:after="120" w:line="360" w:lineRule="auto"/>
        <w:ind w:left="567" w:right="-1" w:hanging="567"/>
        <w:rPr>
          <w:rFonts w:eastAsia="Calibri"/>
        </w:rPr>
      </w:pPr>
      <w:r w:rsidRPr="0070201F">
        <w:br w:type="page"/>
      </w:r>
      <w:r w:rsidRPr="0070201F">
        <w:lastRenderedPageBreak/>
        <w:t>(66)</w:t>
      </w:r>
      <w:r w:rsidRPr="0070201F">
        <w:tab/>
        <w:t>В доклада на Комисията от 2020 г. за състоянието на природата се посочва, че значителен дял от информацията, докладвана от държавите членки в съответствие с член 17 от Директива 92/43/ЕИО на Съвета</w:t>
      </w:r>
      <w:r w:rsidRPr="0070201F">
        <w:rPr>
          <w:rFonts w:eastAsia="Calibri"/>
          <w:vertAlign w:val="superscript"/>
        </w:rPr>
        <w:footnoteReference w:id="51"/>
      </w:r>
      <w:r w:rsidRPr="0070201F">
        <w:t xml:space="preserve"> и член 12 от Директива 2009/147/ЕО, по-специално относно природозащитния статус и тенденциите при местообитанията и видовете, които се защитават с тях, произтича от частични проучвания или се основава само на експертна оценка. От този доклад също така става видно, че статусът на няколко типа местообитания и видове, защитени съгласно Директива 92/43/ЕИО, все още не е известен. Запълването на тези пропуски в знанията и инвестирането в наблюдение и надзор са необходими, за да бъдат подкрепени солидни и научно обосновани национални планове за възстановяване. С цел да се увеличат навременността, ефективността и съгласуваността на различните методи за наблюдение, при наблюдението и надзора следва по най-добрия възможен начин да се прилагат резултатите от финансираните от Съюза научноизследователски проекти и проекти за иновации, новите технологии, като например in situ наблюдението и дистанционното наблюдение, като се използват космически данни и услуги, предоставяни в рамките на космическата програма на Съюза (Европейска геостационарна служба за навигационно покритие (EGNOS)/„Галилео“ и „Коперник“). С мисиите на ЕС „Възстановяване на нашите океани и води“, „Адаптиране към изменението на климата“ и „Пакт за почвите за Европа“ ще бъде подкрепено изпълнението на целите за възстановяване</w:t>
      </w:r>
      <w:r w:rsidRPr="0070201F">
        <w:rPr>
          <w:rFonts w:eastAsia="Calibri"/>
          <w:vertAlign w:val="superscript"/>
        </w:rPr>
        <w:footnoteReference w:id="52"/>
      </w:r>
      <w:r w:rsidRPr="0070201F">
        <w:t>.</w:t>
      </w:r>
    </w:p>
    <w:p w:rsidR="006173E9" w:rsidRPr="0070201F" w:rsidRDefault="006173E9" w:rsidP="006173E9">
      <w:pPr>
        <w:suppressAutoHyphens/>
        <w:spacing w:before="120" w:after="120" w:line="360" w:lineRule="auto"/>
        <w:ind w:left="567" w:right="-1" w:hanging="567"/>
        <w:rPr>
          <w:rFonts w:eastAsia="Calibri"/>
          <w:b/>
          <w:i/>
        </w:rPr>
      </w:pPr>
      <w:r w:rsidRPr="0070201F">
        <w:rPr>
          <w:b/>
          <w:i/>
        </w:rPr>
        <w:t>(66a) Предвид конкретните технически и финансови предизвикателства, свързани с картографирането и наблюдението на морската среда, държавите членки могат, като допълнение към информацията, докладвана в съответствие с член 17 от Директива 92/43/ЕИО и в съответствие с член 17 от Директива 2008/56/ЕО, да използват информацията за натиска и заплахите или друга относима информация като основа за екстраполацията на данни при оценката на състоянието на морските местообитания, посочени в приложение II. Така този подход може да се използва и като основа за планиране на мерки за възстановяване на морските местообитания в съответствие с настоящия регламент. Цялостната оценка на състоянието на морските местообитания, изброени в приложение II, следва да се основава на най-добрите налични познания и на най-</w:t>
      </w:r>
      <w:r w:rsidRPr="0070201F">
        <w:rPr>
          <w:b/>
          <w:i/>
        </w:rPr>
        <w:lastRenderedPageBreak/>
        <w:t>новите научно-технически достижения.</w:t>
      </w:r>
    </w:p>
    <w:p w:rsidR="006173E9" w:rsidRPr="0070201F" w:rsidRDefault="006173E9" w:rsidP="006173E9">
      <w:pPr>
        <w:spacing w:after="200" w:line="276" w:lineRule="auto"/>
        <w:rPr>
          <w:rFonts w:eastAsia="Calibri"/>
          <w:b/>
          <w:u w:val="single"/>
        </w:rPr>
      </w:pPr>
      <w:r w:rsidRPr="0070201F">
        <w:br w:type="page"/>
      </w:r>
    </w:p>
    <w:p w:rsidR="006173E9" w:rsidRPr="0070201F" w:rsidRDefault="006173E9" w:rsidP="006173E9">
      <w:pPr>
        <w:suppressAutoHyphens/>
        <w:spacing w:before="120" w:after="120" w:line="360" w:lineRule="auto"/>
        <w:ind w:left="567" w:right="-1" w:hanging="567"/>
        <w:rPr>
          <w:rFonts w:eastAsia="Calibri"/>
        </w:rPr>
      </w:pPr>
      <w:r w:rsidRPr="0070201F">
        <w:lastRenderedPageBreak/>
        <w:t>(67)</w:t>
      </w:r>
      <w:r w:rsidRPr="0070201F">
        <w:tab/>
        <w:t>С цел да се наблюдава напредъкът в изпълнението на националните планове за възстановяване, въведените мерки за възстановяване, зоните, в които се прилагат мерки за възстановяване, и данните за описа на преградите, с които се нарушава непрекъснатостта на реките, следва да се въведе система, с която от държавите членки да се изисква да създадат, актуализират и предоставят съответните данни за резултатите от това наблюдение. За електронното докладване на данните пред Комисията следва да се използва системата Reportnet на ЕАОС, а административната тежест за всички субекти трябва да остане възможно най-ограничена. За да се осигури подходяща инфраструктура за публичен достъп, докладване и обмен на данни между публичните органи, държавите членки следва, когато е уместно, да изготвят спецификациите на данните въз основа на спецификациите, посочени в Директива 2003/4/ЕО на Европейския парламент и на Съвета</w:t>
      </w:r>
      <w:r w:rsidRPr="0070201F">
        <w:rPr>
          <w:rFonts w:eastAsia="Calibri"/>
          <w:vertAlign w:val="superscript"/>
        </w:rPr>
        <w:footnoteReference w:id="53"/>
      </w:r>
      <w:r w:rsidRPr="0070201F">
        <w:t>, Директива 2007/2/ЕО на Европейския парламент и на Съвета</w:t>
      </w:r>
      <w:r w:rsidRPr="0070201F">
        <w:rPr>
          <w:rFonts w:eastAsia="Calibri"/>
          <w:vertAlign w:val="superscript"/>
        </w:rPr>
        <w:footnoteReference w:id="54"/>
      </w:r>
      <w:r w:rsidRPr="0070201F">
        <w:t xml:space="preserve"> и Директива (ЕС) 2019/1024 на Европейския парламент и на Съвета</w:t>
      </w:r>
      <w:r w:rsidRPr="0070201F">
        <w:rPr>
          <w:rFonts w:eastAsia="Calibri"/>
          <w:vertAlign w:val="superscript"/>
        </w:rPr>
        <w:footnoteReference w:id="55"/>
      </w:r>
      <w:r w:rsidRPr="0070201F">
        <w:t>.</w:t>
      </w:r>
    </w:p>
    <w:p w:rsidR="006173E9" w:rsidRPr="0070201F" w:rsidRDefault="006173E9" w:rsidP="006173E9">
      <w:pPr>
        <w:suppressAutoHyphens/>
        <w:spacing w:before="120" w:after="120" w:line="360" w:lineRule="auto"/>
        <w:ind w:left="567" w:right="-1" w:hanging="567"/>
        <w:rPr>
          <w:rFonts w:eastAsia="Calibri"/>
          <w:color w:val="000000"/>
        </w:rPr>
      </w:pPr>
      <w:r w:rsidRPr="0070201F">
        <w:t>(68)</w:t>
      </w:r>
      <w:r w:rsidRPr="0070201F">
        <w:tab/>
        <w:t>За да се гарантира ефективното прилагане на настоящия регламент, Комисията следва да подкрепя държавите членки при поискване чрез Инструмента за техническа подкрепа</w:t>
      </w:r>
      <w:r w:rsidRPr="0070201F">
        <w:rPr>
          <w:rFonts w:eastAsia="Calibri"/>
          <w:vertAlign w:val="superscript"/>
        </w:rPr>
        <w:footnoteReference w:id="56"/>
      </w:r>
      <w:r w:rsidRPr="0070201F">
        <w:t>, с който се предоставя съобразена с конкретните нужди техническа подкрепа за разработването и изпълнението на реформи. Техническата подкрепа включва например укрепване на административния капацитет, хармонизиране на законодателните рамки и споделяне на съответните най-добри практики.</w:t>
      </w:r>
    </w:p>
    <w:p w:rsidR="006173E9" w:rsidRPr="0070201F" w:rsidRDefault="006173E9" w:rsidP="006173E9">
      <w:pPr>
        <w:suppressAutoHyphens/>
        <w:spacing w:before="120" w:after="120" w:line="360" w:lineRule="auto"/>
        <w:ind w:left="567" w:right="-1" w:hanging="567"/>
        <w:rPr>
          <w:rFonts w:eastAsia="Calibri"/>
        </w:rPr>
      </w:pPr>
      <w:r w:rsidRPr="0070201F">
        <w:t>(69)</w:t>
      </w:r>
      <w:r w:rsidRPr="0070201F">
        <w:tab/>
        <w:t>Комисията следва да докладва за напредъка, постигнат от държавите членки по отношение на целите и задълженията за възстановяване по настоящия регламент, въз основа на доклади за напредъка в целия Съюз, изготвени от ЕАОС, както и на други анализи и доклади, предоставени от държавите членки в съответните области на политиката, като например политиката за природата, морската политика и политиката за водите.</w:t>
      </w:r>
    </w:p>
    <w:p w:rsidR="006173E9" w:rsidRPr="0070201F" w:rsidRDefault="006173E9" w:rsidP="006173E9">
      <w:pPr>
        <w:suppressAutoHyphens/>
        <w:spacing w:before="120" w:after="120" w:line="360" w:lineRule="auto"/>
        <w:ind w:left="567" w:right="-1" w:hanging="567"/>
        <w:rPr>
          <w:rFonts w:eastAsia="Calibri"/>
        </w:rPr>
      </w:pPr>
      <w:r w:rsidRPr="0070201F">
        <w:br w:type="page"/>
      </w:r>
      <w:r w:rsidRPr="0070201F">
        <w:lastRenderedPageBreak/>
        <w:t>(70)</w:t>
      </w:r>
      <w:r w:rsidRPr="0070201F">
        <w:tab/>
        <w:t>За да се гарантира постигането на целите и задълженията, определени в настоящия регламент, от изключително значение е за възстановяването да бъдат направени целесъобразни частни и публични инвестиции, държавите членки следва да включат в националните си бюджети разходите за целите в областта на биологичното разнообразие, включително алтернативните разходи и разходите за прехода, произтичащи от изпълнението на националните планове за възстановяване, и да отразят начина, по който се използва финансирането от Съюза. Що се отнася до финансирането от Съюза, разходите в рамките на бюджета на Съюза и програмите за финансиране на Съюза, като например Програмата за околна среда и действията по климата (LIFE)</w:t>
      </w:r>
      <w:r w:rsidRPr="0070201F">
        <w:rPr>
          <w:rFonts w:eastAsia="Calibri"/>
          <w:vertAlign w:val="superscript"/>
        </w:rPr>
        <w:footnoteReference w:id="57"/>
      </w:r>
      <w:r w:rsidRPr="0070201F">
        <w:t xml:space="preserve">, </w:t>
      </w:r>
      <w:hyperlink r:id="rId9">
        <w:r w:rsidRPr="0070201F">
          <w:t>Европейския фонд за морско дело, рибарство и аквакултури</w:t>
        </w:r>
      </w:hyperlink>
      <w:r w:rsidRPr="0070201F">
        <w:t> (ЕФМДРА)</w:t>
      </w:r>
      <w:r w:rsidRPr="0070201F">
        <w:rPr>
          <w:rFonts w:eastAsia="Calibri"/>
          <w:vertAlign w:val="superscript"/>
        </w:rPr>
        <w:footnoteReference w:id="58"/>
      </w:r>
      <w:r w:rsidRPr="0070201F">
        <w:t xml:space="preserve">, </w:t>
      </w:r>
      <w:hyperlink r:id="rId10">
        <w:r w:rsidRPr="0070201F">
          <w:t>Европейския земеделски фонд за развитие на селските райони</w:t>
        </w:r>
      </w:hyperlink>
      <w:r w:rsidRPr="0070201F">
        <w:t> (ЕЗФРСР)</w:t>
      </w:r>
      <w:r w:rsidRPr="0070201F">
        <w:rPr>
          <w:rFonts w:eastAsia="Calibri"/>
          <w:vertAlign w:val="superscript"/>
        </w:rPr>
        <w:footnoteReference w:id="59"/>
      </w:r>
      <w:r w:rsidRPr="0070201F">
        <w:t xml:space="preserve">, </w:t>
      </w:r>
      <w:hyperlink r:id="rId11">
        <w:r w:rsidRPr="0070201F">
          <w:t>Европейския фонд за гарантиране на земеделието</w:t>
        </w:r>
      </w:hyperlink>
      <w:r w:rsidRPr="0070201F">
        <w:t xml:space="preserve"> (ЕФГЗ), </w:t>
      </w:r>
      <w:hyperlink r:id="rId12">
        <w:r w:rsidRPr="0070201F">
          <w:t>Европейския фонд за регионално развитие</w:t>
        </w:r>
      </w:hyperlink>
      <w:r w:rsidRPr="0070201F">
        <w:t xml:space="preserve"> (ЕФРР), </w:t>
      </w:r>
      <w:hyperlink r:id="rId13">
        <w:r w:rsidRPr="0070201F">
          <w:t>Кохезионния фонд</w:t>
        </w:r>
        <w:r w:rsidRPr="0070201F">
          <w:rPr>
            <w:rFonts w:eastAsia="Calibri"/>
            <w:vertAlign w:val="superscript"/>
          </w:rPr>
          <w:footnoteReference w:id="60"/>
        </w:r>
      </w:hyperlink>
      <w:r w:rsidRPr="0070201F">
        <w:t xml:space="preserve"> и Фонда за справедлив преход</w:t>
      </w:r>
      <w:r w:rsidRPr="0070201F">
        <w:rPr>
          <w:rFonts w:eastAsia="Calibri"/>
          <w:vertAlign w:val="superscript"/>
        </w:rPr>
        <w:footnoteReference w:id="61"/>
      </w:r>
      <w:r w:rsidRPr="0070201F">
        <w:t>, както и Рамковата програма на Съюза за научни изследвания и иновации „Хоризонт Европа“</w:t>
      </w:r>
      <w:r w:rsidRPr="0070201F">
        <w:rPr>
          <w:rFonts w:eastAsia="Calibri"/>
          <w:color w:val="000000"/>
          <w:vertAlign w:val="superscript"/>
        </w:rPr>
        <w:footnoteReference w:id="62"/>
      </w:r>
      <w:r w:rsidRPr="0070201F">
        <w:t>, допринасят за изпълнението на целите в областта на биологичното разнообразие с амбицията през 2024 г. да се заделят 7,5 %, а през 2026 и 2027 г. — 10 % от годишните разходи по многогодишната финансова рамка</w:t>
      </w:r>
      <w:r w:rsidRPr="0070201F">
        <w:rPr>
          <w:rFonts w:eastAsia="Calibri"/>
          <w:color w:val="000000"/>
          <w:vertAlign w:val="superscript"/>
        </w:rPr>
        <w:footnoteReference w:id="63"/>
      </w:r>
      <w:r w:rsidRPr="0070201F">
        <w:t xml:space="preserve"> за периода 2021—2027 г. за цели в областта на </w:t>
      </w:r>
      <w:r w:rsidRPr="0070201F">
        <w:lastRenderedPageBreak/>
        <w:t xml:space="preserve">биологичното разнообразие. </w:t>
      </w:r>
    </w:p>
    <w:p w:rsidR="006173E9" w:rsidRPr="0070201F" w:rsidRDefault="006173E9" w:rsidP="006173E9">
      <w:pPr>
        <w:suppressAutoHyphens/>
        <w:spacing w:before="120" w:after="120" w:line="360" w:lineRule="auto"/>
        <w:ind w:left="567" w:right="-1"/>
        <w:rPr>
          <w:rFonts w:eastAsia="Calibri"/>
        </w:rPr>
      </w:pPr>
      <w:r w:rsidRPr="0070201F">
        <w:br w:type="page"/>
      </w:r>
      <w:hyperlink r:id="rId14">
        <w:r w:rsidRPr="0070201F">
          <w:t>Механизмът за възстановяване и устойчивост</w:t>
        </w:r>
      </w:hyperlink>
      <w:r w:rsidRPr="0070201F">
        <w:rPr>
          <w:rFonts w:eastAsia="Calibri"/>
          <w:vertAlign w:val="superscript"/>
        </w:rPr>
        <w:footnoteReference w:id="64"/>
      </w:r>
      <w:r w:rsidRPr="0070201F">
        <w:t xml:space="preserve"> е допълнителен източник на финансиране за опазването и възстановяването на биологичното разнообразие и екосистемите. По отношение на програмата LIFE специално внимание следва да се обърне на целесъобразното използване на стратегическите проекти за опазване на природата (СПОП) като специфичен инструмент, с който би могло да бъде подпомогнато прилагането на настоящия регламент, чрез ефективно и ефикасно интегриране на наличните финансови ресурси.</w:t>
      </w:r>
    </w:p>
    <w:p w:rsidR="006173E9" w:rsidRPr="0070201F" w:rsidRDefault="006173E9" w:rsidP="006173E9">
      <w:pPr>
        <w:suppressAutoHyphens/>
        <w:spacing w:before="120" w:after="120" w:line="360" w:lineRule="auto"/>
        <w:ind w:left="567" w:right="-1" w:hanging="567"/>
        <w:rPr>
          <w:rFonts w:eastAsia="Calibri"/>
        </w:rPr>
      </w:pPr>
      <w:r w:rsidRPr="0070201F">
        <w:t>(71)</w:t>
      </w:r>
      <w:r w:rsidRPr="0070201F">
        <w:tab/>
        <w:t>Съществуват редица европейски, национални и частни инициативи за стимулиране на частното финансиране, като например програмата InvestEU</w:t>
      </w:r>
      <w:r w:rsidRPr="0070201F">
        <w:rPr>
          <w:rFonts w:eastAsia="Calibri"/>
          <w:vertAlign w:val="superscript"/>
        </w:rPr>
        <w:footnoteReference w:id="65"/>
      </w:r>
      <w:r w:rsidRPr="0070201F">
        <w:t>, по която се предлага възможности за мобилизиране на публични и частни средства в подкрепа, наред с другото, на подобряването на природата и биологичното разнообразие посредством проекти за зелена и синя инфраструктура, както и на въглеродното земеделие като екологосъобразен бизнес модел</w:t>
      </w:r>
      <w:r w:rsidRPr="0070201F">
        <w:rPr>
          <w:rFonts w:eastAsia="Calibri"/>
          <w:vertAlign w:val="superscript"/>
        </w:rPr>
        <w:footnoteReference w:id="66"/>
      </w:r>
      <w:r w:rsidRPr="0070201F">
        <w:t>.</w:t>
      </w:r>
    </w:p>
    <w:p w:rsidR="006173E9" w:rsidRPr="0070201F" w:rsidRDefault="006173E9" w:rsidP="006173E9">
      <w:pPr>
        <w:suppressAutoHyphens/>
        <w:spacing w:before="120" w:after="120" w:line="360" w:lineRule="auto"/>
        <w:ind w:left="567" w:right="-1" w:hanging="567"/>
        <w:rPr>
          <w:b/>
          <w:i/>
        </w:rPr>
      </w:pPr>
      <w:r w:rsidRPr="0070201F">
        <w:rPr>
          <w:b/>
          <w:i/>
        </w:rPr>
        <w:t>(71a)</w:t>
      </w:r>
      <w:r w:rsidRPr="0070201F">
        <w:rPr>
          <w:b/>
          <w:i/>
        </w:rPr>
        <w:tab/>
        <w:t>За да се гарантира прилагането на настоящия регламент, са много важни подходящите частни и публични инвестиции за мерки за възстановяване на природата. Поради това, в срок от 12 месеца от влизането му в сила и след провеждане на консултации с държавите членки, Комисията следва да представи доклад с анализ, в който да се посочват евентуалните пропуски при прилагането на настоящия регламент. Докладът следва да бъде придружен, по целесъобразност, от предложения за подходящи мерки, включително и финансови мерки за справяне с установените пропуски, като например създаването на специално финансиране, при което да не се засягат правомощията на съзаконодателите във връзка с приемането на следващата многогодишна финансова рамка за периода след 2027 г.</w:t>
      </w:r>
    </w:p>
    <w:p w:rsidR="006173E9" w:rsidRPr="0070201F" w:rsidRDefault="00223ACF" w:rsidP="006173E9">
      <w:pPr>
        <w:suppressAutoHyphens/>
        <w:spacing w:before="120" w:after="120" w:line="360" w:lineRule="auto"/>
        <w:ind w:left="567" w:right="-1" w:hanging="567"/>
        <w:rPr>
          <w:rFonts w:eastAsia="Calibri"/>
          <w:b/>
          <w:i/>
        </w:rPr>
      </w:pPr>
      <w:r w:rsidRPr="00223ACF">
        <w:rPr>
          <w:b/>
          <w:i/>
        </w:rPr>
        <w:t>(</w:t>
      </w:r>
      <w:r w:rsidR="006173E9" w:rsidRPr="0070201F">
        <w:rPr>
          <w:b/>
          <w:i/>
        </w:rPr>
        <w:t>71б</w:t>
      </w:r>
      <w:r w:rsidRPr="00223ACF">
        <w:rPr>
          <w:b/>
          <w:i/>
        </w:rPr>
        <w:t>)</w:t>
      </w:r>
      <w:r w:rsidR="006173E9" w:rsidRPr="0070201F">
        <w:rPr>
          <w:b/>
          <w:i/>
        </w:rPr>
        <w:t xml:space="preserve"> </w:t>
      </w:r>
      <w:r w:rsidR="006173E9" w:rsidRPr="0070201F">
        <w:rPr>
          <w:b/>
          <w:i/>
        </w:rPr>
        <w:tab/>
        <w:t xml:space="preserve">В съответствие с установената съдебна практика на Съда и съгласно принципа на лоялно сътрудничество, установен в член 4, параграф 3 от Договора за Европейския съюз (ДЕС), съдилищата на държавите членки са тези, които трябва да гарантират съдебната защита на правата на лицата съгласно правото на </w:t>
      </w:r>
      <w:r w:rsidR="006173E9" w:rsidRPr="0070201F">
        <w:rPr>
          <w:b/>
          <w:i/>
        </w:rPr>
        <w:lastRenderedPageBreak/>
        <w:t xml:space="preserve">Съюза. Освен това член 19, параграф 1 от ДЕС изисква от държавите членки да установят правните средства, необходими за осигуряването на ефективна съдебна защита в областите, обхванати от правото на Съюза. Съюзът и неговите държави членки са страни по Конвенцията на Икономическата комисия за Европа на Организацията на обединените нации (ИКЕ на ООН) за достъпа до информация, участието на обществеността в процеса на вземането на решения и достъпа до правосъдие по въпроси на околната среда („Орхуска конвенция“). Съгласно Орхуската конвенция държавите членки следва да гарантират, че съгласно съответната национална правна система членовете на заинтересованата общественост имат достъп до правосъдие. </w:t>
      </w:r>
    </w:p>
    <w:p w:rsidR="006173E9" w:rsidRPr="0070201F" w:rsidRDefault="006173E9" w:rsidP="006173E9">
      <w:pPr>
        <w:suppressAutoHyphens/>
        <w:spacing w:before="120" w:after="120" w:line="360" w:lineRule="auto"/>
        <w:ind w:left="567" w:right="-1" w:hanging="567"/>
        <w:rPr>
          <w:rFonts w:eastAsia="Calibri"/>
        </w:rPr>
      </w:pPr>
      <w:r w:rsidRPr="0070201F">
        <w:t>(72)</w:t>
      </w:r>
      <w:r w:rsidRPr="0070201F">
        <w:tab/>
      </w:r>
      <w:r w:rsidRPr="0070201F">
        <w:rPr>
          <w:color w:val="000000"/>
        </w:rPr>
        <w:t xml:space="preserve">При изготвянето и изпълнението на своите национални планове за възстановяване държавите членки следва да насърчават </w:t>
      </w:r>
      <w:r w:rsidRPr="0070201F">
        <w:rPr>
          <w:color w:val="000000"/>
          <w:shd w:val="clear" w:color="auto" w:fill="FFFFFF"/>
        </w:rPr>
        <w:t>справедлив и обхващащ цялото общество подход</w:t>
      </w:r>
      <w:r w:rsidRPr="0070201F">
        <w:rPr>
          <w:color w:val="000000"/>
        </w:rPr>
        <w:t>, като включват</w:t>
      </w:r>
      <w:r w:rsidRPr="0070201F">
        <w:t xml:space="preserve"> процедури за участие на обществеността и отчитат нуждите на местните общности и заинтересованите страни. </w:t>
      </w:r>
    </w:p>
    <w:p w:rsidR="006173E9" w:rsidRPr="0070201F" w:rsidRDefault="006173E9" w:rsidP="006173E9">
      <w:pPr>
        <w:suppressAutoHyphens/>
        <w:spacing w:before="120" w:after="120" w:line="360" w:lineRule="auto"/>
        <w:ind w:left="567" w:right="-1" w:hanging="567"/>
        <w:rPr>
          <w:rFonts w:eastAsia="Calibri"/>
        </w:rPr>
      </w:pPr>
      <w:r w:rsidRPr="0070201F">
        <w:t>(73)</w:t>
      </w:r>
      <w:r w:rsidRPr="0070201F">
        <w:tab/>
        <w:t>Съгласно Регламент (ЕС) 2021/2115 на Европейския парламент и на Съвета</w:t>
      </w:r>
      <w:r w:rsidRPr="0070201F">
        <w:rPr>
          <w:rFonts w:eastAsia="Calibri"/>
          <w:vertAlign w:val="superscript"/>
        </w:rPr>
        <w:footnoteReference w:id="67"/>
      </w:r>
      <w:r w:rsidRPr="0070201F">
        <w:t xml:space="preserve"> стратегическите планове по ОСП имат за цел да допринесат за постигането и да бъдат в съответствие с дългосрочните национални целеви стойности, установени в законодателните актове, изброени в приложение XIII към посочения регламент, или произтичащи от тези актове. Настоящият регламент относно възстановяването на природата следва да бъде взет предвид, когато, в съответствие с член 159 от Регламент (ЕС) 2021/2115, Комисията преразглежда до 31 декември 2025 г. списъка, съдържащ се в приложение XIII към посочения регламент.</w:t>
      </w:r>
    </w:p>
    <w:p w:rsidR="006173E9" w:rsidRPr="0070201F" w:rsidRDefault="006173E9" w:rsidP="006173E9">
      <w:pPr>
        <w:suppressAutoHyphens/>
        <w:spacing w:before="120" w:after="120" w:line="360" w:lineRule="auto"/>
        <w:ind w:left="567" w:right="-1" w:hanging="567"/>
        <w:rPr>
          <w:rFonts w:eastAsia="Calibri"/>
        </w:rPr>
      </w:pPr>
      <w:r w:rsidRPr="0070201F">
        <w:t>(74)</w:t>
      </w:r>
      <w:r w:rsidRPr="0070201F">
        <w:tab/>
        <w:t>В съответствие с ангажимента, поет в 8-ата програма за действие за околната среда (ПДОС) до 2030 г.</w:t>
      </w:r>
      <w:r w:rsidRPr="0070201F">
        <w:rPr>
          <w:rFonts w:eastAsia="Calibri"/>
          <w:vertAlign w:val="superscript"/>
        </w:rPr>
        <w:footnoteReference w:id="68"/>
      </w:r>
      <w:r w:rsidRPr="0070201F">
        <w:t xml:space="preserve">, държавите членки следва постепенно да премахнат вредните за околната среда субсидии на национално равнище, като използват по най-добрия начин пазарните инструменти и инструментите за екологосъобразно бюджетиране, включително инструментите, необходими за гарантиране на социално справедлив преход, и като подкрепят предприятията и другите заинтересовани страни при </w:t>
      </w:r>
      <w:r w:rsidRPr="0070201F">
        <w:lastRenderedPageBreak/>
        <w:t>разработването на стандартизирани счетоводни практики за отчитане на природния капитал.</w:t>
      </w:r>
    </w:p>
    <w:p w:rsidR="006173E9" w:rsidRPr="0070201F" w:rsidRDefault="006173E9" w:rsidP="006173E9">
      <w:pPr>
        <w:suppressAutoHyphens/>
        <w:spacing w:before="120" w:after="120" w:line="360" w:lineRule="auto"/>
        <w:ind w:left="567" w:right="-1" w:hanging="567"/>
        <w:rPr>
          <w:rFonts w:eastAsia="Calibri"/>
        </w:rPr>
      </w:pPr>
      <w:r w:rsidRPr="0070201F">
        <w:t>(75)</w:t>
      </w:r>
      <w:r w:rsidRPr="0070201F">
        <w:tab/>
        <w:t xml:space="preserve">С цел да се гарантира необходимото адаптиране на настоящия регламент, на Комисията следва да бъде делегирано правомощието да приема актове в съответствие с член 290 от ДФЕС във връзка с изменението на приложения I—VII с цел адаптиране на </w:t>
      </w:r>
      <w:r w:rsidRPr="0070201F">
        <w:rPr>
          <w:b/>
          <w:i/>
        </w:rPr>
        <w:t>групите</w:t>
      </w:r>
      <w:r w:rsidRPr="0070201F">
        <w:t xml:space="preserve"> местообитания, </w:t>
      </w:r>
      <w:r w:rsidRPr="0070201F">
        <w:rPr>
          <w:b/>
          <w:i/>
        </w:rPr>
        <w:t>адаптиране на списъка на видовете птици, използван за</w:t>
      </w:r>
      <w:r w:rsidRPr="0070201F">
        <w:t xml:space="preserve"> индекса на обикновените птици, живеещи върху земеделски земи, както и адаптиране на списъка на показателите за биологично разнообразие за селскостопанските екосистеми и </w:t>
      </w:r>
      <w:r w:rsidRPr="00223ACF">
        <w:rPr>
          <w:b/>
        </w:rPr>
        <w:t>списъците</w:t>
      </w:r>
      <w:r w:rsidRPr="0070201F">
        <w:t xml:space="preserve"> на ▌</w:t>
      </w:r>
      <w:r w:rsidRPr="0070201F">
        <w:rPr>
          <w:b/>
          <w:i/>
        </w:rPr>
        <w:t>морските местообитания и видове</w:t>
      </w:r>
      <w:r w:rsidRPr="0070201F">
        <w:t xml:space="preserve"> и примерите за мерки за възстановяване</w:t>
      </w:r>
      <w:r w:rsidRPr="0070201F">
        <w:rPr>
          <w:b/>
          <w:i/>
        </w:rPr>
        <w:t xml:space="preserve"> към научно-техническия напредък, за да се вземе предвид опитът от прилагането на регламента или да се осигури съгласуваност с типовете местообитания в EUNIS</w:t>
      </w:r>
      <w:r w:rsidRPr="0070201F">
        <w:t xml:space="preserve">. От особена важност е по време на подготвителната си работа Комисията да </w:t>
      </w:r>
      <w:r w:rsidRPr="0070201F">
        <w:rPr>
          <w:b/>
          <w:i/>
        </w:rPr>
        <w:t>изготви оценки на въздействието</w:t>
      </w:r>
      <w:r w:rsidRPr="0070201F">
        <w:t xml:space="preserve"> и да проведе подходящи консултации, включително на експертно равнище, </w:t>
      </w:r>
      <w:r w:rsidRPr="0070201F">
        <w:rPr>
          <w:rFonts w:ascii="Arial" w:hAnsi="Arial"/>
          <w:snapToGrid w:val="0"/>
        </w:rPr>
        <w:t>▌</w:t>
      </w:r>
      <w:r w:rsidRPr="0070201F">
        <w:t>в съответствие с принципите, заложени в Междуинституционалното споразумение от 13 април 2016 г. за по-добро законотворчество</w:t>
      </w:r>
      <w:r w:rsidR="00223ACF">
        <w:rPr>
          <w:rStyle w:val="FootnoteReference"/>
        </w:rPr>
        <w:footnoteReference w:id="69"/>
      </w:r>
      <w:r w:rsidRPr="0070201F">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rsidR="006173E9" w:rsidRPr="0070201F" w:rsidRDefault="006173E9" w:rsidP="006173E9">
      <w:pPr>
        <w:suppressAutoHyphens/>
        <w:spacing w:before="120" w:after="120" w:line="360" w:lineRule="auto"/>
        <w:ind w:left="567" w:right="-1" w:hanging="567"/>
        <w:rPr>
          <w:rFonts w:eastAsia="Calibri"/>
        </w:rPr>
      </w:pPr>
      <w:r w:rsidRPr="0070201F">
        <w:t>(76)</w:t>
      </w:r>
      <w:r w:rsidRPr="0070201F">
        <w:tab/>
        <w:t xml:space="preserve">С цел да се гарантират еднакви условия за прилагането на настоящия регламент, на Комисията следва да бъдат предоставени изпълнителни правомощия, за да се уточни методът за наблюдение на опрашителите, да се определят методите за наблюдение на показателите за селскостопанските екосистеми, изброени в приложение IV към настоящия регламент, и показателите за горските екосистеми, изброени в приложение VI към настоящия регламент, да се </w:t>
      </w:r>
      <w:r w:rsidRPr="0070201F">
        <w:rPr>
          <w:b/>
          <w:bCs/>
        </w:rPr>
        <w:t xml:space="preserve"> </w:t>
      </w:r>
      <w:bookmarkStart w:id="25" w:name="_Hlk133427816"/>
      <w:r w:rsidRPr="0070201F">
        <w:rPr>
          <w:b/>
          <w:bCs/>
          <w:i/>
          <w:iCs/>
        </w:rPr>
        <w:t>създадат ръководни рамки</w:t>
      </w:r>
      <w:r w:rsidRPr="0070201F">
        <w:rPr>
          <w:b/>
          <w:bCs/>
        </w:rPr>
        <w:t xml:space="preserve"> за определяне на задоволителни нива </w:t>
      </w:r>
      <w:r w:rsidRPr="0070201F">
        <w:rPr>
          <w:b/>
          <w:bCs/>
          <w:i/>
          <w:iCs/>
        </w:rPr>
        <w:t>на градското зелено пространство, на покритието на дървесните корони в градските екосистеми</w:t>
      </w:r>
      <w:bookmarkEnd w:id="25"/>
      <w:r w:rsidRPr="0070201F">
        <w:rPr>
          <w:b/>
          <w:bCs/>
          <w:i/>
          <w:iCs/>
        </w:rPr>
        <w:t>,</w:t>
      </w:r>
      <w:r w:rsidRPr="0070201F">
        <w:t xml:space="preserve"> на опрашителите, на показателите за селскостопанските екосистеми, изброени в приложение IV към настоящия регламент, и на показателите за горските екосистеми, изброени в приложение VI към настоящия регламент, да се определи единен формат за националните планове за възстановяване, да се определят форматът, структурата и </w:t>
      </w:r>
      <w:r w:rsidRPr="0070201F">
        <w:lastRenderedPageBreak/>
        <w:t>подробните правила за докладване на данни и информация на Комисията по електронен път. Тези правомощия следва да бъдат упражнявани в съответствие с Регламент (ЕС) № 182/2011 на Европейския парламент и на Съвета</w:t>
      </w:r>
      <w:r w:rsidRPr="0070201F">
        <w:rPr>
          <w:rFonts w:eastAsia="Calibri"/>
          <w:vertAlign w:val="superscript"/>
        </w:rPr>
        <w:footnoteReference w:id="70"/>
      </w:r>
      <w:r w:rsidRPr="0070201F">
        <w:t xml:space="preserve">. </w:t>
      </w:r>
    </w:p>
    <w:p w:rsidR="006173E9" w:rsidRPr="0070201F" w:rsidRDefault="006173E9" w:rsidP="006173E9">
      <w:pPr>
        <w:suppressAutoHyphens/>
        <w:spacing w:before="120" w:after="120" w:line="360" w:lineRule="auto"/>
        <w:ind w:left="567" w:right="-1" w:hanging="567"/>
        <w:rPr>
          <w:rFonts w:eastAsia="Calibri"/>
        </w:rPr>
      </w:pPr>
      <w:r w:rsidRPr="0070201F">
        <w:t>(77)</w:t>
      </w:r>
      <w:r w:rsidRPr="0070201F">
        <w:tab/>
        <w:t xml:space="preserve">Комисията следва да извърши оценка на настоящия регламент. Съгласно точка 22 от Междуинституционалното споразумение за по-добро законотворчество тази оценка следва да се основава на критериите за ефикасност, ефективност, целесъобразност, съгласуваност и добавена стойност за ЕС и да служи като основа за оценки на въздействието на евентуални допълнителни мерки. Освен това Комисията следва да оцени необходимостта от установяване на допълнителни цели за възстановяване въз основа на общи методи за оценка на състоянието на екосистемите, които не са обхванати от членове 4 и 5, като се вземат предвид най-новите научни доказателства. </w:t>
      </w:r>
    </w:p>
    <w:p w:rsidR="006173E9" w:rsidRPr="0070201F" w:rsidRDefault="006173E9" w:rsidP="006173E9">
      <w:pPr>
        <w:suppressAutoHyphens/>
        <w:spacing w:before="120" w:after="120" w:line="360" w:lineRule="auto"/>
        <w:ind w:left="567" w:right="-1" w:hanging="567"/>
        <w:rPr>
          <w:rFonts w:eastAsia="Calibri"/>
        </w:rPr>
      </w:pPr>
      <w:r w:rsidRPr="0070201F">
        <w:t>(78)</w:t>
      </w:r>
      <w:r w:rsidRPr="0070201F">
        <w:tab/>
        <w:t xml:space="preserve">Тъй като целите на настоящия регламент не могат да бъдат постигнати в достатъчна степен от държавите членки, а поради обхвата и последиците им могат да бъдат по-добре постигнати на равнището на Съюза, Съюзът може да приеме мерки в съответствие с принципа на субсидиарност, уреден в член 5 от </w:t>
      </w:r>
      <w:r w:rsidRPr="0070201F">
        <w:rPr>
          <w:b/>
          <w:i/>
        </w:rPr>
        <w:t>ДЕС</w:t>
      </w:r>
      <w:r w:rsidRPr="0070201F">
        <w:t>. В съответствие с принципа на пропорционалност, уреден в същия член, с настоящия регламент не се надхвърля необходимото за постигането на тези цели,</w:t>
      </w:r>
    </w:p>
    <w:p w:rsidR="006173E9" w:rsidRPr="0070201F" w:rsidRDefault="006173E9" w:rsidP="006173E9">
      <w:pPr>
        <w:suppressAutoHyphens/>
        <w:spacing w:before="120" w:after="120" w:line="360" w:lineRule="auto"/>
        <w:ind w:left="567" w:right="3400" w:hanging="567"/>
        <w:rPr>
          <w:rFonts w:eastAsia="Calibri"/>
        </w:rPr>
      </w:pPr>
      <w:r w:rsidRPr="0070201F">
        <w:br w:type="page"/>
      </w:r>
    </w:p>
    <w:p w:rsidR="006173E9" w:rsidRPr="0070201F" w:rsidRDefault="006173E9" w:rsidP="006173E9">
      <w:pPr>
        <w:keepNext/>
        <w:suppressAutoHyphens/>
        <w:spacing w:before="120" w:after="120"/>
        <w:rPr>
          <w:rFonts w:eastAsia="Calibri"/>
          <w:szCs w:val="22"/>
        </w:rPr>
      </w:pPr>
      <w:r w:rsidRPr="0070201F">
        <w:lastRenderedPageBreak/>
        <w:t>ПРИЕХА НАСТОЯЩИЯ РЕГЛАМЕНТ:</w:t>
      </w:r>
    </w:p>
    <w:p w:rsidR="006173E9" w:rsidRPr="0070201F" w:rsidRDefault="006173E9" w:rsidP="006173E9">
      <w:pPr>
        <w:keepNext/>
        <w:suppressAutoHyphens/>
        <w:spacing w:before="360" w:after="360" w:line="360" w:lineRule="auto"/>
        <w:jc w:val="center"/>
        <w:outlineLvl w:val="0"/>
        <w:rPr>
          <w:b/>
          <w:bCs/>
          <w:smallCaps/>
          <w:sz w:val="32"/>
          <w:szCs w:val="28"/>
        </w:rPr>
      </w:pPr>
      <w:r w:rsidRPr="0070201F">
        <w:rPr>
          <w:b/>
          <w:smallCaps/>
          <w:sz w:val="32"/>
        </w:rPr>
        <w:t>ГЛАВА I</w:t>
      </w:r>
      <w:r w:rsidRPr="0070201F">
        <w:rPr>
          <w:b/>
          <w:smallCaps/>
          <w:sz w:val="32"/>
        </w:rPr>
        <w:br/>
        <w:t>ЗАКЛЮЧИТЕЛНИ РАЗПОРЕДБИ</w:t>
      </w:r>
    </w:p>
    <w:p w:rsidR="006173E9" w:rsidRPr="0070201F" w:rsidRDefault="006173E9" w:rsidP="006173E9">
      <w:pPr>
        <w:keepNext/>
        <w:suppressAutoHyphens/>
        <w:spacing w:before="360" w:after="120" w:line="360" w:lineRule="auto"/>
        <w:ind w:right="-1"/>
        <w:jc w:val="center"/>
        <w:outlineLvl w:val="1"/>
        <w:rPr>
          <w:b/>
          <w:bCs/>
          <w:szCs w:val="26"/>
        </w:rPr>
      </w:pPr>
      <w:bookmarkStart w:id="26" w:name="_Hlk137037513"/>
      <w:r w:rsidRPr="0070201F">
        <w:t>Член 1</w:t>
      </w:r>
      <w:r w:rsidRPr="0070201F">
        <w:br/>
      </w:r>
      <w:r w:rsidRPr="0070201F">
        <w:rPr>
          <w:i/>
        </w:rPr>
        <w:t>Предмет</w:t>
      </w:r>
    </w:p>
    <w:p w:rsidR="006173E9" w:rsidRPr="0070201F" w:rsidRDefault="006173E9" w:rsidP="006173E9">
      <w:pPr>
        <w:suppressAutoHyphens/>
        <w:spacing w:before="120" w:after="120" w:line="360" w:lineRule="auto"/>
        <w:ind w:left="567" w:right="-1" w:hanging="567"/>
        <w:rPr>
          <w:rFonts w:eastAsia="Calibri"/>
          <w:szCs w:val="22"/>
        </w:rPr>
      </w:pPr>
      <w:r w:rsidRPr="0070201F">
        <w:t>1.</w:t>
      </w:r>
      <w:r w:rsidRPr="0070201F">
        <w:tab/>
        <w:t>С настоящия регламент се определят правила, които да допринасят за:</w:t>
      </w:r>
    </w:p>
    <w:p w:rsidR="006173E9" w:rsidRPr="0070201F" w:rsidRDefault="006173E9" w:rsidP="006173E9">
      <w:pPr>
        <w:suppressAutoHyphens/>
        <w:spacing w:before="120" w:after="120" w:line="360" w:lineRule="auto"/>
        <w:ind w:left="1134" w:right="-1" w:hanging="567"/>
        <w:rPr>
          <w:rFonts w:eastAsia="Calibri"/>
          <w:b/>
          <w:szCs w:val="22"/>
        </w:rPr>
      </w:pPr>
      <w:r w:rsidRPr="0070201F">
        <w:t>a)</w:t>
      </w:r>
      <w:r w:rsidRPr="0070201F">
        <w:tab/>
        <w:t xml:space="preserve"> </w:t>
      </w:r>
      <w:r w:rsidRPr="0070201F">
        <w:rPr>
          <w:b/>
          <w:i/>
        </w:rPr>
        <w:t>биологично разнообразни, устойчиви</w:t>
      </w:r>
      <w:r w:rsidRPr="0070201F">
        <w:t xml:space="preserve"> и </w:t>
      </w:r>
      <w:r w:rsidRPr="0070201F">
        <w:rPr>
          <w:b/>
          <w:i/>
        </w:rPr>
        <w:t>продуктивни екосистеми</w:t>
      </w:r>
      <w:r w:rsidRPr="0070201F">
        <w:t xml:space="preserve">  в сухоземните и морските зони на </w:t>
      </w:r>
      <w:r w:rsidRPr="0070201F">
        <w:rPr>
          <w:b/>
          <w:i/>
        </w:rPr>
        <w:t>държавите членки</w:t>
      </w:r>
      <w:r w:rsidRPr="0070201F">
        <w:t xml:space="preserve"> чрез възстановяване на </w:t>
      </w:r>
      <w:r w:rsidRPr="0070201F">
        <w:rPr>
          <w:b/>
          <w:i/>
        </w:rPr>
        <w:t>увредените екосистеми</w:t>
      </w:r>
      <w:r w:rsidRPr="0070201F">
        <w:t>;</w:t>
      </w:r>
      <w:r w:rsidRPr="0070201F">
        <w:rPr>
          <w:b/>
        </w:rPr>
        <w:t xml:space="preserve"> [Изм. 113</w:t>
      </w:r>
      <w:r w:rsidR="0016114A" w:rsidRPr="0070201F">
        <w:rPr>
          <w:b/>
        </w:rPr>
        <w:t>/</w:t>
      </w:r>
      <w:r w:rsidR="0016114A" w:rsidRPr="0070201F">
        <w:rPr>
          <w:b/>
          <w:lang w:val="fr-FR"/>
        </w:rPr>
        <w:t>rev</w:t>
      </w:r>
      <w:r w:rsidR="0016114A" w:rsidRPr="00223ACF">
        <w:rPr>
          <w:b/>
        </w:rPr>
        <w:t>1</w:t>
      </w:r>
      <w:r w:rsidRPr="0070201F">
        <w:rPr>
          <w:b/>
        </w:rPr>
        <w:t>]</w:t>
      </w:r>
    </w:p>
    <w:p w:rsidR="006173E9" w:rsidRPr="0070201F" w:rsidRDefault="006173E9" w:rsidP="006173E9">
      <w:pPr>
        <w:suppressAutoHyphens/>
        <w:spacing w:before="120" w:after="120" w:line="360" w:lineRule="auto"/>
        <w:ind w:left="1134" w:right="-1" w:hanging="567"/>
        <w:rPr>
          <w:rFonts w:eastAsia="Calibri"/>
          <w:b/>
          <w:szCs w:val="22"/>
        </w:rPr>
      </w:pPr>
      <w:r w:rsidRPr="0070201F">
        <w:t>б)</w:t>
      </w:r>
      <w:r w:rsidRPr="0070201F">
        <w:tab/>
        <w:t>постигане на основните цели на Съюза за смекчаване на изменението на климата</w:t>
      </w:r>
      <w:r w:rsidRPr="0070201F">
        <w:rPr>
          <w:b/>
          <w:u w:val="single"/>
        </w:rPr>
        <w:t>,</w:t>
      </w:r>
      <w:r w:rsidRPr="0070201F">
        <w:t xml:space="preserve"> адаптиране към него</w:t>
      </w:r>
      <w:r w:rsidRPr="0070201F">
        <w:rPr>
          <w:b/>
          <w:i/>
        </w:rPr>
        <w:t>, включително продоволствена сигурност, енергиен преход и социално жилищно настаняване</w:t>
      </w:r>
      <w:r w:rsidR="0016114A" w:rsidRPr="0070201F">
        <w:rPr>
          <w:b/>
          <w:i/>
        </w:rPr>
        <w:t>,</w:t>
      </w:r>
      <w:r w:rsidRPr="0070201F">
        <w:rPr>
          <w:b/>
          <w:i/>
        </w:rPr>
        <w:t xml:space="preserve"> и неутралност по отношение на деградацията на земите</w:t>
      </w:r>
      <w:r w:rsidRPr="0070201F">
        <w:t>;</w:t>
      </w:r>
      <w:r w:rsidRPr="0070201F">
        <w:rPr>
          <w:b/>
        </w:rPr>
        <w:t xml:space="preserve"> [Изм. 114]</w:t>
      </w:r>
    </w:p>
    <w:p w:rsidR="006173E9" w:rsidRPr="0070201F" w:rsidRDefault="006173E9" w:rsidP="006173E9">
      <w:pPr>
        <w:suppressAutoHyphens/>
        <w:spacing w:before="120" w:after="120" w:line="360" w:lineRule="auto"/>
        <w:ind w:left="1134" w:right="-1" w:hanging="567"/>
        <w:rPr>
          <w:rFonts w:eastAsia="Calibri"/>
          <w:szCs w:val="22"/>
        </w:rPr>
      </w:pPr>
      <w:r w:rsidRPr="0070201F">
        <w:t>в)</w:t>
      </w:r>
      <w:r w:rsidRPr="0070201F">
        <w:tab/>
        <w:t>изпълнение на международните задължения на Съюза.</w:t>
      </w:r>
    </w:p>
    <w:p w:rsidR="006173E9" w:rsidRPr="0070201F" w:rsidRDefault="006173E9" w:rsidP="006173E9">
      <w:pPr>
        <w:suppressAutoHyphens/>
        <w:spacing w:before="120" w:after="120" w:line="360" w:lineRule="auto"/>
        <w:ind w:left="567" w:right="-1" w:hanging="567"/>
      </w:pPr>
      <w:r w:rsidRPr="0070201F">
        <w:t>2.</w:t>
      </w:r>
      <w:r w:rsidRPr="0070201F">
        <w:tab/>
        <w:t xml:space="preserve">С настоящия регламент се установява рамка, чрез която държавите членки въвеждат </w:t>
      </w:r>
      <w:r w:rsidRPr="0070201F">
        <w:rPr>
          <w:rFonts w:ascii="Arial" w:hAnsi="Arial"/>
          <w:snapToGrid w:val="0"/>
        </w:rPr>
        <w:t>▌</w:t>
      </w:r>
      <w:r w:rsidRPr="0070201F">
        <w:t xml:space="preserve">ефективни мерки за възстановяване на районен принцип </w:t>
      </w:r>
      <w:r w:rsidRPr="0070201F">
        <w:rPr>
          <w:b/>
          <w:bCs/>
          <w:i/>
          <w:iCs/>
        </w:rPr>
        <w:t>с оглед до 2030 г. съвместно да бъдат обхванати, като цел на Съюза, във всички зони и екосистеми, попадащи в определения в член 2 обхват</w:t>
      </w:r>
      <w:r w:rsidRPr="0070201F">
        <w:t xml:space="preserve">, най-малко 20 % от </w:t>
      </w:r>
      <w:r w:rsidRPr="0070201F">
        <w:rPr>
          <w:rFonts w:ascii="Arial" w:hAnsi="Arial"/>
          <w:snapToGrid w:val="0"/>
        </w:rPr>
        <w:t>▌</w:t>
      </w:r>
      <w:r w:rsidRPr="0070201F">
        <w:t xml:space="preserve">сухоземните и </w:t>
      </w:r>
      <w:r w:rsidRPr="0070201F">
        <w:rPr>
          <w:b/>
          <w:i/>
        </w:rPr>
        <w:t>20 % от</w:t>
      </w:r>
      <w:r w:rsidRPr="0070201F">
        <w:t xml:space="preserve"> морските зони, а до 2050 г. — всички екосистеми, които се нуждаят от възстановяване.</w:t>
      </w:r>
    </w:p>
    <w:p w:rsidR="006173E9" w:rsidRPr="0070201F" w:rsidRDefault="006173E9" w:rsidP="006173E9">
      <w:pPr>
        <w:suppressAutoHyphens/>
        <w:spacing w:before="120" w:after="120" w:line="360" w:lineRule="auto"/>
        <w:ind w:left="567" w:right="-1" w:hanging="567"/>
        <w:rPr>
          <w:rFonts w:eastAsia="Calibri"/>
          <w:b/>
          <w:szCs w:val="22"/>
        </w:rPr>
      </w:pPr>
      <w:r w:rsidRPr="0070201F">
        <w:rPr>
          <w:rFonts w:eastAsia="Calibri"/>
          <w:b/>
          <w:i/>
          <w:szCs w:val="22"/>
        </w:rPr>
        <w:t>2а.</w:t>
      </w:r>
      <w:r w:rsidRPr="0070201F">
        <w:rPr>
          <w:rFonts w:eastAsia="Calibri"/>
          <w:szCs w:val="22"/>
        </w:rPr>
        <w:tab/>
      </w:r>
      <w:r w:rsidRPr="0070201F">
        <w:rPr>
          <w:rFonts w:eastAsia="Calibri"/>
          <w:b/>
          <w:i/>
          <w:szCs w:val="22"/>
        </w:rPr>
        <w:t>Настоящият регламент трябва да създаде полезни взаимодействия и да бъде съгласуван с действащото и предстоящото законодателство, като се вземат предвид националните компетентности, и трябва да гарантира непротиворечивост и съгласуваност със законодателството на Съюза, наред с другото, в областта на енергията от възобновяеми източници, продуктите за растителна защита, суровините от изключителна важност, селското и горското стопанство.</w:t>
      </w:r>
      <w:r w:rsidR="007D787F" w:rsidRPr="0070201F">
        <w:rPr>
          <w:rFonts w:eastAsia="Calibri"/>
          <w:b/>
          <w:szCs w:val="22"/>
        </w:rPr>
        <w:t xml:space="preserve"> [Изм. 116]</w:t>
      </w:r>
    </w:p>
    <w:bookmarkEnd w:id="26"/>
    <w:p w:rsidR="006173E9" w:rsidRPr="0070201F" w:rsidRDefault="006173E9" w:rsidP="006173E9">
      <w:pPr>
        <w:keepNext/>
        <w:suppressAutoHyphens/>
        <w:spacing w:before="360" w:after="120" w:line="360" w:lineRule="auto"/>
        <w:ind w:right="-1"/>
        <w:jc w:val="center"/>
        <w:outlineLvl w:val="1"/>
        <w:rPr>
          <w:b/>
          <w:bCs/>
          <w:szCs w:val="26"/>
        </w:rPr>
      </w:pPr>
      <w:r w:rsidRPr="0070201F">
        <w:t>Член 2</w:t>
      </w:r>
      <w:r w:rsidRPr="0070201F">
        <w:br/>
      </w:r>
      <w:r w:rsidRPr="0070201F">
        <w:rPr>
          <w:i/>
        </w:rPr>
        <w:t>Географски обхват</w:t>
      </w:r>
    </w:p>
    <w:p w:rsidR="006173E9" w:rsidRPr="0070201F" w:rsidRDefault="006173E9" w:rsidP="006173E9">
      <w:pPr>
        <w:suppressAutoHyphens/>
        <w:spacing w:before="120" w:after="120" w:line="360" w:lineRule="auto"/>
        <w:ind w:right="-1"/>
        <w:rPr>
          <w:rFonts w:eastAsia="Calibri"/>
          <w:szCs w:val="22"/>
        </w:rPr>
      </w:pPr>
      <w:r w:rsidRPr="0070201F">
        <w:t>Настоящият регламент се прилага за екосистемите, посочени в членове 4—10:</w:t>
      </w:r>
    </w:p>
    <w:p w:rsidR="006173E9" w:rsidRPr="0070201F" w:rsidRDefault="006173E9" w:rsidP="006173E9">
      <w:pPr>
        <w:suppressAutoHyphens/>
        <w:spacing w:before="120" w:after="120" w:line="360" w:lineRule="auto"/>
        <w:ind w:left="1134" w:right="-1" w:hanging="567"/>
        <w:rPr>
          <w:rFonts w:eastAsia="Calibri"/>
          <w:b/>
          <w:szCs w:val="22"/>
          <w:u w:val="single"/>
        </w:rPr>
      </w:pPr>
      <w:r w:rsidRPr="0070201F">
        <w:t>a)</w:t>
      </w:r>
      <w:r w:rsidRPr="0070201F">
        <w:tab/>
        <w:t>на територията на държавите членки;</w:t>
      </w:r>
    </w:p>
    <w:p w:rsidR="006173E9" w:rsidRPr="0070201F" w:rsidRDefault="006173E9" w:rsidP="006173E9">
      <w:pPr>
        <w:suppressAutoHyphens/>
        <w:spacing w:before="120" w:after="120" w:line="360" w:lineRule="auto"/>
        <w:ind w:left="1134" w:right="-1" w:hanging="567"/>
        <w:rPr>
          <w:rFonts w:eastAsia="Calibri"/>
          <w:i/>
          <w:szCs w:val="22"/>
        </w:rPr>
      </w:pPr>
      <w:r w:rsidRPr="0070201F">
        <w:rPr>
          <w:b/>
          <w:i/>
        </w:rPr>
        <w:lastRenderedPageBreak/>
        <w:t>aа)</w:t>
      </w:r>
      <w:r w:rsidRPr="0070201F">
        <w:rPr>
          <w:b/>
          <w:i/>
        </w:rPr>
        <w:tab/>
        <w:t>в крайбрежните води на държавите членки, както са определени в Директива 2000/60/ЕО, тяхното морско дъно и тяхната геоложка основа;</w:t>
      </w:r>
    </w:p>
    <w:p w:rsidR="006173E9" w:rsidRPr="0070201F" w:rsidRDefault="006173E9" w:rsidP="006173E9">
      <w:pPr>
        <w:spacing w:before="120" w:after="120" w:line="360" w:lineRule="auto"/>
        <w:ind w:left="1134" w:hanging="567"/>
        <w:rPr>
          <w:rFonts w:eastAsia="Calibri"/>
          <w:szCs w:val="22"/>
        </w:rPr>
      </w:pPr>
      <w:r w:rsidRPr="0070201F">
        <w:t>б)</w:t>
      </w:r>
      <w:r w:rsidRPr="0070201F">
        <w:tab/>
        <w:t xml:space="preserve">във водите, на морското дъно и геоложката основа откъм страната на откритото море спрямо контролната линия, по която се измерва протежението на териториалните води, до най-крайната зона, в която дадена държава членка </w:t>
      </w:r>
      <w:r w:rsidRPr="0070201F">
        <w:rPr>
          <w:b/>
          <w:bCs/>
          <w:i/>
          <w:iCs/>
        </w:rPr>
        <w:t>има или</w:t>
      </w:r>
      <w:r w:rsidRPr="0070201F">
        <w:t xml:space="preserve"> упражнява суверенни права </w:t>
      </w:r>
      <w:r w:rsidRPr="0070201F">
        <w:rPr>
          <w:b/>
          <w:bCs/>
          <w:i/>
          <w:iCs/>
        </w:rPr>
        <w:t>или юрисдикция</w:t>
      </w:r>
      <w:r w:rsidRPr="0070201F">
        <w:t xml:space="preserve"> в съответствие с Конвенцията на Организацията на обединените нации по морско право от 1982 г.</w:t>
      </w:r>
    </w:p>
    <w:p w:rsidR="006173E9" w:rsidRPr="0070201F" w:rsidRDefault="006173E9" w:rsidP="006173E9">
      <w:pPr>
        <w:spacing w:before="120" w:after="120" w:line="360" w:lineRule="auto"/>
        <w:rPr>
          <w:rFonts w:ascii="Calibri" w:eastAsia="Calibri" w:hAnsi="Calibri" w:cs="Calibri"/>
          <w:b/>
          <w:i/>
          <w:sz w:val="22"/>
          <w:szCs w:val="22"/>
        </w:rPr>
      </w:pPr>
      <w:r w:rsidRPr="0070201F">
        <w:rPr>
          <w:b/>
          <w:bCs/>
          <w:i/>
          <w:iCs/>
        </w:rPr>
        <w:t xml:space="preserve">Настоящият регламент </w:t>
      </w:r>
      <w:bookmarkStart w:id="27" w:name="_Hlk135939578"/>
      <w:r w:rsidRPr="0070201F">
        <w:rPr>
          <w:b/>
          <w:bCs/>
          <w:i/>
          <w:iCs/>
        </w:rPr>
        <w:t>се прилага само за екосистемите на европейската територия на държавите членки, за които се прилагат Договорите</w:t>
      </w:r>
      <w:bookmarkEnd w:id="27"/>
      <w:r w:rsidRPr="0070201F">
        <w:rPr>
          <w:b/>
          <w:bCs/>
          <w:i/>
          <w:iCs/>
        </w:rPr>
        <w:t>.</w:t>
      </w:r>
    </w:p>
    <w:p w:rsidR="006173E9" w:rsidRPr="0070201F" w:rsidRDefault="006173E9" w:rsidP="006173E9">
      <w:pPr>
        <w:keepNext/>
        <w:suppressAutoHyphens/>
        <w:spacing w:before="360" w:after="120" w:line="360" w:lineRule="auto"/>
        <w:ind w:right="-1"/>
        <w:jc w:val="center"/>
        <w:outlineLvl w:val="1"/>
        <w:rPr>
          <w:b/>
          <w:bCs/>
          <w:sz w:val="22"/>
          <w:szCs w:val="26"/>
        </w:rPr>
      </w:pPr>
      <w:r w:rsidRPr="0070201F">
        <w:t>Член 3</w:t>
      </w:r>
      <w:r w:rsidRPr="0070201F">
        <w:br/>
      </w:r>
      <w:r w:rsidRPr="0070201F">
        <w:rPr>
          <w:i/>
        </w:rPr>
        <w:t>Определения</w:t>
      </w:r>
      <w:r w:rsidRPr="0070201F">
        <w:rPr>
          <w:b/>
        </w:rPr>
        <w:t xml:space="preserve"> </w:t>
      </w:r>
    </w:p>
    <w:p w:rsidR="006173E9" w:rsidRPr="0070201F" w:rsidRDefault="006173E9" w:rsidP="006173E9">
      <w:pPr>
        <w:suppressAutoHyphens/>
        <w:spacing w:before="120" w:after="120" w:line="360" w:lineRule="auto"/>
        <w:ind w:right="-1"/>
        <w:rPr>
          <w:rFonts w:eastAsia="Calibri"/>
          <w:szCs w:val="22"/>
        </w:rPr>
      </w:pPr>
      <w:r w:rsidRPr="0070201F">
        <w:t>Прилагат се следните определения:</w:t>
      </w:r>
    </w:p>
    <w:p w:rsidR="006173E9" w:rsidRPr="0070201F" w:rsidRDefault="006173E9" w:rsidP="006173E9">
      <w:pPr>
        <w:suppressAutoHyphens/>
        <w:spacing w:before="120" w:after="120" w:line="360" w:lineRule="auto"/>
        <w:ind w:left="851" w:right="-1" w:hanging="851"/>
        <w:rPr>
          <w:rFonts w:eastAsia="Calibri"/>
          <w:szCs w:val="22"/>
        </w:rPr>
      </w:pPr>
      <w:r w:rsidRPr="0070201F">
        <w:t>(1)</w:t>
      </w:r>
      <w:r w:rsidRPr="0070201F">
        <w:tab/>
        <w:t xml:space="preserve">„екосистема“ означава динамичен комплекс от растителни, животински, </w:t>
      </w:r>
      <w:r w:rsidRPr="0070201F">
        <w:rPr>
          <w:b/>
          <w:bCs/>
          <w:i/>
          <w:iCs/>
        </w:rPr>
        <w:t>гъбни</w:t>
      </w:r>
      <w:r w:rsidRPr="0070201F">
        <w:t xml:space="preserve"> и микроорганизмови съобщества и тяхната нежива околна среда, които си взаимодействат като функционална единица, и включва типове местообитания, местообитания на видове и популации на видове;</w:t>
      </w:r>
    </w:p>
    <w:p w:rsidR="006173E9" w:rsidRPr="0070201F" w:rsidRDefault="006173E9" w:rsidP="006173E9">
      <w:pPr>
        <w:suppressAutoHyphens/>
        <w:spacing w:before="120" w:after="120" w:line="360" w:lineRule="auto"/>
        <w:ind w:left="851" w:right="-1" w:hanging="851"/>
        <w:rPr>
          <w:rFonts w:eastAsia="Calibri"/>
          <w:szCs w:val="22"/>
        </w:rPr>
      </w:pPr>
      <w:r w:rsidRPr="0070201F">
        <w:t>(2)</w:t>
      </w:r>
      <w:r w:rsidRPr="0070201F">
        <w:tab/>
        <w:t xml:space="preserve">„местообитание на вид“ означава </w:t>
      </w:r>
      <w:r w:rsidRPr="0070201F">
        <w:rPr>
          <w:b/>
          <w:bCs/>
          <w:i/>
          <w:iCs/>
        </w:rPr>
        <w:t>местообитание на вид съгласно определението в член 1</w:t>
      </w:r>
      <w:bookmarkStart w:id="28" w:name="_Hlk126738941"/>
      <w:r w:rsidRPr="0070201F">
        <w:rPr>
          <w:b/>
          <w:bCs/>
          <w:i/>
          <w:iCs/>
        </w:rPr>
        <w:t xml:space="preserve"> </w:t>
      </w:r>
      <w:bookmarkEnd w:id="28"/>
      <w:r w:rsidRPr="0070201F">
        <w:rPr>
          <w:b/>
          <w:bCs/>
          <w:i/>
          <w:iCs/>
        </w:rPr>
        <w:t>, буква е) от Директива 92/43/ЕИО</w:t>
      </w:r>
      <w:r w:rsidRPr="0070201F">
        <w:t>;</w:t>
      </w:r>
    </w:p>
    <w:p w:rsidR="006173E9" w:rsidRPr="0070201F" w:rsidRDefault="006173E9" w:rsidP="006173E9">
      <w:pPr>
        <w:suppressAutoHyphens/>
        <w:spacing w:before="120" w:after="120" w:line="360" w:lineRule="auto"/>
        <w:ind w:left="851" w:right="-1" w:hanging="851"/>
        <w:rPr>
          <w:rFonts w:eastAsia="Calibri"/>
          <w:szCs w:val="22"/>
        </w:rPr>
      </w:pPr>
    </w:p>
    <w:p w:rsidR="006173E9" w:rsidRPr="0070201F" w:rsidRDefault="006173E9" w:rsidP="006173E9">
      <w:pPr>
        <w:suppressAutoHyphens/>
        <w:spacing w:before="120" w:after="120" w:line="360" w:lineRule="auto"/>
        <w:ind w:left="851" w:right="-1" w:hanging="851"/>
        <w:rPr>
          <w:rFonts w:eastAsia="Calibri"/>
          <w:szCs w:val="22"/>
        </w:rPr>
      </w:pPr>
      <w:r w:rsidRPr="0070201F">
        <w:br w:type="page"/>
      </w:r>
      <w:r w:rsidRPr="0070201F">
        <w:lastRenderedPageBreak/>
        <w:t>(3)</w:t>
      </w:r>
      <w:r w:rsidRPr="0070201F">
        <w:tab/>
        <w:t>„възстановяване“ означава процесът на активно или пасивно подпомагане на възстановяването на дадена екосистема</w:t>
      </w:r>
      <w:r w:rsidRPr="0070201F">
        <w:rPr>
          <w:b/>
          <w:i/>
        </w:rPr>
        <w:t>, за да се подобрят нейната структура и функции с цел опазване или повишаване на биологичното разнообразие и устойчивостта на екосистемите; възстановяването на екосистемите за целите на настоящия регламент се извършва чрез подобряване до постигане на добро състояние</w:t>
      </w:r>
      <w:r w:rsidRPr="0070201F">
        <w:t xml:space="preserve"> на тип местообитание, </w:t>
      </w:r>
      <w:r w:rsidRPr="0070201F">
        <w:rPr>
          <w:rFonts w:ascii="Arial" w:hAnsi="Arial"/>
          <w:snapToGrid w:val="0"/>
        </w:rPr>
        <w:t>▌</w:t>
      </w:r>
      <w:r w:rsidRPr="0070201F">
        <w:rPr>
          <w:b/>
          <w:i/>
        </w:rPr>
        <w:t>повторно установяване на неговата</w:t>
      </w:r>
      <w:r w:rsidRPr="0070201F">
        <w:t xml:space="preserve"> благоприятна референтна зона</w:t>
      </w:r>
      <w:r w:rsidRPr="0070201F">
        <w:rPr>
          <w:b/>
          <w:i/>
        </w:rPr>
        <w:t xml:space="preserve"> и подобряване до постигане на достатъчно качество и достатъчно количество</w:t>
      </w:r>
      <w:r w:rsidRPr="0070201F">
        <w:t xml:space="preserve"> на местообитание на вид </w:t>
      </w:r>
      <w:r w:rsidRPr="0070201F">
        <w:rPr>
          <w:b/>
          <w:bCs/>
          <w:i/>
          <w:iCs/>
        </w:rPr>
        <w:t>в съответствие с член 4, параграфи 1, 2 и 3 и член 5, параграфи 1, 2 и 3, както и изпълнение на целите и задълженията съгласно членове 6—10, включително достигането на</w:t>
      </w:r>
      <w:r w:rsidRPr="0070201F">
        <w:t xml:space="preserve"> задоволителни нива</w:t>
      </w:r>
      <w:r w:rsidRPr="0070201F">
        <w:rPr>
          <w:b/>
          <w:i/>
        </w:rPr>
        <w:t xml:space="preserve"> на показателите, посочени в член 8, параграф 1, член 9, параграф 2 и член 10, параграф 2,</w:t>
      </w:r>
      <w:r w:rsidRPr="0070201F">
        <w:t xml:space="preserve"> като средство за опазване или подобряване на биологичното разнообразие и устойчивостта на екосистемите; </w:t>
      </w:r>
    </w:p>
    <w:p w:rsidR="006173E9" w:rsidRPr="0070201F" w:rsidRDefault="006173E9" w:rsidP="006173E9">
      <w:pPr>
        <w:suppressAutoHyphens/>
        <w:spacing w:before="120" w:after="120" w:line="360" w:lineRule="auto"/>
        <w:ind w:left="851" w:right="-1" w:hanging="851"/>
        <w:rPr>
          <w:szCs w:val="22"/>
        </w:rPr>
      </w:pPr>
      <w:r w:rsidRPr="0070201F">
        <w:t>(4)</w:t>
      </w:r>
      <w:r w:rsidRPr="0070201F">
        <w:tab/>
        <w:t xml:space="preserve">„добро състояние“ </w:t>
      </w:r>
      <w:r w:rsidRPr="0070201F">
        <w:rPr>
          <w:b/>
          <w:bCs/>
          <w:i/>
          <w:iCs/>
        </w:rPr>
        <w:t>на тип местообитание</w:t>
      </w:r>
      <w:r w:rsidRPr="0070201F">
        <w:t xml:space="preserve"> означава състояние, при което </w:t>
      </w:r>
      <w:r w:rsidRPr="0070201F">
        <w:rPr>
          <w:b/>
          <w:i/>
        </w:rPr>
        <w:t>неговите</w:t>
      </w:r>
      <w:r w:rsidRPr="0070201F">
        <w:t xml:space="preserve"> основни характеристики</w:t>
      </w:r>
      <w:r w:rsidRPr="0070201F">
        <w:rPr>
          <w:rFonts w:ascii="Arial" w:hAnsi="Arial"/>
          <w:snapToGrid w:val="0"/>
        </w:rPr>
        <w:t>▌</w:t>
      </w:r>
      <w:r w:rsidRPr="0070201F">
        <w:t>,</w:t>
      </w:r>
      <w:r w:rsidRPr="0070201F">
        <w:rPr>
          <w:b/>
          <w:bCs/>
          <w:i/>
          <w:iCs/>
        </w:rPr>
        <w:t xml:space="preserve"> по-специално неговата структура и функции и неговите типични видове или типичен видов състав</w:t>
      </w:r>
      <w:r w:rsidRPr="0070201F">
        <w:t xml:space="preserve"> имат високо ниво на екологична цялост, стабилност и устойчивост, необходими за гарантиране на поддържането му в дългосрочен план</w:t>
      </w:r>
      <w:r w:rsidRPr="0070201F">
        <w:rPr>
          <w:b/>
          <w:bCs/>
          <w:i/>
          <w:iCs/>
        </w:rPr>
        <w:t xml:space="preserve">, като по този начин допринасят за постигането или поддържането на благоприятен природозащитен статус съгласно член 1, буква д) от Директива 92/43/ЕИО, когато съответният тип местообитание е изброен в приложение I към посочената директива, а в морските екосистеми — </w:t>
      </w:r>
      <w:bookmarkStart w:id="29" w:name="_Hlk132368424"/>
      <w:r w:rsidRPr="0070201F">
        <w:rPr>
          <w:b/>
          <w:bCs/>
          <w:i/>
          <w:iCs/>
        </w:rPr>
        <w:t>допринасят за постигането или поддържането на добро състояние на околната среда в съответствие с член 3, точка 5 от Директива 2008/56/ЕО</w:t>
      </w:r>
      <w:bookmarkEnd w:id="29"/>
      <w:r w:rsidRPr="0070201F">
        <w:t>;</w:t>
      </w:r>
    </w:p>
    <w:p w:rsidR="006173E9" w:rsidRPr="0070201F" w:rsidRDefault="006173E9" w:rsidP="006173E9">
      <w:pPr>
        <w:suppressAutoHyphens/>
        <w:spacing w:before="120" w:after="120" w:line="360" w:lineRule="auto"/>
        <w:ind w:left="851" w:right="-1" w:hanging="851"/>
        <w:rPr>
          <w:rFonts w:eastAsia="Calibri"/>
          <w:b/>
          <w:szCs w:val="22"/>
          <w:u w:val="single"/>
        </w:rPr>
      </w:pPr>
      <w:r w:rsidRPr="0070201F">
        <w:br w:type="page"/>
      </w:r>
      <w:r w:rsidRPr="0070201F">
        <w:lastRenderedPageBreak/>
        <w:t>(5)</w:t>
      </w:r>
      <w:r w:rsidRPr="0070201F">
        <w:tab/>
        <w:t xml:space="preserve">„благоприятна референтна площ“ означава общата площ на тип местообитание в даден биогеографски регион или морски регион на национално равнище, която се счита за минимално необходима, за да се гарантира дългосрочната жизнеспособност на типа местообитание и неговите </w:t>
      </w:r>
      <w:r w:rsidRPr="0070201F">
        <w:rPr>
          <w:b/>
          <w:i/>
        </w:rPr>
        <w:t>типични</w:t>
      </w:r>
      <w:r w:rsidRPr="0070201F">
        <w:t xml:space="preserve"> видове </w:t>
      </w:r>
      <w:r w:rsidRPr="0070201F">
        <w:rPr>
          <w:b/>
          <w:bCs/>
          <w:i/>
          <w:iCs/>
        </w:rPr>
        <w:t>или типичен видов състав</w:t>
      </w:r>
      <w:r w:rsidRPr="0070201F">
        <w:t xml:space="preserve">, както и всички значителни екологични промени в нейния естествен ареал, и която се състои от площта на типа местообитание и, ако тази площ не е достатъчна, от площта, необходима за повторното установяване на типа местообитание; </w:t>
      </w:r>
      <w:r w:rsidRPr="0070201F">
        <w:rPr>
          <w:b/>
          <w:i/>
        </w:rPr>
        <w:t>когато съответният тип местообитание е изброен в приложение I към Директива 92/43/ЕИО, това повторно установяване допринася за постигането на благоприятен природозащитен статус в съответствие с член 1, буква д) от посочената директива</w:t>
      </w:r>
      <w:r w:rsidRPr="0070201F">
        <w:rPr>
          <w:b/>
          <w:i/>
          <w:shd w:val="clear" w:color="auto" w:fill="FFFFFF"/>
        </w:rPr>
        <w:t>, а в морските екосистеми това повторно установяване допринася за постигането или поддържането на добро състояние на околната среда в съответствие с член 3, точка 5 от Директива 2008/56/ЕО</w:t>
      </w:r>
      <w:r w:rsidRPr="0070201F">
        <w:rPr>
          <w:b/>
          <w:i/>
        </w:rPr>
        <w:t>;</w:t>
      </w:r>
    </w:p>
    <w:p w:rsidR="006173E9" w:rsidRPr="0070201F" w:rsidRDefault="006173E9" w:rsidP="006173E9">
      <w:pPr>
        <w:suppressAutoHyphens/>
        <w:spacing w:before="120" w:after="120" w:line="360" w:lineRule="auto"/>
        <w:ind w:left="851" w:right="-1" w:hanging="851"/>
        <w:rPr>
          <w:rFonts w:eastAsia="Calibri"/>
          <w:szCs w:val="22"/>
        </w:rPr>
      </w:pPr>
      <w:r w:rsidRPr="0070201F">
        <w:t>(6)</w:t>
      </w:r>
      <w:r w:rsidRPr="0070201F">
        <w:tab/>
        <w:t>„достатъчно качество на местообитанието“ означава качеството на местообитание на вид, което дава възможност да бъдат изпълнени екологичните изисквания на даден вид на всеки етап от биологичния му цикъл, така че той да се запази в дългосрочен план като жизнеспособен компонент на местообитанието си в своя естествен ареал</w:t>
      </w:r>
      <w:r w:rsidRPr="0070201F">
        <w:rPr>
          <w:b/>
          <w:i/>
        </w:rPr>
        <w:t>, като допринася за постигането или поддържането на благоприятен природозащитен статус на видовете съгласно член 1, буква и) от Директива 92/43/ЕИО за видовете, изброени в приложение II, IV или V към посочената директива, и спомага за опазването на популациите на видовете диви птици, обхванати от Директива 2009/147/ЕО</w:t>
      </w:r>
      <w:r w:rsidRPr="0070201F">
        <w:rPr>
          <w:rFonts w:ascii="TimesNewRomanPS-BoldMT" w:hAnsi="TimesNewRomanPS-BoldMT"/>
          <w:b/>
          <w:i/>
          <w:color w:val="000000"/>
        </w:rPr>
        <w:t xml:space="preserve"> и, в допълнение, в морските екосистеми, като допринася за постигането или поддържането на добро състояние на околната среда в съответствие с член 3, точка 5 от Директива 2008/56/ЕО</w:t>
      </w:r>
      <w:r w:rsidRPr="0070201F">
        <w:t>;</w:t>
      </w:r>
    </w:p>
    <w:p w:rsidR="006173E9" w:rsidRPr="0070201F" w:rsidRDefault="006173E9" w:rsidP="006173E9">
      <w:pPr>
        <w:suppressAutoHyphens/>
        <w:spacing w:before="120" w:after="120" w:line="360" w:lineRule="auto"/>
        <w:ind w:left="851" w:right="-1" w:hanging="851"/>
      </w:pPr>
      <w:r w:rsidRPr="0070201F">
        <w:br w:type="page"/>
      </w:r>
      <w:r w:rsidRPr="0070201F">
        <w:lastRenderedPageBreak/>
        <w:t>(7)</w:t>
      </w:r>
      <w:r w:rsidRPr="0070201F">
        <w:tab/>
        <w:t>„достатъчно количество на местообитанието“ означава количеството на местообитание на вид, което дава възможност да бъдат изпълнени екологичните изисквания на даден вид на всеки етап от биологичния му цикъл, така че той да се запази в дългосрочен план като жизнеспособен компонент на местообитанието си в своя естествен ареал</w:t>
      </w:r>
      <w:r w:rsidRPr="0070201F">
        <w:rPr>
          <w:b/>
          <w:i/>
        </w:rPr>
        <w:t>, като допринася за постигането или поддържането на благоприятен природозащитен статус на видовете съгласно член 1, буква и) от Директива 92/43/ЕИО за видовете, изброени в приложение II, IV или V към посочената директива, и спомага за опазването на популациите на видовете диви птици, обхванати от Директива 2009/147/ЕО</w:t>
      </w:r>
      <w:r w:rsidRPr="0070201F">
        <w:rPr>
          <w:rFonts w:ascii="TimesNewRomanPS-BoldMT" w:hAnsi="TimesNewRomanPS-BoldMT"/>
          <w:b/>
          <w:i/>
          <w:color w:val="000000"/>
        </w:rPr>
        <w:t xml:space="preserve"> и, в допълнение, в морските екосистеми, като допринася за постигането или поддържането на добро състояние на околната среда в съответствие с член 3, точка 5 от Директива 2008/56/ЕО</w:t>
      </w:r>
      <w:r w:rsidRPr="0070201F">
        <w:t>;</w:t>
      </w:r>
    </w:p>
    <w:p w:rsidR="007D787F" w:rsidRPr="0070201F" w:rsidRDefault="007D787F" w:rsidP="007D787F">
      <w:pPr>
        <w:suppressAutoHyphens/>
        <w:spacing w:before="120" w:after="120" w:line="360" w:lineRule="auto"/>
        <w:ind w:left="851" w:right="-1" w:hanging="851"/>
        <w:rPr>
          <w:rFonts w:eastAsia="Calibri"/>
          <w:b/>
          <w:szCs w:val="22"/>
        </w:rPr>
      </w:pPr>
      <w:r w:rsidRPr="0070201F">
        <w:rPr>
          <w:rFonts w:eastAsia="Calibri"/>
          <w:b/>
          <w:i/>
          <w:szCs w:val="22"/>
        </w:rPr>
        <w:t>(7а)</w:t>
      </w:r>
      <w:r w:rsidRPr="0070201F">
        <w:rPr>
          <w:rFonts w:eastAsia="Calibri"/>
          <w:szCs w:val="22"/>
        </w:rPr>
        <w:tab/>
      </w:r>
      <w:r w:rsidRPr="0070201F">
        <w:rPr>
          <w:rFonts w:eastAsia="Calibri"/>
          <w:b/>
          <w:i/>
          <w:szCs w:val="22"/>
        </w:rPr>
        <w:t>„влошаване на състоянието“ означава причиняване на нетно неблагоприятно въздействие върху типовете местообитания и местообитанията на видовете, обхванати от член 4, параграфи 6 и 7 и член 5, параграфи 6 и 7, доколкото това въздействие може да бъде значително по отношение на общата цел по членове 4 и 5 за поддържане или възстановяване на тези типове местообитания и местообитания на видовете до благоприятен природозащитен статус на национално равнище и – в зависимост от типа местообитание или местообитанието на съответния вид – на биогеографско равнище.</w:t>
      </w:r>
      <w:r w:rsidRPr="0070201F">
        <w:rPr>
          <w:rFonts w:eastAsia="Calibri"/>
          <w:b/>
          <w:szCs w:val="22"/>
        </w:rPr>
        <w:t xml:space="preserve"> [Изм. 117</w:t>
      </w:r>
      <w:r w:rsidR="0016114A" w:rsidRPr="00223ACF">
        <w:rPr>
          <w:rFonts w:eastAsia="Calibri"/>
          <w:b/>
          <w:szCs w:val="22"/>
        </w:rPr>
        <w:t>/</w:t>
      </w:r>
      <w:r w:rsidR="0016114A" w:rsidRPr="0070201F">
        <w:rPr>
          <w:rFonts w:eastAsia="Calibri"/>
          <w:b/>
          <w:szCs w:val="22"/>
          <w:lang w:val="fr-FR"/>
        </w:rPr>
        <w:t>rev</w:t>
      </w:r>
      <w:r w:rsidR="0016114A" w:rsidRPr="00223ACF">
        <w:rPr>
          <w:rFonts w:eastAsia="Calibri"/>
          <w:b/>
          <w:szCs w:val="22"/>
        </w:rPr>
        <w:t>1</w:t>
      </w:r>
      <w:r w:rsidRPr="0070201F">
        <w:rPr>
          <w:rFonts w:eastAsia="Calibri"/>
          <w:b/>
          <w:szCs w:val="22"/>
        </w:rPr>
        <w:t>]</w:t>
      </w:r>
    </w:p>
    <w:p w:rsidR="006173E9" w:rsidRPr="0070201F" w:rsidRDefault="006173E9" w:rsidP="006173E9">
      <w:pPr>
        <w:suppressAutoHyphens/>
        <w:spacing w:before="120" w:after="120" w:line="360" w:lineRule="auto"/>
        <w:ind w:left="851" w:right="-1" w:hanging="851"/>
        <w:rPr>
          <w:rFonts w:eastAsia="Calibri"/>
          <w:szCs w:val="22"/>
        </w:rPr>
      </w:pPr>
      <w:r w:rsidRPr="0070201F">
        <w:t>(8)</w:t>
      </w:r>
      <w:r w:rsidRPr="0070201F">
        <w:tab/>
        <w:t xml:space="preserve">„опрашител“ означава диво </w:t>
      </w:r>
      <w:r w:rsidRPr="0070201F">
        <w:rPr>
          <w:b/>
          <w:bCs/>
          <w:i/>
          <w:iCs/>
        </w:rPr>
        <w:t>насекомо</w:t>
      </w:r>
      <w:r w:rsidRPr="0070201F">
        <w:t>, което пренася цветен прашец от прашника на дадено растение до близалцето на дадено растение, което дава възможност за оплождането и производството на семена;</w:t>
      </w:r>
    </w:p>
    <w:p w:rsidR="006173E9" w:rsidRPr="0070201F" w:rsidRDefault="006173E9" w:rsidP="006173E9">
      <w:pPr>
        <w:suppressAutoHyphens/>
        <w:spacing w:before="120" w:after="120" w:line="360" w:lineRule="auto"/>
        <w:ind w:left="851" w:right="-1" w:hanging="851"/>
        <w:rPr>
          <w:rFonts w:eastAsia="Calibri"/>
          <w:b/>
          <w:color w:val="000000"/>
          <w:szCs w:val="22"/>
          <w:u w:val="single"/>
        </w:rPr>
      </w:pPr>
      <w:r w:rsidRPr="0070201F">
        <w:t>(9)</w:t>
      </w:r>
      <w:r w:rsidRPr="0070201F">
        <w:tab/>
        <w:t xml:space="preserve">„намаляване на популациите на опрашителите“ означава намаляване на изобилието или многообразието, или и двете, на </w:t>
      </w:r>
      <w:r w:rsidRPr="0070201F">
        <w:rPr>
          <w:color w:val="000000"/>
        </w:rPr>
        <w:t>опрашителите</w:t>
      </w:r>
      <w:r w:rsidRPr="0070201F">
        <w:t>;</w:t>
      </w:r>
    </w:p>
    <w:p w:rsidR="006173E9" w:rsidRPr="0070201F" w:rsidRDefault="006173E9" w:rsidP="006173E9">
      <w:pPr>
        <w:suppressAutoHyphens/>
        <w:spacing w:before="120" w:after="120" w:line="360" w:lineRule="auto"/>
        <w:ind w:left="851" w:right="-1" w:hanging="851"/>
        <w:rPr>
          <w:rFonts w:eastAsia="Calibri"/>
          <w:i/>
          <w:color w:val="000000"/>
          <w:szCs w:val="22"/>
          <w:shd w:val="clear" w:color="auto" w:fill="FFFFFF"/>
        </w:rPr>
      </w:pPr>
      <w:r w:rsidRPr="0070201F">
        <w:rPr>
          <w:i/>
          <w:color w:val="000000"/>
        </w:rPr>
        <w:t>(</w:t>
      </w:r>
      <w:r w:rsidRPr="0070201F">
        <w:rPr>
          <w:b/>
          <w:i/>
        </w:rPr>
        <w:t>9a)</w:t>
      </w:r>
      <w:r w:rsidRPr="0070201F">
        <w:rPr>
          <w:b/>
          <w:i/>
        </w:rPr>
        <w:tab/>
      </w:r>
      <w:r w:rsidRPr="0070201F">
        <w:rPr>
          <w:b/>
          <w:bCs/>
          <w:i/>
          <w:iCs/>
        </w:rPr>
        <w:t>„местен дървесен вид“ означава дървесен вид, който се среща в рамките на своя естествен ареал</w:t>
      </w:r>
      <w:bookmarkStart w:id="30" w:name="_Hlk131598940"/>
      <w:r w:rsidRPr="0070201F">
        <w:rPr>
          <w:b/>
          <w:bCs/>
          <w:i/>
          <w:iCs/>
        </w:rPr>
        <w:t xml:space="preserve"> (предишен или настоящ) и район на разпространение (т.е. в рамките на ареала, който заема естествено или който би могъл да заема без пряко или непряко въвеждане или грижа от страна на човека);</w:t>
      </w:r>
      <w:r w:rsidRPr="0070201F">
        <w:rPr>
          <w:b/>
          <w:i/>
        </w:rPr>
        <w:t xml:space="preserve"> </w:t>
      </w:r>
    </w:p>
    <w:p w:rsidR="006173E9" w:rsidRPr="0070201F" w:rsidRDefault="006173E9" w:rsidP="006173E9">
      <w:pPr>
        <w:suppressAutoHyphens/>
        <w:spacing w:before="120" w:after="120" w:line="360" w:lineRule="auto"/>
        <w:ind w:left="851" w:right="-1" w:hanging="851"/>
        <w:rPr>
          <w:rFonts w:eastAsia="Calibri"/>
          <w:color w:val="000000"/>
          <w:szCs w:val="22"/>
        </w:rPr>
      </w:pPr>
      <w:r w:rsidRPr="0070201F">
        <w:t>(10)</w:t>
      </w:r>
      <w:r w:rsidRPr="0070201F">
        <w:tab/>
        <w:t>„местна административна единица“ или „LAU“ означава административно подразделение на ниско ниво на държава членка, под нивото на провинция, регион или държава, създадено в съответствие с член 4</w:t>
      </w:r>
      <w:r w:rsidRPr="0070201F">
        <w:rPr>
          <w:color w:val="000000"/>
        </w:rPr>
        <w:t xml:space="preserve"> от Регламент (ЕО) № 1059/2003 на </w:t>
      </w:r>
      <w:r w:rsidRPr="0070201F">
        <w:rPr>
          <w:color w:val="000000"/>
        </w:rPr>
        <w:lastRenderedPageBreak/>
        <w:t>Европейския парламент и на Съвета</w:t>
      </w:r>
      <w:r w:rsidRPr="0070201F">
        <w:rPr>
          <w:rFonts w:eastAsia="Calibri"/>
          <w:color w:val="000000"/>
          <w:vertAlign w:val="superscript"/>
        </w:rPr>
        <w:footnoteReference w:id="71"/>
      </w:r>
      <w:r w:rsidRPr="0070201F">
        <w:t>;</w:t>
      </w:r>
    </w:p>
    <w:p w:rsidR="006173E9" w:rsidRPr="0070201F" w:rsidRDefault="006173E9" w:rsidP="006173E9">
      <w:pPr>
        <w:suppressAutoHyphens/>
        <w:spacing w:before="120" w:after="120" w:line="360" w:lineRule="auto"/>
        <w:ind w:left="851" w:right="-1" w:hanging="851"/>
        <w:rPr>
          <w:rFonts w:eastAsia="Calibri"/>
          <w:b/>
          <w:i/>
          <w:szCs w:val="22"/>
        </w:rPr>
      </w:pPr>
      <w:r w:rsidRPr="0070201F">
        <w:rPr>
          <w:b/>
          <w:i/>
        </w:rPr>
        <w:t>(10a)</w:t>
      </w:r>
      <w:r w:rsidRPr="0070201F">
        <w:rPr>
          <w:b/>
          <w:i/>
        </w:rPr>
        <w:tab/>
      </w:r>
      <w:r w:rsidRPr="0070201F">
        <w:rPr>
          <w:b/>
          <w:bCs/>
          <w:i/>
          <w:iCs/>
        </w:rPr>
        <w:t xml:space="preserve">„градски центрове“ и „клъстери от градски тип“ означава териториални единици, класифицирани в градовете и по-малките градове и предградията съгласно основаната на координатната мрежа типология, установена в съответствие с член 4б, параграф 2 от </w:t>
      </w:r>
      <w:bookmarkStart w:id="31" w:name="_Hlk136856956"/>
      <w:r w:rsidRPr="0070201F">
        <w:rPr>
          <w:b/>
          <w:bCs/>
          <w:i/>
          <w:iCs/>
        </w:rPr>
        <w:t>Регламент (ЕО) № 1059/2003</w:t>
      </w:r>
      <w:bookmarkEnd w:id="31"/>
      <w:r w:rsidRPr="0070201F">
        <w:rPr>
          <w:b/>
          <w:bCs/>
          <w:i/>
          <w:iCs/>
        </w:rPr>
        <w:t>;</w:t>
      </w:r>
    </w:p>
    <w:p w:rsidR="006173E9" w:rsidRPr="0070201F" w:rsidRDefault="006173E9" w:rsidP="006173E9">
      <w:pPr>
        <w:suppressAutoHyphens/>
        <w:spacing w:before="120" w:after="120" w:line="360" w:lineRule="auto"/>
        <w:ind w:left="851" w:right="-1" w:hanging="851"/>
        <w:rPr>
          <w:rFonts w:eastAsia="Calibri"/>
          <w:szCs w:val="22"/>
        </w:rPr>
      </w:pPr>
      <w:r w:rsidRPr="0070201F">
        <w:t>(11)</w:t>
      </w:r>
      <w:r w:rsidRPr="0070201F">
        <w:tab/>
        <w:t xml:space="preserve">„градове“ означава LAU, в които най-малко 50 % от населението живее в един или повече градски центрове, измерени чрез </w:t>
      </w:r>
      <w:r w:rsidRPr="0070201F">
        <w:rPr>
          <w:color w:val="000000"/>
          <w:shd w:val="clear" w:color="auto" w:fill="FFFFFF"/>
        </w:rPr>
        <w:t>степента на урбанизация, установена в съответствие с член 4б, параграф 3, буква а) от</w:t>
      </w:r>
      <w:r w:rsidRPr="0070201F">
        <w:rPr>
          <w:color w:val="000000"/>
        </w:rPr>
        <w:t xml:space="preserve"> Регламент (ЕО) № 1059/2003</w:t>
      </w:r>
      <w:r w:rsidRPr="0070201F">
        <w:t>;</w:t>
      </w:r>
    </w:p>
    <w:p w:rsidR="006173E9" w:rsidRPr="0070201F" w:rsidRDefault="006173E9" w:rsidP="006173E9">
      <w:pPr>
        <w:suppressAutoHyphens/>
        <w:spacing w:before="120" w:after="120" w:line="360" w:lineRule="auto"/>
        <w:ind w:left="851" w:right="-1" w:hanging="851"/>
        <w:rPr>
          <w:rFonts w:eastAsia="Calibri"/>
          <w:szCs w:val="22"/>
        </w:rPr>
      </w:pPr>
      <w:r w:rsidRPr="0070201F">
        <w:t>(12)</w:t>
      </w:r>
      <w:r w:rsidRPr="0070201F">
        <w:tab/>
        <w:t xml:space="preserve">„по-малки градове и предградия“ означава LAU, в които по-малко от 50 % от населението живее в градски център, но най-малко 50 % от него живее в клъстер от градски тип, измерени чрез </w:t>
      </w:r>
      <w:r w:rsidRPr="0070201F">
        <w:rPr>
          <w:color w:val="000000"/>
          <w:shd w:val="clear" w:color="auto" w:fill="FFFFFF"/>
        </w:rPr>
        <w:t>степента на урбанизация, установена</w:t>
      </w:r>
      <w:r w:rsidRPr="0070201F">
        <w:t xml:space="preserve"> </w:t>
      </w:r>
      <w:r w:rsidRPr="0070201F">
        <w:rPr>
          <w:color w:val="000000"/>
          <w:shd w:val="clear" w:color="auto" w:fill="FFFFFF"/>
        </w:rPr>
        <w:t>в съответствие с член 4б, параграф 3, буква а) от</w:t>
      </w:r>
      <w:r w:rsidRPr="0070201F">
        <w:rPr>
          <w:color w:val="000000"/>
        </w:rPr>
        <w:t xml:space="preserve"> Регламент (ЕО) № 1059/2003;</w:t>
      </w:r>
    </w:p>
    <w:p w:rsidR="006173E9" w:rsidRPr="0070201F" w:rsidRDefault="006173E9" w:rsidP="006173E9">
      <w:pPr>
        <w:suppressAutoHyphens/>
        <w:spacing w:before="120" w:after="120" w:line="360" w:lineRule="auto"/>
        <w:ind w:left="851" w:right="-1" w:hanging="851"/>
        <w:rPr>
          <w:rFonts w:eastAsia="Calibri"/>
          <w:b/>
          <w:i/>
          <w:color w:val="000000"/>
          <w:szCs w:val="22"/>
        </w:rPr>
      </w:pPr>
      <w:r w:rsidRPr="0070201F">
        <w:rPr>
          <w:b/>
          <w:i/>
          <w:color w:val="000000"/>
        </w:rPr>
        <w:t xml:space="preserve">(12a) </w:t>
      </w:r>
      <w:r w:rsidRPr="0070201F">
        <w:rPr>
          <w:b/>
          <w:i/>
          <w:color w:val="000000"/>
        </w:rPr>
        <w:tab/>
        <w:t>„периферни градски райони“ означава райони в съседство с градски центрове или клъстери от градски тип, включващи най-малко всички райони в рамките на 1 километър, измерено от външните граници на тези градски центрове или клъстери от градски тип, и разположени в същия град или същия по-малък град и предградие като тези градски центрове или клъстери от градски тип;</w:t>
      </w:r>
    </w:p>
    <w:p w:rsidR="006173E9" w:rsidRPr="0070201F" w:rsidRDefault="006173E9" w:rsidP="006173E9">
      <w:pPr>
        <w:suppressAutoHyphens/>
        <w:spacing w:before="120" w:after="120" w:line="360" w:lineRule="auto"/>
        <w:ind w:left="851" w:right="-1" w:hanging="851"/>
        <w:rPr>
          <w:rFonts w:eastAsia="Calibri"/>
          <w:szCs w:val="22"/>
        </w:rPr>
      </w:pPr>
      <w:r w:rsidRPr="0070201F">
        <w:t>(13)</w:t>
      </w:r>
      <w:r w:rsidRPr="0070201F">
        <w:tab/>
        <w:t xml:space="preserve">„градско зелено пространство“ означава </w:t>
      </w:r>
      <w:r w:rsidRPr="0070201F">
        <w:rPr>
          <w:b/>
          <w:bCs/>
          <w:i/>
          <w:iCs/>
        </w:rPr>
        <w:t>общата площ, заемана от дървета, храсти, храсталаци, постоянна тревна растителност, лишеи и мъхове, езера и водни течения</w:t>
      </w:r>
      <w:r w:rsidRPr="0070201F">
        <w:t xml:space="preserve">, които се срещат в градовете или по-малките градове и предградията, </w:t>
      </w:r>
      <w:bookmarkStart w:id="32" w:name="_Hlk133232176"/>
      <w:r w:rsidRPr="0070201F">
        <w:t>изчислена въз основа на данните, предоставени от услугата за мониторинг на земната повърхност на „Коперник“, създадена с Регламент (ЕС) 2021/696 на Европейския парламент и на Съвета</w:t>
      </w:r>
      <w:r w:rsidRPr="0070201F">
        <w:rPr>
          <w:rFonts w:eastAsia="Calibri"/>
          <w:szCs w:val="22"/>
          <w:vertAlign w:val="superscript"/>
        </w:rPr>
        <w:footnoteReference w:id="72"/>
      </w:r>
      <w:r w:rsidRPr="0070201F">
        <w:rPr>
          <w:b/>
          <w:bCs/>
          <w:i/>
          <w:iCs/>
        </w:rPr>
        <w:t>, и ако са налични за съответната държава членка, други подходящи допълнителни данни, предоставени от тази държава членка</w:t>
      </w:r>
      <w:r w:rsidRPr="0070201F">
        <w:t>;</w:t>
      </w:r>
      <w:bookmarkEnd w:id="32"/>
    </w:p>
    <w:p w:rsidR="006173E9" w:rsidRPr="0070201F" w:rsidRDefault="006173E9" w:rsidP="006173E9">
      <w:pPr>
        <w:suppressAutoHyphens/>
        <w:spacing w:before="120" w:after="120" w:line="360" w:lineRule="auto"/>
        <w:ind w:left="851" w:right="-1" w:hanging="851"/>
        <w:rPr>
          <w:rFonts w:eastAsia="Calibri"/>
          <w:szCs w:val="22"/>
        </w:rPr>
      </w:pPr>
      <w:r w:rsidRPr="0070201F">
        <w:br w:type="page"/>
      </w:r>
      <w:r w:rsidRPr="0070201F">
        <w:lastRenderedPageBreak/>
        <w:t>(14)</w:t>
      </w:r>
      <w:r w:rsidRPr="0070201F">
        <w:tab/>
      </w:r>
      <w:bookmarkStart w:id="33" w:name="_Hlk133171975"/>
      <w:r w:rsidRPr="0070201F">
        <w:t>„покритие на дървесните корони в градските зони“ означава общата площ на дървесната покривка в градовете и по-малките градове и предградията, изчислена въз основа на данните за плътността на дървесната покривка, предоставени от услугата за мониторинг на земната повърхност на „Коперник“, създадена с Регламент (ЕС) 2021/696 на Европейския парламент и на Съвета</w:t>
      </w:r>
      <w:r w:rsidRPr="0070201F">
        <w:rPr>
          <w:b/>
          <w:i/>
        </w:rPr>
        <w:t>, и ако са налични за съответната държава членка, други подходящи допълнителни данни, предоставени от тази държава членка</w:t>
      </w:r>
      <w:r w:rsidRPr="0070201F">
        <w:t>;</w:t>
      </w:r>
      <w:bookmarkEnd w:id="33"/>
    </w:p>
    <w:bookmarkEnd w:id="30"/>
    <w:p w:rsidR="006173E9" w:rsidRPr="0070201F" w:rsidRDefault="006173E9" w:rsidP="006173E9">
      <w:pPr>
        <w:suppressAutoHyphens/>
        <w:spacing w:before="120" w:after="120" w:line="360" w:lineRule="auto"/>
        <w:ind w:left="851" w:right="-1" w:hanging="851"/>
        <w:rPr>
          <w:rFonts w:eastAsia="Calibri"/>
          <w:i/>
          <w:sz w:val="28"/>
        </w:rPr>
      </w:pPr>
      <w:r w:rsidRPr="0070201F">
        <w:rPr>
          <w:b/>
          <w:i/>
        </w:rPr>
        <w:t>(14a)</w:t>
      </w:r>
      <w:r w:rsidRPr="0070201F">
        <w:rPr>
          <w:b/>
          <w:i/>
        </w:rPr>
        <w:tab/>
        <w:t>„свободно течаща река“ означава река или участък от река, чиято надлъжна, напречна и вертикална свързаност не е възпрепятствана от изкуствени структури, образуващи преграда, и чиито естествени функции са до голяма степен незасегнати;</w:t>
      </w:r>
      <w:r w:rsidRPr="0070201F">
        <w:rPr>
          <w:i/>
          <w:sz w:val="28"/>
        </w:rPr>
        <w:t xml:space="preserve"> </w:t>
      </w:r>
    </w:p>
    <w:p w:rsidR="006173E9" w:rsidRPr="0070201F" w:rsidRDefault="006173E9" w:rsidP="006173E9">
      <w:pPr>
        <w:suppressAutoHyphens/>
        <w:spacing w:before="120" w:after="120" w:line="360" w:lineRule="auto"/>
        <w:ind w:left="851" w:right="-1" w:hanging="851"/>
        <w:rPr>
          <w:rFonts w:eastAsia="Calibri"/>
          <w:i/>
          <w:szCs w:val="22"/>
        </w:rPr>
      </w:pPr>
      <w:bookmarkStart w:id="34" w:name="_Hlk133242023"/>
      <w:r w:rsidRPr="0070201F">
        <w:rPr>
          <w:b/>
          <w:i/>
        </w:rPr>
        <w:t>(14б)</w:t>
      </w:r>
      <w:r w:rsidRPr="0070201F">
        <w:rPr>
          <w:i/>
        </w:rPr>
        <w:tab/>
      </w:r>
      <w:r w:rsidRPr="0070201F">
        <w:rPr>
          <w:b/>
          <w:i/>
        </w:rPr>
        <w:t>„възстановяване на влагата в торфище“ означава процес на превръщане на пресушената торфена почва във влажна почва;</w:t>
      </w:r>
    </w:p>
    <w:bookmarkEnd w:id="34"/>
    <w:p w:rsidR="006173E9" w:rsidRPr="0070201F" w:rsidRDefault="006173E9" w:rsidP="006173E9">
      <w:pPr>
        <w:spacing w:after="200" w:line="276" w:lineRule="auto"/>
        <w:ind w:left="851" w:hanging="851"/>
        <w:rPr>
          <w:rFonts w:eastAsia="Calibri"/>
          <w:szCs w:val="22"/>
        </w:rPr>
      </w:pPr>
      <w:r w:rsidRPr="0070201F">
        <w:t>(15)</w:t>
      </w:r>
      <w:r w:rsidRPr="0070201F">
        <w:tab/>
        <w:t xml:space="preserve">„зона за </w:t>
      </w:r>
      <w:r w:rsidRPr="0070201F">
        <w:rPr>
          <w:b/>
          <w:i/>
        </w:rPr>
        <w:t>ускорено внедряване</w:t>
      </w:r>
      <w:r w:rsidRPr="0070201F">
        <w:t xml:space="preserve"> на енергия от възобновяеми източници“ означава зона за </w:t>
      </w:r>
      <w:r w:rsidRPr="0070201F">
        <w:rPr>
          <w:b/>
          <w:i/>
        </w:rPr>
        <w:t>ускорено внедряване</w:t>
      </w:r>
      <w:r w:rsidRPr="0070201F">
        <w:t xml:space="preserve"> на енергия от възобновяеми източници съгласно определението в член 2, точка 9а от Директива 2018/2001/ЕС на Европейския парламент и на Съвета</w:t>
      </w:r>
      <w:r w:rsidRPr="0070201F">
        <w:rPr>
          <w:rFonts w:eastAsia="Calibri"/>
          <w:szCs w:val="22"/>
          <w:vertAlign w:val="superscript"/>
        </w:rPr>
        <w:footnoteReference w:id="73"/>
      </w:r>
      <w:r w:rsidRPr="0070201F">
        <w:t>.</w:t>
      </w:r>
      <w:r w:rsidRPr="0070201F">
        <w:rPr>
          <w:b/>
          <w:u w:val="single"/>
        </w:rPr>
        <w:t xml:space="preserve"> </w:t>
      </w:r>
      <w:r w:rsidRPr="0070201F">
        <w:br w:type="page"/>
      </w:r>
    </w:p>
    <w:p w:rsidR="006173E9" w:rsidRPr="0070201F" w:rsidRDefault="006173E9" w:rsidP="006173E9">
      <w:pPr>
        <w:keepNext/>
        <w:suppressAutoHyphens/>
        <w:spacing w:before="360" w:after="360" w:line="360" w:lineRule="auto"/>
        <w:jc w:val="center"/>
        <w:outlineLvl w:val="0"/>
        <w:rPr>
          <w:b/>
          <w:bCs/>
          <w:smallCaps/>
          <w:sz w:val="32"/>
          <w:szCs w:val="28"/>
        </w:rPr>
      </w:pPr>
      <w:r w:rsidRPr="0070201F">
        <w:rPr>
          <w:b/>
          <w:smallCaps/>
          <w:sz w:val="32"/>
        </w:rPr>
        <w:lastRenderedPageBreak/>
        <w:t>ГЛАВА II</w:t>
      </w:r>
      <w:r w:rsidRPr="0070201F">
        <w:rPr>
          <w:b/>
          <w:smallCaps/>
          <w:sz w:val="32"/>
        </w:rPr>
        <w:br/>
        <w:t>ЦЕЛИ И ЗАДЪЛЖЕНИЯ ЗА ВЪЗСТАНОВЯВАНЕ</w:t>
      </w:r>
    </w:p>
    <w:p w:rsidR="006173E9" w:rsidRPr="0070201F" w:rsidRDefault="006173E9" w:rsidP="006173E9">
      <w:pPr>
        <w:keepNext/>
        <w:suppressAutoHyphens/>
        <w:spacing w:before="360" w:after="120" w:line="360" w:lineRule="auto"/>
        <w:ind w:right="140"/>
        <w:jc w:val="center"/>
        <w:outlineLvl w:val="1"/>
        <w:rPr>
          <w:i/>
          <w:szCs w:val="26"/>
        </w:rPr>
      </w:pPr>
      <w:r w:rsidRPr="0070201F">
        <w:t>Член 4</w:t>
      </w:r>
      <w:r w:rsidRPr="0070201F">
        <w:br/>
      </w:r>
      <w:r w:rsidRPr="0070201F">
        <w:rPr>
          <w:i/>
        </w:rPr>
        <w:t>Възстановяване на сухоземни, крайбрежни и сладководни екосистеми</w:t>
      </w:r>
    </w:p>
    <w:p w:rsidR="006173E9" w:rsidRPr="0070201F" w:rsidRDefault="006173E9" w:rsidP="006173E9">
      <w:pPr>
        <w:suppressAutoHyphens/>
        <w:spacing w:before="120" w:after="120" w:line="360" w:lineRule="auto"/>
        <w:ind w:left="1134" w:right="140" w:hanging="567"/>
        <w:rPr>
          <w:rFonts w:eastAsia="Calibri"/>
          <w:b/>
          <w:bCs/>
          <w:szCs w:val="22"/>
        </w:rPr>
      </w:pPr>
      <w:r w:rsidRPr="0070201F">
        <w:t>1.</w:t>
      </w:r>
      <w:r w:rsidRPr="0070201F">
        <w:tab/>
        <w:t xml:space="preserve">Държавите членки </w:t>
      </w:r>
      <w:r w:rsidR="007D787F" w:rsidRPr="0070201F">
        <w:rPr>
          <w:b/>
          <w:i/>
        </w:rPr>
        <w:t>се стремят към въвеждането на</w:t>
      </w:r>
      <w:r w:rsidR="007D787F" w:rsidRPr="0070201F">
        <w:t xml:space="preserve"> </w:t>
      </w:r>
      <w:r w:rsidRPr="0070201F">
        <w:t xml:space="preserve"> мерките за възстановяване</w:t>
      </w:r>
      <w:r w:rsidR="007D787F" w:rsidRPr="0070201F">
        <w:t xml:space="preserve"> </w:t>
      </w:r>
      <w:r w:rsidR="007D787F" w:rsidRPr="0070201F">
        <w:rPr>
          <w:b/>
          <w:i/>
        </w:rPr>
        <w:t>в защитените зони по „Натура 2000“</w:t>
      </w:r>
      <w:r w:rsidRPr="0070201F">
        <w:t xml:space="preserve">, които са необходими за </w:t>
      </w:r>
      <w:r w:rsidR="007D787F" w:rsidRPr="0070201F">
        <w:rPr>
          <w:b/>
          <w:i/>
        </w:rPr>
        <w:t>процеса на достигане на благоприятен природозащитен статус</w:t>
      </w:r>
      <w:r w:rsidR="007D787F" w:rsidRPr="0070201F">
        <w:t xml:space="preserve"> </w:t>
      </w:r>
      <w:r w:rsidRPr="0070201F">
        <w:t xml:space="preserve"> на зоните с типовете местообитания, изброени в приложение I, които не са в добро състояние. </w:t>
      </w:r>
      <w:r w:rsidR="007D787F" w:rsidRPr="0070201F">
        <w:t xml:space="preserve">Такива мерки се прилагат </w:t>
      </w:r>
      <w:r w:rsidR="007D787F" w:rsidRPr="0070201F">
        <w:rPr>
          <w:b/>
          <w:i/>
        </w:rPr>
        <w:t>в зона</w:t>
      </w:r>
      <w:r w:rsidR="007D787F" w:rsidRPr="0070201F">
        <w:t xml:space="preserve"> от </w:t>
      </w:r>
      <w:r w:rsidR="007D787F" w:rsidRPr="0070201F">
        <w:rPr>
          <w:b/>
          <w:i/>
        </w:rPr>
        <w:t>мрежата</w:t>
      </w:r>
      <w:r w:rsidR="007D787F" w:rsidRPr="0070201F">
        <w:t xml:space="preserve"> на </w:t>
      </w:r>
      <w:r w:rsidR="007D787F" w:rsidRPr="0070201F">
        <w:rPr>
          <w:b/>
          <w:i/>
        </w:rPr>
        <w:t>„Натура 2000“ с</w:t>
      </w:r>
      <w:r w:rsidR="007D787F" w:rsidRPr="0070201F">
        <w:t xml:space="preserve"> типове местообитания, изброени в приложение I, </w:t>
      </w:r>
      <w:r w:rsidR="007D787F" w:rsidRPr="0070201F">
        <w:rPr>
          <w:b/>
          <w:i/>
        </w:rPr>
        <w:t>които</w:t>
      </w:r>
      <w:r w:rsidR="007D787F" w:rsidRPr="0070201F">
        <w:t xml:space="preserve"> не </w:t>
      </w:r>
      <w:r w:rsidR="007D787F" w:rsidRPr="0070201F">
        <w:rPr>
          <w:b/>
          <w:i/>
        </w:rPr>
        <w:t>са</w:t>
      </w:r>
      <w:r w:rsidR="007D787F" w:rsidRPr="0070201F">
        <w:t xml:space="preserve"> в добро състояние съгласно националния план за възстановяване, посочен в член 12.</w:t>
      </w:r>
      <w:r w:rsidR="00FE42A2" w:rsidRPr="00223ACF">
        <w:t xml:space="preserve"> </w:t>
      </w:r>
      <w:r w:rsidR="007D787F" w:rsidRPr="0070201F">
        <w:rPr>
          <w:b/>
        </w:rPr>
        <w:t>[Изм. 21]</w:t>
      </w:r>
    </w:p>
    <w:p w:rsidR="006173E9" w:rsidRPr="0070201F" w:rsidRDefault="006173E9" w:rsidP="006D1A10">
      <w:pPr>
        <w:suppressAutoHyphens/>
        <w:spacing w:before="120" w:after="120" w:line="360" w:lineRule="auto"/>
        <w:ind w:left="567" w:right="140" w:hanging="567"/>
        <w:rPr>
          <w:rFonts w:eastAsia="Calibri"/>
          <w:b/>
          <w:szCs w:val="22"/>
        </w:rPr>
      </w:pPr>
      <w:r w:rsidRPr="0070201F">
        <w:t>2.</w:t>
      </w:r>
      <w:r w:rsidRPr="0070201F">
        <w:tab/>
        <w:t>Държавите членки въвеждат мерките за възстановяване, които са необходими за повторното установяване на типовете местообитания, изброени в приложение I, в зони, които не са обхванати от тези типове местообитания</w:t>
      </w:r>
      <w:r w:rsidRPr="0070201F">
        <w:rPr>
          <w:b/>
          <w:i/>
        </w:rPr>
        <w:t>, с цел постигане на тяхната благоприятна референтна площ</w:t>
      </w:r>
      <w:r w:rsidRPr="0070201F">
        <w:t xml:space="preserve">. Такива мерки се прилагат </w:t>
      </w:r>
      <w:r w:rsidR="006D1A10" w:rsidRPr="0070201F">
        <w:rPr>
          <w:b/>
          <w:i/>
        </w:rPr>
        <w:t>в зоните, необходими за осигуряване изпълнението на целите, посочени в параграф 1 от настоящия</w:t>
      </w:r>
      <w:r w:rsidR="006D1A10" w:rsidRPr="0070201F">
        <w:t xml:space="preserve"> </w:t>
      </w:r>
      <w:r w:rsidRPr="0070201F">
        <w:t>член.</w:t>
      </w:r>
      <w:r w:rsidR="006D1A10" w:rsidRPr="0070201F">
        <w:rPr>
          <w:b/>
        </w:rPr>
        <w:t xml:space="preserve"> [Изм. 99]</w:t>
      </w:r>
    </w:p>
    <w:p w:rsidR="006173E9" w:rsidRPr="0070201F" w:rsidRDefault="006173E9" w:rsidP="006173E9">
      <w:pPr>
        <w:suppressAutoHyphens/>
        <w:spacing w:before="120" w:after="120" w:line="360" w:lineRule="auto"/>
        <w:ind w:left="567" w:right="140" w:hanging="567"/>
        <w:rPr>
          <w:rFonts w:eastAsia="Calibri"/>
          <w:szCs w:val="22"/>
        </w:rPr>
      </w:pPr>
      <w:r w:rsidRPr="0070201F">
        <w:br w:type="page"/>
      </w:r>
      <w:r w:rsidRPr="0070201F">
        <w:lastRenderedPageBreak/>
        <w:t>3.</w:t>
      </w:r>
      <w:r w:rsidRPr="0070201F">
        <w:tab/>
        <w:t>Държавите членки въвеждат мерките за възстановяване на сухоземните, крайбрежните и сладководните местообитания на видовете, изброени в приложения II, IV и V към Директива 92/43/ЕИО, и на сухоземните, крайбрежните и сладководните местообитания на дивите птици, обхванати от Директива 2009/147/ЕО, като тези мерки</w:t>
      </w:r>
      <w:r w:rsidRPr="0070201F">
        <w:rPr>
          <w:b/>
          <w:i/>
        </w:rPr>
        <w:t>, в допълнение към мерките за възстановяване в съответствие с параграфи 1 и 2 от настоящия член,</w:t>
      </w:r>
      <w:r w:rsidRPr="0070201F">
        <w:t xml:space="preserve"> са необходими за подобряване на качеството и количеството на тези местообитания, включително чрез повторното им установяване, както и за подобряване на свързаността, до постигането на достатъчно качество и достатъчно количество на тези местообитания.</w:t>
      </w:r>
    </w:p>
    <w:p w:rsidR="006173E9" w:rsidRPr="0070201F" w:rsidRDefault="006173E9" w:rsidP="006173E9">
      <w:pPr>
        <w:suppressAutoHyphens/>
        <w:spacing w:before="120" w:after="120" w:line="360" w:lineRule="auto"/>
        <w:ind w:left="567" w:right="140" w:hanging="567"/>
        <w:rPr>
          <w:rFonts w:eastAsia="Calibri"/>
          <w:b/>
          <w:szCs w:val="22"/>
          <w:u w:val="single"/>
        </w:rPr>
      </w:pPr>
      <w:r w:rsidRPr="0070201F">
        <w:t>4.</w:t>
      </w:r>
      <w:bookmarkStart w:id="35" w:name="_Hlk136791385"/>
      <w:r w:rsidRPr="0070201F">
        <w:tab/>
        <w:t>Определянето на най-подходящите зони за мерки за възстановяване в съответствие с параграфи 1, 2 и 3 от настоящия член се основава на най-добрите налични знания и най-новите научни доказателства за състоянието на типовете местообитания, изброени в приложение I, определено според структурата и функциите, необходими за дългосрочното им поддържане, включително техните типични видове съгласно член 1, буква д) от Директива 92/43/ЕИО, както и за качеството и количеството на местообитанията на видовете, посочени в параграф 3 от настоящия член</w:t>
      </w:r>
      <w:r w:rsidRPr="0070201F">
        <w:rPr>
          <w:b/>
          <w:bCs/>
          <w:i/>
          <w:iCs/>
        </w:rPr>
        <w:t xml:space="preserve">, като се използва информацията, докладвана съгласно член 17 от Директива 92/43/ЕИО и член 12 от Директива 2009/147/ЕО, </w:t>
      </w:r>
      <w:bookmarkStart w:id="36" w:name="_Hlk136423483"/>
      <w:r w:rsidRPr="0070201F">
        <w:rPr>
          <w:b/>
          <w:i/>
        </w:rPr>
        <w:t xml:space="preserve">, </w:t>
      </w:r>
      <w:r w:rsidRPr="0070201F">
        <w:rPr>
          <w:b/>
          <w:bCs/>
          <w:i/>
          <w:iCs/>
        </w:rPr>
        <w:t>и когато е целесъобразно – като се взема предвид различното състояние в различните региони, както е посочено в член 11, параграф </w:t>
      </w:r>
      <w:bookmarkEnd w:id="35"/>
      <w:bookmarkEnd w:id="36"/>
      <w:r w:rsidRPr="0070201F">
        <w:rPr>
          <w:b/>
          <w:i/>
        </w:rPr>
        <w:t>9a).</w:t>
      </w:r>
    </w:p>
    <w:p w:rsidR="006173E9" w:rsidRPr="0070201F" w:rsidRDefault="006173E9" w:rsidP="006173E9">
      <w:pPr>
        <w:suppressAutoHyphens/>
        <w:spacing w:before="120" w:after="120" w:line="360" w:lineRule="auto"/>
        <w:ind w:left="567" w:right="140" w:hanging="567"/>
        <w:rPr>
          <w:rFonts w:eastAsia="Calibri"/>
          <w:b/>
          <w:i/>
          <w:szCs w:val="22"/>
        </w:rPr>
      </w:pPr>
      <w:r w:rsidRPr="0070201F">
        <w:rPr>
          <w:b/>
          <w:i/>
        </w:rPr>
        <w:t>4а.</w:t>
      </w:r>
      <w:r w:rsidRPr="0070201F">
        <w:rPr>
          <w:b/>
          <w:i/>
        </w:rPr>
        <w:tab/>
        <w:t>Най-късно до 2030 г. държавите членки гарантират, че състоянието е известно за най-малко 90% от площта, разпределена във всички типове местообитания, изброени в приложение I. Състоянието на всички зони на типовете местообитания, изброени в приложение I, трябва да е известно до 2040 г.</w:t>
      </w:r>
    </w:p>
    <w:p w:rsidR="006173E9" w:rsidRPr="0070201F" w:rsidRDefault="006173E9" w:rsidP="006173E9">
      <w:pPr>
        <w:suppressAutoHyphens/>
        <w:spacing w:before="120" w:after="120" w:line="360" w:lineRule="auto"/>
        <w:ind w:left="567" w:right="140" w:hanging="567"/>
        <w:rPr>
          <w:rFonts w:eastAsia="Calibri"/>
          <w:szCs w:val="22"/>
        </w:rPr>
      </w:pPr>
      <w:r w:rsidRPr="0070201F">
        <w:t>5.</w:t>
      </w:r>
      <w:r w:rsidRPr="0070201F">
        <w:tab/>
        <w:t>При мерките за възстановяване, посочени в параграфи 1 и 2, се обръща внимание на необходимостта от подобряване на свързаността между типовете местообитания, изброени в приложение I, и се вземат предвид екологичните изисквания на видовете, посочени в параграф 3, които се срещат в тези типове местообитания.</w:t>
      </w:r>
    </w:p>
    <w:p w:rsidR="006173E9" w:rsidRPr="0070201F" w:rsidRDefault="006173E9" w:rsidP="0016114A">
      <w:pPr>
        <w:suppressAutoHyphens/>
        <w:spacing w:before="120" w:after="120" w:line="360" w:lineRule="auto"/>
        <w:ind w:left="567" w:right="140" w:hanging="567"/>
        <w:rPr>
          <w:rFonts w:eastAsia="Calibri"/>
          <w:b/>
          <w:szCs w:val="22"/>
        </w:rPr>
      </w:pPr>
      <w:r w:rsidRPr="0070201F">
        <w:br w:type="page"/>
      </w:r>
      <w:r w:rsidRPr="0070201F">
        <w:lastRenderedPageBreak/>
        <w:t>6.</w:t>
      </w:r>
      <w:r w:rsidRPr="0070201F">
        <w:tab/>
        <w:t xml:space="preserve">Държавите членки </w:t>
      </w:r>
      <w:r w:rsidR="006D1A10" w:rsidRPr="0070201F">
        <w:rPr>
          <w:b/>
          <w:i/>
        </w:rPr>
        <w:t>се стремят да</w:t>
      </w:r>
      <w:r w:rsidR="006D1A10" w:rsidRPr="0070201F">
        <w:t xml:space="preserve"> </w:t>
      </w:r>
      <w:r w:rsidRPr="0070201F">
        <w:t xml:space="preserve">гарантират, че </w:t>
      </w:r>
      <w:r w:rsidR="006D1A10" w:rsidRPr="0070201F">
        <w:rPr>
          <w:b/>
          <w:i/>
        </w:rPr>
        <w:t>общата национална площ в</w:t>
      </w:r>
      <w:r w:rsidR="006D1A10" w:rsidRPr="0070201F">
        <w:t xml:space="preserve"> </w:t>
      </w:r>
      <w:r w:rsidRPr="0070201F">
        <w:t>добро състояние</w:t>
      </w:r>
      <w:r w:rsidR="006D1A10" w:rsidRPr="0070201F">
        <w:t xml:space="preserve"> </w:t>
      </w:r>
      <w:r w:rsidR="006D1A10" w:rsidRPr="0070201F">
        <w:rPr>
          <w:b/>
          <w:i/>
        </w:rPr>
        <w:t>и общата площ с достатъчно добро качество</w:t>
      </w:r>
      <w:r w:rsidR="00B61A21" w:rsidRPr="0070201F">
        <w:t xml:space="preserve"> </w:t>
      </w:r>
      <w:r w:rsidRPr="0070201F">
        <w:t xml:space="preserve">на местообитанията на видовете, посочени в </w:t>
      </w:r>
      <w:r w:rsidR="00B61A21" w:rsidRPr="0070201F">
        <w:rPr>
          <w:b/>
          <w:i/>
        </w:rPr>
        <w:t>параграфи 1, 2 и 3, не намаляват значително с течение на времето</w:t>
      </w:r>
      <w:r w:rsidRPr="0070201F">
        <w:t>.</w:t>
      </w:r>
      <w:r w:rsidR="00B61A21" w:rsidRPr="0070201F">
        <w:rPr>
          <w:b/>
        </w:rPr>
        <w:t xml:space="preserve"> [Изм. 100]</w:t>
      </w:r>
    </w:p>
    <w:p w:rsidR="00D45CA0" w:rsidRDefault="00B61A21" w:rsidP="006173E9">
      <w:pPr>
        <w:suppressAutoHyphens/>
        <w:spacing w:before="120" w:after="120" w:line="360" w:lineRule="auto"/>
        <w:ind w:left="567" w:right="140" w:hanging="567"/>
        <w:rPr>
          <w:b/>
        </w:rPr>
      </w:pPr>
      <w:bookmarkStart w:id="37" w:name="_Hlk137239464"/>
      <w:r w:rsidRPr="0070201F">
        <w:t xml:space="preserve">▌ </w:t>
      </w:r>
      <w:bookmarkStart w:id="38" w:name="_Hlk129768019"/>
      <w:bookmarkEnd w:id="37"/>
      <w:r w:rsidRPr="0070201F">
        <w:rPr>
          <w:b/>
        </w:rPr>
        <w:t xml:space="preserve"> [Изм. 25, 101 и 121]</w:t>
      </w:r>
      <w:bookmarkEnd w:id="38"/>
    </w:p>
    <w:p w:rsidR="006173E9" w:rsidRPr="0070201F" w:rsidRDefault="006173E9" w:rsidP="006173E9">
      <w:pPr>
        <w:suppressAutoHyphens/>
        <w:spacing w:before="120" w:after="120" w:line="360" w:lineRule="auto"/>
        <w:ind w:left="567" w:right="140" w:hanging="567"/>
        <w:rPr>
          <w:rFonts w:eastAsia="Calibri"/>
          <w:szCs w:val="22"/>
        </w:rPr>
      </w:pPr>
      <w:r w:rsidRPr="0070201F">
        <w:t>8.</w:t>
      </w:r>
      <w:r w:rsidRPr="0070201F">
        <w:tab/>
      </w:r>
      <w:bookmarkStart w:id="39" w:name="_Hlk130196760"/>
      <w:r w:rsidRPr="0070201F">
        <w:t xml:space="preserve">Извън защитените зони по „Натура 2000“ неизпълнението на задълженията, посочени в </w:t>
      </w:r>
      <w:r w:rsidRPr="0070201F">
        <w:rPr>
          <w:b/>
          <w:i/>
        </w:rPr>
        <w:t>параграф</w:t>
      </w:r>
      <w:r w:rsidRPr="0070201F">
        <w:t> 6</w:t>
      </w:r>
      <w:r w:rsidRPr="0070201F">
        <w:rPr>
          <w:rFonts w:ascii="Arial" w:hAnsi="Arial"/>
          <w:snapToGrid w:val="0"/>
        </w:rPr>
        <w:t>▌</w:t>
      </w:r>
      <w:r w:rsidRPr="0070201F">
        <w:t>, е оправдано, ако се дължи на:</w:t>
      </w:r>
      <w:bookmarkEnd w:id="39"/>
    </w:p>
    <w:p w:rsidR="006173E9" w:rsidRPr="0070201F" w:rsidRDefault="006173E9" w:rsidP="006173E9">
      <w:pPr>
        <w:suppressAutoHyphens/>
        <w:spacing w:before="120" w:after="120" w:line="360" w:lineRule="auto"/>
        <w:ind w:left="1134" w:right="140" w:hanging="567"/>
        <w:rPr>
          <w:rFonts w:eastAsia="Calibri"/>
          <w:szCs w:val="22"/>
        </w:rPr>
      </w:pPr>
      <w:r w:rsidRPr="0070201F">
        <w:t>a)</w:t>
      </w:r>
      <w:r w:rsidRPr="0070201F">
        <w:tab/>
        <w:t>непреодолима сила</w:t>
      </w:r>
      <w:r w:rsidRPr="0070201F">
        <w:rPr>
          <w:b/>
          <w:i/>
        </w:rPr>
        <w:t>, включително природни бедствия</w:t>
      </w:r>
      <w:r w:rsidRPr="0070201F">
        <w:t>;</w:t>
      </w:r>
    </w:p>
    <w:p w:rsidR="006173E9" w:rsidRPr="0070201F" w:rsidRDefault="006173E9" w:rsidP="006173E9">
      <w:pPr>
        <w:suppressAutoHyphens/>
        <w:spacing w:before="120" w:after="120" w:line="360" w:lineRule="auto"/>
        <w:ind w:left="1134" w:right="140" w:hanging="567"/>
        <w:rPr>
          <w:rFonts w:eastAsia="Calibri"/>
          <w:szCs w:val="22"/>
        </w:rPr>
      </w:pPr>
      <w:r w:rsidRPr="0070201F">
        <w:t>б)</w:t>
      </w:r>
      <w:r w:rsidRPr="0070201F">
        <w:tab/>
        <w:t xml:space="preserve">неизбежни промени в местообитанията, които са пряко причинени от изменението на климата; </w:t>
      </w:r>
      <w:r w:rsidRPr="0070201F">
        <w:rPr>
          <w:rFonts w:ascii="Arial" w:hAnsi="Arial"/>
          <w:snapToGrid w:val="0"/>
        </w:rPr>
        <w:t>▌</w:t>
      </w:r>
    </w:p>
    <w:p w:rsidR="006173E9" w:rsidRPr="0070201F" w:rsidRDefault="006173E9" w:rsidP="006173E9">
      <w:pPr>
        <w:suppressAutoHyphens/>
        <w:spacing w:before="120" w:after="120" w:line="360" w:lineRule="auto"/>
        <w:ind w:left="1134" w:right="140" w:hanging="567"/>
        <w:rPr>
          <w:u w:val="single"/>
        </w:rPr>
      </w:pPr>
      <w:r w:rsidRPr="0070201F">
        <w:t>в)</w:t>
      </w:r>
      <w:r w:rsidRPr="0070201F">
        <w:tab/>
      </w:r>
      <w:r w:rsidRPr="0070201F">
        <w:rPr>
          <w:b/>
          <w:i/>
        </w:rPr>
        <w:t xml:space="preserve">план или </w:t>
      </w:r>
      <w:r w:rsidRPr="0070201F">
        <w:t>проект от по-висш обществен интерес, за който не съществуват алтернативни решения с по-малко вредни последици, като това се определя за всеки отделен случай</w:t>
      </w:r>
      <w:r w:rsidRPr="0070201F">
        <w:rPr>
          <w:b/>
          <w:i/>
        </w:rPr>
        <w:t>;</w:t>
      </w:r>
      <w:bookmarkStart w:id="40" w:name="_Hlk135735405"/>
      <w:r w:rsidRPr="0070201F">
        <w:rPr>
          <w:b/>
          <w:i/>
        </w:rPr>
        <w:t xml:space="preserve"> </w:t>
      </w:r>
      <w:bookmarkEnd w:id="40"/>
    </w:p>
    <w:p w:rsidR="00B61A21" w:rsidRPr="0070201F" w:rsidRDefault="00B61A21" w:rsidP="00B61A21">
      <w:pPr>
        <w:suppressAutoHyphens/>
        <w:spacing w:before="120" w:after="120" w:line="360" w:lineRule="auto"/>
        <w:ind w:left="1134" w:right="140" w:hanging="567"/>
        <w:rPr>
          <w:rFonts w:eastAsia="Calibri"/>
          <w:b/>
          <w:szCs w:val="22"/>
        </w:rPr>
      </w:pPr>
      <w:r w:rsidRPr="0070201F">
        <w:rPr>
          <w:rFonts w:eastAsia="Calibri"/>
          <w:b/>
          <w:i/>
          <w:szCs w:val="22"/>
        </w:rPr>
        <w:t>ва)</w:t>
      </w:r>
      <w:r w:rsidRPr="0070201F">
        <w:rPr>
          <w:rFonts w:eastAsia="Calibri"/>
          <w:b/>
          <w:i/>
          <w:szCs w:val="22"/>
        </w:rPr>
        <w:tab/>
      </w:r>
      <w:r w:rsidR="00A937DD" w:rsidRPr="0070201F">
        <w:rPr>
          <w:rFonts w:eastAsia="Calibri"/>
          <w:b/>
          <w:i/>
          <w:szCs w:val="22"/>
        </w:rPr>
        <w:t>п</w:t>
      </w:r>
      <w:r w:rsidRPr="0070201F">
        <w:rPr>
          <w:rFonts w:eastAsia="Calibri"/>
          <w:b/>
          <w:i/>
          <w:szCs w:val="22"/>
        </w:rPr>
        <w:t xml:space="preserve">ри изключителни обстоятелства, свързани с осъществяването или продължаването на дейности от обществен интерес, неизпълнението на задълженията, посочени в параграф 6, е обосновано, при условие че това не застрашава постигането на целите за възстановяване, посочени в параграфи 1, 2 и 3. Държавите членки информират Комисията за такива извънредни обстоятелства и незабавно и надлежно ги обосновават; </w:t>
      </w:r>
      <w:r w:rsidRPr="0070201F">
        <w:rPr>
          <w:rFonts w:eastAsia="Calibri"/>
          <w:b/>
          <w:szCs w:val="22"/>
        </w:rPr>
        <w:t xml:space="preserve"> [Изм. 6]</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г)</w:t>
      </w:r>
      <w:r w:rsidRPr="0070201F">
        <w:rPr>
          <w:b/>
          <w:i/>
        </w:rPr>
        <w:tab/>
        <w:t>действие или бездействие от страна на трети държави, за което съответната държава членка не носи отговорност.</w:t>
      </w:r>
    </w:p>
    <w:p w:rsidR="006173E9" w:rsidRPr="0070201F" w:rsidRDefault="006173E9" w:rsidP="006173E9">
      <w:pPr>
        <w:suppressAutoHyphens/>
        <w:spacing w:before="120" w:after="120" w:line="360" w:lineRule="auto"/>
        <w:ind w:left="567" w:right="140" w:hanging="567"/>
        <w:rPr>
          <w:rFonts w:eastAsia="Calibri"/>
          <w:b/>
          <w:i/>
          <w:szCs w:val="22"/>
        </w:rPr>
      </w:pPr>
      <w:bookmarkStart w:id="41" w:name="_Hlk129768082"/>
      <w:r w:rsidRPr="0070201F">
        <w:br w:type="page"/>
      </w:r>
      <w:r w:rsidRPr="0070201F">
        <w:rPr>
          <w:b/>
          <w:i/>
        </w:rPr>
        <w:lastRenderedPageBreak/>
        <w:t>8a.</w:t>
      </w:r>
      <w:r w:rsidRPr="0070201F">
        <w:rPr>
          <w:b/>
          <w:i/>
        </w:rPr>
        <w:tab/>
        <w:t xml:space="preserve">Извън защитените зони по „Натура 2000“ задължението за въвеждане на необходимите мерки, посочено в параграф 7, не се прилага за влошаване на състоянието, причинено от: </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a)</w:t>
      </w:r>
      <w:r w:rsidRPr="0070201F">
        <w:rPr>
          <w:b/>
          <w:i/>
        </w:rPr>
        <w:tab/>
        <w:t>непреодолима сила, включително природни бедствия;</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б)</w:t>
      </w:r>
      <w:r w:rsidRPr="0070201F">
        <w:rPr>
          <w:b/>
          <w:i/>
        </w:rPr>
        <w:tab/>
        <w:t xml:space="preserve">неизбежни промени в местообитанията, които са пряко причинени от изменението на климата; </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в)</w:t>
      </w:r>
      <w:r w:rsidRPr="0070201F">
        <w:rPr>
          <w:b/>
          <w:i/>
        </w:rPr>
        <w:tab/>
      </w:r>
      <w:r w:rsidRPr="0070201F">
        <w:rPr>
          <w:b/>
          <w:bCs/>
          <w:i/>
          <w:iCs/>
        </w:rPr>
        <w:t xml:space="preserve">планове или проекти от по-висш обществен интерес, </w:t>
      </w:r>
      <w:r w:rsidRPr="0070201F">
        <w:rPr>
          <w:b/>
          <w:i/>
        </w:rPr>
        <w:t xml:space="preserve"> </w:t>
      </w:r>
      <w:bookmarkStart w:id="42" w:name="_Hlk129963122"/>
      <w:r w:rsidRPr="0070201F">
        <w:rPr>
          <w:b/>
          <w:bCs/>
          <w:i/>
          <w:iCs/>
        </w:rPr>
        <w:t>за които не съществуват алтернативни решения с по-малко вредни последици</w:t>
      </w:r>
      <w:bookmarkEnd w:id="41"/>
      <w:bookmarkEnd w:id="42"/>
      <w:r w:rsidRPr="0070201F">
        <w:rPr>
          <w:b/>
          <w:i/>
        </w:rPr>
        <w:t>; или</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г)</w:t>
      </w:r>
      <w:r w:rsidRPr="0070201F">
        <w:rPr>
          <w:b/>
          <w:i/>
        </w:rPr>
        <w:tab/>
        <w:t>действие или бездействие от страна на трети държави, за което съответната държава членка не носи отговорност.</w:t>
      </w:r>
    </w:p>
    <w:p w:rsidR="006173E9" w:rsidRPr="0070201F" w:rsidRDefault="006173E9" w:rsidP="006173E9">
      <w:pPr>
        <w:suppressAutoHyphens/>
        <w:spacing w:before="120" w:after="120" w:line="360" w:lineRule="auto"/>
        <w:ind w:left="567" w:right="140" w:hanging="567"/>
        <w:rPr>
          <w:rFonts w:eastAsia="Calibri"/>
          <w:szCs w:val="22"/>
        </w:rPr>
      </w:pPr>
      <w:r w:rsidRPr="0070201F">
        <w:t>9.</w:t>
      </w:r>
      <w:r w:rsidRPr="0070201F">
        <w:tab/>
        <w:t xml:space="preserve">За защитените зони по „Натура 2000“ неизпълнението на задълженията, посочени в параграфи 6 и 7, е обосновано, ако се дължи на: </w:t>
      </w:r>
    </w:p>
    <w:p w:rsidR="006173E9" w:rsidRPr="0070201F" w:rsidRDefault="006173E9" w:rsidP="006173E9">
      <w:pPr>
        <w:suppressAutoHyphens/>
        <w:spacing w:before="120" w:after="120" w:line="360" w:lineRule="auto"/>
        <w:ind w:left="1134" w:right="140" w:hanging="567"/>
        <w:rPr>
          <w:rFonts w:eastAsia="Calibri"/>
          <w:szCs w:val="22"/>
        </w:rPr>
      </w:pPr>
      <w:bookmarkStart w:id="43" w:name="_Hlk129703452"/>
      <w:r w:rsidRPr="0070201F">
        <w:t>a)</w:t>
      </w:r>
      <w:r w:rsidRPr="0070201F">
        <w:tab/>
        <w:t>непреодолима сила</w:t>
      </w:r>
      <w:r w:rsidRPr="0070201F">
        <w:rPr>
          <w:b/>
          <w:i/>
        </w:rPr>
        <w:t>, включително природни бедствия</w:t>
      </w:r>
      <w:r w:rsidRPr="0070201F">
        <w:t>;</w:t>
      </w:r>
    </w:p>
    <w:p w:rsidR="006173E9" w:rsidRPr="0070201F" w:rsidRDefault="006173E9" w:rsidP="006173E9">
      <w:pPr>
        <w:suppressAutoHyphens/>
        <w:spacing w:before="120" w:after="120" w:line="360" w:lineRule="auto"/>
        <w:ind w:left="1134" w:right="140" w:hanging="567"/>
        <w:rPr>
          <w:rFonts w:eastAsia="Calibri"/>
          <w:szCs w:val="22"/>
        </w:rPr>
      </w:pPr>
      <w:r w:rsidRPr="0070201F">
        <w:t>б)</w:t>
      </w:r>
      <w:r w:rsidRPr="0070201F">
        <w:tab/>
        <w:t>неизбежни промени в местообитанията, които са пряко причинени от изменението на климата</w:t>
      </w:r>
      <w:r w:rsidRPr="0070201F">
        <w:rPr>
          <w:b/>
          <w:u w:val="single"/>
        </w:rPr>
        <w:t>;</w:t>
      </w:r>
      <w:r w:rsidRPr="0070201F">
        <w:t xml:space="preserve"> или</w:t>
      </w:r>
    </w:p>
    <w:bookmarkEnd w:id="43"/>
    <w:p w:rsidR="006173E9" w:rsidRPr="0070201F" w:rsidRDefault="006173E9" w:rsidP="006173E9">
      <w:pPr>
        <w:suppressAutoHyphens/>
        <w:spacing w:before="120" w:after="120" w:line="360" w:lineRule="auto"/>
        <w:ind w:left="1134" w:right="140" w:hanging="567"/>
        <w:rPr>
          <w:rFonts w:eastAsia="Calibri"/>
          <w:szCs w:val="22"/>
        </w:rPr>
      </w:pPr>
      <w:r w:rsidRPr="0070201F">
        <w:t>в)</w:t>
      </w:r>
      <w:r w:rsidRPr="0070201F">
        <w:tab/>
        <w:t>план или проект, разрешен в съответствие с член 6, параграф 4 от Директива 92/43/ЕИО.</w:t>
      </w:r>
    </w:p>
    <w:p w:rsidR="006173E9" w:rsidRPr="0070201F" w:rsidRDefault="006173E9" w:rsidP="006173E9">
      <w:pPr>
        <w:spacing w:after="200" w:line="276" w:lineRule="auto"/>
        <w:rPr>
          <w:rFonts w:eastAsia="Calibri"/>
          <w:szCs w:val="22"/>
        </w:rPr>
      </w:pPr>
      <w:r w:rsidRPr="0070201F">
        <w:br w:type="page"/>
      </w:r>
    </w:p>
    <w:p w:rsidR="006173E9" w:rsidRPr="0070201F" w:rsidRDefault="006173E9" w:rsidP="006173E9">
      <w:pPr>
        <w:suppressAutoHyphens/>
        <w:spacing w:before="120" w:after="120" w:line="360" w:lineRule="auto"/>
        <w:ind w:left="567" w:right="140" w:hanging="567"/>
        <w:rPr>
          <w:rFonts w:eastAsia="Calibri"/>
          <w:szCs w:val="22"/>
        </w:rPr>
      </w:pPr>
      <w:r w:rsidRPr="0070201F">
        <w:lastRenderedPageBreak/>
        <w:t>10.</w:t>
      </w:r>
      <w:r w:rsidRPr="0070201F">
        <w:tab/>
        <w:t xml:space="preserve">Държавите членки гарантират, че са налице: </w:t>
      </w:r>
    </w:p>
    <w:p w:rsidR="006173E9" w:rsidRPr="0070201F" w:rsidRDefault="006173E9" w:rsidP="006173E9">
      <w:pPr>
        <w:suppressAutoHyphens/>
        <w:spacing w:before="120" w:after="120" w:line="360" w:lineRule="auto"/>
        <w:ind w:left="1134" w:right="140" w:hanging="567"/>
        <w:rPr>
          <w:rFonts w:eastAsia="Calibri"/>
          <w:szCs w:val="22"/>
        </w:rPr>
      </w:pPr>
      <w:r w:rsidRPr="0070201F">
        <w:t>a)</w:t>
      </w:r>
      <w:r w:rsidRPr="0070201F">
        <w:tab/>
        <w:t xml:space="preserve">увеличаване на площта на местообитанията в добро състояние за типовете местообитания, изброени в приложение I, докато най-малко 90 % от площта бъде в добро състояние и докато бъде достигната благоприятната референтна площ за всеки тип местообитание във всеки биогеографски регион на </w:t>
      </w:r>
      <w:r w:rsidRPr="0070201F">
        <w:rPr>
          <w:b/>
          <w:bCs/>
          <w:i/>
          <w:iCs/>
        </w:rPr>
        <w:t>съответната държава членка</w:t>
      </w:r>
      <w:r w:rsidRPr="0070201F">
        <w:t>;</w:t>
      </w:r>
    </w:p>
    <w:p w:rsidR="006173E9" w:rsidRPr="0070201F" w:rsidRDefault="006173E9" w:rsidP="006173E9">
      <w:pPr>
        <w:suppressAutoHyphens/>
        <w:spacing w:before="120" w:after="120" w:line="360" w:lineRule="auto"/>
        <w:ind w:left="1134" w:right="140" w:hanging="567"/>
        <w:rPr>
          <w:b/>
          <w:u w:val="single"/>
        </w:rPr>
      </w:pPr>
      <w:r w:rsidRPr="0070201F">
        <w:t>б)</w:t>
      </w:r>
      <w:r w:rsidRPr="0070201F">
        <w:tab/>
        <w:t>нарастваща тенденция към достатъчното качество и достатъчно количество на сухоземните, крайбрежните и сладководните местообитания на видовете, посочени в приложения II, IV и V към Директива 92/43/ЕИО, и на видовете, обхванати от Директива 2009/147/ЕО.</w:t>
      </w:r>
      <w:r w:rsidRPr="0070201F">
        <w:rPr>
          <w:b/>
          <w:u w:val="single"/>
        </w:rPr>
        <w:t xml:space="preserve"> </w:t>
      </w:r>
    </w:p>
    <w:p w:rsidR="00B61A21" w:rsidRPr="0070201F" w:rsidRDefault="00B61A21" w:rsidP="0070201F">
      <w:pPr>
        <w:suppressAutoHyphens/>
        <w:spacing w:before="120" w:after="120" w:line="360" w:lineRule="auto"/>
        <w:ind w:left="567" w:right="140" w:hanging="567"/>
        <w:rPr>
          <w:rFonts w:eastAsia="Calibri"/>
          <w:b/>
          <w:szCs w:val="22"/>
        </w:rPr>
      </w:pPr>
      <w:r w:rsidRPr="0070201F">
        <w:rPr>
          <w:rFonts w:eastAsia="Calibri"/>
          <w:b/>
          <w:i/>
          <w:szCs w:val="22"/>
        </w:rPr>
        <w:t>10а.</w:t>
      </w:r>
      <w:r w:rsidRPr="0070201F">
        <w:rPr>
          <w:rFonts w:eastAsia="Calibri"/>
          <w:b/>
          <w:szCs w:val="22"/>
        </w:rPr>
        <w:tab/>
      </w:r>
      <w:r w:rsidRPr="0070201F">
        <w:rPr>
          <w:rFonts w:eastAsia="Calibri"/>
          <w:b/>
          <w:i/>
          <w:szCs w:val="22"/>
        </w:rPr>
        <w:t>В мерките, които трябва да се предприемат съгласно настоящия член, държавите членки вземат предвид икономическите, социалните и културните изисквания и регионалните и местните особености в съответствие с член 2, параграф 3 от Директива 92/43/ЕИО.</w:t>
      </w:r>
      <w:r w:rsidRPr="0070201F">
        <w:rPr>
          <w:rFonts w:eastAsia="Calibri"/>
          <w:b/>
          <w:szCs w:val="22"/>
        </w:rPr>
        <w:t xml:space="preserve"> [Изм. 27]</w:t>
      </w:r>
    </w:p>
    <w:p w:rsidR="006173E9" w:rsidRPr="0070201F" w:rsidRDefault="006173E9" w:rsidP="006173E9">
      <w:pPr>
        <w:keepNext/>
        <w:suppressAutoHyphens/>
        <w:spacing w:before="360" w:after="120" w:line="360" w:lineRule="auto"/>
        <w:ind w:right="140"/>
        <w:jc w:val="center"/>
        <w:outlineLvl w:val="1"/>
        <w:rPr>
          <w:b/>
          <w:bCs/>
          <w:szCs w:val="26"/>
        </w:rPr>
      </w:pPr>
      <w:bookmarkStart w:id="44" w:name="_Hlk135978410"/>
      <w:r w:rsidRPr="0070201F">
        <w:t>Член 5</w:t>
      </w:r>
      <w:r w:rsidRPr="0070201F">
        <w:br/>
      </w:r>
      <w:r w:rsidRPr="0070201F">
        <w:rPr>
          <w:i/>
          <w:iCs/>
        </w:rPr>
        <w:t>Възстановяване на морските екосистеми</w:t>
      </w:r>
    </w:p>
    <w:p w:rsidR="006173E9" w:rsidRPr="0070201F" w:rsidRDefault="006173E9" w:rsidP="006173E9">
      <w:pPr>
        <w:suppressAutoHyphens/>
        <w:spacing w:before="120" w:after="120" w:line="360" w:lineRule="auto"/>
        <w:ind w:left="567" w:right="140" w:hanging="567"/>
        <w:rPr>
          <w:rFonts w:eastAsia="Calibri"/>
          <w:b/>
          <w:szCs w:val="22"/>
          <w:u w:val="single"/>
        </w:rPr>
      </w:pPr>
      <w:r w:rsidRPr="0070201F">
        <w:t>1.</w:t>
      </w:r>
      <w:r w:rsidRPr="0070201F">
        <w:tab/>
      </w:r>
      <w:bookmarkStart w:id="45" w:name="_Hlk132205287"/>
      <w:r w:rsidRPr="0070201F">
        <w:t xml:space="preserve">Държавите членки въвеждат мерките за възстановяване, които са необходими за подобряване до добро състояние на зоните с типовете местообитания, изброени в приложение II, които не са в добро състояние. </w:t>
      </w:r>
      <w:bookmarkStart w:id="46" w:name="_Hlk131583277"/>
      <w:r w:rsidRPr="0070201F">
        <w:t>Тези мерки се прилагат по отношение на</w:t>
      </w:r>
      <w:bookmarkEnd w:id="45"/>
      <w:bookmarkEnd w:id="46"/>
      <w:r w:rsidRPr="0070201F">
        <w:rPr>
          <w:b/>
          <w:i/>
        </w:rPr>
        <w:t>:</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a)</w:t>
      </w:r>
      <w:r w:rsidRPr="0070201F">
        <w:rPr>
          <w:b/>
          <w:i/>
        </w:rPr>
        <w:tab/>
        <w:t>най-малко 30 % до 2030 г. от общата площ на групи 1–6 от типовете местообитания, изброени в приложение II, която не е в добро състояние, както е определено количествено в националния план за възстановяване, посочен в член 12;</w:t>
      </w:r>
    </w:p>
    <w:p w:rsidR="006173E9" w:rsidRPr="0070201F" w:rsidRDefault="006173E9" w:rsidP="006173E9">
      <w:pPr>
        <w:suppressAutoHyphens/>
        <w:spacing w:before="120" w:after="120" w:line="360" w:lineRule="auto"/>
        <w:ind w:left="1134" w:right="140" w:hanging="567"/>
        <w:rPr>
          <w:rFonts w:eastAsia="Calibri"/>
          <w:i/>
          <w:szCs w:val="22"/>
        </w:rPr>
      </w:pPr>
      <w:r w:rsidRPr="0070201F">
        <w:rPr>
          <w:b/>
          <w:i/>
        </w:rPr>
        <w:t>б)</w:t>
      </w:r>
      <w:r w:rsidRPr="0070201F">
        <w:rPr>
          <w:b/>
          <w:i/>
        </w:rPr>
        <w:tab/>
        <w:t>най-малко 60 % до 2040 г. и най-малко 90 % до 2050 г. от площта на всяка от групите 1–6 от типовете местообитания, изброени в приложение II, която не е в добро състояние, както е определено количествено в националния план за възстановяване, посочен в член 12;</w:t>
      </w:r>
    </w:p>
    <w:p w:rsidR="006173E9" w:rsidRPr="0070201F" w:rsidRDefault="006173E9" w:rsidP="006173E9">
      <w:pPr>
        <w:suppressAutoHyphens/>
        <w:spacing w:before="120" w:after="120" w:line="360" w:lineRule="auto"/>
        <w:ind w:left="1134" w:right="140" w:hanging="567"/>
        <w:rPr>
          <w:rFonts w:eastAsia="Calibri"/>
          <w:b/>
          <w:i/>
          <w:szCs w:val="22"/>
        </w:rPr>
      </w:pPr>
      <w:r w:rsidRPr="0070201F">
        <w:br w:type="page"/>
      </w:r>
      <w:r w:rsidRPr="0070201F">
        <w:rPr>
          <w:b/>
          <w:i/>
        </w:rPr>
        <w:lastRenderedPageBreak/>
        <w:t>в)</w:t>
      </w:r>
      <w:r w:rsidRPr="0070201F">
        <w:rPr>
          <w:b/>
          <w:i/>
        </w:rPr>
        <w:tab/>
      </w:r>
      <w:r w:rsidRPr="0070201F">
        <w:rPr>
          <w:b/>
          <w:bCs/>
          <w:i/>
          <w:iCs/>
        </w:rPr>
        <w:t xml:space="preserve">две трети от процента, посочен в буква г), до 2040 г. </w:t>
      </w:r>
      <w:bookmarkStart w:id="47" w:name="_Hlk135990781"/>
      <w:r w:rsidRPr="0070201F">
        <w:rPr>
          <w:b/>
          <w:bCs/>
          <w:i/>
          <w:iCs/>
        </w:rPr>
        <w:t>от площта на група 7 от типовете местообитания, изброени в приложение II, която не е в добро състояние, както е определено количествено в националния план за възстановяване, посочен в член 12</w:t>
      </w:r>
      <w:bookmarkEnd w:id="47"/>
      <w:r w:rsidRPr="0070201F">
        <w:rPr>
          <w:b/>
          <w:bCs/>
          <w:i/>
          <w:iCs/>
        </w:rPr>
        <w:t>;</w:t>
      </w:r>
      <w:r w:rsidRPr="0070201F">
        <w:rPr>
          <w:b/>
          <w:i/>
        </w:rPr>
        <w:t xml:space="preserve"> и</w:t>
      </w:r>
    </w:p>
    <w:p w:rsidR="006173E9" w:rsidRPr="0070201F" w:rsidRDefault="006173E9" w:rsidP="006173E9">
      <w:pPr>
        <w:suppressAutoHyphens/>
        <w:spacing w:before="120" w:after="120" w:line="360" w:lineRule="auto"/>
        <w:ind w:left="1134" w:right="140" w:hanging="567"/>
        <w:rPr>
          <w:rFonts w:eastAsia="Calibri"/>
          <w:b/>
          <w:bCs/>
          <w:i/>
          <w:szCs w:val="22"/>
        </w:rPr>
      </w:pPr>
      <w:r w:rsidRPr="0070201F">
        <w:rPr>
          <w:b/>
          <w:i/>
        </w:rPr>
        <w:t>г)</w:t>
      </w:r>
      <w:r w:rsidRPr="0070201F">
        <w:rPr>
          <w:b/>
          <w:i/>
        </w:rPr>
        <w:tab/>
        <w:t xml:space="preserve">процент, определен съгласно член 11, параграф 2а, до 2050 г. от площта на група 7 от типовете местообитания, изброени в приложение II, която не е в добро състояние, както е определено количествено в националния план за възстановяване, посочен в член 12. </w:t>
      </w:r>
    </w:p>
    <w:bookmarkEnd w:id="44"/>
    <w:p w:rsidR="006173E9" w:rsidRPr="0070201F" w:rsidRDefault="006173E9" w:rsidP="006173E9">
      <w:pPr>
        <w:suppressAutoHyphens/>
        <w:spacing w:before="120" w:after="120" w:line="360" w:lineRule="auto"/>
        <w:ind w:left="567" w:right="140"/>
        <w:rPr>
          <w:rFonts w:eastAsia="Calibri"/>
          <w:b/>
          <w:bCs/>
          <w:i/>
          <w:szCs w:val="22"/>
        </w:rPr>
      </w:pPr>
      <w:r w:rsidRPr="0070201F">
        <w:rPr>
          <w:b/>
          <w:i/>
        </w:rPr>
        <w:t>Процентът, посочен в буква г) от настоящия параграф, се определя така, че да не възпрепятства постигането или запазването на добро състояние на околната среда, определено съгласно член 9, параграф 1 от Директива 2008/56/ЕО.</w:t>
      </w:r>
    </w:p>
    <w:p w:rsidR="00D45CA0" w:rsidRDefault="00B61A21" w:rsidP="006173E9">
      <w:pPr>
        <w:suppressAutoHyphens/>
        <w:spacing w:before="120" w:after="120" w:line="360" w:lineRule="auto"/>
        <w:ind w:left="567" w:right="140" w:hanging="567"/>
        <w:rPr>
          <w:b/>
        </w:rPr>
      </w:pPr>
      <w:r w:rsidRPr="0070201F">
        <w:t xml:space="preserve">▌ </w:t>
      </w:r>
      <w:r w:rsidRPr="0070201F">
        <w:rPr>
          <w:b/>
        </w:rPr>
        <w:t xml:space="preserve"> [Изм. 29]</w:t>
      </w:r>
    </w:p>
    <w:p w:rsidR="006173E9" w:rsidRPr="0070201F" w:rsidRDefault="006173E9" w:rsidP="006173E9">
      <w:pPr>
        <w:suppressAutoHyphens/>
        <w:spacing w:before="120" w:after="120" w:line="360" w:lineRule="auto"/>
        <w:ind w:left="567" w:right="140" w:hanging="567"/>
        <w:rPr>
          <w:rFonts w:eastAsia="Calibri"/>
          <w:szCs w:val="22"/>
        </w:rPr>
      </w:pPr>
      <w:r w:rsidRPr="0070201F">
        <w:t>3.</w:t>
      </w:r>
      <w:r w:rsidRPr="0070201F">
        <w:tab/>
        <w:t>Държавите членки въвеждат мерките за възстановяване на морските местообитания на видовете, изброени в приложение III и в приложения II, IV и V към Директива 92/43/ЕИО, и на морските местообитания на дивите птици, обхванати от Директива 2009/147/ЕО, като тези мерки</w:t>
      </w:r>
      <w:r w:rsidRPr="0070201F">
        <w:rPr>
          <w:b/>
          <w:i/>
        </w:rPr>
        <w:t>, в допълнение към мерките за възстановяване, въведени в съответствие с параграфи 1 и 2 от настоящия член,</w:t>
      </w:r>
      <w:r w:rsidRPr="0070201F">
        <w:t xml:space="preserve"> са необходими за подобряване на качеството и количеството на тези местообитания, включително чрез повторното им установяване, както и за подобряване на свързаността, до постигането на достатъчно качество и достатъчно количество на тези местообитания.</w:t>
      </w:r>
    </w:p>
    <w:p w:rsidR="006173E9" w:rsidRPr="0070201F" w:rsidRDefault="006173E9" w:rsidP="006173E9">
      <w:pPr>
        <w:suppressAutoHyphens/>
        <w:spacing w:before="120" w:after="120" w:line="360" w:lineRule="auto"/>
        <w:ind w:left="567" w:right="140" w:hanging="567"/>
        <w:rPr>
          <w:rFonts w:eastAsia="Calibri"/>
          <w:b/>
          <w:szCs w:val="22"/>
          <w:u w:val="single"/>
        </w:rPr>
      </w:pPr>
      <w:r w:rsidRPr="0070201F">
        <w:br w:type="page"/>
      </w:r>
      <w:r w:rsidRPr="0070201F">
        <w:lastRenderedPageBreak/>
        <w:t>4.</w:t>
      </w:r>
      <w:r w:rsidRPr="0070201F">
        <w:tab/>
        <w:t xml:space="preserve">Определянето на най-подходящите зони за мерки за възстановяване в съответствие с параграфи 1, 2 и 3 от настоящия член се основава на най-добрите налични знания и най-новите </w:t>
      </w:r>
      <w:r w:rsidRPr="0070201F">
        <w:rPr>
          <w:b/>
          <w:i/>
        </w:rPr>
        <w:t>технически и</w:t>
      </w:r>
      <w:r w:rsidRPr="0070201F">
        <w:t xml:space="preserve"> научни </w:t>
      </w:r>
      <w:r w:rsidRPr="0070201F">
        <w:rPr>
          <w:b/>
          <w:i/>
        </w:rPr>
        <w:t>достижения за определянето</w:t>
      </w:r>
      <w:r w:rsidRPr="0070201F">
        <w:t xml:space="preserve"> на състоянието на типовете местообитания, изброени в приложение II, </w:t>
      </w:r>
      <w:r w:rsidRPr="0070201F">
        <w:rPr>
          <w:rFonts w:ascii="Arial" w:hAnsi="Arial"/>
          <w:snapToGrid w:val="0"/>
        </w:rPr>
        <w:t>▌</w:t>
      </w:r>
      <w:r w:rsidRPr="0070201F">
        <w:t>както и на качеството и количеството на местообитанията на видовете, посочени в параграф 3 от настоящия член</w:t>
      </w:r>
      <w:r w:rsidRPr="0070201F">
        <w:rPr>
          <w:b/>
          <w:i/>
        </w:rPr>
        <w:t>, като се използва информацията, докладвана съгласно член 17 от Директива 92/43/ЕИО, член 12 от Директива 2009/147/ЕО и член 178 от Директива 2008/56/ЕО</w:t>
      </w:r>
      <w:r w:rsidRPr="0070201F">
        <w:t>.</w:t>
      </w:r>
    </w:p>
    <w:p w:rsidR="006173E9" w:rsidRPr="0070201F" w:rsidRDefault="006173E9" w:rsidP="006173E9">
      <w:pPr>
        <w:suppressAutoHyphens/>
        <w:spacing w:before="120" w:after="120" w:line="360" w:lineRule="auto"/>
        <w:ind w:left="567" w:right="140" w:hanging="567"/>
        <w:rPr>
          <w:rFonts w:eastAsia="Calibri"/>
          <w:b/>
          <w:i/>
          <w:szCs w:val="22"/>
        </w:rPr>
      </w:pPr>
      <w:r w:rsidRPr="0070201F">
        <w:rPr>
          <w:b/>
          <w:i/>
        </w:rPr>
        <w:t>4а.</w:t>
      </w:r>
      <w:r w:rsidRPr="0070201F">
        <w:rPr>
          <w:b/>
          <w:i/>
        </w:rPr>
        <w:tab/>
      </w:r>
      <w:bookmarkStart w:id="48" w:name="_Hlk137460418"/>
      <w:r w:rsidRPr="0070201F">
        <w:rPr>
          <w:b/>
          <w:i/>
        </w:rPr>
        <w:t xml:space="preserve">Най-късно до 2030 г. държавите членки гарантират, че състоянието е известно за най-малко 50 % от площта, разпределена във всички типове местообитания, изброени в групи 1—6 от приложение II. Състоянието на всички зони на типовете местообитания, изброени в групи 1—6 от приложение II, трябва да е известно до 2040 г. </w:t>
      </w:r>
      <w:bookmarkEnd w:id="48"/>
      <w:r w:rsidRPr="0070201F">
        <w:rPr>
          <w:b/>
          <w:i/>
        </w:rPr>
        <w:t xml:space="preserve">Най-късно до 2040 г. държавите членки гарантират също, че състоянието е известно за най-малко 50 % от площта, разпределена във всички типове местообитания, изброени в група 7 от приложение II. Състоянието на всички зони на типовете местообитания, изброени в група 7 от приложение II, трябва да е известно до 2050 г. </w:t>
      </w:r>
    </w:p>
    <w:p w:rsidR="006173E9" w:rsidRPr="0070201F" w:rsidRDefault="006173E9" w:rsidP="006173E9">
      <w:pPr>
        <w:suppressAutoHyphens/>
        <w:spacing w:before="120" w:after="120" w:line="360" w:lineRule="auto"/>
        <w:ind w:left="567" w:right="140" w:hanging="567"/>
        <w:rPr>
          <w:rFonts w:eastAsia="Calibri"/>
          <w:szCs w:val="22"/>
        </w:rPr>
      </w:pPr>
      <w:r w:rsidRPr="0070201F">
        <w:t>5.</w:t>
      </w:r>
      <w:r w:rsidRPr="0070201F">
        <w:tab/>
        <w:t xml:space="preserve">При мерките за възстановяване, посочени в параграфи 1 и 2, се обръща внимание на необходимостта от подобряване на </w:t>
      </w:r>
      <w:r w:rsidRPr="0070201F">
        <w:rPr>
          <w:b/>
          <w:i/>
        </w:rPr>
        <w:t>екологичната съгласуваност и</w:t>
      </w:r>
      <w:r w:rsidRPr="0070201F">
        <w:t xml:space="preserve"> свързаността между типовете местообитания, изброени в приложение II, и се вземат предвид екологичните изисквания на видовете, посочени в параграф 3, които се срещат в тези типове местообитания.</w:t>
      </w:r>
    </w:p>
    <w:p w:rsidR="006173E9" w:rsidRPr="0070201F" w:rsidRDefault="006173E9" w:rsidP="00B61A21">
      <w:pPr>
        <w:shd w:val="clear" w:color="auto" w:fill="FFFFFF"/>
        <w:suppressAutoHyphens/>
        <w:spacing w:before="120" w:after="120" w:line="360" w:lineRule="auto"/>
        <w:ind w:left="567" w:right="140" w:hanging="567"/>
        <w:rPr>
          <w:rFonts w:eastAsia="Calibri"/>
          <w:b/>
          <w:szCs w:val="22"/>
        </w:rPr>
      </w:pPr>
      <w:r w:rsidRPr="0070201F">
        <w:t>6.</w:t>
      </w:r>
      <w:r w:rsidRPr="0070201F">
        <w:tab/>
        <w:t xml:space="preserve">Държавите членки </w:t>
      </w:r>
      <w:r w:rsidR="00B61A21" w:rsidRPr="0070201F">
        <w:rPr>
          <w:b/>
          <w:i/>
        </w:rPr>
        <w:t xml:space="preserve">полагат усилия да </w:t>
      </w:r>
      <w:r w:rsidRPr="0070201F">
        <w:t>гарантират, че в зоните, които са обект на мерки за възстановяване в съответствие с параграфи 1, 2 и 3, се отчита непрекъснато подобряване на състоянието на типовете местообитания, изброени в приложение </w:t>
      </w:r>
      <w:r w:rsidRPr="0070201F">
        <w:rPr>
          <w:bCs/>
          <w:iCs/>
        </w:rPr>
        <w:t>II</w:t>
      </w:r>
      <w:r w:rsidRPr="0070201F">
        <w:t xml:space="preserve">, до достигане на добро състояние, както и непрекъснато подобряване на качеството на местообитанията на видовете, посочени в параграф 3, докато се постигне достатъчно качество на тези местообитания. Държавите членки </w:t>
      </w:r>
      <w:r w:rsidR="00B61A21" w:rsidRPr="0070201F">
        <w:rPr>
          <w:b/>
          <w:i/>
        </w:rPr>
        <w:t>полагат усилия за въвеждане, когато е възможно</w:t>
      </w:r>
      <w:r w:rsidR="00B61A21" w:rsidRPr="0070201F">
        <w:t xml:space="preserve">, </w:t>
      </w:r>
      <w:r w:rsidR="00B61A21" w:rsidRPr="0070201F">
        <w:rPr>
          <w:b/>
          <w:i/>
        </w:rPr>
        <w:t>на необходимите мерки с цел да предотвратят</w:t>
      </w:r>
      <w:r w:rsidRPr="0070201F">
        <w:t xml:space="preserve"> </w:t>
      </w:r>
      <w:r w:rsidRPr="0070201F">
        <w:rPr>
          <w:b/>
          <w:i/>
        </w:rPr>
        <w:t>значително</w:t>
      </w:r>
      <w:r w:rsidRPr="0070201F">
        <w:t xml:space="preserve"> влошаване </w:t>
      </w:r>
      <w:r w:rsidR="00B61A21" w:rsidRPr="0070201F">
        <w:rPr>
          <w:b/>
          <w:i/>
        </w:rPr>
        <w:t>на национално равнище</w:t>
      </w:r>
      <w:r w:rsidR="00B61A21" w:rsidRPr="0070201F">
        <w:t xml:space="preserve"> </w:t>
      </w:r>
      <w:r w:rsidRPr="0070201F">
        <w:t>на зоните, в които е достигнато добро състояние и в които е постигнато достатъчно качество на местообитанията на видовете.</w:t>
      </w:r>
      <w:r w:rsidR="00B61A21" w:rsidRPr="0070201F">
        <w:rPr>
          <w:b/>
        </w:rPr>
        <w:t xml:space="preserve"> [Изм. 125</w:t>
      </w:r>
      <w:r w:rsidR="0016114A" w:rsidRPr="00223ACF">
        <w:rPr>
          <w:b/>
        </w:rPr>
        <w:t>/</w:t>
      </w:r>
      <w:r w:rsidR="0016114A" w:rsidRPr="0070201F">
        <w:rPr>
          <w:b/>
          <w:lang w:val="fr-FR"/>
        </w:rPr>
        <w:t>rev</w:t>
      </w:r>
      <w:r w:rsidR="0016114A" w:rsidRPr="00223ACF">
        <w:rPr>
          <w:b/>
        </w:rPr>
        <w:t>1</w:t>
      </w:r>
      <w:r w:rsidR="00B61A21" w:rsidRPr="0070201F">
        <w:rPr>
          <w:b/>
        </w:rPr>
        <w:t>]</w:t>
      </w:r>
    </w:p>
    <w:p w:rsidR="00D45CA0" w:rsidRDefault="006173E9" w:rsidP="00B61A21">
      <w:pPr>
        <w:shd w:val="clear" w:color="auto" w:fill="FFFFFF"/>
        <w:suppressAutoHyphens/>
        <w:spacing w:before="120" w:after="120" w:line="360" w:lineRule="auto"/>
        <w:ind w:left="567" w:right="140" w:hanging="567"/>
        <w:rPr>
          <w:b/>
        </w:rPr>
      </w:pPr>
      <w:r w:rsidRPr="0070201F">
        <w:br w:type="page"/>
      </w:r>
      <w:r w:rsidR="00B61A21" w:rsidRPr="0070201F">
        <w:lastRenderedPageBreak/>
        <w:t xml:space="preserve">▌ </w:t>
      </w:r>
      <w:r w:rsidR="00B61A21" w:rsidRPr="0070201F">
        <w:rPr>
          <w:b/>
        </w:rPr>
        <w:t xml:space="preserve"> [Изм. 32, 104 и 126</w:t>
      </w:r>
      <w:r w:rsidR="0016114A" w:rsidRPr="00223ACF">
        <w:rPr>
          <w:b/>
        </w:rPr>
        <w:t>/</w:t>
      </w:r>
      <w:r w:rsidR="0016114A" w:rsidRPr="0070201F">
        <w:rPr>
          <w:b/>
          <w:lang w:val="fr-FR"/>
        </w:rPr>
        <w:t>rev</w:t>
      </w:r>
      <w:r w:rsidR="00A937DD" w:rsidRPr="0070201F">
        <w:rPr>
          <w:b/>
        </w:rPr>
        <w:t>1</w:t>
      </w:r>
      <w:r w:rsidR="00B61A21" w:rsidRPr="0070201F">
        <w:rPr>
          <w:b/>
        </w:rPr>
        <w:t>]</w:t>
      </w:r>
    </w:p>
    <w:p w:rsidR="006173E9" w:rsidRPr="0070201F" w:rsidRDefault="006173E9" w:rsidP="00B61A21">
      <w:pPr>
        <w:shd w:val="clear" w:color="auto" w:fill="FFFFFF"/>
        <w:suppressAutoHyphens/>
        <w:spacing w:before="120" w:after="120" w:line="360" w:lineRule="auto"/>
        <w:ind w:left="567" w:right="140" w:hanging="567"/>
        <w:rPr>
          <w:rFonts w:eastAsia="Calibri"/>
          <w:szCs w:val="22"/>
        </w:rPr>
      </w:pPr>
      <w:r w:rsidRPr="0070201F">
        <w:t>8.</w:t>
      </w:r>
      <w:r w:rsidRPr="0070201F">
        <w:tab/>
        <w:t xml:space="preserve">Извън защитените зони по „Натура 2000“ неизпълнението на задълженията, посочени в </w:t>
      </w:r>
      <w:r w:rsidRPr="0070201F">
        <w:rPr>
          <w:b/>
          <w:i/>
        </w:rPr>
        <w:t>параграф</w:t>
      </w:r>
      <w:r w:rsidRPr="0070201F">
        <w:t xml:space="preserve"> 6</w:t>
      </w:r>
      <w:r w:rsidRPr="0070201F">
        <w:rPr>
          <w:rFonts w:ascii="Arial" w:hAnsi="Arial"/>
          <w:snapToGrid w:val="0"/>
        </w:rPr>
        <w:t>▌</w:t>
      </w:r>
      <w:r w:rsidRPr="0070201F">
        <w:t>, е оправдано, ако се дължи на:</w:t>
      </w:r>
    </w:p>
    <w:p w:rsidR="006173E9" w:rsidRPr="0070201F" w:rsidRDefault="006173E9" w:rsidP="006173E9">
      <w:pPr>
        <w:shd w:val="clear" w:color="auto" w:fill="FFFFFF"/>
        <w:suppressAutoHyphens/>
        <w:spacing w:before="120" w:after="120" w:line="360" w:lineRule="auto"/>
        <w:ind w:left="1134" w:right="140" w:hanging="567"/>
        <w:rPr>
          <w:rFonts w:eastAsia="Calibri"/>
          <w:szCs w:val="22"/>
        </w:rPr>
      </w:pPr>
      <w:r w:rsidRPr="0070201F">
        <w:t>a)</w:t>
      </w:r>
      <w:r w:rsidRPr="0070201F">
        <w:tab/>
        <w:t>непреодолима сила</w:t>
      </w:r>
      <w:r w:rsidRPr="0070201F">
        <w:rPr>
          <w:b/>
          <w:i/>
        </w:rPr>
        <w:t>, включително природни бедствия</w:t>
      </w:r>
      <w:r w:rsidRPr="0070201F">
        <w:t>;</w:t>
      </w:r>
    </w:p>
    <w:p w:rsidR="006173E9" w:rsidRPr="0070201F" w:rsidRDefault="006173E9" w:rsidP="006173E9">
      <w:pPr>
        <w:shd w:val="clear" w:color="auto" w:fill="FFFFFF"/>
        <w:suppressAutoHyphens/>
        <w:spacing w:before="120" w:after="120" w:line="360" w:lineRule="auto"/>
        <w:ind w:left="1134" w:right="140" w:hanging="567"/>
        <w:rPr>
          <w:rFonts w:eastAsia="Calibri"/>
          <w:szCs w:val="22"/>
        </w:rPr>
      </w:pPr>
      <w:r w:rsidRPr="0070201F">
        <w:t>б)</w:t>
      </w:r>
      <w:r w:rsidRPr="0070201F">
        <w:tab/>
        <w:t xml:space="preserve">неизбежни промени в местообитанията, които са пряко причинени от изменението на климата; </w:t>
      </w:r>
      <w:r w:rsidRPr="0070201F">
        <w:rPr>
          <w:rFonts w:ascii="Arial" w:hAnsi="Arial"/>
          <w:snapToGrid w:val="0"/>
        </w:rPr>
        <w:t>▌</w:t>
      </w:r>
    </w:p>
    <w:p w:rsidR="006173E9" w:rsidRPr="0070201F" w:rsidRDefault="0016114A" w:rsidP="006173E9">
      <w:pPr>
        <w:shd w:val="clear" w:color="auto" w:fill="FFFFFF"/>
        <w:suppressAutoHyphens/>
        <w:spacing w:before="120" w:after="120" w:line="360" w:lineRule="auto"/>
        <w:ind w:left="1134" w:right="140" w:hanging="567"/>
        <w:rPr>
          <w:b/>
          <w:i/>
        </w:rPr>
      </w:pPr>
      <w:r w:rsidRPr="0070201F">
        <w:t>▌</w:t>
      </w:r>
      <w:r w:rsidRPr="00223ACF">
        <w:t xml:space="preserve"> </w:t>
      </w:r>
      <w:r w:rsidR="00B61A21" w:rsidRPr="0070201F">
        <w:rPr>
          <w:b/>
          <w:i/>
        </w:rPr>
        <w:t xml:space="preserve"> </w:t>
      </w:r>
    </w:p>
    <w:p w:rsidR="00B61A21" w:rsidRPr="0070201F" w:rsidRDefault="00A7454F" w:rsidP="00A7454F">
      <w:pPr>
        <w:shd w:val="clear" w:color="auto" w:fill="FFFFFF"/>
        <w:suppressAutoHyphens/>
        <w:spacing w:before="120" w:after="120" w:line="360" w:lineRule="auto"/>
        <w:ind w:left="1134" w:right="140" w:hanging="567"/>
        <w:rPr>
          <w:rFonts w:eastAsia="Calibri"/>
          <w:b/>
          <w:szCs w:val="22"/>
        </w:rPr>
      </w:pPr>
      <w:r w:rsidRPr="0070201F">
        <w:rPr>
          <w:rFonts w:eastAsia="Calibri"/>
          <w:b/>
          <w:i/>
          <w:szCs w:val="22"/>
        </w:rPr>
        <w:t>ва)</w:t>
      </w:r>
      <w:r w:rsidRPr="0070201F">
        <w:rPr>
          <w:rFonts w:eastAsia="Calibri"/>
          <w:b/>
          <w:szCs w:val="22"/>
        </w:rPr>
        <w:tab/>
      </w:r>
      <w:r w:rsidR="0016114A" w:rsidRPr="00223ACF">
        <w:rPr>
          <w:rFonts w:eastAsia="Calibri"/>
          <w:b/>
          <w:i/>
          <w:szCs w:val="22"/>
        </w:rPr>
        <w:t xml:space="preserve"> </w:t>
      </w:r>
      <w:r w:rsidR="0016114A" w:rsidRPr="0070201F">
        <w:rPr>
          <w:rFonts w:eastAsia="Calibri"/>
          <w:b/>
          <w:i/>
          <w:szCs w:val="22"/>
        </w:rPr>
        <w:t>п</w:t>
      </w:r>
      <w:r w:rsidRPr="0070201F">
        <w:rPr>
          <w:rFonts w:eastAsia="Calibri"/>
          <w:b/>
          <w:i/>
          <w:szCs w:val="22"/>
        </w:rPr>
        <w:t>ри изключителни обстоятелства, свързани с осъществяването или продължаването на дейности от обществен интерес, неизпълнението на задълженията, посочени в параграф 6, е обосновано, при условие че това не застрашава постигането на целите за възстановяване, посочени в параграфи 1, 2 и 3. Държавите членки информират Комисията за такива извънредни обстоятелства и незабавно и надлежно ги обосновават;</w:t>
      </w:r>
      <w:r w:rsidR="0016114A" w:rsidRPr="0070201F">
        <w:rPr>
          <w:rFonts w:eastAsia="Calibri"/>
          <w:b/>
          <w:szCs w:val="22"/>
        </w:rPr>
        <w:t xml:space="preserve"> [Изм. </w:t>
      </w:r>
      <w:r w:rsidR="0016114A" w:rsidRPr="00223ACF">
        <w:rPr>
          <w:rFonts w:eastAsia="Calibri"/>
          <w:b/>
          <w:szCs w:val="22"/>
        </w:rPr>
        <w:t>7</w:t>
      </w:r>
      <w:r w:rsidR="0016114A" w:rsidRPr="0070201F">
        <w:rPr>
          <w:rFonts w:eastAsia="Calibri"/>
          <w:b/>
          <w:szCs w:val="22"/>
        </w:rPr>
        <w:t>]</w:t>
      </w:r>
    </w:p>
    <w:p w:rsidR="006173E9" w:rsidRPr="0070201F" w:rsidRDefault="006173E9" w:rsidP="006173E9">
      <w:pPr>
        <w:shd w:val="clear" w:color="auto" w:fill="FFFFFF"/>
        <w:suppressAutoHyphens/>
        <w:spacing w:before="120" w:after="120" w:line="360" w:lineRule="auto"/>
        <w:ind w:left="1134" w:right="140" w:hanging="567"/>
        <w:rPr>
          <w:rFonts w:eastAsia="Calibri"/>
          <w:b/>
          <w:i/>
          <w:szCs w:val="22"/>
        </w:rPr>
      </w:pPr>
      <w:r w:rsidRPr="0070201F">
        <w:rPr>
          <w:b/>
          <w:i/>
        </w:rPr>
        <w:t>г)</w:t>
      </w:r>
      <w:r w:rsidRPr="0070201F">
        <w:rPr>
          <w:i/>
        </w:rPr>
        <w:tab/>
      </w:r>
      <w:r w:rsidRPr="0070201F">
        <w:rPr>
          <w:b/>
          <w:i/>
        </w:rPr>
        <w:t>действие или бездействие от страна на трети държави, за което съответната държава членка не носи отговорност.</w:t>
      </w:r>
    </w:p>
    <w:p w:rsidR="006173E9" w:rsidRPr="0070201F" w:rsidRDefault="006173E9" w:rsidP="006173E9">
      <w:pPr>
        <w:suppressAutoHyphens/>
        <w:spacing w:before="120" w:after="120" w:line="360" w:lineRule="auto"/>
        <w:ind w:left="567" w:right="140" w:hanging="567"/>
        <w:rPr>
          <w:rFonts w:eastAsia="Calibri"/>
          <w:b/>
          <w:i/>
          <w:szCs w:val="22"/>
        </w:rPr>
      </w:pPr>
      <w:r w:rsidRPr="0070201F">
        <w:rPr>
          <w:b/>
          <w:i/>
        </w:rPr>
        <w:t>8а.</w:t>
      </w:r>
      <w:r w:rsidRPr="0070201F">
        <w:rPr>
          <w:b/>
          <w:i/>
        </w:rPr>
        <w:tab/>
        <w:t xml:space="preserve">Извън защитените зони по „Натура 2000“ задължението за въвеждане на необходимите мерки, посочено в параграф 7, не се прилага за влошаване на състоянието, причинено от: </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a)</w:t>
      </w:r>
      <w:r w:rsidRPr="0070201F">
        <w:rPr>
          <w:b/>
          <w:i/>
        </w:rPr>
        <w:tab/>
        <w:t>непреодолима сила, включително природни бедствия;</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б)</w:t>
      </w:r>
      <w:r w:rsidRPr="0070201F">
        <w:rPr>
          <w:b/>
          <w:i/>
        </w:rPr>
        <w:tab/>
        <w:t xml:space="preserve">неизбежни промени в местообитанията, които са пряко причинени от изменението на климата; </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в)</w:t>
      </w:r>
      <w:r w:rsidRPr="0070201F">
        <w:rPr>
          <w:b/>
          <w:i/>
        </w:rPr>
        <w:tab/>
        <w:t>планове или проекти от по-висш обществен интерес, за които не съществуват алтернативни решения с по-малко вредни последици; или</w:t>
      </w:r>
    </w:p>
    <w:p w:rsidR="006173E9" w:rsidRPr="0070201F" w:rsidRDefault="006173E9" w:rsidP="006173E9">
      <w:pPr>
        <w:shd w:val="clear" w:color="auto" w:fill="FFFFFF"/>
        <w:suppressAutoHyphens/>
        <w:spacing w:before="120" w:after="120" w:line="360" w:lineRule="auto"/>
        <w:ind w:left="1134" w:right="140" w:hanging="567"/>
        <w:rPr>
          <w:rFonts w:eastAsia="Calibri"/>
          <w:b/>
          <w:i/>
          <w:szCs w:val="22"/>
        </w:rPr>
      </w:pPr>
      <w:r w:rsidRPr="0070201F">
        <w:rPr>
          <w:b/>
          <w:i/>
        </w:rPr>
        <w:t>г)</w:t>
      </w:r>
      <w:r w:rsidRPr="0070201F">
        <w:rPr>
          <w:b/>
          <w:i/>
        </w:rPr>
        <w:tab/>
        <w:t>действие или бездействие от страна на трети държави, за което съответната държава членка не носи отговорност.</w:t>
      </w:r>
    </w:p>
    <w:p w:rsidR="006173E9" w:rsidRPr="0070201F" w:rsidRDefault="006173E9" w:rsidP="006173E9">
      <w:pPr>
        <w:shd w:val="clear" w:color="auto" w:fill="FFFFFF"/>
        <w:suppressAutoHyphens/>
        <w:spacing w:before="120" w:after="120" w:line="360" w:lineRule="auto"/>
        <w:ind w:left="567" w:right="140" w:hanging="567"/>
        <w:rPr>
          <w:rFonts w:eastAsia="Calibri"/>
          <w:szCs w:val="22"/>
        </w:rPr>
      </w:pPr>
      <w:r w:rsidRPr="0070201F">
        <w:br w:type="page"/>
      </w:r>
      <w:r w:rsidRPr="0070201F">
        <w:lastRenderedPageBreak/>
        <w:t>9.</w:t>
      </w:r>
      <w:r w:rsidRPr="0070201F">
        <w:tab/>
        <w:t>За защитените зони по „Натура 2000“ неизпълнението на задълженията, посочени в параграфи 6 и 7, е обосновано, ако се дължи на:</w:t>
      </w:r>
    </w:p>
    <w:p w:rsidR="006173E9" w:rsidRPr="0070201F" w:rsidRDefault="006173E9" w:rsidP="006173E9">
      <w:pPr>
        <w:shd w:val="clear" w:color="auto" w:fill="FFFFFF"/>
        <w:suppressAutoHyphens/>
        <w:spacing w:before="120" w:after="120" w:line="360" w:lineRule="auto"/>
        <w:ind w:left="1134" w:right="140" w:hanging="567"/>
        <w:rPr>
          <w:rFonts w:eastAsia="Calibri"/>
          <w:szCs w:val="22"/>
        </w:rPr>
      </w:pPr>
      <w:r w:rsidRPr="0070201F">
        <w:t>a)</w:t>
      </w:r>
      <w:r w:rsidRPr="0070201F">
        <w:tab/>
        <w:t>непреодолима сила</w:t>
      </w:r>
      <w:r w:rsidRPr="0070201F">
        <w:rPr>
          <w:b/>
          <w:i/>
        </w:rPr>
        <w:t>, включително природни бедствия</w:t>
      </w:r>
      <w:r w:rsidRPr="0070201F">
        <w:t>;</w:t>
      </w:r>
    </w:p>
    <w:p w:rsidR="006173E9" w:rsidRPr="0070201F" w:rsidRDefault="006173E9" w:rsidP="006173E9">
      <w:pPr>
        <w:shd w:val="clear" w:color="auto" w:fill="FFFFFF"/>
        <w:suppressAutoHyphens/>
        <w:spacing w:before="120" w:after="120" w:line="360" w:lineRule="auto"/>
        <w:ind w:left="1134" w:right="140" w:hanging="567"/>
        <w:rPr>
          <w:rFonts w:eastAsia="Calibri"/>
          <w:szCs w:val="22"/>
        </w:rPr>
      </w:pPr>
      <w:r w:rsidRPr="0070201F">
        <w:t>б)</w:t>
      </w:r>
      <w:r w:rsidRPr="0070201F">
        <w:tab/>
        <w:t>неизбежни промени в местообитанията, които са пряко причинени от изменението на климата</w:t>
      </w:r>
      <w:r w:rsidRPr="0070201F">
        <w:rPr>
          <w:b/>
          <w:u w:val="single"/>
        </w:rPr>
        <w:t>;</w:t>
      </w:r>
      <w:r w:rsidRPr="0070201F">
        <w:t xml:space="preserve"> или</w:t>
      </w:r>
    </w:p>
    <w:p w:rsidR="006173E9" w:rsidRPr="0070201F" w:rsidRDefault="006173E9" w:rsidP="006173E9">
      <w:pPr>
        <w:shd w:val="clear" w:color="auto" w:fill="FFFFFF"/>
        <w:suppressAutoHyphens/>
        <w:spacing w:before="120" w:after="120" w:line="360" w:lineRule="auto"/>
        <w:ind w:left="1134" w:right="140" w:hanging="567"/>
        <w:rPr>
          <w:rFonts w:eastAsia="Calibri"/>
          <w:szCs w:val="22"/>
        </w:rPr>
      </w:pPr>
      <w:r w:rsidRPr="0070201F">
        <w:t>в)</w:t>
      </w:r>
      <w:r w:rsidRPr="0070201F">
        <w:tab/>
        <w:t>план или проект, разрешен в съответствие с член 6, параграф 4 от Директива 92/43/ЕИО.</w:t>
      </w:r>
    </w:p>
    <w:p w:rsidR="006173E9" w:rsidRPr="0070201F" w:rsidRDefault="006173E9" w:rsidP="006173E9">
      <w:pPr>
        <w:suppressAutoHyphens/>
        <w:spacing w:before="120" w:after="120" w:line="360" w:lineRule="auto"/>
        <w:ind w:left="567" w:right="140" w:hanging="567"/>
        <w:rPr>
          <w:rFonts w:eastAsia="Calibri"/>
          <w:szCs w:val="22"/>
        </w:rPr>
      </w:pPr>
      <w:r w:rsidRPr="0070201F">
        <w:t>10.</w:t>
      </w:r>
      <w:r w:rsidRPr="0070201F">
        <w:tab/>
        <w:t>Държавите членки гарантират, че са налице:</w:t>
      </w:r>
    </w:p>
    <w:p w:rsidR="006173E9" w:rsidRPr="0070201F" w:rsidRDefault="006173E9" w:rsidP="006173E9">
      <w:pPr>
        <w:suppressAutoHyphens/>
        <w:spacing w:before="120" w:after="120" w:line="360" w:lineRule="auto"/>
        <w:ind w:left="1134" w:right="140" w:hanging="567"/>
        <w:rPr>
          <w:rFonts w:eastAsia="Calibri"/>
          <w:szCs w:val="22"/>
        </w:rPr>
      </w:pPr>
      <w:r w:rsidRPr="0070201F">
        <w:t>a)</w:t>
      </w:r>
      <w:r w:rsidRPr="0070201F">
        <w:tab/>
        <w:t xml:space="preserve">увеличаване на площта на местообитанията в добро състояние за типовете местообитания, изброени в </w:t>
      </w:r>
      <w:r w:rsidRPr="0070201F">
        <w:rPr>
          <w:b/>
          <w:i/>
        </w:rPr>
        <w:t>групи 1–6 от</w:t>
      </w:r>
      <w:r w:rsidRPr="0070201F">
        <w:t xml:space="preserve"> приложение II, докато най-малко 90 % от площта бъде в добро състояние и докато бъде достигната благоприятната референтна площ за всеки тип местообитание във всеки биогеографски регион на </w:t>
      </w:r>
      <w:r w:rsidRPr="0070201F">
        <w:rPr>
          <w:b/>
          <w:i/>
        </w:rPr>
        <w:t>съответната държава членка</w:t>
      </w:r>
      <w:r w:rsidRPr="0070201F">
        <w:t>;</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aа)</w:t>
      </w:r>
      <w:r w:rsidRPr="0070201F">
        <w:rPr>
          <w:b/>
          <w:i/>
        </w:rPr>
        <w:tab/>
        <w:t>увеличаване на площта на местообитанията в добро състояние за типовете местообитания, изброени в група 7 от приложение II, докато най-малко процентът от площта, посочен в параграф 1, буква г), бъде в добро състояние и докато бъде достигната благоприятната референтна площ за всеки тип местообитание във всеки биогеографски регион на съответната държава членка;</w:t>
      </w:r>
    </w:p>
    <w:p w:rsidR="006173E9" w:rsidRPr="0070201F" w:rsidRDefault="006173E9" w:rsidP="006173E9">
      <w:pPr>
        <w:suppressAutoHyphens/>
        <w:spacing w:before="120" w:after="120" w:line="360" w:lineRule="auto"/>
        <w:ind w:left="1134" w:right="140" w:hanging="567"/>
        <w:rPr>
          <w:rFonts w:eastAsia="Calibri"/>
          <w:b/>
          <w:szCs w:val="22"/>
          <w:u w:val="single"/>
        </w:rPr>
      </w:pPr>
      <w:r w:rsidRPr="0070201F">
        <w:t>б)</w:t>
      </w:r>
      <w:r w:rsidRPr="0070201F">
        <w:tab/>
        <w:t>положителна тенденция към постигане на достатъчно качество и достатъчно количество на морските местообитания на видовете, изброени в приложение III и в приложения II, IV и V към Директива 92/43/ЕИО, както и на видовете, обхванати от Директива 2009/147/ЕО.</w:t>
      </w:r>
    </w:p>
    <w:p w:rsidR="006173E9" w:rsidRPr="0070201F" w:rsidRDefault="006173E9" w:rsidP="006173E9">
      <w:pPr>
        <w:keepNext/>
        <w:suppressAutoHyphens/>
        <w:spacing w:before="360" w:after="120" w:line="360" w:lineRule="auto"/>
        <w:ind w:right="140"/>
        <w:jc w:val="center"/>
        <w:outlineLvl w:val="1"/>
        <w:rPr>
          <w:i/>
          <w:szCs w:val="26"/>
        </w:rPr>
      </w:pPr>
      <w:r w:rsidRPr="0070201F">
        <w:br w:type="page"/>
      </w:r>
      <w:r w:rsidRPr="0070201F">
        <w:rPr>
          <w:b/>
          <w:i/>
        </w:rPr>
        <w:lastRenderedPageBreak/>
        <w:t>Член 5а</w:t>
      </w:r>
      <w:r w:rsidRPr="0070201F">
        <w:rPr>
          <w:b/>
          <w:i/>
        </w:rPr>
        <w:br/>
        <w:t xml:space="preserve">Енергия от възобновяеми източници </w:t>
      </w:r>
    </w:p>
    <w:p w:rsidR="006173E9" w:rsidRPr="0070201F" w:rsidRDefault="006173E9" w:rsidP="006173E9">
      <w:pPr>
        <w:spacing w:before="120" w:after="120" w:line="360" w:lineRule="auto"/>
        <w:rPr>
          <w:rFonts w:eastAsia="Calibri"/>
          <w:b/>
          <w:i/>
          <w:szCs w:val="22"/>
        </w:rPr>
      </w:pPr>
      <w:bookmarkStart w:id="49" w:name="_Hlk137545325"/>
      <w:r w:rsidRPr="0070201F">
        <w:rPr>
          <w:b/>
          <w:i/>
        </w:rPr>
        <w:t>За целите на член 4, параграфи 8 и 8а и член 5, параграфи 8 и 8а се счита, че проектирането, изграждането и експлоатацията на централи за производството на енергия от възобновяеми източници, тяхното свързване към мрежата, самата свързана с тях мрежа, както и съоръженията за акумулиране на енергия, са от по-висш обществен интерес. Държавите членки могат да ги освободят от изискването да не съществуват алтернативни решения с по-малко вредни последици съгласно член 4, параграфи 8 и 8а и член 5, параграфи 8 и 8а, ако е извършена стратегическа екологична оценка в съответствие с условията, определени в Директива 2001/42/ЕО, или ако те са били подложени на оценка на въздействието върху околната среда в съответствие с условията, определени в Директива (ЕС) 2011/92. При надлежно обосновани и конкретни обстоятелства държавите членки могат да ограничат прилагането на тези разпоредби до определени части от своята територия, както и до определени видове технологии или до проекти с определени технически характеристики, в съответствие с приоритетите, определени в техните интегрирани национални планове в областта на енергетиката и климата съгласно Регламент (ЕС) 2018/1999. Държавите членки информират Комисията за прилаганите ограничения и ги обосновават.</w:t>
      </w:r>
      <w:bookmarkEnd w:id="49"/>
    </w:p>
    <w:p w:rsidR="006173E9" w:rsidRPr="0070201F" w:rsidRDefault="006173E9" w:rsidP="006173E9">
      <w:pPr>
        <w:keepNext/>
        <w:suppressAutoHyphens/>
        <w:spacing w:before="360" w:after="120" w:line="360" w:lineRule="auto"/>
        <w:ind w:right="140"/>
        <w:jc w:val="center"/>
        <w:outlineLvl w:val="1"/>
        <w:rPr>
          <w:i/>
          <w:szCs w:val="26"/>
        </w:rPr>
      </w:pPr>
      <w:r w:rsidRPr="0070201F">
        <w:rPr>
          <w:b/>
          <w:i/>
        </w:rPr>
        <w:t>Член 5б</w:t>
      </w:r>
      <w:r w:rsidRPr="0070201F">
        <w:rPr>
          <w:b/>
          <w:i/>
        </w:rPr>
        <w:br/>
        <w:t>Национална отбрана</w:t>
      </w:r>
    </w:p>
    <w:p w:rsidR="006173E9" w:rsidRPr="0070201F" w:rsidRDefault="006173E9" w:rsidP="006173E9">
      <w:pPr>
        <w:spacing w:before="120" w:after="120" w:line="360" w:lineRule="auto"/>
        <w:ind w:left="567" w:hanging="567"/>
        <w:rPr>
          <w:b/>
          <w:i/>
          <w:szCs w:val="26"/>
        </w:rPr>
      </w:pPr>
      <w:bookmarkStart w:id="50" w:name="_Hlk136767680"/>
      <w:r w:rsidRPr="0070201F">
        <w:rPr>
          <w:b/>
          <w:i/>
        </w:rPr>
        <w:t>1.</w:t>
      </w:r>
      <w:r w:rsidRPr="0070201F">
        <w:rPr>
          <w:b/>
          <w:i/>
        </w:rPr>
        <w:tab/>
        <w:t>Когато въвеждат мерки за възстановяване за целите на член 4, параграфи 1, 2 и 3 и член 5, параграфи 1, 2 и 3, държавите членки могат да освободят от тях зони, използвани за дейности, чиято единствена цел е националната отбрана, ако тези мерки се считат за несъвместими с продължителното използване на въпросните зони за военни цели.</w:t>
      </w:r>
    </w:p>
    <w:p w:rsidR="006173E9" w:rsidRPr="0070201F" w:rsidRDefault="006173E9" w:rsidP="006173E9">
      <w:pPr>
        <w:spacing w:before="120" w:after="120" w:line="360" w:lineRule="auto"/>
        <w:ind w:left="567" w:hanging="567"/>
        <w:rPr>
          <w:b/>
          <w:i/>
          <w:szCs w:val="26"/>
        </w:rPr>
      </w:pPr>
      <w:r w:rsidRPr="0070201F">
        <w:rPr>
          <w:b/>
          <w:i/>
        </w:rPr>
        <w:t>2.</w:t>
      </w:r>
      <w:r w:rsidRPr="0070201F">
        <w:rPr>
          <w:b/>
          <w:i/>
        </w:rPr>
        <w:tab/>
        <w:t xml:space="preserve">За целите на член 4, параграфи 8 и 8а и член 5, параграфи 8 и 8а държавите членки могат да предвидят плановете и проектите, предназначени единствено за целите на националната отбрана, да се считат за планове и проекти от по-висш обществен интерес. За целите на член 4, параграфи 8 и 8а и член 5, параграфи 8 и 8а държавите членки могат също така да освободят такива планове и проекти от изискването да не съществуват алтернативни решения с по-малко вредни последици. Когато обаче се прилага това изключение, съответната държава </w:t>
      </w:r>
      <w:r w:rsidRPr="0070201F">
        <w:rPr>
          <w:b/>
          <w:i/>
        </w:rPr>
        <w:lastRenderedPageBreak/>
        <w:t>членка въвежда мерки, доколкото това е разумно и осъществимо, с цел смекчаване на въздействието върху типовете местообитания.</w:t>
      </w:r>
      <w:bookmarkEnd w:id="50"/>
    </w:p>
    <w:p w:rsidR="006173E9" w:rsidRPr="0070201F" w:rsidRDefault="006173E9" w:rsidP="006173E9">
      <w:pPr>
        <w:keepNext/>
        <w:suppressAutoHyphens/>
        <w:spacing w:before="360" w:after="120" w:line="360" w:lineRule="auto"/>
        <w:ind w:left="567" w:right="140" w:hanging="567"/>
        <w:jc w:val="center"/>
        <w:outlineLvl w:val="1"/>
        <w:rPr>
          <w:bCs/>
          <w:i/>
          <w:szCs w:val="26"/>
        </w:rPr>
      </w:pPr>
      <w:r w:rsidRPr="0070201F">
        <w:t>Член 6</w:t>
      </w:r>
      <w:r w:rsidRPr="0070201F">
        <w:br/>
      </w:r>
      <w:r w:rsidRPr="0070201F">
        <w:rPr>
          <w:i/>
        </w:rPr>
        <w:t>Възстановяване на градските екосистеми</w:t>
      </w:r>
    </w:p>
    <w:p w:rsidR="006173E9" w:rsidRPr="0070201F" w:rsidRDefault="006173E9" w:rsidP="006173E9">
      <w:pPr>
        <w:suppressAutoHyphens/>
        <w:spacing w:before="120" w:after="120" w:line="360" w:lineRule="auto"/>
        <w:ind w:left="567" w:right="140" w:hanging="567"/>
        <w:rPr>
          <w:rFonts w:eastAsia="Calibri"/>
          <w:b/>
          <w:i/>
          <w:szCs w:val="22"/>
        </w:rPr>
      </w:pPr>
      <w:r w:rsidRPr="0070201F">
        <w:t>1.</w:t>
      </w:r>
      <w:r w:rsidRPr="0070201F">
        <w:tab/>
      </w:r>
      <w:bookmarkStart w:id="51" w:name="_Hlk135912547"/>
      <w:bookmarkStart w:id="52" w:name="_Hlk135848367"/>
      <w:bookmarkStart w:id="53" w:name="_Hlk135923333"/>
      <w:bookmarkStart w:id="54" w:name="_Hlk131595365"/>
      <w:bookmarkStart w:id="55" w:name="_Hlk131436010"/>
      <w:r w:rsidRPr="0070201F">
        <w:t xml:space="preserve">Държавите членки гарантират, че няма да има нетна загуба </w:t>
      </w:r>
      <w:r w:rsidRPr="0070201F">
        <w:rPr>
          <w:b/>
          <w:i/>
        </w:rPr>
        <w:t>в общата национална площ</w:t>
      </w:r>
      <w:r w:rsidRPr="0070201F">
        <w:t xml:space="preserve"> на градското зелено пространство и на покритието на дървесните корони в градските зони </w:t>
      </w:r>
      <w:r w:rsidRPr="0070201F">
        <w:rPr>
          <w:b/>
          <w:bCs/>
          <w:i/>
          <w:iCs/>
        </w:rPr>
        <w:t>в рамките на градските екосистемни зони, определени в съответствие с член 11, параграф 2б, до 31 декември 2030 г., в сравнение с [годината на влизане в сила на настоящия регламент]</w:t>
      </w:r>
      <w:bookmarkEnd w:id="51"/>
      <w:r w:rsidRPr="0070201F">
        <w:t>.</w:t>
      </w:r>
      <w:bookmarkStart w:id="56" w:name="_Hlk131430592"/>
      <w:r w:rsidRPr="0070201F">
        <w:rPr>
          <w:b/>
          <w:i/>
        </w:rPr>
        <w:t xml:space="preserve"> </w:t>
      </w:r>
      <w:bookmarkEnd w:id="52"/>
      <w:r w:rsidRPr="0070201F">
        <w:rPr>
          <w:b/>
          <w:bCs/>
          <w:i/>
          <w:iCs/>
        </w:rPr>
        <w:t>За целите на това задължение държавите членки могат да изключат</w:t>
      </w:r>
      <w:bookmarkStart w:id="57" w:name="_Hlk136519769"/>
      <w:r w:rsidRPr="0070201F">
        <w:rPr>
          <w:b/>
          <w:bCs/>
          <w:i/>
          <w:iCs/>
        </w:rPr>
        <w:t xml:space="preserve"> от тази обща национална площ градските екосистемни зони, в които делът на градското зелено пространство в градските центрове и клъстерите от градски тип надхвърля 45 %, а делът на покритието на дървесните корони в градските зони в него надвишава 10 %</w:t>
      </w:r>
      <w:r w:rsidRPr="0070201F">
        <w:t>.</w:t>
      </w:r>
    </w:p>
    <w:p w:rsidR="006173E9" w:rsidRPr="0070201F" w:rsidRDefault="006173E9" w:rsidP="006173E9">
      <w:pPr>
        <w:suppressAutoHyphens/>
        <w:spacing w:before="120" w:after="120" w:line="360" w:lineRule="auto"/>
        <w:ind w:left="567" w:right="140" w:hanging="567"/>
        <w:rPr>
          <w:rFonts w:eastAsia="Calibri"/>
          <w:szCs w:val="22"/>
        </w:rPr>
      </w:pPr>
      <w:bookmarkStart w:id="58" w:name="_Hlk132474340"/>
      <w:bookmarkEnd w:id="53"/>
      <w:bookmarkEnd w:id="56"/>
      <w:bookmarkEnd w:id="57"/>
      <w:r w:rsidRPr="0070201F">
        <w:t>2.</w:t>
      </w:r>
      <w:r w:rsidRPr="0070201F">
        <w:tab/>
        <w:t xml:space="preserve">След това държавите членки </w:t>
      </w:r>
      <w:r w:rsidRPr="0070201F">
        <w:rPr>
          <w:b/>
          <w:i/>
        </w:rPr>
        <w:t>постигат тенденция на нарастване на</w:t>
      </w:r>
      <w:r w:rsidRPr="0070201F">
        <w:t xml:space="preserve"> общата национална площ на градските зелени пространства</w:t>
      </w:r>
      <w:r w:rsidRPr="0070201F">
        <w:rPr>
          <w:b/>
          <w:i/>
        </w:rPr>
        <w:t>, включително чрез интегриране на градско зелено пространство в сградите и инфраструктурата, в рамките на градските екосистемни зони, определени в съответствие с член 11, параграф 2б, измервана на всеки шест години след 31 декември 2030 г., до достигането на задоволително ниво, определено в съответствие с член 11, параграф 3</w:t>
      </w:r>
      <w:r w:rsidRPr="0070201F">
        <w:t xml:space="preserve">. </w:t>
      </w:r>
    </w:p>
    <w:bookmarkEnd w:id="58"/>
    <w:p w:rsidR="006173E9" w:rsidRPr="0070201F" w:rsidRDefault="006173E9" w:rsidP="006173E9">
      <w:pPr>
        <w:suppressAutoHyphens/>
        <w:spacing w:before="120" w:after="120" w:line="360" w:lineRule="auto"/>
        <w:ind w:left="567" w:right="140" w:hanging="567"/>
        <w:rPr>
          <w:rFonts w:eastAsia="Calibri"/>
          <w:szCs w:val="22"/>
        </w:rPr>
      </w:pPr>
      <w:r w:rsidRPr="0070201F">
        <w:rPr>
          <w:b/>
          <w:i/>
        </w:rPr>
        <w:t>3.</w:t>
      </w:r>
      <w:r w:rsidRPr="0070201F">
        <w:rPr>
          <w:b/>
          <w:i/>
        </w:rPr>
        <w:tab/>
      </w:r>
      <w:r w:rsidRPr="0070201F">
        <w:t xml:space="preserve">Държавите членки </w:t>
      </w:r>
      <w:r w:rsidRPr="0070201F">
        <w:rPr>
          <w:b/>
          <w:i/>
        </w:rPr>
        <w:t>постигат, в рамките на всяка градска екосистемна зона, определена в съответствие с член 11, член 2б, тенденция на нарастване</w:t>
      </w:r>
      <w:r w:rsidRPr="0070201F">
        <w:t xml:space="preserve"> </w:t>
      </w:r>
      <w:r w:rsidRPr="0070201F">
        <w:rPr>
          <w:rFonts w:ascii="Arial" w:hAnsi="Arial"/>
          <w:snapToGrid w:val="0"/>
        </w:rPr>
        <w:t>▌</w:t>
      </w:r>
      <w:r w:rsidRPr="0070201F">
        <w:t>на покритието на дървесните корони в градските зони</w:t>
      </w:r>
      <w:r w:rsidRPr="0070201F">
        <w:rPr>
          <w:b/>
          <w:i/>
        </w:rPr>
        <w:t>, измервана на всеки шест години след 31 декември 2030 г., до достигането на задоволителното ниво, определено в съответствие с член 11, параграф 3</w:t>
      </w:r>
      <w:r w:rsidRPr="0070201F">
        <w:t>.</w:t>
      </w:r>
    </w:p>
    <w:bookmarkEnd w:id="54"/>
    <w:bookmarkEnd w:id="55"/>
    <w:p w:rsidR="006173E9" w:rsidRPr="0070201F" w:rsidRDefault="006173E9" w:rsidP="006173E9">
      <w:pPr>
        <w:keepNext/>
        <w:shd w:val="clear" w:color="auto" w:fill="FFFFFF"/>
        <w:suppressAutoHyphens/>
        <w:spacing w:before="120" w:after="120" w:line="360" w:lineRule="auto"/>
        <w:ind w:right="140"/>
        <w:jc w:val="center"/>
        <w:outlineLvl w:val="1"/>
        <w:rPr>
          <w:b/>
          <w:bCs/>
          <w:szCs w:val="26"/>
        </w:rPr>
      </w:pPr>
      <w:r w:rsidRPr="0070201F">
        <w:t>Член 7</w:t>
      </w:r>
      <w:r w:rsidRPr="0070201F">
        <w:br/>
      </w:r>
      <w:r w:rsidRPr="0070201F">
        <w:rPr>
          <w:i/>
          <w:iCs/>
        </w:rPr>
        <w:t xml:space="preserve">Възстановяване на естествената </w:t>
      </w:r>
      <w:bookmarkStart w:id="59" w:name="_Hlk136862171"/>
      <w:r w:rsidRPr="0070201F">
        <w:rPr>
          <w:i/>
          <w:iCs/>
        </w:rPr>
        <w:t>свързаност на реките и естествените функции на съответните наводнявани райони</w:t>
      </w:r>
      <w:r w:rsidRPr="0070201F">
        <w:rPr>
          <w:b/>
        </w:rPr>
        <w:t xml:space="preserve"> </w:t>
      </w:r>
      <w:bookmarkEnd w:id="59"/>
    </w:p>
    <w:p w:rsidR="006173E9" w:rsidRPr="0070201F" w:rsidRDefault="006173E9" w:rsidP="006173E9">
      <w:pPr>
        <w:shd w:val="clear" w:color="auto" w:fill="FFFFFF"/>
        <w:suppressAutoHyphens/>
        <w:spacing w:before="120" w:after="120" w:line="360" w:lineRule="auto"/>
        <w:ind w:left="567" w:right="140" w:hanging="567"/>
        <w:rPr>
          <w:rFonts w:eastAsia="Calibri"/>
          <w:szCs w:val="22"/>
        </w:rPr>
      </w:pPr>
      <w:r w:rsidRPr="0070201F">
        <w:t>1.</w:t>
      </w:r>
      <w:r w:rsidRPr="0070201F">
        <w:tab/>
        <w:t xml:space="preserve">Държавите членки изготвят опис на </w:t>
      </w:r>
      <w:r w:rsidRPr="0070201F">
        <w:rPr>
          <w:b/>
          <w:i/>
        </w:rPr>
        <w:t>изкуствените</w:t>
      </w:r>
      <w:r w:rsidRPr="0070201F">
        <w:t xml:space="preserve"> прегради пред </w:t>
      </w:r>
      <w:r w:rsidRPr="0070201F">
        <w:rPr>
          <w:rFonts w:ascii="Arial" w:hAnsi="Arial"/>
          <w:snapToGrid w:val="0"/>
        </w:rPr>
        <w:t>▌</w:t>
      </w:r>
      <w:r w:rsidRPr="0070201F">
        <w:t>свързаността на повърхностните води и</w:t>
      </w:r>
      <w:r w:rsidRPr="0070201F">
        <w:rPr>
          <w:b/>
          <w:i/>
        </w:rPr>
        <w:t>, като вземат предвид техните социално-икономически функции,</w:t>
      </w:r>
      <w:r w:rsidRPr="0070201F">
        <w:t xml:space="preserve"> определят преградите, които трябва да бъдат отстранени, за да се допринесе за постигането на целите за възстановяване, определени в член 4 от настоящия регламент, както и на целта на Съюза за възстановяване на най-малко 25 000 km </w:t>
      </w:r>
      <w:r w:rsidRPr="0070201F">
        <w:lastRenderedPageBreak/>
        <w:t>свободно течащи реки в Съюза до 2030 г</w:t>
      </w:r>
      <w:r w:rsidRPr="0070201F">
        <w:rPr>
          <w:color w:val="000000"/>
        </w:rPr>
        <w:t>., без да се засяга Директива 2000/60/ЕО, по-специално член 4, параграфи 3, 5 и 7 от нея, и Регламент (ЕО) № 1315/2013, по-специално член 15 от него.</w:t>
      </w:r>
    </w:p>
    <w:p w:rsidR="006173E9" w:rsidRPr="0070201F" w:rsidRDefault="006173E9" w:rsidP="006173E9">
      <w:pPr>
        <w:shd w:val="clear" w:color="auto" w:fill="FFFFFF"/>
        <w:suppressAutoHyphens/>
        <w:spacing w:before="120" w:after="120" w:line="360" w:lineRule="auto"/>
        <w:ind w:left="567" w:right="140" w:hanging="567"/>
        <w:rPr>
          <w:rFonts w:eastAsia="Calibri"/>
          <w:szCs w:val="22"/>
        </w:rPr>
      </w:pPr>
      <w:r w:rsidRPr="0070201F">
        <w:t>2.</w:t>
      </w:r>
      <w:r w:rsidRPr="0070201F">
        <w:tab/>
        <w:t xml:space="preserve">Държавите членки премахват </w:t>
      </w:r>
      <w:r w:rsidRPr="0070201F">
        <w:rPr>
          <w:b/>
          <w:i/>
        </w:rPr>
        <w:t>изкуствените</w:t>
      </w:r>
      <w:r w:rsidRPr="0070201F">
        <w:t xml:space="preserve"> прегради пред </w:t>
      </w:r>
      <w:r w:rsidRPr="0070201F">
        <w:rPr>
          <w:rFonts w:ascii="Arial" w:hAnsi="Arial"/>
          <w:snapToGrid w:val="0"/>
        </w:rPr>
        <w:t>▌</w:t>
      </w:r>
      <w:r w:rsidRPr="0070201F">
        <w:t>свързаността на повърхностните води</w:t>
      </w:r>
      <w:r w:rsidRPr="0070201F">
        <w:rPr>
          <w:b/>
          <w:i/>
        </w:rPr>
        <w:t xml:space="preserve"> въз основа на описа</w:t>
      </w:r>
      <w:r w:rsidRPr="0070201F">
        <w:t xml:space="preserve"> съгласно параграф 1 от настоящия член, в съответствие с плана за премахването им, посочен в член 12, параграф 2</w:t>
      </w:r>
      <w:r w:rsidRPr="0070201F">
        <w:rPr>
          <w:b/>
          <w:i/>
        </w:rPr>
        <w:t>, букви д) и е)</w:t>
      </w:r>
      <w:r w:rsidRPr="0070201F">
        <w:t>. Що се отнася до премахването на преградите, държавите членки отстраняват най-вече остарелите, които вече не са необходими за производството на енергия от възобновяеми източници, речното корабоплаване, водоснабдяването</w:t>
      </w:r>
      <w:r w:rsidRPr="0070201F">
        <w:rPr>
          <w:b/>
          <w:i/>
        </w:rPr>
        <w:t>, защитата от наводнения</w:t>
      </w:r>
      <w:r w:rsidRPr="0070201F">
        <w:t xml:space="preserve"> или други цели.</w:t>
      </w:r>
    </w:p>
    <w:p w:rsidR="006173E9" w:rsidRPr="0070201F" w:rsidRDefault="006173E9" w:rsidP="006173E9">
      <w:pPr>
        <w:shd w:val="clear" w:color="auto" w:fill="FFFFFF"/>
        <w:suppressAutoHyphens/>
        <w:spacing w:before="120" w:after="120" w:line="360" w:lineRule="auto"/>
        <w:ind w:left="567" w:right="140" w:hanging="567"/>
        <w:rPr>
          <w:rFonts w:eastAsia="Calibri"/>
          <w:szCs w:val="22"/>
        </w:rPr>
      </w:pPr>
      <w:r w:rsidRPr="0070201F">
        <w:t>3.</w:t>
      </w:r>
      <w:r w:rsidRPr="0070201F">
        <w:tab/>
        <w:t>В допълнение към премахването на преградите, посочено в параграф 2, държавите членки въвеждат мерки, необходими за подобряване на естествените функции на съответните наводнявани райони</w:t>
      </w:r>
      <w:r w:rsidRPr="0070201F">
        <w:rPr>
          <w:sz w:val="16"/>
        </w:rPr>
        <w:t>.</w:t>
      </w:r>
    </w:p>
    <w:p w:rsidR="006173E9" w:rsidRPr="0070201F" w:rsidRDefault="006173E9" w:rsidP="006173E9">
      <w:pPr>
        <w:shd w:val="clear" w:color="auto" w:fill="FFFFFF"/>
        <w:suppressAutoHyphens/>
        <w:spacing w:before="120" w:after="120" w:line="360" w:lineRule="auto"/>
        <w:ind w:left="567" w:right="140" w:hanging="567"/>
        <w:rPr>
          <w:rFonts w:eastAsia="Calibri"/>
          <w:b/>
          <w:i/>
          <w:szCs w:val="22"/>
        </w:rPr>
      </w:pPr>
      <w:r w:rsidRPr="0070201F">
        <w:rPr>
          <w:b/>
          <w:i/>
        </w:rPr>
        <w:t>4.</w:t>
      </w:r>
      <w:r w:rsidRPr="0070201F">
        <w:rPr>
          <w:b/>
          <w:i/>
        </w:rPr>
        <w:tab/>
        <w:t>Държавите членки гарантират поддържането на естествената свързаност на реките и естествените функции на съответните наводнявани райони, възстановени в съответствие с параграфи 2 и 3.</w:t>
      </w:r>
    </w:p>
    <w:p w:rsidR="006173E9" w:rsidRPr="0070201F" w:rsidRDefault="006173E9" w:rsidP="006173E9">
      <w:pPr>
        <w:keepNext/>
        <w:suppressAutoHyphens/>
        <w:spacing w:before="120" w:after="120" w:line="360" w:lineRule="auto"/>
        <w:ind w:right="140"/>
        <w:jc w:val="center"/>
        <w:outlineLvl w:val="1"/>
        <w:rPr>
          <w:b/>
          <w:bCs/>
          <w:szCs w:val="26"/>
        </w:rPr>
      </w:pPr>
      <w:r w:rsidRPr="0070201F">
        <w:t>Член 8</w:t>
      </w:r>
      <w:r w:rsidRPr="0070201F">
        <w:br/>
      </w:r>
      <w:r w:rsidRPr="0070201F">
        <w:rPr>
          <w:i/>
        </w:rPr>
        <w:t>Възстановяване на популациите на опрашителите</w:t>
      </w:r>
      <w:r w:rsidRPr="0070201F">
        <w:rPr>
          <w:b/>
        </w:rPr>
        <w:t xml:space="preserve"> </w:t>
      </w:r>
    </w:p>
    <w:p w:rsidR="006173E9" w:rsidRPr="0070201F" w:rsidRDefault="006173E9" w:rsidP="00B96301">
      <w:pPr>
        <w:suppressAutoHyphens/>
        <w:spacing w:before="120" w:after="120" w:line="360" w:lineRule="auto"/>
        <w:ind w:left="567" w:right="140" w:hanging="567"/>
        <w:rPr>
          <w:rFonts w:eastAsia="Calibri"/>
          <w:b/>
          <w:szCs w:val="22"/>
        </w:rPr>
      </w:pPr>
      <w:r w:rsidRPr="0070201F">
        <w:t>1.</w:t>
      </w:r>
      <w:r w:rsidRPr="0070201F">
        <w:tab/>
      </w:r>
      <w:r w:rsidR="00B96301" w:rsidRPr="0070201F">
        <w:rPr>
          <w:b/>
          <w:i/>
        </w:rPr>
        <w:t>Най-късно</w:t>
      </w:r>
      <w:r w:rsidR="00B96301" w:rsidRPr="0070201F">
        <w:t xml:space="preserve"> до</w:t>
      </w:r>
      <w:r w:rsidRPr="0070201F">
        <w:t xml:space="preserve"> 2030 г. държавите членки</w:t>
      </w:r>
      <w:r w:rsidR="00B96301" w:rsidRPr="0070201F">
        <w:rPr>
          <w:b/>
          <w:i/>
        </w:rPr>
        <w:t>, посредством въвеждане на подходящи и ефективни мерки, подобряват разнообразието на опрашителите и</w:t>
      </w:r>
      <w:r w:rsidR="00B96301" w:rsidRPr="0070201F">
        <w:t xml:space="preserve"> </w:t>
      </w:r>
      <w:r w:rsidRPr="0070201F">
        <w:t xml:space="preserve"> обръщат тенденцията на намаляване на популациите на опрашителите и след това</w:t>
      </w:r>
      <w:r w:rsidR="00B96301" w:rsidRPr="0070201F">
        <w:rPr>
          <w:b/>
          <w:i/>
        </w:rPr>
        <w:t>, след влизането в сила на регламента,</w:t>
      </w:r>
      <w:r w:rsidRPr="0070201F">
        <w:t xml:space="preserve"> постигат тенденция на нарастването им, която се измерва на всеки </w:t>
      </w:r>
      <w:r w:rsidRPr="0070201F">
        <w:rPr>
          <w:b/>
          <w:i/>
        </w:rPr>
        <w:t>шест</w:t>
      </w:r>
      <w:r w:rsidRPr="0070201F">
        <w:t xml:space="preserve"> години след 2030 г., до постигането на задоволителни нива, определени съгласно член 11, параграф 3.</w:t>
      </w:r>
      <w:r w:rsidR="00B96301" w:rsidRPr="0070201F">
        <w:rPr>
          <w:b/>
        </w:rPr>
        <w:t xml:space="preserve"> [Изм. 88]</w:t>
      </w:r>
    </w:p>
    <w:p w:rsidR="006173E9" w:rsidRPr="0070201F" w:rsidRDefault="006173E9" w:rsidP="00B96301">
      <w:pPr>
        <w:suppressAutoHyphens/>
        <w:spacing w:before="120" w:after="120" w:line="360" w:lineRule="auto"/>
        <w:ind w:left="567" w:right="140" w:hanging="567"/>
        <w:rPr>
          <w:rFonts w:eastAsia="Calibri"/>
          <w:b/>
          <w:szCs w:val="22"/>
        </w:rPr>
      </w:pPr>
      <w:bookmarkStart w:id="60" w:name="_Hlk135772528"/>
      <w:r w:rsidRPr="0070201F">
        <w:t>2.</w:t>
      </w:r>
      <w:r w:rsidRPr="0070201F">
        <w:tab/>
      </w:r>
      <w:r w:rsidR="00B96301" w:rsidRPr="0070201F">
        <w:rPr>
          <w:b/>
          <w:i/>
        </w:rPr>
        <w:t>В срок до ... [9 месеца след влизането в сила на настоящия регламент]</w:t>
      </w:r>
      <w:r w:rsidR="00B96301" w:rsidRPr="0070201F">
        <w:t xml:space="preserve"> </w:t>
      </w:r>
      <w:r w:rsidRPr="0070201F">
        <w:t xml:space="preserve">Комисията приема </w:t>
      </w:r>
      <w:r w:rsidR="00B96301" w:rsidRPr="0070201F">
        <w:rPr>
          <w:b/>
          <w:i/>
        </w:rPr>
        <w:t xml:space="preserve">делегирани </w:t>
      </w:r>
      <w:r w:rsidRPr="0070201F">
        <w:t xml:space="preserve">актове </w:t>
      </w:r>
      <w:r w:rsidR="00B96301" w:rsidRPr="0070201F">
        <w:rPr>
          <w:b/>
          <w:i/>
        </w:rPr>
        <w:t>в съответствие с член 20</w:t>
      </w:r>
      <w:r w:rsidR="00B96301" w:rsidRPr="0070201F">
        <w:t xml:space="preserve"> </w:t>
      </w:r>
      <w:r w:rsidRPr="0070201F">
        <w:t xml:space="preserve">за установяване на </w:t>
      </w:r>
      <w:r w:rsidR="00B96301" w:rsidRPr="0070201F">
        <w:rPr>
          <w:b/>
          <w:i/>
        </w:rPr>
        <w:t>научно обоснован</w:t>
      </w:r>
      <w:r w:rsidR="00B96301" w:rsidRPr="0070201F">
        <w:t xml:space="preserve"> </w:t>
      </w:r>
      <w:r w:rsidRPr="0070201F">
        <w:t xml:space="preserve">метод за наблюдение на популациите на </w:t>
      </w:r>
      <w:r w:rsidR="00B96301" w:rsidRPr="0070201F">
        <w:rPr>
          <w:b/>
          <w:i/>
        </w:rPr>
        <w:t>разнообразието и</w:t>
      </w:r>
      <w:r w:rsidR="00B96301" w:rsidRPr="0070201F">
        <w:t xml:space="preserve"> </w:t>
      </w:r>
      <w:r w:rsidRPr="0070201F">
        <w:t xml:space="preserve">опрашителите. </w:t>
      </w:r>
      <w:r w:rsidR="00A937DD" w:rsidRPr="0070201F">
        <w:t>▌</w:t>
      </w:r>
      <w:r w:rsidR="00B96301" w:rsidRPr="0070201F">
        <w:rPr>
          <w:b/>
        </w:rPr>
        <w:t xml:space="preserve"> [Изм. 89]</w:t>
      </w:r>
    </w:p>
    <w:p w:rsidR="006173E9" w:rsidRPr="0070201F" w:rsidRDefault="006173E9" w:rsidP="00B96301">
      <w:pPr>
        <w:suppressAutoHyphens/>
        <w:spacing w:before="120" w:after="120" w:line="360" w:lineRule="auto"/>
        <w:ind w:left="567" w:right="140" w:hanging="567"/>
        <w:rPr>
          <w:b/>
        </w:rPr>
      </w:pPr>
      <w:r w:rsidRPr="0070201F">
        <w:t>3.</w:t>
      </w:r>
      <w:r w:rsidRPr="0070201F">
        <w:tab/>
        <w:t xml:space="preserve">С метода, посочен в параграф 2, се </w:t>
      </w:r>
      <w:r w:rsidR="00B96301" w:rsidRPr="0070201F">
        <w:rPr>
          <w:b/>
          <w:i/>
        </w:rPr>
        <w:t>осигуряват насоки за държавите членки за целите на определянето на задоволителни нива съгласно член 11, параграф 3, както и</w:t>
      </w:r>
      <w:r w:rsidRPr="0070201F">
        <w:t xml:space="preserve"> стандартизиран подход за събиране на годишни данни за изобилието и разнообразието на видовете опрашители </w:t>
      </w:r>
      <w:r w:rsidR="00B96301" w:rsidRPr="0070201F">
        <w:rPr>
          <w:b/>
          <w:i/>
        </w:rPr>
        <w:t>в различните екосистеми,</w:t>
      </w:r>
      <w:r w:rsidRPr="0070201F">
        <w:t xml:space="preserve"> за оценка на тенденциите в популацията на опрашителите</w:t>
      </w:r>
      <w:r w:rsidR="00B96301" w:rsidRPr="0070201F">
        <w:t xml:space="preserve"> </w:t>
      </w:r>
      <w:r w:rsidR="00B96301" w:rsidRPr="0070201F">
        <w:rPr>
          <w:b/>
          <w:i/>
        </w:rPr>
        <w:t xml:space="preserve">и на ефективността на мерките за </w:t>
      </w:r>
      <w:r w:rsidR="00B96301" w:rsidRPr="0070201F">
        <w:rPr>
          <w:b/>
          <w:i/>
        </w:rPr>
        <w:lastRenderedPageBreak/>
        <w:t>възстановяване, приети от държавите членки в съответствие с параграф 1</w:t>
      </w:r>
      <w:r w:rsidRPr="0070201F">
        <w:t>.</w:t>
      </w:r>
      <w:r w:rsidR="00B96301" w:rsidRPr="0070201F">
        <w:rPr>
          <w:b/>
        </w:rPr>
        <w:t xml:space="preserve"> [Изм. 90]</w:t>
      </w:r>
    </w:p>
    <w:p w:rsidR="00B96301" w:rsidRPr="0070201F" w:rsidRDefault="00B96301" w:rsidP="00B96301">
      <w:pPr>
        <w:suppressAutoHyphens/>
        <w:spacing w:before="120" w:after="120" w:line="360" w:lineRule="auto"/>
        <w:ind w:left="567" w:right="140" w:hanging="567"/>
        <w:rPr>
          <w:b/>
        </w:rPr>
      </w:pPr>
      <w:r w:rsidRPr="0070201F">
        <w:rPr>
          <w:b/>
          <w:i/>
        </w:rPr>
        <w:t>3а.</w:t>
      </w:r>
      <w:r w:rsidRPr="0070201F">
        <w:rPr>
          <w:b/>
          <w:i/>
        </w:rPr>
        <w:tab/>
        <w:t>Държавите членки и Комисията гарантират, че данните от мониторинга се събират от достатъчен брой обекти, за да се гарантира представителност за цялата територия. Държавите членки гарантират достатъчно ресурси за мониторинг и насърчаване на гражданската наука.</w:t>
      </w:r>
      <w:r w:rsidRPr="0070201F">
        <w:rPr>
          <w:b/>
        </w:rPr>
        <w:t xml:space="preserve"> [Изм. 91]</w:t>
      </w:r>
    </w:p>
    <w:p w:rsidR="00B96301" w:rsidRPr="0070201F" w:rsidRDefault="00B96301" w:rsidP="00B96301">
      <w:pPr>
        <w:suppressAutoHyphens/>
        <w:spacing w:before="120" w:after="120" w:line="360" w:lineRule="auto"/>
        <w:ind w:left="567" w:right="140" w:hanging="567"/>
        <w:rPr>
          <w:b/>
        </w:rPr>
      </w:pPr>
      <w:r w:rsidRPr="0070201F">
        <w:rPr>
          <w:b/>
          <w:i/>
        </w:rPr>
        <w:t>3б.</w:t>
      </w:r>
      <w:r w:rsidRPr="0070201F">
        <w:rPr>
          <w:b/>
          <w:i/>
        </w:rPr>
        <w:tab/>
        <w:t>Комисията и съответните агенции на Съюза, по-специално ЕАОС, ЕОБХ и ECHA, съвместно разглеждат основните видове натиск, на които са изложени опрашителите, и подкрепят държавите членки при поискване от тяхна страна.</w:t>
      </w:r>
      <w:r w:rsidRPr="0070201F">
        <w:rPr>
          <w:b/>
        </w:rPr>
        <w:t xml:space="preserve"> [Изм. 92]</w:t>
      </w:r>
    </w:p>
    <w:p w:rsidR="00A7454F" w:rsidRPr="0070201F" w:rsidRDefault="00A7454F" w:rsidP="006173E9">
      <w:pPr>
        <w:suppressAutoHyphens/>
        <w:spacing w:before="120" w:after="120" w:line="360" w:lineRule="auto"/>
        <w:ind w:left="567" w:right="140" w:hanging="567"/>
        <w:rPr>
          <w:rFonts w:eastAsia="Calibri"/>
          <w:b/>
          <w:szCs w:val="22"/>
        </w:rPr>
      </w:pPr>
    </w:p>
    <w:p w:rsidR="00A7454F" w:rsidRPr="0070201F" w:rsidRDefault="00A7454F" w:rsidP="006173E9">
      <w:pPr>
        <w:suppressAutoHyphens/>
        <w:spacing w:before="120" w:after="120" w:line="360" w:lineRule="auto"/>
        <w:ind w:left="567" w:right="140" w:hanging="567"/>
        <w:rPr>
          <w:rFonts w:eastAsia="Calibri"/>
          <w:b/>
          <w:szCs w:val="22"/>
        </w:rPr>
      </w:pPr>
      <w:r w:rsidRPr="0070201F">
        <w:rPr>
          <w:rFonts w:eastAsia="Calibri"/>
          <w:b/>
          <w:szCs w:val="22"/>
        </w:rPr>
        <w:t xml:space="preserve">▌ </w:t>
      </w:r>
      <w:r w:rsidR="00FE42A2" w:rsidRPr="0070201F">
        <w:rPr>
          <w:rFonts w:eastAsia="Calibri"/>
          <w:b/>
          <w:szCs w:val="22"/>
        </w:rPr>
        <w:t xml:space="preserve"> [Изм. 34</w:t>
      </w:r>
      <w:r w:rsidRPr="0070201F">
        <w:rPr>
          <w:rFonts w:eastAsia="Calibri"/>
          <w:b/>
          <w:szCs w:val="22"/>
        </w:rPr>
        <w:t>]</w:t>
      </w:r>
    </w:p>
    <w:bookmarkEnd w:id="60"/>
    <w:p w:rsidR="006173E9" w:rsidRPr="0070201F" w:rsidRDefault="006173E9" w:rsidP="006173E9">
      <w:pPr>
        <w:spacing w:after="200" w:line="276" w:lineRule="auto"/>
        <w:rPr>
          <w:rFonts w:eastAsia="Calibri"/>
          <w:b/>
          <w:szCs w:val="22"/>
          <w:u w:val="single"/>
        </w:rPr>
      </w:pPr>
      <w:r w:rsidRPr="0070201F">
        <w:br w:type="page"/>
      </w:r>
    </w:p>
    <w:p w:rsidR="006173E9" w:rsidRPr="0070201F" w:rsidRDefault="006173E9" w:rsidP="006173E9">
      <w:pPr>
        <w:keepNext/>
        <w:suppressAutoHyphens/>
        <w:spacing w:before="120" w:after="120" w:line="360" w:lineRule="auto"/>
        <w:ind w:right="140"/>
        <w:jc w:val="center"/>
        <w:outlineLvl w:val="1"/>
        <w:rPr>
          <w:bCs/>
          <w:i/>
          <w:szCs w:val="26"/>
        </w:rPr>
      </w:pPr>
      <w:r w:rsidRPr="0070201F">
        <w:lastRenderedPageBreak/>
        <w:t>Член 10</w:t>
      </w:r>
      <w:r w:rsidRPr="0070201F">
        <w:br/>
      </w:r>
      <w:r w:rsidRPr="0070201F">
        <w:rPr>
          <w:i/>
        </w:rPr>
        <w:t>Възстановяване на горските екосистеми</w:t>
      </w:r>
    </w:p>
    <w:p w:rsidR="006173E9" w:rsidRPr="0070201F" w:rsidRDefault="006173E9" w:rsidP="006173E9">
      <w:pPr>
        <w:suppressAutoHyphens/>
        <w:spacing w:before="120" w:after="120" w:line="360" w:lineRule="auto"/>
        <w:ind w:left="567" w:right="140" w:hanging="567"/>
        <w:rPr>
          <w:rFonts w:eastAsia="Calibri"/>
          <w:szCs w:val="22"/>
        </w:rPr>
      </w:pPr>
      <w:r w:rsidRPr="0070201F">
        <w:t>1.</w:t>
      </w:r>
      <w:r w:rsidRPr="0070201F">
        <w:tab/>
        <w:t>Държавите членки въвеждат мерки за възстановяване, необходими за подобряване на биологичното разнообразие на горските екосистеми, в допълнение към зоните, които са предмет на мерки за възстановяване съгласно член 4, параграфи 1, 2 и 3.</w:t>
      </w:r>
    </w:p>
    <w:p w:rsidR="006173E9" w:rsidRPr="0070201F" w:rsidRDefault="006173E9" w:rsidP="006173E9">
      <w:pPr>
        <w:suppressAutoHyphens/>
        <w:spacing w:before="120" w:after="120" w:line="360" w:lineRule="auto"/>
        <w:ind w:left="567" w:right="140" w:hanging="567"/>
        <w:rPr>
          <w:szCs w:val="22"/>
        </w:rPr>
      </w:pPr>
      <w:r w:rsidRPr="0070201F">
        <w:t>2.</w:t>
      </w:r>
      <w:r w:rsidRPr="0070201F">
        <w:tab/>
        <w:t xml:space="preserve">Държавите членки постигат тенденция на нарастване на национално равнище на всеки от следните показатели в горските екосистеми, уточнени в приложение VI, измервани в периода от датата на влизане в сила на настоящия регламент до 31 декември 2030 г. и след това на всеки </w:t>
      </w:r>
      <w:r w:rsidRPr="0070201F">
        <w:rPr>
          <w:b/>
          <w:i/>
        </w:rPr>
        <w:t>шест</w:t>
      </w:r>
      <w:r w:rsidRPr="0070201F">
        <w:t xml:space="preserve"> години, докато бъдат достигнати задоволителните нива, определени в съответствие с член 11, параграф 3:</w:t>
      </w:r>
    </w:p>
    <w:p w:rsidR="006173E9" w:rsidRPr="0070201F" w:rsidRDefault="0016114A" w:rsidP="0016114A">
      <w:pPr>
        <w:suppressAutoHyphens/>
        <w:spacing w:before="120" w:after="120" w:line="360" w:lineRule="auto"/>
        <w:ind w:left="1134" w:right="140" w:hanging="567"/>
        <w:rPr>
          <w:rFonts w:eastAsia="Calibri"/>
          <w:szCs w:val="22"/>
        </w:rPr>
      </w:pPr>
      <w:r w:rsidRPr="0070201F">
        <w:rPr>
          <w:b/>
        </w:rPr>
        <w:t>▌ [Изм. 129</w:t>
      </w:r>
      <w:r w:rsidRPr="00223ACF">
        <w:rPr>
          <w:b/>
        </w:rPr>
        <w:t>/</w:t>
      </w:r>
      <w:r w:rsidRPr="0070201F">
        <w:rPr>
          <w:b/>
          <w:lang w:val="fr-FR"/>
        </w:rPr>
        <w:t>rev</w:t>
      </w:r>
      <w:r w:rsidR="00A937DD" w:rsidRPr="0070201F">
        <w:rPr>
          <w:b/>
        </w:rPr>
        <w:t>1</w:t>
      </w:r>
      <w:r w:rsidRPr="0070201F">
        <w:rPr>
          <w:b/>
        </w:rPr>
        <w:t>]</w:t>
      </w:r>
      <w:r w:rsidRPr="00223ACF">
        <w:rPr>
          <w:b/>
        </w:rPr>
        <w:t xml:space="preserve"> </w:t>
      </w:r>
      <w:r w:rsidRPr="0070201F">
        <w:rPr>
          <w:b/>
        </w:rPr>
        <w:t>▌ [Изм. </w:t>
      </w:r>
      <w:r w:rsidRPr="00223ACF">
        <w:rPr>
          <w:b/>
        </w:rPr>
        <w:t>130/</w:t>
      </w:r>
      <w:r w:rsidRPr="0070201F">
        <w:rPr>
          <w:b/>
          <w:lang w:val="fr-FR"/>
        </w:rPr>
        <w:t>rev</w:t>
      </w:r>
      <w:r w:rsidR="00A937DD" w:rsidRPr="0070201F">
        <w:rPr>
          <w:b/>
        </w:rPr>
        <w:t>1</w:t>
      </w:r>
      <w:r w:rsidRPr="0070201F">
        <w:rPr>
          <w:b/>
        </w:rPr>
        <w:t>]</w:t>
      </w:r>
    </w:p>
    <w:p w:rsidR="006173E9" w:rsidRPr="0070201F" w:rsidRDefault="006173E9" w:rsidP="006173E9">
      <w:pPr>
        <w:suppressAutoHyphens/>
        <w:spacing w:before="120" w:after="120" w:line="360" w:lineRule="auto"/>
        <w:ind w:left="1134" w:right="140" w:hanging="567"/>
        <w:rPr>
          <w:rFonts w:eastAsia="Calibri"/>
          <w:szCs w:val="22"/>
        </w:rPr>
      </w:pPr>
      <w:r w:rsidRPr="0070201F">
        <w:rPr>
          <w:rFonts w:ascii="Arial" w:hAnsi="Arial"/>
          <w:snapToGrid w:val="0"/>
        </w:rPr>
        <w:t>▌</w:t>
      </w:r>
      <w:r w:rsidRPr="0070201F">
        <w:t xml:space="preserve"> </w:t>
      </w:r>
    </w:p>
    <w:p w:rsidR="006173E9" w:rsidRPr="0070201F" w:rsidRDefault="006173E9" w:rsidP="006173E9">
      <w:pPr>
        <w:suppressAutoHyphens/>
        <w:spacing w:before="120" w:after="120" w:line="360" w:lineRule="auto"/>
        <w:ind w:left="1134" w:right="140" w:hanging="567"/>
        <w:rPr>
          <w:rFonts w:eastAsia="Calibri"/>
          <w:szCs w:val="22"/>
        </w:rPr>
      </w:pPr>
      <w:r w:rsidRPr="0070201F">
        <w:rPr>
          <w:rFonts w:ascii="Arial" w:hAnsi="Arial"/>
          <w:snapToGrid w:val="0"/>
        </w:rPr>
        <w:t>▌</w:t>
      </w:r>
      <w:r w:rsidRPr="0070201F">
        <w:t xml:space="preserve"> </w:t>
      </w:r>
    </w:p>
    <w:p w:rsidR="006173E9" w:rsidRPr="0070201F" w:rsidRDefault="006173E9" w:rsidP="006173E9">
      <w:pPr>
        <w:suppressAutoHyphens/>
        <w:spacing w:before="120" w:after="120" w:line="360" w:lineRule="auto"/>
        <w:ind w:left="1134" w:right="140" w:hanging="567"/>
        <w:rPr>
          <w:rFonts w:eastAsia="Calibri"/>
          <w:szCs w:val="22"/>
        </w:rPr>
      </w:pPr>
      <w:r w:rsidRPr="0070201F">
        <w:t>в)</w:t>
      </w:r>
      <w:r w:rsidRPr="0070201F">
        <w:tab/>
        <w:t>индекс на обикновените горски птици</w:t>
      </w:r>
      <w:r w:rsidRPr="0070201F">
        <w:rPr>
          <w:b/>
          <w:i/>
        </w:rPr>
        <w:t>.</w:t>
      </w:r>
    </w:p>
    <w:p w:rsidR="006173E9" w:rsidRPr="0070201F" w:rsidRDefault="006173E9" w:rsidP="006173E9">
      <w:pPr>
        <w:suppressAutoHyphens/>
        <w:spacing w:before="120" w:after="120" w:line="360" w:lineRule="auto"/>
        <w:ind w:left="1134" w:right="140" w:hanging="567"/>
      </w:pPr>
      <w:r w:rsidRPr="0070201F">
        <w:rPr>
          <w:rFonts w:ascii="Arial" w:hAnsi="Arial"/>
          <w:snapToGrid w:val="0"/>
        </w:rPr>
        <w:t>▌</w:t>
      </w:r>
      <w:r w:rsidRPr="0070201F">
        <w:t xml:space="preserve"> </w:t>
      </w:r>
    </w:p>
    <w:p w:rsidR="006173E9" w:rsidRPr="0070201F" w:rsidRDefault="006173E9" w:rsidP="006173E9">
      <w:pPr>
        <w:spacing w:after="200" w:line="276" w:lineRule="auto"/>
        <w:rPr>
          <w:rFonts w:eastAsia="Calibri"/>
          <w:szCs w:val="22"/>
        </w:rPr>
      </w:pPr>
      <w:r w:rsidRPr="0070201F">
        <w:br w:type="page"/>
      </w:r>
    </w:p>
    <w:p w:rsidR="006173E9" w:rsidRPr="0070201F" w:rsidRDefault="006173E9" w:rsidP="006173E9">
      <w:pPr>
        <w:suppressAutoHyphens/>
        <w:spacing w:before="120" w:after="120" w:line="360" w:lineRule="auto"/>
        <w:ind w:left="567" w:right="140" w:hanging="567"/>
        <w:rPr>
          <w:b/>
          <w:i/>
          <w:szCs w:val="22"/>
        </w:rPr>
      </w:pPr>
      <w:r w:rsidRPr="0070201F">
        <w:rPr>
          <w:b/>
          <w:i/>
          <w:sz w:val="23"/>
        </w:rPr>
        <w:lastRenderedPageBreak/>
        <w:t>2а.</w:t>
      </w:r>
      <w:r w:rsidRPr="0070201F">
        <w:rPr>
          <w:b/>
          <w:i/>
          <w:sz w:val="23"/>
        </w:rPr>
        <w:tab/>
      </w:r>
      <w:r w:rsidRPr="0070201F">
        <w:rPr>
          <w:b/>
          <w:i/>
        </w:rPr>
        <w:t>Държавите членки постигат тенденция на нарастване на национално равнище на три от следните показатели в горските екосистеми, уточнени в приложение VI, избрани въз основа на способността им да докажат подобряването на биологичното разнообразие на горските екосистеми в рамките на съответната държава членка. Тенденцията се измерва в периода от датата на влизане в сила на настоящия регламент до 31 декември 2030 г. и след това на всеки шест години, до достигането на задоволителните нива, определени в съответствие с член 11, параграф 3:</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w:t>
      </w:r>
      <w:bookmarkStart w:id="61" w:name="_Hlk128839216"/>
      <w:r w:rsidRPr="0070201F">
        <w:rPr>
          <w:b/>
          <w:i/>
        </w:rPr>
        <w:t>a)</w:t>
      </w:r>
      <w:r w:rsidRPr="0070201F">
        <w:rPr>
          <w:b/>
          <w:i/>
        </w:rPr>
        <w:tab/>
        <w:t>дял на горите с неравномерна възрастова структура;</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б)</w:t>
      </w:r>
      <w:r w:rsidRPr="0070201F">
        <w:rPr>
          <w:b/>
          <w:i/>
        </w:rPr>
        <w:tab/>
        <w:t xml:space="preserve">свързаност на горите; </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в)</w:t>
      </w:r>
      <w:r w:rsidRPr="0070201F">
        <w:rPr>
          <w:b/>
          <w:i/>
        </w:rPr>
        <w:tab/>
        <w:t>запаси от органичен въглерод;</w:t>
      </w:r>
    </w:p>
    <w:bookmarkEnd w:id="61"/>
    <w:p w:rsidR="006173E9" w:rsidRPr="0070201F" w:rsidRDefault="006173E9" w:rsidP="006173E9">
      <w:pPr>
        <w:suppressAutoHyphens/>
        <w:spacing w:after="120" w:line="360" w:lineRule="auto"/>
        <w:ind w:right="140" w:firstLine="567"/>
        <w:rPr>
          <w:rFonts w:eastAsia="Calibri"/>
          <w:b/>
          <w:i/>
          <w:color w:val="000000"/>
        </w:rPr>
      </w:pPr>
      <w:r w:rsidRPr="0070201F">
        <w:rPr>
          <w:b/>
          <w:i/>
          <w:color w:val="000000"/>
          <w:sz w:val="23"/>
        </w:rPr>
        <w:t xml:space="preserve">г) </w:t>
      </w:r>
      <w:r w:rsidRPr="0070201F">
        <w:rPr>
          <w:b/>
          <w:i/>
          <w:color w:val="000000"/>
          <w:sz w:val="23"/>
        </w:rPr>
        <w:tab/>
        <w:t>дял на горите, в които преобладават</w:t>
      </w:r>
      <w:r w:rsidRPr="0070201F">
        <w:rPr>
          <w:b/>
          <w:i/>
          <w:color w:val="000000"/>
        </w:rPr>
        <w:t xml:space="preserve"> местните дървесни видове;</w:t>
      </w:r>
    </w:p>
    <w:p w:rsidR="006173E9" w:rsidRPr="0070201F" w:rsidRDefault="006173E9" w:rsidP="006173E9">
      <w:pPr>
        <w:suppressAutoHyphens/>
        <w:spacing w:before="120" w:after="240" w:line="360" w:lineRule="auto"/>
        <w:ind w:right="142" w:firstLine="567"/>
        <w:rPr>
          <w:rFonts w:eastAsia="Calibri"/>
          <w:b/>
          <w:i/>
          <w:color w:val="000000"/>
          <w:sz w:val="23"/>
          <w:szCs w:val="23"/>
        </w:rPr>
      </w:pPr>
      <w:r w:rsidRPr="0070201F">
        <w:rPr>
          <w:b/>
          <w:i/>
          <w:color w:val="000000"/>
          <w:sz w:val="23"/>
        </w:rPr>
        <w:t xml:space="preserve">д) </w:t>
      </w:r>
      <w:r w:rsidRPr="0070201F">
        <w:rPr>
          <w:b/>
          <w:i/>
          <w:color w:val="000000"/>
          <w:sz w:val="23"/>
        </w:rPr>
        <w:tab/>
        <w:t>разнообразие на дървесните видове.</w:t>
      </w:r>
    </w:p>
    <w:p w:rsidR="006173E9" w:rsidRPr="0070201F" w:rsidRDefault="006173E9" w:rsidP="006173E9">
      <w:pPr>
        <w:suppressAutoHyphens/>
        <w:spacing w:before="120" w:after="120" w:line="360" w:lineRule="auto"/>
        <w:ind w:left="567" w:right="140" w:hanging="567"/>
        <w:rPr>
          <w:rFonts w:eastAsia="Calibri"/>
          <w:b/>
          <w:i/>
          <w:szCs w:val="22"/>
        </w:rPr>
      </w:pPr>
      <w:r w:rsidRPr="0070201F">
        <w:rPr>
          <w:b/>
          <w:i/>
        </w:rPr>
        <w:t>3.</w:t>
      </w:r>
      <w:r w:rsidRPr="0070201F">
        <w:rPr>
          <w:b/>
          <w:i/>
        </w:rPr>
        <w:tab/>
        <w:t>Неизпълнението на задълженията, посочени в параграфи 2 и 2а, е оправдано, ако се дължи на:</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a)</w:t>
      </w:r>
      <w:r w:rsidRPr="0070201F">
        <w:rPr>
          <w:b/>
          <w:i/>
        </w:rPr>
        <w:tab/>
        <w:t>мащабна непреодолима сила, включително природни бедствия, по-специално непланирани и неконтролирани горски пожари; или</w:t>
      </w:r>
    </w:p>
    <w:p w:rsidR="006173E9" w:rsidRPr="0070201F" w:rsidRDefault="006173E9" w:rsidP="006173E9">
      <w:pPr>
        <w:suppressAutoHyphens/>
        <w:spacing w:before="120" w:after="120" w:line="360" w:lineRule="auto"/>
        <w:ind w:left="1134" w:right="140" w:hanging="567"/>
        <w:rPr>
          <w:rFonts w:eastAsia="Calibri"/>
          <w:b/>
          <w:i/>
          <w:szCs w:val="22"/>
        </w:rPr>
      </w:pPr>
      <w:r w:rsidRPr="0070201F">
        <w:rPr>
          <w:b/>
          <w:i/>
        </w:rPr>
        <w:t>б)</w:t>
      </w:r>
      <w:r w:rsidRPr="0070201F">
        <w:rPr>
          <w:b/>
          <w:i/>
        </w:rPr>
        <w:tab/>
        <w:t>неизбежни промени в местообитанията, които са пряко причинени от изменението на климата.</w:t>
      </w:r>
    </w:p>
    <w:p w:rsidR="006173E9" w:rsidRPr="0070201F" w:rsidRDefault="006173E9" w:rsidP="006173E9">
      <w:pPr>
        <w:spacing w:after="200" w:line="276" w:lineRule="auto"/>
      </w:pPr>
      <w:r w:rsidRPr="0070201F">
        <w:br w:type="page"/>
      </w:r>
    </w:p>
    <w:p w:rsidR="0016114A" w:rsidRPr="0070201F" w:rsidRDefault="0016114A" w:rsidP="0016114A">
      <w:pPr>
        <w:suppressAutoHyphens/>
        <w:spacing w:before="120" w:after="120" w:line="360" w:lineRule="auto"/>
        <w:ind w:left="1134" w:right="140" w:hanging="567"/>
        <w:jc w:val="center"/>
        <w:rPr>
          <w:rFonts w:eastAsia="Calibri"/>
          <w:b/>
          <w:bCs/>
          <w:i/>
          <w:iCs/>
          <w:szCs w:val="22"/>
        </w:rPr>
      </w:pPr>
      <w:r w:rsidRPr="0070201F">
        <w:rPr>
          <w:rFonts w:eastAsia="Calibri"/>
          <w:b/>
          <w:bCs/>
          <w:i/>
          <w:iCs/>
          <w:szCs w:val="22"/>
        </w:rPr>
        <w:lastRenderedPageBreak/>
        <w:t>Член 10а</w:t>
      </w:r>
      <w:r w:rsidRPr="0070201F">
        <w:rPr>
          <w:rFonts w:eastAsia="Calibri"/>
          <w:b/>
          <w:bCs/>
          <w:i/>
          <w:iCs/>
          <w:szCs w:val="22"/>
        </w:rPr>
        <w:br/>
        <w:t>Засаждане на три милиарда допълнителни дървета</w:t>
      </w:r>
    </w:p>
    <w:p w:rsidR="0016114A" w:rsidRPr="0070201F" w:rsidRDefault="0016114A" w:rsidP="0016114A">
      <w:pPr>
        <w:suppressAutoHyphens/>
        <w:spacing w:before="120" w:after="120" w:line="360" w:lineRule="auto"/>
        <w:ind w:left="851" w:right="140" w:hanging="851"/>
        <w:rPr>
          <w:rFonts w:eastAsia="Calibri"/>
          <w:b/>
          <w:bCs/>
          <w:i/>
          <w:iCs/>
          <w:szCs w:val="22"/>
        </w:rPr>
      </w:pPr>
      <w:r w:rsidRPr="0070201F">
        <w:rPr>
          <w:rFonts w:eastAsia="Calibri"/>
          <w:b/>
          <w:bCs/>
          <w:i/>
          <w:iCs/>
          <w:szCs w:val="22"/>
        </w:rPr>
        <w:t xml:space="preserve">1. </w:t>
      </w:r>
      <w:r w:rsidRPr="0070201F">
        <w:rPr>
          <w:rFonts w:eastAsia="Calibri"/>
          <w:b/>
          <w:bCs/>
          <w:i/>
          <w:iCs/>
          <w:szCs w:val="22"/>
        </w:rPr>
        <w:tab/>
        <w:t>При определянето и прилагането на мерките за възстановяване с цел изпълнение на целите и задълженията, определени в членове 4, 6 и 10, държавите членки допринасят за постигането на целта на Съюза за засаждане на най-малко три милиарда допълнителни дървета до 2030 г.</w:t>
      </w:r>
    </w:p>
    <w:p w:rsidR="0016114A" w:rsidRPr="0070201F" w:rsidRDefault="0016114A" w:rsidP="0016114A">
      <w:pPr>
        <w:suppressAutoHyphens/>
        <w:spacing w:before="120" w:after="120" w:line="360" w:lineRule="auto"/>
        <w:ind w:left="851" w:right="140" w:hanging="851"/>
        <w:rPr>
          <w:rFonts w:eastAsia="Calibri"/>
          <w:b/>
          <w:bCs/>
          <w:i/>
          <w:iCs/>
          <w:szCs w:val="22"/>
        </w:rPr>
      </w:pPr>
      <w:r w:rsidRPr="0070201F">
        <w:rPr>
          <w:rFonts w:eastAsia="Calibri"/>
          <w:b/>
          <w:bCs/>
          <w:i/>
          <w:iCs/>
          <w:szCs w:val="22"/>
        </w:rPr>
        <w:t xml:space="preserve">2. </w:t>
      </w:r>
      <w:r w:rsidRPr="0070201F">
        <w:rPr>
          <w:rFonts w:eastAsia="Calibri"/>
          <w:b/>
          <w:bCs/>
          <w:i/>
          <w:iCs/>
          <w:szCs w:val="22"/>
        </w:rPr>
        <w:tab/>
        <w:t>Държавите членки гарантират, че определената в параграф 1 цел се постига при пълно зачитане на екологичните принципи, като се гарантира разнообразието на видовете, като се дава приоритет на местните дървесни видове, с изключение — в много специфични случаи и при конкретни условия — на неместните видове, адаптирани към местната почва, и като се отчитат климатичният и екологичният контекст и условията на местообитанията, които играят роля за насърчаването на по-голяма устойчивост спрямо изменението на климата. Мерките за постигане на целта са насочени към увеличаване на свързаността и се основават на прозалесяване, устойчиво повторно залесяване и екологизиране на урбанизираните райони.</w:t>
      </w:r>
    </w:p>
    <w:p w:rsidR="0016114A" w:rsidRPr="0070201F" w:rsidRDefault="0016114A" w:rsidP="0016114A">
      <w:pPr>
        <w:suppressAutoHyphens/>
        <w:spacing w:before="120" w:after="120" w:line="360" w:lineRule="auto"/>
        <w:ind w:left="851" w:right="140" w:hanging="851"/>
        <w:rPr>
          <w:rFonts w:eastAsia="Calibri"/>
          <w:b/>
          <w:bCs/>
          <w:iCs/>
          <w:szCs w:val="22"/>
        </w:rPr>
      </w:pPr>
      <w:r w:rsidRPr="0070201F">
        <w:rPr>
          <w:rFonts w:eastAsia="Calibri"/>
          <w:b/>
          <w:bCs/>
          <w:i/>
          <w:iCs/>
          <w:szCs w:val="22"/>
        </w:rPr>
        <w:t xml:space="preserve">3. </w:t>
      </w:r>
      <w:r w:rsidRPr="0070201F">
        <w:rPr>
          <w:rFonts w:eastAsia="Calibri"/>
          <w:b/>
          <w:bCs/>
          <w:i/>
          <w:iCs/>
          <w:szCs w:val="22"/>
        </w:rPr>
        <w:tab/>
        <w:t>Дърветата, засадени с цел дърводобив, не се отчитат за целта, определена в параграф 1.</w:t>
      </w:r>
      <w:r w:rsidRPr="0070201F">
        <w:rPr>
          <w:rFonts w:eastAsia="Calibri"/>
          <w:b/>
          <w:bCs/>
          <w:iCs/>
          <w:szCs w:val="22"/>
        </w:rPr>
        <w:t xml:space="preserve"> [Изм. 80]</w:t>
      </w:r>
    </w:p>
    <w:p w:rsidR="0016114A" w:rsidRPr="0070201F" w:rsidRDefault="0016114A">
      <w:pPr>
        <w:widowControl/>
        <w:rPr>
          <w:rFonts w:eastAsia="Calibri"/>
          <w:b/>
          <w:bCs/>
          <w:iCs/>
          <w:szCs w:val="22"/>
        </w:rPr>
      </w:pPr>
      <w:r w:rsidRPr="0070201F">
        <w:rPr>
          <w:rFonts w:eastAsia="Calibri"/>
          <w:b/>
          <w:bCs/>
          <w:iCs/>
          <w:szCs w:val="22"/>
        </w:rPr>
        <w:br w:type="page"/>
      </w:r>
    </w:p>
    <w:p w:rsidR="006173E9" w:rsidRPr="0070201F" w:rsidRDefault="006173E9" w:rsidP="006173E9">
      <w:pPr>
        <w:suppressAutoHyphens/>
        <w:spacing w:line="360" w:lineRule="auto"/>
        <w:jc w:val="center"/>
        <w:rPr>
          <w:rFonts w:eastAsia="Calibri"/>
          <w:szCs w:val="22"/>
        </w:rPr>
      </w:pPr>
      <w:r w:rsidRPr="0070201F">
        <w:lastRenderedPageBreak/>
        <w:t>ГЛАВА III</w:t>
      </w:r>
      <w:r w:rsidRPr="0070201F">
        <w:br/>
        <w:t>НАЦИОНАЛНИ ПЛАНОВЕ ЗА ВЪЗСТАНОВЯВАНЕ</w:t>
      </w:r>
    </w:p>
    <w:p w:rsidR="006173E9" w:rsidRPr="0070201F" w:rsidRDefault="006173E9" w:rsidP="006173E9">
      <w:pPr>
        <w:keepNext/>
        <w:suppressAutoHyphens/>
        <w:spacing w:before="360" w:after="120" w:line="360" w:lineRule="auto"/>
        <w:ind w:right="-1"/>
        <w:jc w:val="center"/>
        <w:outlineLvl w:val="1"/>
        <w:rPr>
          <w:b/>
          <w:bCs/>
          <w:szCs w:val="26"/>
        </w:rPr>
      </w:pPr>
      <w:r w:rsidRPr="0070201F">
        <w:t>Член 11</w:t>
      </w:r>
      <w:r w:rsidRPr="0070201F">
        <w:br/>
      </w:r>
      <w:r w:rsidRPr="0070201F">
        <w:rPr>
          <w:i/>
        </w:rPr>
        <w:t>Изготвяне на националните планове за възстановяване</w:t>
      </w:r>
      <w:r w:rsidRPr="0070201F">
        <w:rPr>
          <w:b/>
        </w:rPr>
        <w:t xml:space="preserve"> </w:t>
      </w:r>
    </w:p>
    <w:p w:rsidR="006173E9" w:rsidRPr="0070201F" w:rsidRDefault="006173E9" w:rsidP="0016114A">
      <w:pPr>
        <w:suppressAutoHyphens/>
        <w:spacing w:before="120" w:after="120" w:line="360" w:lineRule="auto"/>
        <w:ind w:left="567" w:right="-1" w:hanging="567"/>
        <w:rPr>
          <w:rFonts w:eastAsia="Calibri"/>
          <w:b/>
          <w:szCs w:val="22"/>
        </w:rPr>
      </w:pPr>
      <w:r w:rsidRPr="0070201F">
        <w:t>1.</w:t>
      </w:r>
      <w:r w:rsidRPr="0070201F">
        <w:tab/>
        <w:t xml:space="preserve">Държавите членки изготвят национални планове за възстановяване и извършват подготвително наблюдение и научни изследвания, необходими за определяне на мерките за възстановяване, чрез които да </w:t>
      </w:r>
      <w:r w:rsidR="00B96301" w:rsidRPr="0070201F">
        <w:rPr>
          <w:b/>
          <w:i/>
        </w:rPr>
        <w:t>се допринесе за</w:t>
      </w:r>
      <w:r w:rsidR="00B96301" w:rsidRPr="0070201F">
        <w:t xml:space="preserve"> </w:t>
      </w:r>
      <w:r w:rsidRPr="0070201F">
        <w:t xml:space="preserve">целите </w:t>
      </w:r>
      <w:r w:rsidR="0016114A" w:rsidRPr="0070201F">
        <w:rPr>
          <w:b/>
          <w:i/>
        </w:rPr>
        <w:t xml:space="preserve">на Съюза </w:t>
      </w:r>
      <w:r w:rsidRPr="0070201F">
        <w:t xml:space="preserve">и </w:t>
      </w:r>
      <w:r w:rsidR="0016114A" w:rsidRPr="0070201F">
        <w:rPr>
          <w:b/>
          <w:i/>
        </w:rPr>
        <w:t xml:space="preserve">да се постигнат </w:t>
      </w:r>
      <w:r w:rsidRPr="0070201F">
        <w:t>задълженията, посочени в членове 4—10, като вземат предвид най-новите научни доказателства</w:t>
      </w:r>
      <w:r w:rsidR="00B96301" w:rsidRPr="0070201F">
        <w:rPr>
          <w:b/>
          <w:i/>
        </w:rPr>
        <w:t>, нуждите на местните общности, включително и на градските, най-ефективните по отношение на разходите мерки и социално-икономическото въздействие на мерките</w:t>
      </w:r>
      <w:r w:rsidR="00B96301" w:rsidRPr="0070201F">
        <w:t xml:space="preserve">. </w:t>
      </w:r>
      <w:r w:rsidR="00B96301" w:rsidRPr="0070201F">
        <w:rPr>
          <w:b/>
          <w:i/>
        </w:rPr>
        <w:t>Необходимо е подходящо участие на заинтересованите страни, включително собствениците на земя и лицата, стопанисващи земи, на всеки етап от процеса</w:t>
      </w:r>
      <w:r w:rsidRPr="0070201F">
        <w:t>.</w:t>
      </w:r>
      <w:r w:rsidR="00B96301" w:rsidRPr="0070201F">
        <w:rPr>
          <w:b/>
        </w:rPr>
        <w:t xml:space="preserve"> [Изм. 35]</w:t>
      </w:r>
    </w:p>
    <w:p w:rsidR="006173E9" w:rsidRPr="0070201F" w:rsidRDefault="006173E9" w:rsidP="006173E9">
      <w:pPr>
        <w:suppressAutoHyphens/>
        <w:spacing w:before="120" w:after="120" w:line="360" w:lineRule="auto"/>
        <w:ind w:left="567" w:right="-1" w:hanging="567"/>
        <w:rPr>
          <w:rFonts w:eastAsia="Calibri"/>
          <w:szCs w:val="22"/>
        </w:rPr>
      </w:pPr>
      <w:r w:rsidRPr="0070201F">
        <w:t>2.</w:t>
      </w:r>
      <w:r w:rsidRPr="0070201F">
        <w:tab/>
        <w:t>Държавите членки определят количествено площта, която трябва да бъде възстановена, за да се постигнат целите за възстановяването, определени в членове 4 и 5, като вземат предвид състоянието на типовете местообитания, посочени в член 4, параграфи 1 и 2, член 5, параграфи 1 и 2, както и качеството и количеството на местообитанията на видовете, посочени в член 4, параграф 3 и член 5, параграф 3</w:t>
      </w:r>
      <w:r w:rsidRPr="0070201F">
        <w:rPr>
          <w:rFonts w:ascii="Arial" w:hAnsi="Arial"/>
          <w:snapToGrid w:val="0"/>
        </w:rPr>
        <w:t>▌</w:t>
      </w:r>
      <w:r w:rsidRPr="0070201F">
        <w:t>. Количественото определяне се основава, наред с другото, на следната информация:</w:t>
      </w:r>
    </w:p>
    <w:p w:rsidR="006173E9" w:rsidRPr="0070201F" w:rsidRDefault="006173E9" w:rsidP="006173E9">
      <w:pPr>
        <w:suppressAutoHyphens/>
        <w:spacing w:before="120" w:after="120" w:line="360" w:lineRule="auto"/>
        <w:ind w:left="1134" w:right="-1" w:hanging="567"/>
        <w:rPr>
          <w:rFonts w:eastAsia="Calibri"/>
          <w:szCs w:val="22"/>
        </w:rPr>
      </w:pPr>
      <w:r w:rsidRPr="0070201F">
        <w:t>a)</w:t>
      </w:r>
      <w:r w:rsidRPr="0070201F">
        <w:tab/>
        <w:t>за всеки тип местообитание:</w:t>
      </w:r>
    </w:p>
    <w:p w:rsidR="006173E9" w:rsidRPr="0070201F" w:rsidRDefault="006173E9" w:rsidP="006173E9">
      <w:pPr>
        <w:suppressAutoHyphens/>
        <w:spacing w:before="120" w:after="120" w:line="360" w:lineRule="auto"/>
        <w:ind w:left="1701" w:right="-1" w:hanging="567"/>
        <w:rPr>
          <w:rFonts w:eastAsia="Calibri"/>
          <w:szCs w:val="22"/>
        </w:rPr>
      </w:pPr>
      <w:r w:rsidRPr="0070201F">
        <w:t>i)</w:t>
      </w:r>
      <w:r w:rsidRPr="0070201F">
        <w:tab/>
        <w:t>общата площ на местообитанието и карта на нейното настоящо разпределение;</w:t>
      </w:r>
    </w:p>
    <w:p w:rsidR="006173E9" w:rsidRPr="0070201F" w:rsidRDefault="006173E9" w:rsidP="006173E9">
      <w:pPr>
        <w:suppressAutoHyphens/>
        <w:spacing w:before="120" w:after="120" w:line="360" w:lineRule="auto"/>
        <w:ind w:left="1701" w:right="-1" w:hanging="567"/>
        <w:rPr>
          <w:rFonts w:eastAsia="Calibri"/>
          <w:szCs w:val="22"/>
        </w:rPr>
      </w:pPr>
      <w:r w:rsidRPr="0070201F">
        <w:t>ii)</w:t>
      </w:r>
      <w:r w:rsidRPr="0070201F">
        <w:tab/>
        <w:t>площта на местообитанието, която не е в добро състояние;</w:t>
      </w:r>
    </w:p>
    <w:p w:rsidR="006173E9" w:rsidRPr="0070201F" w:rsidRDefault="006173E9" w:rsidP="006173E9">
      <w:pPr>
        <w:suppressAutoHyphens/>
        <w:spacing w:before="120" w:after="120" w:line="360" w:lineRule="auto"/>
        <w:ind w:left="1701" w:right="-1" w:hanging="567"/>
        <w:rPr>
          <w:rFonts w:eastAsia="Calibri"/>
        </w:rPr>
      </w:pPr>
      <w:r w:rsidRPr="0070201F">
        <w:t>iii)</w:t>
      </w:r>
      <w:r w:rsidRPr="0070201F">
        <w:tab/>
        <w:t xml:space="preserve">благоприятната референтна площ, като се вземат предвид </w:t>
      </w:r>
      <w:r w:rsidRPr="0070201F">
        <w:rPr>
          <w:b/>
          <w:i/>
        </w:rPr>
        <w:t>записите за историческото разпределение</w:t>
      </w:r>
      <w:r w:rsidRPr="0070201F">
        <w:t xml:space="preserve"> и прогнозираните промени в условията на околната среда, дължащи се на изменението на климата;</w:t>
      </w:r>
    </w:p>
    <w:p w:rsidR="00D45CA0" w:rsidRDefault="00B96301" w:rsidP="006173E9">
      <w:pPr>
        <w:suppressAutoHyphens/>
        <w:spacing w:before="120" w:after="120" w:line="360" w:lineRule="auto"/>
        <w:ind w:left="1134" w:right="-1" w:hanging="567"/>
        <w:rPr>
          <w:b/>
        </w:rPr>
      </w:pPr>
      <w:r w:rsidRPr="0070201F">
        <w:t>▌</w:t>
      </w:r>
      <w:r w:rsidRPr="0070201F">
        <w:rPr>
          <w:b/>
        </w:rPr>
        <w:t xml:space="preserve"> [Изм. 37]</w:t>
      </w:r>
    </w:p>
    <w:p w:rsidR="00D45CA0" w:rsidRDefault="006173E9" w:rsidP="006173E9">
      <w:pPr>
        <w:suppressAutoHyphens/>
        <w:spacing w:before="120" w:after="120" w:line="360" w:lineRule="auto"/>
        <w:ind w:left="1134" w:right="-1" w:hanging="567"/>
        <w:rPr>
          <w:b/>
        </w:rPr>
      </w:pPr>
      <w:r w:rsidRPr="0070201F">
        <w:br w:type="page"/>
      </w:r>
      <w:r w:rsidRPr="0070201F">
        <w:lastRenderedPageBreak/>
        <w:t>б)</w:t>
      </w:r>
      <w:r w:rsidRPr="0070201F">
        <w:tab/>
        <w:t xml:space="preserve">достатъчното качество и достатъчното количество на местообитанията на видовете, необходими за постигане на техния благоприятен природозащитен статус, като се вземат предвид зоните, които са най-подходящи за </w:t>
      </w:r>
      <w:r w:rsidR="00FE42A2" w:rsidRPr="0070201F">
        <w:t>▌</w:t>
      </w:r>
      <w:r w:rsidR="00FE42A2" w:rsidRPr="00223ACF">
        <w:t xml:space="preserve"> </w:t>
      </w:r>
      <w:r w:rsidRPr="0070201F">
        <w:t xml:space="preserve">на тези местообитания, и </w:t>
      </w:r>
      <w:r w:rsidR="00B96301" w:rsidRPr="0070201F">
        <w:rPr>
          <w:b/>
          <w:i/>
        </w:rPr>
        <w:t>като се имат предвид промените</w:t>
      </w:r>
      <w:r w:rsidR="00B96301" w:rsidRPr="0070201F">
        <w:t xml:space="preserve">, </w:t>
      </w:r>
      <w:r w:rsidR="00B96301" w:rsidRPr="0070201F">
        <w:rPr>
          <w:b/>
          <w:i/>
        </w:rPr>
        <w:t>дължащи се на изменението</w:t>
      </w:r>
      <w:r w:rsidR="00B96301" w:rsidRPr="0070201F">
        <w:t xml:space="preserve"> на </w:t>
      </w:r>
      <w:r w:rsidR="00B96301" w:rsidRPr="0070201F">
        <w:rPr>
          <w:b/>
          <w:i/>
        </w:rPr>
        <w:t>климата, и ролята</w:t>
      </w:r>
      <w:r w:rsidR="00B96301" w:rsidRPr="0070201F">
        <w:t xml:space="preserve">, </w:t>
      </w:r>
      <w:r w:rsidR="00B96301" w:rsidRPr="0070201F">
        <w:rPr>
          <w:b/>
          <w:i/>
        </w:rPr>
        <w:t>която има земята във връзка с производството</w:t>
      </w:r>
      <w:r w:rsidR="00B96301" w:rsidRPr="0070201F">
        <w:t xml:space="preserve"> на </w:t>
      </w:r>
      <w:r w:rsidR="00B96301" w:rsidRPr="0070201F">
        <w:rPr>
          <w:b/>
          <w:i/>
        </w:rPr>
        <w:t>храна</w:t>
      </w:r>
      <w:r w:rsidR="00B96301" w:rsidRPr="0070201F">
        <w:t xml:space="preserve">, </w:t>
      </w:r>
      <w:r w:rsidR="00B96301" w:rsidRPr="0070201F">
        <w:rPr>
          <w:b/>
          <w:i/>
        </w:rPr>
        <w:t>и конкуриращите</w:t>
      </w:r>
      <w:r w:rsidR="00B96301" w:rsidRPr="0070201F">
        <w:t xml:space="preserve"> се </w:t>
      </w:r>
      <w:r w:rsidR="00B96301" w:rsidRPr="0070201F">
        <w:rPr>
          <w:b/>
          <w:i/>
        </w:rPr>
        <w:t xml:space="preserve">нужди </w:t>
      </w:r>
      <w:r w:rsidR="00B96301" w:rsidRPr="0070201F">
        <w:t xml:space="preserve">на </w:t>
      </w:r>
      <w:r w:rsidR="00B96301" w:rsidRPr="0070201F">
        <w:rPr>
          <w:b/>
          <w:i/>
        </w:rPr>
        <w:t>местообитанията и видовете</w:t>
      </w:r>
      <w:r w:rsidRPr="0070201F">
        <w:t>.</w:t>
      </w:r>
      <w:r w:rsidR="00B96301" w:rsidRPr="0070201F">
        <w:t xml:space="preserve"> </w:t>
      </w:r>
      <w:r w:rsidR="00B96301" w:rsidRPr="0070201F">
        <w:rPr>
          <w:b/>
        </w:rPr>
        <w:t xml:space="preserve"> [Изм. 38]</w:t>
      </w:r>
    </w:p>
    <w:p w:rsidR="006173E9" w:rsidRPr="0070201F" w:rsidRDefault="006173E9" w:rsidP="006173E9">
      <w:pPr>
        <w:suppressAutoHyphens/>
        <w:spacing w:before="120" w:after="120" w:line="360" w:lineRule="auto"/>
        <w:ind w:left="1134" w:right="-1" w:hanging="567"/>
        <w:rPr>
          <w:rFonts w:eastAsia="Calibri"/>
          <w:b/>
          <w:i/>
          <w:szCs w:val="22"/>
        </w:rPr>
      </w:pPr>
      <w:r w:rsidRPr="0070201F">
        <w:rPr>
          <w:b/>
          <w:i/>
        </w:rPr>
        <w:t>ба)</w:t>
      </w:r>
      <w:r w:rsidRPr="0070201F">
        <w:rPr>
          <w:b/>
          <w:i/>
        </w:rPr>
        <w:tab/>
        <w:t xml:space="preserve">за целите на количественото определяне на площта на всеки тип местообитание, която трябва да бъде възстановена, за да се постигнат целите за възстановяване, определени в член 4, параграф 1, буква а) и член 5, параграф 1, буква а), посочената в буква а), подточка ii) площ на местообитанието, която не е в добро състояние, включва само зоните, чието състоянието е известно. </w:t>
      </w:r>
    </w:p>
    <w:p w:rsidR="006173E9" w:rsidRPr="0070201F" w:rsidRDefault="006173E9" w:rsidP="006173E9">
      <w:pPr>
        <w:suppressAutoHyphens/>
        <w:spacing w:before="120" w:after="120" w:line="360" w:lineRule="auto"/>
        <w:ind w:left="1134" w:right="-1" w:hanging="567"/>
        <w:rPr>
          <w:b/>
          <w:i/>
        </w:rPr>
      </w:pPr>
      <w:r w:rsidRPr="0070201F">
        <w:rPr>
          <w:b/>
          <w:i/>
        </w:rPr>
        <w:t>бб)</w:t>
      </w:r>
      <w:r w:rsidRPr="0070201F">
        <w:rPr>
          <w:b/>
          <w:i/>
        </w:rPr>
        <w:tab/>
        <w:t>за целите на количественото определяне на площта на всеки тип местообитание, която трябва да бъде възстановена, за да се постигнат целите за възстановяване, определени в член 4, параграф 1, буква б) и член 5, параграф 1, букви б), в) и г), посочената в буква а), подточка ii) от настоящия член площ на местообитанието, която не е в добро състояние, включва само зоните, чието състоянието е известно или трябва да бъде известно съгласно член 4, параграф 4а и член 5, параграф 4а.</w:t>
      </w:r>
    </w:p>
    <w:p w:rsidR="00070543" w:rsidRPr="0070201F" w:rsidRDefault="00070543" w:rsidP="00070543">
      <w:pPr>
        <w:suppressAutoHyphens/>
        <w:spacing w:before="120" w:after="120" w:line="360" w:lineRule="auto"/>
        <w:ind w:left="1134" w:right="-1" w:hanging="567"/>
        <w:rPr>
          <w:rFonts w:eastAsia="Calibri"/>
          <w:b/>
          <w:szCs w:val="22"/>
        </w:rPr>
      </w:pPr>
      <w:r w:rsidRPr="0070201F">
        <w:rPr>
          <w:rFonts w:eastAsia="Calibri"/>
          <w:b/>
          <w:i/>
          <w:szCs w:val="22"/>
        </w:rPr>
        <w:t>бв)</w:t>
      </w:r>
      <w:r w:rsidRPr="0070201F">
        <w:rPr>
          <w:rFonts w:eastAsia="Calibri"/>
          <w:b/>
          <w:szCs w:val="22"/>
        </w:rPr>
        <w:tab/>
      </w:r>
      <w:r w:rsidRPr="0070201F">
        <w:rPr>
          <w:rFonts w:eastAsia="Calibri"/>
          <w:b/>
          <w:i/>
          <w:szCs w:val="22"/>
        </w:rPr>
        <w:t>осъществимостта на възстановяването, икономическа ефективност и противоречащи социално-икономически интереси;</w:t>
      </w:r>
      <w:r w:rsidRPr="0070201F">
        <w:rPr>
          <w:rFonts w:eastAsia="Calibri"/>
          <w:b/>
          <w:szCs w:val="22"/>
        </w:rPr>
        <w:t xml:space="preserve"> [Изм. 39]</w:t>
      </w:r>
    </w:p>
    <w:p w:rsidR="00070543" w:rsidRPr="0070201F" w:rsidRDefault="00070543" w:rsidP="00070543">
      <w:pPr>
        <w:suppressAutoHyphens/>
        <w:spacing w:before="120" w:after="120" w:line="360" w:lineRule="auto"/>
        <w:ind w:left="1134" w:right="-1" w:hanging="567"/>
        <w:rPr>
          <w:rFonts w:eastAsia="Calibri"/>
          <w:b/>
          <w:szCs w:val="22"/>
          <w:u w:val="single"/>
        </w:rPr>
      </w:pPr>
      <w:r w:rsidRPr="0070201F">
        <w:rPr>
          <w:rFonts w:eastAsia="Calibri"/>
          <w:b/>
          <w:i/>
          <w:szCs w:val="22"/>
        </w:rPr>
        <w:t>бг)</w:t>
      </w:r>
      <w:r w:rsidRPr="0070201F">
        <w:rPr>
          <w:rFonts w:eastAsia="Calibri"/>
          <w:b/>
          <w:szCs w:val="22"/>
        </w:rPr>
        <w:tab/>
      </w:r>
      <w:r w:rsidRPr="0070201F">
        <w:rPr>
          <w:rFonts w:eastAsia="Calibri"/>
          <w:b/>
          <w:i/>
          <w:szCs w:val="22"/>
        </w:rPr>
        <w:t>гъстотата на населението и недостиг на пространство в държавата членка.</w:t>
      </w:r>
      <w:r w:rsidRPr="0070201F">
        <w:rPr>
          <w:rFonts w:eastAsia="Calibri"/>
          <w:b/>
          <w:szCs w:val="22"/>
        </w:rPr>
        <w:t xml:space="preserve"> [Изм. 40]</w:t>
      </w:r>
    </w:p>
    <w:p w:rsidR="006173E9" w:rsidRPr="0070201F" w:rsidRDefault="00A937DD" w:rsidP="006173E9">
      <w:pPr>
        <w:suppressAutoHyphens/>
        <w:spacing w:before="120" w:after="120" w:line="360" w:lineRule="auto"/>
        <w:ind w:left="567" w:right="-1" w:hanging="567"/>
        <w:rPr>
          <w:rFonts w:eastAsia="Calibri"/>
          <w:b/>
          <w:i/>
          <w:szCs w:val="22"/>
        </w:rPr>
      </w:pPr>
      <w:r w:rsidRPr="0070201F">
        <w:rPr>
          <w:b/>
          <w:i/>
        </w:rPr>
        <w:t>2а.</w:t>
      </w:r>
      <w:r w:rsidRPr="0070201F">
        <w:tab/>
      </w:r>
      <w:r w:rsidRPr="0070201F">
        <w:rPr>
          <w:b/>
          <w:i/>
        </w:rPr>
        <w:t>Финансирането на недостига на финансиране във връзка с прилагането на настоящия регламент се осигурява, без да се използва финансиране от ОСП, ОПОР или други потоци на финансиране в областта на селското стопанство и рибарството.</w:t>
      </w:r>
      <w:r w:rsidRPr="0070201F">
        <w:rPr>
          <w:b/>
        </w:rPr>
        <w:t xml:space="preserve"> [Изм. 134]</w:t>
      </w:r>
      <w:r w:rsidR="006173E9" w:rsidRPr="0070201F">
        <w:rPr>
          <w:b/>
          <w:i/>
        </w:rPr>
        <w:t>2</w:t>
      </w:r>
      <w:r w:rsidRPr="0070201F">
        <w:rPr>
          <w:b/>
          <w:i/>
        </w:rPr>
        <w:t>б</w:t>
      </w:r>
      <w:r w:rsidR="006173E9" w:rsidRPr="0070201F">
        <w:rPr>
          <w:b/>
          <w:i/>
        </w:rPr>
        <w:t>.</w:t>
      </w:r>
      <w:r w:rsidR="006173E9" w:rsidRPr="0070201F">
        <w:rPr>
          <w:b/>
          <w:i/>
        </w:rPr>
        <w:tab/>
        <w:t xml:space="preserve">По отношение на група 7 от типовете местообитания, изброени в приложение II, държавите членки определят процента, посочен в член 5, параграф 1, буква г). </w:t>
      </w:r>
      <w:r w:rsidR="006173E9" w:rsidRPr="0070201F">
        <w:br w:type="page"/>
      </w:r>
      <w:r w:rsidR="006173E9" w:rsidRPr="0070201F">
        <w:rPr>
          <w:b/>
          <w:i/>
        </w:rPr>
        <w:lastRenderedPageBreak/>
        <w:t>2</w:t>
      </w:r>
      <w:r w:rsidRPr="0070201F">
        <w:rPr>
          <w:b/>
          <w:i/>
        </w:rPr>
        <w:t>в</w:t>
      </w:r>
      <w:r w:rsidR="006173E9" w:rsidRPr="0070201F">
        <w:rPr>
          <w:b/>
          <w:i/>
        </w:rPr>
        <w:t>.</w:t>
      </w:r>
      <w:r w:rsidR="006173E9" w:rsidRPr="0070201F">
        <w:rPr>
          <w:b/>
          <w:i/>
        </w:rPr>
        <w:tab/>
        <w:t>Държавите членки определят и картографират градските екосистемни зони, посочени в член 6, за всички техни градове и по-малки градове и предградия.</w:t>
      </w:r>
    </w:p>
    <w:p w:rsidR="006173E9" w:rsidRPr="0070201F" w:rsidRDefault="006173E9" w:rsidP="006173E9">
      <w:pPr>
        <w:suppressAutoHyphens/>
        <w:spacing w:before="120" w:after="120" w:line="360" w:lineRule="auto"/>
        <w:ind w:left="567" w:right="-1"/>
        <w:rPr>
          <w:rFonts w:eastAsia="Calibri"/>
          <w:b/>
          <w:i/>
          <w:szCs w:val="22"/>
        </w:rPr>
      </w:pPr>
      <w:r w:rsidRPr="0070201F">
        <w:rPr>
          <w:b/>
          <w:i/>
        </w:rPr>
        <w:t>Градската екосистемна зона на град или по-малък град и предградие включва:</w:t>
      </w:r>
    </w:p>
    <w:p w:rsidR="006173E9" w:rsidRPr="0070201F" w:rsidRDefault="006173E9" w:rsidP="006173E9">
      <w:pPr>
        <w:suppressAutoHyphens/>
        <w:spacing w:before="120" w:after="120" w:line="360" w:lineRule="auto"/>
        <w:ind w:left="1134" w:right="-1" w:hanging="567"/>
        <w:rPr>
          <w:rFonts w:eastAsia="Calibri"/>
          <w:b/>
          <w:i/>
          <w:szCs w:val="22"/>
        </w:rPr>
      </w:pPr>
      <w:r w:rsidRPr="0070201F">
        <w:rPr>
          <w:b/>
          <w:i/>
        </w:rPr>
        <w:t>a)</w:t>
      </w:r>
      <w:r w:rsidRPr="0070201F">
        <w:rPr>
          <w:b/>
          <w:i/>
        </w:rPr>
        <w:tab/>
        <w:t>целия град или по-малък град и предградие; или</w:t>
      </w:r>
    </w:p>
    <w:p w:rsidR="006173E9" w:rsidRPr="0070201F" w:rsidRDefault="006173E9" w:rsidP="006173E9">
      <w:pPr>
        <w:suppressAutoHyphens/>
        <w:spacing w:before="120" w:after="120" w:line="360" w:lineRule="auto"/>
        <w:ind w:left="1134" w:right="-1" w:hanging="567"/>
        <w:rPr>
          <w:rFonts w:eastAsia="Calibri"/>
          <w:b/>
          <w:i/>
          <w:szCs w:val="22"/>
        </w:rPr>
      </w:pPr>
      <w:r w:rsidRPr="0070201F">
        <w:rPr>
          <w:b/>
          <w:i/>
        </w:rPr>
        <w:t>б)</w:t>
      </w:r>
      <w:r w:rsidRPr="0070201F">
        <w:rPr>
          <w:b/>
          <w:i/>
        </w:rPr>
        <w:tab/>
      </w:r>
      <w:r w:rsidRPr="0070201F">
        <w:rPr>
          <w:b/>
          <w:bCs/>
          <w:i/>
        </w:rPr>
        <w:t>части от града или по-малкия град и предградието, включително най-малко неговите градски центрове, клъстери от градски тип и ако съответната държава членка прецени за уместно – периферни градски райони.</w:t>
      </w:r>
    </w:p>
    <w:p w:rsidR="006173E9" w:rsidRPr="0070201F" w:rsidRDefault="006173E9" w:rsidP="006173E9">
      <w:pPr>
        <w:suppressAutoHyphens/>
        <w:spacing w:before="120" w:after="120" w:line="360" w:lineRule="auto"/>
        <w:ind w:left="567"/>
        <w:rPr>
          <w:rFonts w:eastAsia="Calibri"/>
          <w:i/>
          <w:szCs w:val="22"/>
        </w:rPr>
      </w:pPr>
      <w:r w:rsidRPr="0070201F">
        <w:rPr>
          <w:b/>
          <w:i/>
        </w:rPr>
        <w:t>Държавите членки могат да обединят градските екосистемни зони на два или повече съседни града и/или по-малки градове и предградия в една градска екосистемна зона, обща за тези градове и/или по-малки градове и предградия.</w:t>
      </w:r>
    </w:p>
    <w:p w:rsidR="006173E9" w:rsidRPr="0070201F" w:rsidRDefault="006173E9" w:rsidP="006173E9">
      <w:pPr>
        <w:suppressAutoHyphens/>
        <w:spacing w:before="120" w:after="120" w:line="360" w:lineRule="auto"/>
        <w:ind w:left="567" w:right="-1" w:hanging="567"/>
        <w:rPr>
          <w:rFonts w:eastAsia="Calibri"/>
          <w:szCs w:val="22"/>
        </w:rPr>
      </w:pPr>
      <w:r w:rsidRPr="0070201F">
        <w:t>3.</w:t>
      </w:r>
      <w:r w:rsidRPr="0070201F">
        <w:tab/>
        <w:t>Най-късно до 2030 г. държавите членки определят задоволителни нива за всеки от показателите, посочени в член 8, параграф 1, член 9, параграф 2</w:t>
      </w:r>
      <w:r w:rsidRPr="0070201F">
        <w:rPr>
          <w:b/>
        </w:rPr>
        <w:t>,</w:t>
      </w:r>
      <w:r w:rsidRPr="0070201F">
        <w:t xml:space="preserve"> член 10, параграф 2</w:t>
      </w:r>
      <w:r w:rsidRPr="0070201F">
        <w:rPr>
          <w:b/>
          <w:i/>
        </w:rPr>
        <w:t>, за всеки от избраните показатели, посочени в член 10, параграф 2а, и за градското зелено пространство, посочено в член 6, параграф 2, както и за покритието на дървесните корони в градските зони, посочено в член 6, параграф 3,</w:t>
      </w:r>
      <w:r w:rsidRPr="0070201F">
        <w:t xml:space="preserve"> </w:t>
      </w:r>
      <w:bookmarkStart w:id="62" w:name="_Hlk132370883"/>
      <w:r w:rsidRPr="0070201F">
        <w:t>чрез открит и ефективен процес и оценка въз основа на най-новите научни доказателства</w:t>
      </w:r>
      <w:r w:rsidRPr="0070201F">
        <w:rPr>
          <w:rFonts w:ascii="Arial" w:hAnsi="Arial"/>
          <w:snapToGrid w:val="0"/>
        </w:rPr>
        <w:t>▌</w:t>
      </w:r>
      <w:bookmarkEnd w:id="62"/>
      <w:r w:rsidRPr="0070201F">
        <w:t xml:space="preserve">, </w:t>
      </w:r>
      <w:r w:rsidRPr="0070201F">
        <w:rPr>
          <w:b/>
          <w:i/>
        </w:rPr>
        <w:t>ръководната</w:t>
      </w:r>
      <w:r w:rsidRPr="0070201F">
        <w:t xml:space="preserve"> рамка, посочена в член 17, параграф </w:t>
      </w:r>
      <w:r w:rsidRPr="0070201F">
        <w:rPr>
          <w:b/>
          <w:i/>
        </w:rPr>
        <w:t>9а</w:t>
      </w:r>
      <w:r w:rsidRPr="0070201F">
        <w:t>,</w:t>
      </w:r>
      <w:r w:rsidRPr="0070201F">
        <w:rPr>
          <w:b/>
          <w:i/>
          <w:color w:val="000000"/>
        </w:rPr>
        <w:t xml:space="preserve"> </w:t>
      </w:r>
      <w:r w:rsidRPr="0070201F">
        <w:rPr>
          <w:b/>
          <w:bCs/>
          <w:i/>
          <w:iCs/>
          <w:color w:val="000000"/>
        </w:rPr>
        <w:t>и, при наличие, ръководната рамка, посочена в член 17, параграф 9</w:t>
      </w:r>
      <w:r w:rsidRPr="0070201F">
        <w:rPr>
          <w:color w:val="000000"/>
        </w:rPr>
        <w:t>.</w:t>
      </w:r>
    </w:p>
    <w:p w:rsidR="006173E9" w:rsidRPr="0070201F" w:rsidRDefault="006173E9" w:rsidP="006173E9">
      <w:pPr>
        <w:suppressAutoHyphens/>
        <w:spacing w:before="120" w:after="120" w:line="360" w:lineRule="auto"/>
        <w:ind w:left="567" w:right="-1" w:hanging="567"/>
        <w:rPr>
          <w:rFonts w:eastAsia="Calibri"/>
          <w:szCs w:val="22"/>
        </w:rPr>
      </w:pPr>
      <w:r w:rsidRPr="0070201F">
        <w:t>4.</w:t>
      </w:r>
      <w:r w:rsidRPr="0070201F">
        <w:tab/>
        <w:t>Държавите членки определят и картографират земеделските и горските зони, които се нуждаят от възстановяване, по-специално зоните, които поради интензификация или други фактори на управление се нуждаят от повишена свързаност и разнообразие на ландшафта.</w:t>
      </w:r>
    </w:p>
    <w:p w:rsidR="006173E9" w:rsidRPr="0070201F" w:rsidRDefault="006173E9" w:rsidP="006173E9">
      <w:pPr>
        <w:suppressAutoHyphens/>
        <w:spacing w:before="120" w:after="120" w:line="360" w:lineRule="auto"/>
        <w:ind w:left="567" w:right="-1" w:hanging="567"/>
        <w:rPr>
          <w:rFonts w:eastAsia="Calibri"/>
          <w:b/>
          <w:i/>
          <w:szCs w:val="22"/>
        </w:rPr>
      </w:pPr>
      <w:bookmarkStart w:id="63" w:name="_Hlk133570615"/>
      <w:r w:rsidRPr="0070201F">
        <w:br w:type="page"/>
      </w:r>
      <w:r w:rsidRPr="0070201F">
        <w:rPr>
          <w:b/>
          <w:i/>
        </w:rPr>
        <w:lastRenderedPageBreak/>
        <w:t>4а.</w:t>
      </w:r>
      <w:r w:rsidRPr="0070201F">
        <w:rPr>
          <w:b/>
          <w:i/>
        </w:rPr>
        <w:tab/>
        <w:t>В срок от една година от влизането в сила на настоящия регламент държавите членки могат да разработят методика за допълване на методиката, посочена в приложение IV, за да наблюдават голямото разнообразие в характеристиките на ландшафта, които не са включени в общата методика, посочена в описанието на голямото разнообразие в характеристиките на ландшафта във въпросното приложение. Комисията предоставя насоки относно рамката за разработване на тази методика в срок от един месец от влизането в сила на настоящия регламент.</w:t>
      </w:r>
    </w:p>
    <w:bookmarkEnd w:id="63"/>
    <w:p w:rsidR="006173E9" w:rsidRPr="0070201F" w:rsidRDefault="006173E9" w:rsidP="006173E9">
      <w:pPr>
        <w:suppressAutoHyphens/>
        <w:spacing w:before="120" w:after="120" w:line="360" w:lineRule="auto"/>
        <w:ind w:left="567" w:right="-1" w:hanging="567"/>
        <w:rPr>
          <w:rFonts w:eastAsia="Calibri"/>
          <w:b/>
          <w:i/>
          <w:szCs w:val="22"/>
        </w:rPr>
      </w:pPr>
      <w:r w:rsidRPr="0070201F">
        <w:rPr>
          <w:b/>
          <w:i/>
        </w:rPr>
        <w:t xml:space="preserve">4б. </w:t>
      </w:r>
      <w:r w:rsidRPr="0070201F">
        <w:rPr>
          <w:b/>
          <w:i/>
        </w:rPr>
        <w:tab/>
        <w:t xml:space="preserve">Когато е приложимо, държавите членки определят намаляването на степента на възстановяване на влагата в торфищата, както е посочено в член 9, параграф 4, пета алинея. </w:t>
      </w:r>
    </w:p>
    <w:p w:rsidR="006173E9" w:rsidRPr="0070201F" w:rsidRDefault="006173E9" w:rsidP="006173E9">
      <w:pPr>
        <w:suppressAutoHyphens/>
        <w:spacing w:before="120" w:after="120" w:line="360" w:lineRule="auto"/>
        <w:ind w:left="567" w:right="-1" w:hanging="567"/>
        <w:rPr>
          <w:rFonts w:eastAsia="Calibri"/>
          <w:szCs w:val="22"/>
        </w:rPr>
      </w:pPr>
      <w:r w:rsidRPr="0070201F">
        <w:t>5.</w:t>
      </w:r>
      <w:r w:rsidRPr="0070201F">
        <w:tab/>
        <w:t xml:space="preserve">Държавите членки определят полезни взаимодействия с мерките за смекчаване на изменението на климата, адаптирането към него, </w:t>
      </w:r>
      <w:r w:rsidRPr="0070201F">
        <w:rPr>
          <w:b/>
          <w:i/>
        </w:rPr>
        <w:t>неутралността по отношение на деградацията на земите</w:t>
      </w:r>
      <w:r w:rsidRPr="0070201F">
        <w:t xml:space="preserve"> и предотвратяването на бедствия и съответно отдават приоритет на мерките за възстановяване. Държавите членки вземат предвид също така:</w:t>
      </w:r>
    </w:p>
    <w:p w:rsidR="006173E9" w:rsidRPr="0070201F" w:rsidRDefault="006173E9" w:rsidP="006173E9">
      <w:pPr>
        <w:suppressAutoHyphens/>
        <w:spacing w:before="120" w:after="120" w:line="360" w:lineRule="auto"/>
        <w:ind w:left="1134" w:right="-1" w:hanging="567"/>
        <w:rPr>
          <w:rFonts w:eastAsia="Calibri"/>
          <w:szCs w:val="22"/>
        </w:rPr>
      </w:pPr>
      <w:r w:rsidRPr="0070201F">
        <w:t>a)</w:t>
      </w:r>
      <w:r w:rsidRPr="0070201F">
        <w:tab/>
        <w:t>своите интегрирани национални планове в областта на енергетиката и климата, посочени в член 3 от Регламент (ЕС) 2018/1999;</w:t>
      </w:r>
    </w:p>
    <w:p w:rsidR="006173E9" w:rsidRPr="0070201F" w:rsidRDefault="006173E9" w:rsidP="006173E9">
      <w:pPr>
        <w:suppressAutoHyphens/>
        <w:spacing w:before="120" w:after="120" w:line="360" w:lineRule="auto"/>
        <w:ind w:left="1134" w:right="-1" w:hanging="567"/>
        <w:rPr>
          <w:rFonts w:eastAsia="Calibri"/>
          <w:szCs w:val="22"/>
        </w:rPr>
      </w:pPr>
      <w:r w:rsidRPr="0070201F">
        <w:t>б)</w:t>
      </w:r>
      <w:r w:rsidRPr="0070201F">
        <w:tab/>
        <w:t>дългосрочните си стратегии, посочени в член 15 от Регламент (ЕС) 2018/1999;</w:t>
      </w:r>
    </w:p>
    <w:p w:rsidR="006173E9" w:rsidRPr="0070201F" w:rsidRDefault="006173E9" w:rsidP="006173E9">
      <w:pPr>
        <w:suppressAutoHyphens/>
        <w:spacing w:before="120" w:after="120" w:line="360" w:lineRule="auto"/>
        <w:ind w:left="1134" w:right="-1" w:hanging="567"/>
        <w:rPr>
          <w:rFonts w:eastAsia="Calibri"/>
          <w:b/>
          <w:szCs w:val="22"/>
          <w:u w:val="single"/>
        </w:rPr>
      </w:pPr>
      <w:r w:rsidRPr="0070201F">
        <w:t>в)</w:t>
      </w:r>
      <w:r w:rsidRPr="0070201F">
        <w:tab/>
        <w:t>обвързващата цел на Съюза за 2030 г., определена в член 3 от Директива (ЕС) 2018/2001 на Европейския парламент и на Съвета</w:t>
      </w:r>
      <w:bookmarkStart w:id="64" w:name="_Hlk129957164"/>
      <w:r w:rsidRPr="0070201F">
        <w:t>.</w:t>
      </w:r>
      <w:bookmarkEnd w:id="64"/>
    </w:p>
    <w:p w:rsidR="006173E9" w:rsidRPr="0070201F" w:rsidRDefault="006173E9" w:rsidP="006173E9">
      <w:pPr>
        <w:suppressAutoHyphens/>
        <w:spacing w:before="120" w:after="120" w:line="360" w:lineRule="auto"/>
        <w:ind w:left="567" w:right="-1" w:hanging="567"/>
        <w:rPr>
          <w:rFonts w:eastAsia="Calibri"/>
          <w:color w:val="000000"/>
          <w:szCs w:val="22"/>
          <w:u w:val="single"/>
        </w:rPr>
      </w:pPr>
      <w:r w:rsidRPr="0070201F">
        <w:t>6.</w:t>
      </w:r>
      <w:r w:rsidRPr="0070201F">
        <w:tab/>
      </w:r>
      <w:r w:rsidRPr="0070201F">
        <w:rPr>
          <w:shd w:val="clear" w:color="auto" w:fill="FFFFFF"/>
        </w:rPr>
        <w:t xml:space="preserve">Държавите членки съгласуват разработването на национални планове за възстановяване с </w:t>
      </w:r>
      <w:r w:rsidRPr="0070201F">
        <w:rPr>
          <w:b/>
          <w:i/>
          <w:shd w:val="clear" w:color="auto" w:fill="FFFFFF"/>
        </w:rPr>
        <w:t>картографирането на зоните, които се изискват за постигането най-малко на националния им принос за целта за енергия от възобновяеми източници за 2030 г. и, когато е уместно, с</w:t>
      </w:r>
      <w:r w:rsidRPr="0070201F">
        <w:rPr>
          <w:shd w:val="clear" w:color="auto" w:fill="FFFFFF"/>
        </w:rPr>
        <w:t xml:space="preserve"> определянето на зони </w:t>
      </w:r>
      <w:r w:rsidRPr="0070201F">
        <w:rPr>
          <w:b/>
          <w:i/>
          <w:shd w:val="clear" w:color="auto" w:fill="FFFFFF"/>
        </w:rPr>
        <w:t>за ускорено внедряване на енергия от възобновяеми източници и на специални инфраструктурни зони</w:t>
      </w:r>
      <w:r w:rsidRPr="0070201F">
        <w:rPr>
          <w:shd w:val="clear" w:color="auto" w:fill="FFFFFF"/>
        </w:rPr>
        <w:t xml:space="preserve">. </w:t>
      </w:r>
      <w:r w:rsidRPr="0070201F">
        <w:t xml:space="preserve">По време на изготвянето на плановете за възстановяване на природата държавите членки осигуряват полезни взаимодействия </w:t>
      </w:r>
      <w:r w:rsidRPr="0070201F">
        <w:rPr>
          <w:b/>
          <w:i/>
        </w:rPr>
        <w:t>с изграждането на инфраструктура за енергия от възобновяеми източници и енергийна инфраструктура и с</w:t>
      </w:r>
      <w:r w:rsidRPr="0070201F">
        <w:t xml:space="preserve"> вече определените зони </w:t>
      </w:r>
      <w:r w:rsidRPr="0070201F">
        <w:rPr>
          <w:b/>
          <w:i/>
        </w:rPr>
        <w:t>за ускорено внедряване на енергия от възобновяеми източници и специални инфраструктурни</w:t>
      </w:r>
      <w:r w:rsidRPr="0070201F">
        <w:t xml:space="preserve"> зони и гарантират, че функционирането на </w:t>
      </w:r>
      <w:r w:rsidRPr="0070201F">
        <w:rPr>
          <w:b/>
          <w:i/>
        </w:rPr>
        <w:t>тези</w:t>
      </w:r>
      <w:r w:rsidRPr="0070201F">
        <w:t xml:space="preserve"> зони за </w:t>
      </w:r>
      <w:r w:rsidRPr="0070201F">
        <w:rPr>
          <w:rFonts w:ascii="Arial" w:hAnsi="Arial"/>
          <w:snapToGrid w:val="0"/>
        </w:rPr>
        <w:t>▌</w:t>
      </w:r>
      <w:r w:rsidRPr="0070201F">
        <w:t xml:space="preserve">енергия от възобновяеми източници, включително процедурите за издаване на разрешения, приложими за </w:t>
      </w:r>
      <w:r w:rsidRPr="0070201F">
        <w:rPr>
          <w:b/>
          <w:i/>
        </w:rPr>
        <w:t>тези</w:t>
      </w:r>
      <w:r w:rsidRPr="0070201F">
        <w:t xml:space="preserve"> зони за енергия от възобновяеми източници, предвидени в Директива (ЕС) 2018/2001</w:t>
      </w:r>
      <w:r w:rsidRPr="0070201F">
        <w:rPr>
          <w:b/>
          <w:bCs/>
          <w:i/>
          <w:iCs/>
        </w:rPr>
        <w:t xml:space="preserve">, както и </w:t>
      </w:r>
      <w:r w:rsidRPr="0070201F">
        <w:rPr>
          <w:b/>
          <w:bCs/>
          <w:i/>
          <w:iCs/>
        </w:rPr>
        <w:lastRenderedPageBreak/>
        <w:t>функционирането на проектите за мрежи, необходими за включване на енергията от възобновяеми източници в електроенергийната система, и съответните процедури за издаване на разрешения,</w:t>
      </w:r>
      <w:r w:rsidRPr="0070201F">
        <w:t xml:space="preserve"> остават непроменени.</w:t>
      </w:r>
      <w:r w:rsidRPr="0070201F">
        <w:rPr>
          <w:shd w:val="clear" w:color="auto" w:fill="FFFFFF"/>
        </w:rPr>
        <w:t xml:space="preserve"> </w:t>
      </w:r>
    </w:p>
    <w:p w:rsidR="006173E9" w:rsidRPr="0070201F" w:rsidRDefault="006173E9" w:rsidP="006173E9">
      <w:pPr>
        <w:suppressAutoHyphens/>
        <w:spacing w:before="120" w:after="120" w:line="360" w:lineRule="auto"/>
        <w:ind w:left="567" w:right="-1" w:hanging="567"/>
        <w:rPr>
          <w:rFonts w:eastAsia="Calibri"/>
          <w:color w:val="000000"/>
          <w:szCs w:val="22"/>
          <w:u w:val="single"/>
        </w:rPr>
      </w:pPr>
    </w:p>
    <w:p w:rsidR="006173E9" w:rsidRPr="0070201F" w:rsidRDefault="006173E9" w:rsidP="006173E9">
      <w:pPr>
        <w:suppressAutoHyphens/>
        <w:spacing w:before="120" w:after="120" w:line="360" w:lineRule="auto"/>
        <w:ind w:left="567" w:right="-1" w:hanging="567"/>
        <w:rPr>
          <w:rFonts w:eastAsia="Calibri"/>
          <w:szCs w:val="22"/>
        </w:rPr>
      </w:pPr>
      <w:r w:rsidRPr="0070201F">
        <w:br w:type="page"/>
      </w:r>
      <w:r w:rsidRPr="0070201F">
        <w:lastRenderedPageBreak/>
        <w:t>7.</w:t>
      </w:r>
      <w:r w:rsidRPr="0070201F">
        <w:tab/>
        <w:t xml:space="preserve">При изготвянето на своите национални планове за възстановяване държавите членки </w:t>
      </w:r>
      <w:r w:rsidRPr="0070201F">
        <w:rPr>
          <w:b/>
          <w:bCs/>
          <w:i/>
          <w:iCs/>
        </w:rPr>
        <w:t>по-специално</w:t>
      </w:r>
      <w:r w:rsidRPr="0070201F">
        <w:t xml:space="preserve"> вземат предвид следното:</w:t>
      </w:r>
    </w:p>
    <w:p w:rsidR="006173E9" w:rsidRPr="0070201F" w:rsidRDefault="006173E9" w:rsidP="006173E9">
      <w:pPr>
        <w:suppressAutoHyphens/>
        <w:spacing w:before="120" w:after="120" w:line="360" w:lineRule="auto"/>
        <w:ind w:left="1134" w:right="-1" w:hanging="567"/>
        <w:rPr>
          <w:rFonts w:eastAsia="Calibri"/>
          <w:szCs w:val="22"/>
        </w:rPr>
      </w:pPr>
      <w:r w:rsidRPr="0070201F">
        <w:t>a)</w:t>
      </w:r>
      <w:r w:rsidRPr="0070201F">
        <w:tab/>
        <w:t>мерките за опазване, установени за защитените зони по „Натура 2000“ в съответствие с Директива 92/43/ЕИО;</w:t>
      </w:r>
    </w:p>
    <w:p w:rsidR="006173E9" w:rsidRPr="0070201F" w:rsidRDefault="006173E9" w:rsidP="006173E9">
      <w:pPr>
        <w:suppressAutoHyphens/>
        <w:spacing w:before="120" w:after="120" w:line="360" w:lineRule="auto"/>
        <w:ind w:left="1134" w:right="-1" w:hanging="567"/>
        <w:rPr>
          <w:rFonts w:eastAsia="Calibri"/>
          <w:szCs w:val="22"/>
        </w:rPr>
      </w:pPr>
      <w:r w:rsidRPr="0070201F">
        <w:t>б)</w:t>
      </w:r>
      <w:r w:rsidRPr="0070201F">
        <w:tab/>
        <w:t>рамките за приоритетни действия, изготвени в съответствие с Директива 92/43/ЕИО;</w:t>
      </w:r>
    </w:p>
    <w:p w:rsidR="006173E9" w:rsidRPr="0070201F" w:rsidRDefault="006173E9" w:rsidP="006173E9">
      <w:pPr>
        <w:suppressAutoHyphens/>
        <w:spacing w:before="120" w:after="120" w:line="360" w:lineRule="auto"/>
        <w:ind w:left="1134" w:right="-1" w:hanging="567"/>
        <w:rPr>
          <w:rFonts w:eastAsia="Calibri"/>
          <w:szCs w:val="22"/>
        </w:rPr>
      </w:pPr>
      <w:r w:rsidRPr="0070201F">
        <w:t>в)</w:t>
      </w:r>
      <w:r w:rsidRPr="0070201F">
        <w:tab/>
      </w:r>
      <w:bookmarkStart w:id="65" w:name="_Hlk127344364"/>
      <w:bookmarkStart w:id="66" w:name="_Hlk127347856"/>
      <w:r w:rsidRPr="0070201F">
        <w:t xml:space="preserve">мерките за постигане на добро </w:t>
      </w:r>
      <w:r w:rsidRPr="0070201F">
        <w:rPr>
          <w:b/>
          <w:i/>
        </w:rPr>
        <w:t>количествено,</w:t>
      </w:r>
      <w:r w:rsidRPr="0070201F">
        <w:t xml:space="preserve"> екологично и химично състояние на водните обекти, включени в </w:t>
      </w:r>
      <w:r w:rsidRPr="0070201F">
        <w:rPr>
          <w:b/>
          <w:i/>
        </w:rPr>
        <w:t>програмите от мерки и</w:t>
      </w:r>
      <w:r w:rsidRPr="0070201F">
        <w:t xml:space="preserve"> плановете за управление на </w:t>
      </w:r>
      <w:bookmarkStart w:id="67" w:name="_Hlk129948351"/>
      <w:r w:rsidRPr="0070201F">
        <w:t>речните басейни</w:t>
      </w:r>
      <w:bookmarkEnd w:id="67"/>
      <w:r w:rsidRPr="0070201F">
        <w:t>, изготвени в съответствие с Директива 2000/60/ЕО</w:t>
      </w:r>
      <w:bookmarkEnd w:id="65"/>
      <w:bookmarkEnd w:id="66"/>
      <w:r w:rsidRPr="0070201F">
        <w:rPr>
          <w:b/>
          <w:bCs/>
          <w:i/>
          <w:iCs/>
        </w:rPr>
        <w:t>, както и в плановете за управление на риска от наводнения, създадени в съответствие с Директива 2000/60/ЕО</w:t>
      </w:r>
      <w:r w:rsidRPr="0070201F">
        <w:t>;</w:t>
      </w:r>
    </w:p>
    <w:p w:rsidR="006173E9" w:rsidRPr="0070201F" w:rsidRDefault="006173E9" w:rsidP="006173E9">
      <w:pPr>
        <w:suppressAutoHyphens/>
        <w:spacing w:before="120" w:after="120" w:line="360" w:lineRule="auto"/>
        <w:ind w:left="1134" w:right="-1" w:hanging="567"/>
        <w:rPr>
          <w:rFonts w:eastAsia="Calibri"/>
          <w:szCs w:val="22"/>
        </w:rPr>
      </w:pPr>
      <w:r w:rsidRPr="0070201F">
        <w:t>г)</w:t>
      </w:r>
      <w:r w:rsidRPr="0070201F">
        <w:tab/>
      </w:r>
      <w:r w:rsidRPr="0070201F">
        <w:rPr>
          <w:b/>
          <w:i/>
        </w:rPr>
        <w:t>когато е приложимо,</w:t>
      </w:r>
      <w:r w:rsidRPr="0070201F">
        <w:t xml:space="preserve"> морските стратегии за постигане на добро състояние на околната среда за всички морски региони на Съюза, изготвени в съответствие с Директива 2008/56/ЕО;</w:t>
      </w:r>
    </w:p>
    <w:p w:rsidR="006173E9" w:rsidRPr="0070201F" w:rsidRDefault="006173E9" w:rsidP="006173E9">
      <w:pPr>
        <w:suppressAutoHyphens/>
        <w:spacing w:before="120" w:after="120" w:line="360" w:lineRule="auto"/>
        <w:ind w:left="1134" w:right="-1" w:hanging="567"/>
        <w:rPr>
          <w:rFonts w:eastAsia="Calibri"/>
          <w:szCs w:val="22"/>
        </w:rPr>
      </w:pPr>
      <w:r w:rsidRPr="0070201F">
        <w:t>д)</w:t>
      </w:r>
      <w:r w:rsidRPr="0070201F">
        <w:tab/>
        <w:t>националните програми за контрол на замърсяването на въздуха, изготвени съгласно Директива (ЕС) 2016/2284;</w:t>
      </w:r>
    </w:p>
    <w:p w:rsidR="006173E9" w:rsidRPr="0070201F" w:rsidRDefault="006173E9" w:rsidP="006173E9">
      <w:pPr>
        <w:suppressAutoHyphens/>
        <w:spacing w:before="120" w:after="120" w:line="360" w:lineRule="auto"/>
        <w:ind w:left="1134" w:right="-1" w:hanging="567"/>
        <w:rPr>
          <w:rFonts w:eastAsia="Calibri"/>
          <w:szCs w:val="22"/>
        </w:rPr>
      </w:pPr>
      <w:r w:rsidRPr="0070201F">
        <w:t>е)</w:t>
      </w:r>
      <w:r w:rsidRPr="0070201F">
        <w:tab/>
        <w:t>националните стратегии и плановете за действие в областта на биологичното разнообразие, разработени в съответствие с член 6 от Конвенцията за биологичното разнообразие;</w:t>
      </w:r>
    </w:p>
    <w:p w:rsidR="006173E9" w:rsidRPr="0070201F" w:rsidRDefault="006173E9" w:rsidP="006173E9">
      <w:pPr>
        <w:suppressAutoHyphens/>
        <w:spacing w:before="120" w:after="120" w:line="360" w:lineRule="auto"/>
        <w:ind w:left="1134" w:right="-1" w:hanging="567"/>
        <w:rPr>
          <w:rFonts w:eastAsia="Calibri"/>
          <w:b/>
          <w:i/>
          <w:szCs w:val="22"/>
        </w:rPr>
      </w:pPr>
      <w:r w:rsidRPr="0070201F">
        <w:t>ж)</w:t>
      </w:r>
      <w:r w:rsidRPr="0070201F">
        <w:tab/>
      </w:r>
      <w:r w:rsidRPr="0070201F">
        <w:rPr>
          <w:b/>
          <w:i/>
        </w:rPr>
        <w:t>когато е приложимо,</w:t>
      </w:r>
      <w:r w:rsidRPr="0070201F">
        <w:t xml:space="preserve"> мерките за опазване</w:t>
      </w:r>
      <w:r w:rsidRPr="0070201F">
        <w:rPr>
          <w:b/>
          <w:i/>
        </w:rPr>
        <w:t xml:space="preserve"> и управление</w:t>
      </w:r>
      <w:r w:rsidRPr="0070201F">
        <w:t>, приети в рамките на общата политика в областта на рибарството</w:t>
      </w:r>
      <w:r w:rsidRPr="0070201F">
        <w:rPr>
          <w:b/>
          <w:i/>
        </w:rPr>
        <w:t>;</w:t>
      </w:r>
    </w:p>
    <w:p w:rsidR="006173E9" w:rsidRPr="0070201F" w:rsidRDefault="006173E9" w:rsidP="006173E9">
      <w:pPr>
        <w:suppressAutoHyphens/>
        <w:spacing w:before="120" w:after="120" w:line="360" w:lineRule="auto"/>
        <w:ind w:left="1134" w:right="-1" w:hanging="567"/>
        <w:rPr>
          <w:rFonts w:eastAsia="Calibri"/>
          <w:b/>
          <w:i/>
        </w:rPr>
      </w:pPr>
      <w:r w:rsidRPr="0070201F">
        <w:rPr>
          <w:b/>
          <w:i/>
        </w:rPr>
        <w:t>з)</w:t>
      </w:r>
      <w:r w:rsidRPr="0070201F">
        <w:rPr>
          <w:b/>
          <w:i/>
        </w:rPr>
        <w:tab/>
        <w:t>стратегическите планове по ОСП, изготвени в съответствие с Регламент (ЕС) 2021/2115.</w:t>
      </w:r>
    </w:p>
    <w:p w:rsidR="006173E9" w:rsidRPr="0070201F" w:rsidRDefault="006173E9" w:rsidP="006173E9">
      <w:pPr>
        <w:suppressAutoHyphens/>
        <w:spacing w:before="120" w:after="120" w:line="360" w:lineRule="auto"/>
        <w:ind w:left="567" w:right="-1" w:hanging="567"/>
        <w:rPr>
          <w:rFonts w:eastAsia="Calibri"/>
          <w:szCs w:val="22"/>
        </w:rPr>
      </w:pPr>
      <w:r w:rsidRPr="0070201F">
        <w:t>8.</w:t>
      </w:r>
      <w:r w:rsidRPr="0070201F">
        <w:tab/>
        <w:t xml:space="preserve">При изготвянето на националните планове за възстановяване държавите членки </w:t>
      </w:r>
      <w:r w:rsidRPr="0070201F">
        <w:rPr>
          <w:b/>
          <w:i/>
        </w:rPr>
        <w:t>могат да</w:t>
      </w:r>
      <w:r w:rsidRPr="0070201F">
        <w:t xml:space="preserve"> използват различните примери за мерки за възстановяване, изброени в приложение VII, в зависимост от специфичните национални и местни условия и най-новите научни доказателства.</w:t>
      </w:r>
    </w:p>
    <w:p w:rsidR="006173E9" w:rsidRPr="0070201F" w:rsidRDefault="006173E9" w:rsidP="006173E9">
      <w:pPr>
        <w:suppressAutoHyphens/>
        <w:spacing w:before="120" w:after="120" w:line="360" w:lineRule="auto"/>
        <w:ind w:left="567" w:right="-1" w:hanging="567"/>
        <w:rPr>
          <w:rFonts w:eastAsia="Calibri"/>
          <w:szCs w:val="22"/>
        </w:rPr>
      </w:pPr>
      <w:bookmarkStart w:id="68" w:name="_Hlk135687517"/>
      <w:r w:rsidRPr="0070201F">
        <w:br w:type="page"/>
      </w:r>
      <w:r w:rsidRPr="0070201F">
        <w:lastRenderedPageBreak/>
        <w:t>9.</w:t>
      </w:r>
      <w:r w:rsidRPr="0070201F">
        <w:tab/>
        <w:t>При изготвянето на националните планове за възстановяване държавите членки се стремят да оптимизират екологичните, икономическите и социалните функции на екосистемите, както и техния принос за устойчивото развитие на съответните региони и общности.</w:t>
      </w:r>
    </w:p>
    <w:p w:rsidR="006173E9" w:rsidRPr="0070201F" w:rsidRDefault="006173E9" w:rsidP="006173E9">
      <w:pPr>
        <w:suppressAutoHyphens/>
        <w:spacing w:before="120" w:after="120" w:line="360" w:lineRule="auto"/>
        <w:ind w:left="567" w:right="-1" w:hanging="567"/>
        <w:rPr>
          <w:rFonts w:eastAsia="Calibri"/>
          <w:b/>
          <w:i/>
        </w:rPr>
      </w:pPr>
      <w:bookmarkStart w:id="69" w:name="_Hlk136791496"/>
      <w:r w:rsidRPr="0070201F">
        <w:rPr>
          <w:b/>
          <w:i/>
        </w:rPr>
        <w:t>9a</w:t>
      </w:r>
      <w:r w:rsidR="00223ACF" w:rsidRPr="00223ACF">
        <w:rPr>
          <w:b/>
          <w:i/>
        </w:rPr>
        <w:t>.</w:t>
      </w:r>
      <w:r w:rsidRPr="0070201F">
        <w:rPr>
          <w:b/>
          <w:i/>
        </w:rPr>
        <w:tab/>
        <w:t>При изготвянето на националните планове за възстановяване държавите членки могат да вземат предвид различното състояние в различните региони, свързано със социалните, икономическите и културните изисквания, с регионалните и местните характеристики и с гъстотата на населението.</w:t>
      </w:r>
      <w:r w:rsidRPr="0070201F">
        <w:rPr>
          <w:i/>
        </w:rPr>
        <w:t xml:space="preserve"> </w:t>
      </w:r>
      <w:r w:rsidRPr="0070201F">
        <w:rPr>
          <w:b/>
          <w:i/>
        </w:rPr>
        <w:t xml:space="preserve">Когато е целесъобразно, следва да се вземе предвид специфичното положение на най-отдалечените региони на Съюза, а именно тяхната отдалеченост, островният им характер, малката площ, трудните релеф и климат, както и богатото им биологично разнообразие и свързаните разходи за опазване и възстановяване на екосистемите им. </w:t>
      </w:r>
      <w:bookmarkEnd w:id="68"/>
      <w:bookmarkEnd w:id="69"/>
    </w:p>
    <w:p w:rsidR="006173E9" w:rsidRPr="0070201F" w:rsidRDefault="006173E9" w:rsidP="006173E9">
      <w:pPr>
        <w:suppressAutoHyphens/>
        <w:spacing w:before="120" w:after="120" w:line="360" w:lineRule="auto"/>
        <w:ind w:left="567" w:right="-1" w:hanging="567"/>
        <w:rPr>
          <w:rFonts w:eastAsia="Calibri"/>
          <w:szCs w:val="22"/>
        </w:rPr>
      </w:pPr>
      <w:r w:rsidRPr="0070201F">
        <w:t>10.</w:t>
      </w:r>
      <w:r w:rsidRPr="0070201F">
        <w:tab/>
        <w:t>Когато е възможно, държавите членки насърчават полезните взаимодействия с националните планове за възстановяване на други държави членки, по-специално по отношение на трансграничните екосистеми</w:t>
      </w:r>
      <w:r w:rsidRPr="0070201F">
        <w:rPr>
          <w:b/>
          <w:i/>
        </w:rPr>
        <w:t xml:space="preserve"> или когато държавите членки имат общ морски регион или подрегион по смисъла на Директива 2008/56/ЕО</w:t>
      </w:r>
      <w:r w:rsidRPr="0070201F">
        <w:t>.</w:t>
      </w:r>
    </w:p>
    <w:p w:rsidR="006173E9" w:rsidRPr="0070201F" w:rsidRDefault="006173E9" w:rsidP="006173E9">
      <w:pPr>
        <w:tabs>
          <w:tab w:val="left" w:pos="567"/>
        </w:tabs>
        <w:suppressAutoHyphens/>
        <w:spacing w:after="140" w:line="360" w:lineRule="auto"/>
        <w:ind w:left="567" w:right="-1" w:hanging="567"/>
        <w:rPr>
          <w:rFonts w:eastAsia="Calibri"/>
          <w:b/>
          <w:i/>
        </w:rPr>
      </w:pPr>
      <w:r w:rsidRPr="0070201F">
        <w:rPr>
          <w:b/>
          <w:i/>
        </w:rPr>
        <w:t>10а.</w:t>
      </w:r>
      <w:r w:rsidRPr="0070201F">
        <w:rPr>
          <w:b/>
          <w:i/>
        </w:rPr>
        <w:tab/>
        <w:t>Държавите членки могат, когато това е практически осъществимо и целесъобразно, за целите на създаването и прилагането на национални планове за възстановяване, във връзка с възстановяването и повторното установяване на морските екосистеми, да използват съществуващите регионални институционални структури за сътрудничество.</w:t>
      </w:r>
    </w:p>
    <w:p w:rsidR="006173E9" w:rsidRPr="0070201F" w:rsidRDefault="006173E9" w:rsidP="006173E9">
      <w:pPr>
        <w:suppressAutoHyphens/>
        <w:spacing w:before="120" w:after="120" w:line="360" w:lineRule="auto"/>
        <w:ind w:left="567" w:right="-1" w:hanging="567"/>
        <w:rPr>
          <w:i/>
          <w:sz w:val="16"/>
          <w:szCs w:val="16"/>
        </w:rPr>
      </w:pPr>
      <w:r w:rsidRPr="0070201F">
        <w:rPr>
          <w:b/>
          <w:i/>
        </w:rPr>
        <w:t>10б.</w:t>
      </w:r>
      <w:r w:rsidRPr="0070201F">
        <w:rPr>
          <w:b/>
          <w:i/>
        </w:rPr>
        <w:tab/>
      </w:r>
      <w:r w:rsidRPr="0070201F">
        <w:rPr>
          <w:b/>
          <w:bCs/>
          <w:i/>
          <w:iCs/>
        </w:rPr>
        <w:t>Когато държавите членки</w:t>
      </w:r>
      <w:r w:rsidRPr="0070201F">
        <w:rPr>
          <w:b/>
          <w:i/>
        </w:rPr>
        <w:t xml:space="preserve"> </w:t>
      </w:r>
      <w:bookmarkStart w:id="70" w:name="_Hlk133316754"/>
      <w:r w:rsidRPr="0070201F">
        <w:rPr>
          <w:b/>
          <w:bCs/>
          <w:i/>
          <w:iCs/>
        </w:rPr>
        <w:t xml:space="preserve"> установят проблем, който има вероятност да попречи на изпълнението на задълженията за възстановяване и повторно установяване на морските екосистеми и който изисква мерки, по отношение на които те не са компетентни, поотделно или съвместно те се обръщат съответно към държавите членки, Комисията или международни организации с описание на установените проблеми и възможните мерки, които да бъдат разгледани и евентуално приети.</w:t>
      </w:r>
      <w:r w:rsidRPr="0070201F">
        <w:rPr>
          <w:b/>
          <w:i/>
        </w:rPr>
        <w:t>.</w:t>
      </w:r>
      <w:bookmarkEnd w:id="70"/>
    </w:p>
    <w:p w:rsidR="006173E9" w:rsidRPr="0070201F" w:rsidRDefault="006173E9" w:rsidP="00070543">
      <w:pPr>
        <w:suppressAutoHyphens/>
        <w:spacing w:before="120" w:after="120" w:line="360" w:lineRule="auto"/>
        <w:ind w:left="567" w:right="-1" w:hanging="567"/>
        <w:rPr>
          <w:b/>
        </w:rPr>
      </w:pPr>
      <w:r w:rsidRPr="0070201F">
        <w:t>11.</w:t>
      </w:r>
      <w:r w:rsidRPr="0070201F">
        <w:tab/>
        <w:t xml:space="preserve">Държавите членки гарантират, че планът за възстановяване се изготвя по открит, </w:t>
      </w:r>
      <w:r w:rsidR="00070543" w:rsidRPr="0070201F">
        <w:rPr>
          <w:b/>
          <w:i/>
        </w:rPr>
        <w:t xml:space="preserve">прозрачен, </w:t>
      </w:r>
      <w:r w:rsidRPr="0070201F">
        <w:t>приобщаващ и ефективен начин и че на обществеността</w:t>
      </w:r>
      <w:r w:rsidR="00070543" w:rsidRPr="0070201F">
        <w:rPr>
          <w:b/>
          <w:i/>
        </w:rPr>
        <w:t xml:space="preserve">, и най-вече на земеделските стопани, лицата, стопанисващи земи, заинтересованите страни в морския сектор и други съответни участници, като службите за съвети и разширяване, в съответствие с принципа на предварително и информирано </w:t>
      </w:r>
      <w:r w:rsidR="00070543" w:rsidRPr="0070201F">
        <w:rPr>
          <w:b/>
          <w:i/>
        </w:rPr>
        <w:lastRenderedPageBreak/>
        <w:t>съгласие,</w:t>
      </w:r>
      <w:r w:rsidRPr="0070201F">
        <w:t xml:space="preserve"> се предоставят навременни и ефективни възможности </w:t>
      </w:r>
      <w:r w:rsidR="00070543" w:rsidRPr="0070201F">
        <w:rPr>
          <w:b/>
          <w:i/>
        </w:rPr>
        <w:t>за участие</w:t>
      </w:r>
      <w:r w:rsidR="00070543" w:rsidRPr="0070201F">
        <w:t xml:space="preserve"> </w:t>
      </w:r>
      <w:r w:rsidRPr="0070201F">
        <w:t xml:space="preserve"> в </w:t>
      </w:r>
      <w:r w:rsidR="00070543" w:rsidRPr="0070201F">
        <w:rPr>
          <w:b/>
          <w:i/>
        </w:rPr>
        <w:t>подготовката на плана. Местните и регионалните власти, както и съответните управляващи органи, участват по подходящ начин в подготовката на плана</w:t>
      </w:r>
      <w:r w:rsidRPr="0070201F">
        <w:t xml:space="preserve">. Консултациите отговарят на изискванията, определени в </w:t>
      </w:r>
      <w:r w:rsidRPr="0070201F">
        <w:rPr>
          <w:rFonts w:ascii="Arial" w:hAnsi="Arial"/>
          <w:snapToGrid w:val="0"/>
        </w:rPr>
        <w:t>▌</w:t>
      </w:r>
      <w:r w:rsidRPr="0070201F">
        <w:t>Директива 2001/42/ЕО.</w:t>
      </w:r>
      <w:r w:rsidR="00070543" w:rsidRPr="0070201F">
        <w:rPr>
          <w:b/>
        </w:rPr>
        <w:t xml:space="preserve"> [Изм. 12]</w:t>
      </w:r>
    </w:p>
    <w:p w:rsidR="00070543" w:rsidRPr="0070201F" w:rsidRDefault="00070543" w:rsidP="006173E9">
      <w:pPr>
        <w:suppressAutoHyphens/>
        <w:spacing w:before="120" w:after="120" w:line="360" w:lineRule="auto"/>
        <w:ind w:left="567" w:right="-1" w:hanging="567"/>
        <w:rPr>
          <w:rFonts w:eastAsia="Calibri"/>
          <w:szCs w:val="22"/>
        </w:rPr>
      </w:pPr>
    </w:p>
    <w:p w:rsidR="006173E9" w:rsidRPr="0070201F" w:rsidRDefault="006173E9" w:rsidP="006173E9">
      <w:pPr>
        <w:keepNext/>
        <w:suppressAutoHyphens/>
        <w:spacing w:before="360" w:after="120" w:line="360" w:lineRule="auto"/>
        <w:ind w:right="-1"/>
        <w:jc w:val="center"/>
        <w:outlineLvl w:val="1"/>
        <w:rPr>
          <w:b/>
          <w:bCs/>
          <w:szCs w:val="26"/>
        </w:rPr>
      </w:pPr>
      <w:r w:rsidRPr="0070201F">
        <w:br w:type="page"/>
      </w:r>
      <w:r w:rsidRPr="0070201F">
        <w:lastRenderedPageBreak/>
        <w:t>Член 12</w:t>
      </w:r>
      <w:r w:rsidRPr="0070201F">
        <w:br/>
      </w:r>
      <w:r w:rsidRPr="0070201F">
        <w:rPr>
          <w:i/>
        </w:rPr>
        <w:t>Съдържание на националните планове за възстановяване</w:t>
      </w:r>
    </w:p>
    <w:p w:rsidR="006173E9" w:rsidRPr="0070201F" w:rsidRDefault="006173E9" w:rsidP="006173E9">
      <w:pPr>
        <w:suppressAutoHyphens/>
        <w:spacing w:before="120" w:after="120" w:line="360" w:lineRule="auto"/>
        <w:ind w:left="567" w:right="-1" w:hanging="567"/>
        <w:rPr>
          <w:rFonts w:eastAsia="Calibri"/>
          <w:b/>
          <w:szCs w:val="22"/>
          <w:u w:val="single"/>
        </w:rPr>
      </w:pPr>
      <w:bookmarkStart w:id="71" w:name="_Hlk133481561"/>
      <w:r w:rsidRPr="0070201F">
        <w:t>1.</w:t>
      </w:r>
      <w:r w:rsidRPr="0070201F">
        <w:tab/>
      </w:r>
      <w:bookmarkStart w:id="72" w:name="_Hlk127379600"/>
      <w:r w:rsidRPr="0070201F">
        <w:t>Националният план за възстановяване обхваща периода до 2050 г. с междинни срокове, съответстващи на целите и задълженията, определени в членове 4—10.</w:t>
      </w:r>
      <w:r w:rsidRPr="0070201F">
        <w:rPr>
          <w:b/>
          <w:u w:val="single"/>
        </w:rPr>
        <w:t xml:space="preserve"> </w:t>
      </w:r>
      <w:bookmarkEnd w:id="72"/>
    </w:p>
    <w:bookmarkEnd w:id="71"/>
    <w:p w:rsidR="006173E9" w:rsidRPr="0070201F" w:rsidRDefault="006173E9" w:rsidP="006173E9">
      <w:pPr>
        <w:suppressAutoHyphens/>
        <w:spacing w:before="120" w:after="120" w:line="360" w:lineRule="auto"/>
        <w:ind w:left="567" w:right="-1" w:hanging="567"/>
        <w:rPr>
          <w:rFonts w:eastAsia="Calibri"/>
          <w:b/>
          <w:i/>
          <w:szCs w:val="22"/>
        </w:rPr>
      </w:pPr>
      <w:r w:rsidRPr="0070201F">
        <w:rPr>
          <w:b/>
          <w:i/>
        </w:rPr>
        <w:t>1а.</w:t>
      </w:r>
      <w:r w:rsidRPr="0070201F">
        <w:rPr>
          <w:b/>
          <w:i/>
        </w:rPr>
        <w:tab/>
      </w:r>
      <w:bookmarkStart w:id="73" w:name="_Hlk133481151"/>
      <w:r w:rsidRPr="0070201F">
        <w:rPr>
          <w:b/>
          <w:i/>
        </w:rPr>
        <w:t>Чрез дерогация от параграф 1 националният план за възстановяване, който трябва да бъде представен в съответствие с член 13 и член 14, параграф 6, може, по отношение на периода след юни 2032 г. и докато бъде преразгледан в съответствие с член 15, параграф 1, да бъде ограничен до стратегически преглед на:</w:t>
      </w:r>
    </w:p>
    <w:p w:rsidR="006173E9" w:rsidRPr="0070201F" w:rsidRDefault="006173E9" w:rsidP="006173E9">
      <w:pPr>
        <w:suppressAutoHyphens/>
        <w:spacing w:before="120" w:after="120" w:line="360" w:lineRule="auto"/>
        <w:ind w:left="567" w:right="-1"/>
        <w:rPr>
          <w:rFonts w:eastAsia="Calibri"/>
          <w:b/>
          <w:i/>
          <w:szCs w:val="22"/>
        </w:rPr>
      </w:pPr>
      <w:r w:rsidRPr="0070201F">
        <w:rPr>
          <w:b/>
          <w:i/>
        </w:rPr>
        <w:t>a)</w:t>
      </w:r>
      <w:r w:rsidRPr="0070201F">
        <w:rPr>
          <w:b/>
          <w:i/>
        </w:rPr>
        <w:tab/>
        <w:t>елементите, посочени в параграф 2; и</w:t>
      </w:r>
    </w:p>
    <w:p w:rsidR="006173E9" w:rsidRPr="0070201F" w:rsidRDefault="006173E9" w:rsidP="006173E9">
      <w:pPr>
        <w:suppressAutoHyphens/>
        <w:spacing w:before="120" w:after="120" w:line="360" w:lineRule="auto"/>
        <w:ind w:left="567" w:firstLine="3"/>
        <w:rPr>
          <w:rFonts w:eastAsia="Calibri"/>
          <w:b/>
          <w:i/>
          <w:szCs w:val="22"/>
        </w:rPr>
      </w:pPr>
      <w:r w:rsidRPr="0070201F">
        <w:rPr>
          <w:b/>
          <w:i/>
        </w:rPr>
        <w:t>б)</w:t>
      </w:r>
      <w:r w:rsidRPr="0070201F">
        <w:rPr>
          <w:b/>
          <w:i/>
        </w:rPr>
        <w:tab/>
        <w:t>съдържанието, посочено в параграфи 3 и 3а;</w:t>
      </w:r>
    </w:p>
    <w:p w:rsidR="006173E9" w:rsidRPr="0070201F" w:rsidRDefault="006173E9" w:rsidP="006173E9">
      <w:pPr>
        <w:suppressAutoHyphens/>
        <w:spacing w:before="120" w:after="120" w:line="360" w:lineRule="auto"/>
        <w:ind w:left="567" w:firstLine="3"/>
        <w:rPr>
          <w:rFonts w:eastAsia="Calibri"/>
          <w:b/>
          <w:i/>
          <w:szCs w:val="22"/>
        </w:rPr>
      </w:pPr>
      <w:r w:rsidRPr="0070201F">
        <w:rPr>
          <w:b/>
          <w:i/>
        </w:rPr>
        <w:t xml:space="preserve">Преработеният национален план за възстановяване, изготвен в резултат на прегледа, който трябва да бъде извършен преди юли 2032 г. в съответствие с член 15, параграф 1, може, по отношение на периода след юни 2042 г. и до преработването му преди юли 2042 г. в съответствие с член 15, параграф 1, да бъде ограничен до стратегически преглед на тези елементи и съдържание. </w:t>
      </w:r>
    </w:p>
    <w:bookmarkEnd w:id="73"/>
    <w:p w:rsidR="006173E9" w:rsidRPr="0070201F" w:rsidRDefault="006173E9" w:rsidP="006173E9">
      <w:pPr>
        <w:suppressAutoHyphens/>
        <w:spacing w:before="120" w:after="120" w:line="360" w:lineRule="auto"/>
        <w:ind w:left="567" w:right="-1" w:hanging="567"/>
        <w:rPr>
          <w:rFonts w:eastAsia="Calibri"/>
          <w:szCs w:val="22"/>
        </w:rPr>
      </w:pPr>
      <w:r w:rsidRPr="0070201F">
        <w:t>2.</w:t>
      </w:r>
      <w:r w:rsidRPr="0070201F">
        <w:tab/>
        <w:t>Държавите членки включват следните елементи в своите национални планове за възстановяване, като използват единния формат, установен в съответствие с параграф 4 от настоящия член:</w:t>
      </w:r>
    </w:p>
    <w:p w:rsidR="006173E9" w:rsidRPr="0070201F" w:rsidRDefault="006173E9" w:rsidP="006173E9">
      <w:pPr>
        <w:suppressAutoHyphens/>
        <w:spacing w:before="120" w:after="120" w:line="360" w:lineRule="auto"/>
        <w:ind w:left="1134" w:right="-1" w:hanging="567"/>
        <w:rPr>
          <w:rFonts w:eastAsia="Calibri"/>
          <w:szCs w:val="22"/>
        </w:rPr>
      </w:pPr>
      <w:r w:rsidRPr="0070201F">
        <w:t>a)</w:t>
      </w:r>
      <w:r w:rsidRPr="0070201F">
        <w:tab/>
      </w:r>
      <w:bookmarkStart w:id="74" w:name="_Hlk127366959"/>
      <w:r w:rsidRPr="0070201F">
        <w:t>количествено определяне на площите, които трябва да бъдат възстановени, за да се постигнат целите за възстановяване, определени в членове 4—10</w:t>
      </w:r>
      <w:bookmarkStart w:id="75" w:name="_Hlk127366922"/>
      <w:r w:rsidRPr="0070201F">
        <w:t xml:space="preserve">, въз основа на подготвителната работа, извършена в съответствие с член 11, и </w:t>
      </w:r>
      <w:r w:rsidRPr="0070201F">
        <w:rPr>
          <w:b/>
          <w:i/>
        </w:rPr>
        <w:t>индикативните</w:t>
      </w:r>
      <w:r w:rsidRPr="0070201F">
        <w:t xml:space="preserve"> карти</w:t>
      </w:r>
      <w:bookmarkEnd w:id="74"/>
      <w:bookmarkEnd w:id="75"/>
      <w:r w:rsidRPr="0070201F">
        <w:t xml:space="preserve"> на </w:t>
      </w:r>
      <w:r w:rsidRPr="0070201F">
        <w:rPr>
          <w:b/>
          <w:i/>
        </w:rPr>
        <w:t>потенциалните</w:t>
      </w:r>
      <w:r w:rsidRPr="0070201F">
        <w:t xml:space="preserve"> зони, които да бъдат възстановени.</w:t>
      </w:r>
    </w:p>
    <w:p w:rsidR="006173E9" w:rsidRPr="0070201F" w:rsidRDefault="006173E9" w:rsidP="006173E9">
      <w:pPr>
        <w:suppressAutoHyphens/>
        <w:spacing w:before="120" w:after="120" w:line="360" w:lineRule="auto"/>
        <w:ind w:left="1134" w:right="-1" w:hanging="567"/>
        <w:rPr>
          <w:rFonts w:eastAsia="Calibri"/>
          <w:szCs w:val="22"/>
        </w:rPr>
      </w:pPr>
      <w:r w:rsidRPr="0070201F">
        <w:t>б)</w:t>
      </w:r>
      <w:r w:rsidRPr="0070201F">
        <w:tab/>
        <w:t>описание на планираните или въведените мерки за възстановяване за постигане на целите и задълженията, определени в членове 4—10, и конкретно посочване кои от тези мерки за възстановяване са планирани или въведени в рамките на мрежата „Натура 2000“, създадена в съответствие с Директива 92/43/ЕИО;</w:t>
      </w:r>
    </w:p>
    <w:p w:rsidR="006173E9" w:rsidRPr="0070201F" w:rsidRDefault="006173E9" w:rsidP="006173E9">
      <w:pPr>
        <w:suppressAutoHyphens/>
        <w:spacing w:before="120" w:after="120" w:line="360" w:lineRule="auto"/>
        <w:ind w:left="1134" w:right="-1" w:hanging="567"/>
        <w:rPr>
          <w:rFonts w:eastAsia="Calibri"/>
          <w:b/>
          <w:szCs w:val="22"/>
          <w:u w:val="single"/>
        </w:rPr>
      </w:pPr>
      <w:r w:rsidRPr="0070201F">
        <w:br w:type="page"/>
      </w:r>
    </w:p>
    <w:p w:rsidR="006173E9" w:rsidRPr="0070201F" w:rsidRDefault="006173E9" w:rsidP="006173E9">
      <w:pPr>
        <w:suppressAutoHyphens/>
        <w:spacing w:before="120" w:after="120" w:line="360" w:lineRule="auto"/>
        <w:ind w:left="1134" w:right="-1" w:hanging="567"/>
        <w:rPr>
          <w:rFonts w:eastAsia="Calibri"/>
          <w:b/>
          <w:i/>
          <w:szCs w:val="22"/>
        </w:rPr>
      </w:pPr>
      <w:r w:rsidRPr="0070201F">
        <w:rPr>
          <w:b/>
          <w:i/>
        </w:rPr>
        <w:lastRenderedPageBreak/>
        <w:t>ба)</w:t>
      </w:r>
      <w:r w:rsidRPr="0070201F">
        <w:rPr>
          <w:b/>
          <w:i/>
        </w:rPr>
        <w:tab/>
        <w:t xml:space="preserve">специален раздел, в който се определят мерките за изпълнение на задълженията по член 4, параграф 4а и член 5, параграф 4а; </w:t>
      </w:r>
    </w:p>
    <w:p w:rsidR="00D45CA0" w:rsidRDefault="00070543" w:rsidP="006173E9">
      <w:pPr>
        <w:suppressAutoHyphens/>
        <w:spacing w:before="120" w:after="120" w:line="360" w:lineRule="auto"/>
        <w:ind w:left="1134" w:right="-1" w:hanging="567"/>
        <w:rPr>
          <w:b/>
        </w:rPr>
      </w:pPr>
      <w:r w:rsidRPr="0070201F">
        <w:t>▌</w:t>
      </w:r>
      <w:r w:rsidRPr="0070201F">
        <w:rPr>
          <w:b/>
        </w:rPr>
        <w:t xml:space="preserve"> [Изм. 41]</w:t>
      </w:r>
      <w:r w:rsidRPr="0070201F">
        <w:t>▌</w:t>
      </w:r>
      <w:r w:rsidRPr="0070201F">
        <w:rPr>
          <w:b/>
        </w:rPr>
        <w:t xml:space="preserve"> [Изм. 42]</w:t>
      </w:r>
    </w:p>
    <w:p w:rsidR="006173E9" w:rsidRPr="0070201F" w:rsidRDefault="006173E9" w:rsidP="006173E9">
      <w:pPr>
        <w:suppressAutoHyphens/>
        <w:spacing w:before="120" w:after="120" w:line="360" w:lineRule="auto"/>
        <w:ind w:left="1134" w:right="-1" w:hanging="567"/>
        <w:rPr>
          <w:rFonts w:eastAsia="Calibri"/>
          <w:b/>
          <w:szCs w:val="22"/>
          <w:u w:val="single"/>
        </w:rPr>
      </w:pPr>
      <w:r w:rsidRPr="0070201F">
        <w:t>д)</w:t>
      </w:r>
      <w:r w:rsidRPr="0070201F">
        <w:tab/>
        <w:t xml:space="preserve">описа на преградите и преградите, набелязани за премахване в съответствие с член 7, параграф 1, плана за премахването им в съответствие с член 7, параграф 2 и </w:t>
      </w:r>
      <w:r w:rsidRPr="0070201F">
        <w:rPr>
          <w:rFonts w:ascii="Arial" w:hAnsi="Arial"/>
          <w:snapToGrid w:val="0"/>
        </w:rPr>
        <w:t>▌</w:t>
      </w:r>
      <w:r w:rsidRPr="0070201F">
        <w:t xml:space="preserve"> дължината на свободно течащите реки, която трябва да бъде постигната чрез премахването на тези прегради, </w:t>
      </w:r>
      <w:r w:rsidRPr="0070201F">
        <w:rPr>
          <w:b/>
          <w:bCs/>
          <w:i/>
          <w:iCs/>
        </w:rPr>
        <w:t>прогнозно изчислена от 2020 г. до</w:t>
      </w:r>
      <w:r w:rsidRPr="0070201F">
        <w:t xml:space="preserve"> 2030 и </w:t>
      </w:r>
      <w:r w:rsidRPr="0070201F">
        <w:rPr>
          <w:rFonts w:ascii="Arial" w:hAnsi="Arial"/>
          <w:snapToGrid w:val="0"/>
        </w:rPr>
        <w:t>▌</w:t>
      </w:r>
      <w:r w:rsidRPr="0070201F">
        <w:t xml:space="preserve"> 2050 г., както и всякакви други мерки за възстановяване на естествените функции на наводняваните райони в съответствие с член 7, параграф 3;</w:t>
      </w:r>
    </w:p>
    <w:p w:rsidR="006173E9" w:rsidRPr="0070201F" w:rsidRDefault="006173E9" w:rsidP="006173E9">
      <w:pPr>
        <w:suppressAutoHyphens/>
        <w:spacing w:before="120" w:after="120" w:line="360" w:lineRule="auto"/>
        <w:ind w:left="1134" w:right="-1" w:hanging="567"/>
        <w:rPr>
          <w:rFonts w:eastAsia="Calibri"/>
          <w:b/>
          <w:i/>
          <w:szCs w:val="22"/>
        </w:rPr>
      </w:pPr>
      <w:r w:rsidRPr="0070201F">
        <w:rPr>
          <w:b/>
          <w:i/>
        </w:rPr>
        <w:t>да)</w:t>
      </w:r>
      <w:r w:rsidRPr="0070201F">
        <w:rPr>
          <w:b/>
          <w:i/>
        </w:rPr>
        <w:tab/>
        <w:t xml:space="preserve">обосновка, когато е приложимо, за възстановяването на влагата в торфища в по-малък размер от посочения в член 9, параграф 4, първа алинея, букви а)—в); </w:t>
      </w:r>
    </w:p>
    <w:p w:rsidR="006173E9" w:rsidRPr="0070201F" w:rsidRDefault="006173E9" w:rsidP="006173E9">
      <w:pPr>
        <w:suppressAutoHyphens/>
        <w:spacing w:before="120" w:after="120" w:line="360" w:lineRule="auto"/>
        <w:ind w:left="1134" w:right="-1" w:hanging="567"/>
        <w:rPr>
          <w:rFonts w:eastAsia="Calibri"/>
          <w:b/>
          <w:i/>
          <w:szCs w:val="22"/>
        </w:rPr>
      </w:pPr>
      <w:r w:rsidRPr="0070201F">
        <w:rPr>
          <w:b/>
          <w:i/>
        </w:rPr>
        <w:t>дб)</w:t>
      </w:r>
      <w:r w:rsidRPr="0070201F">
        <w:rPr>
          <w:b/>
          <w:i/>
        </w:rPr>
        <w:tab/>
        <w:t>отчет на показателите за горските екосистеми, избрани в съответствие с член 10, параграф 2а, и тяхната пригодност за доказване на подобряването на биологичното разнообразие в горските екосистеми в рамките на съответната държава членка;</w:t>
      </w:r>
    </w:p>
    <w:p w:rsidR="006173E9" w:rsidRPr="0070201F" w:rsidRDefault="006173E9" w:rsidP="006173E9">
      <w:pPr>
        <w:suppressAutoHyphens/>
        <w:spacing w:before="120" w:after="120" w:line="360" w:lineRule="auto"/>
        <w:ind w:left="1134" w:right="-1" w:hanging="567"/>
        <w:rPr>
          <w:rFonts w:eastAsia="Calibri"/>
          <w:szCs w:val="22"/>
        </w:rPr>
      </w:pPr>
      <w:r w:rsidRPr="0070201F">
        <w:br w:type="page"/>
      </w:r>
      <w:r w:rsidRPr="0070201F">
        <w:lastRenderedPageBreak/>
        <w:t>е)</w:t>
      </w:r>
      <w:r w:rsidRPr="0070201F">
        <w:tab/>
        <w:t>графика за въвеждане на мерките за възстановяване в съответствие с членове 4—10;</w:t>
      </w:r>
    </w:p>
    <w:p w:rsidR="006173E9" w:rsidRPr="0070201F" w:rsidRDefault="006173E9" w:rsidP="006173E9">
      <w:pPr>
        <w:suppressAutoHyphens/>
        <w:spacing w:before="120" w:after="120" w:line="360" w:lineRule="auto"/>
        <w:ind w:left="1134" w:right="-1" w:hanging="567"/>
        <w:rPr>
          <w:rFonts w:eastAsia="Calibri"/>
          <w:szCs w:val="22"/>
        </w:rPr>
      </w:pPr>
      <w:r w:rsidRPr="0070201F">
        <w:t>ж)</w:t>
      </w:r>
      <w:r w:rsidRPr="0070201F">
        <w:tab/>
        <w:t>специален раздел, в който се определят специални мерки за възстановяване в най-отдалечените им региони, според случая;</w:t>
      </w:r>
    </w:p>
    <w:p w:rsidR="006173E9" w:rsidRPr="0070201F" w:rsidRDefault="006173E9" w:rsidP="006173E9">
      <w:pPr>
        <w:suppressAutoHyphens/>
        <w:spacing w:before="120" w:after="120" w:line="360" w:lineRule="auto"/>
        <w:ind w:left="1134" w:right="-1" w:hanging="567"/>
        <w:rPr>
          <w:rFonts w:eastAsia="Calibri"/>
          <w:szCs w:val="22"/>
        </w:rPr>
      </w:pPr>
      <w:r w:rsidRPr="0070201F">
        <w:t>з)</w:t>
      </w:r>
      <w:r w:rsidRPr="0070201F">
        <w:tab/>
        <w:t>наблюдение на зоните, подлежащи на възстановяване в съответствие с членове 4 и 5, процеса на оценяване на ефективността на мерките за възстановяване, въведени в съответствие с членове 4—10, и преразглеждането на тези мерки, когато това е необходимо, за да се гарантира изпълнението на целите и задълженията, определени в членове 4—10;</w:t>
      </w:r>
    </w:p>
    <w:p w:rsidR="006173E9" w:rsidRPr="0070201F" w:rsidRDefault="006173E9" w:rsidP="006173E9">
      <w:pPr>
        <w:suppressAutoHyphens/>
        <w:spacing w:before="120" w:after="120" w:line="360" w:lineRule="auto"/>
        <w:ind w:left="1134" w:right="-1" w:hanging="567"/>
        <w:rPr>
          <w:rFonts w:eastAsia="Calibri"/>
          <w:szCs w:val="22"/>
        </w:rPr>
      </w:pPr>
      <w:r w:rsidRPr="0070201F">
        <w:t>и)</w:t>
      </w:r>
      <w:r w:rsidRPr="0070201F">
        <w:tab/>
        <w:t>посочване на разпоредбите за осигуряване на непрекъснати, дългосрочни и трайни последици от мерките за възстановяване, посочени в членове 4—10;</w:t>
      </w:r>
    </w:p>
    <w:p w:rsidR="006173E9" w:rsidRPr="0070201F" w:rsidRDefault="006173E9" w:rsidP="006173E9">
      <w:pPr>
        <w:suppressAutoHyphens/>
        <w:spacing w:before="120" w:after="120" w:line="360" w:lineRule="auto"/>
        <w:ind w:left="1134" w:right="-1" w:hanging="567"/>
      </w:pPr>
      <w:r w:rsidRPr="0070201F">
        <w:t>й)</w:t>
      </w:r>
      <w:r w:rsidRPr="0070201F">
        <w:tab/>
        <w:t xml:space="preserve">очакваните съпътстващи ползи за смекчаването на изменението на климата </w:t>
      </w:r>
      <w:r w:rsidRPr="0070201F">
        <w:rPr>
          <w:b/>
          <w:i/>
        </w:rPr>
        <w:t>и неутралността по отношение на деградацията на земите</w:t>
      </w:r>
      <w:r w:rsidRPr="0070201F">
        <w:t>, свързани с мерките за възстановяване с течение на времето, както и по-широкообхватните социално-икономически ползи от тези мерки;</w:t>
      </w:r>
    </w:p>
    <w:p w:rsidR="00070543" w:rsidRPr="0070201F" w:rsidRDefault="00070543" w:rsidP="00070543">
      <w:pPr>
        <w:suppressAutoHyphens/>
        <w:spacing w:before="120" w:after="120" w:line="360" w:lineRule="auto"/>
        <w:ind w:left="1134" w:right="-1" w:hanging="567"/>
        <w:rPr>
          <w:rFonts w:eastAsia="Calibri"/>
          <w:b/>
          <w:szCs w:val="22"/>
        </w:rPr>
      </w:pPr>
      <w:r w:rsidRPr="0070201F">
        <w:rPr>
          <w:rFonts w:eastAsia="Calibri"/>
          <w:b/>
          <w:i/>
          <w:szCs w:val="22"/>
        </w:rPr>
        <w:t>йа)</w:t>
      </w:r>
      <w:r w:rsidRPr="0070201F">
        <w:rPr>
          <w:rFonts w:eastAsia="Calibri"/>
          <w:szCs w:val="22"/>
        </w:rPr>
        <w:tab/>
      </w:r>
      <w:r w:rsidRPr="0070201F">
        <w:rPr>
          <w:rFonts w:eastAsia="Calibri"/>
          <w:b/>
          <w:i/>
          <w:szCs w:val="22"/>
        </w:rPr>
        <w:t>очакваното социално-икономическо въздействие от изпълнението на мерките за възстановяване;</w:t>
      </w:r>
      <w:r w:rsidRPr="0070201F">
        <w:rPr>
          <w:rFonts w:eastAsia="Calibri"/>
          <w:b/>
          <w:szCs w:val="22"/>
        </w:rPr>
        <w:t xml:space="preserve"> [Изм. 69]</w:t>
      </w:r>
    </w:p>
    <w:p w:rsidR="006173E9" w:rsidRPr="0070201F" w:rsidRDefault="006173E9" w:rsidP="006173E9">
      <w:pPr>
        <w:suppressAutoHyphens/>
        <w:spacing w:before="120" w:after="120" w:line="360" w:lineRule="auto"/>
        <w:ind w:left="1134" w:right="-1" w:hanging="567"/>
        <w:rPr>
          <w:rFonts w:eastAsia="Calibri"/>
          <w:szCs w:val="22"/>
        </w:rPr>
      </w:pPr>
      <w:r w:rsidRPr="0070201F">
        <w:t>к)</w:t>
      </w:r>
      <w:r w:rsidRPr="0070201F">
        <w:tab/>
        <w:t>специален раздел, в който се посочва как в националния план за възстановяване са взети предвид:</w:t>
      </w:r>
    </w:p>
    <w:p w:rsidR="006173E9" w:rsidRPr="0070201F" w:rsidRDefault="006173E9" w:rsidP="006173E9">
      <w:pPr>
        <w:suppressAutoHyphens/>
        <w:spacing w:before="120" w:after="120" w:line="360" w:lineRule="auto"/>
        <w:ind w:left="1701" w:right="-1" w:hanging="567"/>
        <w:rPr>
          <w:rFonts w:eastAsia="Calibri"/>
          <w:szCs w:val="22"/>
        </w:rPr>
      </w:pPr>
      <w:r w:rsidRPr="0070201F">
        <w:t>i)</w:t>
      </w:r>
      <w:r w:rsidRPr="0070201F">
        <w:tab/>
        <w:t>уместността на сценарии за изменението на климата за планирането на вида и мястото на мерките за възстановяване;</w:t>
      </w:r>
    </w:p>
    <w:p w:rsidR="006173E9" w:rsidRPr="0070201F" w:rsidRDefault="006173E9" w:rsidP="006173E9">
      <w:pPr>
        <w:suppressAutoHyphens/>
        <w:spacing w:before="120" w:after="120" w:line="360" w:lineRule="auto"/>
        <w:ind w:left="1701" w:right="-1" w:hanging="567"/>
        <w:rPr>
          <w:rFonts w:eastAsia="Calibri"/>
          <w:szCs w:val="22"/>
        </w:rPr>
      </w:pPr>
      <w:r w:rsidRPr="0070201F">
        <w:t>ii)</w:t>
      </w:r>
      <w:r w:rsidRPr="0070201F">
        <w:tab/>
        <w:t xml:space="preserve">потенциалът на мерките за възстановяване за свеждане до минимум на въздействието на изменението на климата върху природата, </w:t>
      </w:r>
      <w:bookmarkStart w:id="76" w:name="_Hlk127911096"/>
      <w:r w:rsidRPr="0070201F">
        <w:t xml:space="preserve">за предотвратяване </w:t>
      </w:r>
      <w:r w:rsidRPr="0070201F">
        <w:rPr>
          <w:b/>
          <w:bCs/>
          <w:i/>
          <w:iCs/>
        </w:rPr>
        <w:t>или смекчаване на въздействието</w:t>
      </w:r>
      <w:r w:rsidRPr="0070201F">
        <w:t xml:space="preserve"> на природни бедствия</w:t>
      </w:r>
      <w:bookmarkEnd w:id="76"/>
      <w:r w:rsidRPr="0070201F">
        <w:t xml:space="preserve"> и за подпомагане на адаптирането;</w:t>
      </w:r>
    </w:p>
    <w:p w:rsidR="006173E9" w:rsidRPr="0070201F" w:rsidRDefault="006173E9" w:rsidP="006173E9">
      <w:pPr>
        <w:suppressAutoHyphens/>
        <w:spacing w:before="120" w:after="120" w:line="360" w:lineRule="auto"/>
        <w:ind w:left="1701" w:right="-1" w:hanging="567"/>
        <w:rPr>
          <w:rFonts w:eastAsia="Calibri"/>
          <w:szCs w:val="22"/>
        </w:rPr>
      </w:pPr>
      <w:r w:rsidRPr="0070201F">
        <w:t>iii)</w:t>
      </w:r>
      <w:r w:rsidRPr="0070201F">
        <w:tab/>
        <w:t>полезните взаимодействия с националните стратегии или планове за адаптиране и националните доклади за оценка на риска от бедствия;</w:t>
      </w:r>
    </w:p>
    <w:p w:rsidR="006173E9" w:rsidRPr="0070201F" w:rsidRDefault="006173E9" w:rsidP="006173E9">
      <w:pPr>
        <w:suppressAutoHyphens/>
        <w:spacing w:before="120" w:after="120" w:line="360" w:lineRule="auto"/>
        <w:ind w:left="1701" w:right="-1" w:hanging="567"/>
        <w:rPr>
          <w:rFonts w:eastAsia="Calibri"/>
          <w:szCs w:val="22"/>
        </w:rPr>
      </w:pPr>
      <w:r w:rsidRPr="0070201F">
        <w:t>iv)</w:t>
      </w:r>
      <w:r w:rsidRPr="0070201F">
        <w:tab/>
        <w:t>преглед на взаимодействието между мерките, включени в националния план за възстановяване, и националния план в областта на енергетиката и климата;</w:t>
      </w:r>
    </w:p>
    <w:p w:rsidR="006173E9" w:rsidRPr="0070201F" w:rsidRDefault="006173E9" w:rsidP="006173E9">
      <w:pPr>
        <w:suppressAutoHyphens/>
        <w:spacing w:before="120" w:after="120" w:line="360" w:lineRule="auto"/>
        <w:ind w:left="1134" w:right="-1" w:hanging="567"/>
        <w:rPr>
          <w:rFonts w:eastAsia="Calibri"/>
          <w:szCs w:val="22"/>
        </w:rPr>
      </w:pPr>
      <w:r w:rsidRPr="0070201F">
        <w:br w:type="page"/>
      </w:r>
      <w:r w:rsidRPr="0070201F">
        <w:lastRenderedPageBreak/>
        <w:t>л)</w:t>
      </w:r>
      <w:r w:rsidRPr="0070201F">
        <w:tab/>
        <w:t>прогнозните нужди от финансиране за изпълнението на мерките за възстановяване, включително описание на подкрепата за заинтересованите страни, засегнати от мерките за възстановяване или други нови задължения, произтичащи от настоящия регламент, и средствата за предвиденото публично или частно финансиране, включително (съ)финансиране чрез инструменти на Съюза за финансиране;</w:t>
      </w:r>
    </w:p>
    <w:p w:rsidR="006173E9" w:rsidRPr="0070201F" w:rsidRDefault="006173E9" w:rsidP="006173E9">
      <w:pPr>
        <w:suppressAutoHyphens/>
        <w:spacing w:before="120" w:after="120" w:line="360" w:lineRule="auto"/>
        <w:ind w:left="1134" w:right="-1" w:hanging="567"/>
        <w:rPr>
          <w:rFonts w:eastAsia="Calibri"/>
          <w:szCs w:val="22"/>
        </w:rPr>
      </w:pPr>
      <w:r w:rsidRPr="0070201F">
        <w:t>м)</w:t>
      </w:r>
      <w:r w:rsidRPr="0070201F">
        <w:tab/>
        <w:t>посочване на субсидиите, които оказват отрицателно въздействие върху постигането на целите и изпълнението на задълженията, определени в настоящия регламент;</w:t>
      </w:r>
    </w:p>
    <w:p w:rsidR="006173E9" w:rsidRPr="0070201F" w:rsidRDefault="006173E9" w:rsidP="006173E9">
      <w:pPr>
        <w:suppressAutoHyphens/>
        <w:spacing w:before="120" w:after="120" w:line="360" w:lineRule="auto"/>
        <w:ind w:left="1134" w:right="-1" w:hanging="567"/>
        <w:rPr>
          <w:rFonts w:eastAsia="Calibri"/>
          <w:szCs w:val="22"/>
        </w:rPr>
      </w:pPr>
      <w:r w:rsidRPr="0070201F">
        <w:t>н)</w:t>
      </w:r>
      <w:r w:rsidRPr="0070201F">
        <w:tab/>
        <w:t>обобщение на процеса на изготвяне и установяване на националния план за възстановяване, включително информация за участието на обществеността и за начина, по който са взети предвид нуждите на местните общности и заинтересованите страни;</w:t>
      </w:r>
    </w:p>
    <w:p w:rsidR="006173E9" w:rsidRPr="0070201F" w:rsidRDefault="006173E9" w:rsidP="006173E9">
      <w:pPr>
        <w:suppressAutoHyphens/>
        <w:spacing w:before="120" w:after="120" w:line="360" w:lineRule="auto"/>
        <w:ind w:left="1134" w:right="-1" w:hanging="567"/>
        <w:rPr>
          <w:rFonts w:eastAsia="Calibri"/>
          <w:szCs w:val="22"/>
        </w:rPr>
      </w:pPr>
      <w:r w:rsidRPr="0070201F">
        <w:t>о)</w:t>
      </w:r>
      <w:r w:rsidRPr="0070201F">
        <w:tab/>
        <w:t>специален раздел, в който се посочва как забележките на Комисията относно проекта на национален план за възстановяване, посочени в член 14, параграф 4, са били взети предвид в съответствие с член 14, параграф 5.  Ако съответната държава членка не обърне внимание на констатация на Комисията или на съществена част от нея, тази държава членка посочва причините за това.</w:t>
      </w:r>
    </w:p>
    <w:p w:rsidR="006173E9" w:rsidRPr="0070201F" w:rsidRDefault="006173E9" w:rsidP="006173E9">
      <w:pPr>
        <w:suppressAutoHyphens/>
        <w:spacing w:before="120" w:after="120" w:line="360" w:lineRule="auto"/>
        <w:ind w:left="567" w:right="-1" w:hanging="567"/>
        <w:rPr>
          <w:rFonts w:eastAsia="Calibri"/>
          <w:b/>
          <w:szCs w:val="22"/>
          <w:u w:val="single"/>
        </w:rPr>
      </w:pPr>
      <w:r w:rsidRPr="0070201F">
        <w:t>3.</w:t>
      </w:r>
      <w:r w:rsidRPr="0070201F">
        <w:tab/>
        <w:t>Когато е приложимо, националните планове за възстановяване включват мерките за опазване</w:t>
      </w:r>
      <w:r w:rsidRPr="0070201F">
        <w:rPr>
          <w:b/>
          <w:bCs/>
          <w:i/>
          <w:iCs/>
        </w:rPr>
        <w:t xml:space="preserve"> и управление</w:t>
      </w:r>
      <w:r w:rsidRPr="0070201F">
        <w:t>, които дадена държава членка възнамерява да приеме в рамките на общата политика в областта на рибарството, включително мерките за опазване в съвместни препоръки, които дадена държава членка възнамерява да предприеме в съответствие с процедурата, определена в Регламент (ЕС) № 1380/2013, както и всяка съответна информация относно тези мерки.</w:t>
      </w:r>
    </w:p>
    <w:p w:rsidR="006173E9" w:rsidRPr="0070201F" w:rsidRDefault="006173E9" w:rsidP="006173E9">
      <w:pPr>
        <w:tabs>
          <w:tab w:val="left" w:pos="4536"/>
        </w:tabs>
        <w:suppressAutoHyphens/>
        <w:spacing w:before="120" w:after="120" w:line="360" w:lineRule="auto"/>
        <w:ind w:left="567" w:right="-1" w:hanging="567"/>
        <w:rPr>
          <w:rFonts w:eastAsia="Calibri"/>
          <w:b/>
          <w:i/>
          <w:szCs w:val="22"/>
        </w:rPr>
      </w:pPr>
      <w:r w:rsidRPr="0070201F">
        <w:rPr>
          <w:b/>
          <w:i/>
        </w:rPr>
        <w:t>3а.</w:t>
      </w:r>
      <w:r w:rsidRPr="0070201F">
        <w:rPr>
          <w:b/>
          <w:i/>
        </w:rPr>
        <w:tab/>
      </w:r>
      <w:r w:rsidRPr="0070201F">
        <w:rPr>
          <w:b/>
          <w:bCs/>
          <w:i/>
          <w:iCs/>
        </w:rPr>
        <w:t>Националните планове за възстановяване включват преглед на взаимодействието между мерките, включени в националния план за възстановяване, и националния стратегически план в рамките на общата селскостопанска политика</w:t>
      </w:r>
      <w:bookmarkStart w:id="77" w:name="_Hlk135811882"/>
      <w:r w:rsidRPr="0070201F">
        <w:rPr>
          <w:b/>
          <w:bCs/>
          <w:i/>
          <w:iCs/>
        </w:rPr>
        <w:t>.</w:t>
      </w:r>
      <w:bookmarkEnd w:id="77"/>
    </w:p>
    <w:p w:rsidR="006173E9" w:rsidRPr="0070201F" w:rsidRDefault="006173E9" w:rsidP="006173E9">
      <w:pPr>
        <w:tabs>
          <w:tab w:val="left" w:pos="4536"/>
        </w:tabs>
        <w:suppressAutoHyphens/>
        <w:spacing w:before="120" w:after="120" w:line="360" w:lineRule="auto"/>
        <w:ind w:left="567" w:right="-1" w:hanging="567"/>
        <w:rPr>
          <w:rFonts w:eastAsia="Calibri"/>
          <w:b/>
          <w:i/>
          <w:szCs w:val="22"/>
        </w:rPr>
      </w:pPr>
      <w:r w:rsidRPr="0070201F">
        <w:br w:type="page"/>
      </w:r>
      <w:r w:rsidRPr="0070201F">
        <w:rPr>
          <w:b/>
          <w:i/>
        </w:rPr>
        <w:lastRenderedPageBreak/>
        <w:t>3б</w:t>
      </w:r>
      <w:r w:rsidR="00223ACF" w:rsidRPr="00223ACF">
        <w:rPr>
          <w:b/>
          <w:i/>
        </w:rPr>
        <w:t>.</w:t>
      </w:r>
      <w:bookmarkStart w:id="78" w:name="_GoBack"/>
      <w:bookmarkEnd w:id="78"/>
      <w:r w:rsidRPr="0070201F">
        <w:rPr>
          <w:b/>
          <w:i/>
        </w:rPr>
        <w:tab/>
        <w:t>Когато е целесъобразно, националните планове за възстановяване включват преглед на съображенията, свързани с различното състояние в различните региони, както е посочено в член 11, параграф 9а.</w:t>
      </w:r>
    </w:p>
    <w:p w:rsidR="006173E9" w:rsidRPr="0070201F" w:rsidRDefault="006173E9" w:rsidP="006173E9">
      <w:pPr>
        <w:suppressAutoHyphens/>
        <w:spacing w:before="120" w:after="120" w:line="360" w:lineRule="auto"/>
        <w:ind w:left="567" w:right="-1" w:hanging="567"/>
        <w:rPr>
          <w:rFonts w:eastAsia="Calibri"/>
          <w:szCs w:val="22"/>
        </w:rPr>
      </w:pPr>
      <w:r w:rsidRPr="0070201F">
        <w:t>4.</w:t>
      </w:r>
      <w:r w:rsidRPr="0070201F">
        <w:tab/>
        <w:t>Комисията приема актове за изпълнение с цел установяване на единен формат на националните планове за възстановяване. Тези актове за изпълнение се приемат в съответствие с процедурата по разглеждане, посочена в член 21, параграф 2. При изготвянето на единния формат Комисията се подпомага от Европейската агенция за околна среда (ЕАОС).</w:t>
      </w:r>
      <w:r w:rsidRPr="0070201F">
        <w:rPr>
          <w:b/>
          <w:i/>
        </w:rPr>
        <w:t xml:space="preserve"> До ...[дата = първия ден на месеца, следващ 3 месеца след датата на влизане в сила на настоящия регламент] Комисията представя проектите на актове за изпълнение на комитета, посочен в член 21, параграф 1.</w:t>
      </w:r>
    </w:p>
    <w:p w:rsidR="006173E9" w:rsidRPr="0070201F" w:rsidRDefault="006173E9" w:rsidP="006173E9">
      <w:pPr>
        <w:keepNext/>
        <w:suppressAutoHyphens/>
        <w:spacing w:before="360" w:after="120" w:line="360" w:lineRule="auto"/>
        <w:ind w:right="-1"/>
        <w:jc w:val="center"/>
        <w:outlineLvl w:val="1"/>
        <w:rPr>
          <w:b/>
          <w:bCs/>
          <w:szCs w:val="26"/>
        </w:rPr>
      </w:pPr>
      <w:r w:rsidRPr="0070201F">
        <w:t>Член 13</w:t>
      </w:r>
      <w:r w:rsidRPr="0070201F">
        <w:br/>
      </w:r>
      <w:r w:rsidRPr="0070201F">
        <w:rPr>
          <w:i/>
          <w:iCs/>
        </w:rPr>
        <w:t>Представяне на проекта на национален план за възстановяване</w:t>
      </w:r>
    </w:p>
    <w:p w:rsidR="006173E9" w:rsidRPr="0070201F" w:rsidRDefault="006173E9" w:rsidP="006173E9">
      <w:pPr>
        <w:suppressAutoHyphens/>
        <w:spacing w:before="120" w:after="120" w:line="360" w:lineRule="auto"/>
        <w:ind w:right="-1"/>
        <w:rPr>
          <w:rFonts w:eastAsia="Calibri"/>
          <w:i/>
          <w:szCs w:val="22"/>
        </w:rPr>
      </w:pPr>
      <w:r w:rsidRPr="0070201F">
        <w:t xml:space="preserve">Държавите членки представят на Комисията проект на националния план за възстановяване, посочен в членове 11 и 12, до... </w:t>
      </w:r>
      <w:r w:rsidRPr="0070201F">
        <w:rPr>
          <w:i/>
          <w:iCs/>
        </w:rPr>
        <w:t>[Служба за публикации: моля въведете датата = първия ден от месеца, следващ 24 месеца след датата на влизане в сила на настоящия регламент].</w:t>
      </w:r>
      <w:r w:rsidRPr="0070201F">
        <w:rPr>
          <w:i/>
        </w:rPr>
        <w:t xml:space="preserve"> </w:t>
      </w:r>
    </w:p>
    <w:p w:rsidR="006173E9" w:rsidRPr="0070201F" w:rsidRDefault="006173E9" w:rsidP="006173E9">
      <w:pPr>
        <w:keepNext/>
        <w:suppressAutoHyphens/>
        <w:spacing w:before="360" w:after="120" w:line="360" w:lineRule="auto"/>
        <w:ind w:right="-1"/>
        <w:jc w:val="center"/>
        <w:outlineLvl w:val="1"/>
        <w:rPr>
          <w:b/>
          <w:bCs/>
          <w:szCs w:val="26"/>
        </w:rPr>
      </w:pPr>
      <w:bookmarkStart w:id="79" w:name="_Hlk133532019"/>
      <w:r w:rsidRPr="0070201F">
        <w:t>Член 14</w:t>
      </w:r>
      <w:r w:rsidRPr="0070201F">
        <w:br/>
      </w:r>
      <w:r w:rsidRPr="0070201F">
        <w:rPr>
          <w:i/>
        </w:rPr>
        <w:t xml:space="preserve">Оценка на националните планове за възстановяване </w:t>
      </w:r>
      <w:r w:rsidRPr="0070201F">
        <w:rPr>
          <w:b/>
        </w:rPr>
        <w:t xml:space="preserve"> </w:t>
      </w:r>
    </w:p>
    <w:p w:rsidR="006173E9" w:rsidRPr="0070201F" w:rsidRDefault="006173E9" w:rsidP="006173E9">
      <w:pPr>
        <w:suppressAutoHyphens/>
        <w:spacing w:before="120" w:after="120" w:line="360" w:lineRule="auto"/>
        <w:ind w:left="567" w:right="-1" w:hanging="567"/>
        <w:rPr>
          <w:rFonts w:eastAsia="Calibri"/>
          <w:szCs w:val="22"/>
        </w:rPr>
      </w:pPr>
      <w:r w:rsidRPr="0070201F">
        <w:t>1.</w:t>
      </w:r>
      <w:r w:rsidRPr="0070201F">
        <w:tab/>
        <w:t>Комисията оценява проектите на националните планове за възстановяване в срок от шест месеца от датата на получаването им</w:t>
      </w:r>
      <w:r w:rsidRPr="0070201F">
        <w:rPr>
          <w:sz w:val="16"/>
        </w:rPr>
        <w:t>.</w:t>
      </w:r>
      <w:r w:rsidRPr="0070201F">
        <w:t xml:space="preserve"> При извършването на тази оценка Комисията действа в тясно сътрудничество със съответната държава членка.</w:t>
      </w:r>
    </w:p>
    <w:p w:rsidR="006173E9" w:rsidRPr="0070201F" w:rsidRDefault="006173E9" w:rsidP="00070543">
      <w:pPr>
        <w:suppressAutoHyphens/>
        <w:spacing w:before="120" w:after="120" w:line="360" w:lineRule="auto"/>
        <w:ind w:left="567" w:right="-1" w:hanging="567"/>
        <w:rPr>
          <w:rFonts w:eastAsia="Calibri"/>
          <w:b/>
          <w:szCs w:val="22"/>
          <w:u w:val="single"/>
        </w:rPr>
      </w:pPr>
      <w:r w:rsidRPr="0070201F">
        <w:br w:type="page"/>
      </w:r>
      <w:r w:rsidRPr="0070201F">
        <w:lastRenderedPageBreak/>
        <w:t>2.</w:t>
      </w:r>
      <w:r w:rsidRPr="0070201F">
        <w:tab/>
        <w:t xml:space="preserve">При </w:t>
      </w:r>
      <w:r w:rsidR="00070543" w:rsidRPr="0070201F">
        <w:rPr>
          <w:b/>
          <w:i/>
        </w:rPr>
        <w:t>разглеждането</w:t>
      </w:r>
      <w:r w:rsidRPr="0070201F">
        <w:t xml:space="preserve"> на проектите на националните планове за възстановяване Комисията оценява</w:t>
      </w:r>
      <w:r w:rsidR="00070543" w:rsidRPr="0070201F">
        <w:rPr>
          <w:b/>
          <w:i/>
        </w:rPr>
        <w:t xml:space="preserve"> </w:t>
      </w:r>
      <w:r w:rsidR="00070543" w:rsidRPr="0070201F">
        <w:rPr>
          <w:bCs/>
          <w:iCs/>
        </w:rPr>
        <w:t xml:space="preserve">тяхното съответствие с член 12, както и дали са подходящи за постигане на целите и задълженията, определени в членове 4—10, общите цели на Съюза, посочени в член 1, </w:t>
      </w:r>
      <w:r w:rsidR="00070543" w:rsidRPr="0070201F">
        <w:rPr>
          <w:b/>
          <w:i/>
        </w:rPr>
        <w:t>и</w:t>
      </w:r>
      <w:r w:rsidR="00070543" w:rsidRPr="0070201F">
        <w:rPr>
          <w:bCs/>
          <w:iCs/>
        </w:rPr>
        <w:t xml:space="preserve"> специфичните цели, посочени в член 7, параграф 1, за възстановяване на най-малко </w:t>
      </w:r>
      <w:r w:rsidR="00070543" w:rsidRPr="0070201F">
        <w:rPr>
          <w:b/>
          <w:i/>
        </w:rPr>
        <w:t>20</w:t>
      </w:r>
      <w:r w:rsidR="00070543" w:rsidRPr="0070201F">
        <w:rPr>
          <w:bCs/>
          <w:iCs/>
        </w:rPr>
        <w:t> </w:t>
      </w:r>
      <w:r w:rsidR="00070543" w:rsidRPr="0070201F">
        <w:rPr>
          <w:b/>
          <w:i/>
        </w:rPr>
        <w:t>000</w:t>
      </w:r>
      <w:r w:rsidR="00070543" w:rsidRPr="0070201F">
        <w:rPr>
          <w:bCs/>
          <w:iCs/>
        </w:rPr>
        <w:t xml:space="preserve"> km свободно течащи реки в Съюза до </w:t>
      </w:r>
      <w:r w:rsidR="00070543" w:rsidRPr="0070201F">
        <w:rPr>
          <w:b/>
          <w:i/>
        </w:rPr>
        <w:t>2035 г</w:t>
      </w:r>
      <w:r w:rsidR="00070543" w:rsidRPr="0070201F">
        <w:rPr>
          <w:bCs/>
          <w:iCs/>
        </w:rPr>
        <w:t xml:space="preserve">. </w:t>
      </w:r>
      <w:r w:rsidR="00070543" w:rsidRPr="0070201F">
        <w:rPr>
          <w:b/>
          <w:i/>
        </w:rPr>
        <w:t>Комисията също така разглежда социално-икономическото въздействие по-специално върху селските райони и въздействието на националния план за възстановяване по-специално върху селскостопанското и горското производство, за да се гарантира, че той няма да доведе до преместване на производства извън Съюза.</w:t>
      </w:r>
      <w:r w:rsidR="00070543" w:rsidRPr="0070201F">
        <w:rPr>
          <w:b/>
        </w:rPr>
        <w:t xml:space="preserve"> [Изм. 43]</w:t>
      </w:r>
      <w:r w:rsidRPr="0070201F">
        <w:t xml:space="preserve"> </w:t>
      </w:r>
    </w:p>
    <w:bookmarkEnd w:id="79"/>
    <w:p w:rsidR="006173E9" w:rsidRPr="0070201F" w:rsidRDefault="006173E9" w:rsidP="006173E9">
      <w:pPr>
        <w:suppressAutoHyphens/>
        <w:spacing w:before="120" w:after="120" w:line="360" w:lineRule="auto"/>
        <w:ind w:left="567" w:right="-1" w:hanging="567"/>
        <w:rPr>
          <w:rFonts w:eastAsia="Calibri"/>
          <w:szCs w:val="22"/>
        </w:rPr>
      </w:pPr>
      <w:r w:rsidRPr="0070201F">
        <w:t>3.</w:t>
      </w:r>
      <w:r w:rsidRPr="0070201F">
        <w:tab/>
        <w:t>За целите на оценката на проектите на националните планове за възстановяване Комисията се подпомага от експерти или от ЕАОС.</w:t>
      </w:r>
    </w:p>
    <w:p w:rsidR="006173E9" w:rsidRPr="0070201F" w:rsidRDefault="006173E9" w:rsidP="006173E9">
      <w:pPr>
        <w:suppressAutoHyphens/>
        <w:spacing w:before="120" w:after="120" w:line="360" w:lineRule="auto"/>
        <w:ind w:left="567" w:right="-1" w:hanging="567"/>
        <w:rPr>
          <w:rFonts w:eastAsia="Calibri"/>
          <w:szCs w:val="22"/>
        </w:rPr>
      </w:pPr>
      <w:r w:rsidRPr="0070201F">
        <w:t>4.</w:t>
      </w:r>
      <w:r w:rsidRPr="0070201F">
        <w:tab/>
        <w:t>Комисията може да отправи забележки към държавите членки в срок от шест месеца от датата на получаване на проекта на национален план за възстановяване.</w:t>
      </w:r>
    </w:p>
    <w:p w:rsidR="006173E9" w:rsidRPr="0070201F" w:rsidRDefault="006173E9" w:rsidP="006173E9">
      <w:pPr>
        <w:suppressAutoHyphens/>
        <w:spacing w:before="120" w:after="120" w:line="360" w:lineRule="auto"/>
        <w:ind w:left="567" w:right="-1" w:hanging="567"/>
        <w:rPr>
          <w:rFonts w:eastAsia="Calibri"/>
          <w:szCs w:val="22"/>
        </w:rPr>
      </w:pPr>
      <w:r w:rsidRPr="0070201F">
        <w:t>5.</w:t>
      </w:r>
      <w:r w:rsidRPr="0070201F">
        <w:tab/>
        <w:t xml:space="preserve">Държавите членки </w:t>
      </w:r>
      <w:r w:rsidRPr="0070201F">
        <w:rPr>
          <w:rFonts w:ascii="Arial" w:hAnsi="Arial"/>
          <w:snapToGrid w:val="0"/>
        </w:rPr>
        <w:t>▌</w:t>
      </w:r>
      <w:r w:rsidRPr="0070201F">
        <w:t>вземат предвид всички забележки на Комисията в окончателния си национален план за възстановяване.</w:t>
      </w:r>
    </w:p>
    <w:p w:rsidR="006173E9" w:rsidRPr="0070201F" w:rsidRDefault="006173E9" w:rsidP="006173E9">
      <w:pPr>
        <w:suppressAutoHyphens/>
        <w:spacing w:before="120" w:after="120" w:line="360" w:lineRule="auto"/>
        <w:ind w:left="567" w:right="-1" w:hanging="567"/>
        <w:rPr>
          <w:rFonts w:eastAsia="Calibri"/>
          <w:szCs w:val="22"/>
        </w:rPr>
      </w:pPr>
      <w:r w:rsidRPr="0070201F">
        <w:t>6.</w:t>
      </w:r>
      <w:r w:rsidRPr="0070201F">
        <w:tab/>
        <w:t>Държавите членки финализират, публикуват и представят на Комисията националния план за възстановяване в срок от шест месеца от датата на получаване на забележките на Комисията.</w:t>
      </w:r>
    </w:p>
    <w:p w:rsidR="00070543" w:rsidRPr="0070201F" w:rsidRDefault="00070543">
      <w:pPr>
        <w:widowControl/>
      </w:pPr>
      <w:r w:rsidRPr="0070201F">
        <w:br w:type="page"/>
      </w:r>
    </w:p>
    <w:p w:rsidR="00070543" w:rsidRPr="0070201F" w:rsidRDefault="00070543" w:rsidP="00070543">
      <w:pPr>
        <w:keepNext/>
        <w:suppressAutoHyphens/>
        <w:spacing w:before="360" w:after="120" w:line="360" w:lineRule="auto"/>
        <w:ind w:right="-1"/>
        <w:jc w:val="center"/>
        <w:outlineLvl w:val="1"/>
        <w:rPr>
          <w:b/>
          <w:bCs/>
          <w:i/>
          <w:iCs/>
        </w:rPr>
      </w:pPr>
      <w:r w:rsidRPr="0070201F">
        <w:rPr>
          <w:b/>
          <w:bCs/>
          <w:i/>
          <w:iCs/>
        </w:rPr>
        <w:lastRenderedPageBreak/>
        <w:t>Член 14а</w:t>
      </w:r>
      <w:r w:rsidRPr="0070201F">
        <w:rPr>
          <w:b/>
          <w:bCs/>
          <w:i/>
          <w:iCs/>
        </w:rPr>
        <w:br/>
        <w:t>Прилагане на мерки за възстановяване на морските екосистеми</w:t>
      </w:r>
    </w:p>
    <w:p w:rsidR="00070543" w:rsidRPr="0070201F" w:rsidRDefault="00070543" w:rsidP="0070201F">
      <w:pPr>
        <w:keepNext/>
        <w:suppressAutoHyphens/>
        <w:spacing w:before="120" w:after="120" w:line="360" w:lineRule="auto"/>
        <w:ind w:left="851" w:hanging="851"/>
        <w:outlineLvl w:val="1"/>
        <w:rPr>
          <w:b/>
          <w:bCs/>
          <w:i/>
          <w:iCs/>
        </w:rPr>
      </w:pPr>
      <w:r w:rsidRPr="0070201F">
        <w:rPr>
          <w:b/>
          <w:bCs/>
          <w:i/>
          <w:iCs/>
        </w:rPr>
        <w:t xml:space="preserve">1. </w:t>
      </w:r>
      <w:r w:rsidRPr="0070201F">
        <w:rPr>
          <w:b/>
          <w:bCs/>
          <w:i/>
          <w:iCs/>
        </w:rPr>
        <w:tab/>
        <w:t xml:space="preserve">Държавите членки, чиито национални планове за възстановяване включват мерки за опазване в рамките на общата политика в областта на рибарството, които изискват представянето на съвместни препоръки, се консултират с другите държави членки, които имат пряк управленски интерес в съответствие с член 11 и член 18 от Регламент (ЕС) № 1380/2013, и представят препоръките съвместно с другите държави членки с пряк управленски интерес: </w:t>
      </w:r>
    </w:p>
    <w:p w:rsidR="00070543" w:rsidRPr="0070201F" w:rsidRDefault="00070543" w:rsidP="0070201F">
      <w:pPr>
        <w:keepNext/>
        <w:suppressAutoHyphens/>
        <w:spacing w:before="120" w:after="120" w:line="360" w:lineRule="auto"/>
        <w:ind w:left="1418" w:hanging="567"/>
        <w:outlineLvl w:val="1"/>
        <w:rPr>
          <w:b/>
          <w:bCs/>
          <w:i/>
          <w:iCs/>
        </w:rPr>
      </w:pPr>
      <w:r w:rsidRPr="0070201F">
        <w:rPr>
          <w:b/>
          <w:bCs/>
          <w:i/>
          <w:iCs/>
        </w:rPr>
        <w:t xml:space="preserve">a) </w:t>
      </w:r>
      <w:r w:rsidRPr="0070201F">
        <w:rPr>
          <w:b/>
          <w:bCs/>
          <w:i/>
          <w:iCs/>
        </w:rPr>
        <w:tab/>
        <w:t xml:space="preserve">не по-късно от 12 месеца след окончателното представяне на техния национален план за възстановяване за мерките, свързани с член 5, параграф 3; </w:t>
      </w:r>
    </w:p>
    <w:p w:rsidR="00070543" w:rsidRPr="0070201F" w:rsidRDefault="00070543" w:rsidP="0070201F">
      <w:pPr>
        <w:keepNext/>
        <w:suppressAutoHyphens/>
        <w:spacing w:before="120" w:after="120" w:line="360" w:lineRule="auto"/>
        <w:ind w:left="1418" w:hanging="567"/>
        <w:outlineLvl w:val="1"/>
        <w:rPr>
          <w:b/>
          <w:bCs/>
          <w:i/>
          <w:iCs/>
        </w:rPr>
      </w:pPr>
      <w:r w:rsidRPr="0070201F">
        <w:rPr>
          <w:b/>
          <w:bCs/>
          <w:i/>
          <w:iCs/>
        </w:rPr>
        <w:t xml:space="preserve">б) </w:t>
      </w:r>
      <w:r w:rsidRPr="0070201F">
        <w:rPr>
          <w:b/>
          <w:bCs/>
          <w:i/>
          <w:iCs/>
        </w:rPr>
        <w:tab/>
        <w:t xml:space="preserve">не по-късно от 1 януари 2028 г. за мерките за възстановяване, които са необходими за гарантиране на целите, определени за 2030 г.; </w:t>
      </w:r>
    </w:p>
    <w:p w:rsidR="00070543" w:rsidRPr="0070201F" w:rsidRDefault="00070543" w:rsidP="0070201F">
      <w:pPr>
        <w:keepNext/>
        <w:suppressAutoHyphens/>
        <w:spacing w:before="120" w:after="120" w:line="360" w:lineRule="auto"/>
        <w:ind w:left="1418" w:hanging="567"/>
        <w:outlineLvl w:val="1"/>
        <w:rPr>
          <w:b/>
          <w:bCs/>
          <w:i/>
          <w:iCs/>
        </w:rPr>
      </w:pPr>
      <w:r w:rsidRPr="0070201F">
        <w:rPr>
          <w:b/>
          <w:bCs/>
          <w:i/>
          <w:iCs/>
        </w:rPr>
        <w:t xml:space="preserve">в) </w:t>
      </w:r>
      <w:r w:rsidRPr="0070201F">
        <w:rPr>
          <w:b/>
          <w:bCs/>
          <w:i/>
          <w:iCs/>
        </w:rPr>
        <w:tab/>
        <w:t xml:space="preserve">не по-късно от 1 януари 2036 г. за мерките за възстановяване, които са необходими за гарантиране на целите, определени за 2040 г.; </w:t>
      </w:r>
    </w:p>
    <w:p w:rsidR="00070543" w:rsidRPr="0070201F" w:rsidRDefault="00070543" w:rsidP="0070201F">
      <w:pPr>
        <w:keepNext/>
        <w:suppressAutoHyphens/>
        <w:spacing w:before="120" w:after="120" w:line="360" w:lineRule="auto"/>
        <w:ind w:left="1418" w:hanging="567"/>
        <w:outlineLvl w:val="1"/>
        <w:rPr>
          <w:b/>
          <w:bCs/>
          <w:i/>
          <w:iCs/>
        </w:rPr>
      </w:pPr>
      <w:r w:rsidRPr="0070201F">
        <w:rPr>
          <w:b/>
          <w:bCs/>
          <w:i/>
          <w:iCs/>
        </w:rPr>
        <w:t xml:space="preserve">г) </w:t>
      </w:r>
      <w:r w:rsidRPr="0070201F">
        <w:rPr>
          <w:b/>
          <w:bCs/>
          <w:i/>
          <w:iCs/>
        </w:rPr>
        <w:tab/>
        <w:t xml:space="preserve">не по-късно от 1 януари 2046 г. за мерките за възстановяване, които са необходими за гарантиране на целите, определени за 2050 г. </w:t>
      </w:r>
    </w:p>
    <w:p w:rsidR="00070543" w:rsidRPr="0070201F" w:rsidRDefault="00070543" w:rsidP="0070201F">
      <w:pPr>
        <w:keepNext/>
        <w:suppressAutoHyphens/>
        <w:spacing w:before="120" w:after="120" w:line="360" w:lineRule="auto"/>
        <w:ind w:left="851" w:hanging="851"/>
        <w:outlineLvl w:val="1"/>
        <w:rPr>
          <w:b/>
          <w:bCs/>
          <w:i/>
          <w:iCs/>
        </w:rPr>
      </w:pPr>
      <w:r w:rsidRPr="0070201F">
        <w:rPr>
          <w:b/>
          <w:bCs/>
          <w:i/>
          <w:iCs/>
        </w:rPr>
        <w:t xml:space="preserve">2. </w:t>
      </w:r>
      <w:r w:rsidRPr="0070201F">
        <w:rPr>
          <w:b/>
          <w:bCs/>
          <w:i/>
          <w:iCs/>
        </w:rPr>
        <w:tab/>
        <w:t xml:space="preserve">Комисията наблюдава напредъка по отношение на сроковете за мерките, които изискват представянето на съвместни препоръки в рамките на общата политика в областта на рибарството. </w:t>
      </w:r>
    </w:p>
    <w:p w:rsidR="00070543" w:rsidRPr="0070201F" w:rsidRDefault="00070543" w:rsidP="0070201F">
      <w:pPr>
        <w:keepNext/>
        <w:suppressAutoHyphens/>
        <w:spacing w:before="120" w:after="120" w:line="360" w:lineRule="auto"/>
        <w:ind w:left="851" w:hanging="851"/>
        <w:outlineLvl w:val="1"/>
        <w:rPr>
          <w:b/>
          <w:bCs/>
          <w:iCs/>
        </w:rPr>
      </w:pPr>
      <w:r w:rsidRPr="0070201F">
        <w:rPr>
          <w:b/>
          <w:bCs/>
          <w:i/>
          <w:iCs/>
        </w:rPr>
        <w:t xml:space="preserve">3. </w:t>
      </w:r>
      <w:r w:rsidRPr="0070201F">
        <w:rPr>
          <w:b/>
          <w:bCs/>
          <w:i/>
          <w:iCs/>
        </w:rPr>
        <w:tab/>
        <w:t xml:space="preserve">Ако държавите членки не представят своевременно съвместните препоръки, както е посочено в Регламент (ЕС) № 1380/2013, Комисията приема мерките не по-късно от 12 месеца след крайния срок за представяне на съвместната препоръка, определен в параграф 1 от настоящия член, като използва инструментите, предвидени в съответствие с член 11, параграф 4 от Регламент (ЕС) № 1380/2013, при липса на съвместна препоръка. </w:t>
      </w:r>
      <w:r w:rsidRPr="0070201F">
        <w:rPr>
          <w:b/>
          <w:bCs/>
          <w:iCs/>
        </w:rPr>
        <w:t xml:space="preserve"> [Изм. 15]</w:t>
      </w:r>
    </w:p>
    <w:p w:rsidR="006173E9" w:rsidRPr="0070201F" w:rsidRDefault="006173E9" w:rsidP="006173E9">
      <w:pPr>
        <w:keepNext/>
        <w:suppressAutoHyphens/>
        <w:spacing w:before="360" w:after="120" w:line="360" w:lineRule="auto"/>
        <w:ind w:right="-1"/>
        <w:jc w:val="center"/>
        <w:outlineLvl w:val="1"/>
        <w:rPr>
          <w:b/>
          <w:bCs/>
          <w:szCs w:val="26"/>
        </w:rPr>
      </w:pPr>
      <w:r w:rsidRPr="0070201F">
        <w:br w:type="page"/>
      </w:r>
      <w:r w:rsidRPr="0070201F">
        <w:lastRenderedPageBreak/>
        <w:t>Член 15</w:t>
      </w:r>
      <w:r w:rsidRPr="0070201F">
        <w:br/>
      </w:r>
      <w:r w:rsidRPr="0070201F">
        <w:rPr>
          <w:i/>
        </w:rPr>
        <w:t>Преразглеждане на националните планове за възстановяване</w:t>
      </w:r>
      <w:r w:rsidRPr="0070201F">
        <w:rPr>
          <w:b/>
        </w:rPr>
        <w:t xml:space="preserve"> </w:t>
      </w:r>
    </w:p>
    <w:p w:rsidR="006173E9" w:rsidRPr="0070201F" w:rsidRDefault="006173E9" w:rsidP="006173E9">
      <w:pPr>
        <w:suppressAutoHyphens/>
        <w:spacing w:before="120" w:after="120" w:line="360" w:lineRule="auto"/>
        <w:ind w:left="567" w:right="-1" w:hanging="567"/>
        <w:rPr>
          <w:rFonts w:eastAsia="Calibri"/>
          <w:szCs w:val="22"/>
        </w:rPr>
      </w:pPr>
      <w:bookmarkStart w:id="80" w:name="_Hlk130200924"/>
      <w:r w:rsidRPr="0070201F">
        <w:t>1.</w:t>
      </w:r>
      <w:r w:rsidRPr="0070201F">
        <w:tab/>
      </w:r>
      <w:bookmarkStart w:id="81" w:name="_Hlk130121139"/>
      <w:r w:rsidRPr="0070201F">
        <w:t xml:space="preserve">Държавите членки </w:t>
      </w:r>
      <w:bookmarkStart w:id="82" w:name="_Hlk129763910"/>
      <w:r w:rsidRPr="0070201F">
        <w:t xml:space="preserve">преразглеждат </w:t>
      </w:r>
      <w:r w:rsidRPr="0070201F">
        <w:rPr>
          <w:b/>
          <w:i/>
        </w:rPr>
        <w:t>и преработват</w:t>
      </w:r>
      <w:r w:rsidRPr="0070201F">
        <w:t xml:space="preserve"> своите национални планове</w:t>
      </w:r>
      <w:bookmarkEnd w:id="82"/>
      <w:r w:rsidRPr="0070201F">
        <w:t xml:space="preserve"> за възстановяване</w:t>
      </w:r>
      <w:r w:rsidRPr="0070201F">
        <w:rPr>
          <w:b/>
          <w:i/>
        </w:rPr>
        <w:t xml:space="preserve"> и включват допълнителни мерки преди юли 2032 г. и преди юли 2042 г. Най-</w:t>
      </w:r>
      <w:r w:rsidRPr="0070201F">
        <w:t>малко веднъж на всеки 10 години</w:t>
      </w:r>
      <w:r w:rsidRPr="0070201F">
        <w:rPr>
          <w:b/>
          <w:i/>
        </w:rPr>
        <w:t xml:space="preserve"> след това държавите членки преразглеждат своя национален план за възстановяване и, ако е необходимо, го преработват и включват допълнителни мерки.</w:t>
      </w:r>
      <w:r w:rsidRPr="0070201F">
        <w:t xml:space="preserve"> </w:t>
      </w:r>
      <w:r w:rsidRPr="0070201F">
        <w:rPr>
          <w:b/>
          <w:bCs/>
          <w:i/>
          <w:iCs/>
        </w:rPr>
        <w:t>Преработването се извършва</w:t>
      </w:r>
      <w:r w:rsidRPr="0070201F">
        <w:t xml:space="preserve"> в съответствие с членове 11 и 12, като </w:t>
      </w:r>
      <w:r w:rsidRPr="0070201F">
        <w:rPr>
          <w:b/>
          <w:bCs/>
          <w:i/>
          <w:iCs/>
        </w:rPr>
        <w:t>се</w:t>
      </w:r>
      <w:r w:rsidRPr="0070201F">
        <w:t xml:space="preserve"> вземат предвид постигнатият напредък в изпълнението им, най-добрите налични научни доказателства, както и наличните познания за промените или очакваните промени в условията на околната среда, дължащи се на изменението на климата.</w:t>
      </w:r>
      <w:r w:rsidRPr="0070201F">
        <w:rPr>
          <w:b/>
          <w:i/>
        </w:rPr>
        <w:t xml:space="preserve"> При преразглежданията, които трябва да се извършат преди юли 2032 г. и преди юли 2042 г., държавите членки вземат предвид знанията за състоянието на типовете местообитания, изброени в приложения I и II, придобити в съответствие със задълженията по член 4, параграф 4а и член 5, параграф 4а. </w:t>
      </w:r>
      <w:bookmarkStart w:id="83" w:name="_Hlk129597487"/>
      <w:bookmarkStart w:id="84" w:name="_Hlk130122214"/>
      <w:r w:rsidRPr="0070201F">
        <w:rPr>
          <w:b/>
          <w:bCs/>
          <w:i/>
          <w:iCs/>
        </w:rPr>
        <w:t>Държавите членки публикуват и съобщават на Комисията своите преработени национални планове за възстановяване</w:t>
      </w:r>
      <w:bookmarkEnd w:id="81"/>
      <w:bookmarkEnd w:id="83"/>
      <w:bookmarkEnd w:id="84"/>
      <w:r w:rsidRPr="0070201F">
        <w:rPr>
          <w:b/>
          <w:i/>
        </w:rPr>
        <w:t xml:space="preserve">. </w:t>
      </w:r>
    </w:p>
    <w:bookmarkEnd w:id="80"/>
    <w:p w:rsidR="006173E9" w:rsidRPr="0070201F" w:rsidRDefault="006173E9" w:rsidP="006173E9">
      <w:pPr>
        <w:suppressAutoHyphens/>
        <w:spacing w:before="120" w:after="120" w:line="360" w:lineRule="auto"/>
        <w:ind w:left="567" w:right="-1" w:hanging="567"/>
        <w:rPr>
          <w:rFonts w:eastAsia="Calibri"/>
          <w:szCs w:val="22"/>
        </w:rPr>
      </w:pPr>
      <w:r w:rsidRPr="0070201F">
        <w:t>2.</w:t>
      </w:r>
      <w:r w:rsidRPr="0070201F">
        <w:tab/>
      </w:r>
      <w:r w:rsidRPr="0070201F">
        <w:rPr>
          <w:b/>
          <w:i/>
        </w:rPr>
        <w:t>Когато от наблюдението в съответствие с член 17 стане ясно</w:t>
      </w:r>
      <w:r w:rsidRPr="0070201F">
        <w:t xml:space="preserve">, че мерките, определени в националния план за възстановяване, няма да бъдат достатъчни за постигане на целите и задълженията, определени в членове 4—10, държавата членка </w:t>
      </w:r>
      <w:r w:rsidRPr="0070201F">
        <w:rPr>
          <w:b/>
          <w:i/>
        </w:rPr>
        <w:t>преразглежда</w:t>
      </w:r>
      <w:r w:rsidRPr="0070201F">
        <w:t xml:space="preserve"> националния план за възстановяване </w:t>
      </w:r>
      <w:r w:rsidRPr="0070201F">
        <w:rPr>
          <w:b/>
          <w:i/>
        </w:rPr>
        <w:t>и ако е необходимо, го преработва</w:t>
      </w:r>
      <w:r w:rsidRPr="0070201F">
        <w:t xml:space="preserve"> и включва допълнителни мерки.</w:t>
      </w:r>
      <w:r w:rsidRPr="0070201F">
        <w:rPr>
          <w:b/>
          <w:i/>
        </w:rPr>
        <w:t xml:space="preserve"> Държавите членки публикуват и съобщават на Комисията своите преработени национални планове за възстановяване.</w:t>
      </w:r>
    </w:p>
    <w:p w:rsidR="006173E9" w:rsidRPr="0070201F" w:rsidRDefault="006173E9" w:rsidP="006173E9">
      <w:pPr>
        <w:suppressAutoHyphens/>
        <w:spacing w:before="120" w:after="120" w:line="360" w:lineRule="auto"/>
        <w:ind w:left="567" w:right="-1" w:hanging="567"/>
        <w:rPr>
          <w:b/>
          <w:i/>
        </w:rPr>
      </w:pPr>
      <w:r w:rsidRPr="0070201F">
        <w:br w:type="page"/>
      </w:r>
      <w:r w:rsidRPr="0070201F">
        <w:lastRenderedPageBreak/>
        <w:t>3.</w:t>
      </w:r>
      <w:r w:rsidRPr="0070201F">
        <w:tab/>
        <w:t>Въз основа на информацията, посочена в член 18, параграфи 1 и 2, и оценката, посочена в член 18, параграфи 4 и 5, Комисията може</w:t>
      </w:r>
      <w:r w:rsidRPr="0070201F">
        <w:rPr>
          <w:b/>
          <w:i/>
        </w:rPr>
        <w:t>, след консултация със съответната държава членка,</w:t>
      </w:r>
      <w:r w:rsidRPr="0070201F">
        <w:t xml:space="preserve"> да поиска от </w:t>
      </w:r>
      <w:r w:rsidRPr="0070201F">
        <w:rPr>
          <w:rFonts w:ascii="Arial" w:hAnsi="Arial"/>
          <w:snapToGrid w:val="0"/>
        </w:rPr>
        <w:t>▌</w:t>
      </w:r>
      <w:r w:rsidRPr="0070201F">
        <w:t xml:space="preserve">държавата членка да представи </w:t>
      </w:r>
      <w:r w:rsidRPr="0070201F">
        <w:rPr>
          <w:b/>
          <w:bCs/>
          <w:i/>
          <w:iCs/>
        </w:rPr>
        <w:t>преработен</w:t>
      </w:r>
      <w:r w:rsidRPr="0070201F">
        <w:t xml:space="preserve"> проект на национален план за възстановяване с допълнителни мерки, ако прецени, че напредъкът, реализиран от съответната държава членка, е недостатъчен за постигане на целите и задълженията, определени в членове 4—10. Този </w:t>
      </w:r>
      <w:r w:rsidRPr="0070201F">
        <w:rPr>
          <w:b/>
          <w:i/>
        </w:rPr>
        <w:t>преработен</w:t>
      </w:r>
      <w:r w:rsidRPr="0070201F">
        <w:t xml:space="preserve"> национален план за възстановяване с допълнителни мерки се публикува и представя в срок от шест месеца от датата на получаване на искането от Комисията.</w:t>
      </w:r>
      <w:r w:rsidRPr="0070201F">
        <w:rPr>
          <w:b/>
          <w:i/>
        </w:rPr>
        <w:t xml:space="preserve"> По искане на съответната държава членка и когато това е надлежно обосновано, Комисията може да удължи този срок с още шест месеца.</w:t>
      </w:r>
    </w:p>
    <w:p w:rsidR="00FE42A2" w:rsidRPr="0070201F" w:rsidRDefault="00FE42A2" w:rsidP="006173E9">
      <w:pPr>
        <w:suppressAutoHyphens/>
        <w:spacing w:before="120" w:after="120" w:line="360" w:lineRule="auto"/>
        <w:ind w:left="567" w:right="-1" w:hanging="567"/>
        <w:rPr>
          <w:rFonts w:eastAsia="Calibri"/>
          <w:i/>
          <w:szCs w:val="22"/>
        </w:rPr>
      </w:pPr>
    </w:p>
    <w:p w:rsidR="006173E9" w:rsidRPr="0070201F" w:rsidRDefault="006173E9" w:rsidP="006173E9">
      <w:pPr>
        <w:suppressAutoHyphens/>
        <w:spacing w:before="120" w:after="120" w:line="360" w:lineRule="auto"/>
        <w:ind w:left="600" w:right="-1"/>
        <w:rPr>
          <w:rFonts w:eastAsia="Calibri"/>
          <w:b/>
          <w:szCs w:val="22"/>
        </w:rPr>
      </w:pPr>
      <w:r w:rsidRPr="0070201F">
        <w:rPr>
          <w:sz w:val="22"/>
        </w:rPr>
        <w:t>▌</w:t>
      </w:r>
      <w:r w:rsidR="00FE42A2" w:rsidRPr="0070201F">
        <w:rPr>
          <w:b/>
          <w:sz w:val="22"/>
        </w:rPr>
        <w:t xml:space="preserve"> </w:t>
      </w:r>
      <w:r w:rsidR="00FE42A2" w:rsidRPr="0070201F">
        <w:rPr>
          <w:b/>
          <w:szCs w:val="24"/>
        </w:rPr>
        <w:t>[Изм. </w:t>
      </w:r>
      <w:r w:rsidR="00FE42A2" w:rsidRPr="00223ACF">
        <w:rPr>
          <w:b/>
          <w:szCs w:val="24"/>
        </w:rPr>
        <w:t>18</w:t>
      </w:r>
      <w:r w:rsidR="00FE42A2" w:rsidRPr="0070201F">
        <w:rPr>
          <w:b/>
          <w:szCs w:val="24"/>
          <w:lang w:val="en-GB"/>
        </w:rPr>
        <w:t>cp</w:t>
      </w:r>
      <w:r w:rsidR="00FE42A2" w:rsidRPr="00223ACF">
        <w:rPr>
          <w:b/>
          <w:szCs w:val="24"/>
        </w:rPr>
        <w:t xml:space="preserve"> </w:t>
      </w:r>
      <w:r w:rsidR="00FE42A2" w:rsidRPr="0070201F">
        <w:rPr>
          <w:b/>
          <w:szCs w:val="24"/>
        </w:rPr>
        <w:t>и</w:t>
      </w:r>
      <w:r w:rsidR="00FE42A2" w:rsidRPr="00223ACF">
        <w:rPr>
          <w:b/>
          <w:szCs w:val="24"/>
        </w:rPr>
        <w:t xml:space="preserve"> 44</w:t>
      </w:r>
      <w:r w:rsidR="00FE42A2" w:rsidRPr="0070201F">
        <w:rPr>
          <w:b/>
          <w:szCs w:val="24"/>
        </w:rPr>
        <w:t>]</w:t>
      </w:r>
    </w:p>
    <w:p w:rsidR="006173E9" w:rsidRPr="0070201F" w:rsidRDefault="006173E9" w:rsidP="006173E9">
      <w:pPr>
        <w:keepNext/>
        <w:suppressAutoHyphens/>
        <w:spacing w:before="360" w:after="360" w:line="360" w:lineRule="auto"/>
        <w:jc w:val="center"/>
        <w:outlineLvl w:val="0"/>
        <w:rPr>
          <w:b/>
          <w:bCs/>
          <w:smallCaps/>
          <w:sz w:val="32"/>
          <w:szCs w:val="28"/>
        </w:rPr>
      </w:pPr>
      <w:r w:rsidRPr="0070201F">
        <w:rPr>
          <w:b/>
          <w:smallCaps/>
          <w:sz w:val="32"/>
        </w:rPr>
        <w:t>ГЛАВА IV</w:t>
      </w:r>
      <w:r w:rsidRPr="0070201F">
        <w:rPr>
          <w:b/>
          <w:smallCaps/>
          <w:sz w:val="32"/>
        </w:rPr>
        <w:br/>
        <w:t>НАБЛЮДЕНИЕ И ДОКЛАДВАНЕ</w:t>
      </w:r>
    </w:p>
    <w:p w:rsidR="006173E9" w:rsidRPr="0070201F" w:rsidRDefault="006173E9" w:rsidP="006173E9">
      <w:pPr>
        <w:keepNext/>
        <w:suppressAutoHyphens/>
        <w:spacing w:before="360" w:after="120" w:line="360" w:lineRule="auto"/>
        <w:ind w:right="-1"/>
        <w:jc w:val="center"/>
        <w:outlineLvl w:val="1"/>
        <w:rPr>
          <w:bCs/>
          <w:i/>
          <w:szCs w:val="26"/>
        </w:rPr>
      </w:pPr>
      <w:r w:rsidRPr="0070201F">
        <w:t>Член 17</w:t>
      </w:r>
      <w:r w:rsidRPr="0070201F">
        <w:br/>
      </w:r>
      <w:r w:rsidRPr="0070201F">
        <w:rPr>
          <w:i/>
        </w:rPr>
        <w:t>Наблюдение</w:t>
      </w:r>
    </w:p>
    <w:p w:rsidR="006173E9" w:rsidRPr="0070201F" w:rsidRDefault="006173E9" w:rsidP="006173E9">
      <w:pPr>
        <w:suppressAutoHyphens/>
        <w:spacing w:before="120" w:after="120" w:line="360" w:lineRule="auto"/>
        <w:ind w:left="567" w:right="-1" w:hanging="567"/>
        <w:rPr>
          <w:rFonts w:eastAsia="Calibri"/>
          <w:szCs w:val="22"/>
        </w:rPr>
      </w:pPr>
      <w:r w:rsidRPr="0070201F">
        <w:t>1.</w:t>
      </w:r>
      <w:r w:rsidRPr="0070201F">
        <w:tab/>
        <w:t>Държавите членки извършват наблюдение на следното:</w:t>
      </w:r>
    </w:p>
    <w:p w:rsidR="006173E9" w:rsidRPr="0070201F" w:rsidRDefault="006173E9" w:rsidP="006173E9">
      <w:pPr>
        <w:suppressAutoHyphens/>
        <w:spacing w:before="120" w:after="120" w:line="360" w:lineRule="auto"/>
        <w:ind w:left="1134" w:right="-1" w:hanging="567"/>
        <w:rPr>
          <w:szCs w:val="22"/>
        </w:rPr>
      </w:pPr>
      <w:r w:rsidRPr="0070201F">
        <w:t>a)</w:t>
      </w:r>
      <w:r w:rsidRPr="0070201F">
        <w:tab/>
        <w:t>състоянието и тенденцията в състоянието на типовете местообитания, както и качеството и тенденцията в качеството на местообитанията на видовете, посочени в членове 4 и 5, в зоните, които подлежат на мерки за възстановяване, въз основа на наблюдението, посочено в член 12, параграф 2, буква з);</w:t>
      </w:r>
    </w:p>
    <w:p w:rsidR="006173E9" w:rsidRPr="0070201F" w:rsidRDefault="006173E9" w:rsidP="006173E9">
      <w:pPr>
        <w:suppressAutoHyphens/>
        <w:spacing w:before="120" w:after="120" w:line="360" w:lineRule="auto"/>
        <w:ind w:left="1134" w:right="-1" w:hanging="567"/>
        <w:rPr>
          <w:szCs w:val="22"/>
        </w:rPr>
      </w:pPr>
      <w:r w:rsidRPr="0070201F">
        <w:t>б)</w:t>
      </w:r>
      <w:r w:rsidRPr="0070201F">
        <w:tab/>
        <w:t xml:space="preserve">площта на градското зелено пространство и покритието на дървесните корони </w:t>
      </w:r>
      <w:r w:rsidRPr="0070201F">
        <w:rPr>
          <w:b/>
          <w:bCs/>
          <w:i/>
          <w:iCs/>
        </w:rPr>
        <w:t>в градските зони в рамките на градските екосистемни зони, определени в съответствие с член 11, параграф 2б</w:t>
      </w:r>
      <w:r w:rsidRPr="0070201F">
        <w:t>, както е посочено в член 6;</w:t>
      </w:r>
    </w:p>
    <w:p w:rsidR="006173E9" w:rsidRPr="0070201F" w:rsidRDefault="006173E9" w:rsidP="006173E9">
      <w:pPr>
        <w:suppressAutoHyphens/>
        <w:spacing w:before="120" w:after="120" w:line="360" w:lineRule="auto"/>
        <w:ind w:left="1134" w:right="-1" w:hanging="567"/>
        <w:rPr>
          <w:szCs w:val="22"/>
        </w:rPr>
      </w:pPr>
      <w:r w:rsidRPr="0070201F">
        <w:t>в)</w:t>
      </w:r>
      <w:r w:rsidRPr="0070201F">
        <w:tab/>
        <w:t>показателите за биологично разнообразие в селскостопанските екосистеми, изброени в приложение IV;</w:t>
      </w:r>
    </w:p>
    <w:p w:rsidR="006173E9" w:rsidRPr="0070201F" w:rsidRDefault="006173E9" w:rsidP="006173E9">
      <w:pPr>
        <w:suppressAutoHyphens/>
        <w:spacing w:before="120" w:after="120" w:line="360" w:lineRule="auto"/>
        <w:ind w:left="1134" w:right="-1" w:hanging="567"/>
        <w:rPr>
          <w:rFonts w:eastAsia="Calibri"/>
          <w:szCs w:val="22"/>
        </w:rPr>
      </w:pPr>
      <w:r w:rsidRPr="0070201F">
        <w:t>г)</w:t>
      </w:r>
      <w:r w:rsidRPr="0070201F">
        <w:tab/>
        <w:t>популациите на изброените в приложение V обикновени видове птици, живеещи върху земеделски земи;</w:t>
      </w:r>
    </w:p>
    <w:p w:rsidR="006173E9" w:rsidRPr="0070201F" w:rsidRDefault="006173E9" w:rsidP="006173E9">
      <w:pPr>
        <w:suppressAutoHyphens/>
        <w:spacing w:before="120" w:after="120" w:line="360" w:lineRule="auto"/>
        <w:ind w:left="1134" w:right="-1" w:hanging="567"/>
        <w:rPr>
          <w:rFonts w:eastAsia="Calibri"/>
          <w:b/>
          <w:szCs w:val="22"/>
          <w:u w:val="single"/>
        </w:rPr>
      </w:pPr>
      <w:r w:rsidRPr="0070201F">
        <w:t>д)</w:t>
      </w:r>
      <w:r w:rsidRPr="0070201F">
        <w:tab/>
      </w:r>
      <w:r w:rsidRPr="0070201F">
        <w:rPr>
          <w:b/>
          <w:i/>
        </w:rPr>
        <w:t>трите</w:t>
      </w:r>
      <w:r w:rsidRPr="0070201F">
        <w:t xml:space="preserve"> показателя за биологично разнообразие в горските екосистеми, изброени в </w:t>
      </w:r>
      <w:r w:rsidRPr="0070201F">
        <w:rPr>
          <w:b/>
          <w:i/>
        </w:rPr>
        <w:t>член 10, параграф 2</w:t>
      </w:r>
      <w:r w:rsidRPr="0070201F">
        <w:t>;</w:t>
      </w:r>
    </w:p>
    <w:p w:rsidR="006173E9" w:rsidRPr="0070201F" w:rsidRDefault="006173E9" w:rsidP="006173E9">
      <w:pPr>
        <w:suppressAutoHyphens/>
        <w:spacing w:before="120" w:after="120" w:line="360" w:lineRule="auto"/>
        <w:ind w:left="1134" w:right="-1" w:hanging="567"/>
        <w:rPr>
          <w:rFonts w:eastAsia="Calibri"/>
          <w:b/>
          <w:i/>
          <w:szCs w:val="22"/>
        </w:rPr>
      </w:pPr>
      <w:r w:rsidRPr="0070201F">
        <w:br w:type="page"/>
      </w:r>
      <w:r w:rsidRPr="0070201F">
        <w:rPr>
          <w:b/>
          <w:i/>
        </w:rPr>
        <w:lastRenderedPageBreak/>
        <w:t>да)</w:t>
      </w:r>
      <w:r w:rsidRPr="0070201F">
        <w:rPr>
          <w:b/>
          <w:i/>
        </w:rPr>
        <w:tab/>
        <w:t>три от показателите за биологично разнообразие в горските екосистеми, изброени в член 10, параграф 2а, избрани от държавата членка;</w:t>
      </w:r>
    </w:p>
    <w:p w:rsidR="006173E9" w:rsidRPr="0070201F" w:rsidRDefault="006173E9" w:rsidP="006173E9">
      <w:pPr>
        <w:suppressAutoHyphens/>
        <w:spacing w:before="120" w:after="120" w:line="360" w:lineRule="auto"/>
        <w:ind w:left="1134" w:right="-1" w:hanging="567"/>
        <w:rPr>
          <w:szCs w:val="22"/>
        </w:rPr>
      </w:pPr>
      <w:r w:rsidRPr="0070201F">
        <w:t>е)</w:t>
      </w:r>
      <w:r w:rsidRPr="0070201F">
        <w:tab/>
        <w:t>изобилието и разнообразието на видовете опрашители, като се използва методът, установен в съответствие с член 8, параграф 2;</w:t>
      </w:r>
    </w:p>
    <w:p w:rsidR="006173E9" w:rsidRPr="0070201F" w:rsidRDefault="006173E9" w:rsidP="006173E9">
      <w:pPr>
        <w:suppressAutoHyphens/>
        <w:spacing w:before="120" w:after="120" w:line="360" w:lineRule="auto"/>
        <w:ind w:left="1134" w:right="-1" w:hanging="567"/>
        <w:rPr>
          <w:rFonts w:eastAsia="Calibri"/>
          <w:szCs w:val="22"/>
        </w:rPr>
      </w:pPr>
      <w:r w:rsidRPr="0070201F">
        <w:t>ж)</w:t>
      </w:r>
      <w:r w:rsidRPr="0070201F">
        <w:tab/>
        <w:t>площта и състоянието на зоните, обхванати от типовете местообитания, изброени в приложения I и II</w:t>
      </w:r>
      <w:r w:rsidRPr="0070201F">
        <w:rPr>
          <w:rFonts w:ascii="Arial" w:hAnsi="Arial"/>
          <w:snapToGrid w:val="0"/>
        </w:rPr>
        <w:t>▌</w:t>
      </w:r>
      <w:r w:rsidRPr="0070201F">
        <w:t>;</w:t>
      </w:r>
    </w:p>
    <w:p w:rsidR="006173E9" w:rsidRPr="0070201F" w:rsidRDefault="006173E9" w:rsidP="006173E9">
      <w:pPr>
        <w:suppressAutoHyphens/>
        <w:spacing w:before="120" w:after="120" w:line="360" w:lineRule="auto"/>
        <w:ind w:left="1134" w:right="-1" w:hanging="567"/>
        <w:rPr>
          <w:rFonts w:eastAsia="Calibri"/>
          <w:szCs w:val="22"/>
        </w:rPr>
      </w:pPr>
      <w:r w:rsidRPr="0070201F">
        <w:t>з)</w:t>
      </w:r>
      <w:r w:rsidRPr="0070201F">
        <w:tab/>
        <w:t>площта и качеството на местообитанията на видовете, посочени в член 4, параграф 3 и член 5, параграф 3</w:t>
      </w:r>
      <w:r w:rsidRPr="0070201F">
        <w:rPr>
          <w:rFonts w:ascii="Arial" w:hAnsi="Arial"/>
          <w:snapToGrid w:val="0"/>
        </w:rPr>
        <w:t xml:space="preserve"> ▌</w:t>
      </w:r>
      <w:r w:rsidRPr="0070201F">
        <w:t>.</w:t>
      </w:r>
    </w:p>
    <w:p w:rsidR="006173E9" w:rsidRPr="0070201F" w:rsidRDefault="006173E9" w:rsidP="006173E9">
      <w:pPr>
        <w:suppressAutoHyphens/>
        <w:spacing w:before="120" w:after="120" w:line="360" w:lineRule="auto"/>
        <w:ind w:left="567" w:right="-1" w:hanging="567"/>
        <w:rPr>
          <w:rFonts w:eastAsia="Calibri"/>
          <w:szCs w:val="22"/>
        </w:rPr>
      </w:pPr>
      <w:r w:rsidRPr="0070201F">
        <w:t>2.</w:t>
      </w:r>
      <w:r w:rsidRPr="0070201F">
        <w:tab/>
        <w:t>Наблюдението съгласно параграф 1, буква а) започва да се извършва веднага след въвеждането на мерките за възстановяване.</w:t>
      </w:r>
    </w:p>
    <w:p w:rsidR="006173E9" w:rsidRPr="0070201F" w:rsidRDefault="006173E9" w:rsidP="006173E9">
      <w:pPr>
        <w:suppressAutoHyphens/>
        <w:spacing w:before="120" w:after="120" w:line="360" w:lineRule="auto"/>
        <w:ind w:left="567" w:right="-1" w:hanging="567"/>
        <w:rPr>
          <w:rFonts w:eastAsia="Calibri"/>
          <w:szCs w:val="22"/>
        </w:rPr>
      </w:pPr>
      <w:r w:rsidRPr="0070201F">
        <w:t>3.</w:t>
      </w:r>
      <w:r w:rsidRPr="0070201F">
        <w:tab/>
        <w:t xml:space="preserve">Наблюдението съгласно параграф 1, букви б), в), г) и д) </w:t>
      </w:r>
      <w:r w:rsidRPr="0070201F">
        <w:rPr>
          <w:b/>
          <w:i/>
        </w:rPr>
        <w:t>и да)</w:t>
      </w:r>
      <w:r w:rsidRPr="0070201F">
        <w:t xml:space="preserve"> започва да се извършва на </w:t>
      </w:r>
      <w:r w:rsidRPr="0070201F">
        <w:rPr>
          <w:i/>
          <w:iCs/>
        </w:rPr>
        <w:t>[Служба за публикации: моля, въведете датата на влизане в сила на настоящия регламент]</w:t>
      </w:r>
      <w:r w:rsidRPr="0070201F">
        <w:t>.</w:t>
      </w:r>
    </w:p>
    <w:p w:rsidR="006173E9" w:rsidRPr="0070201F" w:rsidRDefault="006173E9" w:rsidP="006173E9">
      <w:pPr>
        <w:suppressAutoHyphens/>
        <w:spacing w:before="120" w:after="120" w:line="360" w:lineRule="auto"/>
        <w:ind w:left="567" w:right="-1" w:hanging="567"/>
        <w:rPr>
          <w:rFonts w:eastAsia="Calibri"/>
          <w:szCs w:val="22"/>
        </w:rPr>
      </w:pPr>
      <w:r w:rsidRPr="0070201F">
        <w:t>4.</w:t>
      </w:r>
      <w:r w:rsidRPr="0070201F">
        <w:tab/>
        <w:t>Наблюдението съгласно параграф 1, буква е) от настоящия член започва една година след влизането в сила на акта за изпълнение, посочен в член 8, параграф 2.</w:t>
      </w:r>
    </w:p>
    <w:p w:rsidR="006173E9" w:rsidRPr="0070201F" w:rsidRDefault="006173E9" w:rsidP="006173E9">
      <w:pPr>
        <w:suppressAutoHyphens/>
        <w:spacing w:before="120" w:after="120" w:line="360" w:lineRule="auto"/>
        <w:ind w:left="567" w:right="-1" w:hanging="567"/>
        <w:rPr>
          <w:rFonts w:eastAsia="Calibri"/>
          <w:b/>
          <w:bCs/>
          <w:szCs w:val="22"/>
          <w:u w:val="single"/>
        </w:rPr>
      </w:pPr>
      <w:r w:rsidRPr="0070201F">
        <w:br w:type="page"/>
      </w:r>
      <w:r w:rsidRPr="0070201F">
        <w:lastRenderedPageBreak/>
        <w:t>5.</w:t>
      </w:r>
      <w:r w:rsidRPr="0070201F">
        <w:tab/>
        <w:t xml:space="preserve">Наблюдението съгласно параграф 1, букви а) </w:t>
      </w:r>
      <w:r w:rsidRPr="0070201F">
        <w:rPr>
          <w:b/>
          <w:bCs/>
          <w:i/>
          <w:iCs/>
        </w:rPr>
        <w:t>и б) се извършва най-малко на всеки шест години.</w:t>
      </w:r>
      <w:r w:rsidRPr="0070201F">
        <w:rPr>
          <w:b/>
          <w:i/>
        </w:rPr>
        <w:t xml:space="preserve"> </w:t>
      </w:r>
      <w:r w:rsidRPr="0070201F">
        <w:rPr>
          <w:b/>
          <w:bCs/>
          <w:i/>
          <w:iCs/>
        </w:rPr>
        <w:t>Наблюдението съгласно параграф 1, буква [...]в)</w:t>
      </w:r>
      <w:r w:rsidRPr="0070201F">
        <w:t xml:space="preserve"> </w:t>
      </w:r>
      <w:r w:rsidRPr="0070201F">
        <w:rPr>
          <w:rFonts w:ascii="Arial" w:hAnsi="Arial"/>
          <w:snapToGrid w:val="0"/>
        </w:rPr>
        <w:t>▌</w:t>
      </w:r>
      <w:r w:rsidRPr="0070201F">
        <w:t xml:space="preserve"> по отношение на запасите от органичен въглерод в обработваемите минерални почви и дела на земеделската земя с голямо разнообразие в характеристиките на ландшафта, както и буква д) по отношение на стоящата мъртва дървесина </w:t>
      </w:r>
      <w:r w:rsidRPr="0070201F">
        <w:rPr>
          <w:b/>
          <w:i/>
        </w:rPr>
        <w:t>и</w:t>
      </w:r>
      <w:r w:rsidRPr="0070201F">
        <w:t xml:space="preserve"> падналата мъртва дървесина, </w:t>
      </w:r>
      <w:r w:rsidRPr="0070201F">
        <w:rPr>
          <w:b/>
          <w:i/>
        </w:rPr>
        <w:t>и когато е приложимо,</w:t>
      </w:r>
      <w:r w:rsidRPr="0070201F">
        <w:t xml:space="preserve"> дела на горите с неравномерна възрастова структура, свързаността на горите</w:t>
      </w:r>
      <w:r w:rsidRPr="0070201F">
        <w:rPr>
          <w:b/>
          <w:i/>
        </w:rPr>
        <w:t>, дела на горите, в които преобладават местните дървесни видове, разнообразието на дървесините видове</w:t>
      </w:r>
      <w:r w:rsidRPr="0070201F">
        <w:t xml:space="preserve"> и запасите от органичен въглерод се извършва най-малко на всеки </w:t>
      </w:r>
      <w:r w:rsidRPr="0070201F">
        <w:rPr>
          <w:b/>
          <w:i/>
        </w:rPr>
        <w:t>шест</w:t>
      </w:r>
      <w:r w:rsidRPr="0070201F">
        <w:t xml:space="preserve"> години </w:t>
      </w:r>
      <w:r w:rsidRPr="0070201F">
        <w:rPr>
          <w:b/>
          <w:i/>
        </w:rPr>
        <w:t>или, когато е необходимо, за да се оцени постигането на тенденция на нарастване до 2030 г. — на по-малък интервал</w:t>
      </w:r>
      <w:r w:rsidRPr="0070201F">
        <w:t xml:space="preserve">. Наблюдението съгласно </w:t>
      </w:r>
      <w:bookmarkStart w:id="85" w:name="_Hlk133507155"/>
      <w:r w:rsidRPr="0070201F">
        <w:t>същия параграф, буква в) по отношение на индекса на полските пеперуди, същия параграф, букви г) и д) по отношение на индекса на обикновените горски птици и същия параграф, буква е) по отношение на видовете опрашители</w:t>
      </w:r>
      <w:bookmarkEnd w:id="85"/>
      <w:r w:rsidRPr="0070201F">
        <w:t xml:space="preserve"> се извършва всяка година. Наблюдението съгласно букви ж) и з) от същия параграф се извършва най-малко на всеки шест години и се съгласува с цикъла на докладване съгласно член 17 от Директива 92/43/ЕИО</w:t>
      </w:r>
      <w:r w:rsidRPr="0070201F">
        <w:rPr>
          <w:b/>
          <w:i/>
        </w:rPr>
        <w:t xml:space="preserve"> и първоначалната оценка съгласно член 17 от Директива </w:t>
      </w:r>
      <w:r w:rsidR="00241A11" w:rsidRPr="00241A11">
        <w:rPr>
          <w:b/>
          <w:i/>
        </w:rPr>
        <w:t>2008/56</w:t>
      </w:r>
      <w:r w:rsidRPr="0070201F">
        <w:rPr>
          <w:b/>
          <w:i/>
        </w:rPr>
        <w:t>/ЕО.</w:t>
      </w:r>
    </w:p>
    <w:p w:rsidR="006173E9" w:rsidRPr="0070201F" w:rsidRDefault="006173E9" w:rsidP="006173E9">
      <w:pPr>
        <w:suppressAutoHyphens/>
        <w:spacing w:before="120" w:after="120" w:line="360" w:lineRule="auto"/>
        <w:ind w:left="567" w:right="-1" w:hanging="567"/>
        <w:rPr>
          <w:rFonts w:eastAsia="Calibri"/>
          <w:b/>
          <w:szCs w:val="22"/>
          <w:u w:val="single"/>
        </w:rPr>
      </w:pPr>
      <w:r w:rsidRPr="0070201F">
        <w:t>6.</w:t>
      </w:r>
      <w:r w:rsidRPr="0070201F">
        <w:tab/>
        <w:t xml:space="preserve">Държавите членки гарантират, че показателите за селскостопанските екосистеми, посочени в член 9, параграф 2, буква б), и показателите за горските екосистеми, посочени в член 10, параграф 2, букви а) и б) и </w:t>
      </w:r>
      <w:r w:rsidRPr="0070201F">
        <w:rPr>
          <w:b/>
          <w:i/>
        </w:rPr>
        <w:t>член 10, параграф 2а, буква в)</w:t>
      </w:r>
      <w:r w:rsidRPr="0070201F">
        <w:t xml:space="preserve"> от настоящия регламент, се наблюдават по начин, който е в съответствие с наблюдението, изисквано съгласно регламенти (ЕС) 2018/841 и (ЕС) 2018/1999.</w:t>
      </w:r>
    </w:p>
    <w:p w:rsidR="006173E9" w:rsidRPr="0070201F" w:rsidRDefault="006173E9" w:rsidP="006173E9">
      <w:pPr>
        <w:suppressAutoHyphens/>
        <w:spacing w:before="120" w:after="120" w:line="360" w:lineRule="auto"/>
        <w:ind w:left="567" w:right="-1" w:hanging="567"/>
        <w:rPr>
          <w:rFonts w:eastAsia="Calibri"/>
          <w:szCs w:val="22"/>
        </w:rPr>
      </w:pPr>
      <w:r w:rsidRPr="0070201F">
        <w:t>7.</w:t>
      </w:r>
      <w:r w:rsidRPr="0070201F">
        <w:tab/>
        <w:t>Държавите членки оповестяват публично данните, получени в резултат на наблюдението, извършено съгласно настоящия член, в съответствие с Директива № 2007/2/ЕО и в съответствие с честотата за наблюдение, посочена в параграф 5.</w:t>
      </w:r>
    </w:p>
    <w:p w:rsidR="006173E9" w:rsidRPr="0070201F" w:rsidRDefault="006173E9" w:rsidP="006173E9">
      <w:pPr>
        <w:suppressAutoHyphens/>
        <w:spacing w:before="120" w:after="120" w:line="360" w:lineRule="auto"/>
        <w:ind w:left="567" w:right="-1" w:hanging="567"/>
        <w:rPr>
          <w:rFonts w:eastAsia="Calibri"/>
          <w:szCs w:val="22"/>
        </w:rPr>
      </w:pPr>
      <w:r w:rsidRPr="0070201F">
        <w:br w:type="page"/>
      </w:r>
      <w:r w:rsidRPr="0070201F">
        <w:lastRenderedPageBreak/>
        <w:t>8.</w:t>
      </w:r>
      <w:r w:rsidRPr="0070201F">
        <w:tab/>
        <w:t>Системите за наблюдение на държавите членки функционират въз основа на електронни бази данни и географски информационни системи и в тях максимално се увеличават достъпът и използването на данни и услуги от технологии за дистанционно наблюдение, услуги за наблюдение на Земята (услуги на „Коперник“), in situ датчици и устройства или данни от гражданската наука, като се използват възможностите, предлагани от изкуствения интелект, усъвършенствания анализ и обработка на данните.</w:t>
      </w:r>
    </w:p>
    <w:p w:rsidR="006173E9" w:rsidRPr="0070201F" w:rsidRDefault="006173E9" w:rsidP="006173E9">
      <w:pPr>
        <w:suppressAutoHyphens/>
        <w:spacing w:before="120" w:after="120" w:line="360" w:lineRule="auto"/>
        <w:ind w:left="567" w:right="-1" w:hanging="567"/>
        <w:rPr>
          <w:rFonts w:eastAsia="Calibri"/>
          <w:szCs w:val="22"/>
        </w:rPr>
      </w:pPr>
      <w:r w:rsidRPr="0070201F">
        <w:t>9.</w:t>
      </w:r>
      <w:r w:rsidRPr="0070201F">
        <w:tab/>
        <w:t>Комисията може да приема актове за изпълнение, за да:</w:t>
      </w:r>
    </w:p>
    <w:p w:rsidR="006173E9" w:rsidRPr="0070201F" w:rsidRDefault="006173E9" w:rsidP="006173E9">
      <w:pPr>
        <w:suppressAutoHyphens/>
        <w:spacing w:before="120" w:after="120" w:line="360" w:lineRule="auto"/>
        <w:ind w:left="1134" w:right="-1" w:hanging="567"/>
        <w:rPr>
          <w:rFonts w:eastAsia="Calibri"/>
          <w:szCs w:val="22"/>
        </w:rPr>
      </w:pPr>
      <w:r w:rsidRPr="0070201F">
        <w:t>a)</w:t>
      </w:r>
      <w:r w:rsidRPr="0070201F">
        <w:tab/>
        <w:t>определи методите за наблюдение на показателите за селскостопанските екосистеми, изброени в приложение IV;</w:t>
      </w:r>
    </w:p>
    <w:p w:rsidR="006173E9" w:rsidRPr="0070201F" w:rsidRDefault="006173E9" w:rsidP="006173E9">
      <w:pPr>
        <w:suppressAutoHyphens/>
        <w:spacing w:before="120" w:after="120" w:line="360" w:lineRule="auto"/>
        <w:ind w:left="1134" w:right="-1" w:hanging="567"/>
        <w:rPr>
          <w:rFonts w:eastAsia="Calibri"/>
          <w:b/>
          <w:bCs/>
          <w:szCs w:val="22"/>
          <w:u w:val="single"/>
        </w:rPr>
      </w:pPr>
      <w:r w:rsidRPr="0070201F">
        <w:t>б)</w:t>
      </w:r>
      <w:r w:rsidRPr="0070201F">
        <w:tab/>
        <w:t>определи методите за наблюдение на показателите за горските екосистеми, изброени в приложение VI;</w:t>
      </w:r>
    </w:p>
    <w:p w:rsidR="006173E9" w:rsidRPr="0070201F" w:rsidRDefault="006173E9" w:rsidP="006173E9">
      <w:pPr>
        <w:suppressAutoHyphens/>
        <w:spacing w:before="120" w:after="120" w:line="360" w:lineRule="auto"/>
        <w:ind w:left="1134" w:right="-1" w:hanging="567"/>
        <w:rPr>
          <w:rFonts w:eastAsia="Calibri"/>
          <w:b/>
          <w:bCs/>
          <w:szCs w:val="22"/>
          <w:u w:val="single"/>
        </w:rPr>
      </w:pPr>
      <w:r w:rsidRPr="0070201F">
        <w:t>в)</w:t>
      </w:r>
      <w:r w:rsidRPr="0070201F">
        <w:tab/>
      </w:r>
      <w:r w:rsidRPr="0070201F">
        <w:rPr>
          <w:b/>
          <w:i/>
        </w:rPr>
        <w:t>създаде ръководна</w:t>
      </w:r>
      <w:r w:rsidRPr="0070201F">
        <w:t xml:space="preserve"> рамка за определяне на задоволителните нива, посочени в член </w:t>
      </w:r>
      <w:r w:rsidRPr="0070201F">
        <w:rPr>
          <w:b/>
          <w:bCs/>
          <w:i/>
          <w:iCs/>
        </w:rPr>
        <w:t>10, параграф 2 и член 10, параграф 2а</w:t>
      </w:r>
      <w:r w:rsidRPr="0070201F">
        <w:t>.</w:t>
      </w:r>
    </w:p>
    <w:p w:rsidR="006173E9" w:rsidRPr="0070201F" w:rsidRDefault="006173E9" w:rsidP="006173E9">
      <w:pPr>
        <w:suppressAutoHyphens/>
        <w:spacing w:before="120" w:after="120" w:line="360" w:lineRule="auto"/>
        <w:ind w:left="567" w:right="-1" w:hanging="567"/>
        <w:rPr>
          <w:rFonts w:eastAsia="Calibri"/>
          <w:b/>
          <w:bCs/>
          <w:i/>
          <w:szCs w:val="22"/>
        </w:rPr>
      </w:pPr>
      <w:r w:rsidRPr="0070201F">
        <w:rPr>
          <w:b/>
          <w:i/>
        </w:rPr>
        <w:t>9а.</w:t>
      </w:r>
      <w:r w:rsidRPr="0070201F">
        <w:rPr>
          <w:b/>
          <w:i/>
        </w:rPr>
        <w:tab/>
        <w:t>До 2028 г. Комисията приема актове за изпълнение за създаване на ръководна рамка за определяне на задоволителните нива, посочени в член 6, параграфи 2 и 3, член 8, параграф 1 и член 9, параграф 2.</w:t>
      </w:r>
    </w:p>
    <w:p w:rsidR="006173E9" w:rsidRPr="0070201F" w:rsidRDefault="006173E9" w:rsidP="006173E9">
      <w:pPr>
        <w:suppressAutoHyphens/>
        <w:spacing w:before="120" w:after="120" w:line="360" w:lineRule="auto"/>
        <w:ind w:left="567" w:right="-1" w:hanging="567"/>
        <w:rPr>
          <w:rFonts w:eastAsia="Calibri"/>
          <w:szCs w:val="22"/>
        </w:rPr>
      </w:pPr>
      <w:r w:rsidRPr="0070201F">
        <w:rPr>
          <w:b/>
          <w:i/>
        </w:rPr>
        <w:t>9б.</w:t>
      </w:r>
      <w:r w:rsidRPr="0070201F">
        <w:tab/>
      </w:r>
      <w:r w:rsidRPr="0070201F">
        <w:rPr>
          <w:rFonts w:ascii="Arial" w:hAnsi="Arial"/>
          <w:snapToGrid w:val="0"/>
        </w:rPr>
        <w:t>▌</w:t>
      </w:r>
      <w:r w:rsidRPr="0070201F">
        <w:t xml:space="preserve">Актовете за изпълнение </w:t>
      </w:r>
      <w:r w:rsidRPr="0070201F">
        <w:rPr>
          <w:b/>
          <w:i/>
        </w:rPr>
        <w:t>съгласно параграфи 9 и 9а</w:t>
      </w:r>
      <w:r w:rsidRPr="0070201F">
        <w:t xml:space="preserve"> се приемат в съответствие с процедурата по разглеждане, посочена в член 21, параграф 2.</w:t>
      </w:r>
    </w:p>
    <w:p w:rsidR="006173E9" w:rsidRPr="0070201F" w:rsidRDefault="006173E9" w:rsidP="006173E9">
      <w:r w:rsidRPr="0070201F">
        <w:br w:type="page"/>
      </w:r>
    </w:p>
    <w:p w:rsidR="006173E9" w:rsidRPr="0070201F" w:rsidRDefault="006173E9" w:rsidP="006173E9">
      <w:pPr>
        <w:keepNext/>
        <w:suppressAutoHyphens/>
        <w:spacing w:before="360" w:after="120" w:line="360" w:lineRule="auto"/>
        <w:ind w:right="-1"/>
        <w:jc w:val="center"/>
        <w:outlineLvl w:val="1"/>
        <w:rPr>
          <w:b/>
          <w:bCs/>
          <w:szCs w:val="26"/>
        </w:rPr>
      </w:pPr>
      <w:r w:rsidRPr="0070201F">
        <w:lastRenderedPageBreak/>
        <w:t>Член 18</w:t>
      </w:r>
      <w:r w:rsidRPr="0070201F">
        <w:rPr>
          <w:b/>
        </w:rPr>
        <w:br/>
      </w:r>
      <w:r w:rsidRPr="0070201F">
        <w:rPr>
          <w:i/>
        </w:rPr>
        <w:t>Докладване</w:t>
      </w:r>
      <w:r w:rsidRPr="0070201F">
        <w:rPr>
          <w:b/>
        </w:rPr>
        <w:t xml:space="preserve"> </w:t>
      </w:r>
    </w:p>
    <w:p w:rsidR="006173E9" w:rsidRPr="0070201F" w:rsidRDefault="006173E9" w:rsidP="006173E9">
      <w:pPr>
        <w:suppressAutoHyphens/>
        <w:spacing w:before="120" w:after="120" w:line="360" w:lineRule="auto"/>
        <w:ind w:left="567" w:right="-1" w:hanging="567"/>
        <w:rPr>
          <w:rFonts w:eastAsia="Calibri"/>
          <w:szCs w:val="22"/>
        </w:rPr>
      </w:pPr>
      <w:r w:rsidRPr="0070201F">
        <w:t>1.</w:t>
      </w:r>
      <w:r w:rsidRPr="0070201F">
        <w:tab/>
        <w:t xml:space="preserve">Държавите членки докладват </w:t>
      </w:r>
      <w:r w:rsidRPr="0070201F">
        <w:rPr>
          <w:b/>
          <w:i/>
        </w:rPr>
        <w:t>поне веднъж на всеки три години</w:t>
      </w:r>
      <w:r w:rsidRPr="0070201F">
        <w:t xml:space="preserve"> по електронен път на Комисията за зоната, която е обект на мерките за възстановяване, посочени в членове 4—10, и за преградите, посочени в член 7, които са били премахнати</w:t>
      </w:r>
      <w:bookmarkStart w:id="86" w:name="_Hlk134702956"/>
      <w:r w:rsidRPr="0070201F">
        <w:t>.</w:t>
      </w:r>
      <w:r w:rsidRPr="0070201F">
        <w:rPr>
          <w:b/>
          <w:i/>
        </w:rPr>
        <w:t xml:space="preserve"> Първият доклад се представя през юни 2028 г.</w:t>
      </w:r>
    </w:p>
    <w:bookmarkEnd w:id="86"/>
    <w:p w:rsidR="006173E9" w:rsidRPr="0070201F" w:rsidRDefault="006173E9" w:rsidP="006173E9">
      <w:pPr>
        <w:suppressAutoHyphens/>
        <w:spacing w:before="120" w:after="120" w:line="360" w:lineRule="auto"/>
        <w:ind w:left="567" w:right="-1" w:hanging="567"/>
        <w:rPr>
          <w:rFonts w:eastAsia="Calibri"/>
          <w:szCs w:val="22"/>
        </w:rPr>
      </w:pPr>
      <w:r w:rsidRPr="0070201F">
        <w:t>2.</w:t>
      </w:r>
      <w:r w:rsidRPr="0070201F">
        <w:tab/>
        <w:t xml:space="preserve">Държавите членки докладват по електронен път на Комисията, подпомагана от ЕАОС, следните данни и информация най-малко на всеки </w:t>
      </w:r>
      <w:r w:rsidRPr="0070201F">
        <w:rPr>
          <w:b/>
          <w:i/>
        </w:rPr>
        <w:t xml:space="preserve">шест </w:t>
      </w:r>
      <w:r w:rsidRPr="0070201F">
        <w:t>години:</w:t>
      </w:r>
    </w:p>
    <w:p w:rsidR="006173E9" w:rsidRPr="0070201F" w:rsidRDefault="006173E9" w:rsidP="006173E9">
      <w:pPr>
        <w:suppressAutoHyphens/>
        <w:spacing w:before="120" w:after="120" w:line="360" w:lineRule="auto"/>
        <w:ind w:left="1134" w:right="-1" w:hanging="567"/>
        <w:rPr>
          <w:rFonts w:eastAsia="Calibri"/>
          <w:szCs w:val="22"/>
        </w:rPr>
      </w:pPr>
      <w:r w:rsidRPr="0070201F">
        <w:t>a)</w:t>
      </w:r>
      <w:r w:rsidRPr="0070201F">
        <w:tab/>
        <w:t>напредъка в изпълнението на националния план за възстановяване, при въвеждането на мерките за възстановяване и в постигането на целите и задълженията, определени в съответствие с членове 4—10;</w:t>
      </w:r>
    </w:p>
    <w:p w:rsidR="006173E9" w:rsidRPr="0070201F" w:rsidRDefault="006173E9" w:rsidP="006173E9">
      <w:pPr>
        <w:suppressAutoHyphens/>
        <w:spacing w:before="120" w:after="120" w:line="360" w:lineRule="auto"/>
        <w:ind w:left="1134" w:right="-1" w:hanging="567"/>
        <w:rPr>
          <w:rFonts w:eastAsia="Calibri"/>
          <w:szCs w:val="22"/>
        </w:rPr>
      </w:pPr>
      <w:r w:rsidRPr="0070201F">
        <w:t>б)</w:t>
      </w:r>
      <w:r w:rsidRPr="0070201F">
        <w:tab/>
        <w:t xml:space="preserve">резултатите от наблюдението, извършено в съответствие с член 17. Резултатите от наблюдението, извършено в съответствие с член 17, параграф 1, букви ж) и з), </w:t>
      </w:r>
      <w:r w:rsidRPr="0070201F">
        <w:rPr>
          <w:b/>
          <w:i/>
        </w:rPr>
        <w:t xml:space="preserve">се докладват </w:t>
      </w:r>
      <w:r w:rsidRPr="0070201F">
        <w:t xml:space="preserve">и </w:t>
      </w:r>
      <w:r w:rsidRPr="0070201F">
        <w:rPr>
          <w:b/>
          <w:i/>
        </w:rPr>
        <w:t>включват</w:t>
      </w:r>
      <w:r w:rsidRPr="0070201F">
        <w:t xml:space="preserve"> геореферирани карти;</w:t>
      </w:r>
    </w:p>
    <w:p w:rsidR="006173E9" w:rsidRPr="0070201F" w:rsidRDefault="006173E9" w:rsidP="006173E9">
      <w:pPr>
        <w:suppressAutoHyphens/>
        <w:spacing w:before="120" w:after="120" w:line="360" w:lineRule="auto"/>
        <w:ind w:left="1134" w:right="-1" w:hanging="567"/>
        <w:rPr>
          <w:rFonts w:eastAsia="Calibri"/>
          <w:szCs w:val="22"/>
        </w:rPr>
      </w:pPr>
      <w:r w:rsidRPr="0070201F">
        <w:t>в)</w:t>
      </w:r>
      <w:r w:rsidRPr="0070201F">
        <w:tab/>
        <w:t>местоположението и площта на зоните, които са обект на мерките за възстановяване, посочени в член 4, член 5 и член 9, параграф 4, включително геореферирани карти на тези зони;</w:t>
      </w:r>
    </w:p>
    <w:p w:rsidR="006173E9" w:rsidRPr="0070201F" w:rsidRDefault="006173E9" w:rsidP="006173E9">
      <w:pPr>
        <w:suppressAutoHyphens/>
        <w:spacing w:before="120" w:after="120" w:line="360" w:lineRule="auto"/>
        <w:ind w:left="1134" w:right="-1" w:hanging="567"/>
        <w:rPr>
          <w:rFonts w:eastAsia="Calibri"/>
          <w:szCs w:val="22"/>
        </w:rPr>
      </w:pPr>
      <w:r w:rsidRPr="0070201F">
        <w:t>г)</w:t>
      </w:r>
      <w:r w:rsidRPr="0070201F">
        <w:tab/>
        <w:t>актуализирания опис на преградите, посочен в член 7, параграф 1;</w:t>
      </w:r>
    </w:p>
    <w:p w:rsidR="006173E9" w:rsidRPr="0070201F" w:rsidRDefault="006173E9" w:rsidP="006173E9">
      <w:pPr>
        <w:suppressAutoHyphens/>
        <w:spacing w:before="120" w:after="120" w:line="360" w:lineRule="auto"/>
        <w:ind w:left="1134" w:right="-1" w:hanging="567"/>
        <w:rPr>
          <w:rFonts w:eastAsia="Calibri"/>
          <w:szCs w:val="22"/>
        </w:rPr>
      </w:pPr>
      <w:r w:rsidRPr="0070201F">
        <w:t>д)</w:t>
      </w:r>
      <w:r w:rsidRPr="0070201F">
        <w:tab/>
        <w:t>информация за постигнатия напредък в покриването на нуждите от финансиране в съответствие с член 12, параграф 2, буква л), включително преглед на действителните инвестиции спрямо първоначалните предположения за инвестиране.</w:t>
      </w:r>
    </w:p>
    <w:p w:rsidR="006173E9" w:rsidRPr="0070201F" w:rsidRDefault="006173E9" w:rsidP="006173E9">
      <w:pPr>
        <w:suppressAutoHyphens/>
        <w:spacing w:before="120" w:after="120" w:line="360" w:lineRule="auto"/>
        <w:ind w:right="-1"/>
        <w:rPr>
          <w:rFonts w:eastAsia="Calibri"/>
          <w:szCs w:val="22"/>
        </w:rPr>
      </w:pPr>
      <w:r w:rsidRPr="0070201F">
        <w:t>Първите доклади се представят през юни 2031 г. и обхващат периода до 2030 г.</w:t>
      </w:r>
    </w:p>
    <w:p w:rsidR="006173E9" w:rsidRPr="0070201F" w:rsidRDefault="006173E9" w:rsidP="006173E9">
      <w:pPr>
        <w:suppressAutoHyphens/>
        <w:spacing w:before="120" w:after="120" w:line="360" w:lineRule="auto"/>
        <w:ind w:left="567" w:right="-1" w:hanging="567"/>
        <w:rPr>
          <w:rFonts w:eastAsia="Calibri"/>
          <w:szCs w:val="22"/>
        </w:rPr>
      </w:pPr>
      <w:r w:rsidRPr="0070201F">
        <w:br w:type="page"/>
      </w:r>
      <w:r w:rsidRPr="0070201F">
        <w:lastRenderedPageBreak/>
        <w:t>3.</w:t>
      </w:r>
      <w:r w:rsidRPr="0070201F">
        <w:tab/>
        <w:t>Комисията приема актове за изпълнение, за да установи формата, структурата и подробните условия за представянето на информацията, посочена в параграфи 1 и 2 от настоящия член. Тези актове за изпълнение се приемат в съответствие с процедурата по разглеждане, посочена в член 21, параграф 2. Комисията се подпомага от ЕАОС при изготвянето на формата, структурата и подробните условия за електронното докладване.</w:t>
      </w:r>
    </w:p>
    <w:p w:rsidR="006173E9" w:rsidRPr="0070201F" w:rsidRDefault="006173E9" w:rsidP="006173E9">
      <w:pPr>
        <w:suppressAutoHyphens/>
        <w:spacing w:before="120" w:after="120" w:line="360" w:lineRule="auto"/>
        <w:ind w:left="567" w:right="-1" w:hanging="567"/>
        <w:rPr>
          <w:rFonts w:eastAsia="Calibri"/>
          <w:szCs w:val="22"/>
        </w:rPr>
      </w:pPr>
      <w:r w:rsidRPr="0070201F">
        <w:t>4.</w:t>
      </w:r>
      <w:r w:rsidRPr="0070201F">
        <w:tab/>
        <w:t xml:space="preserve">Въз основа на данните, предоставени от държавите членки съгласно параграф 1 от настоящия член и член 17, параграф 7, ЕАОС представя на Комисията </w:t>
      </w:r>
      <w:r w:rsidRPr="0070201F">
        <w:rPr>
          <w:b/>
          <w:i/>
        </w:rPr>
        <w:t xml:space="preserve">на всеки три години </w:t>
      </w:r>
      <w:r w:rsidRPr="0070201F">
        <w:t>технически</w:t>
      </w:r>
      <w:r w:rsidRPr="0070201F">
        <w:rPr>
          <w:rFonts w:ascii="Arial" w:hAnsi="Arial"/>
          <w:snapToGrid w:val="0"/>
        </w:rPr>
        <w:t xml:space="preserve"> </w:t>
      </w:r>
      <w:r w:rsidRPr="0070201F">
        <w:t>преглед на напредъка в постигането на целите и задълженията, определени в настоящия регламент.</w:t>
      </w:r>
    </w:p>
    <w:p w:rsidR="006173E9" w:rsidRPr="0070201F" w:rsidRDefault="006173E9" w:rsidP="006173E9">
      <w:pPr>
        <w:suppressAutoHyphens/>
        <w:spacing w:before="120" w:after="120" w:line="360" w:lineRule="auto"/>
        <w:ind w:left="567" w:right="-1" w:hanging="567"/>
        <w:rPr>
          <w:rFonts w:eastAsia="Calibri"/>
          <w:szCs w:val="22"/>
        </w:rPr>
      </w:pPr>
      <w:r w:rsidRPr="0070201F">
        <w:t>5.</w:t>
      </w:r>
      <w:r w:rsidRPr="0070201F">
        <w:tab/>
        <w:t>Въз основа на данните, предоставени от държавите членки съгласно параграфи 1, 2 и 3 от настоящия член, ЕАОС представя на Комисията технически доклад, обхващащ целия Съюз, за напредъка в постигането на целите и задълженията, определени в настоящия регламент. ЕАОС може също така да използва информацията, докладвана съгласно член 17 от Директива 92/43/ЕИО, член 15 от Директива 2000/60/ЕО, член 12 от Директива 2009/147/ЕО и член </w:t>
      </w:r>
      <w:r w:rsidRPr="0070201F">
        <w:rPr>
          <w:b/>
          <w:i/>
        </w:rPr>
        <w:t>17</w:t>
      </w:r>
      <w:r w:rsidRPr="0070201F">
        <w:t xml:space="preserve"> от Директива 2008/56/ЕО. Докладът се представя до юни 2032 г., а следващите доклади се представят на всеки </w:t>
      </w:r>
      <w:r w:rsidRPr="0070201F">
        <w:rPr>
          <w:b/>
          <w:i/>
        </w:rPr>
        <w:t xml:space="preserve">шест </w:t>
      </w:r>
      <w:r w:rsidRPr="0070201F">
        <w:t>години след това.</w:t>
      </w:r>
    </w:p>
    <w:p w:rsidR="006173E9" w:rsidRPr="0070201F" w:rsidRDefault="006173E9" w:rsidP="006173E9">
      <w:pPr>
        <w:suppressAutoHyphens/>
        <w:spacing w:before="120" w:after="120" w:line="360" w:lineRule="auto"/>
        <w:ind w:left="567" w:right="-1" w:hanging="567"/>
        <w:rPr>
          <w:rFonts w:eastAsia="Calibri"/>
          <w:szCs w:val="22"/>
        </w:rPr>
      </w:pPr>
      <w:r w:rsidRPr="0070201F">
        <w:t>6.</w:t>
      </w:r>
      <w:r w:rsidRPr="0070201F">
        <w:tab/>
        <w:t xml:space="preserve">Считано от </w:t>
      </w:r>
      <w:r w:rsidRPr="0070201F">
        <w:rPr>
          <w:b/>
          <w:i/>
        </w:rPr>
        <w:t>[четири години след датата на влизане в сила на настоящия регламент]</w:t>
      </w:r>
      <w:r w:rsidRPr="0070201F">
        <w:t xml:space="preserve"> Комисията докладва на Европейския парламент и на Съвета на всеки </w:t>
      </w:r>
      <w:r w:rsidRPr="0070201F">
        <w:rPr>
          <w:b/>
          <w:i/>
        </w:rPr>
        <w:t xml:space="preserve">шест </w:t>
      </w:r>
      <w:r w:rsidRPr="0070201F">
        <w:t>години относно прилагането на настоящия регламент.</w:t>
      </w:r>
    </w:p>
    <w:p w:rsidR="006173E9" w:rsidRPr="0070201F" w:rsidRDefault="006173E9" w:rsidP="0070201F">
      <w:pPr>
        <w:suppressAutoHyphens/>
        <w:spacing w:before="120" w:after="120" w:line="360" w:lineRule="auto"/>
        <w:ind w:left="567" w:right="-1" w:hanging="567"/>
        <w:rPr>
          <w:b/>
          <w:i/>
        </w:rPr>
      </w:pPr>
      <w:r w:rsidRPr="0070201F">
        <w:br w:type="page"/>
      </w:r>
    </w:p>
    <w:p w:rsidR="00A937DD" w:rsidRPr="0070201F" w:rsidRDefault="00A937DD" w:rsidP="00A937DD">
      <w:pPr>
        <w:suppressAutoHyphens/>
        <w:spacing w:before="120" w:after="120" w:line="360" w:lineRule="auto"/>
        <w:ind w:left="567" w:right="-1" w:hanging="567"/>
        <w:rPr>
          <w:rFonts w:eastAsia="Calibri"/>
          <w:b/>
          <w:bCs/>
          <w:i/>
          <w:szCs w:val="22"/>
        </w:rPr>
      </w:pPr>
      <w:r w:rsidRPr="0070201F">
        <w:rPr>
          <w:rFonts w:eastAsia="Calibri"/>
          <w:b/>
          <w:bCs/>
          <w:i/>
          <w:szCs w:val="22"/>
        </w:rPr>
        <w:lastRenderedPageBreak/>
        <w:t>6а.</w:t>
      </w:r>
      <w:r w:rsidRPr="0070201F">
        <w:rPr>
          <w:rFonts w:eastAsia="Calibri"/>
          <w:b/>
          <w:bCs/>
          <w:i/>
          <w:szCs w:val="22"/>
        </w:rPr>
        <w:tab/>
        <w:t>В срок от 12 месеца от влизането в сила на настоящия регламент, след консултации с държавите членки, Комисията представя на Европейския парламент и на Съвета доклад, съдържащ:</w:t>
      </w:r>
    </w:p>
    <w:p w:rsidR="00A937DD" w:rsidRPr="0070201F" w:rsidRDefault="009674D5" w:rsidP="0070201F">
      <w:pPr>
        <w:suppressAutoHyphens/>
        <w:spacing w:before="120" w:after="120" w:line="360" w:lineRule="auto"/>
        <w:ind w:left="1418" w:right="-1" w:hanging="567"/>
        <w:rPr>
          <w:rFonts w:eastAsia="Calibri"/>
          <w:b/>
          <w:bCs/>
          <w:i/>
          <w:szCs w:val="22"/>
        </w:rPr>
      </w:pPr>
      <w:r w:rsidRPr="0070201F">
        <w:rPr>
          <w:rFonts w:eastAsia="Calibri"/>
          <w:b/>
          <w:bCs/>
          <w:i/>
          <w:szCs w:val="22"/>
        </w:rPr>
        <w:t>а)</w:t>
      </w:r>
      <w:r w:rsidRPr="0070201F">
        <w:rPr>
          <w:rFonts w:eastAsia="Calibri"/>
          <w:b/>
          <w:bCs/>
          <w:i/>
          <w:szCs w:val="22"/>
        </w:rPr>
        <w:tab/>
      </w:r>
      <w:r w:rsidR="00A937DD" w:rsidRPr="0070201F">
        <w:rPr>
          <w:rFonts w:eastAsia="Calibri"/>
          <w:b/>
          <w:bCs/>
          <w:i/>
          <w:szCs w:val="22"/>
        </w:rPr>
        <w:t>преглед на финансовите ресурси, налични на равнището на Съюза за целите на прилагането на настоящия регламент;</w:t>
      </w:r>
    </w:p>
    <w:p w:rsidR="00A937DD" w:rsidRPr="0070201F" w:rsidRDefault="00A937DD" w:rsidP="0070201F">
      <w:pPr>
        <w:suppressAutoHyphens/>
        <w:spacing w:before="120" w:after="120" w:line="360" w:lineRule="auto"/>
        <w:ind w:left="1418" w:right="-1" w:hanging="567"/>
        <w:rPr>
          <w:rFonts w:eastAsia="Calibri"/>
          <w:b/>
          <w:bCs/>
          <w:i/>
          <w:szCs w:val="22"/>
        </w:rPr>
      </w:pPr>
      <w:r w:rsidRPr="0070201F">
        <w:rPr>
          <w:rFonts w:eastAsia="Calibri"/>
          <w:b/>
          <w:bCs/>
          <w:i/>
          <w:szCs w:val="22"/>
        </w:rPr>
        <w:t>б)</w:t>
      </w:r>
      <w:r w:rsidR="009674D5" w:rsidRPr="0070201F">
        <w:rPr>
          <w:rFonts w:eastAsia="Calibri"/>
          <w:b/>
          <w:bCs/>
          <w:i/>
          <w:szCs w:val="22"/>
        </w:rPr>
        <w:tab/>
      </w:r>
      <w:r w:rsidRPr="0070201F">
        <w:rPr>
          <w:rFonts w:eastAsia="Calibri"/>
          <w:b/>
          <w:bCs/>
          <w:i/>
          <w:szCs w:val="22"/>
        </w:rPr>
        <w:t>оценка на нуждите от финансиране за изпълнение на членове 4—10 и за постигане на целта, посочена в член 1, параграф 2;</w:t>
      </w:r>
    </w:p>
    <w:p w:rsidR="00A937DD" w:rsidRPr="0070201F" w:rsidRDefault="00A937DD" w:rsidP="0070201F">
      <w:pPr>
        <w:suppressAutoHyphens/>
        <w:spacing w:before="120" w:after="120" w:line="360" w:lineRule="auto"/>
        <w:ind w:left="1418" w:right="-1" w:hanging="567"/>
        <w:rPr>
          <w:rFonts w:eastAsia="Calibri"/>
          <w:b/>
          <w:bCs/>
          <w:i/>
          <w:szCs w:val="22"/>
        </w:rPr>
      </w:pPr>
      <w:r w:rsidRPr="0070201F">
        <w:rPr>
          <w:rFonts w:eastAsia="Calibri"/>
          <w:b/>
          <w:bCs/>
          <w:i/>
          <w:szCs w:val="22"/>
        </w:rPr>
        <w:t>в)</w:t>
      </w:r>
      <w:r w:rsidR="009674D5" w:rsidRPr="0070201F">
        <w:rPr>
          <w:rFonts w:eastAsia="Calibri"/>
          <w:b/>
          <w:bCs/>
          <w:i/>
          <w:szCs w:val="22"/>
        </w:rPr>
        <w:tab/>
      </w:r>
      <w:r w:rsidRPr="0070201F">
        <w:rPr>
          <w:rFonts w:eastAsia="Calibri"/>
          <w:b/>
          <w:bCs/>
          <w:i/>
          <w:szCs w:val="22"/>
        </w:rPr>
        <w:t>анализ за установяване на евентуални пропуски във финансирането при изпълнението на задълженията, определени в регламента, включително за финансова компенсация на потенциални загуби, понесени от собственици на земя и лица, стопанисващи земи, пряко произтичащи от прилагането на настоящия регламент;</w:t>
      </w:r>
    </w:p>
    <w:p w:rsidR="00A937DD" w:rsidRPr="0070201F" w:rsidRDefault="00A937DD" w:rsidP="0070201F">
      <w:pPr>
        <w:suppressAutoHyphens/>
        <w:spacing w:before="120" w:after="120" w:line="360" w:lineRule="auto"/>
        <w:ind w:left="1418" w:right="-1" w:hanging="567"/>
        <w:rPr>
          <w:rFonts w:eastAsia="Calibri"/>
          <w:b/>
          <w:bCs/>
          <w:szCs w:val="22"/>
        </w:rPr>
      </w:pPr>
      <w:r w:rsidRPr="0070201F">
        <w:rPr>
          <w:rFonts w:eastAsia="Calibri"/>
          <w:b/>
          <w:bCs/>
          <w:i/>
          <w:szCs w:val="22"/>
        </w:rPr>
        <w:t>г)</w:t>
      </w:r>
      <w:r w:rsidR="009674D5" w:rsidRPr="0070201F">
        <w:rPr>
          <w:rFonts w:eastAsia="Calibri"/>
          <w:b/>
          <w:bCs/>
          <w:i/>
          <w:szCs w:val="22"/>
        </w:rPr>
        <w:tab/>
      </w:r>
      <w:r w:rsidRPr="0070201F">
        <w:rPr>
          <w:rFonts w:eastAsia="Calibri"/>
          <w:b/>
          <w:bCs/>
          <w:i/>
          <w:szCs w:val="22"/>
        </w:rPr>
        <w:t>когато е целесъобразно, предложения за подходящи мерки, включително финансови мерки, за справяне с установените пропуски, например създаването на специален инструмент, без да се засягат правомощията на съзаконодателите във връзка с приемането на следващата многогодишна финансова рамка за периода след 2027 г.</w:t>
      </w:r>
      <w:r w:rsidR="009674D5" w:rsidRPr="0070201F">
        <w:rPr>
          <w:rFonts w:eastAsia="Calibri"/>
          <w:b/>
          <w:bCs/>
          <w:szCs w:val="22"/>
        </w:rPr>
        <w:t xml:space="preserve"> [Изм. </w:t>
      </w:r>
      <w:r w:rsidR="009674D5" w:rsidRPr="00223ACF">
        <w:rPr>
          <w:rFonts w:eastAsia="Calibri"/>
          <w:b/>
          <w:bCs/>
          <w:szCs w:val="22"/>
        </w:rPr>
        <w:t>11</w:t>
      </w:r>
      <w:r w:rsidR="009674D5" w:rsidRPr="0070201F">
        <w:rPr>
          <w:rFonts w:eastAsia="Calibri"/>
          <w:b/>
          <w:bCs/>
          <w:szCs w:val="22"/>
        </w:rPr>
        <w:t>]</w:t>
      </w:r>
    </w:p>
    <w:p w:rsidR="006173E9" w:rsidRPr="0070201F" w:rsidRDefault="006173E9" w:rsidP="006173E9">
      <w:pPr>
        <w:suppressAutoHyphens/>
        <w:spacing w:before="120" w:after="120" w:line="360" w:lineRule="auto"/>
        <w:ind w:left="567" w:right="-1" w:hanging="567"/>
        <w:rPr>
          <w:rFonts w:eastAsia="Calibri"/>
          <w:szCs w:val="22"/>
        </w:rPr>
      </w:pPr>
      <w:r w:rsidRPr="0070201F">
        <w:t>7.</w:t>
      </w:r>
      <w:r w:rsidRPr="0070201F">
        <w:tab/>
        <w:t>Държавите членки гарантират, че информацията, посочена в параграфи 1 и 2, е подходяща и актуална и е достъпна за обществеността в съответствие с Директива 2003/4/ЕО на Европейския парламент и на Съвета, Директива 2007/2/ЕО и Директива (ЕС) 2019/1024 на Европейския парламент и на Съвета.</w:t>
      </w:r>
    </w:p>
    <w:p w:rsidR="006173E9" w:rsidRPr="0070201F" w:rsidRDefault="006173E9" w:rsidP="006173E9">
      <w:pPr>
        <w:keepNext/>
        <w:suppressAutoHyphens/>
        <w:spacing w:before="360" w:after="360" w:line="360" w:lineRule="auto"/>
        <w:jc w:val="center"/>
        <w:outlineLvl w:val="0"/>
        <w:rPr>
          <w:b/>
          <w:bCs/>
          <w:smallCaps/>
          <w:sz w:val="32"/>
          <w:szCs w:val="28"/>
        </w:rPr>
      </w:pPr>
      <w:r w:rsidRPr="0070201F">
        <w:br w:type="page"/>
      </w:r>
      <w:r w:rsidRPr="0070201F">
        <w:rPr>
          <w:b/>
          <w:smallCaps/>
          <w:sz w:val="32"/>
        </w:rPr>
        <w:lastRenderedPageBreak/>
        <w:t>ГЛАВА V</w:t>
      </w:r>
      <w:r w:rsidRPr="0070201F">
        <w:rPr>
          <w:b/>
          <w:smallCaps/>
          <w:sz w:val="32"/>
        </w:rPr>
        <w:br/>
        <w:t xml:space="preserve">ДЕЛЕГИРАНИ ПРАВОМОЩИЯ И ПРОЦЕДУРА НА КОМИТЕТ </w:t>
      </w:r>
    </w:p>
    <w:p w:rsidR="006173E9" w:rsidRPr="0070201F" w:rsidRDefault="006173E9" w:rsidP="006173E9">
      <w:pPr>
        <w:keepNext/>
        <w:suppressAutoHyphens/>
        <w:spacing w:before="360" w:after="120" w:line="360" w:lineRule="auto"/>
        <w:ind w:right="-1"/>
        <w:jc w:val="center"/>
        <w:outlineLvl w:val="1"/>
        <w:rPr>
          <w:bCs/>
          <w:i/>
          <w:szCs w:val="26"/>
        </w:rPr>
      </w:pPr>
      <w:r w:rsidRPr="0070201F">
        <w:t>Член 19</w:t>
      </w:r>
      <w:r w:rsidRPr="0070201F">
        <w:rPr>
          <w:b/>
        </w:rPr>
        <w:br/>
      </w:r>
      <w:r w:rsidRPr="0070201F">
        <w:rPr>
          <w:i/>
        </w:rPr>
        <w:t>Изменение на приложенията</w:t>
      </w:r>
    </w:p>
    <w:p w:rsidR="006173E9" w:rsidRPr="0070201F" w:rsidRDefault="006173E9" w:rsidP="006173E9">
      <w:pPr>
        <w:suppressAutoHyphens/>
        <w:spacing w:before="120" w:after="120" w:line="360" w:lineRule="auto"/>
        <w:ind w:left="567" w:right="-1" w:hanging="567"/>
        <w:rPr>
          <w:rFonts w:eastAsia="Calibri"/>
          <w:szCs w:val="22"/>
        </w:rPr>
      </w:pPr>
      <w:r w:rsidRPr="0070201F">
        <w:t>1.</w:t>
      </w:r>
      <w:r w:rsidRPr="0070201F">
        <w:tab/>
        <w:t xml:space="preserve">На Комисията се предоставя правомощието да приема делегирани актове в съответствие с член 20 за изменение на приложение I с цел адаптиране на </w:t>
      </w:r>
      <w:r w:rsidRPr="0070201F">
        <w:rPr>
          <w:b/>
          <w:i/>
        </w:rPr>
        <w:t>начина, по който се групират типовете</w:t>
      </w:r>
      <w:r w:rsidRPr="0070201F">
        <w:t xml:space="preserve"> местообитания</w:t>
      </w:r>
      <w:r w:rsidRPr="0070201F">
        <w:rPr>
          <w:rFonts w:ascii="Arial" w:hAnsi="Arial"/>
          <w:snapToGrid w:val="0"/>
        </w:rPr>
        <w:t xml:space="preserve"> </w:t>
      </w:r>
      <w:r w:rsidRPr="0070201F">
        <w:rPr>
          <w:b/>
          <w:i/>
        </w:rPr>
        <w:t>към научно-техническия напредък, и за да се вземе предвид опитът, придобит от прилагането на настоящия регламент</w:t>
      </w:r>
      <w:r w:rsidRPr="0070201F">
        <w:t>.</w:t>
      </w:r>
    </w:p>
    <w:p w:rsidR="006173E9" w:rsidRPr="0070201F" w:rsidRDefault="006173E9" w:rsidP="006173E9">
      <w:pPr>
        <w:suppressAutoHyphens/>
        <w:spacing w:before="120" w:after="120" w:line="360" w:lineRule="auto"/>
        <w:ind w:left="567" w:right="-1" w:hanging="567"/>
        <w:rPr>
          <w:rFonts w:eastAsia="Calibri"/>
          <w:b/>
          <w:szCs w:val="22"/>
          <w:u w:val="single"/>
        </w:rPr>
      </w:pPr>
      <w:r w:rsidRPr="0070201F">
        <w:t>2.</w:t>
      </w:r>
      <w:r w:rsidRPr="0070201F">
        <w:tab/>
        <w:t>На Комисията се предоставя правомощието да приема делегирани актове в съответствие с член 20 за изменение на приложение II с цел адаптиране на</w:t>
      </w:r>
      <w:r w:rsidRPr="0070201F">
        <w:rPr>
          <w:b/>
          <w:i/>
        </w:rPr>
        <w:t>:</w:t>
      </w:r>
    </w:p>
    <w:p w:rsidR="006173E9" w:rsidRPr="0070201F" w:rsidRDefault="006173E9" w:rsidP="006173E9">
      <w:pPr>
        <w:suppressAutoHyphens/>
        <w:spacing w:before="120" w:after="120" w:line="360" w:lineRule="auto"/>
        <w:ind w:left="1134" w:right="-1" w:hanging="567"/>
        <w:rPr>
          <w:rFonts w:eastAsia="Calibri"/>
          <w:b/>
          <w:szCs w:val="22"/>
          <w:u w:val="single"/>
        </w:rPr>
      </w:pPr>
      <w:r w:rsidRPr="0070201F">
        <w:rPr>
          <w:b/>
          <w:i/>
        </w:rPr>
        <w:t>a)</w:t>
      </w:r>
      <w:r w:rsidRPr="0070201F">
        <w:tab/>
        <w:t>списъка на типовете местообитания</w:t>
      </w:r>
      <w:r w:rsidRPr="0070201F">
        <w:rPr>
          <w:b/>
          <w:i/>
        </w:rPr>
        <w:t>, за да се осигури съгласуваност с актуализациите на класификацията на местообитанията в Европейската информационна система за природата (EUNIS);</w:t>
      </w:r>
      <w:r w:rsidRPr="0070201F">
        <w:t xml:space="preserve"> и </w:t>
      </w:r>
    </w:p>
    <w:p w:rsidR="006173E9" w:rsidRPr="0070201F" w:rsidRDefault="006173E9" w:rsidP="006173E9">
      <w:pPr>
        <w:suppressAutoHyphens/>
        <w:spacing w:before="120" w:after="120" w:line="360" w:lineRule="auto"/>
        <w:ind w:left="1134" w:right="-1" w:hanging="567"/>
        <w:rPr>
          <w:rFonts w:eastAsia="Calibri"/>
          <w:szCs w:val="22"/>
        </w:rPr>
      </w:pPr>
      <w:r w:rsidRPr="0070201F">
        <w:rPr>
          <w:b/>
          <w:i/>
        </w:rPr>
        <w:t>б)</w:t>
      </w:r>
      <w:r w:rsidRPr="0070201F">
        <w:rPr>
          <w:b/>
          <w:i/>
        </w:rPr>
        <w:tab/>
        <w:t>начина, по който се групират типовете</w:t>
      </w:r>
      <w:r w:rsidRPr="0070201F">
        <w:rPr>
          <w:rFonts w:ascii="Arial" w:hAnsi="Arial"/>
          <w:snapToGrid w:val="0"/>
        </w:rPr>
        <w:t xml:space="preserve"> </w:t>
      </w:r>
      <w:r w:rsidRPr="0070201F">
        <w:t>местообитания</w:t>
      </w:r>
      <w:r w:rsidRPr="0070201F">
        <w:rPr>
          <w:b/>
          <w:i/>
        </w:rPr>
        <w:t xml:space="preserve"> към научно-техническия напредък, и за да се вземе предвид опитът, придобит от прилагането на настоящия регламент</w:t>
      </w:r>
      <w:r w:rsidRPr="0070201F">
        <w:t>.</w:t>
      </w:r>
    </w:p>
    <w:p w:rsidR="006173E9" w:rsidRPr="0070201F" w:rsidRDefault="006173E9" w:rsidP="006173E9">
      <w:pPr>
        <w:suppressAutoHyphens/>
        <w:spacing w:before="120" w:after="120" w:line="360" w:lineRule="auto"/>
        <w:ind w:left="567" w:right="-1" w:hanging="567"/>
        <w:rPr>
          <w:rFonts w:eastAsia="Calibri"/>
          <w:szCs w:val="22"/>
        </w:rPr>
      </w:pPr>
      <w:r w:rsidRPr="0070201F">
        <w:t>3.</w:t>
      </w:r>
      <w:r w:rsidRPr="0070201F">
        <w:tab/>
        <w:t xml:space="preserve">На Комисията се предоставя правомощието да приема делегирани актове в съответствие с член 20 за изменение на приложение III с цел адаптиране на списъка на морските видове, посочен в член 5, </w:t>
      </w:r>
      <w:r w:rsidRPr="0070201F">
        <w:rPr>
          <w:b/>
          <w:i/>
        </w:rPr>
        <w:t>към научно-техническия напредък</w:t>
      </w:r>
      <w:r w:rsidRPr="0070201F">
        <w:t>.</w:t>
      </w:r>
    </w:p>
    <w:p w:rsidR="006173E9" w:rsidRPr="0070201F" w:rsidRDefault="006173E9" w:rsidP="006173E9">
      <w:pPr>
        <w:suppressAutoHyphens/>
        <w:spacing w:before="120" w:after="120" w:line="360" w:lineRule="auto"/>
        <w:ind w:left="567" w:right="-1" w:hanging="567"/>
        <w:rPr>
          <w:rFonts w:eastAsia="Calibri"/>
          <w:szCs w:val="22"/>
        </w:rPr>
      </w:pPr>
      <w:r w:rsidRPr="0070201F">
        <w:t>4.</w:t>
      </w:r>
      <w:r w:rsidRPr="0070201F">
        <w:tab/>
        <w:t xml:space="preserve">На Комисията се предоставя правомощието да приема делегирани актове в съответствие с член 20 за изменение на приложение IV с цел адаптиране на описанието, единицата и методиката за показателите за селскостопанските екосистеми </w:t>
      </w:r>
      <w:r w:rsidRPr="0070201F">
        <w:rPr>
          <w:b/>
          <w:i/>
        </w:rPr>
        <w:t>към научно-техническия напредък</w:t>
      </w:r>
      <w:r w:rsidRPr="0070201F">
        <w:t>.</w:t>
      </w:r>
    </w:p>
    <w:p w:rsidR="006173E9" w:rsidRPr="0070201F" w:rsidRDefault="006173E9" w:rsidP="006173E9">
      <w:pPr>
        <w:suppressAutoHyphens/>
        <w:spacing w:before="120" w:after="120" w:line="360" w:lineRule="auto"/>
        <w:ind w:left="567" w:right="-1" w:hanging="567"/>
        <w:rPr>
          <w:rFonts w:eastAsia="Calibri"/>
          <w:szCs w:val="22"/>
        </w:rPr>
      </w:pPr>
      <w:r w:rsidRPr="0070201F">
        <w:br w:type="page"/>
      </w:r>
      <w:r w:rsidRPr="0070201F">
        <w:lastRenderedPageBreak/>
        <w:t>5.</w:t>
      </w:r>
      <w:r w:rsidRPr="0070201F">
        <w:tab/>
        <w:t xml:space="preserve">На Комисията се предоставя правомощието да приема делегирани актове в съответствие с член 20 за изменение на приложение V с цел </w:t>
      </w:r>
      <w:r w:rsidRPr="0070201F">
        <w:rPr>
          <w:b/>
          <w:i/>
        </w:rPr>
        <w:t xml:space="preserve">адаптиране </w:t>
      </w:r>
      <w:r w:rsidRPr="0070201F">
        <w:t>на списъка на видовете, използван за индекса на обикновените птици, живеещи върху земеделски земи, в държавите членки</w:t>
      </w:r>
      <w:r w:rsidRPr="0070201F">
        <w:rPr>
          <w:b/>
          <w:i/>
        </w:rPr>
        <w:t xml:space="preserve"> към научно-техническия напредък</w:t>
      </w:r>
      <w:r w:rsidRPr="0070201F">
        <w:t>.</w:t>
      </w:r>
    </w:p>
    <w:p w:rsidR="006173E9" w:rsidRPr="0070201F" w:rsidRDefault="006173E9" w:rsidP="006173E9">
      <w:pPr>
        <w:suppressAutoHyphens/>
        <w:spacing w:before="120" w:after="120" w:line="360" w:lineRule="auto"/>
        <w:ind w:left="567" w:right="-1" w:hanging="567"/>
        <w:rPr>
          <w:rFonts w:eastAsia="Calibri"/>
          <w:szCs w:val="22"/>
        </w:rPr>
      </w:pPr>
      <w:r w:rsidRPr="0070201F">
        <w:t>6.</w:t>
      </w:r>
      <w:r w:rsidRPr="0070201F">
        <w:tab/>
        <w:t xml:space="preserve">На Комисията се предоставя правомощието да приема делегирани актове в съответствие с член 20 за изменение на приложение VI с цел адаптиране на описанието, единицата и методиката на показателите за горските екосистеми </w:t>
      </w:r>
      <w:r w:rsidRPr="0070201F">
        <w:rPr>
          <w:b/>
          <w:i/>
        </w:rPr>
        <w:t>към научно-техническия напредък</w:t>
      </w:r>
      <w:r w:rsidRPr="0070201F">
        <w:t>.</w:t>
      </w:r>
    </w:p>
    <w:p w:rsidR="006173E9" w:rsidRPr="0070201F" w:rsidRDefault="006173E9" w:rsidP="006173E9">
      <w:pPr>
        <w:suppressAutoHyphens/>
        <w:spacing w:before="120" w:after="120" w:line="360" w:lineRule="auto"/>
        <w:ind w:left="567" w:right="-1" w:hanging="567"/>
        <w:rPr>
          <w:rFonts w:eastAsia="Calibri"/>
          <w:szCs w:val="22"/>
        </w:rPr>
      </w:pPr>
      <w:r w:rsidRPr="0070201F">
        <w:t>7.</w:t>
      </w:r>
      <w:r w:rsidRPr="0070201F">
        <w:tab/>
        <w:t>На Комисията се предоставя правомощието да приема делегирани актове в съответствие с член 20 за изменение на приложение VII с цел адаптиране на списъка с примери за мерки за възстановяване</w:t>
      </w:r>
      <w:r w:rsidRPr="0070201F">
        <w:rPr>
          <w:b/>
          <w:i/>
        </w:rPr>
        <w:t xml:space="preserve"> към научно-техническия напредък, и за да се вземе предвид опитът, придобит от прилагането на настоящия регламент</w:t>
      </w:r>
      <w:r w:rsidRPr="0070201F">
        <w:t>.</w:t>
      </w:r>
    </w:p>
    <w:p w:rsidR="006173E9" w:rsidRPr="0070201F" w:rsidRDefault="006173E9" w:rsidP="006173E9">
      <w:pPr>
        <w:suppressAutoHyphens/>
        <w:spacing w:before="120" w:after="120" w:line="360" w:lineRule="auto"/>
        <w:ind w:right="-1"/>
        <w:rPr>
          <w:rFonts w:eastAsia="Calibri"/>
          <w:szCs w:val="22"/>
        </w:rPr>
      </w:pPr>
    </w:p>
    <w:p w:rsidR="006173E9" w:rsidRPr="0070201F" w:rsidRDefault="006173E9" w:rsidP="006173E9">
      <w:pPr>
        <w:keepNext/>
        <w:suppressAutoHyphens/>
        <w:spacing w:before="360" w:after="120" w:line="360" w:lineRule="auto"/>
        <w:ind w:right="-1"/>
        <w:jc w:val="center"/>
        <w:outlineLvl w:val="1"/>
        <w:rPr>
          <w:bCs/>
          <w:i/>
          <w:szCs w:val="26"/>
        </w:rPr>
      </w:pPr>
      <w:r w:rsidRPr="0070201F">
        <w:t>Член 20</w:t>
      </w:r>
      <w:r w:rsidRPr="0070201F">
        <w:br/>
      </w:r>
      <w:r w:rsidRPr="0070201F">
        <w:rPr>
          <w:i/>
        </w:rPr>
        <w:t>Упражняване на делегирането</w:t>
      </w:r>
    </w:p>
    <w:p w:rsidR="006173E9" w:rsidRPr="0070201F" w:rsidRDefault="006173E9" w:rsidP="006173E9">
      <w:pPr>
        <w:suppressAutoHyphens/>
        <w:spacing w:before="120" w:after="120" w:line="360" w:lineRule="auto"/>
        <w:ind w:left="567" w:right="-1" w:hanging="567"/>
        <w:rPr>
          <w:rFonts w:eastAsia="Calibri"/>
          <w:szCs w:val="22"/>
        </w:rPr>
      </w:pPr>
      <w:r w:rsidRPr="0070201F">
        <w:t>1.</w:t>
      </w:r>
      <w:r w:rsidRPr="0070201F">
        <w:tab/>
        <w:t>Правомощието да приема делегирани актове се предоставя на Комисията при спазване на предвидените в настоящия член условия.</w:t>
      </w:r>
    </w:p>
    <w:p w:rsidR="006173E9" w:rsidRPr="0070201F" w:rsidRDefault="006173E9" w:rsidP="006173E9">
      <w:pPr>
        <w:suppressAutoHyphens/>
        <w:spacing w:before="120" w:after="120" w:line="360" w:lineRule="auto"/>
        <w:ind w:left="567" w:right="-1" w:hanging="567"/>
        <w:rPr>
          <w:rFonts w:eastAsia="Calibri"/>
          <w:szCs w:val="22"/>
        </w:rPr>
      </w:pPr>
      <w:r w:rsidRPr="0070201F">
        <w:t>2.</w:t>
      </w:r>
      <w:r w:rsidRPr="0070201F">
        <w:tab/>
        <w:t xml:space="preserve">Правомощието да приема делегирани актове, посочено в член 19, се предоставя на Комисията за срок от 5 години, считано от </w:t>
      </w:r>
      <w:r w:rsidRPr="0070201F">
        <w:rPr>
          <w:i/>
        </w:rPr>
        <w:t>[Служба за публикации: моля въведете датата на влизане в сила на настоящия регламент]</w:t>
      </w:r>
      <w:r w:rsidRPr="0070201F">
        <w:t>. Комисията изготвя доклад относно делегирането на правомощията не по-късно от девет месеца преди изтичането на петгодишния срок. Делегирането на правомощия се продължава мълчаливо за същия срок, освен ако Европейският парламент или Съветът не възразят срещу подобно удължаване не по-късно от три месеца преди изтичането на всеки срок.</w:t>
      </w:r>
    </w:p>
    <w:p w:rsidR="006173E9" w:rsidRPr="0070201F" w:rsidRDefault="006173E9" w:rsidP="006173E9">
      <w:pPr>
        <w:suppressAutoHyphens/>
        <w:spacing w:before="120" w:after="120" w:line="360" w:lineRule="auto"/>
        <w:ind w:left="567" w:right="-1" w:hanging="567"/>
        <w:rPr>
          <w:rFonts w:eastAsia="Calibri"/>
          <w:szCs w:val="22"/>
        </w:rPr>
      </w:pPr>
      <w:r w:rsidRPr="0070201F">
        <w:br w:type="page"/>
      </w:r>
      <w:r w:rsidRPr="0070201F">
        <w:lastRenderedPageBreak/>
        <w:t>3.</w:t>
      </w:r>
      <w:r w:rsidRPr="0070201F">
        <w:tab/>
        <w:t>Делегирането на правомощия, посочено в член 19,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p w:rsidR="006173E9" w:rsidRPr="0070201F" w:rsidRDefault="006173E9" w:rsidP="006173E9">
      <w:pPr>
        <w:suppressAutoHyphens/>
        <w:spacing w:before="120" w:after="120" w:line="360" w:lineRule="auto"/>
        <w:ind w:left="567" w:right="-1" w:hanging="567"/>
        <w:rPr>
          <w:rFonts w:eastAsia="Calibri"/>
          <w:szCs w:val="22"/>
        </w:rPr>
      </w:pPr>
      <w:r w:rsidRPr="0070201F">
        <w:t>4.</w:t>
      </w:r>
      <w:r w:rsidRPr="0070201F">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p>
    <w:p w:rsidR="006173E9" w:rsidRPr="0070201F" w:rsidRDefault="006173E9" w:rsidP="006173E9">
      <w:pPr>
        <w:suppressAutoHyphens/>
        <w:spacing w:before="120" w:after="120" w:line="360" w:lineRule="auto"/>
        <w:ind w:left="567" w:right="-1" w:hanging="567"/>
        <w:rPr>
          <w:rFonts w:eastAsia="Calibri"/>
          <w:szCs w:val="22"/>
        </w:rPr>
      </w:pPr>
      <w:r w:rsidRPr="0070201F">
        <w:t>5.</w:t>
      </w:r>
      <w:r w:rsidRPr="0070201F">
        <w:tab/>
        <w:t>Веднага след приемането на делегиран акт Комисията нотифицира акта едновременно на Европейския парламент и Съвета.</w:t>
      </w:r>
    </w:p>
    <w:p w:rsidR="006173E9" w:rsidRPr="0070201F" w:rsidRDefault="006173E9" w:rsidP="006173E9">
      <w:pPr>
        <w:suppressAutoHyphens/>
        <w:spacing w:before="120" w:after="120" w:line="360" w:lineRule="auto"/>
        <w:ind w:left="567" w:right="-1" w:hanging="567"/>
        <w:rPr>
          <w:rFonts w:eastAsia="Calibri"/>
          <w:szCs w:val="22"/>
        </w:rPr>
      </w:pPr>
      <w:r w:rsidRPr="0070201F">
        <w:t>6.</w:t>
      </w:r>
      <w:r w:rsidRPr="0070201F">
        <w:tab/>
        <w:t>Делегиран акт, приет съгласно член 19, влиза в сила единствено ако нито Европейският парламент, нито Съветът са представили възражения в срок от два месеца след нотифицирането на акта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p w:rsidR="006173E9" w:rsidRPr="0070201F" w:rsidRDefault="006173E9" w:rsidP="006173E9">
      <w:pPr>
        <w:keepNext/>
        <w:suppressAutoHyphens/>
        <w:spacing w:before="360" w:after="120" w:line="360" w:lineRule="auto"/>
        <w:ind w:right="-1"/>
        <w:jc w:val="center"/>
        <w:outlineLvl w:val="1"/>
        <w:rPr>
          <w:b/>
          <w:bCs/>
          <w:szCs w:val="26"/>
        </w:rPr>
      </w:pPr>
      <w:r w:rsidRPr="0070201F">
        <w:br w:type="page"/>
      </w:r>
      <w:r w:rsidRPr="0070201F">
        <w:lastRenderedPageBreak/>
        <w:t>Член 21</w:t>
      </w:r>
      <w:r w:rsidRPr="0070201F">
        <w:rPr>
          <w:b/>
        </w:rPr>
        <w:br/>
      </w:r>
      <w:r w:rsidRPr="0070201F">
        <w:rPr>
          <w:i/>
        </w:rPr>
        <w:t>Процедура на комитет</w:t>
      </w:r>
      <w:r w:rsidRPr="0070201F">
        <w:rPr>
          <w:b/>
        </w:rPr>
        <w:t xml:space="preserve"> </w:t>
      </w:r>
    </w:p>
    <w:p w:rsidR="006173E9" w:rsidRPr="0070201F" w:rsidRDefault="006173E9" w:rsidP="006173E9">
      <w:pPr>
        <w:suppressAutoHyphens/>
        <w:spacing w:before="120" w:after="120" w:line="360" w:lineRule="auto"/>
        <w:ind w:left="567" w:right="-1" w:hanging="567"/>
        <w:rPr>
          <w:rFonts w:eastAsia="Calibri"/>
          <w:szCs w:val="22"/>
        </w:rPr>
      </w:pPr>
      <w:r w:rsidRPr="0070201F">
        <w:t>1.</w:t>
      </w:r>
      <w:r w:rsidRPr="0070201F">
        <w:tab/>
        <w:t>Комисията се подпомага от комитет. Този комитет е комитет по смисъла на Регламент (ЕС) № 182/2011.</w:t>
      </w:r>
    </w:p>
    <w:p w:rsidR="006173E9" w:rsidRPr="0070201F" w:rsidRDefault="006173E9" w:rsidP="006173E9">
      <w:pPr>
        <w:suppressAutoHyphens/>
        <w:spacing w:before="120" w:after="120" w:line="360" w:lineRule="auto"/>
        <w:ind w:left="567" w:right="-1" w:hanging="567"/>
        <w:rPr>
          <w:rFonts w:eastAsia="Calibri"/>
          <w:szCs w:val="22"/>
        </w:rPr>
      </w:pPr>
      <w:r w:rsidRPr="0070201F">
        <w:t>2.</w:t>
      </w:r>
      <w:r w:rsidRPr="0070201F">
        <w:tab/>
        <w:t>При позоваване на настоящия параграф се прилага член 5 от Регламент (ЕС) № 182/2011.</w:t>
      </w:r>
    </w:p>
    <w:p w:rsidR="006173E9" w:rsidRPr="0070201F" w:rsidRDefault="006173E9" w:rsidP="006173E9">
      <w:pPr>
        <w:keepNext/>
        <w:suppressAutoHyphens/>
        <w:spacing w:before="240" w:after="240" w:line="360" w:lineRule="auto"/>
        <w:jc w:val="center"/>
        <w:outlineLvl w:val="0"/>
        <w:rPr>
          <w:b/>
          <w:bCs/>
          <w:smallCaps/>
          <w:sz w:val="32"/>
          <w:szCs w:val="28"/>
        </w:rPr>
      </w:pPr>
      <w:r w:rsidRPr="0070201F">
        <w:rPr>
          <w:b/>
          <w:smallCaps/>
          <w:sz w:val="32"/>
        </w:rPr>
        <w:t>ГЛАВА VI</w:t>
      </w:r>
      <w:r w:rsidRPr="0070201F">
        <w:rPr>
          <w:b/>
          <w:smallCaps/>
          <w:sz w:val="32"/>
        </w:rPr>
        <w:br/>
        <w:t>ЗАКЛЮЧИТЕЛНИ РАЗПОРЕДБИ</w:t>
      </w:r>
    </w:p>
    <w:p w:rsidR="006173E9" w:rsidRPr="0070201F" w:rsidRDefault="006173E9" w:rsidP="006173E9">
      <w:pPr>
        <w:keepNext/>
        <w:suppressAutoHyphens/>
        <w:spacing w:before="360" w:after="360" w:line="360" w:lineRule="auto"/>
        <w:jc w:val="center"/>
        <w:outlineLvl w:val="0"/>
        <w:rPr>
          <w:b/>
          <w:i/>
          <w:szCs w:val="26"/>
        </w:rPr>
      </w:pPr>
      <w:bookmarkStart w:id="87" w:name="_Hlk136767184"/>
      <w:r w:rsidRPr="0070201F">
        <w:rPr>
          <w:b/>
          <w:i/>
        </w:rPr>
        <w:t>Член 21а</w:t>
      </w:r>
      <w:r w:rsidRPr="0070201F">
        <w:rPr>
          <w:b/>
          <w:i/>
        </w:rPr>
        <w:br/>
        <w:t>Изменение на Регламент (ЕС) 2022/869</w:t>
      </w:r>
    </w:p>
    <w:p w:rsidR="006173E9" w:rsidRPr="0070201F" w:rsidRDefault="006173E9" w:rsidP="006173E9">
      <w:pPr>
        <w:spacing w:before="120" w:after="120" w:line="360" w:lineRule="auto"/>
        <w:rPr>
          <w:rFonts w:eastAsia="Calibri"/>
          <w:b/>
          <w:i/>
          <w:szCs w:val="22"/>
        </w:rPr>
      </w:pPr>
      <w:r w:rsidRPr="0070201F">
        <w:rPr>
          <w:b/>
          <w:i/>
        </w:rPr>
        <w:t>В член 7, параграф 8 от Регламент (ЕС) 2022/869 първата алинея се заменя със следния текст:</w:t>
      </w:r>
    </w:p>
    <w:p w:rsidR="006173E9" w:rsidRPr="0070201F" w:rsidRDefault="006173E9" w:rsidP="006173E9">
      <w:pPr>
        <w:spacing w:before="120" w:after="120" w:line="360" w:lineRule="auto"/>
        <w:rPr>
          <w:rFonts w:eastAsia="Calibri"/>
          <w:b/>
          <w:i/>
          <w:szCs w:val="22"/>
        </w:rPr>
      </w:pPr>
      <w:bookmarkStart w:id="88" w:name="_Hlk135897854"/>
      <w:r w:rsidRPr="0070201F">
        <w:rPr>
          <w:b/>
          <w:i/>
        </w:rPr>
        <w:t>„Във връзка с въздействията върху околната среда, разгледани в член 6, параграф 4 от Директива 92/43/ЕИО, член 4, параграф 7 от Директива 2000/60/ЕО и член 4, параграфи 8 и 8а и член 5, параграфи 8 и 8а от [предложението за регламент на Европейския парламент и на Съвета относно възстановяването на природата], проектите в списъка на Съюза се считат за проекти от обществен интерес от гледна точка на енергийната политика и могат да се разглеждат като проекти от първостепенен обществен интерес, ако са изпълнени всички условия, предвидени в посочените директиви.“</w:t>
      </w:r>
      <w:bookmarkEnd w:id="88"/>
    </w:p>
    <w:bookmarkEnd w:id="87"/>
    <w:p w:rsidR="006173E9" w:rsidRPr="0070201F" w:rsidRDefault="006173E9" w:rsidP="006173E9">
      <w:pPr>
        <w:keepNext/>
        <w:suppressAutoHyphens/>
        <w:spacing w:before="360" w:after="360" w:line="360" w:lineRule="auto"/>
        <w:jc w:val="center"/>
        <w:outlineLvl w:val="0"/>
        <w:rPr>
          <w:b/>
          <w:bCs/>
          <w:smallCaps/>
          <w:sz w:val="32"/>
          <w:szCs w:val="28"/>
        </w:rPr>
      </w:pPr>
      <w:r w:rsidRPr="0070201F">
        <w:br w:type="page"/>
      </w:r>
      <w:r w:rsidRPr="0070201F">
        <w:lastRenderedPageBreak/>
        <w:t>Член 22</w:t>
      </w:r>
      <w:r w:rsidRPr="0070201F">
        <w:br/>
      </w:r>
      <w:r w:rsidRPr="0070201F">
        <w:rPr>
          <w:i/>
        </w:rPr>
        <w:t>Преразглеждане</w:t>
      </w:r>
    </w:p>
    <w:p w:rsidR="006173E9" w:rsidRPr="0070201F" w:rsidRDefault="006173E9" w:rsidP="0014171D">
      <w:pPr>
        <w:suppressAutoHyphens/>
        <w:spacing w:before="120" w:after="120" w:line="360" w:lineRule="auto"/>
        <w:ind w:left="567" w:right="140" w:hanging="567"/>
        <w:rPr>
          <w:rFonts w:eastAsia="Calibri"/>
          <w:b/>
          <w:szCs w:val="22"/>
        </w:rPr>
      </w:pPr>
      <w:r w:rsidRPr="0070201F">
        <w:t>1.</w:t>
      </w:r>
      <w:r w:rsidRPr="0070201F">
        <w:tab/>
        <w:t xml:space="preserve">Комисията извършва оценка на </w:t>
      </w:r>
      <w:r w:rsidR="00D63A0B" w:rsidRPr="0070201F">
        <w:t>▌</w:t>
      </w:r>
      <w:r w:rsidRPr="0070201F">
        <w:t xml:space="preserve">на настоящия регламент до 31 декември </w:t>
      </w:r>
      <w:r w:rsidR="0014171D" w:rsidRPr="0070201F">
        <w:rPr>
          <w:b/>
          <w:i/>
        </w:rPr>
        <w:t xml:space="preserve">2030 </w:t>
      </w:r>
      <w:r w:rsidR="0014171D" w:rsidRPr="0070201F">
        <w:t>г.</w:t>
      </w:r>
      <w:r w:rsidR="0014171D" w:rsidRPr="0070201F">
        <w:rPr>
          <w:b/>
          <w:i/>
        </w:rPr>
        <w:t xml:space="preserve"> и на всеки две години след това, за да оцени въздействието на настоящия регламент по-специално върху селскостопанския сектор и снабдяването с безопасна и надеждна храна, както и социално-икономическото въздействие на настоящия регламент по-специално върху селските райони</w:t>
      </w:r>
      <w:r w:rsidRPr="0070201F">
        <w:t>.</w:t>
      </w:r>
      <w:r w:rsidR="0014171D" w:rsidRPr="0070201F">
        <w:t xml:space="preserve"> </w:t>
      </w:r>
      <w:r w:rsidR="0014171D" w:rsidRPr="0070201F">
        <w:rPr>
          <w:b/>
        </w:rPr>
        <w:t xml:space="preserve"> [Изм. 45]</w:t>
      </w:r>
    </w:p>
    <w:p w:rsidR="0014171D" w:rsidRPr="0070201F" w:rsidRDefault="006173E9" w:rsidP="0014171D">
      <w:pPr>
        <w:suppressAutoHyphens/>
        <w:spacing w:before="120" w:after="120" w:line="360" w:lineRule="auto"/>
        <w:ind w:left="567" w:right="140" w:hanging="567"/>
        <w:rPr>
          <w:b/>
        </w:rPr>
      </w:pPr>
      <w:r w:rsidRPr="0070201F">
        <w:t>2.</w:t>
      </w:r>
      <w:r w:rsidRPr="0070201F">
        <w:tab/>
        <w:t>Комисията представя на Европейския парламент, Съвета, Европейския икономически и социален комитет и Комитета на регионите доклад относно основните констатации от оценката. Когато Комисията счете за целесъобразно, докладът се придружава от законодателно предложение за изменение на съответните разпоредби на настоящия регламент, като се отчита необходимостта от установяване на допълнителни цели за възстановяване</w:t>
      </w:r>
      <w:r w:rsidR="0014171D" w:rsidRPr="0070201F">
        <w:rPr>
          <w:b/>
          <w:i/>
        </w:rPr>
        <w:t>, включително относно актуализирани цели за 2040 г. и 2050 г.,</w:t>
      </w:r>
      <w:r w:rsidRPr="0070201F">
        <w:t xml:space="preserve"> въз основа на общи методи за оценка на състоянието на екосистемите, които не са обхванати от членове 4 и 5</w:t>
      </w:r>
      <w:r w:rsidR="0014171D" w:rsidRPr="0070201F">
        <w:rPr>
          <w:b/>
          <w:i/>
        </w:rPr>
        <w:t>, оценката, както е посочена в параграф 1 от настоящия член</w:t>
      </w:r>
      <w:r w:rsidRPr="0070201F">
        <w:t>, и най-новите научни доказателства.</w:t>
      </w:r>
      <w:r w:rsidR="0014171D" w:rsidRPr="0070201F">
        <w:rPr>
          <w:b/>
        </w:rPr>
        <w:t xml:space="preserve"> [Изм. 17]</w:t>
      </w:r>
    </w:p>
    <w:p w:rsidR="0014171D" w:rsidRPr="0070201F" w:rsidRDefault="0014171D">
      <w:pPr>
        <w:widowControl/>
        <w:rPr>
          <w:b/>
        </w:rPr>
      </w:pPr>
      <w:r w:rsidRPr="0070201F">
        <w:rPr>
          <w:b/>
        </w:rPr>
        <w:br w:type="page"/>
      </w:r>
    </w:p>
    <w:p w:rsidR="0014171D" w:rsidRPr="0070201F" w:rsidRDefault="0014171D" w:rsidP="0070201F">
      <w:pPr>
        <w:suppressAutoHyphens/>
        <w:spacing w:before="120" w:after="120" w:line="360" w:lineRule="auto"/>
        <w:ind w:left="567" w:right="140" w:hanging="567"/>
        <w:jc w:val="center"/>
        <w:rPr>
          <w:rFonts w:eastAsia="Calibri"/>
          <w:b/>
          <w:i/>
          <w:iCs/>
          <w:szCs w:val="22"/>
        </w:rPr>
      </w:pPr>
      <w:r w:rsidRPr="0070201F">
        <w:rPr>
          <w:rFonts w:eastAsia="Calibri"/>
          <w:b/>
          <w:i/>
          <w:iCs/>
          <w:szCs w:val="22"/>
        </w:rPr>
        <w:lastRenderedPageBreak/>
        <w:t>Член 22а</w:t>
      </w:r>
      <w:r w:rsidRPr="0070201F">
        <w:rPr>
          <w:rFonts w:eastAsia="Calibri"/>
          <w:b/>
          <w:i/>
          <w:iCs/>
          <w:szCs w:val="22"/>
        </w:rPr>
        <w:br/>
        <w:t>Отлагане на целите съгласно настоящия регламент в случай на изключителни социално-икономически последици</w:t>
      </w:r>
    </w:p>
    <w:p w:rsidR="0014171D" w:rsidRPr="0070201F" w:rsidRDefault="0014171D" w:rsidP="0070201F">
      <w:pPr>
        <w:suppressAutoHyphens/>
        <w:spacing w:before="120" w:after="120" w:line="360" w:lineRule="auto"/>
        <w:ind w:left="851" w:right="140" w:hanging="851"/>
        <w:rPr>
          <w:rFonts w:eastAsia="Calibri"/>
          <w:b/>
          <w:i/>
          <w:iCs/>
          <w:szCs w:val="22"/>
        </w:rPr>
      </w:pPr>
      <w:r w:rsidRPr="0070201F">
        <w:rPr>
          <w:rFonts w:eastAsia="Calibri"/>
          <w:b/>
          <w:i/>
          <w:iCs/>
          <w:szCs w:val="22"/>
        </w:rPr>
        <w:t xml:space="preserve">1. </w:t>
      </w:r>
      <w:r w:rsidRPr="0070201F">
        <w:rPr>
          <w:rFonts w:eastAsia="Calibri"/>
          <w:b/>
          <w:i/>
          <w:iCs/>
          <w:szCs w:val="22"/>
        </w:rPr>
        <w:tab/>
        <w:t>В срок до ... [1 година след датата на влизане в сила на настоящия регламент] и всяка година след това Комисията публикува известие в Официален вестник на Европейския съюз относно това дали са налице едно или повече от следните условия:</w:t>
      </w:r>
    </w:p>
    <w:p w:rsidR="0014171D" w:rsidRPr="0070201F" w:rsidRDefault="0014171D" w:rsidP="0070201F">
      <w:pPr>
        <w:suppressAutoHyphens/>
        <w:spacing w:before="120" w:after="120" w:line="360" w:lineRule="auto"/>
        <w:ind w:left="1418" w:right="140" w:hanging="567"/>
        <w:rPr>
          <w:rFonts w:eastAsia="Calibri"/>
          <w:b/>
          <w:i/>
          <w:iCs/>
          <w:szCs w:val="22"/>
        </w:rPr>
      </w:pPr>
      <w:r w:rsidRPr="0070201F">
        <w:rPr>
          <w:rFonts w:eastAsia="Calibri"/>
          <w:b/>
          <w:i/>
          <w:iCs/>
          <w:szCs w:val="22"/>
        </w:rPr>
        <w:t xml:space="preserve">a) </w:t>
      </w:r>
      <w:r w:rsidRPr="0070201F">
        <w:rPr>
          <w:rFonts w:eastAsia="Calibri"/>
          <w:b/>
          <w:i/>
          <w:iCs/>
          <w:szCs w:val="22"/>
        </w:rPr>
        <w:tab/>
        <w:t>процедурите за издаване на разрешения в една или повече държави членки изостават поради ограничения, произтичащи от законодателството на Съюза за опазване на природата в следните области:</w:t>
      </w:r>
    </w:p>
    <w:p w:rsidR="0014171D" w:rsidRPr="0070201F" w:rsidRDefault="0014171D" w:rsidP="0070201F">
      <w:pPr>
        <w:suppressAutoHyphens/>
        <w:spacing w:before="120" w:after="120" w:line="360" w:lineRule="auto"/>
        <w:ind w:left="1985" w:right="140" w:hanging="567"/>
        <w:rPr>
          <w:rFonts w:eastAsia="Calibri"/>
          <w:b/>
          <w:i/>
          <w:iCs/>
          <w:szCs w:val="22"/>
        </w:rPr>
      </w:pPr>
      <w:r w:rsidRPr="0070201F">
        <w:rPr>
          <w:rFonts w:eastAsia="Calibri"/>
          <w:b/>
          <w:i/>
          <w:iCs/>
          <w:szCs w:val="22"/>
        </w:rPr>
        <w:t xml:space="preserve">i) </w:t>
      </w:r>
      <w:r w:rsidRPr="0070201F">
        <w:rPr>
          <w:rFonts w:eastAsia="Calibri"/>
          <w:b/>
          <w:i/>
          <w:iCs/>
          <w:szCs w:val="22"/>
        </w:rPr>
        <w:tab/>
        <w:t>изграждането и преобразуването на жилища, по-специално в сектора на социалното жилищно настаняване;</w:t>
      </w:r>
    </w:p>
    <w:p w:rsidR="0014171D" w:rsidRPr="0070201F" w:rsidRDefault="0014171D" w:rsidP="0070201F">
      <w:pPr>
        <w:suppressAutoHyphens/>
        <w:spacing w:before="120" w:after="120" w:line="360" w:lineRule="auto"/>
        <w:ind w:left="1985" w:right="140" w:hanging="567"/>
        <w:rPr>
          <w:rFonts w:eastAsia="Calibri"/>
          <w:b/>
          <w:i/>
          <w:iCs/>
          <w:szCs w:val="22"/>
        </w:rPr>
      </w:pPr>
      <w:r w:rsidRPr="0070201F">
        <w:rPr>
          <w:rFonts w:eastAsia="Calibri"/>
          <w:b/>
          <w:i/>
          <w:iCs/>
          <w:szCs w:val="22"/>
        </w:rPr>
        <w:t xml:space="preserve">ii) </w:t>
      </w:r>
      <w:r w:rsidRPr="0070201F">
        <w:rPr>
          <w:rFonts w:eastAsia="Calibri"/>
          <w:b/>
          <w:i/>
          <w:iCs/>
          <w:szCs w:val="22"/>
        </w:rPr>
        <w:tab/>
        <w:t>въвеждането на проекти за енергия от възобновяеми източници по отношение на постигането на целите, определени в Регламент (ЕС) 2021/1119 [Европейски закон за климата];</w:t>
      </w:r>
    </w:p>
    <w:p w:rsidR="0014171D" w:rsidRPr="0070201F" w:rsidRDefault="0014171D" w:rsidP="0070201F">
      <w:pPr>
        <w:suppressAutoHyphens/>
        <w:spacing w:before="120" w:after="120" w:line="360" w:lineRule="auto"/>
        <w:ind w:left="1418" w:right="140" w:hanging="567"/>
        <w:rPr>
          <w:rFonts w:eastAsia="Calibri"/>
          <w:b/>
          <w:i/>
          <w:iCs/>
          <w:szCs w:val="22"/>
        </w:rPr>
      </w:pPr>
      <w:r w:rsidRPr="0070201F">
        <w:rPr>
          <w:rFonts w:eastAsia="Calibri"/>
          <w:b/>
          <w:i/>
          <w:iCs/>
          <w:szCs w:val="22"/>
        </w:rPr>
        <w:t xml:space="preserve">б) </w:t>
      </w:r>
      <w:r w:rsidRPr="0070201F">
        <w:rPr>
          <w:rFonts w:eastAsia="Calibri"/>
          <w:b/>
          <w:i/>
          <w:iCs/>
          <w:szCs w:val="22"/>
        </w:rPr>
        <w:tab/>
        <w:t xml:space="preserve">нарастване на средните цени на храните с 10% за период от 1 година; </w:t>
      </w:r>
    </w:p>
    <w:p w:rsidR="0014171D" w:rsidRPr="0070201F" w:rsidRDefault="0014171D" w:rsidP="0070201F">
      <w:pPr>
        <w:suppressAutoHyphens/>
        <w:spacing w:before="120" w:after="120" w:line="360" w:lineRule="auto"/>
        <w:ind w:left="1418" w:right="140" w:hanging="567"/>
        <w:rPr>
          <w:rFonts w:eastAsia="Calibri"/>
          <w:b/>
          <w:i/>
          <w:iCs/>
          <w:szCs w:val="22"/>
        </w:rPr>
      </w:pPr>
      <w:r w:rsidRPr="0070201F">
        <w:rPr>
          <w:rFonts w:eastAsia="Calibri"/>
          <w:b/>
          <w:i/>
          <w:iCs/>
          <w:szCs w:val="22"/>
        </w:rPr>
        <w:t xml:space="preserve">в) </w:t>
      </w:r>
      <w:r w:rsidRPr="0070201F">
        <w:rPr>
          <w:rFonts w:eastAsia="Calibri"/>
          <w:b/>
          <w:i/>
          <w:iCs/>
          <w:szCs w:val="22"/>
        </w:rPr>
        <w:tab/>
        <w:t>намаляване на общото количество произведени храни в Съюза с 5% за период от 1 година.</w:t>
      </w:r>
    </w:p>
    <w:p w:rsidR="006173E9" w:rsidRPr="0070201F" w:rsidRDefault="0014171D" w:rsidP="0070201F">
      <w:pPr>
        <w:suppressAutoHyphens/>
        <w:spacing w:before="120" w:after="120" w:line="360" w:lineRule="auto"/>
        <w:ind w:left="851" w:right="140" w:hanging="851"/>
        <w:rPr>
          <w:rFonts w:eastAsia="Calibri"/>
          <w:b/>
          <w:iCs/>
          <w:szCs w:val="22"/>
        </w:rPr>
      </w:pPr>
      <w:r w:rsidRPr="0070201F">
        <w:rPr>
          <w:rFonts w:eastAsia="Calibri"/>
          <w:b/>
          <w:i/>
          <w:iCs/>
          <w:szCs w:val="22"/>
        </w:rPr>
        <w:t xml:space="preserve">2. </w:t>
      </w:r>
      <w:r w:rsidRPr="0070201F">
        <w:rPr>
          <w:rFonts w:eastAsia="Calibri"/>
          <w:b/>
          <w:i/>
          <w:iCs/>
          <w:szCs w:val="22"/>
        </w:rPr>
        <w:tab/>
        <w:t>Когато е установено наличие на едно или повече от условията, посочени в параграф 1, целите по настоящия регламент се отлагат, докато не отпаднат всички условия, посочени в същия параграф.</w:t>
      </w:r>
      <w:r w:rsidRPr="0070201F">
        <w:rPr>
          <w:rFonts w:eastAsia="Calibri"/>
          <w:b/>
          <w:iCs/>
          <w:szCs w:val="22"/>
        </w:rPr>
        <w:t xml:space="preserve"> [Изм. 131]</w:t>
      </w:r>
    </w:p>
    <w:p w:rsidR="006173E9" w:rsidRPr="0070201F" w:rsidRDefault="006173E9" w:rsidP="006173E9">
      <w:pPr>
        <w:keepNext/>
        <w:suppressAutoHyphens/>
        <w:spacing w:before="360" w:after="120" w:line="360" w:lineRule="auto"/>
        <w:ind w:right="140"/>
        <w:jc w:val="center"/>
        <w:outlineLvl w:val="1"/>
        <w:rPr>
          <w:b/>
          <w:bCs/>
          <w:i/>
          <w:iCs/>
          <w:szCs w:val="26"/>
        </w:rPr>
      </w:pPr>
      <w:r w:rsidRPr="0070201F">
        <w:t>Член 23</w:t>
      </w:r>
      <w:r w:rsidRPr="0070201F">
        <w:br/>
      </w:r>
      <w:r w:rsidRPr="0070201F">
        <w:rPr>
          <w:i/>
        </w:rPr>
        <w:t>Влизане в сила</w:t>
      </w:r>
    </w:p>
    <w:p w:rsidR="006173E9" w:rsidRPr="0070201F" w:rsidRDefault="006173E9" w:rsidP="006173E9">
      <w:pPr>
        <w:suppressAutoHyphens/>
        <w:spacing w:before="120" w:after="120" w:line="360" w:lineRule="auto"/>
        <w:ind w:right="140"/>
      </w:pPr>
      <w:r w:rsidRPr="0070201F">
        <w:t>Настоящият регламент влиза в сила на двадесетия ден след публикуването му в Официален вестник на Европейския съюз.</w:t>
      </w:r>
    </w:p>
    <w:p w:rsidR="0014171D" w:rsidRPr="0070201F" w:rsidRDefault="0014171D" w:rsidP="0014171D">
      <w:pPr>
        <w:suppressAutoHyphens/>
        <w:spacing w:before="120" w:after="120" w:line="360" w:lineRule="auto"/>
        <w:ind w:right="140"/>
        <w:rPr>
          <w:rFonts w:eastAsia="Calibri"/>
          <w:b/>
        </w:rPr>
      </w:pPr>
      <w:r w:rsidRPr="0070201F">
        <w:rPr>
          <w:rFonts w:eastAsia="Calibri"/>
          <w:b/>
          <w:i/>
        </w:rPr>
        <w:t xml:space="preserve">Той се прилага от датата, на която Комисията е предоставила надеждни научни данни на Европейския парламент и на Съвета относно необходимите условия за гарантиране на дългосрочната продоволствена сигурност, като по този начин се зачита необходимостта от обработваема земя за конвенционално и екологично земеделие, въздействието на възстановяването на природата върху производството на храни, наличието на храни и цените на храните. Комисията публикува известие в Официален вестник на Европейския съюз, в което се посочва датата, от която </w:t>
      </w:r>
      <w:r w:rsidRPr="0070201F">
        <w:rPr>
          <w:rFonts w:eastAsia="Calibri"/>
          <w:b/>
          <w:i/>
        </w:rPr>
        <w:lastRenderedPageBreak/>
        <w:t>настоящият регламент се прилага.</w:t>
      </w:r>
      <w:r w:rsidRPr="0070201F">
        <w:rPr>
          <w:rFonts w:eastAsia="Calibri"/>
          <w:b/>
        </w:rPr>
        <w:t xml:space="preserve"> [Изм. 135]</w:t>
      </w:r>
    </w:p>
    <w:p w:rsidR="0014171D" w:rsidRPr="0070201F" w:rsidRDefault="0014171D" w:rsidP="0014171D">
      <w:pPr>
        <w:suppressAutoHyphens/>
        <w:spacing w:before="120" w:after="120" w:line="360" w:lineRule="auto"/>
        <w:ind w:right="140"/>
        <w:rPr>
          <w:rFonts w:eastAsia="Calibri"/>
          <w:b/>
        </w:rPr>
      </w:pPr>
      <w:r w:rsidRPr="0070201F">
        <w:rPr>
          <w:rFonts w:eastAsia="Calibri"/>
          <w:b/>
          <w:i/>
        </w:rPr>
        <w:t>Той се прилага от датата, на която условието, посочено в член 11, параграф 2а, е изпълнено. Комисията публикува известие в Официален вестник на Европейския съюз, в което се посочва датата, от която се прилага настоящият регламент.</w:t>
      </w:r>
      <w:r w:rsidRPr="0070201F">
        <w:rPr>
          <w:rFonts w:eastAsia="Calibri"/>
          <w:b/>
        </w:rPr>
        <w:t xml:space="preserve"> [Изм. 136]</w:t>
      </w:r>
    </w:p>
    <w:p w:rsidR="006173E9" w:rsidRPr="0070201F" w:rsidRDefault="006173E9" w:rsidP="006173E9">
      <w:pPr>
        <w:suppressAutoHyphens/>
        <w:spacing w:before="480" w:after="120" w:line="360" w:lineRule="auto"/>
        <w:ind w:right="140"/>
        <w:rPr>
          <w:rFonts w:eastAsia="Calibri"/>
          <w:szCs w:val="22"/>
        </w:rPr>
      </w:pPr>
      <w:r w:rsidRPr="0070201F">
        <w:t>Настоящият регламент е задължителен в своята цялост и се прилага пряко във всички държави членки.</w:t>
      </w:r>
    </w:p>
    <w:p w:rsidR="006173E9" w:rsidRPr="0070201F" w:rsidRDefault="006173E9" w:rsidP="006173E9">
      <w:pPr>
        <w:keepNext/>
        <w:suppressAutoHyphens/>
        <w:spacing w:before="120" w:line="360" w:lineRule="auto"/>
        <w:rPr>
          <w:rFonts w:eastAsia="Calibri"/>
          <w:szCs w:val="22"/>
        </w:rPr>
      </w:pPr>
      <w:r w:rsidRPr="0070201F">
        <w:t>Съставено в Брюксел на […] година.</w:t>
      </w:r>
    </w:p>
    <w:p w:rsidR="006173E9" w:rsidRPr="0070201F" w:rsidRDefault="006173E9" w:rsidP="006173E9">
      <w:pPr>
        <w:keepNext/>
        <w:tabs>
          <w:tab w:val="left" w:pos="4252"/>
        </w:tabs>
        <w:suppressAutoHyphens/>
        <w:spacing w:before="720" w:line="360" w:lineRule="auto"/>
        <w:rPr>
          <w:rFonts w:eastAsia="Calibri"/>
          <w:i/>
          <w:szCs w:val="22"/>
        </w:rPr>
      </w:pPr>
      <w:r w:rsidRPr="0070201F">
        <w:rPr>
          <w:i/>
        </w:rPr>
        <w:t>За Европейския парламент</w:t>
      </w:r>
      <w:r w:rsidRPr="0070201F">
        <w:rPr>
          <w:i/>
        </w:rPr>
        <w:tab/>
        <w:t>За Съвета</w:t>
      </w:r>
    </w:p>
    <w:p w:rsidR="006173E9" w:rsidRPr="0070201F" w:rsidRDefault="006173E9" w:rsidP="006173E9">
      <w:pPr>
        <w:tabs>
          <w:tab w:val="left" w:pos="4253"/>
        </w:tabs>
        <w:spacing w:before="120" w:after="120" w:line="360" w:lineRule="auto"/>
        <w:rPr>
          <w:rFonts w:eastAsia="Calibri"/>
          <w:szCs w:val="22"/>
        </w:rPr>
        <w:sectPr w:rsidR="006173E9" w:rsidRPr="0070201F" w:rsidSect="006173E9">
          <w:footerReference w:type="even" r:id="rId15"/>
          <w:footerReference w:type="first" r:id="rId16"/>
          <w:footnotePr>
            <w:numRestart w:val="eachSect"/>
          </w:footnotePr>
          <w:pgSz w:w="11907" w:h="16839"/>
          <w:pgMar w:top="1134" w:right="1134" w:bottom="1134" w:left="1134" w:header="567" w:footer="567" w:gutter="0"/>
          <w:cols w:space="720"/>
          <w:docGrid w:linePitch="360"/>
        </w:sectPr>
      </w:pPr>
      <w:r w:rsidRPr="0070201F">
        <w:rPr>
          <w:i/>
        </w:rPr>
        <w:t>Председател</w:t>
      </w:r>
      <w:r w:rsidRPr="0070201F">
        <w:rPr>
          <w:i/>
        </w:rPr>
        <w:tab/>
        <w:t>Председател</w:t>
      </w:r>
      <w:r w:rsidRPr="0070201F">
        <w:rPr>
          <w:i/>
        </w:rPr>
        <w:br/>
      </w:r>
    </w:p>
    <w:p w:rsidR="006173E9" w:rsidRPr="0070201F" w:rsidRDefault="006173E9" w:rsidP="006173E9">
      <w:pPr>
        <w:suppressAutoHyphens/>
        <w:spacing w:before="120" w:after="120" w:line="360" w:lineRule="auto"/>
        <w:jc w:val="center"/>
        <w:rPr>
          <w:rFonts w:eastAsia="Calibri"/>
          <w:i/>
          <w:szCs w:val="22"/>
        </w:rPr>
      </w:pPr>
      <w:r w:rsidRPr="0070201F">
        <w:rPr>
          <w:smallCaps/>
          <w:u w:val="single"/>
        </w:rPr>
        <w:lastRenderedPageBreak/>
        <w:t>ПРИЛОЖЕНИЕ I</w:t>
      </w:r>
      <w:r w:rsidRPr="0070201F">
        <w:rPr>
          <w:smallCaps/>
          <w:u w:val="single"/>
        </w:rPr>
        <w:br/>
      </w:r>
      <w:r w:rsidRPr="0070201F">
        <w:rPr>
          <w:smallCaps/>
          <w:u w:val="single"/>
        </w:rPr>
        <w:br/>
        <w:t>СУХОЗЕМНИ, КРАЙБРЕЖНИ И СЛАДКОВОДНИ ЕКОСИСТЕМИ — ТИПОВЕ МЕСТООБИТАНИЯ И ГРУПИ ТИПОВЕ МЕСТООБИТАНИЯ, ПОСОЧЕНИ В ЧЛЕН 4, ПАРАГРАФИ 1 И 2</w:t>
      </w:r>
    </w:p>
    <w:p w:rsidR="006173E9" w:rsidRPr="0070201F" w:rsidRDefault="006173E9" w:rsidP="006173E9">
      <w:pPr>
        <w:suppressAutoHyphens/>
        <w:spacing w:before="120" w:after="120" w:line="360" w:lineRule="auto"/>
        <w:rPr>
          <w:rFonts w:eastAsia="Calibri"/>
          <w:noProof/>
        </w:rPr>
      </w:pPr>
    </w:p>
    <w:p w:rsidR="006173E9" w:rsidRPr="0070201F" w:rsidRDefault="006173E9" w:rsidP="006173E9">
      <w:pPr>
        <w:suppressAutoHyphens/>
        <w:spacing w:before="120" w:after="120" w:line="360" w:lineRule="auto"/>
        <w:rPr>
          <w:rFonts w:eastAsia="Calibri"/>
          <w:noProof/>
        </w:rPr>
      </w:pPr>
      <w:r w:rsidRPr="0070201F">
        <w:t xml:space="preserve">Списъкът по-долу включва всички типове сухоземни, крайбрежни и сладководни местообитания съгласно приложение I към Директива 92/43/ЕИО, посочени в член 4, параграф 1 и член 4, параграф 2, както и шест групи от тези типове местообитания, а именно: влажни зони (крайбрежни и вътрешни), 2) затревени площи и други пасищни местообитания, 3) речни, езерни, алувиални и крайречни местообитания, 4) гори, 5) местообитания на степи, пустош и храсталаци и 6) скални и дюнни местообитания. </w:t>
      </w:r>
    </w:p>
    <w:p w:rsidR="006173E9" w:rsidRPr="0070201F" w:rsidRDefault="006173E9" w:rsidP="006173E9">
      <w:pPr>
        <w:keepNext/>
        <w:spacing w:before="120" w:after="120"/>
        <w:ind w:left="850" w:hanging="850"/>
        <w:outlineLvl w:val="1"/>
        <w:rPr>
          <w:b/>
          <w:bCs/>
          <w:szCs w:val="26"/>
        </w:rPr>
      </w:pPr>
      <w:r w:rsidRPr="0070201F">
        <w:rPr>
          <w:b/>
        </w:rPr>
        <w:t>1.</w:t>
      </w:r>
      <w:r w:rsidRPr="0070201F">
        <w:rPr>
          <w:b/>
        </w:rPr>
        <w:tab/>
        <w:t>ГРУПА 1: Влажни зони (крайбрежни и вътрешни)</w:t>
      </w:r>
    </w:p>
    <w:tbl>
      <w:tblPr>
        <w:tblStyle w:val="TableGrid"/>
        <w:tblW w:w="0" w:type="auto"/>
        <w:tblLook w:val="04A0" w:firstRow="1" w:lastRow="0" w:firstColumn="1" w:lastColumn="0" w:noHBand="0" w:noVBand="1"/>
      </w:tblPr>
      <w:tblGrid>
        <w:gridCol w:w="2611"/>
        <w:gridCol w:w="7018"/>
      </w:tblGrid>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 xml:space="preserve">Код на типа местообитание, посочен в приложение I към Директива 92/43/ЕИО на Съвета </w:t>
            </w:r>
          </w:p>
        </w:tc>
        <w:tc>
          <w:tcPr>
            <w:tcW w:w="7508"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Наименование на типа местообитание, посочено в приложение I към Директива 92/43/ЕИО на Съвета</w:t>
            </w:r>
          </w:p>
        </w:tc>
      </w:tr>
      <w:tr w:rsidR="006173E9" w:rsidRPr="0070201F" w:rsidTr="006173E9">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Крайбрежни и солени местообитания</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1130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Естуари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i/>
                <w:noProof/>
              </w:rPr>
            </w:pPr>
            <w:r w:rsidRPr="0070201F">
              <w:rPr>
                <w:b/>
                <w:i/>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Тинести и пясъчни морски плитчини, които не се покриват от морски води при нисък прилив</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1150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Крайбрежни лагуни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1310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Salicornia и други едногодишни растения, образуващи колонии върху тинести и пясъчни терени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1320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Морави от Spartina (</w:t>
            </w:r>
            <w:r w:rsidRPr="0070201F">
              <w:rPr>
                <w:i/>
              </w:rPr>
              <w:t>Spartinion maritimae</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1330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Атлантически солени ливади (</w:t>
            </w:r>
            <w:r w:rsidRPr="0070201F">
              <w:rPr>
                <w:i/>
              </w:rPr>
              <w:t>Glauco-Puccinellietalia maritimae</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1340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Континентални солени ливади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1410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Средиземноморски солени ливади (</w:t>
            </w:r>
            <w:r w:rsidRPr="0070201F">
              <w:rPr>
                <w:i/>
              </w:rPr>
              <w:t>Juncetalia maritimi</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1420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Средиземноморски и южноатлантически халофилни храсталаци (</w:t>
            </w:r>
            <w:r w:rsidRPr="0070201F">
              <w:rPr>
                <w:i/>
              </w:rPr>
              <w:t>Sarcocornetea fruticosi</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1530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Панонски солени степи и солени блата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lastRenderedPageBreak/>
              <w:t>1650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Бореални балтийски тесни протоци</w:t>
            </w:r>
          </w:p>
        </w:tc>
      </w:tr>
      <w:tr w:rsidR="006173E9" w:rsidRPr="0070201F" w:rsidTr="006173E9">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Влажна пустош и торфни тревни съобщества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4010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Северноатлантическа влажна пустош с </w:t>
            </w:r>
            <w:r w:rsidRPr="0070201F">
              <w:rPr>
                <w:i/>
              </w:rPr>
              <w:t>Erica tetralix</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4020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Южноатлантическа влажна пустош с </w:t>
            </w:r>
            <w:r w:rsidRPr="0070201F">
              <w:rPr>
                <w:i/>
              </w:rPr>
              <w:t>Erica ciliaris</w:t>
            </w:r>
            <w:r w:rsidRPr="0070201F">
              <w:t xml:space="preserve"> и </w:t>
            </w:r>
            <w:r w:rsidRPr="0070201F">
              <w:rPr>
                <w:i/>
              </w:rPr>
              <w:t>Erica tetralix</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6460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Торфни тревни съобщества от Тродос</w:t>
            </w:r>
          </w:p>
        </w:tc>
      </w:tr>
      <w:tr w:rsidR="006173E9" w:rsidRPr="0070201F" w:rsidTr="006173E9">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Калища, тресавища и мочурища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7110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Активни преовлажнени тресавища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7120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Деградирали преовлажнени тресавища (все още имащи възможност за естествено възстановяване)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7130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Обрасли тресавища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7140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Преходни торфища и плаващи подвижни тресавища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7150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Понижения върху торфени субстрати (</w:t>
            </w:r>
            <w:r w:rsidRPr="0070201F">
              <w:rPr>
                <w:i/>
              </w:rPr>
              <w:t>Rhynchosporion</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7160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Феноскандинавски минерални извори и мочурища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7210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Карбонатни мочурища с</w:t>
            </w:r>
            <w:r w:rsidRPr="0070201F">
              <w:rPr>
                <w:i/>
              </w:rPr>
              <w:t xml:space="preserve"> Cladium mariscus</w:t>
            </w:r>
            <w:r w:rsidRPr="0070201F">
              <w:t xml:space="preserve"> и видове от </w:t>
            </w:r>
            <w:r w:rsidRPr="0070201F">
              <w:rPr>
                <w:i/>
              </w:rPr>
              <w:t>Caricion davallianae</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7220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Извори с твърда вода с туфести формации (</w:t>
            </w:r>
            <w:r w:rsidRPr="0070201F">
              <w:rPr>
                <w:i/>
              </w:rPr>
              <w:t>Cratoneurion</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7230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Алкални блата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7240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Алпийски пионерни формации от типа </w:t>
            </w:r>
            <w:r w:rsidRPr="0070201F">
              <w:rPr>
                <w:i/>
              </w:rPr>
              <w:t>Caricion bicoloris-atrofuscae</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7310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Аапа калища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7320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Палса калища</w:t>
            </w:r>
          </w:p>
        </w:tc>
      </w:tr>
      <w:tr w:rsidR="006173E9" w:rsidRPr="0070201F" w:rsidTr="006173E9">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pageBreakBefore/>
              <w:spacing w:before="120" w:after="120"/>
              <w:rPr>
                <w:b/>
                <w:noProof/>
              </w:rPr>
            </w:pPr>
            <w:r w:rsidRPr="0070201F">
              <w:rPr>
                <w:b/>
              </w:rPr>
              <w:lastRenderedPageBreak/>
              <w:t>Влажни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9080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Феноскандинавски широколистни блатисти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Гори върху тресавища и блата</w:t>
            </w:r>
          </w:p>
        </w:tc>
      </w:tr>
    </w:tbl>
    <w:p w:rsidR="006173E9" w:rsidRPr="0070201F" w:rsidRDefault="006173E9" w:rsidP="006173E9">
      <w:pPr>
        <w:keepNext/>
        <w:tabs>
          <w:tab w:val="left" w:pos="851"/>
        </w:tabs>
        <w:spacing w:before="120" w:after="120"/>
        <w:outlineLvl w:val="1"/>
        <w:rPr>
          <w:b/>
          <w:bCs/>
          <w:noProof/>
          <w:szCs w:val="26"/>
        </w:rPr>
      </w:pPr>
      <w:r w:rsidRPr="0070201F">
        <w:rPr>
          <w:b/>
        </w:rPr>
        <w:t>2.</w:t>
      </w:r>
      <w:r w:rsidRPr="0070201F">
        <w:rPr>
          <w:b/>
        </w:rPr>
        <w:tab/>
        <w:t>ГРУПА 2: Затревени площи и други пасищни местообитания</w:t>
      </w:r>
    </w:p>
    <w:tbl>
      <w:tblPr>
        <w:tblStyle w:val="TableGrid"/>
        <w:tblW w:w="9072" w:type="dxa"/>
        <w:tblInd w:w="-5" w:type="dxa"/>
        <w:tblLayout w:type="fixed"/>
        <w:tblLook w:val="04A0" w:firstRow="1" w:lastRow="0" w:firstColumn="1" w:lastColumn="0" w:noHBand="0" w:noVBand="1"/>
      </w:tblPr>
      <w:tblGrid>
        <w:gridCol w:w="1560"/>
        <w:gridCol w:w="7512"/>
      </w:tblGrid>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 xml:space="preserve">Код на типа местообитание, посочен в приложение I към Директива 92/43/ЕИО на Съвета </w:t>
            </w:r>
          </w:p>
        </w:tc>
        <w:tc>
          <w:tcPr>
            <w:tcW w:w="7512"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Наименование на типа местообитание, посочено в приложение I към Директива 92/43/ЕИО на Съвета</w:t>
            </w:r>
          </w:p>
        </w:tc>
      </w:tr>
      <w:tr w:rsidR="006173E9" w:rsidRPr="0070201F" w:rsidTr="006173E9">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rPr>
                <w:b/>
              </w:rPr>
              <w:t>Крайбрежни и дюнни местообитания</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1630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Бореални балтийски крайбрежни ливади</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21A0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Пясъчни равнини по Атлантическото крайбрежие на Великобритания</w:t>
            </w:r>
          </w:p>
        </w:tc>
      </w:tr>
      <w:tr w:rsidR="006173E9" w:rsidRPr="0070201F" w:rsidTr="006173E9">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173E9" w:rsidRPr="0070201F" w:rsidRDefault="006173E9" w:rsidP="006173E9">
            <w:pPr>
              <w:spacing w:before="120" w:after="120"/>
              <w:rPr>
                <w:noProof/>
              </w:rPr>
            </w:pPr>
            <w:r w:rsidRPr="0070201F">
              <w:rPr>
                <w:b/>
              </w:rPr>
              <w:t>Местообитания на пустош и храсталаци</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bCs/>
                <w:noProof/>
              </w:rPr>
            </w:pPr>
            <w:r w:rsidRPr="0070201F">
              <w:t>4030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bCs/>
                <w:noProof/>
              </w:rPr>
            </w:pPr>
            <w:r w:rsidRPr="0070201F">
              <w:t>Европейска суха пустош</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4040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Суха пустош на Атлантическото крайбрежие с </w:t>
            </w:r>
            <w:r w:rsidRPr="0070201F">
              <w:rPr>
                <w:i/>
              </w:rPr>
              <w:t>Erica vagans</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4090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Ендемични оро-средиземноморски съобщества от ниски бодливи храстчета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5130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Формации на </w:t>
            </w:r>
            <w:r w:rsidRPr="0070201F">
              <w:rPr>
                <w:i/>
              </w:rPr>
              <w:t>Juniperus communis</w:t>
            </w:r>
            <w:r w:rsidRPr="0070201F">
              <w:t xml:space="preserve"> върху пустош или варовикови пасища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8240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Варовикови скални повърхнини</w:t>
            </w:r>
          </w:p>
        </w:tc>
      </w:tr>
      <w:tr w:rsidR="006173E9" w:rsidRPr="0070201F" w:rsidTr="006173E9">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173E9" w:rsidRPr="0070201F" w:rsidRDefault="006173E9" w:rsidP="006173E9">
            <w:pPr>
              <w:spacing w:before="120" w:after="120"/>
              <w:rPr>
                <w:noProof/>
              </w:rPr>
            </w:pPr>
            <w:r w:rsidRPr="0070201F">
              <w:rPr>
                <w:b/>
              </w:rPr>
              <w:t>Тревни съобщества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bCs/>
                <w:noProof/>
              </w:rPr>
            </w:pPr>
            <w:r w:rsidRPr="0070201F">
              <w:t>6110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bCs/>
                <w:noProof/>
              </w:rPr>
            </w:pPr>
            <w:r w:rsidRPr="0070201F">
              <w:t xml:space="preserve">Скални варовикови или базофилни тревни съобщества с </w:t>
            </w:r>
            <w:r w:rsidRPr="0070201F">
              <w:rPr>
                <w:i/>
              </w:rPr>
              <w:t>Alysso-Sedion albi</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6120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Сухи пясъчни варовикови тревни съобщества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6130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Тревни съобщества с </w:t>
            </w:r>
            <w:r w:rsidRPr="0070201F">
              <w:rPr>
                <w:i/>
              </w:rPr>
              <w:t>Violetalia calaminariae</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6140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Пиринейски силикатни тревни съобщества с </w:t>
            </w:r>
            <w:r w:rsidRPr="0070201F">
              <w:rPr>
                <w:i/>
              </w:rPr>
              <w:t>Festuca eskia</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6150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Силикатни алпийски и бореални тревни съобщества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6160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Силикатни иберийски тревни съобщества с </w:t>
            </w:r>
            <w:r w:rsidRPr="0070201F">
              <w:rPr>
                <w:i/>
              </w:rPr>
              <w:t>Festuca indigesta</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lastRenderedPageBreak/>
              <w:t>6170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Алпийски и субалпийски варовикови тревни съобщества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6180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Макаронезийски мезофилни тревни съобщества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6190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Скални панонски тревни съобщества (</w:t>
            </w:r>
            <w:r w:rsidRPr="0070201F">
              <w:rPr>
                <w:i/>
              </w:rPr>
              <w:t>Stipo-Festucetalia pallentis</w:t>
            </w:r>
            <w:r w:rsidRPr="0070201F">
              <w:t>)</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6210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Полуестествени сухи тревни и храстови съобщества върху варовикови субстрати (</w:t>
            </w:r>
            <w:r w:rsidRPr="0070201F">
              <w:rPr>
                <w:i/>
              </w:rPr>
              <w:t>Festuco-Brometalia</w:t>
            </w:r>
            <w:r w:rsidRPr="0070201F">
              <w:t>)</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6220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Псевдостепи с трева и едногодишни растения (</w:t>
            </w:r>
            <w:r w:rsidRPr="0070201F">
              <w:rPr>
                <w:i/>
              </w:rPr>
              <w:t>Thero-Brachypodietea</w:t>
            </w:r>
            <w:r w:rsidRPr="0070201F">
              <w:t>)</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6230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Богати на видове </w:t>
            </w:r>
            <w:r w:rsidRPr="0070201F">
              <w:rPr>
                <w:i/>
              </w:rPr>
              <w:t>Nardus</w:t>
            </w:r>
            <w:r w:rsidRPr="0070201F">
              <w:t xml:space="preserve"> тревни съобщества върху силикатни субстрати в планински области (и предпланински райони в континентална Европа)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6240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Субпанонски степни тревни съобщества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6250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Панонски степни тревни съобщества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6260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Панонски пясъчни степи</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6270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Феноскандинавски сухи до средни тревни съобщества с нисколюбива растителност</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6280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Северни алварови и предкамбрийски варовикови плоски скали</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62A0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Източни субсредиземноморски сухи тревни съобщества (</w:t>
            </w:r>
            <w:r w:rsidRPr="0070201F">
              <w:rPr>
                <w:i/>
              </w:rPr>
              <w:t>Scorzoneratalia villosae</w:t>
            </w:r>
            <w:r w:rsidRPr="0070201F">
              <w:t>)</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62B0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Кипърски серпентинофилни тревни съобщества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62C0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Понто-сарматски степи</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62D0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Оро-мизийски ацидофилни тревни съобщества</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6410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Ливади с </w:t>
            </w:r>
            <w:r w:rsidRPr="0070201F">
              <w:rPr>
                <w:i/>
              </w:rPr>
              <w:t>Molinia</w:t>
            </w:r>
            <w:r w:rsidRPr="0070201F">
              <w:t xml:space="preserve"> на карбонатна, торфна или глинеста почва </w:t>
            </w:r>
            <w:r w:rsidRPr="0070201F">
              <w:rPr>
                <w:i/>
              </w:rPr>
              <w:t>(Molinion caeruleae)</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6420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Средиземноморски влажни тревни съобщества от високи треви от типа </w:t>
            </w:r>
            <w:r w:rsidRPr="0070201F">
              <w:rPr>
                <w:i/>
              </w:rPr>
              <w:t>Molinio-Holoschoenion</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6510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Низинни сенокосни ливади (</w:t>
            </w:r>
            <w:r w:rsidRPr="0070201F">
              <w:rPr>
                <w:i/>
              </w:rPr>
              <w:t>Alopecurus pratensis, Sanguisorba officinalis</w:t>
            </w:r>
            <w:r w:rsidRPr="0070201F">
              <w:t>)</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6520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Планински сенокосни ливади</w:t>
            </w:r>
          </w:p>
        </w:tc>
      </w:tr>
      <w:tr w:rsidR="006173E9" w:rsidRPr="0070201F" w:rsidTr="006173E9">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173E9" w:rsidRPr="0070201F" w:rsidRDefault="006173E9" w:rsidP="006173E9">
            <w:pPr>
              <w:pageBreakBefore/>
              <w:spacing w:before="120" w:after="120"/>
              <w:rPr>
                <w:noProof/>
              </w:rPr>
            </w:pPr>
            <w:r w:rsidRPr="0070201F">
              <w:rPr>
                <w:b/>
              </w:rPr>
              <w:lastRenderedPageBreak/>
              <w:t>Склерофилни пасищни гори (dehesas) и залесени ливади</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bCs/>
                <w:noProof/>
              </w:rPr>
            </w:pPr>
            <w:r w:rsidRPr="0070201F">
              <w:t>6310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bCs/>
                <w:noProof/>
              </w:rPr>
            </w:pPr>
            <w:r w:rsidRPr="0070201F">
              <w:t xml:space="preserve">Склерофилни пасищни гори с вечнозелен </w:t>
            </w:r>
            <w:r w:rsidRPr="0070201F">
              <w:rPr>
                <w:i/>
              </w:rPr>
              <w:t>Quercus</w:t>
            </w:r>
            <w:r w:rsidRPr="0070201F">
              <w:t xml:space="preserve"> spp.</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6530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Феноскандинавски залесени ливади</w:t>
            </w:r>
          </w:p>
        </w:tc>
      </w:tr>
      <w:tr w:rsidR="006173E9" w:rsidRPr="0070201F" w:rsidTr="006173E9">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9070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Феноскандинавски залесени пасища</w:t>
            </w:r>
          </w:p>
        </w:tc>
      </w:tr>
    </w:tbl>
    <w:p w:rsidR="006173E9" w:rsidRPr="0070201F" w:rsidRDefault="006173E9" w:rsidP="006173E9">
      <w:pPr>
        <w:keepNext/>
        <w:spacing w:before="120" w:after="120"/>
        <w:ind w:left="850" w:hanging="850"/>
        <w:outlineLvl w:val="1"/>
        <w:rPr>
          <w:b/>
          <w:bCs/>
          <w:noProof/>
          <w:szCs w:val="26"/>
        </w:rPr>
      </w:pPr>
      <w:r w:rsidRPr="0070201F">
        <w:rPr>
          <w:b/>
        </w:rPr>
        <w:t>3.</w:t>
      </w:r>
      <w:r w:rsidRPr="0070201F">
        <w:rPr>
          <w:b/>
        </w:rPr>
        <w:tab/>
        <w:t xml:space="preserve">ГРУПА 3: Речни, езерни, алувиални и крайречни местообитания </w:t>
      </w:r>
    </w:p>
    <w:tbl>
      <w:tblPr>
        <w:tblStyle w:val="TableGrid"/>
        <w:tblW w:w="0" w:type="auto"/>
        <w:tblLook w:val="04A0" w:firstRow="1" w:lastRow="0" w:firstColumn="1" w:lastColumn="0" w:noHBand="0" w:noVBand="1"/>
      </w:tblPr>
      <w:tblGrid>
        <w:gridCol w:w="2611"/>
        <w:gridCol w:w="7018"/>
      </w:tblGrid>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 xml:space="preserve">Код на типа местообитание, посочен в приложение I към Директива 92/43/ЕИО на Съвета </w:t>
            </w:r>
          </w:p>
        </w:tc>
        <w:tc>
          <w:tcPr>
            <w:tcW w:w="7508"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Наименование на типа местообитание, посочено в приложение I към Директива 92/43/ЕИО на Съвета</w:t>
            </w:r>
          </w:p>
        </w:tc>
      </w:tr>
      <w:tr w:rsidR="006173E9" w:rsidRPr="0070201F" w:rsidTr="006173E9">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Реки и езера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3110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Олиготрофни води, съдържащи минимални количества минерали на пясъчни равнини (</w:t>
            </w:r>
            <w:r w:rsidRPr="0070201F">
              <w:rPr>
                <w:i/>
              </w:rPr>
              <w:t>Littorelletalia uniflorae</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3120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 xml:space="preserve">Олиготрофни води, съдържащи минимални количества минерали предимно на пясъчните равнини на Западното Средиземноморие с растителност от </w:t>
            </w:r>
            <w:r w:rsidRPr="0070201F">
              <w:rPr>
                <w:i/>
              </w:rPr>
              <w:t>Isoetes</w:t>
            </w:r>
            <w:r w:rsidRPr="0070201F">
              <w:t xml:space="preserve"> spp.</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3130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 xml:space="preserve">Олиготрофни до мезотрофни постоянни води с растителност от </w:t>
            </w:r>
            <w:r w:rsidRPr="0070201F">
              <w:rPr>
                <w:i/>
              </w:rPr>
              <w:t>Littorelletea uniflorae</w:t>
            </w:r>
            <w:r w:rsidRPr="0070201F">
              <w:t xml:space="preserve"> и/или </w:t>
            </w:r>
            <w:r w:rsidRPr="0070201F">
              <w:rPr>
                <w:i/>
              </w:rPr>
              <w:t>Isoëto-Nanojuncetea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3140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 xml:space="preserve">Твърди олиго-мезотрофни води с бентосни формации от </w:t>
            </w:r>
            <w:r w:rsidRPr="0070201F">
              <w:rPr>
                <w:i/>
              </w:rPr>
              <w:t>Chara</w:t>
            </w:r>
            <w:r w:rsidRPr="0070201F">
              <w:t xml:space="preserve"> spp.</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3150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 xml:space="preserve">Естествени еутрофни езера с растителност от типа </w:t>
            </w:r>
            <w:r w:rsidRPr="0070201F">
              <w:rPr>
                <w:i/>
              </w:rPr>
              <w:t>Magnopotamion</w:t>
            </w:r>
            <w:r w:rsidRPr="0070201F">
              <w:t xml:space="preserve"> или </w:t>
            </w:r>
            <w:r w:rsidRPr="0070201F">
              <w:rPr>
                <w:i/>
              </w:rPr>
              <w:t>Hydrocharition</w:t>
            </w:r>
            <w:r w:rsidRPr="0070201F">
              <w:t xml:space="preserve"> </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Естествени дистрофни езера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3170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Средиземноморски временни водни площи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3180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Временни подземни езера в Ирландия (Turloughs)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3190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Езера от гипсов карст</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31A0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Топлоизворни лотусови корита в Трансилвания</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Феноскандинавски естествени реки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Алпийски реки и тревна растителност по техните брегове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Алпийски реки и тяхната дървесна растителност с </w:t>
            </w:r>
            <w:r w:rsidRPr="0070201F">
              <w:rPr>
                <w:i/>
              </w:rPr>
              <w:t>Myricaria germanica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lastRenderedPageBreak/>
              <w:t>3240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Алпийски реки и тяхната дървесна растителност със </w:t>
            </w:r>
            <w:r w:rsidRPr="0070201F">
              <w:rPr>
                <w:i/>
              </w:rPr>
              <w:t>Salix elaeagnos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3250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Постоянно течащи средиземноморски реки с </w:t>
            </w:r>
            <w:r w:rsidRPr="0070201F">
              <w:rPr>
                <w:i/>
              </w:rPr>
              <w:t>Glaucium flavum</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3260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Плаваща растителност от типа </w:t>
            </w:r>
            <w:r w:rsidRPr="0070201F">
              <w:rPr>
                <w:i/>
              </w:rPr>
              <w:t>Ranunculion fluitantis</w:t>
            </w:r>
            <w:r w:rsidRPr="0070201F">
              <w:t xml:space="preserve"> и </w:t>
            </w:r>
            <w:r w:rsidRPr="0070201F">
              <w:rPr>
                <w:i/>
              </w:rPr>
              <w:t>Callitricho-Batrachion</w:t>
            </w:r>
            <w:r w:rsidRPr="0070201F">
              <w:t xml:space="preserve"> по предпланински реки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3270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Реки с кални брегове с растителност от типа </w:t>
            </w:r>
            <w:r w:rsidRPr="0070201F">
              <w:rPr>
                <w:i/>
              </w:rPr>
              <w:t>Chenopodion rubri</w:t>
            </w:r>
            <w:r w:rsidRPr="0070201F">
              <w:t xml:space="preserve"> p.p. и </w:t>
            </w:r>
            <w:r w:rsidRPr="0070201F">
              <w:rPr>
                <w:i/>
              </w:rPr>
              <w:t>Bidention</w:t>
            </w:r>
            <w:r w:rsidRPr="0070201F">
              <w:t xml:space="preserve"> p.p.</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3280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 xml:space="preserve">Постоянно течащи средиземноморски реки с растителност от типа </w:t>
            </w:r>
            <w:r w:rsidRPr="0070201F">
              <w:rPr>
                <w:i/>
              </w:rPr>
              <w:t>Paspalo-Agrostidion</w:t>
            </w:r>
            <w:r w:rsidRPr="0070201F">
              <w:t xml:space="preserve"> и висящи завеси от </w:t>
            </w:r>
            <w:r w:rsidRPr="0070201F">
              <w:rPr>
                <w:i/>
              </w:rPr>
              <w:t>Salix</w:t>
            </w:r>
            <w:r w:rsidRPr="0070201F">
              <w:t xml:space="preserve"> и </w:t>
            </w:r>
            <w:r w:rsidRPr="0070201F">
              <w:rPr>
                <w:i/>
              </w:rPr>
              <w:t>Populus alba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3290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 xml:space="preserve">Непостоянно течащи средиземноморски реки с растителност от типа </w:t>
            </w:r>
            <w:r w:rsidRPr="0070201F">
              <w:rPr>
                <w:i/>
              </w:rPr>
              <w:t>Paspalo-Agrostidion</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32A0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Туфести каскади на карстови реки в Динарските Алпи</w:t>
            </w:r>
          </w:p>
        </w:tc>
      </w:tr>
      <w:tr w:rsidR="006173E9" w:rsidRPr="0070201F" w:rsidTr="006173E9">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Алувиални ливади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6430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Тревни съобщества от водолюбиви високи треви в равнинни и планински до алпийски райони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6440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Алувиални ливади на речни долини с </w:t>
            </w:r>
            <w:r w:rsidRPr="0070201F">
              <w:rPr>
                <w:i/>
              </w:rPr>
              <w:t>Cnidion dubii</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6450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Северни бореални алувиални ливади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6540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Субсредиземноморски тревни съобщества от </w:t>
            </w:r>
            <w:r w:rsidRPr="0070201F">
              <w:rPr>
                <w:i/>
              </w:rPr>
              <w:t>Molinio-Hordeion secalini</w:t>
            </w:r>
          </w:p>
        </w:tc>
      </w:tr>
      <w:tr w:rsidR="006173E9" w:rsidRPr="0070201F" w:rsidTr="006173E9">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Cs/>
                <w:noProof/>
              </w:rPr>
            </w:pPr>
            <w:r w:rsidRPr="0070201F">
              <w:rPr>
                <w:b/>
              </w:rPr>
              <w:t>Алувиални/крайречни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Южноатлантически и средноевропейски дъбово-габърови гори </w:t>
            </w:r>
            <w:r w:rsidRPr="0070201F">
              <w:rPr>
                <w:i/>
              </w:rPr>
              <w:t>Carpinion betuli</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91E0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Алувиални гори с </w:t>
            </w:r>
            <w:r w:rsidRPr="0070201F">
              <w:rPr>
                <w:i/>
              </w:rPr>
              <w:t>Alnus glutinosa</w:t>
            </w:r>
            <w:r w:rsidRPr="0070201F">
              <w:t xml:space="preserve"> и </w:t>
            </w:r>
            <w:r w:rsidRPr="0070201F">
              <w:rPr>
                <w:i/>
              </w:rPr>
              <w:t>Fraxinus excelsior</w:t>
            </w:r>
            <w:r w:rsidRPr="0070201F">
              <w:t xml:space="preserve"> (</w:t>
            </w:r>
            <w:r w:rsidRPr="0070201F">
              <w:rPr>
                <w:i/>
              </w:rPr>
              <w:t>Alno-Padion</w:t>
            </w:r>
            <w:r w:rsidRPr="0070201F">
              <w:t xml:space="preserve">, </w:t>
            </w:r>
            <w:r w:rsidRPr="0070201F">
              <w:rPr>
                <w:i/>
              </w:rPr>
              <w:t>Alnion incanae</w:t>
            </w:r>
            <w:r w:rsidRPr="0070201F">
              <w:t xml:space="preserve">, </w:t>
            </w:r>
            <w:r w:rsidRPr="0070201F">
              <w:rPr>
                <w:i/>
              </w:rPr>
              <w:t>Salicion albae</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91F0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Крайречни смесени гори от </w:t>
            </w:r>
            <w:r w:rsidRPr="0070201F">
              <w:rPr>
                <w:i/>
              </w:rPr>
              <w:t>Quercus robur</w:t>
            </w:r>
            <w:r w:rsidRPr="0070201F">
              <w:t xml:space="preserve">, </w:t>
            </w:r>
            <w:r w:rsidRPr="0070201F">
              <w:rPr>
                <w:i/>
              </w:rPr>
              <w:t>Ulmus laevis</w:t>
            </w:r>
            <w:r w:rsidRPr="0070201F">
              <w:t xml:space="preserve"> и </w:t>
            </w:r>
            <w:r w:rsidRPr="0070201F">
              <w:rPr>
                <w:i/>
              </w:rPr>
              <w:t>Ulmus minor</w:t>
            </w:r>
            <w:r w:rsidRPr="0070201F">
              <w:t xml:space="preserve">, </w:t>
            </w:r>
            <w:r w:rsidRPr="0070201F">
              <w:rPr>
                <w:i/>
              </w:rPr>
              <w:t>Fraxinus excelsior</w:t>
            </w:r>
            <w:r w:rsidRPr="0070201F">
              <w:t xml:space="preserve"> или </w:t>
            </w:r>
            <w:r w:rsidRPr="0070201F">
              <w:rPr>
                <w:i/>
              </w:rPr>
              <w:t>Fraxinus angustifolia</w:t>
            </w:r>
            <w:r w:rsidRPr="0070201F">
              <w:t>, по бреговете на големи реки (</w:t>
            </w:r>
            <w:r w:rsidRPr="0070201F">
              <w:rPr>
                <w:i/>
              </w:rPr>
              <w:t>Ulmenion minoris</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Галерийни гори със </w:t>
            </w:r>
            <w:r w:rsidRPr="0070201F">
              <w:rPr>
                <w:i/>
                <w:iCs/>
              </w:rPr>
              <w:t>Salix alba</w:t>
            </w:r>
            <w:r w:rsidRPr="0070201F">
              <w:t xml:space="preserve"> и </w:t>
            </w:r>
            <w:r w:rsidRPr="0070201F">
              <w:rPr>
                <w:i/>
              </w:rPr>
              <w:t>Populus alba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92B0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Крайречни формации край пресъхващи средиземноморски речни течения с </w:t>
            </w:r>
            <w:r w:rsidRPr="0070201F">
              <w:rPr>
                <w:i/>
              </w:rPr>
              <w:t>Rhododendron ponticum</w:t>
            </w:r>
            <w:r w:rsidRPr="0070201F">
              <w:t xml:space="preserve">, </w:t>
            </w:r>
            <w:r w:rsidRPr="0070201F">
              <w:rPr>
                <w:i/>
              </w:rPr>
              <w:t>Salix</w:t>
            </w:r>
            <w:r w:rsidRPr="0070201F">
              <w:t xml:space="preserve"> и други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92C0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Гори от източен чинар и </w:t>
            </w:r>
            <w:r w:rsidRPr="0070201F">
              <w:rPr>
                <w:i/>
                <w:iCs/>
              </w:rPr>
              <w:t>Liquidambar orientalis</w:t>
            </w:r>
            <w:r w:rsidRPr="0070201F">
              <w:t xml:space="preserve"> (</w:t>
            </w:r>
            <w:r w:rsidRPr="0070201F">
              <w:rPr>
                <w:i/>
              </w:rPr>
              <w:t>Platanion orientalis</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92D0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Южносредиземноморски крайречни галерийни съобщества и гъсталаци (</w:t>
            </w:r>
            <w:r w:rsidRPr="0070201F">
              <w:rPr>
                <w:i/>
              </w:rPr>
              <w:t>Nerio-Tamaricetea</w:t>
            </w:r>
            <w:r w:rsidRPr="0070201F">
              <w:t xml:space="preserve"> и </w:t>
            </w:r>
            <w:r w:rsidRPr="0070201F">
              <w:rPr>
                <w:i/>
              </w:rPr>
              <w:t>Securinegion tinctoriae</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lastRenderedPageBreak/>
              <w:t>9370</w:t>
            </w:r>
          </w:p>
        </w:tc>
        <w:tc>
          <w:tcPr>
            <w:tcW w:w="7508"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t xml:space="preserve">Палмови горички от </w:t>
            </w:r>
            <w:r w:rsidRPr="0070201F">
              <w:rPr>
                <w:i/>
                <w:iCs/>
              </w:rPr>
              <w:t>Phoenix</w:t>
            </w:r>
          </w:p>
        </w:tc>
      </w:tr>
    </w:tbl>
    <w:p w:rsidR="006173E9" w:rsidRPr="0070201F" w:rsidRDefault="006173E9" w:rsidP="006173E9">
      <w:pPr>
        <w:keepNext/>
        <w:spacing w:before="120" w:after="120"/>
        <w:ind w:left="850" w:hanging="850"/>
        <w:outlineLvl w:val="1"/>
        <w:rPr>
          <w:b/>
          <w:bCs/>
          <w:noProof/>
          <w:szCs w:val="26"/>
        </w:rPr>
      </w:pPr>
      <w:r w:rsidRPr="0070201F">
        <w:rPr>
          <w:b/>
        </w:rPr>
        <w:t>4.</w:t>
      </w:r>
      <w:r w:rsidRPr="0070201F">
        <w:rPr>
          <w:b/>
        </w:rPr>
        <w:tab/>
        <w:t>ГРУПА 4: Гори</w:t>
      </w:r>
    </w:p>
    <w:tbl>
      <w:tblPr>
        <w:tblStyle w:val="TableGrid"/>
        <w:tblW w:w="9067" w:type="dxa"/>
        <w:tblLayout w:type="fixed"/>
        <w:tblLook w:val="04A0" w:firstRow="1" w:lastRow="0" w:firstColumn="1" w:lastColumn="0" w:noHBand="0" w:noVBand="1"/>
      </w:tblPr>
      <w:tblGrid>
        <w:gridCol w:w="1555"/>
        <w:gridCol w:w="7512"/>
      </w:tblGrid>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 xml:space="preserve">Код на типа местообитание, посочен в приложение I към Директива 92/43/ЕИО на Съвета </w:t>
            </w:r>
          </w:p>
        </w:tc>
        <w:tc>
          <w:tcPr>
            <w:tcW w:w="7512"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Наименование на типа местообитание, посочено в приложение I към Директива 92/43/ЕИО на Съвета</w:t>
            </w:r>
          </w:p>
        </w:tc>
      </w:tr>
      <w:tr w:rsidR="006173E9" w:rsidRPr="0070201F" w:rsidTr="006173E9">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Бореални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9010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Западна тайга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9020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Феноскандинавски полубореални естествени стари листопадни широколистни гори (</w:t>
            </w:r>
            <w:r w:rsidRPr="0070201F">
              <w:rPr>
                <w:i/>
              </w:rPr>
              <w:t>Quercus</w:t>
            </w:r>
            <w:r w:rsidRPr="0070201F">
              <w:t xml:space="preserve">, </w:t>
            </w:r>
            <w:r w:rsidRPr="0070201F">
              <w:rPr>
                <w:i/>
              </w:rPr>
              <w:t>Tilia</w:t>
            </w:r>
            <w:r w:rsidRPr="0070201F">
              <w:t xml:space="preserve">, </w:t>
            </w:r>
            <w:r w:rsidRPr="0070201F">
              <w:rPr>
                <w:i/>
              </w:rPr>
              <w:t>Acer</w:t>
            </w:r>
            <w:r w:rsidRPr="0070201F">
              <w:t xml:space="preserve">, </w:t>
            </w:r>
            <w:r w:rsidRPr="0070201F">
              <w:rPr>
                <w:i/>
              </w:rPr>
              <w:t>Fraxinus</w:t>
            </w:r>
            <w:r w:rsidRPr="0070201F">
              <w:t xml:space="preserve"> или </w:t>
            </w:r>
            <w:r w:rsidRPr="0070201F">
              <w:rPr>
                <w:i/>
              </w:rPr>
              <w:t>Ulmus</w:t>
            </w:r>
            <w:r w:rsidRPr="0070201F">
              <w:t>), богати на епифити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9030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Естествени гори в първоначалния стадий на сукцесия при разместване на брегове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9040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Северни субалпийски/субарктични гори с </w:t>
            </w:r>
            <w:r w:rsidRPr="0070201F">
              <w:rPr>
                <w:i/>
              </w:rPr>
              <w:t>Betula pubescens</w:t>
            </w:r>
            <w:r w:rsidRPr="0070201F">
              <w:t xml:space="preserve"> ssp. </w:t>
            </w:r>
            <w:r w:rsidRPr="0070201F">
              <w:rPr>
                <w:i/>
              </w:rPr>
              <w:t>czerepanovii</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9050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Феноскандинавски гори с </w:t>
            </w:r>
            <w:r w:rsidRPr="0070201F">
              <w:rPr>
                <w:i/>
              </w:rPr>
              <w:t>Picea abies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9060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Иглолистни гори върху или свързани с ледникови речни чакълени наноси</w:t>
            </w:r>
          </w:p>
        </w:tc>
      </w:tr>
      <w:tr w:rsidR="006173E9" w:rsidRPr="0070201F" w:rsidTr="006173E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noProof/>
              </w:rPr>
            </w:pPr>
            <w:r w:rsidRPr="0070201F">
              <w:rPr>
                <w:b/>
              </w:rPr>
              <w:t>Умереноконтинентални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Букови гори от типа </w:t>
            </w:r>
            <w:r w:rsidRPr="0070201F">
              <w:rPr>
                <w:i/>
              </w:rPr>
              <w:t>Luzulo-Fagetum</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Атлантически ацидофилни букови гори с </w:t>
            </w:r>
            <w:r w:rsidRPr="0070201F">
              <w:rPr>
                <w:i/>
              </w:rPr>
              <w:t>Ilex</w:t>
            </w:r>
            <w:r w:rsidRPr="0070201F">
              <w:t xml:space="preserve"> и понякога с </w:t>
            </w:r>
            <w:r w:rsidRPr="0070201F">
              <w:rPr>
                <w:i/>
              </w:rPr>
              <w:t>Taxus</w:t>
            </w:r>
            <w:r w:rsidRPr="0070201F">
              <w:t xml:space="preserve"> в храсталаците (</w:t>
            </w:r>
            <w:r w:rsidRPr="0070201F">
              <w:rPr>
                <w:i/>
              </w:rPr>
              <w:t>Quercion robori-petraeae</w:t>
            </w:r>
            <w:r w:rsidRPr="0070201F">
              <w:t xml:space="preserve"> или </w:t>
            </w:r>
            <w:r w:rsidRPr="0070201F">
              <w:rPr>
                <w:i/>
              </w:rPr>
              <w:t>Ilici-Fagenion</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Букови гори от типа </w:t>
            </w:r>
            <w:r w:rsidRPr="0070201F">
              <w:rPr>
                <w:i/>
              </w:rPr>
              <w:t>Asperulo-Fagetum</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Средноевропейски субалпийски букови гори с </w:t>
            </w:r>
            <w:r w:rsidRPr="0070201F">
              <w:rPr>
                <w:i/>
              </w:rPr>
              <w:t>Acer</w:t>
            </w:r>
            <w:r w:rsidRPr="0070201F">
              <w:t xml:space="preserve"> и </w:t>
            </w:r>
            <w:r w:rsidRPr="0070201F">
              <w:rPr>
                <w:i/>
              </w:rPr>
              <w:t>Rumex arifolius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Средноевропейски букови гори върху карбонатна основа (</w:t>
            </w:r>
            <w:r w:rsidRPr="0070201F">
              <w:rPr>
                <w:i/>
              </w:rPr>
              <w:t>Cephalanthero-Fagion</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Дъбово-габърови гори </w:t>
            </w:r>
            <w:r w:rsidRPr="0070201F">
              <w:rPr>
                <w:i/>
              </w:rPr>
              <w:t>Galio-Carpinetum</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Гори по стръмни склонове, сипеи и дефилета </w:t>
            </w:r>
            <w:r w:rsidRPr="0070201F">
              <w:rPr>
                <w:i/>
              </w:rPr>
              <w:t>Tilio-Acerion</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Стари ацидофилни дъбови гори от </w:t>
            </w:r>
            <w:r w:rsidRPr="0070201F">
              <w:rPr>
                <w:i/>
              </w:rPr>
              <w:t>Quercus robur</w:t>
            </w:r>
            <w:r w:rsidRPr="0070201F">
              <w:t xml:space="preserve"> върху песъчливи равнини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lastRenderedPageBreak/>
              <w:t>91A0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Стари дъбови гори с </w:t>
            </w:r>
            <w:r w:rsidRPr="0070201F">
              <w:rPr>
                <w:i/>
              </w:rPr>
              <w:t>Ilex</w:t>
            </w:r>
            <w:r w:rsidRPr="0070201F">
              <w:t xml:space="preserve"> и </w:t>
            </w:r>
            <w:r w:rsidRPr="0070201F">
              <w:rPr>
                <w:i/>
              </w:rPr>
              <w:t>Blechnum</w:t>
            </w:r>
            <w:r w:rsidRPr="0070201F">
              <w:t xml:space="preserve"> на Британските острови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91B0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Термофилни гори </w:t>
            </w:r>
            <w:r w:rsidRPr="0070201F">
              <w:rPr>
                <w:i/>
              </w:rPr>
              <w:t>Fraxinus angustifolia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91G0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Панонски гори от </w:t>
            </w:r>
            <w:r w:rsidRPr="0070201F">
              <w:rPr>
                <w:i/>
              </w:rPr>
              <w:t>Quercus petraea</w:t>
            </w:r>
            <w:r w:rsidRPr="0070201F">
              <w:t xml:space="preserve"> и </w:t>
            </w:r>
            <w:r w:rsidRPr="0070201F">
              <w:rPr>
                <w:i/>
              </w:rPr>
              <w:t>Carpinus betulus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91H0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Панонски гори от </w:t>
            </w:r>
            <w:r w:rsidRPr="0070201F">
              <w:rPr>
                <w:i/>
              </w:rPr>
              <w:t>Quercus pubescens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91I0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Евросибирски степни дъбови гори от </w:t>
            </w:r>
            <w:r w:rsidRPr="0070201F">
              <w:rPr>
                <w:i/>
              </w:rPr>
              <w:t>Quercus</w:t>
            </w:r>
            <w:r w:rsidRPr="0070201F">
              <w:t xml:space="preserve"> spp.</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91J0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Гори от </w:t>
            </w:r>
            <w:r w:rsidRPr="0070201F">
              <w:rPr>
                <w:i/>
              </w:rPr>
              <w:t>Taxus baccata</w:t>
            </w:r>
            <w:r w:rsidRPr="0070201F">
              <w:t xml:space="preserve"> на Британските острови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91K0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Илирийски гори от </w:t>
            </w:r>
            <w:r w:rsidRPr="0070201F">
              <w:rPr>
                <w:i/>
              </w:rPr>
              <w:t>Fagus sylvatica</w:t>
            </w:r>
            <w:r w:rsidRPr="0070201F">
              <w:t xml:space="preserve"> (</w:t>
            </w:r>
            <w:r w:rsidRPr="0070201F">
              <w:rPr>
                <w:i/>
              </w:rPr>
              <w:t>Aremonio-Fagion</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91L0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Илирийски дъбово-брястови гори (</w:t>
            </w:r>
            <w:r w:rsidRPr="0070201F">
              <w:rPr>
                <w:i/>
              </w:rPr>
              <w:t>Erythronio-Carpinion</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91M0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Панонски-балкански дъбови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91P0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Елови гори в Светия кръст (</w:t>
            </w:r>
            <w:r w:rsidRPr="0070201F">
              <w:rPr>
                <w:i/>
              </w:rPr>
              <w:t>Abietetum polonicum</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91Q0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Западнокарпатски гори от </w:t>
            </w:r>
            <w:r w:rsidRPr="0070201F">
              <w:rPr>
                <w:i/>
                <w:iCs/>
              </w:rPr>
              <w:t>Pinus sylvestris</w:t>
            </w:r>
            <w:r w:rsidRPr="0070201F">
              <w:t xml:space="preserve"> на варовита почва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91R0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Гори от бял бор в Динарските доломити (</w:t>
            </w:r>
            <w:r w:rsidRPr="0070201F">
              <w:rPr>
                <w:i/>
              </w:rPr>
              <w:t>Genisto januensis-Pinetum</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91S0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Западнопонтийски букови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91T0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Централноевропейски гори от бял бор с лишеи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91U0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Сарматски степни борови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91V0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Дакийски букови гори (</w:t>
            </w:r>
            <w:r w:rsidRPr="0070201F">
              <w:rPr>
                <w:i/>
              </w:rPr>
              <w:t>Symphyto-Fagion</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91W0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Мизийски букови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91X0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Добруджански букови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91Y0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Дакийски дъбови и брястови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91Z0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Мизийски гори от бяла липа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91AA</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Източни бели дъбови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91BA</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Мизийски гори от бели ели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noProof/>
              </w:rPr>
            </w:pPr>
            <w:r w:rsidRPr="0070201F">
              <w:t>91CA</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Рило-родопски и Старопланински гори от бял бор</w:t>
            </w:r>
          </w:p>
        </w:tc>
      </w:tr>
      <w:tr w:rsidR="006173E9" w:rsidRPr="0070201F" w:rsidTr="006173E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pageBreakBefore/>
              <w:spacing w:before="120" w:after="120"/>
              <w:rPr>
                <w:bCs/>
                <w:noProof/>
              </w:rPr>
            </w:pPr>
            <w:r w:rsidRPr="0070201F">
              <w:rPr>
                <w:b/>
              </w:rPr>
              <w:lastRenderedPageBreak/>
              <w:t>Средиземноморски и макаронезийски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Апенински букови гори с </w:t>
            </w:r>
            <w:r w:rsidRPr="0070201F">
              <w:rPr>
                <w:i/>
              </w:rPr>
              <w:t>Taxus</w:t>
            </w:r>
            <w:r w:rsidRPr="0070201F">
              <w:t xml:space="preserve"> и </w:t>
            </w:r>
            <w:r w:rsidRPr="0070201F">
              <w:rPr>
                <w:i/>
              </w:rPr>
              <w:t>Ilex</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Апенински букови гори с </w:t>
            </w:r>
            <w:r w:rsidRPr="0070201F">
              <w:rPr>
                <w:i/>
              </w:rPr>
              <w:t>Abies alba</w:t>
            </w:r>
            <w:r w:rsidRPr="0070201F">
              <w:t xml:space="preserve"> и букови гори с </w:t>
            </w:r>
            <w:r w:rsidRPr="0070201F">
              <w:rPr>
                <w:i/>
              </w:rPr>
              <w:t>Abies nebrodensis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Галицио-португалски дъбови гори с </w:t>
            </w:r>
            <w:r w:rsidRPr="0070201F">
              <w:rPr>
                <w:i/>
              </w:rPr>
              <w:t>Quercus robur</w:t>
            </w:r>
            <w:r w:rsidRPr="0070201F">
              <w:t xml:space="preserve"> и </w:t>
            </w:r>
            <w:r w:rsidRPr="0070201F">
              <w:rPr>
                <w:i/>
              </w:rPr>
              <w:t>Quercus pyrenaica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Гори с </w:t>
            </w:r>
            <w:r w:rsidRPr="0070201F">
              <w:rPr>
                <w:i/>
              </w:rPr>
              <w:t>Quercus faginea</w:t>
            </w:r>
            <w:r w:rsidRPr="0070201F">
              <w:t xml:space="preserve"> и </w:t>
            </w:r>
            <w:r w:rsidRPr="0070201F">
              <w:rPr>
                <w:i/>
              </w:rPr>
              <w:t>Quercus canariensis</w:t>
            </w:r>
            <w:r w:rsidRPr="0070201F">
              <w:t xml:space="preserve"> (Иберийски полуостров)</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Гори с </w:t>
            </w:r>
            <w:r w:rsidRPr="0070201F">
              <w:rPr>
                <w:i/>
              </w:rPr>
              <w:t>Quercus trojana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9260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Cs/>
                <w:noProof/>
              </w:rPr>
            </w:pPr>
            <w:r w:rsidRPr="0070201F">
              <w:t>Гори от питомен кестен (</w:t>
            </w:r>
            <w:r w:rsidRPr="0070201F">
              <w:rPr>
                <w:i/>
              </w:rPr>
              <w:t>Castanea sativa</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Гръцки букови гори с </w:t>
            </w:r>
            <w:r w:rsidRPr="0070201F">
              <w:rPr>
                <w:i/>
              </w:rPr>
              <w:t>Abies borisii-regis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9280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Гори с </w:t>
            </w:r>
            <w:r w:rsidRPr="0070201F">
              <w:rPr>
                <w:i/>
              </w:rPr>
              <w:t>Quercus frainetto</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9290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Кипарисови гори (</w:t>
            </w:r>
            <w:r w:rsidRPr="0070201F">
              <w:rPr>
                <w:i/>
              </w:rPr>
              <w:t>Acero-Cupression</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Егейски гори от </w:t>
            </w:r>
            <w:r w:rsidRPr="0070201F">
              <w:rPr>
                <w:i/>
              </w:rPr>
              <w:t>Quercus brachyphylla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Гори от </w:t>
            </w:r>
            <w:r w:rsidRPr="0070201F">
              <w:rPr>
                <w:i/>
              </w:rPr>
              <w:t>Olea</w:t>
            </w:r>
            <w:r w:rsidRPr="0070201F">
              <w:t xml:space="preserve"> и </w:t>
            </w:r>
            <w:r w:rsidRPr="0070201F">
              <w:rPr>
                <w:i/>
              </w:rPr>
              <w:t>Ceratonia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Гори от </w:t>
            </w:r>
            <w:r w:rsidRPr="0070201F">
              <w:rPr>
                <w:i/>
              </w:rPr>
              <w:t>Quercus suber</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Гори от </w:t>
            </w:r>
            <w:r w:rsidRPr="0070201F">
              <w:rPr>
                <w:i/>
              </w:rPr>
              <w:t>Quercus ilex</w:t>
            </w:r>
            <w:r w:rsidRPr="0070201F">
              <w:t xml:space="preserve"> и </w:t>
            </w:r>
            <w:r w:rsidRPr="0070201F">
              <w:rPr>
                <w:i/>
              </w:rPr>
              <w:t>Quercus rotundifolia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9350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Гори от </w:t>
            </w:r>
            <w:r w:rsidRPr="0070201F">
              <w:rPr>
                <w:i/>
              </w:rPr>
              <w:t>Quercus macrolepis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9360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Макаронезийски лаврови гори (</w:t>
            </w:r>
            <w:r w:rsidRPr="0070201F">
              <w:rPr>
                <w:i/>
              </w:rPr>
              <w:t>Laurus</w:t>
            </w:r>
            <w:r w:rsidRPr="0070201F">
              <w:t xml:space="preserve">, </w:t>
            </w:r>
            <w:r w:rsidRPr="0070201F">
              <w:rPr>
                <w:i/>
              </w:rPr>
              <w:t>Ocotea</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9380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Гори от </w:t>
            </w:r>
            <w:r w:rsidRPr="0070201F">
              <w:rPr>
                <w:i/>
              </w:rPr>
              <w:t>Ilex aquifolium</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9390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Cs/>
                <w:noProof/>
              </w:rPr>
            </w:pPr>
            <w:r w:rsidRPr="0070201F">
              <w:t xml:space="preserve">Храсталаци и ниска гориста растителност с </w:t>
            </w:r>
            <w:r w:rsidRPr="0070201F">
              <w:rPr>
                <w:i/>
              </w:rPr>
              <w:t>Quercus alnifolia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93A0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Cs/>
                <w:noProof/>
              </w:rPr>
            </w:pPr>
            <w:r w:rsidRPr="0070201F">
              <w:t xml:space="preserve">Залесени площи с </w:t>
            </w:r>
            <w:r w:rsidRPr="0070201F">
              <w:rPr>
                <w:i/>
              </w:rPr>
              <w:t>Quercus infectoria</w:t>
            </w:r>
            <w:r w:rsidRPr="0070201F">
              <w:t xml:space="preserve"> (</w:t>
            </w:r>
            <w:r w:rsidRPr="0070201F">
              <w:rPr>
                <w:i/>
              </w:rPr>
              <w:t>Anagyro foetidae-Quercetum infectoriae</w:t>
            </w:r>
            <w:r w:rsidRPr="0070201F">
              <w:t>)</w:t>
            </w:r>
          </w:p>
        </w:tc>
      </w:tr>
      <w:tr w:rsidR="006173E9" w:rsidRPr="0070201F" w:rsidTr="006173E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bCs/>
                <w:noProof/>
              </w:rPr>
            </w:pPr>
            <w:r w:rsidRPr="0070201F">
              <w:rPr>
                <w:b/>
              </w:rPr>
              <w:t>Планински иглолистни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9410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Ацидофилни гори от </w:t>
            </w:r>
            <w:r w:rsidRPr="0070201F">
              <w:rPr>
                <w:i/>
              </w:rPr>
              <w:t>Picea</w:t>
            </w:r>
            <w:r w:rsidRPr="0070201F">
              <w:t xml:space="preserve"> на планинско до алпийско ниво (</w:t>
            </w:r>
            <w:r w:rsidRPr="0070201F">
              <w:rPr>
                <w:i/>
              </w:rPr>
              <w:t>Vaccinio-Piceetea</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9420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Алпийски гори от </w:t>
            </w:r>
            <w:r w:rsidRPr="0070201F">
              <w:rPr>
                <w:i/>
              </w:rPr>
              <w:t>Larix decidua</w:t>
            </w:r>
            <w:r w:rsidRPr="0070201F">
              <w:t xml:space="preserve"> и/или </w:t>
            </w:r>
            <w:r w:rsidRPr="0070201F">
              <w:rPr>
                <w:i/>
              </w:rPr>
              <w:t>Pinus cembra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9430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Субалпийски и планински гори от </w:t>
            </w:r>
            <w:r w:rsidRPr="0070201F">
              <w:rPr>
                <w:i/>
              </w:rPr>
              <w:t>Pinus uncinata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9510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Cs/>
                <w:noProof/>
              </w:rPr>
            </w:pPr>
            <w:r w:rsidRPr="0070201F">
              <w:t xml:space="preserve">Южно-апенински гори от </w:t>
            </w:r>
            <w:r w:rsidRPr="0070201F">
              <w:rPr>
                <w:i/>
                <w:iCs/>
              </w:rPr>
              <w:t>Abies alba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9520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Гори от </w:t>
            </w:r>
            <w:r w:rsidRPr="0070201F">
              <w:rPr>
                <w:i/>
              </w:rPr>
              <w:t>Abies pinsapo</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9530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(Суб-) Средиземноморски борови гори от ендемични черни борове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lastRenderedPageBreak/>
              <w:t>9540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Средиземноморски борови гори от ендемични мезогейски борове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9550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Ендемични канарски борови гори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9560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Ендемични гори от </w:t>
            </w:r>
            <w:r w:rsidRPr="0070201F">
              <w:rPr>
                <w:i/>
              </w:rPr>
              <w:t>Juniperus</w:t>
            </w:r>
            <w:r w:rsidRPr="0070201F">
              <w:t xml:space="preserve"> spp.</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9570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Гори от </w:t>
            </w:r>
            <w:r w:rsidRPr="0070201F">
              <w:rPr>
                <w:i/>
              </w:rPr>
              <w:t>Tetraclinis articulata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9580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Средиземноморски гори от </w:t>
            </w:r>
            <w:r w:rsidRPr="0070201F">
              <w:rPr>
                <w:i/>
              </w:rPr>
              <w:t>Taxus baccata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9590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Гори от </w:t>
            </w:r>
            <w:r w:rsidRPr="0070201F">
              <w:rPr>
                <w:i/>
                <w:iCs/>
              </w:rPr>
              <w:t>Cedrus brevifolia</w:t>
            </w:r>
            <w:r w:rsidRPr="0070201F">
              <w:t xml:space="preserve"> (</w:t>
            </w:r>
            <w:r w:rsidRPr="0070201F">
              <w:rPr>
                <w:i/>
              </w:rPr>
              <w:t>Cedrosetum brevifoliae</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95A0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Високи оро-средиземноморски борови гори</w:t>
            </w:r>
          </w:p>
        </w:tc>
      </w:tr>
    </w:tbl>
    <w:p w:rsidR="006173E9" w:rsidRPr="0070201F" w:rsidRDefault="006173E9" w:rsidP="006173E9">
      <w:pPr>
        <w:keepNext/>
        <w:tabs>
          <w:tab w:val="left" w:pos="851"/>
        </w:tabs>
        <w:spacing w:before="120" w:after="120"/>
        <w:outlineLvl w:val="1"/>
        <w:rPr>
          <w:b/>
          <w:bCs/>
          <w:noProof/>
          <w:szCs w:val="26"/>
        </w:rPr>
      </w:pPr>
      <w:r w:rsidRPr="0070201F">
        <w:rPr>
          <w:b/>
        </w:rPr>
        <w:t>5.</w:t>
      </w:r>
      <w:r w:rsidRPr="0070201F">
        <w:rPr>
          <w:b/>
        </w:rPr>
        <w:tab/>
        <w:t>ГРУПА 5: Местообитания на степи, пустош и храсталаци</w:t>
      </w:r>
    </w:p>
    <w:tbl>
      <w:tblPr>
        <w:tblStyle w:val="TableGrid"/>
        <w:tblW w:w="9067" w:type="dxa"/>
        <w:tblLayout w:type="fixed"/>
        <w:tblLook w:val="04A0" w:firstRow="1" w:lastRow="0" w:firstColumn="1" w:lastColumn="0" w:noHBand="0" w:noVBand="1"/>
      </w:tblPr>
      <w:tblGrid>
        <w:gridCol w:w="1555"/>
        <w:gridCol w:w="7512"/>
      </w:tblGrid>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 xml:space="preserve">Код на типа местообитание, посочен в приложение I към Директива 92/43/ЕИО на Съвета </w:t>
            </w:r>
          </w:p>
        </w:tc>
        <w:tc>
          <w:tcPr>
            <w:tcW w:w="7512"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Наименование на типа местообитание, посочено в приложение I към Директива 92/43/ЕИО на Съвета</w:t>
            </w:r>
          </w:p>
        </w:tc>
      </w:tr>
      <w:tr w:rsidR="006173E9" w:rsidRPr="0070201F" w:rsidTr="006173E9">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rPr>
                <w:b/>
              </w:rPr>
              <w:t>Степи върху солени и гипсови почви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1430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Хало-нитрофилни храсталаци (</w:t>
            </w:r>
            <w:r w:rsidRPr="0070201F">
              <w:rPr>
                <w:i/>
              </w:rPr>
              <w:t>Pegano-Salsoletea</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1510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Средиземноморски степи върху солени почви (</w:t>
            </w:r>
            <w:r w:rsidRPr="0070201F">
              <w:rPr>
                <w:i/>
              </w:rPr>
              <w:t>Limonietalia</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1520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Иберски степи върху гипсови почви (</w:t>
            </w:r>
            <w:r w:rsidRPr="0070201F">
              <w:rPr>
                <w:i/>
              </w:rPr>
              <w:t>Gypsophiletalia</w:t>
            </w:r>
            <w:r w:rsidRPr="0070201F">
              <w:t>)</w:t>
            </w:r>
          </w:p>
        </w:tc>
      </w:tr>
      <w:tr w:rsidR="006173E9" w:rsidRPr="0070201F" w:rsidTr="006173E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173E9" w:rsidRPr="0070201F" w:rsidRDefault="006173E9" w:rsidP="006173E9">
            <w:pPr>
              <w:spacing w:before="120" w:after="120"/>
              <w:rPr>
                <w:noProof/>
              </w:rPr>
            </w:pPr>
            <w:r w:rsidRPr="0070201F">
              <w:rPr>
                <w:b/>
              </w:rPr>
              <w:t>Умереноконтинентална пустош и храсталаци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bCs/>
                <w:noProof/>
              </w:rPr>
            </w:pPr>
            <w:r w:rsidRPr="0070201F">
              <w:t>4050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bCs/>
                <w:noProof/>
              </w:rPr>
            </w:pPr>
            <w:r w:rsidRPr="0070201F">
              <w:t>Ендемични макаронезийски съобщества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4060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Алпийски и бореални съобщества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4070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Храстови съобщества с </w:t>
            </w:r>
            <w:r w:rsidRPr="0070201F">
              <w:rPr>
                <w:i/>
              </w:rPr>
              <w:t>Pinus mugo</w:t>
            </w:r>
            <w:r w:rsidRPr="0070201F">
              <w:t xml:space="preserve"> и </w:t>
            </w:r>
            <w:r w:rsidRPr="0070201F">
              <w:rPr>
                <w:i/>
              </w:rPr>
              <w:t>Rhododendron hirsutum</w:t>
            </w:r>
            <w:r w:rsidRPr="0070201F">
              <w:t xml:space="preserve"> (</w:t>
            </w:r>
            <w:r w:rsidRPr="0070201F">
              <w:rPr>
                <w:i/>
                <w:iCs/>
              </w:rPr>
              <w:t>Mugo-Rhododenretum hirsuti</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4080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Субарктични храсталаци от </w:t>
            </w:r>
            <w:r w:rsidRPr="0070201F">
              <w:rPr>
                <w:i/>
              </w:rPr>
              <w:t>Salix</w:t>
            </w:r>
            <w:r w:rsidRPr="0070201F">
              <w:t xml:space="preserve"> spp.</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40A0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Субконтинентални пери-панонски храсталаци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40B0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Родопски съобщества на </w:t>
            </w:r>
            <w:r w:rsidRPr="0070201F">
              <w:rPr>
                <w:i/>
              </w:rPr>
              <w:t>Potentilla fruticosa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40C0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Понто-сарматски широколистни храстчета</w:t>
            </w:r>
          </w:p>
        </w:tc>
      </w:tr>
      <w:tr w:rsidR="006173E9" w:rsidRPr="0070201F" w:rsidTr="006173E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173E9" w:rsidRPr="0070201F" w:rsidRDefault="006173E9" w:rsidP="006173E9">
            <w:pPr>
              <w:pageBreakBefore/>
              <w:spacing w:before="120" w:after="120"/>
              <w:rPr>
                <w:b/>
                <w:bCs/>
                <w:noProof/>
              </w:rPr>
            </w:pPr>
            <w:r w:rsidRPr="0070201F">
              <w:rPr>
                <w:b/>
              </w:rPr>
              <w:lastRenderedPageBreak/>
              <w:t>Склерофилни храсталаци (маторал)</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5110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Устойчиви формации от </w:t>
            </w:r>
            <w:r w:rsidRPr="0070201F">
              <w:rPr>
                <w:i/>
              </w:rPr>
              <w:t>Buxus sempervirens</w:t>
            </w:r>
            <w:r w:rsidRPr="0070201F">
              <w:t xml:space="preserve"> върху варовикови скалисти склонове (</w:t>
            </w:r>
            <w:r w:rsidRPr="0070201F">
              <w:rPr>
                <w:i/>
              </w:rPr>
              <w:t>Berberidion</w:t>
            </w:r>
            <w:r w:rsidRPr="0070201F">
              <w:t xml:space="preserve"> p.p.)</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5120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Планински формации на </w:t>
            </w:r>
            <w:r w:rsidRPr="0070201F">
              <w:rPr>
                <w:i/>
              </w:rPr>
              <w:t>Cytisus purgans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5140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Формации на </w:t>
            </w:r>
            <w:r w:rsidRPr="0070201F">
              <w:rPr>
                <w:i/>
              </w:rPr>
              <w:t>Cistus palhinhae</w:t>
            </w:r>
            <w:r w:rsidRPr="0070201F">
              <w:t xml:space="preserve"> върху крайморски влажни полета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bCs/>
                <w:i/>
                <w:noProof/>
              </w:rPr>
            </w:pPr>
            <w:r w:rsidRPr="0070201F">
              <w:rPr>
                <w:b/>
                <w:i/>
              </w:rPr>
              <w:t>5210</w:t>
            </w:r>
          </w:p>
        </w:tc>
        <w:tc>
          <w:tcPr>
            <w:tcW w:w="7512"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bCs/>
                <w:i/>
                <w:iCs/>
                <w:noProof/>
              </w:rPr>
            </w:pPr>
            <w:r w:rsidRPr="0070201F">
              <w:rPr>
                <w:b/>
                <w:i/>
              </w:rPr>
              <w:t>Дървовиден маторал с Juniperus spp.</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5220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Маторал със </w:t>
            </w:r>
            <w:r w:rsidRPr="0070201F">
              <w:rPr>
                <w:i/>
              </w:rPr>
              <w:t>Zyziphus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5230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Маторал с </w:t>
            </w:r>
            <w:r w:rsidRPr="0070201F">
              <w:rPr>
                <w:i/>
              </w:rPr>
              <w:t>Laurus nobilis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5310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Лаврови гъсталаци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5320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Ниски формации от </w:t>
            </w:r>
            <w:r w:rsidRPr="0070201F">
              <w:rPr>
                <w:i/>
              </w:rPr>
              <w:t>Euphorbia</w:t>
            </w:r>
            <w:r w:rsidRPr="0070201F">
              <w:t xml:space="preserve"> в близост до скалисти брегове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5330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Южносредиземноморски и предпустинни храсталаци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5410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Западносредиземноморска фригана от типа </w:t>
            </w:r>
            <w:r w:rsidRPr="0070201F">
              <w:rPr>
                <w:i/>
              </w:rPr>
              <w:t>Astragalo-Plantaginetum subulatae</w:t>
            </w:r>
            <w:r w:rsidRPr="0070201F">
              <w:t>, растяща върху скали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5420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Фригана със </w:t>
            </w:r>
            <w:r w:rsidRPr="0070201F">
              <w:rPr>
                <w:i/>
              </w:rPr>
              <w:t>Sarcopoterium spinosum</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5430</w:t>
            </w:r>
          </w:p>
        </w:tc>
        <w:tc>
          <w:tcPr>
            <w:tcW w:w="7512"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Ендемична фригана с </w:t>
            </w:r>
            <w:r w:rsidRPr="0070201F">
              <w:rPr>
                <w:i/>
              </w:rPr>
              <w:t>Euphorbio-Verbascion</w:t>
            </w:r>
          </w:p>
        </w:tc>
      </w:tr>
    </w:tbl>
    <w:p w:rsidR="006173E9" w:rsidRPr="0070201F" w:rsidRDefault="006173E9" w:rsidP="006173E9">
      <w:pPr>
        <w:keepNext/>
        <w:spacing w:before="120" w:after="120"/>
        <w:ind w:left="850" w:hanging="850"/>
        <w:outlineLvl w:val="1"/>
        <w:rPr>
          <w:b/>
          <w:bCs/>
          <w:noProof/>
          <w:szCs w:val="26"/>
        </w:rPr>
      </w:pPr>
      <w:r w:rsidRPr="0070201F">
        <w:rPr>
          <w:b/>
        </w:rPr>
        <w:t>6.</w:t>
      </w:r>
      <w:r w:rsidRPr="0070201F">
        <w:rPr>
          <w:b/>
        </w:rPr>
        <w:tab/>
        <w:t>ГРУПА 6 Скални и дюнни местообитания</w:t>
      </w:r>
    </w:p>
    <w:tbl>
      <w:tblPr>
        <w:tblStyle w:val="TableGrid"/>
        <w:tblW w:w="9067" w:type="dxa"/>
        <w:tblLook w:val="04A0" w:firstRow="1" w:lastRow="0" w:firstColumn="1" w:lastColumn="0" w:noHBand="0" w:noVBand="1"/>
      </w:tblPr>
      <w:tblGrid>
        <w:gridCol w:w="2611"/>
        <w:gridCol w:w="6456"/>
      </w:tblGrid>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 xml:space="preserve">Код на типа местообитание, посочен в приложение I към Директива 92/43/ЕИО на Съвета </w:t>
            </w:r>
          </w:p>
        </w:tc>
        <w:tc>
          <w:tcPr>
            <w:tcW w:w="7512"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Наименование на типа местообитание, посочено в приложение I към Директива 92/43/ЕИО на Съвета</w:t>
            </w:r>
          </w:p>
        </w:tc>
      </w:tr>
      <w:tr w:rsidR="006173E9" w:rsidRPr="0070201F" w:rsidTr="006173E9">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rPr>
                <w:b/>
              </w:rPr>
              <w:t>Морски стръмни скални брегове, морски плажове и островчета</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1210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Едногодишна растителност върху морски крайбрежни наноси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1220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Многогодишна растителност на каменисти брегове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1230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Обрасли морски стръмни скали на Атлантическото и Балтийското крайбрежие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1240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Обрасли морски стръмни скали по Средиземноморското крайбрежие (с ендемични </w:t>
            </w:r>
            <w:r w:rsidRPr="0070201F">
              <w:rPr>
                <w:i/>
              </w:rPr>
              <w:t>Limonium</w:t>
            </w:r>
            <w:r w:rsidRPr="0070201F">
              <w:t xml:space="preserve"> spp.)</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bCs/>
                <w:noProof/>
              </w:rPr>
            </w:pPr>
            <w:r w:rsidRPr="0070201F">
              <w:t>1250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b/>
                <w:bCs/>
                <w:noProof/>
              </w:rPr>
            </w:pPr>
            <w:r w:rsidRPr="0070201F">
              <w:t>Обрасли морски стръмни скали на макаронезийското крайбрежие (флора, ендемична за тези крайбрежия)</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lastRenderedPageBreak/>
              <w:t>1610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Балтийски ескерски острови с растителност по пясъчни, каменисти и чакълести плажове и сублиторална растителност</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1620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Бореални балтийски островчета и малки острови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1640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Бореални балтийски пясъчни ивици с многогодишна растителност</w:t>
            </w:r>
          </w:p>
        </w:tc>
      </w:tr>
      <w:tr w:rsidR="006173E9" w:rsidRPr="0070201F" w:rsidTr="006173E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bCs/>
                <w:noProof/>
              </w:rPr>
            </w:pPr>
            <w:r w:rsidRPr="0070201F">
              <w:rPr>
                <w:b/>
              </w:rPr>
              <w:t>Крайбрежни и континентални дюни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Зародишни подвижни дюни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Подвижни дюни по крайбрежната ивица с </w:t>
            </w:r>
            <w:r w:rsidRPr="0070201F">
              <w:rPr>
                <w:i/>
              </w:rPr>
              <w:t>Ammophila arenaria</w:t>
            </w:r>
            <w:r w:rsidRPr="0070201F">
              <w:t xml:space="preserve"> („бели дюни“)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Неподвижни дюни с тревиста растителност („сиви дюни“)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Декалцифирани неподвижни дюни с </w:t>
            </w:r>
            <w:r w:rsidRPr="0070201F">
              <w:rPr>
                <w:i/>
              </w:rPr>
              <w:t>Empetrum nigrum</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Атлантически декалцифицирани неподвижни дюни (</w:t>
            </w:r>
            <w:r w:rsidRPr="0070201F">
              <w:rPr>
                <w:i/>
              </w:rPr>
              <w:t>Calluno-Ulicetea</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Дюни с </w:t>
            </w:r>
            <w:r w:rsidRPr="0070201F">
              <w:rPr>
                <w:i/>
              </w:rPr>
              <w:t>Hyppophae rhamnoides</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Дюни със </w:t>
            </w:r>
            <w:r w:rsidRPr="0070201F">
              <w:rPr>
                <w:i/>
              </w:rPr>
              <w:t>Salix repens</w:t>
            </w:r>
            <w:r w:rsidRPr="0070201F">
              <w:t xml:space="preserve"> ssp. </w:t>
            </w:r>
            <w:r w:rsidRPr="0070201F">
              <w:rPr>
                <w:i/>
                <w:iCs/>
              </w:rPr>
              <w:t>argentea</w:t>
            </w:r>
            <w:r w:rsidRPr="0070201F">
              <w:t xml:space="preserve"> (</w:t>
            </w:r>
            <w:r w:rsidRPr="0070201F">
              <w:rPr>
                <w:i/>
              </w:rPr>
              <w:t>Salicion arenariae</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Облесени дюни по Атлантическото, континенталното и бореалното крайбрежие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Влажни снижения между дюните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Неподвижни крайморски дюни от типа </w:t>
            </w:r>
            <w:r w:rsidRPr="0070201F">
              <w:rPr>
                <w:i/>
                <w:iCs/>
              </w:rPr>
              <w:t>Crucianellion</w:t>
            </w:r>
            <w:r w:rsidRPr="0070201F">
              <w:t xml:space="preserve"> maritimae</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Дюни с </w:t>
            </w:r>
            <w:r w:rsidRPr="0070201F">
              <w:rPr>
                <w:i/>
              </w:rPr>
              <w:t>Euphorbia terracina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Дюнни тревни съобщества от типа </w:t>
            </w:r>
            <w:r w:rsidRPr="0070201F">
              <w:rPr>
                <w:i/>
              </w:rPr>
              <w:t>Malcolmietalia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t>2240</w:t>
            </w:r>
          </w:p>
        </w:tc>
        <w:tc>
          <w:tcPr>
            <w:tcW w:w="7512" w:type="dxa"/>
            <w:tcBorders>
              <w:top w:val="single" w:sz="4" w:space="0" w:color="auto"/>
              <w:left w:val="single" w:sz="4" w:space="0" w:color="auto"/>
              <w:bottom w:val="single" w:sz="4" w:space="0" w:color="auto"/>
              <w:right w:val="single" w:sz="4" w:space="0" w:color="auto"/>
            </w:tcBorders>
            <w:vAlign w:val="center"/>
          </w:tcPr>
          <w:p w:rsidR="006173E9" w:rsidRPr="0070201F" w:rsidRDefault="006173E9" w:rsidP="006173E9">
            <w:pPr>
              <w:spacing w:before="120" w:after="120"/>
              <w:rPr>
                <w:noProof/>
              </w:rPr>
            </w:pPr>
            <w:r w:rsidRPr="0070201F">
              <w:t xml:space="preserve">Дюнни тревни съобщества от типа </w:t>
            </w:r>
            <w:r w:rsidRPr="0070201F">
              <w:rPr>
                <w:i/>
              </w:rPr>
              <w:t>Brachypodietalia</w:t>
            </w:r>
            <w:r w:rsidRPr="0070201F">
              <w:t xml:space="preserve"> с едногодишни растения</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Дюни с хвойнови гъсталаци (</w:t>
            </w:r>
            <w:r w:rsidRPr="0070201F">
              <w:rPr>
                <w:i/>
              </w:rPr>
              <w:t>Juniperus</w:t>
            </w:r>
            <w:r w:rsidRPr="0070201F">
              <w:t xml:space="preserve"> spp.)</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2260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pPr>
            <w:r w:rsidRPr="0070201F">
              <w:t>Дюнни склерофилни храсталаци (</w:t>
            </w:r>
            <w:r w:rsidRPr="0070201F">
              <w:rPr>
                <w:i/>
              </w:rPr>
              <w:t>Cisto-Lavenduletalia</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Залесени дюни с </w:t>
            </w:r>
            <w:r w:rsidRPr="0070201F">
              <w:rPr>
                <w:i/>
              </w:rPr>
              <w:t>Pinus pinea</w:t>
            </w:r>
            <w:r w:rsidRPr="0070201F">
              <w:t xml:space="preserve"> и/или </w:t>
            </w:r>
            <w:r w:rsidRPr="0070201F">
              <w:rPr>
                <w:i/>
              </w:rPr>
              <w:t>Pinus pinaster</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Сухи пясъчни пусти полета с </w:t>
            </w:r>
            <w:r w:rsidRPr="0070201F">
              <w:rPr>
                <w:i/>
              </w:rPr>
              <w:t>Calluna</w:t>
            </w:r>
            <w:r w:rsidRPr="0070201F">
              <w:t xml:space="preserve"> и </w:t>
            </w:r>
            <w:r w:rsidRPr="0070201F">
              <w:rPr>
                <w:i/>
              </w:rPr>
              <w:t>Genista</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Сухи пясъчни пусти полета с </w:t>
            </w:r>
            <w:r w:rsidRPr="0070201F">
              <w:rPr>
                <w:i/>
              </w:rPr>
              <w:t>Calluna</w:t>
            </w:r>
            <w:r w:rsidRPr="0070201F">
              <w:t xml:space="preserve"> и </w:t>
            </w:r>
            <w:r w:rsidRPr="0070201F">
              <w:rPr>
                <w:i/>
              </w:rPr>
              <w:t>Empetrum nigrum</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lastRenderedPageBreak/>
              <w:t>2330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Открити тревни съобщества с растителност от </w:t>
            </w:r>
            <w:r w:rsidRPr="0070201F">
              <w:rPr>
                <w:i/>
              </w:rPr>
              <w:t>Corynephorus</w:t>
            </w:r>
            <w:r w:rsidRPr="0070201F">
              <w:t xml:space="preserve"> и </w:t>
            </w:r>
            <w:r w:rsidRPr="0070201F">
              <w:rPr>
                <w:i/>
              </w:rPr>
              <w:t>Agrostis</w:t>
            </w:r>
            <w:r w:rsidRPr="0070201F">
              <w:t xml:space="preserve"> на континентални дюни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2340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Панонски вътрешноконтинентални дюни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91N0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Панонски гъсталаци по континентални пясъчни дюни (</w:t>
            </w:r>
            <w:r w:rsidRPr="0070201F">
              <w:rPr>
                <w:i/>
              </w:rPr>
              <w:t>Junipero-Populetum albae</w:t>
            </w:r>
            <w:r w:rsidRPr="0070201F">
              <w:t>)</w:t>
            </w:r>
          </w:p>
        </w:tc>
      </w:tr>
      <w:tr w:rsidR="006173E9" w:rsidRPr="0070201F" w:rsidTr="006173E9">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bCs/>
                <w:noProof/>
              </w:rPr>
            </w:pPr>
            <w:r w:rsidRPr="0070201F">
              <w:rPr>
                <w:b/>
              </w:rPr>
              <w:t>Скални местообитания</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Силикатни сипеи на планинско ниво до нивото на снежната покривка (</w:t>
            </w:r>
            <w:r w:rsidRPr="0070201F">
              <w:rPr>
                <w:i/>
              </w:rPr>
              <w:t>Androsacetalia alpinae</w:t>
            </w:r>
            <w:r w:rsidRPr="0070201F">
              <w:t xml:space="preserve"> и </w:t>
            </w:r>
            <w:r w:rsidRPr="0070201F">
              <w:rPr>
                <w:i/>
              </w:rPr>
              <w:t>Galeopsietalia ladani</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Сипеи върху варовикови терени и калциеви шисти на планинско до алпийско ниво (</w:t>
            </w:r>
            <w:r w:rsidRPr="0070201F">
              <w:rPr>
                <w:i/>
              </w:rPr>
              <w:t>Thlaspietea rotundifolii</w:t>
            </w:r>
            <w:r w:rsidRPr="0070201F">
              <w:t>)</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Западносредиземноморски и термофилни сипеи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Източносредиземноморски сипеи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Средноевропейски силикатни сипеи</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Средноевропейски варовикови сипеи на хълмисто и планинско ниво</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Варовикови скалисти склонове с хазмофитна растителност</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Силикатни скалисти склонове с хазмофитна растителност</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 xml:space="preserve">Силикатни скали с пионерска растителност от типа </w:t>
            </w:r>
            <w:r w:rsidRPr="0070201F">
              <w:rPr>
                <w:i/>
              </w:rPr>
              <w:t>Sedo-Scleranthion</w:t>
            </w:r>
            <w:r w:rsidRPr="0070201F">
              <w:t xml:space="preserve"> или </w:t>
            </w:r>
            <w:r w:rsidRPr="0070201F">
              <w:rPr>
                <w:i/>
              </w:rPr>
              <w:t>Sedo albi-Veronicion dillenii</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Пещери, затворени за посещение</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Лавови полета и открити скални повърхнини, получени в резултат на вулканична дейност</w:t>
            </w:r>
          </w:p>
        </w:tc>
      </w:tr>
      <w:tr w:rsidR="006173E9" w:rsidRPr="0070201F" w:rsidTr="006173E9">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8340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rPr>
                <w:noProof/>
              </w:rPr>
            </w:pPr>
            <w:r w:rsidRPr="0070201F">
              <w:t>Вечни ледници</w:t>
            </w:r>
          </w:p>
        </w:tc>
      </w:tr>
    </w:tbl>
    <w:p w:rsidR="006173E9" w:rsidRPr="0070201F" w:rsidRDefault="006173E9" w:rsidP="006173E9">
      <w:pPr>
        <w:suppressAutoHyphens/>
        <w:spacing w:before="120" w:after="120"/>
        <w:rPr>
          <w:rFonts w:eastAsia="Calibri"/>
          <w:noProof/>
          <w:szCs w:val="22"/>
        </w:rPr>
      </w:pPr>
    </w:p>
    <w:p w:rsidR="006173E9" w:rsidRPr="0070201F" w:rsidRDefault="006173E9" w:rsidP="006173E9">
      <w:pPr>
        <w:suppressAutoHyphens/>
        <w:spacing w:before="120" w:after="120"/>
        <w:rPr>
          <w:bCs/>
          <w:smallCaps/>
          <w:noProof/>
          <w:szCs w:val="28"/>
          <w:u w:val="single"/>
        </w:rPr>
      </w:pPr>
      <w:r w:rsidRPr="0070201F">
        <w:br w:type="page"/>
      </w:r>
    </w:p>
    <w:p w:rsidR="006173E9" w:rsidRPr="0070201F" w:rsidRDefault="006173E9" w:rsidP="006173E9">
      <w:pPr>
        <w:suppressAutoHyphens/>
        <w:spacing w:before="120" w:after="120" w:line="360" w:lineRule="auto"/>
        <w:jc w:val="center"/>
        <w:rPr>
          <w:rFonts w:eastAsia="Calibri"/>
          <w:b/>
          <w:noProof/>
          <w:szCs w:val="22"/>
          <w:u w:val="single"/>
        </w:rPr>
      </w:pPr>
      <w:r w:rsidRPr="0070201F">
        <w:rPr>
          <w:b/>
          <w:u w:val="single"/>
        </w:rPr>
        <w:lastRenderedPageBreak/>
        <w:t>ПРИЛОЖЕНИЕ II</w:t>
      </w:r>
      <w:r w:rsidRPr="0070201F">
        <w:rPr>
          <w:b/>
          <w:u w:val="single"/>
        </w:rPr>
        <w:br/>
        <w:t>МОРСКИ ЕКОСИСТЕМИ — ТИПОВЕ МЕСТООБИТАНИЯ И ГРУПИ ТИПОВЕ МЕСТООБИТАНИЯ, ПОСОЧЕНИ В ЧЛЕН 5, ПАРАГРАФИ 1 И 2</w:t>
      </w:r>
    </w:p>
    <w:p w:rsidR="006173E9" w:rsidRPr="0070201F" w:rsidRDefault="006173E9" w:rsidP="006173E9">
      <w:pPr>
        <w:suppressAutoHyphens/>
        <w:spacing w:before="120" w:after="120" w:line="360" w:lineRule="auto"/>
        <w:rPr>
          <w:rFonts w:eastAsia="Calibri"/>
          <w:noProof/>
          <w:szCs w:val="22"/>
        </w:rPr>
      </w:pPr>
    </w:p>
    <w:p w:rsidR="006173E9" w:rsidRPr="0070201F" w:rsidRDefault="006173E9" w:rsidP="006173E9">
      <w:pPr>
        <w:suppressAutoHyphens/>
        <w:spacing w:before="120" w:after="120" w:line="360" w:lineRule="auto"/>
        <w:rPr>
          <w:rFonts w:eastAsia="Calibri"/>
          <w:noProof/>
        </w:rPr>
      </w:pPr>
      <w:r w:rsidRPr="0070201F">
        <w:t>Списъкът по-долу включва типовете морски местообитания, посочени в член 5, параграф 1 и член 5, параграф 2, както и седем групи от тези типове местообитания, а именно: ливади от морски треви, 2) гори от макроводорасли, 3) колонии от черупчести мекотели, 4) ливади от мерл, 5) колонии от сюнгери, корали и коралинови водорасли, 6) извори и отвори и 7) меки седименти (над 1000 m- дълбочина). Представена е и връзката с типовете местообитания, изброени в приложение I към Директива 92/43/ЕИО.</w:t>
      </w:r>
    </w:p>
    <w:p w:rsidR="006173E9" w:rsidRPr="0070201F" w:rsidRDefault="006173E9" w:rsidP="006173E9">
      <w:pPr>
        <w:suppressAutoHyphens/>
        <w:spacing w:before="120" w:after="120" w:line="360" w:lineRule="auto"/>
        <w:rPr>
          <w:rFonts w:eastAsia="Calibri"/>
          <w:i/>
          <w:noProof/>
          <w:szCs w:val="22"/>
        </w:rPr>
      </w:pPr>
      <w:r w:rsidRPr="0070201F">
        <w:t>Използваната класификация на типовете морски местообитания, диференцирана по морски биогеографски региони, е в съответствие с Информационната система за природата на Европейския съюз (EUNIS), след преразглеждане на типологията на морските местообитания през 2022 г. от Европейската агенция за околна среда (ЕАОС). Информацията относно свързаните местообитания, изброени в приложение I към Директива 92/43/ЕИО на Съвета, е въз основа на базата на съответствията, публикувана от ЕАОС през 2021 г.</w:t>
      </w:r>
      <w:r w:rsidRPr="0070201F">
        <w:rPr>
          <w:rFonts w:eastAsia="Calibri"/>
          <w:noProof/>
          <w:szCs w:val="22"/>
          <w:vertAlign w:val="superscript"/>
        </w:rPr>
        <w:footnoteReference w:id="74"/>
      </w:r>
      <w:r w:rsidRPr="0070201F">
        <w:t xml:space="preserve"> </w:t>
      </w:r>
    </w:p>
    <w:p w:rsidR="006173E9" w:rsidRPr="0070201F" w:rsidRDefault="006173E9" w:rsidP="006173E9">
      <w:pPr>
        <w:keepNext/>
        <w:suppressAutoHyphens/>
        <w:spacing w:before="120" w:after="120"/>
        <w:ind w:left="851" w:hanging="851"/>
        <w:outlineLvl w:val="1"/>
        <w:rPr>
          <w:b/>
          <w:bCs/>
          <w:noProof/>
          <w:szCs w:val="26"/>
        </w:rPr>
      </w:pPr>
      <w:r w:rsidRPr="0070201F">
        <w:rPr>
          <w:b/>
        </w:rPr>
        <w:t>1.</w:t>
      </w:r>
      <w:r w:rsidRPr="0070201F">
        <w:rPr>
          <w:b/>
        </w:rPr>
        <w:tab/>
        <w:t>Група 1: Подводни ливади от морска трева</w:t>
      </w:r>
    </w:p>
    <w:tbl>
      <w:tblPr>
        <w:tblStyle w:val="TableGrid"/>
        <w:tblW w:w="0" w:type="auto"/>
        <w:tblLook w:val="04A0" w:firstRow="1" w:lastRow="0" w:firstColumn="1" w:lastColumn="0" w:noHBand="0" w:noVBand="1"/>
      </w:tblPr>
      <w:tblGrid>
        <w:gridCol w:w="1024"/>
        <w:gridCol w:w="78"/>
        <w:gridCol w:w="5916"/>
        <w:gridCol w:w="2611"/>
      </w:tblGrid>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Код по EUNIS</w:t>
            </w:r>
          </w:p>
        </w:tc>
        <w:tc>
          <w:tcPr>
            <w:tcW w:w="6181"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Наименование на типа местообитание в EUNIS</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noProof/>
              </w:rPr>
            </w:pPr>
            <w:r w:rsidRPr="0070201F">
              <w:rPr>
                <w:b/>
              </w:rPr>
              <w:t xml:space="preserve">Съответен код на типа местообитание, както е посочено в приложение I към Директива 92/43/ЕИО на Съвета </w:t>
            </w:r>
          </w:p>
        </w:tc>
      </w:tr>
      <w:tr w:rsidR="006173E9" w:rsidRPr="0070201F" w:rsidTr="006173E9">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173E9" w:rsidRPr="0070201F" w:rsidRDefault="006173E9" w:rsidP="006173E9">
            <w:pPr>
              <w:spacing w:before="120" w:after="120"/>
              <w:rPr>
                <w:b/>
                <w:bCs/>
                <w:noProof/>
              </w:rPr>
            </w:pPr>
            <w:r w:rsidRPr="0070201F">
              <w:rPr>
                <w:b/>
              </w:rPr>
              <w:t>Атлантически океан</w:t>
            </w: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MA522</w:t>
            </w:r>
          </w:p>
        </w:tc>
        <w:tc>
          <w:tcPr>
            <w:tcW w:w="6181"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Ливади от морски треви в атлантически литорален пясък</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1140; 1160</w:t>
            </w: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MA623</w:t>
            </w:r>
          </w:p>
        </w:tc>
        <w:tc>
          <w:tcPr>
            <w:tcW w:w="6181"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Ливади от морски треви в атлантическа литорална тиня</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1140; 1160</w:t>
            </w: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MB522</w:t>
            </w:r>
          </w:p>
        </w:tc>
        <w:tc>
          <w:tcPr>
            <w:tcW w:w="6181"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Ливади от морски треви в атлантически инфралиторален пясък</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1150; 1160</w:t>
            </w:r>
          </w:p>
        </w:tc>
      </w:tr>
      <w:tr w:rsidR="006173E9" w:rsidRPr="0070201F" w:rsidTr="006173E9">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pageBreakBefore/>
              <w:spacing w:before="120" w:after="120"/>
              <w:rPr>
                <w:b/>
                <w:noProof/>
              </w:rPr>
            </w:pPr>
            <w:r w:rsidRPr="0070201F">
              <w:rPr>
                <w:b/>
              </w:rPr>
              <w:lastRenderedPageBreak/>
              <w:t>Балтийско море</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MA332</w:t>
            </w:r>
          </w:p>
        </w:tc>
        <w:tc>
          <w:tcPr>
            <w:tcW w:w="6181"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Балтийски хидролиторални едри седименти, характеризиращи се с подводна растителност</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1130; 1160; 1610; 1620</w:t>
            </w: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MA432</w:t>
            </w:r>
          </w:p>
        </w:tc>
        <w:tc>
          <w:tcPr>
            <w:tcW w:w="6181"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Балтийски хидролиторални смесени седименти, характеризиращи се с подводна растителност </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1130; 1140; 1160; 1610</w:t>
            </w: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MA532</w:t>
            </w:r>
          </w:p>
        </w:tc>
        <w:tc>
          <w:tcPr>
            <w:tcW w:w="6181"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хидролиторален пясък, характеризиращ се с подводни вкоренени растения</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1130; 1140; 1160; 1610</w:t>
            </w: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MA632</w:t>
            </w:r>
          </w:p>
        </w:tc>
        <w:tc>
          <w:tcPr>
            <w:tcW w:w="6181"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Балтийска хидролиторална тиня, доминирана от подводни вкоренени растения</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1130; 1140; 1160; 1650</w:t>
            </w: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MB332</w:t>
            </w:r>
          </w:p>
        </w:tc>
        <w:tc>
          <w:tcPr>
            <w:tcW w:w="6181"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инфралиторални едри седименти, характеризиращи се с подводни вкоренени растения</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w:t>
            </w: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MB432</w:t>
            </w:r>
          </w:p>
        </w:tc>
        <w:tc>
          <w:tcPr>
            <w:tcW w:w="6181"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инфралиторални смесени седименти, характеризиращи се с подводни вкоренени растения</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 1650</w:t>
            </w: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MB532</w:t>
            </w:r>
          </w:p>
        </w:tc>
        <w:tc>
          <w:tcPr>
            <w:tcW w:w="6181"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инфралиторален пясък, характеризиращ се с подводни вкоренени растения</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1130; 1150; 1160</w:t>
            </w:r>
          </w:p>
        </w:tc>
      </w:tr>
      <w:tr w:rsidR="006173E9" w:rsidRPr="0070201F" w:rsidTr="006173E9">
        <w:trPr>
          <w:cantSplit/>
          <w:trHeight w:val="283"/>
        </w:trPr>
        <w:tc>
          <w:tcPr>
            <w:tcW w:w="1024"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MB632</w:t>
            </w:r>
          </w:p>
        </w:tc>
        <w:tc>
          <w:tcPr>
            <w:tcW w:w="6181"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инфралиторални тинени седименти, характеризиращи се с подводни вкоренени растения</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1130; 1150; 1160; 1650</w:t>
            </w:r>
          </w:p>
        </w:tc>
      </w:tr>
      <w:tr w:rsidR="006173E9" w:rsidRPr="0070201F" w:rsidTr="006173E9">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Черно море</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MB546</w:t>
            </w:r>
          </w:p>
        </w:tc>
        <w:tc>
          <w:tcPr>
            <w:tcW w:w="6101"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Ливади от морски треви и ризоматозни водорасли в черноморски инфралиторални тинести пясъци, повлияни от пресноводен вток</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1130;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MB547</w:t>
            </w:r>
          </w:p>
        </w:tc>
        <w:tc>
          <w:tcPr>
            <w:tcW w:w="6101"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Черноморски ливади от морски треви върху умерено изложени на вълнение, чисти пясъци в горния инфралиторал</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MB548</w:t>
            </w:r>
          </w:p>
        </w:tc>
        <w:tc>
          <w:tcPr>
            <w:tcW w:w="6101"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Черноморски ливади от морски треви върху пясъци в долния инфралиторал</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w:t>
            </w:r>
          </w:p>
        </w:tc>
      </w:tr>
      <w:tr w:rsidR="006173E9" w:rsidRPr="0070201F" w:rsidTr="006173E9">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Средиземно море</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MB252</w:t>
            </w:r>
          </w:p>
        </w:tc>
        <w:tc>
          <w:tcPr>
            <w:tcW w:w="6101"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Биоценоза от </w:t>
            </w:r>
            <w:r w:rsidRPr="0070201F">
              <w:rPr>
                <w:i/>
              </w:rPr>
              <w:t>Posidonia oceanica</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1120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MB2521</w:t>
            </w:r>
          </w:p>
        </w:tc>
        <w:tc>
          <w:tcPr>
            <w:tcW w:w="6101"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Екоморфоза на „ивичести“ ливади от </w:t>
            </w:r>
            <w:r w:rsidRPr="0070201F">
              <w:rPr>
                <w:i/>
              </w:rPr>
              <w:t>Posidonia oceanica</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1120; 1130;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MB2522</w:t>
            </w:r>
          </w:p>
        </w:tc>
        <w:tc>
          <w:tcPr>
            <w:tcW w:w="6101"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Екоморфоза на ливади от </w:t>
            </w:r>
            <w:r w:rsidRPr="0070201F">
              <w:rPr>
                <w:i/>
              </w:rPr>
              <w:t>Posidonia oceanica</w:t>
            </w:r>
            <w:r w:rsidRPr="0070201F">
              <w:t xml:space="preserve"> тип „бариерен риф“</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1120; 1130;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MB2523</w:t>
            </w:r>
          </w:p>
        </w:tc>
        <w:tc>
          <w:tcPr>
            <w:tcW w:w="6101"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Фациенси от мъртви „килими“ от </w:t>
            </w:r>
            <w:r w:rsidRPr="0070201F">
              <w:rPr>
                <w:i/>
              </w:rPr>
              <w:t>Posidonia oceanica</w:t>
            </w:r>
            <w:r w:rsidRPr="0070201F">
              <w:t xml:space="preserve"> без голямо количество епифитна флора</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1120; 1130;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lastRenderedPageBreak/>
              <w:t>MB2524</w:t>
            </w:r>
          </w:p>
        </w:tc>
        <w:tc>
          <w:tcPr>
            <w:tcW w:w="6101"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Caulerpa prolifera</w:t>
            </w:r>
            <w:r w:rsidRPr="0070201F">
              <w:t xml:space="preserve"> върху ливади от </w:t>
            </w:r>
            <w:r w:rsidRPr="0070201F">
              <w:rPr>
                <w:i/>
              </w:rPr>
              <w:t>Posidonia</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1120; 1130;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MB5521</w:t>
            </w:r>
          </w:p>
        </w:tc>
        <w:tc>
          <w:tcPr>
            <w:tcW w:w="6101"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Cymodocea nodosa</w:t>
            </w:r>
            <w:r w:rsidRPr="0070201F">
              <w:t xml:space="preserve"> върху добре сортирани фини пясъци</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1130;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MB5534</w:t>
            </w:r>
          </w:p>
        </w:tc>
        <w:tc>
          <w:tcPr>
            <w:tcW w:w="6101"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Cymodocea nodosa</w:t>
            </w:r>
            <w:r w:rsidRPr="0070201F">
              <w:t xml:space="preserve"> върху повърхностни тинести пясъци в спокойни води</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1130;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MB5535</w:t>
            </w:r>
          </w:p>
        </w:tc>
        <w:tc>
          <w:tcPr>
            <w:tcW w:w="6101"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със </w:t>
            </w:r>
            <w:r w:rsidRPr="0070201F">
              <w:rPr>
                <w:i/>
              </w:rPr>
              <w:t>Zostera nolte</w:t>
            </w:r>
            <w:r w:rsidRPr="0070201F">
              <w:t>i върху повърхностни тинести пясъци в спокойни води</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1130;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MB5541</w:t>
            </w:r>
          </w:p>
        </w:tc>
        <w:tc>
          <w:tcPr>
            <w:tcW w:w="6101"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Ruppia cirrhosa</w:t>
            </w:r>
            <w:r w:rsidRPr="0070201F">
              <w:t xml:space="preserve"> и/или </w:t>
            </w:r>
            <w:r w:rsidRPr="0070201F">
              <w:rPr>
                <w:i/>
              </w:rPr>
              <w:t>Ruppia maritima</w:t>
            </w:r>
            <w:r w:rsidRPr="0070201F">
              <w:t xml:space="preserve"> върху пясък</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1130;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MB5544</w:t>
            </w:r>
          </w:p>
        </w:tc>
        <w:tc>
          <w:tcPr>
            <w:tcW w:w="6101"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със </w:t>
            </w:r>
            <w:r w:rsidRPr="0070201F">
              <w:rPr>
                <w:i/>
              </w:rPr>
              <w:t>Zostera noltei</w:t>
            </w:r>
            <w:r w:rsidRPr="0070201F">
              <w:t xml:space="preserve"> в еврихалинна и евритермална среда върху пясък</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1130; 1160</w:t>
            </w:r>
          </w:p>
        </w:tc>
      </w:tr>
      <w:tr w:rsidR="006173E9" w:rsidRPr="0070201F" w:rsidTr="006173E9">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MB5545</w:t>
            </w:r>
          </w:p>
        </w:tc>
        <w:tc>
          <w:tcPr>
            <w:tcW w:w="6101"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със </w:t>
            </w:r>
            <w:r w:rsidRPr="0070201F">
              <w:rPr>
                <w:i/>
              </w:rPr>
              <w:t>Zostera marina</w:t>
            </w:r>
            <w:r w:rsidRPr="0070201F">
              <w:t xml:space="preserve"> в еврихалинна и евритермална среда</w:t>
            </w:r>
          </w:p>
        </w:tc>
        <w:tc>
          <w:tcPr>
            <w:tcW w:w="211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1130; 1160</w:t>
            </w:r>
          </w:p>
        </w:tc>
      </w:tr>
    </w:tbl>
    <w:p w:rsidR="006173E9" w:rsidRPr="0070201F" w:rsidRDefault="006173E9" w:rsidP="006173E9">
      <w:pPr>
        <w:keepNext/>
        <w:tabs>
          <w:tab w:val="left" w:pos="851"/>
        </w:tabs>
        <w:suppressAutoHyphens/>
        <w:spacing w:before="120" w:after="120"/>
        <w:outlineLvl w:val="1"/>
        <w:rPr>
          <w:b/>
          <w:bCs/>
          <w:noProof/>
          <w:szCs w:val="26"/>
        </w:rPr>
      </w:pPr>
      <w:r w:rsidRPr="0070201F">
        <w:rPr>
          <w:b/>
        </w:rPr>
        <w:t>2.</w:t>
      </w:r>
      <w:r w:rsidRPr="0070201F">
        <w:rPr>
          <w:b/>
        </w:rPr>
        <w:tab/>
        <w:t>Група 2: Гори от макроводорасли</w:t>
      </w:r>
    </w:p>
    <w:tbl>
      <w:tblPr>
        <w:tblStyle w:val="TableGrid"/>
        <w:tblW w:w="9634" w:type="dxa"/>
        <w:tblLook w:val="04A0" w:firstRow="1" w:lastRow="0" w:firstColumn="1" w:lastColumn="0" w:noHBand="0" w:noVBand="1"/>
      </w:tblPr>
      <w:tblGrid>
        <w:gridCol w:w="1096"/>
        <w:gridCol w:w="80"/>
        <w:gridCol w:w="6040"/>
        <w:gridCol w:w="2418"/>
      </w:tblGrid>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Код по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Наименование на типа местообитание в EUNIS</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noProof/>
              </w:rPr>
            </w:pPr>
            <w:r w:rsidRPr="0070201F">
              <w:rPr>
                <w:b/>
              </w:rPr>
              <w:t>Свързани кодове от приложение I (Директивата за местообитанията)</w:t>
            </w:r>
          </w:p>
        </w:tc>
      </w:tr>
      <w:tr w:rsidR="006173E9" w:rsidRPr="0070201F" w:rsidTr="006173E9">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173E9" w:rsidRPr="0070201F" w:rsidRDefault="006173E9" w:rsidP="006173E9">
            <w:pPr>
              <w:spacing w:before="120" w:after="120"/>
              <w:rPr>
                <w:b/>
                <w:bCs/>
                <w:noProof/>
              </w:rPr>
            </w:pPr>
            <w:r w:rsidRPr="0070201F">
              <w:rPr>
                <w:b/>
              </w:rPr>
              <w:t>Атлантически океан</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MA123</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Съобщества от макроводорасли върху атлантически литорални скали в условия на океанска соленост</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 1170; 1130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MA125</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Фукоидни водорасли в условия на променлива соленост върху атлантически литорални скали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1130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MB121</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Съобщества от кафяви водорасли и макроводорасли върху атлантически инфралиторални скали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MB123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Съобщества от кафяви водорасли и макроводорасли в засегнати или нарушени от седименти атлантически инфралиторални скали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MB124</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Съобщества от кафяви водорасли в условия на променлива соленост върху атлантически литорални скали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1130;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MB321</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Съобщества от кафяви водорасли и макроводорасли върху атлантически инфралиторални едри седименти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MB521</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Съобщества от кафяви водорасли и макроводорасли в атлантически инфралиторален пясък</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lastRenderedPageBreak/>
              <w:t>MB621</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Растителни съобщества върху атлантическа инфралиторална тиня</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w:t>
            </w:r>
          </w:p>
        </w:tc>
      </w:tr>
      <w:tr w:rsidR="006173E9" w:rsidRPr="0070201F" w:rsidTr="006173E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pageBreakBefore/>
              <w:spacing w:before="120" w:after="120"/>
              <w:rPr>
                <w:b/>
                <w:noProof/>
              </w:rPr>
            </w:pPr>
            <w:r w:rsidRPr="0070201F">
              <w:rPr>
                <w:b/>
              </w:rPr>
              <w:lastRenderedPageBreak/>
              <w:t>Балтийско море</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MA131</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Балтийски хидролиторални скали и камъни, характеризиращи се с многогодишни водорасли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 1170; 1130; 1610; 1620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MB131</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Многогодишни водорасли върху балтийски инфралиторални скали и камъни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MB232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Балтийско инфралиторално дъно, характеризиращо се с черупчест чакъл</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 1110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MB333</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Балтийски инфралиторални едри седименти, характеризиращи се с многогодишни водорасли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MB433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инфралиторални смесени седименти, характеризиращи се с многогодишни водорасли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1130; 1160; 1170</w:t>
            </w:r>
          </w:p>
        </w:tc>
      </w:tr>
      <w:tr w:rsidR="006173E9" w:rsidRPr="0070201F" w:rsidTr="006173E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Черно море</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MB144</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Изложени на вълнение черноморски горни инфралиторални скали, доминирани от митилидни видове, с участие на фукоидни водорасли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MB149</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Черноморски, умерено изложени на вълнение горни инфралиторални скали, доминирани от митилидни видове, с участие на фукоидни водорасли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MB14A</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Фукоидни и други водорасли в заслонени черноморски горни инфралиторални скали, добре осветени</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Средиземно море</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MA1548</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Асоциация с </w:t>
            </w:r>
            <w:r w:rsidRPr="0070201F">
              <w:rPr>
                <w:i/>
              </w:rPr>
              <w:t>Fucus virsoides</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 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MB1512</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Асоциация с </w:t>
            </w:r>
            <w:r w:rsidRPr="0070201F">
              <w:rPr>
                <w:i/>
              </w:rPr>
              <w:t>Cystoseira tamariscifolia</w:t>
            </w:r>
            <w:r w:rsidRPr="0070201F">
              <w:t xml:space="preserve"> и </w:t>
            </w:r>
            <w:r w:rsidRPr="0070201F">
              <w:rPr>
                <w:i/>
              </w:rPr>
              <w:t>Saccorhiza polyschides</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MB1513</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amentacea</w:t>
            </w:r>
            <w:r w:rsidRPr="0070201F">
              <w:t xml:space="preserve"> (var. </w:t>
            </w:r>
            <w:r w:rsidRPr="0070201F">
              <w:rPr>
                <w:i/>
              </w:rPr>
              <w:t>amentacea</w:t>
            </w:r>
            <w:r w:rsidRPr="0070201F">
              <w:t xml:space="preserve">, var. </w:t>
            </w:r>
            <w:r w:rsidRPr="0070201F">
              <w:rPr>
                <w:i/>
              </w:rPr>
              <w:t>stricta</w:t>
            </w:r>
            <w:r w:rsidRPr="0070201F">
              <w:t xml:space="preserve">, var. </w:t>
            </w:r>
            <w:r w:rsidRPr="0070201F">
              <w:rPr>
                <w:i/>
              </w:rPr>
              <w:t>spicata</w:t>
            </w:r>
            <w:r w:rsidRPr="0070201F">
              <w:t>)</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MB151F</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brachycarpa</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MB151G</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crinita</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MB151H</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crinitophylla</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MB151J</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sauvageauana</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MB151K</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spinosa</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MB151L</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със </w:t>
            </w:r>
            <w:r w:rsidRPr="0070201F">
              <w:rPr>
                <w:i/>
              </w:rPr>
              <w:t>Sargassum vulgare</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MB151M</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Dictyopteris polypodioides</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lastRenderedPageBreak/>
              <w:t>MB151W</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compressa</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MB1524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barbata</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MC1511</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zosteroides</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MC1512</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usneoides</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MC1513</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dubia</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Cystoseira corniculata</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със </w:t>
            </w:r>
            <w:r w:rsidRPr="0070201F">
              <w:rPr>
                <w:i/>
              </w:rPr>
              <w:t>Sargassum</w:t>
            </w:r>
            <w:r w:rsidRPr="0070201F">
              <w:t xml:space="preserve"> spp.</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MC1518</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Laminaria ochroleuca</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MC3517</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w:t>
            </w:r>
            <w:r w:rsidRPr="0070201F">
              <w:rPr>
                <w:i/>
              </w:rPr>
              <w:t>Laminaria rodriguezii</w:t>
            </w:r>
            <w:r w:rsidRPr="0070201F">
              <w:t xml:space="preserve"> върху детритови полета</w:t>
            </w:r>
          </w:p>
        </w:tc>
        <w:tc>
          <w:tcPr>
            <w:tcW w:w="2418"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w:t>
            </w:r>
          </w:p>
        </w:tc>
      </w:tr>
    </w:tbl>
    <w:p w:rsidR="006173E9" w:rsidRPr="0070201F" w:rsidRDefault="006173E9" w:rsidP="006173E9">
      <w:pPr>
        <w:keepNext/>
        <w:suppressAutoHyphens/>
        <w:spacing w:before="120" w:after="120"/>
        <w:ind w:left="851" w:hanging="851"/>
        <w:outlineLvl w:val="1"/>
        <w:rPr>
          <w:b/>
          <w:bCs/>
          <w:noProof/>
          <w:szCs w:val="26"/>
        </w:rPr>
      </w:pPr>
      <w:r w:rsidRPr="0070201F">
        <w:rPr>
          <w:b/>
        </w:rPr>
        <w:t>3.</w:t>
      </w:r>
      <w:r w:rsidRPr="0070201F">
        <w:rPr>
          <w:b/>
        </w:rPr>
        <w:tab/>
        <w:t>Група 3: Колонии с черупчести организми</w:t>
      </w:r>
    </w:p>
    <w:tbl>
      <w:tblPr>
        <w:tblStyle w:val="TableGrid"/>
        <w:tblW w:w="0" w:type="auto"/>
        <w:tblLook w:val="04A0" w:firstRow="1" w:lastRow="0" w:firstColumn="1" w:lastColumn="0" w:noHBand="0" w:noVBand="1"/>
      </w:tblPr>
      <w:tblGrid>
        <w:gridCol w:w="1096"/>
        <w:gridCol w:w="77"/>
        <w:gridCol w:w="5873"/>
        <w:gridCol w:w="2583"/>
      </w:tblGrid>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Код по EUNIS</w:t>
            </w:r>
          </w:p>
        </w:tc>
        <w:tc>
          <w:tcPr>
            <w:tcW w:w="595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Наименование на типа местообитание в EUNIS</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noProof/>
              </w:rPr>
            </w:pPr>
            <w:r w:rsidRPr="0070201F">
              <w:rPr>
                <w:b/>
              </w:rPr>
              <w:t>Свързани кодове от приложение I (Директивата за местообитанията)</w:t>
            </w:r>
          </w:p>
        </w:tc>
      </w:tr>
      <w:tr w:rsidR="006173E9" w:rsidRPr="0070201F" w:rsidTr="006173E9">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173E9" w:rsidRPr="0070201F" w:rsidRDefault="006173E9" w:rsidP="006173E9">
            <w:pPr>
              <w:spacing w:before="120" w:after="120"/>
              <w:rPr>
                <w:b/>
                <w:bCs/>
                <w:noProof/>
              </w:rPr>
            </w:pPr>
            <w:r w:rsidRPr="0070201F">
              <w:rPr>
                <w:b/>
              </w:rPr>
              <w:t>Атлантически океан</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MA122</w:t>
            </w:r>
          </w:p>
        </w:tc>
        <w:tc>
          <w:tcPr>
            <w:tcW w:w="595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rPr>
                <w:i/>
              </w:rPr>
              <w:t>Mytilus edulis</w:t>
            </w:r>
            <w:r w:rsidRPr="0070201F">
              <w:t xml:space="preserve"> и/или съобщества от морски жълъди върху изложени на вълнение атлантически литорални скали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 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MA124</w:t>
            </w:r>
          </w:p>
        </w:tc>
        <w:tc>
          <w:tcPr>
            <w:tcW w:w="595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Съобщества от миди и/или морски жълъди с макроводорасли върху атлантически литорални скали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 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MA227</w:t>
            </w:r>
          </w:p>
        </w:tc>
        <w:tc>
          <w:tcPr>
            <w:tcW w:w="595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Рифове от двучерупчести в атлантическата литорална зона</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1140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MB222</w:t>
            </w:r>
          </w:p>
        </w:tc>
        <w:tc>
          <w:tcPr>
            <w:tcW w:w="595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Рифове от двучерупчести в атлантическата инфралиторална зона</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1130;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MC223</w:t>
            </w:r>
          </w:p>
        </w:tc>
        <w:tc>
          <w:tcPr>
            <w:tcW w:w="595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Рифове от двучерупчести в атлантическата циркалиторална зона</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Балтийско море</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MB231</w:t>
            </w:r>
          </w:p>
        </w:tc>
        <w:tc>
          <w:tcPr>
            <w:tcW w:w="595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Балтийско инфралиторално дъно, доминирано от епибентосни двучерупчести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MC231</w:t>
            </w:r>
          </w:p>
        </w:tc>
        <w:tc>
          <w:tcPr>
            <w:tcW w:w="595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Балтийско циркалиторално дъно, доминирано от епибентосни двучерупчести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 1110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lastRenderedPageBreak/>
              <w:t>MD231</w:t>
            </w:r>
          </w:p>
        </w:tc>
        <w:tc>
          <w:tcPr>
            <w:tcW w:w="595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Балтийско офшорно циркалиторално биогенно дъно, характеризиращо се с епибентосни двучерупчести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MD232</w:t>
            </w:r>
          </w:p>
        </w:tc>
        <w:tc>
          <w:tcPr>
            <w:tcW w:w="595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Балтийско офшорно циркалиторално дъно с черупчест чакъл, характеризиращо се с двучерупчести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MD431</w:t>
            </w:r>
          </w:p>
        </w:tc>
        <w:tc>
          <w:tcPr>
            <w:tcW w:w="595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Балтийско офшорно циркалиторално смесено дъно, характеризиращо се с макроскопски епибентосни биотични структури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MD531</w:t>
            </w:r>
          </w:p>
        </w:tc>
        <w:tc>
          <w:tcPr>
            <w:tcW w:w="595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офшорен циркалиторален пясък, характеризиращ се с макроскопски епибентосни биотични структури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MD631</w:t>
            </w:r>
          </w:p>
        </w:tc>
        <w:tc>
          <w:tcPr>
            <w:tcW w:w="595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Балтийска офшорна циркалиторална тиня, характеризираща се с епибентосни двучерупчести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Черно море</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MB141</w:t>
            </w:r>
          </w:p>
        </w:tc>
        <w:tc>
          <w:tcPr>
            <w:tcW w:w="5873"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Черноморски долни инфралиторални скали, доминирани от безгръбначни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MB143</w:t>
            </w:r>
          </w:p>
        </w:tc>
        <w:tc>
          <w:tcPr>
            <w:tcW w:w="5873"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Изложени на вълнение черноморски горни инфралиторални скали с участие на фолиозни водорасли (без фукоидни водорасли)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MB148</w:t>
            </w:r>
          </w:p>
        </w:tc>
        <w:tc>
          <w:tcPr>
            <w:tcW w:w="58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Умерено изложени на вълнение черноморски горни инфралиторални скали с участие на фолиозни водорасли (различни от фукоидни водорасли)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MB242</w:t>
            </w:r>
          </w:p>
        </w:tc>
        <w:tc>
          <w:tcPr>
            <w:tcW w:w="58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Мидени полета в черноморската инфралиторална зона</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1130; 1160</w:t>
            </w: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MB243</w:t>
            </w:r>
          </w:p>
        </w:tc>
        <w:tc>
          <w:tcPr>
            <w:tcW w:w="58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Рифове от стриди в черноморски долни инфралиторални скали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MB642</w:t>
            </w:r>
          </w:p>
        </w:tc>
        <w:tc>
          <w:tcPr>
            <w:tcW w:w="58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Черноморска инфралиторална теригенна тиня</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w:t>
            </w: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MC141</w:t>
            </w:r>
          </w:p>
        </w:tc>
        <w:tc>
          <w:tcPr>
            <w:tcW w:w="58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Черноморски циркалиторални скали, доминирани от безгръбначни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MC241</w:t>
            </w:r>
          </w:p>
        </w:tc>
        <w:tc>
          <w:tcPr>
            <w:tcW w:w="58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Мидени полета в черноморски циркалиторални терогенни миди</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MC645</w:t>
            </w:r>
          </w:p>
        </w:tc>
        <w:tc>
          <w:tcPr>
            <w:tcW w:w="58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Черноморска долна циркалиторална тиня</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 xml:space="preserve">Средиземно море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MA1544</w:t>
            </w:r>
          </w:p>
        </w:tc>
        <w:tc>
          <w:tcPr>
            <w:tcW w:w="5873"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Фациеси с </w:t>
            </w:r>
            <w:r w:rsidRPr="0070201F">
              <w:rPr>
                <w:i/>
              </w:rPr>
              <w:t>Mytilus galloprovincialis</w:t>
            </w:r>
            <w:r w:rsidRPr="0070201F">
              <w:t xml:space="preserve"> във води, богати на органични вещества</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 1170</w:t>
            </w: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MB1514</w:t>
            </w:r>
          </w:p>
        </w:tc>
        <w:tc>
          <w:tcPr>
            <w:tcW w:w="5873"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Фациеси с </w:t>
            </w:r>
            <w:r w:rsidRPr="0070201F">
              <w:rPr>
                <w:i/>
              </w:rPr>
              <w:t>Mytilus galloprovincialis</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i/>
                <w:noProof/>
              </w:rPr>
            </w:pPr>
            <w:r w:rsidRPr="0070201F">
              <w:rPr>
                <w:b/>
                <w:i/>
                <w:sz w:val="22"/>
              </w:rPr>
              <w:t>Средиземноморски инфралиторални стридени полета</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i/>
                <w:noProof/>
              </w:rPr>
            </w:pPr>
            <w:r w:rsidRPr="0070201F">
              <w:rPr>
                <w:b/>
                <w:i/>
              </w:rPr>
              <w:t>Средиземноморски циркалиторални стридени полета</w:t>
            </w:r>
          </w:p>
        </w:tc>
        <w:tc>
          <w:tcPr>
            <w:tcW w:w="258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bl>
    <w:p w:rsidR="006173E9" w:rsidRPr="0070201F" w:rsidRDefault="006173E9" w:rsidP="006173E9">
      <w:pPr>
        <w:keepNext/>
        <w:pageBreakBefore/>
        <w:suppressAutoHyphens/>
        <w:spacing w:before="120" w:after="120"/>
        <w:outlineLvl w:val="1"/>
        <w:rPr>
          <w:b/>
          <w:bCs/>
          <w:noProof/>
          <w:szCs w:val="26"/>
        </w:rPr>
      </w:pPr>
      <w:r w:rsidRPr="0070201F">
        <w:rPr>
          <w:b/>
        </w:rPr>
        <w:lastRenderedPageBreak/>
        <w:t>4.</w:t>
      </w:r>
      <w:r w:rsidRPr="0070201F">
        <w:rPr>
          <w:b/>
        </w:rPr>
        <w:tab/>
        <w:t>Група 4: Ливади от мерл</w:t>
      </w:r>
    </w:p>
    <w:tbl>
      <w:tblPr>
        <w:tblStyle w:val="TableGrid"/>
        <w:tblW w:w="0" w:type="auto"/>
        <w:tblLook w:val="04A0" w:firstRow="1" w:lastRow="0" w:firstColumn="1" w:lastColumn="0" w:noHBand="0" w:noVBand="1"/>
      </w:tblPr>
      <w:tblGrid>
        <w:gridCol w:w="1096"/>
        <w:gridCol w:w="80"/>
        <w:gridCol w:w="6040"/>
        <w:gridCol w:w="2171"/>
      </w:tblGrid>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Код по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Наименование на типа местообитание в EUNIS</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noProof/>
              </w:rPr>
            </w:pPr>
            <w:r w:rsidRPr="0070201F">
              <w:rPr>
                <w:b/>
              </w:rPr>
              <w:t>Свързани кодове от приложение I (Директивата за местообитанията)</w:t>
            </w:r>
          </w:p>
        </w:tc>
      </w:tr>
      <w:tr w:rsidR="006173E9" w:rsidRPr="0070201F" w:rsidTr="006173E9">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173E9" w:rsidRPr="0070201F" w:rsidRDefault="006173E9" w:rsidP="006173E9">
            <w:pPr>
              <w:spacing w:before="120" w:after="120"/>
              <w:rPr>
                <w:b/>
                <w:bCs/>
                <w:noProof/>
              </w:rPr>
            </w:pPr>
            <w:r w:rsidRPr="0070201F">
              <w:rPr>
                <w:b/>
              </w:rPr>
              <w:t>Атлантически океан</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MB322</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Ливади от мерл върху атлантически инфралиторални едрозърнести седименти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MB421</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Ливади от мерл върху атлантически инфралиторални смесени седименти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MB622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Ливади от мерл в атлантически инфралиторални тинести седименти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w:t>
            </w:r>
          </w:p>
        </w:tc>
      </w:tr>
      <w:tr w:rsidR="006173E9" w:rsidRPr="0070201F" w:rsidTr="006173E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Средиземно море</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MB3511</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Асоциация с родолити в едри пясъци и фин чакъл, смесени от вълните</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MB3521</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Асоциация с родолити в едри пясъци и фин чакъл под въздействието на придънни течения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MB3522</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Асоциация с мерл (= Асоциация с </w:t>
            </w:r>
            <w:r w:rsidRPr="0070201F">
              <w:rPr>
                <w:i/>
              </w:rPr>
              <w:t>Lithothamnion corallioides</w:t>
            </w:r>
            <w:r w:rsidRPr="0070201F">
              <w:t xml:space="preserve"> и </w:t>
            </w:r>
            <w:r w:rsidRPr="0070201F">
              <w:rPr>
                <w:i/>
              </w:rPr>
              <w:t>Phymatolithon calcareum</w:t>
            </w:r>
            <w:r w:rsidRPr="0070201F">
              <w:t>) върху средиземноморски едри пясъци и чакъл</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MC3521</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Асоциация с родолити върху крайбрежни детритови дъна</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MC3523</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Асоциация с мерл (</w:t>
            </w:r>
            <w:r w:rsidRPr="0070201F">
              <w:rPr>
                <w:i/>
              </w:rPr>
              <w:t>Lithothamnion corallioides</w:t>
            </w:r>
            <w:r w:rsidRPr="0070201F">
              <w:t xml:space="preserve"> и </w:t>
            </w:r>
            <w:r w:rsidRPr="0070201F">
              <w:rPr>
                <w:i/>
              </w:rPr>
              <w:t>Phymatholithon calcareum</w:t>
            </w:r>
            <w:r w:rsidRPr="0070201F">
              <w:t>) върху крайбрежни детритови дъна</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1110</w:t>
            </w:r>
          </w:p>
        </w:tc>
      </w:tr>
    </w:tbl>
    <w:p w:rsidR="006173E9" w:rsidRPr="0070201F" w:rsidRDefault="006173E9" w:rsidP="006173E9">
      <w:pPr>
        <w:keepNext/>
        <w:suppressAutoHyphens/>
        <w:spacing w:before="120" w:after="120"/>
        <w:outlineLvl w:val="1"/>
        <w:rPr>
          <w:b/>
          <w:bCs/>
          <w:noProof/>
          <w:szCs w:val="26"/>
        </w:rPr>
      </w:pPr>
      <w:r w:rsidRPr="0070201F">
        <w:rPr>
          <w:b/>
        </w:rPr>
        <w:t>5.</w:t>
      </w:r>
      <w:r w:rsidRPr="0070201F">
        <w:rPr>
          <w:b/>
        </w:rPr>
        <w:tab/>
        <w:t>Група 5: Колонии от сюнгери, корали и коралинови водорасли</w:t>
      </w:r>
    </w:p>
    <w:tbl>
      <w:tblPr>
        <w:tblStyle w:val="TableGrid"/>
        <w:tblW w:w="0" w:type="auto"/>
        <w:tblLook w:val="04A0" w:firstRow="1" w:lastRow="0" w:firstColumn="1" w:lastColumn="0" w:noHBand="0" w:noVBand="1"/>
      </w:tblPr>
      <w:tblGrid>
        <w:gridCol w:w="1096"/>
        <w:gridCol w:w="80"/>
        <w:gridCol w:w="6040"/>
        <w:gridCol w:w="2171"/>
      </w:tblGrid>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Код по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Наименование на типа местообитание в EUNIS</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noProof/>
              </w:rPr>
            </w:pPr>
            <w:r w:rsidRPr="0070201F">
              <w:rPr>
                <w:b/>
              </w:rPr>
              <w:t>Свързани кодове от приложение I (Директивата за местообитанията)</w:t>
            </w:r>
          </w:p>
        </w:tc>
      </w:tr>
      <w:tr w:rsidR="006173E9" w:rsidRPr="0070201F" w:rsidTr="006173E9">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173E9" w:rsidRPr="0070201F" w:rsidRDefault="006173E9" w:rsidP="006173E9">
            <w:pPr>
              <w:spacing w:before="120" w:after="120"/>
              <w:rPr>
                <w:b/>
                <w:bCs/>
                <w:noProof/>
              </w:rPr>
            </w:pPr>
            <w:r w:rsidRPr="0070201F">
              <w:rPr>
                <w:b/>
              </w:rPr>
              <w:t>Атлантически океан</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MC121</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Съобщества на фауна, образуваща „туфи“, върху атлантически циркалиторални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MC124</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Съобщества на фауна в условия на променлива соленост върху атлантически циркалиторални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1130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lastRenderedPageBreak/>
              <w:t>MC126</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Съобщества в атлантически циркалиторални пещери и под надвиснали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8330; 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MC222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Студеноводни коралови рифове в атлантическата циркалиторална зона</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MD121</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Съобщества от морски гъби върху атлантически офшорни циркалиторални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MD221</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Студеноводни коралови рифове в атлантическата офшорна циркалиторална зона</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ME122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Съобщества от сюнгери върху атлантически горни батиални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ME123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Смесени студеноводни коралови съобщества върху атлантически горни батиални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ME221</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Атлантически горен батиален студеноводен коралов риф</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ME322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Смесено съобщество от студеноводни корали върху атлантически горни батиални едри седименти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ME324</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Струпване на сюнгери върху атлантически горни батиални едри седименти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ME422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Струпване на сюнгери върху атлантически горни батиални смесени седименти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ME623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Струпване на сюнгери в атлантическа горна батиална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ME624</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Полета от изправени корали върху атлантическа горна батиална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MF121</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Смесено съобщество от студеноводни корали върху атлантически долни батиални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MF221</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Атлантически долни батиални студеноводни коралови рифове</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MF321</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Смесено съобщество от студеноводни корали върху атлантически долни батиални едри седименти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MF622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Струпване на сюнгери в атлантическа долна батиална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MF623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Полета от изправени корали върху атлантическа долна батиална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Балтийско море</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lastRenderedPageBreak/>
              <w:t>MB138</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Балтийски инфралиторални скали и камъни, характеризиращи се с епибентосни сюнгери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MB43A</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инфралиторални смесени седименти, характеризиращи се с епибентосни сюнгери (</w:t>
            </w:r>
            <w:r w:rsidRPr="0070201F">
              <w:rPr>
                <w:i/>
                <w:iCs/>
              </w:rPr>
              <w:t>Porifera</w:t>
            </w:r>
            <w:r w:rsidRPr="0070201F">
              <w:t>)</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 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MC133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циркалиторални скали и камъни, характеризиращи се с епибентосни книдарии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MC136</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Балтийски циркалиторални скали и камъни, характеризиращи се с епибентосни морски гъби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MC433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циркалиторален смесен седимент, характеризиращ се с епибентосни мешести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 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MC436</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Балтийски циркалиторални смесени седименти, характеризиращи се с епибентосни сюнгери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w:t>
            </w:r>
          </w:p>
        </w:tc>
      </w:tr>
      <w:tr w:rsidR="006173E9" w:rsidRPr="0070201F" w:rsidTr="006173E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Черно море</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MD24</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Черноморски офшорни циркалиторални биогенни местообитания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ME14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Черноморски горни батиални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ME24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Черноморско горно батиално биогенно местообитание</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MF14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Черноморски долни батиални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noProof/>
              </w:rPr>
            </w:pPr>
            <w:r w:rsidRPr="0070201F">
              <w:rPr>
                <w:b/>
              </w:rPr>
              <w:t>Средиземно море</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noProof/>
              </w:rPr>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MB151E</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Фациеси с </w:t>
            </w:r>
            <w:r w:rsidRPr="0070201F">
              <w:rPr>
                <w:i/>
              </w:rPr>
              <w:t>Cladocora caespitosa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MB151Q</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Фациеси с </w:t>
            </w:r>
            <w:r w:rsidRPr="0070201F">
              <w:rPr>
                <w:i/>
              </w:rPr>
              <w:t>Astroides calycularis</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MB151α</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Фациеси и асоциация на королигенна биоценоза (в анклав)</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MC1519</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Фациеси с </w:t>
            </w:r>
            <w:r w:rsidRPr="0070201F">
              <w:rPr>
                <w:i/>
              </w:rPr>
              <w:t>Eunicella cavolini</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MC151A</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Фациеси с </w:t>
            </w:r>
            <w:r w:rsidRPr="0070201F">
              <w:rPr>
                <w:i/>
              </w:rPr>
              <w:t>Eunicella singularis</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MC151B</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Фациеси с </w:t>
            </w:r>
            <w:r w:rsidRPr="0070201F">
              <w:rPr>
                <w:i/>
              </w:rPr>
              <w:t>Paramuricea clavata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MC151E</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Фациеси с </w:t>
            </w:r>
            <w:r w:rsidRPr="0070201F">
              <w:rPr>
                <w:i/>
              </w:rPr>
              <w:t>Leptogorgia sarmentosa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MC151F</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Фациеси с </w:t>
            </w:r>
            <w:r w:rsidRPr="0070201F">
              <w:rPr>
                <w:i/>
              </w:rPr>
              <w:t>Anthipatella subpinnata</w:t>
            </w:r>
            <w:r w:rsidRPr="0070201F">
              <w:t xml:space="preserve"> и оскъдни червени водорасли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MC151G</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Фациеси с масивни морски гъби и оскъдни червени водорасли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MC1522</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Фациеси с </w:t>
            </w:r>
            <w:r w:rsidRPr="0070201F">
              <w:rPr>
                <w:i/>
              </w:rPr>
              <w:t>Corallium rubrum</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8330; 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lastRenderedPageBreak/>
              <w:t>MC1523</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Фациеси с </w:t>
            </w:r>
            <w:r w:rsidRPr="0070201F">
              <w:rPr>
                <w:i/>
              </w:rPr>
              <w:t>Leptopsammia pruvoti</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8330; 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MC251</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Коралигенни платформи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MC6514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Фациеси на лепкави тини с </w:t>
            </w:r>
            <w:r w:rsidRPr="0070201F">
              <w:rPr>
                <w:i/>
              </w:rPr>
              <w:t>Alcyonium palmatum</w:t>
            </w:r>
            <w:r w:rsidRPr="0070201F">
              <w:t xml:space="preserve"> и </w:t>
            </w:r>
            <w:r w:rsidRPr="0070201F">
              <w:rPr>
                <w:i/>
              </w:rPr>
              <w:t>Parastichopus regalis</w:t>
            </w:r>
            <w:r w:rsidRPr="0070201F">
              <w:t xml:space="preserve"> върху циркалиториална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MD151</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Биоценоза на средиземноморски скали в периферията на шелфа</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MD25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Средиземноморски офшорни циркалиторални биогенни местообитания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MD6512</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 xml:space="preserve">Фациеси на лепкави тини с </w:t>
            </w:r>
            <w:r w:rsidRPr="0070201F">
              <w:rPr>
                <w:i/>
              </w:rPr>
              <w:t>Alcyonium palmatum</w:t>
            </w:r>
            <w:r w:rsidRPr="0070201F">
              <w:t xml:space="preserve"> и </w:t>
            </w:r>
            <w:r w:rsidRPr="0070201F">
              <w:rPr>
                <w:i/>
              </w:rPr>
              <w:t>Parastichopus regalis</w:t>
            </w:r>
            <w:r w:rsidRPr="0070201F">
              <w:t xml:space="preserve"> върху долна циркалиторална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ME1511</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Средиземноморски горни батиални рифове </w:t>
            </w:r>
            <w:r w:rsidRPr="0070201F">
              <w:rPr>
                <w:i/>
              </w:rPr>
              <w:t>Lophelia pertusa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ME1512</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Средиземноморски горни батиални рифове </w:t>
            </w:r>
            <w:r w:rsidRPr="0070201F">
              <w:rPr>
                <w:i/>
              </w:rPr>
              <w:t>Madrepora oculata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ME1513</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Средиземноморски горни батиални рифове </w:t>
            </w:r>
            <w:r w:rsidRPr="0070201F">
              <w:rPr>
                <w:i/>
              </w:rPr>
              <w:t>Madrepora oculata</w:t>
            </w:r>
            <w:r w:rsidRPr="0070201F">
              <w:t xml:space="preserve"> и рифове </w:t>
            </w:r>
            <w:r w:rsidRPr="0070201F">
              <w:rPr>
                <w:i/>
              </w:rPr>
              <w:t>Lophelia pertusa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ME6514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Средиземноморски горни батиални фациеси с </w:t>
            </w:r>
            <w:r w:rsidRPr="0070201F">
              <w:rPr>
                <w:i/>
              </w:rPr>
              <w:t>Pheronema carpenteri</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MF1511</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Средиземноморски долни батиални рифове </w:t>
            </w:r>
            <w:r w:rsidRPr="0070201F">
              <w:rPr>
                <w:i/>
              </w:rPr>
              <w:t>Lophelia pertusa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MF1512</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Средиземноморски долни батиални рифове </w:t>
            </w:r>
            <w:r w:rsidRPr="0070201F">
              <w:rPr>
                <w:i/>
              </w:rPr>
              <w:t>Madrepora oculata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MF1513</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Средиземноморски долни батиални рифове </w:t>
            </w:r>
            <w:r w:rsidRPr="0070201F">
              <w:rPr>
                <w:i/>
              </w:rPr>
              <w:t>Madrepora oculata</w:t>
            </w:r>
            <w:r w:rsidRPr="0070201F">
              <w:t xml:space="preserve"> и </w:t>
            </w:r>
            <w:r w:rsidRPr="0070201F">
              <w:rPr>
                <w:i/>
              </w:rPr>
              <w:t>Lophelia pertusa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MF6511</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Средиземноморски долни батиални фациеси в песъчливи тини с </w:t>
            </w:r>
            <w:r w:rsidRPr="0070201F">
              <w:rPr>
                <w:i/>
              </w:rPr>
              <w:t>Thenea muricata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MF6513</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Средиземноморски долни батиални фациеси в компактна тиня с </w:t>
            </w:r>
            <w:r w:rsidRPr="0070201F">
              <w:rPr>
                <w:i/>
              </w:rPr>
              <w:t>Isidella elongata</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bl>
    <w:p w:rsidR="006173E9" w:rsidRPr="0070201F" w:rsidRDefault="006173E9" w:rsidP="006173E9">
      <w:pPr>
        <w:keepNext/>
        <w:suppressAutoHyphens/>
        <w:spacing w:before="120" w:after="120"/>
        <w:outlineLvl w:val="1"/>
        <w:rPr>
          <w:b/>
          <w:bCs/>
          <w:noProof/>
          <w:szCs w:val="26"/>
        </w:rPr>
      </w:pPr>
      <w:r w:rsidRPr="0070201F">
        <w:rPr>
          <w:b/>
        </w:rPr>
        <w:t>6.</w:t>
      </w:r>
      <w:r w:rsidRPr="0070201F">
        <w:rPr>
          <w:b/>
        </w:rPr>
        <w:tab/>
        <w:t>Група 6: Извори и отвори</w:t>
      </w:r>
    </w:p>
    <w:tbl>
      <w:tblPr>
        <w:tblStyle w:val="TableGrid"/>
        <w:tblW w:w="0" w:type="auto"/>
        <w:tblLook w:val="04A0" w:firstRow="1" w:lastRow="0" w:firstColumn="1" w:lastColumn="0" w:noHBand="0" w:noVBand="1"/>
      </w:tblPr>
      <w:tblGrid>
        <w:gridCol w:w="1096"/>
        <w:gridCol w:w="6120"/>
        <w:gridCol w:w="2171"/>
      </w:tblGrid>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Код по EUNIS</w:t>
            </w:r>
          </w:p>
        </w:tc>
        <w:tc>
          <w:tcPr>
            <w:tcW w:w="612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noProof/>
              </w:rPr>
            </w:pPr>
            <w:r w:rsidRPr="0070201F">
              <w:rPr>
                <w:b/>
              </w:rPr>
              <w:t>Наименование на типа местообитание в EUNIS</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noProof/>
              </w:rPr>
            </w:pPr>
            <w:r w:rsidRPr="0070201F">
              <w:rPr>
                <w:b/>
              </w:rPr>
              <w:t>Свързани кодове от приложение I (Директивата за местообитанията)</w:t>
            </w:r>
          </w:p>
        </w:tc>
      </w:tr>
      <w:tr w:rsidR="006173E9" w:rsidRPr="0070201F" w:rsidTr="006173E9">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6173E9" w:rsidRPr="0070201F" w:rsidRDefault="006173E9" w:rsidP="006173E9">
            <w:pPr>
              <w:spacing w:before="120" w:after="120"/>
              <w:rPr>
                <w:b/>
                <w:bCs/>
                <w:noProof/>
              </w:rPr>
            </w:pPr>
            <w:r w:rsidRPr="0070201F">
              <w:rPr>
                <w:b/>
              </w:rPr>
              <w:t>Атлантически океан</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MB128</w:t>
            </w:r>
          </w:p>
        </w:tc>
        <w:tc>
          <w:tcPr>
            <w:tcW w:w="612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noProof/>
              </w:rPr>
            </w:pPr>
            <w:r w:rsidRPr="0070201F">
              <w:t>Извори и отвори в атлантически инфралиторални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1160; 1180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lastRenderedPageBreak/>
              <w:t>MB627</w:t>
            </w:r>
          </w:p>
        </w:tc>
        <w:tc>
          <w:tcPr>
            <w:tcW w:w="612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Извори и отвори в атлантическа инфралиторална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1130;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MC127</w:t>
            </w:r>
          </w:p>
        </w:tc>
        <w:tc>
          <w:tcPr>
            <w:tcW w:w="612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Извори и отвори в атлантически циркалиторални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 1180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MC622</w:t>
            </w:r>
          </w:p>
        </w:tc>
        <w:tc>
          <w:tcPr>
            <w:tcW w:w="612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Извори и отвори в атлантическа циркалиторална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MD122</w:t>
            </w:r>
          </w:p>
        </w:tc>
        <w:tc>
          <w:tcPr>
            <w:tcW w:w="612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Извори и отвори в атлантически офшорни циркалиторални скали</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MD622</w:t>
            </w:r>
          </w:p>
        </w:tc>
        <w:tc>
          <w:tcPr>
            <w:tcW w:w="612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Извори и отвори в атлантическа офшорна циркалиторална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bl>
    <w:p w:rsidR="006173E9" w:rsidRPr="0070201F" w:rsidRDefault="006173E9" w:rsidP="006173E9">
      <w:pPr>
        <w:keepNext/>
        <w:suppressAutoHyphens/>
        <w:spacing w:before="120" w:after="120"/>
        <w:outlineLvl w:val="1"/>
        <w:rPr>
          <w:b/>
        </w:rPr>
      </w:pPr>
      <w:r w:rsidRPr="0070201F">
        <w:rPr>
          <w:b/>
        </w:rPr>
        <w:t>7.</w:t>
      </w:r>
      <w:r w:rsidRPr="0070201F">
        <w:rPr>
          <w:b/>
        </w:rPr>
        <w:tab/>
        <w:t>Група 7: Меки седименти (над 1000 m дълбочина)</w:t>
      </w:r>
    </w:p>
    <w:tbl>
      <w:tblPr>
        <w:tblStyle w:val="TableGrid"/>
        <w:tblW w:w="0" w:type="auto"/>
        <w:tblLook w:val="04A0" w:firstRow="1" w:lastRow="0" w:firstColumn="1" w:lastColumn="0" w:noHBand="0" w:noVBand="1"/>
      </w:tblPr>
      <w:tblGrid>
        <w:gridCol w:w="1096"/>
        <w:gridCol w:w="80"/>
        <w:gridCol w:w="6040"/>
        <w:gridCol w:w="2171"/>
      </w:tblGrid>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rPr>
            </w:pPr>
            <w:r w:rsidRPr="0070201F">
              <w:rPr>
                <w:b/>
              </w:rPr>
              <w:t>Код по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rPr>
                <w:b/>
              </w:rPr>
            </w:pPr>
            <w:r w:rsidRPr="0070201F">
              <w:rPr>
                <w:b/>
              </w:rPr>
              <w:t>Наименование на типа местообитание в EUNIS</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rPr>
            </w:pPr>
            <w:r w:rsidRPr="0070201F">
              <w:rPr>
                <w:b/>
              </w:rPr>
              <w:t>Свързани кодове от приложение I (Директивата за местообитанията)</w:t>
            </w:r>
          </w:p>
        </w:tc>
      </w:tr>
      <w:tr w:rsidR="006173E9" w:rsidRPr="0070201F" w:rsidTr="006173E9">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173E9" w:rsidRPr="0070201F" w:rsidRDefault="006173E9" w:rsidP="006173E9">
            <w:pPr>
              <w:spacing w:before="120" w:after="120"/>
              <w:rPr>
                <w:b/>
              </w:rPr>
            </w:pPr>
            <w:r w:rsidRPr="0070201F">
              <w:rPr>
                <w:b/>
              </w:rPr>
              <w:t>Атлантически океан</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MA32</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Атлантически крайбрежен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MA42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MA52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литорален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MA62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Атлантическа 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MB32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инфралиторален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1130;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MB42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инфралиторален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1130; 1150;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MB52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инфралиторален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1130; 1150;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MB62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Атлантическа инфралиторална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1130;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MC32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циркалиторален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MC42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циркалиторален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MC52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циркалиторален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MC62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Атлантическа циркалиторална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MD32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офшорен циркалиторален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MD42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офшорен циркалиторален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MD52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офшорен циркалиторален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lastRenderedPageBreak/>
              <w:t>MD62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Атлантическа офшорна циркалиторална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ME32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горен батиален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ME42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горен батиален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ME52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горен батиален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ME62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Атлантическа горна батиална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MF32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долен батиален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MF42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долен батиален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MF52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Атлантически долен батиален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MF62</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Атлантическа долна батиална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rPr>
            </w:pPr>
            <w:r w:rsidRPr="0070201F">
              <w:rPr>
                <w:b/>
              </w:rPr>
              <w:t>Балтийско море</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rPr>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MA33</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Балтийски хидролиторален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1160; 1610; 1620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MA43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Балтийски хидролиторален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1160; 1610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MA53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Балтийски хидролиторален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1160; 1610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MA63</w:t>
            </w:r>
          </w:p>
        </w:tc>
        <w:tc>
          <w:tcPr>
            <w:tcW w:w="6120"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Балтийска хидролиторална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1160; 1650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MB33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Балтийски инфралиторален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1150;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MB43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Балтийски инфралиторален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1130; 1150; 1160; 1170; 1650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MB53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Балтийски инфралиторален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1130; 1150;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MB63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Балтийска инфралиторална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1130; 1150; 1160; 1650 </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MC33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Балтийски циркалиторален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MC43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Балтийски циркалиторален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1160; 1170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MC53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Балтийски циркалиторален пясък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1160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MC63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Балтийска циркалиторална тиня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1160; 1650</w:t>
            </w: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MD33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Балтийски офшорен циркалиторален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MD43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Балтийски офшорен циркалиторален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lastRenderedPageBreak/>
              <w:t>MD53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Балтийски офшорен циркалиторален пясък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096"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MD63</w:t>
            </w:r>
          </w:p>
        </w:tc>
        <w:tc>
          <w:tcPr>
            <w:tcW w:w="6120"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Балтийски офшорна циркалиторална тиня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rPr>
            </w:pPr>
            <w:r w:rsidRPr="0070201F">
              <w:rPr>
                <w:b/>
              </w:rPr>
              <w:t>Черно море</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rPr>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MA34</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Черноморски 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MA44</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Черноморски 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MA54</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Черноморски литорален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MA64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Черноморска 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MB34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Черноморски инфралиторален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MB44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Черноморски инфралиторален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1170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MB54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Черноморски инфралиторален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1130;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MB64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Черноморска инфралиторална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MC34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Черноморски циркалиторален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MC44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Черноморски циркалиторален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MC54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Черноморски циркалиторален пясък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MC64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Черноморска циркалиторална тиня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MD34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Черноморски офшорен циркалиторален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MD44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Черноморски офшорен циркалиторален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MD54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Черноморски офшорен циркалиторален пясък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MD64</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Черноморска офшорна циркалиторална тиня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173E9" w:rsidRPr="0070201F" w:rsidRDefault="006173E9" w:rsidP="006173E9">
            <w:pPr>
              <w:spacing w:before="120" w:after="120"/>
              <w:rPr>
                <w:b/>
              </w:rPr>
            </w:pPr>
            <w:r w:rsidRPr="0070201F">
              <w:rPr>
                <w:b/>
              </w:rPr>
              <w:t>Средиземно море</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173E9" w:rsidRPr="0070201F" w:rsidRDefault="006173E9" w:rsidP="006173E9">
            <w:pPr>
              <w:spacing w:before="120" w:after="120"/>
              <w:rPr>
                <w:b/>
              </w:rPr>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MA35</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Средиземноморски 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1160; 1130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MA45</w:t>
            </w:r>
          </w:p>
        </w:tc>
        <w:tc>
          <w:tcPr>
            <w:tcW w:w="6040" w:type="dxa"/>
            <w:tcBorders>
              <w:top w:val="single" w:sz="4" w:space="0" w:color="auto"/>
              <w:left w:val="single" w:sz="4" w:space="0" w:color="auto"/>
              <w:bottom w:val="single" w:sz="4" w:space="0" w:color="auto"/>
              <w:right w:val="single" w:sz="4" w:space="0" w:color="auto"/>
            </w:tcBorders>
            <w:hideMark/>
          </w:tcPr>
          <w:p w:rsidR="006173E9" w:rsidRPr="0070201F" w:rsidRDefault="006173E9" w:rsidP="006173E9">
            <w:pPr>
              <w:spacing w:before="120" w:after="120"/>
            </w:pPr>
            <w:r w:rsidRPr="0070201F">
              <w:t>Средиземноморски 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1140;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MA55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литорален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MA65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Средиземноморска 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1140; 1150;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MB35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инфралиторален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MB45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инфралиторален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lastRenderedPageBreak/>
              <w:t>MB55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инфралиторален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1130; 1150;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MB65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Средиземноморска инфралиторална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1150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MC35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циркалиторален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MC45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циркалиторален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MC55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Средиземноморски циркалиторален пясък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1110;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MC65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Средиземноморска циркалиторална тиня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1130; 1160</w:t>
            </w: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MD35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офшорен циркалиторален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MD45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офшорен циркалиторален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MD55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Средиземноморски офшорен циркалиторален пясък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MD65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 xml:space="preserve">Средиземноморска офшорна циркалиторална тиня </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ME35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горен батиален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ME45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горен батиален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ME55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горен батиален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ME65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Средиземноморска горна батиална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MF35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долен батиален едър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MF45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долен батиален смесен седимент</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MF55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Средиземноморски долен батиален пясък</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p>
        </w:tc>
      </w:tr>
      <w:tr w:rsidR="006173E9" w:rsidRPr="0070201F" w:rsidTr="006173E9">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pPr>
            <w:r w:rsidRPr="0070201F">
              <w:t>MF65</w:t>
            </w:r>
          </w:p>
        </w:tc>
        <w:tc>
          <w:tcPr>
            <w:tcW w:w="604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Средиземноморска долна батиална тиня</w:t>
            </w:r>
          </w:p>
        </w:tc>
        <w:tc>
          <w:tcPr>
            <w:tcW w:w="2073"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p>
        </w:tc>
      </w:tr>
    </w:tbl>
    <w:p w:rsidR="006173E9" w:rsidRPr="0070201F" w:rsidRDefault="006173E9" w:rsidP="006173E9">
      <w:pPr>
        <w:spacing w:before="120" w:after="120" w:line="360" w:lineRule="auto"/>
        <w:rPr>
          <w:rFonts w:eastAsia="Calibri"/>
          <w:szCs w:val="22"/>
        </w:rPr>
      </w:pPr>
    </w:p>
    <w:p w:rsidR="006173E9" w:rsidRPr="0070201F" w:rsidRDefault="006173E9" w:rsidP="006173E9">
      <w:pPr>
        <w:spacing w:before="120" w:after="120" w:line="360" w:lineRule="auto"/>
        <w:rPr>
          <w:rFonts w:eastAsia="Calibri"/>
          <w:szCs w:val="22"/>
        </w:rPr>
        <w:sectPr w:rsidR="006173E9" w:rsidRPr="0070201F" w:rsidSect="006173E9">
          <w:footnotePr>
            <w:numRestart w:val="eachSect"/>
          </w:footnotePr>
          <w:pgSz w:w="11907" w:h="16839"/>
          <w:pgMar w:top="1134" w:right="1134" w:bottom="1134" w:left="1134" w:header="567" w:footer="567" w:gutter="0"/>
          <w:cols w:space="720"/>
          <w:docGrid w:linePitch="360"/>
        </w:sectPr>
      </w:pPr>
    </w:p>
    <w:p w:rsidR="006173E9" w:rsidRPr="0070201F" w:rsidRDefault="006173E9" w:rsidP="006173E9">
      <w:pPr>
        <w:suppressAutoHyphens/>
        <w:spacing w:before="120" w:after="120"/>
        <w:jc w:val="center"/>
        <w:rPr>
          <w:rFonts w:eastAsia="Calibri"/>
          <w:b/>
          <w:noProof/>
          <w:szCs w:val="22"/>
          <w:u w:val="single"/>
        </w:rPr>
      </w:pPr>
      <w:r w:rsidRPr="0070201F">
        <w:rPr>
          <w:b/>
          <w:u w:val="single"/>
        </w:rPr>
        <w:lastRenderedPageBreak/>
        <w:t>ПРИЛОЖЕНИЕ III</w:t>
      </w:r>
      <w:r w:rsidRPr="0070201F">
        <w:rPr>
          <w:b/>
          <w:u w:val="single"/>
        </w:rPr>
        <w:br/>
      </w:r>
      <w:r w:rsidRPr="0070201F">
        <w:rPr>
          <w:b/>
          <w:u w:val="single"/>
        </w:rPr>
        <w:br/>
        <w:t xml:space="preserve">МОРСКИ ВИДОВЕ, ПОСОЧЕНИ В ЧЛЕН 5, ПАРАГРАФ 3 </w:t>
      </w:r>
    </w:p>
    <w:p w:rsidR="006173E9" w:rsidRPr="0070201F" w:rsidRDefault="006173E9" w:rsidP="006173E9">
      <w:pPr>
        <w:tabs>
          <w:tab w:val="num" w:pos="1560"/>
        </w:tabs>
        <w:suppressAutoHyphens/>
        <w:spacing w:before="120" w:after="120"/>
        <w:rPr>
          <w:rFonts w:eastAsia="Calibri"/>
          <w:noProof/>
          <w:szCs w:val="22"/>
        </w:rPr>
      </w:pPr>
      <w:r w:rsidRPr="0070201F">
        <w:rPr>
          <w:rFonts w:ascii="Arial" w:hAnsi="Arial"/>
          <w:snapToGrid w:val="0"/>
        </w:rPr>
        <w:t>▌</w:t>
      </w:r>
    </w:p>
    <w:p w:rsidR="006173E9" w:rsidRPr="0070201F" w:rsidRDefault="006173E9" w:rsidP="006173E9">
      <w:pPr>
        <w:suppressAutoHyphens/>
        <w:spacing w:before="120" w:after="120"/>
        <w:ind w:left="851" w:hanging="851"/>
        <w:rPr>
          <w:rFonts w:eastAsia="Calibri"/>
          <w:noProof/>
          <w:szCs w:val="22"/>
        </w:rPr>
      </w:pPr>
      <w:r w:rsidRPr="0070201F">
        <w:t>(2)</w:t>
      </w:r>
      <w:r w:rsidRPr="0070201F">
        <w:tab/>
        <w:t>куинсланска риба трион (</w:t>
      </w:r>
      <w:r w:rsidRPr="0070201F">
        <w:rPr>
          <w:i/>
        </w:rPr>
        <w:t>Pristis clavata</w:t>
      </w:r>
      <w:r w:rsidRPr="0070201F">
        <w:t>);</w:t>
      </w:r>
    </w:p>
    <w:p w:rsidR="006173E9" w:rsidRPr="0070201F" w:rsidRDefault="006173E9" w:rsidP="006173E9">
      <w:pPr>
        <w:suppressAutoHyphens/>
        <w:spacing w:before="120" w:after="120"/>
        <w:ind w:left="850" w:hanging="850"/>
        <w:rPr>
          <w:rFonts w:eastAsia="Calibri"/>
          <w:noProof/>
          <w:szCs w:val="22"/>
        </w:rPr>
      </w:pPr>
      <w:r w:rsidRPr="0070201F">
        <w:t>(3)</w:t>
      </w:r>
      <w:r w:rsidRPr="0070201F">
        <w:tab/>
        <w:t>дребнозъба риба трион (</w:t>
      </w:r>
      <w:r w:rsidRPr="0070201F">
        <w:rPr>
          <w:i/>
        </w:rPr>
        <w:t>Pristis pectinata</w:t>
      </w:r>
      <w:r w:rsidRPr="0070201F">
        <w:t>);</w:t>
      </w:r>
    </w:p>
    <w:p w:rsidR="006173E9" w:rsidRPr="0070201F" w:rsidRDefault="006173E9" w:rsidP="006173E9">
      <w:pPr>
        <w:suppressAutoHyphens/>
        <w:spacing w:before="120" w:after="120"/>
        <w:ind w:left="850" w:hanging="850"/>
        <w:rPr>
          <w:rFonts w:eastAsia="Calibri"/>
          <w:noProof/>
          <w:szCs w:val="22"/>
        </w:rPr>
      </w:pPr>
      <w:r w:rsidRPr="0070201F">
        <w:t>(4)</w:t>
      </w:r>
      <w:r w:rsidRPr="0070201F">
        <w:tab/>
        <w:t>обикновена риба трион (</w:t>
      </w:r>
      <w:r w:rsidRPr="0070201F">
        <w:rPr>
          <w:i/>
        </w:rPr>
        <w:t>Pristis pristis</w:t>
      </w:r>
      <w:r w:rsidRPr="0070201F">
        <w:t>);</w:t>
      </w:r>
    </w:p>
    <w:p w:rsidR="006173E9" w:rsidRPr="0070201F" w:rsidRDefault="006173E9" w:rsidP="006173E9">
      <w:pPr>
        <w:suppressAutoHyphens/>
        <w:spacing w:before="120" w:after="120"/>
        <w:ind w:left="850" w:hanging="850"/>
        <w:rPr>
          <w:rFonts w:eastAsia="Calibri"/>
          <w:noProof/>
          <w:szCs w:val="22"/>
        </w:rPr>
      </w:pPr>
      <w:r w:rsidRPr="0070201F">
        <w:rPr>
          <w:rFonts w:ascii="Arial" w:hAnsi="Arial"/>
          <w:snapToGrid w:val="0"/>
        </w:rPr>
        <w:t>▌</w:t>
      </w:r>
    </w:p>
    <w:p w:rsidR="006173E9" w:rsidRPr="0070201F" w:rsidRDefault="006173E9" w:rsidP="006173E9">
      <w:pPr>
        <w:suppressAutoHyphens/>
        <w:spacing w:before="120" w:after="120"/>
        <w:ind w:left="850" w:hanging="850"/>
        <w:rPr>
          <w:rFonts w:eastAsia="Calibri"/>
          <w:noProof/>
          <w:szCs w:val="22"/>
        </w:rPr>
      </w:pPr>
      <w:r w:rsidRPr="0070201F">
        <w:t>(6)</w:t>
      </w:r>
      <w:r w:rsidRPr="0070201F">
        <w:tab/>
        <w:t>гигантска акула (</w:t>
      </w:r>
      <w:r w:rsidRPr="0070201F">
        <w:rPr>
          <w:i/>
        </w:rPr>
        <w:t>Cetorhinus maximus</w:t>
      </w:r>
      <w:r w:rsidRPr="0070201F">
        <w:t>) и бяла акула (</w:t>
      </w:r>
      <w:r w:rsidRPr="0070201F">
        <w:rPr>
          <w:i/>
        </w:rPr>
        <w:t>Carcharodon carcharias</w:t>
      </w:r>
      <w:r w:rsidRPr="0070201F">
        <w:t>);</w:t>
      </w:r>
    </w:p>
    <w:p w:rsidR="006173E9" w:rsidRPr="0070201F" w:rsidRDefault="006173E9" w:rsidP="006173E9">
      <w:pPr>
        <w:suppressAutoHyphens/>
        <w:spacing w:before="120" w:after="120"/>
        <w:ind w:left="850" w:hanging="850"/>
        <w:rPr>
          <w:rFonts w:eastAsia="Calibri"/>
          <w:noProof/>
          <w:szCs w:val="22"/>
        </w:rPr>
      </w:pPr>
      <w:r w:rsidRPr="0070201F">
        <w:t>(7)</w:t>
      </w:r>
      <w:r w:rsidRPr="0070201F">
        <w:tab/>
        <w:t xml:space="preserve">акула от вида </w:t>
      </w:r>
      <w:r w:rsidRPr="0070201F">
        <w:rPr>
          <w:i/>
          <w:iCs/>
        </w:rPr>
        <w:t>Etmopterus bigelowi</w:t>
      </w:r>
      <w:r w:rsidRPr="0070201F">
        <w:t xml:space="preserve"> (</w:t>
      </w:r>
      <w:r w:rsidRPr="0070201F">
        <w:rPr>
          <w:i/>
        </w:rPr>
        <w:t>Etmopterus pusillus</w:t>
      </w:r>
      <w:r w:rsidRPr="0070201F">
        <w:t>);</w:t>
      </w:r>
    </w:p>
    <w:p w:rsidR="006173E9" w:rsidRPr="0070201F" w:rsidRDefault="006173E9" w:rsidP="006173E9">
      <w:pPr>
        <w:suppressAutoHyphens/>
        <w:spacing w:before="120" w:after="120"/>
        <w:ind w:left="850" w:hanging="850"/>
        <w:rPr>
          <w:rFonts w:eastAsia="Calibri"/>
          <w:noProof/>
          <w:szCs w:val="22"/>
        </w:rPr>
      </w:pPr>
      <w:r w:rsidRPr="0070201F">
        <w:t>(8)</w:t>
      </w:r>
      <w:r w:rsidRPr="0070201F">
        <w:tab/>
        <w:t xml:space="preserve">манта от вида </w:t>
      </w:r>
      <w:r w:rsidRPr="0070201F">
        <w:rPr>
          <w:i/>
          <w:iCs/>
        </w:rPr>
        <w:t>Manta alfredi</w:t>
      </w:r>
      <w:r w:rsidRPr="0070201F">
        <w:t xml:space="preserve"> (</w:t>
      </w:r>
      <w:r w:rsidRPr="0070201F">
        <w:rPr>
          <w:i/>
        </w:rPr>
        <w:t>Manta alfredi</w:t>
      </w:r>
      <w:r w:rsidRPr="0070201F">
        <w:t>);</w:t>
      </w:r>
    </w:p>
    <w:p w:rsidR="006173E9" w:rsidRPr="0070201F" w:rsidRDefault="006173E9" w:rsidP="006173E9">
      <w:pPr>
        <w:suppressAutoHyphens/>
        <w:spacing w:before="120" w:after="120"/>
        <w:ind w:left="850" w:hanging="850"/>
        <w:rPr>
          <w:rFonts w:eastAsia="Calibri"/>
          <w:szCs w:val="22"/>
        </w:rPr>
      </w:pPr>
      <w:r w:rsidRPr="0070201F">
        <w:t>(9)</w:t>
      </w:r>
      <w:r w:rsidRPr="0070201F">
        <w:tab/>
        <w:t>морски дявол (</w:t>
      </w:r>
      <w:r w:rsidRPr="0070201F">
        <w:rPr>
          <w:i/>
        </w:rPr>
        <w:t>Manta birostris</w:t>
      </w:r>
      <w:r w:rsidRPr="0070201F">
        <w:t>);</w:t>
      </w:r>
    </w:p>
    <w:p w:rsidR="006173E9" w:rsidRPr="0070201F" w:rsidRDefault="006173E9" w:rsidP="006173E9">
      <w:pPr>
        <w:suppressAutoHyphens/>
        <w:spacing w:before="120" w:after="120"/>
        <w:ind w:left="850" w:hanging="850"/>
        <w:rPr>
          <w:rFonts w:eastAsia="Calibri"/>
          <w:szCs w:val="22"/>
        </w:rPr>
      </w:pPr>
      <w:r w:rsidRPr="0070201F">
        <w:t>(10)</w:t>
      </w:r>
      <w:r w:rsidRPr="0070201F">
        <w:tab/>
        <w:t>дяволска риба (</w:t>
      </w:r>
      <w:r w:rsidRPr="0070201F">
        <w:rPr>
          <w:i/>
        </w:rPr>
        <w:t>Mobula mobular</w:t>
      </w:r>
      <w:r w:rsidRPr="0070201F">
        <w:t>);</w:t>
      </w:r>
    </w:p>
    <w:p w:rsidR="006173E9" w:rsidRPr="0070201F" w:rsidRDefault="006173E9" w:rsidP="006173E9">
      <w:pPr>
        <w:suppressAutoHyphens/>
        <w:spacing w:before="120" w:after="120"/>
        <w:ind w:left="850" w:hanging="850"/>
        <w:rPr>
          <w:rFonts w:eastAsia="Calibri"/>
          <w:szCs w:val="22"/>
        </w:rPr>
      </w:pPr>
      <w:r w:rsidRPr="0070201F">
        <w:t>(11)</w:t>
      </w:r>
      <w:r w:rsidRPr="0070201F">
        <w:tab/>
        <w:t>гвинейски морски дявол (</w:t>
      </w:r>
      <w:r w:rsidRPr="0070201F">
        <w:rPr>
          <w:i/>
        </w:rPr>
        <w:t>Mobula rochebrunei</w:t>
      </w:r>
      <w:r w:rsidRPr="0070201F">
        <w:t>);</w:t>
      </w:r>
    </w:p>
    <w:p w:rsidR="006173E9" w:rsidRPr="0070201F" w:rsidRDefault="006173E9" w:rsidP="006173E9">
      <w:pPr>
        <w:suppressAutoHyphens/>
        <w:spacing w:before="120" w:after="120"/>
        <w:ind w:left="850" w:hanging="850"/>
        <w:rPr>
          <w:rFonts w:eastAsia="Calibri"/>
          <w:noProof/>
          <w:szCs w:val="22"/>
        </w:rPr>
      </w:pPr>
      <w:r w:rsidRPr="0070201F">
        <w:t>(12)</w:t>
      </w:r>
      <w:r w:rsidRPr="0070201F">
        <w:tab/>
        <w:t>японски морски дявол (</w:t>
      </w:r>
      <w:r w:rsidRPr="0070201F">
        <w:rPr>
          <w:i/>
        </w:rPr>
        <w:t>Mobula japanica</w:t>
      </w:r>
      <w:r w:rsidRPr="0070201F">
        <w:t>);</w:t>
      </w:r>
    </w:p>
    <w:p w:rsidR="006173E9" w:rsidRPr="0070201F" w:rsidRDefault="006173E9" w:rsidP="006173E9">
      <w:pPr>
        <w:suppressAutoHyphens/>
        <w:spacing w:before="120" w:after="120"/>
        <w:ind w:left="850" w:hanging="850"/>
        <w:rPr>
          <w:rFonts w:eastAsia="Calibri"/>
          <w:noProof/>
          <w:szCs w:val="22"/>
        </w:rPr>
      </w:pPr>
      <w:r w:rsidRPr="0070201F">
        <w:t>(13)</w:t>
      </w:r>
      <w:r w:rsidRPr="0070201F">
        <w:tab/>
        <w:t>гладкоопашат морски дявол (</w:t>
      </w:r>
      <w:r w:rsidRPr="0070201F">
        <w:rPr>
          <w:i/>
        </w:rPr>
        <w:t>Mobula thurstoni</w:t>
      </w:r>
      <w:r w:rsidRPr="0070201F">
        <w:t>);</w:t>
      </w:r>
    </w:p>
    <w:p w:rsidR="006173E9" w:rsidRPr="0070201F" w:rsidRDefault="006173E9" w:rsidP="006173E9">
      <w:pPr>
        <w:suppressAutoHyphens/>
        <w:spacing w:before="120" w:after="120"/>
        <w:ind w:left="850" w:hanging="850"/>
        <w:rPr>
          <w:rFonts w:eastAsia="Calibri"/>
          <w:noProof/>
          <w:szCs w:val="22"/>
        </w:rPr>
      </w:pPr>
      <w:r w:rsidRPr="0070201F">
        <w:t>(14)</w:t>
      </w:r>
      <w:r w:rsidRPr="0070201F">
        <w:tab/>
        <w:t>дългорог морски дявол (</w:t>
      </w:r>
      <w:r w:rsidRPr="0070201F">
        <w:rPr>
          <w:i/>
        </w:rPr>
        <w:t>Mobula eregoodootenkee</w:t>
      </w:r>
      <w:r w:rsidRPr="0070201F">
        <w:t>);</w:t>
      </w:r>
    </w:p>
    <w:p w:rsidR="006173E9" w:rsidRPr="0070201F" w:rsidRDefault="006173E9" w:rsidP="006173E9">
      <w:pPr>
        <w:suppressAutoHyphens/>
        <w:spacing w:before="120" w:after="120"/>
        <w:ind w:left="850" w:hanging="850"/>
        <w:rPr>
          <w:rFonts w:eastAsia="Calibri"/>
          <w:szCs w:val="22"/>
        </w:rPr>
      </w:pPr>
      <w:r w:rsidRPr="0070201F">
        <w:rPr>
          <w:rFonts w:ascii="Arial" w:hAnsi="Arial"/>
          <w:snapToGrid w:val="0"/>
        </w:rPr>
        <w:t>▌</w:t>
      </w:r>
    </w:p>
    <w:p w:rsidR="006173E9" w:rsidRPr="0070201F" w:rsidRDefault="006173E9" w:rsidP="006173E9">
      <w:pPr>
        <w:suppressAutoHyphens/>
        <w:spacing w:before="120" w:after="120"/>
        <w:ind w:left="850" w:hanging="850"/>
        <w:rPr>
          <w:rFonts w:eastAsia="Calibri"/>
          <w:noProof/>
          <w:szCs w:val="22"/>
        </w:rPr>
      </w:pPr>
      <w:r w:rsidRPr="0070201F">
        <w:t>(16)</w:t>
      </w:r>
      <w:r w:rsidRPr="0070201F">
        <w:tab/>
        <w:t>бодлив морски дявол (</w:t>
      </w:r>
      <w:r w:rsidRPr="0070201F">
        <w:rPr>
          <w:i/>
        </w:rPr>
        <w:t>Mobula tarapacana</w:t>
      </w:r>
      <w:r w:rsidRPr="0070201F">
        <w:t>);</w:t>
      </w:r>
    </w:p>
    <w:p w:rsidR="006173E9" w:rsidRPr="0070201F" w:rsidRDefault="006173E9" w:rsidP="006173E9">
      <w:pPr>
        <w:suppressAutoHyphens/>
        <w:spacing w:before="120" w:after="120"/>
        <w:ind w:left="850" w:hanging="850"/>
        <w:rPr>
          <w:rFonts w:eastAsia="Calibri"/>
          <w:noProof/>
          <w:szCs w:val="22"/>
        </w:rPr>
      </w:pPr>
      <w:r w:rsidRPr="0070201F">
        <w:t>(17)</w:t>
      </w:r>
      <w:r w:rsidRPr="0070201F">
        <w:tab/>
        <w:t>късопер морски дявол (</w:t>
      </w:r>
      <w:r w:rsidRPr="0070201F">
        <w:rPr>
          <w:i/>
        </w:rPr>
        <w:t>Mobula kuhlii</w:t>
      </w:r>
      <w:r w:rsidRPr="0070201F">
        <w:t>);</w:t>
      </w:r>
    </w:p>
    <w:p w:rsidR="006173E9" w:rsidRPr="0070201F" w:rsidRDefault="006173E9" w:rsidP="006173E9">
      <w:pPr>
        <w:suppressAutoHyphens/>
        <w:spacing w:before="120" w:after="120"/>
        <w:ind w:left="850" w:hanging="850"/>
        <w:rPr>
          <w:rFonts w:eastAsia="Calibri"/>
          <w:szCs w:val="22"/>
        </w:rPr>
      </w:pPr>
      <w:r w:rsidRPr="0070201F">
        <w:t>(18)</w:t>
      </w:r>
      <w:r w:rsidRPr="0070201F">
        <w:tab/>
        <w:t>малък морски дявол (</w:t>
      </w:r>
      <w:r w:rsidRPr="0070201F">
        <w:rPr>
          <w:i/>
        </w:rPr>
        <w:t>Mobula hypostoma</w:t>
      </w:r>
      <w:r w:rsidRPr="0070201F">
        <w:t>);</w:t>
      </w:r>
    </w:p>
    <w:p w:rsidR="006173E9" w:rsidRPr="0070201F" w:rsidRDefault="006173E9" w:rsidP="006173E9">
      <w:pPr>
        <w:suppressAutoHyphens/>
        <w:spacing w:before="120" w:after="120"/>
        <w:ind w:left="850" w:hanging="850"/>
        <w:rPr>
          <w:rFonts w:eastAsia="Calibri"/>
          <w:szCs w:val="22"/>
        </w:rPr>
      </w:pPr>
      <w:r w:rsidRPr="0070201F">
        <w:t>(19)</w:t>
      </w:r>
      <w:r w:rsidRPr="0070201F">
        <w:tab/>
        <w:t>норвежки скат (</w:t>
      </w:r>
      <w:r w:rsidRPr="0070201F">
        <w:rPr>
          <w:i/>
        </w:rPr>
        <w:t>Raja (Dipturus) nidarosiensis</w:t>
      </w:r>
      <w:r w:rsidRPr="0070201F">
        <w:t>);</w:t>
      </w:r>
    </w:p>
    <w:p w:rsidR="006173E9" w:rsidRPr="0070201F" w:rsidRDefault="006173E9" w:rsidP="006173E9">
      <w:pPr>
        <w:suppressAutoHyphens/>
        <w:spacing w:before="120" w:after="120"/>
        <w:ind w:left="850" w:hanging="850"/>
        <w:rPr>
          <w:rFonts w:eastAsia="Calibri"/>
          <w:szCs w:val="22"/>
        </w:rPr>
      </w:pPr>
      <w:r w:rsidRPr="0070201F">
        <w:t>(20)</w:t>
      </w:r>
      <w:r w:rsidRPr="0070201F">
        <w:tab/>
        <w:t>бял скат (</w:t>
      </w:r>
      <w:r w:rsidRPr="0070201F">
        <w:rPr>
          <w:i/>
        </w:rPr>
        <w:t>Raja alba</w:t>
      </w:r>
      <w:r w:rsidRPr="0070201F">
        <w:t xml:space="preserve">); </w:t>
      </w:r>
    </w:p>
    <w:p w:rsidR="006173E9" w:rsidRPr="0070201F" w:rsidRDefault="006173E9" w:rsidP="006173E9">
      <w:pPr>
        <w:suppressAutoHyphens/>
        <w:spacing w:before="120" w:after="120"/>
        <w:ind w:left="851" w:hanging="851"/>
        <w:rPr>
          <w:rFonts w:eastAsia="Calibri"/>
          <w:szCs w:val="22"/>
        </w:rPr>
      </w:pPr>
      <w:r w:rsidRPr="0070201F">
        <w:t>(21)</w:t>
      </w:r>
      <w:r w:rsidRPr="0070201F">
        <w:tab/>
        <w:t>риби китара (</w:t>
      </w:r>
      <w:r w:rsidRPr="0070201F">
        <w:rPr>
          <w:i/>
        </w:rPr>
        <w:t>Rhinobatidae</w:t>
      </w:r>
      <w:r w:rsidRPr="0070201F">
        <w:t>);</w:t>
      </w:r>
    </w:p>
    <w:p w:rsidR="006173E9" w:rsidRPr="0070201F" w:rsidRDefault="006173E9" w:rsidP="006173E9">
      <w:pPr>
        <w:suppressAutoHyphens/>
        <w:spacing w:before="120" w:after="120"/>
        <w:ind w:left="850" w:hanging="850"/>
        <w:rPr>
          <w:rFonts w:eastAsia="Calibri"/>
          <w:szCs w:val="22"/>
        </w:rPr>
      </w:pPr>
      <w:r w:rsidRPr="0070201F">
        <w:t>(22)</w:t>
      </w:r>
      <w:r w:rsidRPr="0070201F">
        <w:tab/>
        <w:t>морски ангел (</w:t>
      </w:r>
      <w:r w:rsidRPr="0070201F">
        <w:rPr>
          <w:i/>
        </w:rPr>
        <w:t>Squatina squatina</w:t>
      </w:r>
      <w:r w:rsidRPr="0070201F">
        <w:t>);</w:t>
      </w:r>
    </w:p>
    <w:p w:rsidR="006173E9" w:rsidRPr="0070201F" w:rsidRDefault="006173E9" w:rsidP="006173E9">
      <w:pPr>
        <w:suppressAutoHyphens/>
        <w:spacing w:before="120" w:after="120"/>
        <w:ind w:left="850" w:hanging="850"/>
        <w:rPr>
          <w:rFonts w:eastAsia="Calibri"/>
          <w:noProof/>
          <w:szCs w:val="22"/>
        </w:rPr>
      </w:pPr>
      <w:r w:rsidRPr="0070201F">
        <w:t>(23)</w:t>
      </w:r>
      <w:r w:rsidRPr="0070201F">
        <w:tab/>
        <w:t>сьомга (</w:t>
      </w:r>
      <w:r w:rsidRPr="0070201F">
        <w:rPr>
          <w:i/>
        </w:rPr>
        <w:t>Salmo salar</w:t>
      </w:r>
      <w:r w:rsidRPr="0070201F">
        <w:t xml:space="preserve">); </w:t>
      </w:r>
    </w:p>
    <w:p w:rsidR="006173E9" w:rsidRPr="0070201F" w:rsidRDefault="006173E9" w:rsidP="006173E9">
      <w:pPr>
        <w:suppressAutoHyphens/>
        <w:spacing w:before="120" w:after="120"/>
        <w:ind w:left="850" w:hanging="850"/>
        <w:rPr>
          <w:rFonts w:eastAsia="Calibri"/>
          <w:noProof/>
          <w:szCs w:val="22"/>
        </w:rPr>
      </w:pPr>
      <w:r w:rsidRPr="0070201F">
        <w:t>(24)</w:t>
      </w:r>
      <w:r w:rsidRPr="0070201F">
        <w:tab/>
        <w:t>морска пъстърва (</w:t>
      </w:r>
      <w:r w:rsidRPr="0070201F">
        <w:rPr>
          <w:i/>
        </w:rPr>
        <w:t>Salmo trutta</w:t>
      </w:r>
      <w:r w:rsidRPr="0070201F">
        <w:t>);</w:t>
      </w:r>
    </w:p>
    <w:p w:rsidR="006173E9" w:rsidRPr="0070201F" w:rsidRDefault="006173E9" w:rsidP="006173E9">
      <w:pPr>
        <w:spacing w:before="120" w:after="120" w:line="360" w:lineRule="auto"/>
        <w:ind w:left="851" w:hanging="851"/>
        <w:rPr>
          <w:rFonts w:eastAsia="Calibri"/>
          <w:noProof/>
          <w:szCs w:val="22"/>
        </w:rPr>
        <w:sectPr w:rsidR="006173E9" w:rsidRPr="0070201F" w:rsidSect="006173E9">
          <w:footnotePr>
            <w:numRestart w:val="eachSect"/>
          </w:footnotePr>
          <w:pgSz w:w="11907" w:h="16839"/>
          <w:pgMar w:top="1134" w:right="1134" w:bottom="1134" w:left="1134" w:header="567" w:footer="567" w:gutter="0"/>
          <w:cols w:space="720"/>
          <w:docGrid w:linePitch="360"/>
        </w:sectPr>
      </w:pPr>
      <w:r w:rsidRPr="0070201F">
        <w:t>(25)</w:t>
      </w:r>
      <w:r w:rsidRPr="0070201F">
        <w:tab/>
      </w:r>
      <w:r w:rsidRPr="0070201F">
        <w:rPr>
          <w:i/>
        </w:rPr>
        <w:t>Coregonus oxyrhynchus</w:t>
      </w:r>
      <w:r w:rsidRPr="0070201F">
        <w:t>.</w:t>
      </w:r>
    </w:p>
    <w:p w:rsidR="006173E9" w:rsidRPr="0070201F" w:rsidRDefault="0014171D" w:rsidP="006173E9">
      <w:pPr>
        <w:spacing w:before="120" w:after="120" w:line="360" w:lineRule="auto"/>
        <w:rPr>
          <w:rFonts w:eastAsia="Calibri"/>
          <w:b/>
          <w:szCs w:val="22"/>
        </w:rPr>
        <w:sectPr w:rsidR="006173E9" w:rsidRPr="0070201F" w:rsidSect="006173E9">
          <w:headerReference w:type="default" r:id="rId17"/>
          <w:footnotePr>
            <w:numRestart w:val="eachSect"/>
          </w:footnotePr>
          <w:pgSz w:w="16839" w:h="11907" w:orient="landscape"/>
          <w:pgMar w:top="1134" w:right="1134" w:bottom="1134" w:left="1134" w:header="567" w:footer="567" w:gutter="0"/>
          <w:cols w:space="720"/>
          <w:docGrid w:linePitch="360"/>
        </w:sectPr>
      </w:pPr>
      <w:r w:rsidRPr="0070201F">
        <w:rPr>
          <w:rFonts w:eastAsia="Calibri"/>
          <w:szCs w:val="22"/>
        </w:rPr>
        <w:lastRenderedPageBreak/>
        <w:t>▌</w:t>
      </w:r>
      <w:r w:rsidRPr="0070201F">
        <w:rPr>
          <w:rFonts w:eastAsia="Calibri"/>
          <w:b/>
          <w:szCs w:val="22"/>
        </w:rPr>
        <w:t xml:space="preserve"> [Изм. 47]</w:t>
      </w:r>
    </w:p>
    <w:p w:rsidR="006173E9" w:rsidRPr="0070201F" w:rsidRDefault="006173E9" w:rsidP="006173E9">
      <w:pPr>
        <w:suppressAutoHyphens/>
        <w:spacing w:before="120" w:after="120"/>
        <w:jc w:val="center"/>
        <w:rPr>
          <w:rFonts w:eastAsia="Calibri"/>
          <w:b/>
          <w:noProof/>
          <w:szCs w:val="22"/>
          <w:u w:val="single"/>
        </w:rPr>
      </w:pPr>
      <w:r w:rsidRPr="0070201F">
        <w:rPr>
          <w:b/>
          <w:u w:val="single"/>
        </w:rPr>
        <w:lastRenderedPageBreak/>
        <w:t>ПРИЛОЖЕНИЕ V</w:t>
      </w:r>
      <w:r w:rsidRPr="0070201F">
        <w:rPr>
          <w:b/>
          <w:u w:val="single"/>
        </w:rPr>
        <w:br/>
      </w:r>
      <w:r w:rsidRPr="0070201F">
        <w:rPr>
          <w:b/>
          <w:u w:val="single"/>
        </w:rPr>
        <w:br/>
        <w:t>ИНДЕКС НА ОБИКНОВЕНИТЕ ВИДОВЕ ПТИЦИ, ЖИВЕЕЩИ ВЪРХУ ЗЕМЕДЕЛСКИ ЗЕМИ, НА НАЦИОНАЛНО РАВНИЩЕ</w:t>
      </w:r>
    </w:p>
    <w:p w:rsidR="006173E9" w:rsidRPr="0070201F" w:rsidRDefault="006173E9" w:rsidP="006173E9">
      <w:pPr>
        <w:suppressAutoHyphens/>
        <w:spacing w:before="120" w:after="120" w:line="360" w:lineRule="auto"/>
        <w:rPr>
          <w:rFonts w:eastAsia="Calibri"/>
          <w:b/>
          <w:bCs/>
          <w:noProof/>
          <w:szCs w:val="22"/>
        </w:rPr>
      </w:pPr>
      <w:r w:rsidRPr="0070201F">
        <w:rPr>
          <w:b/>
        </w:rPr>
        <w:t>Описание</w:t>
      </w:r>
    </w:p>
    <w:p w:rsidR="006173E9" w:rsidRPr="0070201F" w:rsidRDefault="006173E9" w:rsidP="006173E9">
      <w:pPr>
        <w:suppressAutoHyphens/>
        <w:spacing w:before="120" w:after="120" w:line="360" w:lineRule="auto"/>
        <w:rPr>
          <w:rFonts w:eastAsia="Calibri"/>
          <w:noProof/>
          <w:szCs w:val="22"/>
        </w:rPr>
      </w:pPr>
      <w:r w:rsidRPr="0070201F">
        <w:t>В индекса за птиците, живеещи върху земеделски земи (FBI), се обобщават тенденциите при популациите на често срещани и широко разпространени птици, живеещи върху обработваеми земи, като неговата цел е да служи като показател за оценка на състоянието на биологичното разнообразие на селскостопанските екосистеми в Европа. Националният FBI представлява съставен индекс, обхващащ множество видове, с който се измерва процентът на изменение в относителното изобилие на видовете птици, живеещи върху земеделски земи, в избрани зони за проучване на национално равнище. Индексът се основава на специално подбрани видове, които зависят от местообитанията в земеделските земи по отношение на храненето и/или гнезденето. Националните индекси на обикновените видове птици, живеещи върху земеделски земи, се основават на набори от видове, които са от значение за всяка държава членка.  Индексът се изчислява по отношение на базова година, за която стойността на индекса обикновено е определена на 100. Стойностите на тенденциите показват общото изменение на популациите в размера на популациите на включените в индекса птици, живеещи върху земеделски земи, в течение на годините.</w:t>
      </w:r>
    </w:p>
    <w:p w:rsidR="006173E9" w:rsidRPr="0070201F" w:rsidRDefault="006173E9" w:rsidP="006173E9">
      <w:pPr>
        <w:suppressAutoHyphens/>
        <w:spacing w:before="120" w:after="120" w:line="360" w:lineRule="auto"/>
        <w:rPr>
          <w:rFonts w:eastAsia="Calibri"/>
          <w:b/>
          <w:bCs/>
          <w:noProof/>
          <w:szCs w:val="22"/>
        </w:rPr>
      </w:pPr>
      <w:r w:rsidRPr="0070201F">
        <w:rPr>
          <w:b/>
        </w:rPr>
        <w:t xml:space="preserve">Методика: </w:t>
      </w:r>
      <w:r w:rsidRPr="0070201F">
        <w:t xml:space="preserve">Brlík и др. (2021 г.) </w:t>
      </w:r>
      <w:r w:rsidRPr="0070201F">
        <w:rPr>
          <w:i/>
          <w:iCs/>
        </w:rPr>
        <w:t>Long-term and large-scale multispecies dataset tracking population changes of common European breeding birds</w:t>
      </w:r>
      <w:r w:rsidRPr="0070201F">
        <w:t>. Sci Data 8, 21. https://doi.org/10.1038/s41597-021-00804-2</w:t>
      </w:r>
    </w:p>
    <w:p w:rsidR="006173E9" w:rsidRPr="0070201F" w:rsidRDefault="006173E9" w:rsidP="006173E9">
      <w:pPr>
        <w:suppressAutoHyphens/>
        <w:spacing w:before="120" w:after="120" w:line="360" w:lineRule="auto"/>
        <w:rPr>
          <w:rFonts w:eastAsia="Calibri"/>
          <w:noProof/>
          <w:szCs w:val="22"/>
        </w:rPr>
      </w:pPr>
      <w:r w:rsidRPr="0070201F">
        <w:rPr>
          <w:b/>
        </w:rPr>
        <w:t xml:space="preserve"> </w:t>
      </w:r>
      <w:r w:rsidRPr="0070201F">
        <w:t>„Държави членки с по-силно намалени в исторически план популации на птиците, живеещи върху земеделски земи“ означава държави членки, в които половината или повече видове, допринасящи за националния индекс на обикновените птици, живеещи върху земеделски земи, имат отрицателна тенденция в дългосрочен план по отношение на популацията. В държавите членки, в които не е налична информация за дългосрочните тенденции при популациите за някои видове, се използва информация за европейския статус на видовете.</w:t>
      </w:r>
    </w:p>
    <w:p w:rsidR="006173E9" w:rsidRPr="0070201F" w:rsidRDefault="006173E9" w:rsidP="006173E9">
      <w:pPr>
        <w:suppressAutoHyphens/>
        <w:spacing w:before="120" w:after="120"/>
        <w:rPr>
          <w:rFonts w:eastAsia="Calibri"/>
          <w:noProof/>
          <w:szCs w:val="22"/>
        </w:rPr>
      </w:pPr>
      <w:r w:rsidRPr="0070201F">
        <w:t xml:space="preserve">Тези държави членки са: </w:t>
      </w:r>
    </w:p>
    <w:p w:rsidR="006173E9" w:rsidRPr="0070201F" w:rsidRDefault="006173E9" w:rsidP="006173E9">
      <w:pPr>
        <w:suppressAutoHyphens/>
        <w:spacing w:before="120" w:after="120"/>
        <w:rPr>
          <w:rFonts w:eastAsia="Calibri"/>
          <w:noProof/>
          <w:szCs w:val="22"/>
        </w:rPr>
      </w:pPr>
      <w:r w:rsidRPr="0070201F">
        <w:t>Чехия</w:t>
      </w:r>
    </w:p>
    <w:p w:rsidR="006173E9" w:rsidRPr="0070201F" w:rsidRDefault="006173E9" w:rsidP="006173E9">
      <w:pPr>
        <w:suppressAutoHyphens/>
        <w:spacing w:before="120" w:after="120"/>
        <w:rPr>
          <w:rFonts w:eastAsia="Calibri"/>
          <w:noProof/>
          <w:szCs w:val="22"/>
        </w:rPr>
      </w:pPr>
      <w:r w:rsidRPr="0070201F">
        <w:t>Дания</w:t>
      </w:r>
    </w:p>
    <w:p w:rsidR="006173E9" w:rsidRPr="0070201F" w:rsidRDefault="006173E9" w:rsidP="006173E9">
      <w:pPr>
        <w:suppressAutoHyphens/>
        <w:spacing w:before="120" w:after="120"/>
        <w:rPr>
          <w:rFonts w:eastAsia="Calibri"/>
          <w:noProof/>
          <w:szCs w:val="22"/>
        </w:rPr>
      </w:pPr>
      <w:r w:rsidRPr="0070201F">
        <w:t>Естония</w:t>
      </w:r>
    </w:p>
    <w:p w:rsidR="006173E9" w:rsidRPr="0070201F" w:rsidRDefault="006173E9" w:rsidP="006173E9">
      <w:pPr>
        <w:suppressAutoHyphens/>
        <w:spacing w:before="120" w:after="120"/>
        <w:rPr>
          <w:rFonts w:eastAsia="Calibri"/>
          <w:noProof/>
          <w:szCs w:val="22"/>
        </w:rPr>
      </w:pPr>
      <w:r w:rsidRPr="0070201F">
        <w:t>Финландия</w:t>
      </w:r>
    </w:p>
    <w:p w:rsidR="006173E9" w:rsidRPr="0070201F" w:rsidRDefault="006173E9" w:rsidP="006173E9">
      <w:pPr>
        <w:suppressAutoHyphens/>
        <w:spacing w:before="120" w:after="120"/>
        <w:rPr>
          <w:rFonts w:eastAsia="Calibri"/>
          <w:noProof/>
          <w:szCs w:val="22"/>
        </w:rPr>
      </w:pPr>
      <w:r w:rsidRPr="0070201F">
        <w:t>Франция</w:t>
      </w:r>
    </w:p>
    <w:p w:rsidR="006173E9" w:rsidRPr="0070201F" w:rsidRDefault="006173E9" w:rsidP="006173E9">
      <w:pPr>
        <w:suppressAutoHyphens/>
        <w:spacing w:before="120" w:after="120"/>
        <w:rPr>
          <w:rFonts w:eastAsia="Calibri"/>
          <w:noProof/>
          <w:szCs w:val="22"/>
        </w:rPr>
      </w:pPr>
      <w:r w:rsidRPr="0070201F">
        <w:t>Германия</w:t>
      </w:r>
    </w:p>
    <w:p w:rsidR="006173E9" w:rsidRPr="0070201F" w:rsidRDefault="006173E9" w:rsidP="006173E9">
      <w:pPr>
        <w:suppressAutoHyphens/>
        <w:spacing w:before="120" w:after="120"/>
        <w:rPr>
          <w:rFonts w:eastAsia="Calibri"/>
          <w:noProof/>
          <w:szCs w:val="22"/>
        </w:rPr>
      </w:pPr>
      <w:r w:rsidRPr="0070201F">
        <w:lastRenderedPageBreak/>
        <w:t>Унгария</w:t>
      </w:r>
    </w:p>
    <w:p w:rsidR="006173E9" w:rsidRPr="0070201F" w:rsidRDefault="006173E9" w:rsidP="006173E9">
      <w:pPr>
        <w:suppressAutoHyphens/>
        <w:spacing w:before="120" w:after="120"/>
        <w:rPr>
          <w:rFonts w:eastAsia="Calibri"/>
          <w:noProof/>
          <w:szCs w:val="22"/>
        </w:rPr>
      </w:pPr>
      <w:r w:rsidRPr="0070201F">
        <w:t>Италия</w:t>
      </w:r>
    </w:p>
    <w:p w:rsidR="006173E9" w:rsidRPr="0070201F" w:rsidRDefault="006173E9" w:rsidP="006173E9">
      <w:pPr>
        <w:suppressAutoHyphens/>
        <w:spacing w:before="120" w:after="120"/>
        <w:rPr>
          <w:rFonts w:eastAsia="Calibri"/>
          <w:noProof/>
          <w:szCs w:val="22"/>
        </w:rPr>
      </w:pPr>
      <w:r w:rsidRPr="0070201F">
        <w:t>Люксембург</w:t>
      </w:r>
    </w:p>
    <w:p w:rsidR="006173E9" w:rsidRPr="0070201F" w:rsidRDefault="006173E9" w:rsidP="006173E9">
      <w:pPr>
        <w:suppressAutoHyphens/>
        <w:spacing w:before="120" w:after="120"/>
        <w:rPr>
          <w:rFonts w:eastAsia="Calibri"/>
          <w:noProof/>
          <w:szCs w:val="22"/>
        </w:rPr>
      </w:pPr>
      <w:r w:rsidRPr="0070201F">
        <w:t>Нидерландия</w:t>
      </w:r>
    </w:p>
    <w:p w:rsidR="006173E9" w:rsidRPr="0070201F" w:rsidRDefault="006173E9" w:rsidP="006173E9">
      <w:pPr>
        <w:suppressAutoHyphens/>
        <w:spacing w:before="120" w:after="120"/>
        <w:rPr>
          <w:rFonts w:eastAsia="Calibri"/>
          <w:noProof/>
          <w:szCs w:val="22"/>
        </w:rPr>
      </w:pPr>
      <w:r w:rsidRPr="0070201F">
        <w:t>Испания</w:t>
      </w:r>
    </w:p>
    <w:p w:rsidR="006173E9" w:rsidRPr="0070201F" w:rsidRDefault="006173E9" w:rsidP="006173E9">
      <w:pPr>
        <w:suppressAutoHyphens/>
        <w:spacing w:before="120" w:after="120" w:line="360" w:lineRule="auto"/>
        <w:rPr>
          <w:rFonts w:eastAsia="Calibri"/>
          <w:noProof/>
          <w:szCs w:val="22"/>
        </w:rPr>
      </w:pPr>
      <w:r w:rsidRPr="0070201F">
        <w:t>„Държави членки с по-слабо намалени в исторически план популации на птици, живеещи върху земеделски земи“, означава държави членки, в които по-малко от половината от видовете, допринасящи за националния индекс на обикновените птици, живеещи върху земеделски земи, имат отрицателна тенденция в дългосрочен план по отношение на популациите.</w:t>
      </w:r>
      <w:r w:rsidRPr="0070201F">
        <w:rPr>
          <w:b/>
        </w:rPr>
        <w:t xml:space="preserve"> </w:t>
      </w:r>
      <w:r w:rsidRPr="0070201F">
        <w:t xml:space="preserve">В държавите членки, в които не е налична информация за дългосрочните тенденции при популациите за някои видове, се използва информация за европейския статус на видовете. </w:t>
      </w:r>
    </w:p>
    <w:p w:rsidR="006173E9" w:rsidRPr="0070201F" w:rsidRDefault="006173E9" w:rsidP="006173E9">
      <w:pPr>
        <w:suppressAutoHyphens/>
        <w:spacing w:before="120" w:after="120"/>
        <w:rPr>
          <w:rFonts w:eastAsia="Calibri"/>
          <w:noProof/>
          <w:szCs w:val="22"/>
        </w:rPr>
      </w:pPr>
      <w:r w:rsidRPr="0070201F">
        <w:t>Тези държави членки са:</w:t>
      </w:r>
    </w:p>
    <w:p w:rsidR="006173E9" w:rsidRPr="0070201F" w:rsidRDefault="006173E9" w:rsidP="006173E9">
      <w:pPr>
        <w:suppressAutoHyphens/>
        <w:spacing w:before="120" w:after="120"/>
        <w:rPr>
          <w:rFonts w:eastAsia="Calibri"/>
          <w:noProof/>
          <w:szCs w:val="22"/>
        </w:rPr>
      </w:pPr>
      <w:r w:rsidRPr="0070201F">
        <w:t>Австрия</w:t>
      </w:r>
    </w:p>
    <w:p w:rsidR="006173E9" w:rsidRPr="0070201F" w:rsidRDefault="006173E9" w:rsidP="006173E9">
      <w:pPr>
        <w:suppressAutoHyphens/>
        <w:spacing w:before="120" w:after="120"/>
        <w:rPr>
          <w:rFonts w:eastAsia="Calibri"/>
          <w:noProof/>
          <w:szCs w:val="22"/>
        </w:rPr>
      </w:pPr>
      <w:r w:rsidRPr="0070201F">
        <w:t>Белгия</w:t>
      </w:r>
    </w:p>
    <w:p w:rsidR="006173E9" w:rsidRPr="0070201F" w:rsidRDefault="006173E9" w:rsidP="006173E9">
      <w:pPr>
        <w:suppressAutoHyphens/>
        <w:spacing w:before="120" w:after="120"/>
        <w:rPr>
          <w:rFonts w:eastAsia="Calibri"/>
          <w:noProof/>
          <w:szCs w:val="22"/>
        </w:rPr>
      </w:pPr>
      <w:r w:rsidRPr="0070201F">
        <w:t>България</w:t>
      </w:r>
    </w:p>
    <w:p w:rsidR="006173E9" w:rsidRPr="0070201F" w:rsidRDefault="006173E9" w:rsidP="006173E9">
      <w:pPr>
        <w:suppressAutoHyphens/>
        <w:spacing w:before="120" w:after="120"/>
        <w:rPr>
          <w:rFonts w:eastAsia="Calibri"/>
          <w:noProof/>
          <w:szCs w:val="22"/>
        </w:rPr>
      </w:pPr>
      <w:r w:rsidRPr="0070201F">
        <w:t>Хърватия</w:t>
      </w:r>
    </w:p>
    <w:p w:rsidR="006173E9" w:rsidRPr="0070201F" w:rsidRDefault="006173E9" w:rsidP="006173E9">
      <w:pPr>
        <w:suppressAutoHyphens/>
        <w:spacing w:before="120" w:after="120"/>
        <w:rPr>
          <w:rFonts w:eastAsia="Calibri"/>
          <w:noProof/>
          <w:szCs w:val="22"/>
        </w:rPr>
      </w:pPr>
      <w:r w:rsidRPr="0070201F">
        <w:t>Кипър</w:t>
      </w:r>
    </w:p>
    <w:p w:rsidR="006173E9" w:rsidRPr="0070201F" w:rsidRDefault="006173E9" w:rsidP="006173E9">
      <w:pPr>
        <w:suppressAutoHyphens/>
        <w:spacing w:before="120" w:after="120"/>
        <w:rPr>
          <w:rFonts w:eastAsia="Calibri"/>
          <w:noProof/>
          <w:szCs w:val="22"/>
        </w:rPr>
      </w:pPr>
      <w:r w:rsidRPr="0070201F">
        <w:t>Гърция</w:t>
      </w:r>
    </w:p>
    <w:p w:rsidR="006173E9" w:rsidRPr="0070201F" w:rsidRDefault="006173E9" w:rsidP="006173E9">
      <w:pPr>
        <w:suppressAutoHyphens/>
        <w:spacing w:before="120" w:after="120"/>
        <w:rPr>
          <w:rFonts w:eastAsia="Calibri"/>
          <w:noProof/>
          <w:szCs w:val="22"/>
        </w:rPr>
      </w:pPr>
      <w:r w:rsidRPr="0070201F">
        <w:t>Ирландия</w:t>
      </w:r>
    </w:p>
    <w:p w:rsidR="006173E9" w:rsidRPr="0070201F" w:rsidRDefault="006173E9" w:rsidP="006173E9">
      <w:pPr>
        <w:suppressAutoHyphens/>
        <w:spacing w:before="120" w:after="120"/>
        <w:rPr>
          <w:rFonts w:eastAsia="Calibri"/>
          <w:noProof/>
          <w:szCs w:val="22"/>
        </w:rPr>
      </w:pPr>
      <w:r w:rsidRPr="0070201F">
        <w:t>Латвия</w:t>
      </w:r>
    </w:p>
    <w:p w:rsidR="006173E9" w:rsidRPr="0070201F" w:rsidRDefault="006173E9" w:rsidP="006173E9">
      <w:pPr>
        <w:suppressAutoHyphens/>
        <w:spacing w:before="120" w:after="120"/>
        <w:rPr>
          <w:rFonts w:eastAsia="Calibri"/>
          <w:noProof/>
          <w:szCs w:val="22"/>
        </w:rPr>
      </w:pPr>
      <w:r w:rsidRPr="0070201F">
        <w:t>Литва</w:t>
      </w:r>
    </w:p>
    <w:p w:rsidR="006173E9" w:rsidRPr="0070201F" w:rsidRDefault="006173E9" w:rsidP="006173E9">
      <w:pPr>
        <w:suppressAutoHyphens/>
        <w:spacing w:before="120" w:after="120"/>
        <w:rPr>
          <w:rFonts w:eastAsia="Calibri"/>
          <w:noProof/>
          <w:szCs w:val="22"/>
        </w:rPr>
      </w:pPr>
      <w:r w:rsidRPr="0070201F">
        <w:t>Малта</w:t>
      </w:r>
    </w:p>
    <w:p w:rsidR="006173E9" w:rsidRPr="0070201F" w:rsidRDefault="006173E9" w:rsidP="006173E9">
      <w:pPr>
        <w:suppressAutoHyphens/>
        <w:spacing w:before="120" w:after="120"/>
        <w:rPr>
          <w:rFonts w:eastAsia="Calibri"/>
          <w:noProof/>
          <w:szCs w:val="22"/>
        </w:rPr>
      </w:pPr>
      <w:r w:rsidRPr="0070201F">
        <w:t>Полша</w:t>
      </w:r>
    </w:p>
    <w:p w:rsidR="006173E9" w:rsidRPr="0070201F" w:rsidRDefault="006173E9" w:rsidP="006173E9">
      <w:pPr>
        <w:suppressAutoHyphens/>
        <w:spacing w:before="120" w:after="120"/>
        <w:rPr>
          <w:rFonts w:eastAsia="Calibri"/>
          <w:noProof/>
          <w:szCs w:val="22"/>
        </w:rPr>
      </w:pPr>
      <w:r w:rsidRPr="0070201F">
        <w:t>Португалия</w:t>
      </w:r>
    </w:p>
    <w:p w:rsidR="006173E9" w:rsidRPr="0070201F" w:rsidRDefault="006173E9" w:rsidP="006173E9">
      <w:pPr>
        <w:suppressAutoHyphens/>
        <w:spacing w:before="120" w:after="120"/>
        <w:rPr>
          <w:rFonts w:eastAsia="Calibri"/>
          <w:noProof/>
          <w:szCs w:val="22"/>
        </w:rPr>
      </w:pPr>
      <w:r w:rsidRPr="0070201F">
        <w:t>Румъния</w:t>
      </w:r>
    </w:p>
    <w:p w:rsidR="006173E9" w:rsidRPr="0070201F" w:rsidRDefault="006173E9" w:rsidP="006173E9">
      <w:pPr>
        <w:suppressAutoHyphens/>
        <w:spacing w:before="120" w:after="120"/>
        <w:rPr>
          <w:rFonts w:eastAsia="Calibri"/>
          <w:noProof/>
          <w:szCs w:val="22"/>
        </w:rPr>
      </w:pPr>
      <w:r w:rsidRPr="0070201F">
        <w:t>Словакия</w:t>
      </w:r>
    </w:p>
    <w:p w:rsidR="006173E9" w:rsidRPr="0070201F" w:rsidRDefault="006173E9" w:rsidP="006173E9">
      <w:pPr>
        <w:suppressAutoHyphens/>
        <w:spacing w:before="120" w:after="120"/>
        <w:rPr>
          <w:rFonts w:eastAsia="Calibri"/>
          <w:noProof/>
          <w:szCs w:val="22"/>
        </w:rPr>
      </w:pPr>
      <w:r w:rsidRPr="0070201F">
        <w:t>Словения</w:t>
      </w:r>
    </w:p>
    <w:p w:rsidR="006173E9" w:rsidRPr="0070201F" w:rsidRDefault="006173E9" w:rsidP="006173E9">
      <w:pPr>
        <w:suppressAutoHyphens/>
        <w:spacing w:before="120" w:after="120"/>
        <w:rPr>
          <w:rFonts w:eastAsia="Calibri"/>
          <w:noProof/>
          <w:szCs w:val="22"/>
        </w:rPr>
      </w:pPr>
      <w:r w:rsidRPr="0070201F">
        <w:t>Швеция</w:t>
      </w:r>
    </w:p>
    <w:p w:rsidR="006173E9" w:rsidRPr="0070201F" w:rsidRDefault="006173E9" w:rsidP="006173E9">
      <w:pPr>
        <w:suppressAutoHyphens/>
        <w:spacing w:before="120" w:after="120"/>
        <w:rPr>
          <w:rFonts w:eastAsia="Calibri"/>
          <w:noProof/>
          <w:szCs w:val="22"/>
        </w:rPr>
      </w:pPr>
    </w:p>
    <w:p w:rsidR="006173E9" w:rsidRPr="0070201F" w:rsidRDefault="006173E9" w:rsidP="006173E9">
      <w:pPr>
        <w:suppressAutoHyphens/>
        <w:spacing w:before="120" w:after="120"/>
        <w:ind w:right="-5811"/>
        <w:rPr>
          <w:rFonts w:eastAsia="Calibri"/>
          <w:b/>
          <w:bCs/>
          <w:noProof/>
          <w:color w:val="000000"/>
          <w:szCs w:val="22"/>
        </w:rPr>
      </w:pPr>
      <w:r w:rsidRPr="0070201F">
        <w:br w:type="page"/>
      </w:r>
      <w:r w:rsidRPr="0070201F">
        <w:rPr>
          <w:b/>
          <w:color w:val="000000"/>
        </w:rPr>
        <w:lastRenderedPageBreak/>
        <w:t>Списък на видовете, използвани за индекса на обикновените видове птици, живеещи върху земеделски земи, в държавите членки</w:t>
      </w:r>
    </w:p>
    <w:p w:rsidR="006173E9" w:rsidRPr="0070201F" w:rsidRDefault="006173E9" w:rsidP="006173E9">
      <w:pPr>
        <w:suppressAutoHyphens/>
        <w:spacing w:before="120" w:after="120"/>
        <w:rPr>
          <w:rFonts w:eastAsia="Calibri"/>
          <w:noProof/>
          <w:szCs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Австрия</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Acrocephalus palustris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spinoletta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trivialis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cannabina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Jynx torquilla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Lullula arborea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Miliaria calandra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Oenanthe oenanthe</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Perdix perdix</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Saxicola torquatus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Serinus citrinella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Serinus serinus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Turdus pilaris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rFonts w:eastAsia="Calibri"/>
          <w:noProof/>
          <w:sz w:val="22"/>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Белгия — Фландрия</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color w:val="000000"/>
                <w:sz w:val="22"/>
              </w:rPr>
            </w:pPr>
            <w:r w:rsidRPr="0070201F">
              <w:rPr>
                <w:b/>
                <w:color w:val="000000"/>
                <w:sz w:val="22"/>
              </w:rPr>
              <w:t>Белгия — Валония</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lastRenderedPageBreak/>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cannabina</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Corvus frugilegus</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Miliaria calandra</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Perdix perdix</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torquatus</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r w:rsidR="006173E9" w:rsidRPr="0070201F" w:rsidTr="006173E9">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lang w:eastAsia="en-IE"/>
              </w:rPr>
            </w:pPr>
          </w:p>
        </w:tc>
      </w:tr>
    </w:tbl>
    <w:p w:rsidR="006173E9" w:rsidRPr="0070201F" w:rsidRDefault="006173E9" w:rsidP="006173E9">
      <w:pPr>
        <w:suppressAutoHyphens/>
        <w:spacing w:before="120" w:after="120"/>
        <w:rPr>
          <w:rFonts w:eastAsia="Calibri"/>
          <w:noProof/>
          <w:sz w:val="22"/>
        </w:rPr>
      </w:pPr>
    </w:p>
    <w:tbl>
      <w:tblPr>
        <w:tblW w:w="3573" w:type="dxa"/>
        <w:tblInd w:w="-5" w:type="dxa"/>
        <w:tblLook w:val="04A0" w:firstRow="1" w:lastRow="0" w:firstColumn="1" w:lastColumn="0" w:noHBand="0" w:noVBand="1"/>
      </w:tblPr>
      <w:tblGrid>
        <w:gridCol w:w="3573"/>
      </w:tblGrid>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България</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Alauda arvensis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Carduelis carduelis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Carduelis cannabina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Coturnix coturnix</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Corvus frugilegus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Emberiza hortulana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Emberiza melanocephala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Falco tinnunculus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lastRenderedPageBreak/>
              <w:t>Galerida cristata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Hirundo rustica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Lanius collurio</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Miliaria calandra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 xml:space="preserve">Motacilla flava </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Perdix perdix</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Passer montanus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Sylvia communis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Streptopelia turtur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Sturnus vulgaris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Upupa epops</w:t>
            </w:r>
          </w:p>
        </w:tc>
      </w:tr>
    </w:tbl>
    <w:p w:rsidR="006173E9" w:rsidRPr="0070201F" w:rsidRDefault="006173E9" w:rsidP="006173E9">
      <w:pPr>
        <w:suppressAutoHyphens/>
        <w:spacing w:before="120" w:after="120" w:line="360" w:lineRule="auto"/>
        <w:rPr>
          <w:rFonts w:eastAsia="Calibri"/>
          <w:szCs w:val="22"/>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Хърватия</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Anthus campestris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Anthus trivialis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Carduelis cannabina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Coturnix coturnix</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Emberiza cirlus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Emberiza melanocephala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Galerida cristata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Jynx torquilla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Lanius senator</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Lullula arborea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lastRenderedPageBreak/>
              <w:t>Luscinia megarhynchos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Miliaria calandra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Oenanthe hispanica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Oriolus oriolus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Pica pica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Saxicola torquatus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Upupa epops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Кипър</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Alectoris chukar</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 xml:space="preserve">Athene noctua </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Cisticola juncidis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Clamator glandarius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 xml:space="preserve">Columba palumbus             </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Coracias garrulus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Corvus corone cornix</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Coturnix coturnix</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calandra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melanocephala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Francolinus francolinus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lastRenderedPageBreak/>
              <w:t>Galerida cristata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Chloris chloris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Iduna pallida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Linaria cannabina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Oenanthe cypriaca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Parus major</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hispaniolensis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Pica pica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conspicillata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 xml:space="preserve">Sylvia melanocephala </w:t>
            </w:r>
          </w:p>
        </w:tc>
      </w:tr>
    </w:tbl>
    <w:p w:rsidR="006173E9" w:rsidRPr="0070201F" w:rsidRDefault="006173E9" w:rsidP="006173E9">
      <w:pPr>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Чехия</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cannabina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Ciconia ciconia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Corvus frugilegus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Miliaria calandra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Perdix perdix</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lastRenderedPageBreak/>
              <w:t>Saxicola torquatus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Serinus serinus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Дания</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cannabina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Corvus corone</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Corvus frugilegus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Gallinago gallinago</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Miliaria calandra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alba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Oenanthe oenanthe</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Perdix perdix</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uppressAutoHyphens/>
              <w:spacing w:before="120" w:after="120"/>
              <w:rPr>
                <w:i/>
                <w:noProof/>
                <w:sz w:val="22"/>
              </w:rPr>
            </w:pPr>
            <w:r w:rsidRPr="0070201F">
              <w:rPr>
                <w:i/>
                <w:sz w:val="22"/>
              </w:rPr>
              <w:t>Sylvia curruca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lastRenderedPageBreak/>
              <w:t>Turdus pilaris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noProof/>
          <w:color w:val="000000"/>
          <w:sz w:val="22"/>
        </w:rPr>
      </w:pPr>
      <w:r w:rsidRPr="0070201F">
        <w:br w:type="page"/>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lastRenderedPageBreak/>
              <w:t>Естония</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Corvus frugilegus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Linaria cannabina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lastRenderedPageBreak/>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rFonts w:ascii="Arial" w:hAnsi="Arial"/>
                <w:snapToGrid w:val="0"/>
              </w:rPr>
              <w:t>▌</w:t>
            </w:r>
          </w:p>
        </w:tc>
      </w:tr>
    </w:tbl>
    <w:p w:rsidR="006173E9" w:rsidRPr="0070201F" w:rsidRDefault="006173E9" w:rsidP="006173E9">
      <w:pPr>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Финландия</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Corvus monedula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Crex crex</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Delichon urbica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hortulana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Numenius arquata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rubertra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Turdus pilaris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Франция</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Alectoris rufa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campestris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Buteo buteo</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cannabina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Corvus frugilegus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Coturnix coturnix</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cirlus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hortulana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Galerida cristata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Lullula arborea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Melanocorypha calandra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Oenanthe oenanthe</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Perdix perdix</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torquatus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Upupa epops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Германия</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lastRenderedPageBreak/>
              <w:t>Athene noctua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Limosa limosa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Lullula arborea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Miliaria calandra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Milvus milvus</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Гърция</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Apus apus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Athene noctua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Calandrella brachydactyla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Carduelis cannabina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Carduelis chloris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Ciconia ciconia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Corvus corone</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Corvus monedula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Delichon urbicum</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Emberiza cirlus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Emberiza hortulana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melanocephala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naumanni</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Galerida cristata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lastRenderedPageBreak/>
              <w:t>Hirundo daurica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Lanius minor</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Lanius senator</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Lullula arborea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Luscinia megarhynchos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Melanocorypha calandra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Miliaria calandra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Oenanthe hispanica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Oenanthe oenanthe</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Passer domesticus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hispaniolensis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Pica pica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torquatus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Streptopelia decaocto</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Sylvia melanocephala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Upupa epops</w:t>
            </w:r>
          </w:p>
        </w:tc>
      </w:tr>
    </w:tbl>
    <w:p w:rsidR="006173E9" w:rsidRPr="0070201F" w:rsidRDefault="006173E9" w:rsidP="006173E9">
      <w:pPr>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Унгария</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Anthus campestris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Coturnix coturnix</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lastRenderedPageBreak/>
              <w:t>Emberiza calandra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Galerida cristata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Lanius minor</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Locustella naevia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Merops apiaster</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Perdix perdix</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nisoria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Ирландия</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cannabina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Columba oenas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Columba palumbus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Corvus cornix</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Corvus frugilegus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Corvus monedula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Fringilla coelebs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Chloris chloris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alba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lastRenderedPageBreak/>
              <w:t>Passer domesticus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Phasianus colchicus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Pica pica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torquatus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Италия</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campestris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Calandrella brachydactyla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chloris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Corvus cornix</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calandra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hortulana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Galerida cristata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Jynx torquilla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Luscinia megarhynchos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Melanocorypha calandra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alba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Oriolus oriolus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domesticus italiae</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hispaniolensis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Pica pica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lastRenderedPageBreak/>
              <w:t>Saxicola torquatus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Serinus serinus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unicolor</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Upupa epops</w:t>
            </w:r>
          </w:p>
        </w:tc>
      </w:tr>
    </w:tbl>
    <w:p w:rsidR="006173E9" w:rsidRPr="0070201F" w:rsidRDefault="006173E9" w:rsidP="006173E9">
      <w:pPr>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Латвия</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Acrocephalus palustris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Carpodacus erythrinus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Ciconia ciconia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Crex crex</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 xml:space="preserve">Emberiza citrinella </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Locustella naevia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Литва</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lastRenderedPageBreak/>
              <w:t>Carduelis carduelis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Ciconia ciconia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Crex crex</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 xml:space="preserve">Emberiza citrinella </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 xml:space="preserve">Люксембург </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 xml:space="preserve">Alauda arvensis </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 xml:space="preserve">Carduelis cannabina </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 xml:space="preserve">Emberiza citrinella </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 xml:space="preserve">Lanius collurio </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 xml:space="preserve">Passer montanus </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torquatus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 xml:space="preserve">Sylvia communis </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b/>
                <w:sz w:val="22"/>
              </w:rPr>
              <w:t>Малта</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Calandrella brachydactyla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Linaria cannabina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Cettia cetti</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Cisticola juncidis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Coturnix coturnix</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Emberiza calandra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lastRenderedPageBreak/>
              <w:t>Lanius senator</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Monticola solitarius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Passer hispaniolensis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Serinus serinus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Streptopelia decaocto</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Sylvia conspicillata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tcPr>
          <w:p w:rsidR="006173E9" w:rsidRPr="0070201F" w:rsidRDefault="006173E9" w:rsidP="006173E9">
            <w:pPr>
              <w:suppressAutoHyphens/>
              <w:spacing w:before="120" w:after="120"/>
              <w:rPr>
                <w:i/>
                <w:noProof/>
                <w:sz w:val="22"/>
              </w:rPr>
            </w:pPr>
            <w:r w:rsidRPr="0070201F">
              <w:rPr>
                <w:i/>
                <w:sz w:val="22"/>
              </w:rPr>
              <w:t>Sylvia melanocephala</w:t>
            </w:r>
          </w:p>
        </w:tc>
      </w:tr>
    </w:tbl>
    <w:p w:rsidR="006173E9" w:rsidRPr="0070201F" w:rsidRDefault="006173E9" w:rsidP="006173E9">
      <w:pPr>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Нидерландия</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Athene noctua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Calidris pugnax</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Corvus frugilegus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Coturnix coturnix</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 xml:space="preserve">Emberiza citrinella </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Gallinago gallinago</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Haematopus ostralegus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Hippolais icterina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Limosa limosa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Miliaria calandra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fl ava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lastRenderedPageBreak/>
              <w:t>Numenius arquata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Perdix perdix</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torquatus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Spatula clypeata</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Tringa totanus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Turdus viscivorus</w:t>
            </w:r>
          </w:p>
        </w:tc>
      </w:tr>
      <w:tr w:rsidR="006173E9" w:rsidRPr="0070201F" w:rsidTr="006173E9">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rFonts w:eastAsia="Calibri"/>
          <w:noProof/>
          <w:sz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Полша</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cannabina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Ciconia ciconia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hortulana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Galerida cristata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Limosa limosa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Miliaria calandra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torquatus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lastRenderedPageBreak/>
              <w:t>Saxicola rubetra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Serinus serinus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Upupa epops</w:t>
            </w:r>
          </w:p>
        </w:tc>
      </w:tr>
      <w:tr w:rsidR="006173E9" w:rsidRPr="0070201F" w:rsidTr="006173E9">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rFonts w:eastAsia="Calibri"/>
          <w:noProof/>
          <w:sz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Португалия</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Athene noctua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Bubulcus ibis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Chloris chloris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Ciconia ciconia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Cisticola juncidis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Coturnix coturnix</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Delichon urbicum</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cirlus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Galerida cristata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Lanius meridionalis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Linaria cannabina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Merops apiaster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Miliaria calandra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Milvus migrans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domesticus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Pica pica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lastRenderedPageBreak/>
              <w:t>Saxicola torquatus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Serinus serinus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unicolor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Upupa epops</w:t>
            </w:r>
          </w:p>
        </w:tc>
      </w:tr>
    </w:tbl>
    <w:p w:rsidR="006173E9" w:rsidRPr="0070201F" w:rsidRDefault="006173E9" w:rsidP="006173E9">
      <w:pPr>
        <w:suppressAutoHyphens/>
        <w:spacing w:before="120" w:after="120"/>
        <w:rPr>
          <w:rFonts w:eastAsia="Calibri"/>
          <w:noProof/>
          <w:sz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Румъния</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Alauda arvensis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Anthus campestris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Calandrella brachydactyla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Ciconia ciconia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Corvus frugilegus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Emberiza calandra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Emberiza citrinella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Emberiza hortulana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Emberiza melanocephala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Falco tinnunculus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Galerida cristata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Hirundo rustica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Lanius collurio</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Lanius minor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Linaria cannabina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Melanocorypha calandra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Motacilla flava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Passer montanus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Perdix perdix</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Saxicola rubetra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Saxicola torquatus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Streptopelia turtur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lastRenderedPageBreak/>
              <w:t>Sturnus vulgaris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Sylvia communis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Upupa epops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Vanellus vanellus</w:t>
            </w:r>
          </w:p>
        </w:tc>
      </w:tr>
    </w:tbl>
    <w:p w:rsidR="006173E9" w:rsidRPr="0070201F" w:rsidRDefault="006173E9" w:rsidP="006173E9">
      <w:pPr>
        <w:suppressAutoHyphens/>
        <w:spacing w:before="120" w:after="120"/>
        <w:rPr>
          <w:rFonts w:eastAsia="Calibri"/>
          <w:noProof/>
          <w:sz w:val="22"/>
        </w:rPr>
      </w:pPr>
    </w:p>
    <w:p w:rsidR="006173E9" w:rsidRPr="0070201F" w:rsidRDefault="006173E9" w:rsidP="006173E9">
      <w:pPr>
        <w:spacing w:before="120" w:after="120" w:line="360" w:lineRule="auto"/>
        <w:rPr>
          <w:rFonts w:eastAsia="Calibri"/>
          <w:szCs w:val="22"/>
        </w:rPr>
      </w:pPr>
      <w:r w:rsidRPr="0070201F">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lastRenderedPageBreak/>
              <w:t>Словакия</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cannabina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calandra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citrinella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Chloris chloris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Locustella naevia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flava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 xml:space="preserve">Passer montanus </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torquatus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Serinus serinus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nisoria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uppressAutoHyphens/>
        <w:spacing w:before="120" w:after="120"/>
        <w:rPr>
          <w:rFonts w:eastAsia="Calibri"/>
          <w:noProof/>
          <w:sz w:val="22"/>
        </w:rPr>
      </w:pPr>
    </w:p>
    <w:p w:rsidR="006173E9" w:rsidRPr="0070201F" w:rsidRDefault="006173E9" w:rsidP="006173E9">
      <w:pPr>
        <w:spacing w:before="120" w:after="120" w:line="360" w:lineRule="auto"/>
        <w:rPr>
          <w:rFonts w:eastAsia="Calibri"/>
          <w:szCs w:val="22"/>
        </w:rPr>
      </w:pPr>
      <w:r w:rsidRPr="0070201F">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lastRenderedPageBreak/>
              <w:t>Словения</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Acrocephalus palustris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Alauda arvensis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Anthus trivialis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Carduelis cannabina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Carduelis carduelis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Columba oenas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Columba palumbus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Emberiza calandra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Emberiza cirlus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Emberiza citrinella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Galerida cristata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Hirundo rustica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Jynx torquilla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Lanius collurio</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Lullula arborea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Luscinia megarhynchos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Motacilla flava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Passer montanus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Phoenicurus phoenicurus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Picus viridis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Saxicola rubetra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Saxicola torquatus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Serinus serinus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Streptopelia turtur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Sturnus vulgaris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Sylvia communis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lastRenderedPageBreak/>
              <w:t>Upupa epops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color w:val="000000"/>
                <w:sz w:val="22"/>
              </w:rPr>
            </w:pPr>
            <w:r w:rsidRPr="0070201F">
              <w:rPr>
                <w:i/>
                <w:color w:val="000000"/>
                <w:sz w:val="22"/>
              </w:rPr>
              <w:t>Vanellus vanellus</w:t>
            </w:r>
          </w:p>
        </w:tc>
      </w:tr>
    </w:tbl>
    <w:p w:rsidR="006173E9" w:rsidRPr="0070201F" w:rsidRDefault="006173E9" w:rsidP="006173E9">
      <w:pPr>
        <w:suppressAutoHyphens/>
        <w:spacing w:before="120" w:after="120"/>
        <w:rPr>
          <w:rFonts w:eastAsia="Calibri"/>
          <w:noProof/>
          <w:sz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t>Испания</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Alectoris rufa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Athene noctua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Calandrella brachydactyla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Carduelis carduelis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Cisticola juncidis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Corvus monedula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Coturnix coturnix</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calandra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Galerida cristata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Linaria cannabina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Melanocorypha calandra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Merops apiaster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Oenanthe hispanica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domesticus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Pica pica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Pterocles orientalis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Streptopelia turtur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unicolor</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Tetrax tetrax</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Upupa epops</w:t>
            </w:r>
          </w:p>
        </w:tc>
      </w:tr>
    </w:tbl>
    <w:p w:rsidR="006173E9" w:rsidRPr="0070201F" w:rsidRDefault="006173E9" w:rsidP="006173E9">
      <w:pPr>
        <w:suppressAutoHyphens/>
        <w:spacing w:before="120" w:after="120"/>
        <w:rPr>
          <w:rFonts w:eastAsia="Calibri"/>
          <w:noProof/>
          <w:sz w:val="22"/>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b/>
                <w:bCs/>
                <w:noProof/>
                <w:sz w:val="22"/>
              </w:rPr>
            </w:pPr>
            <w:r w:rsidRPr="0070201F">
              <w:rPr>
                <w:b/>
                <w:sz w:val="22"/>
              </w:rPr>
              <w:lastRenderedPageBreak/>
              <w:t>Швеция</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Alauda arvensis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Anthus pratensis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 xml:space="preserve">Carduelis cannabina </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Corvus frugilegus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 xml:space="preserve">Emberiza citrinella </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Emberiza hortulana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Falco tinnunculus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Hirundo rustica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Lanius collurio</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Motacilla fl ava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Passer montanus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Saxicola rubetra</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Sturnus vulgaris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173E9" w:rsidRPr="0070201F" w:rsidRDefault="006173E9" w:rsidP="006173E9">
            <w:pPr>
              <w:suppressAutoHyphens/>
              <w:spacing w:before="120" w:after="120"/>
              <w:rPr>
                <w:i/>
                <w:noProof/>
                <w:sz w:val="22"/>
              </w:rPr>
            </w:pPr>
            <w:r w:rsidRPr="0070201F">
              <w:rPr>
                <w:i/>
                <w:sz w:val="22"/>
              </w:rPr>
              <w:t>Sylvia communis</w:t>
            </w:r>
          </w:p>
        </w:tc>
      </w:tr>
      <w:tr w:rsidR="006173E9" w:rsidRPr="0070201F" w:rsidTr="006173E9">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173E9" w:rsidRPr="0070201F" w:rsidRDefault="006173E9" w:rsidP="006173E9">
            <w:pPr>
              <w:suppressAutoHyphens/>
              <w:spacing w:before="120" w:after="120"/>
              <w:rPr>
                <w:i/>
                <w:noProof/>
                <w:sz w:val="22"/>
              </w:rPr>
            </w:pPr>
            <w:r w:rsidRPr="0070201F">
              <w:rPr>
                <w:i/>
                <w:sz w:val="22"/>
              </w:rPr>
              <w:t>Vanellus vanellus</w:t>
            </w:r>
          </w:p>
        </w:tc>
      </w:tr>
    </w:tbl>
    <w:p w:rsidR="006173E9" w:rsidRPr="0070201F" w:rsidRDefault="006173E9" w:rsidP="006173E9">
      <w:pPr>
        <w:spacing w:before="120" w:after="120" w:line="360" w:lineRule="auto"/>
        <w:rPr>
          <w:rFonts w:eastAsia="Calibri"/>
          <w:szCs w:val="22"/>
        </w:rPr>
        <w:sectPr w:rsidR="006173E9" w:rsidRPr="0070201F" w:rsidSect="006173E9">
          <w:headerReference w:type="default" r:id="rId18"/>
          <w:footnotePr>
            <w:numRestart w:val="eachSect"/>
          </w:footnotePr>
          <w:pgSz w:w="11907" w:h="16839"/>
          <w:pgMar w:top="1134" w:right="1134" w:bottom="1134" w:left="1134" w:header="567" w:footer="567" w:gutter="0"/>
          <w:cols w:space="720"/>
          <w:docGrid w:linePitch="360"/>
        </w:sectPr>
      </w:pPr>
    </w:p>
    <w:p w:rsidR="006173E9" w:rsidRPr="0070201F" w:rsidRDefault="006173E9" w:rsidP="006173E9">
      <w:pPr>
        <w:suppressAutoHyphens/>
        <w:spacing w:before="120" w:after="120"/>
        <w:jc w:val="center"/>
        <w:rPr>
          <w:rFonts w:eastAsia="Calibri"/>
          <w:b/>
          <w:noProof/>
          <w:szCs w:val="22"/>
          <w:u w:val="single"/>
        </w:rPr>
      </w:pPr>
      <w:r w:rsidRPr="0070201F">
        <w:rPr>
          <w:b/>
          <w:u w:val="single"/>
        </w:rPr>
        <w:lastRenderedPageBreak/>
        <w:t>ПРИЛОЖЕНИЕ VI</w:t>
      </w:r>
      <w:r w:rsidRPr="0070201F">
        <w:rPr>
          <w:b/>
          <w:u w:val="single"/>
        </w:rPr>
        <w:br/>
      </w:r>
      <w:r w:rsidRPr="0070201F">
        <w:rPr>
          <w:b/>
          <w:u w:val="single"/>
        </w:rPr>
        <w:br/>
        <w:t>СПИСЪК НА ПОКАЗАТЕЛИТЕ ЗА БИОЛОГИЧНОТО РАЗНООБРАЗИЕ НА ГОРСКИТЕ ЕКОСИСТЕМИ, ПОСОЧЕНИ В ЧЛЕН 10, ПАРАГРАФИ 2</w:t>
      </w:r>
      <w:r w:rsidRPr="0070201F">
        <w:rPr>
          <w:b/>
          <w:u w:val="double"/>
        </w:rPr>
        <w:t xml:space="preserve">И 2а </w:t>
      </w:r>
    </w:p>
    <w:p w:rsidR="006173E9" w:rsidRPr="0070201F" w:rsidRDefault="006173E9" w:rsidP="006173E9">
      <w:pPr>
        <w:suppressAutoHyphens/>
        <w:spacing w:before="120" w:after="120"/>
        <w:jc w:val="center"/>
        <w:rPr>
          <w:rFonts w:eastAsia="Calibri"/>
          <w:b/>
          <w:noProof/>
          <w:szCs w:val="22"/>
        </w:rPr>
      </w:pPr>
    </w:p>
    <w:tbl>
      <w:tblPr>
        <w:tblStyle w:val="TableGrid"/>
        <w:tblW w:w="14567" w:type="dxa"/>
        <w:tblLayout w:type="fixed"/>
        <w:tblLook w:val="04A0" w:firstRow="1" w:lastRow="0" w:firstColumn="1" w:lastColumn="0" w:noHBand="0" w:noVBand="1"/>
      </w:tblPr>
      <w:tblGrid>
        <w:gridCol w:w="2830"/>
        <w:gridCol w:w="11737"/>
      </w:tblGrid>
      <w:tr w:rsidR="006173E9" w:rsidRPr="0070201F" w:rsidTr="006173E9">
        <w:tc>
          <w:tcPr>
            <w:tcW w:w="2830"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jc w:val="center"/>
              <w:rPr>
                <w:b/>
                <w:noProof/>
              </w:rPr>
            </w:pPr>
            <w:r w:rsidRPr="0070201F">
              <w:rPr>
                <w:b/>
              </w:rPr>
              <w:t>Показател</w:t>
            </w:r>
          </w:p>
        </w:tc>
        <w:tc>
          <w:tcPr>
            <w:tcW w:w="11737" w:type="dxa"/>
            <w:tcBorders>
              <w:top w:val="single" w:sz="4" w:space="0" w:color="auto"/>
              <w:left w:val="single" w:sz="4" w:space="0" w:color="auto"/>
              <w:bottom w:val="single" w:sz="4" w:space="0" w:color="auto"/>
              <w:right w:val="single" w:sz="4" w:space="0" w:color="auto"/>
            </w:tcBorders>
            <w:vAlign w:val="center"/>
            <w:hideMark/>
          </w:tcPr>
          <w:p w:rsidR="006173E9" w:rsidRPr="0070201F" w:rsidRDefault="006173E9" w:rsidP="006173E9">
            <w:pPr>
              <w:spacing w:before="120" w:after="120"/>
              <w:jc w:val="center"/>
              <w:rPr>
                <w:b/>
                <w:noProof/>
              </w:rPr>
            </w:pPr>
            <w:r w:rsidRPr="0070201F">
              <w:rPr>
                <w:b/>
              </w:rPr>
              <w:t>Описание, единица и методика за определяне и наблюдение на показателя</w:t>
            </w:r>
          </w:p>
        </w:tc>
      </w:tr>
      <w:tr w:rsidR="006173E9" w:rsidRPr="0070201F" w:rsidTr="006173E9">
        <w:tc>
          <w:tcPr>
            <w:tcW w:w="283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Стояща мъртва дървесина </w:t>
            </w:r>
          </w:p>
        </w:tc>
        <w:tc>
          <w:tcPr>
            <w:tcW w:w="11737"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rPr>
                <w:b/>
              </w:rPr>
              <w:t>Описание</w:t>
            </w:r>
            <w:r w:rsidRPr="0070201F">
              <w:t>:</w:t>
            </w:r>
            <w:r w:rsidRPr="0070201F">
              <w:rPr>
                <w:color w:val="000000"/>
              </w:rPr>
              <w:t xml:space="preserve"> </w:t>
            </w:r>
            <w:r w:rsidRPr="0070201F">
              <w:t xml:space="preserve">Този показател показва количеството нежива стояща дървесна биомаса в горите и другите залесени площи.  </w:t>
            </w:r>
          </w:p>
          <w:p w:rsidR="006173E9" w:rsidRPr="0070201F" w:rsidRDefault="006173E9" w:rsidP="006173E9">
            <w:pPr>
              <w:spacing w:before="120" w:after="120"/>
              <w:rPr>
                <w:noProof/>
              </w:rPr>
            </w:pPr>
            <w:r w:rsidRPr="0070201F">
              <w:rPr>
                <w:b/>
              </w:rPr>
              <w:t>Единица</w:t>
            </w:r>
            <w:r w:rsidRPr="0070201F">
              <w:t>: m</w:t>
            </w:r>
            <w:r w:rsidRPr="0070201F">
              <w:rPr>
                <w:vertAlign w:val="superscript"/>
              </w:rPr>
              <w:t>3</w:t>
            </w:r>
            <w:r w:rsidRPr="0070201F">
              <w:t xml:space="preserve">/ha. </w:t>
            </w:r>
          </w:p>
          <w:p w:rsidR="006173E9" w:rsidRPr="0070201F" w:rsidRDefault="006173E9" w:rsidP="006173E9">
            <w:pPr>
              <w:spacing w:before="120" w:after="120"/>
              <w:rPr>
                <w:noProof/>
              </w:rPr>
            </w:pPr>
            <w:r w:rsidRPr="0070201F">
              <w:rPr>
                <w:b/>
              </w:rPr>
              <w:t xml:space="preserve">Методика: </w:t>
            </w:r>
            <w:r w:rsidRPr="0070201F">
              <w:t xml:space="preserve">разработена и използвана от FOREST EUROPE, </w:t>
            </w:r>
            <w:r w:rsidRPr="0070201F">
              <w:rPr>
                <w:i/>
              </w:rPr>
              <w:t>State of Europe’s Forests 2020</w:t>
            </w:r>
            <w:r w:rsidRPr="0070201F">
              <w:t xml:space="preserve">, FOREST EUROPE 2020, и в описанието на националната инвентаризация на горите в </w:t>
            </w:r>
            <w:r w:rsidRPr="0070201F">
              <w:rPr>
                <w:i/>
              </w:rPr>
              <w:t>Tomppo E. и др.</w:t>
            </w:r>
            <w:r w:rsidRPr="0070201F">
              <w:t xml:space="preserve">, National Forest Inventories, </w:t>
            </w:r>
            <w:r w:rsidRPr="0070201F">
              <w:rPr>
                <w:i/>
              </w:rPr>
              <w:t>Pathways for Common Reporting</w:t>
            </w:r>
            <w:r w:rsidRPr="0070201F">
              <w:t>, Springer, 2010 г., и като се вземе предвид методиката, изложена в приложение V към Регламент 2018/1999, в съответствие с Указанията от 2006 г. на МКИК за националните инвентаризации на емисиите на парникови газове.</w:t>
            </w:r>
          </w:p>
        </w:tc>
      </w:tr>
      <w:tr w:rsidR="006173E9" w:rsidRPr="0070201F" w:rsidTr="006173E9">
        <w:tc>
          <w:tcPr>
            <w:tcW w:w="283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Паднала мъртва дървесина</w:t>
            </w:r>
          </w:p>
          <w:p w:rsidR="006173E9" w:rsidRPr="0070201F" w:rsidRDefault="006173E9" w:rsidP="006173E9">
            <w:pPr>
              <w:spacing w:before="120" w:after="120" w:line="360" w:lineRule="auto"/>
            </w:pPr>
          </w:p>
          <w:p w:rsidR="006173E9" w:rsidRPr="0070201F" w:rsidRDefault="006173E9" w:rsidP="006173E9">
            <w:pPr>
              <w:spacing w:before="120" w:after="120" w:line="360" w:lineRule="auto"/>
            </w:pPr>
          </w:p>
          <w:p w:rsidR="006173E9" w:rsidRPr="0070201F" w:rsidRDefault="006173E9" w:rsidP="006173E9">
            <w:pPr>
              <w:spacing w:before="120" w:after="120" w:line="360" w:lineRule="auto"/>
            </w:pPr>
          </w:p>
          <w:p w:rsidR="006173E9" w:rsidRPr="0070201F" w:rsidRDefault="006173E9" w:rsidP="006173E9">
            <w:pPr>
              <w:spacing w:before="120" w:after="120" w:line="360" w:lineRule="auto"/>
            </w:pPr>
          </w:p>
          <w:p w:rsidR="006173E9" w:rsidRPr="0070201F" w:rsidRDefault="006173E9" w:rsidP="006173E9">
            <w:pPr>
              <w:spacing w:before="120" w:after="120" w:line="360" w:lineRule="auto"/>
            </w:pPr>
          </w:p>
          <w:p w:rsidR="006173E9" w:rsidRPr="0070201F" w:rsidRDefault="006173E9" w:rsidP="006173E9">
            <w:pPr>
              <w:spacing w:before="120" w:after="120" w:line="360" w:lineRule="auto"/>
              <w:ind w:firstLine="567"/>
            </w:pPr>
          </w:p>
        </w:tc>
        <w:tc>
          <w:tcPr>
            <w:tcW w:w="11737"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rPr>
                <w:b/>
              </w:rPr>
              <w:t>Описание</w:t>
            </w:r>
            <w:r w:rsidRPr="0070201F">
              <w:t>:</w:t>
            </w:r>
            <w:r w:rsidRPr="0070201F">
              <w:rPr>
                <w:color w:val="000000"/>
              </w:rPr>
              <w:t xml:space="preserve"> </w:t>
            </w:r>
            <w:r w:rsidRPr="0070201F">
              <w:t xml:space="preserve">Този показател показва количеството нежива дървесна биомаса, намираща се на земята в горите и другите залесени площи.  </w:t>
            </w:r>
          </w:p>
          <w:p w:rsidR="006173E9" w:rsidRPr="0070201F" w:rsidRDefault="006173E9" w:rsidP="006173E9">
            <w:pPr>
              <w:spacing w:before="120" w:after="120"/>
              <w:rPr>
                <w:noProof/>
              </w:rPr>
            </w:pPr>
            <w:r w:rsidRPr="0070201F">
              <w:rPr>
                <w:b/>
              </w:rPr>
              <w:t>Единица</w:t>
            </w:r>
            <w:r w:rsidRPr="0070201F">
              <w:t>: m</w:t>
            </w:r>
            <w:r w:rsidRPr="0070201F">
              <w:rPr>
                <w:vertAlign w:val="superscript"/>
              </w:rPr>
              <w:t>3</w:t>
            </w:r>
            <w:r w:rsidRPr="0070201F">
              <w:t xml:space="preserve">/ha. </w:t>
            </w:r>
          </w:p>
          <w:p w:rsidR="006173E9" w:rsidRPr="0070201F" w:rsidRDefault="006173E9" w:rsidP="006173E9">
            <w:pPr>
              <w:spacing w:before="120" w:after="120"/>
              <w:rPr>
                <w:b/>
                <w:noProof/>
              </w:rPr>
            </w:pPr>
            <w:r w:rsidRPr="0070201F">
              <w:rPr>
                <w:b/>
              </w:rPr>
              <w:t xml:space="preserve">Методика: </w:t>
            </w:r>
            <w:r w:rsidRPr="0070201F">
              <w:t xml:space="preserve">разработена и използвана от FOREST EUROPE, </w:t>
            </w:r>
            <w:r w:rsidRPr="0070201F">
              <w:rPr>
                <w:i/>
              </w:rPr>
              <w:t>State of Europe’s Forests 2020</w:t>
            </w:r>
            <w:r w:rsidRPr="0070201F">
              <w:t xml:space="preserve">, FOREST EUROPE 2020, и в описанието на националната инвентаризация на горите в </w:t>
            </w:r>
            <w:r w:rsidRPr="0070201F">
              <w:rPr>
                <w:i/>
              </w:rPr>
              <w:t>Tomppo E. и др.</w:t>
            </w:r>
            <w:r w:rsidRPr="0070201F">
              <w:t xml:space="preserve">, National Forest Inventories, </w:t>
            </w:r>
            <w:r w:rsidRPr="0070201F">
              <w:rPr>
                <w:i/>
              </w:rPr>
              <w:t>Pathways for Common Reporting</w:t>
            </w:r>
            <w:r w:rsidRPr="0070201F">
              <w:t>, Springer, 2010 г., и като се вземе предвид методиката, изложена в приложение V към Регламент 2018/1999, в съответствие с Указанията от 2006 г. на МКИК за националните инвентаризации на емисиите на парникови газове.</w:t>
            </w:r>
          </w:p>
        </w:tc>
      </w:tr>
      <w:tr w:rsidR="006173E9" w:rsidRPr="0070201F" w:rsidTr="006173E9">
        <w:tc>
          <w:tcPr>
            <w:tcW w:w="283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pageBreakBefore/>
              <w:spacing w:before="120" w:after="120"/>
              <w:rPr>
                <w:b/>
                <w:noProof/>
              </w:rPr>
            </w:pPr>
            <w:r w:rsidRPr="0070201F">
              <w:lastRenderedPageBreak/>
              <w:t>Дял на горите с неравномерна възрастова структура</w:t>
            </w:r>
          </w:p>
        </w:tc>
        <w:tc>
          <w:tcPr>
            <w:tcW w:w="11737"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rPr>
                <w:b/>
              </w:rPr>
              <w:t xml:space="preserve">Описание: </w:t>
            </w:r>
            <w:r w:rsidRPr="0070201F">
              <w:t xml:space="preserve">Този показател се отнася до дела на горите с възможност за дърводобив (FAWS) с неравномерна възрастова структура в горите, в сравнение с горите с равномерна възрастова структура. </w:t>
            </w:r>
          </w:p>
          <w:p w:rsidR="006173E9" w:rsidRPr="0070201F" w:rsidRDefault="006173E9" w:rsidP="006173E9">
            <w:pPr>
              <w:spacing w:before="120" w:after="120"/>
              <w:rPr>
                <w:noProof/>
              </w:rPr>
            </w:pPr>
            <w:r w:rsidRPr="0070201F">
              <w:rPr>
                <w:b/>
              </w:rPr>
              <w:t xml:space="preserve">Единица: </w:t>
            </w:r>
            <w:r w:rsidRPr="0070201F">
              <w:t>Процент на FAWS с неравномерна възрастова структура.</w:t>
            </w:r>
          </w:p>
          <w:p w:rsidR="006173E9" w:rsidRPr="0070201F" w:rsidRDefault="006173E9" w:rsidP="006173E9">
            <w:pPr>
              <w:spacing w:before="120" w:after="120"/>
              <w:rPr>
                <w:noProof/>
              </w:rPr>
            </w:pPr>
            <w:r w:rsidRPr="0070201F">
              <w:rPr>
                <w:b/>
              </w:rPr>
              <w:t xml:space="preserve">Методика: </w:t>
            </w:r>
            <w:r w:rsidRPr="0070201F">
              <w:t xml:space="preserve">разработена и използвана от FOREST EUROPE, </w:t>
            </w:r>
            <w:r w:rsidRPr="0070201F">
              <w:rPr>
                <w:i/>
              </w:rPr>
              <w:t>State of Europe’s Forests 2020</w:t>
            </w:r>
            <w:r w:rsidRPr="0070201F">
              <w:t xml:space="preserve">, FOREST EUROPE 2020, и в описанието на националните инвентаризации на горите в </w:t>
            </w:r>
            <w:r w:rsidRPr="0070201F">
              <w:rPr>
                <w:i/>
              </w:rPr>
              <w:t>Tomppo E. и др.</w:t>
            </w:r>
            <w:r w:rsidRPr="0070201F">
              <w:t xml:space="preserve">, National Forest Inventories, </w:t>
            </w:r>
            <w:r w:rsidRPr="0070201F">
              <w:rPr>
                <w:i/>
              </w:rPr>
              <w:t>Pathways for Common Reporting</w:t>
            </w:r>
            <w:r w:rsidRPr="0070201F">
              <w:t>, Springer, 2010 г.</w:t>
            </w:r>
          </w:p>
        </w:tc>
      </w:tr>
      <w:tr w:rsidR="006173E9" w:rsidRPr="0070201F" w:rsidTr="006173E9">
        <w:tc>
          <w:tcPr>
            <w:tcW w:w="283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Свързаност на горите</w:t>
            </w:r>
          </w:p>
        </w:tc>
        <w:tc>
          <w:tcPr>
            <w:tcW w:w="11737"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rPr>
                <w:b/>
              </w:rPr>
              <w:t>Описание:</w:t>
            </w:r>
            <w:r w:rsidRPr="0070201F">
              <w:t xml:space="preserve"> Свързаността на горите представлява степента на компактност на покритите с гори площи. Тя се определя в диапазона от 0 до 100.</w:t>
            </w:r>
          </w:p>
          <w:p w:rsidR="006173E9" w:rsidRPr="0070201F" w:rsidRDefault="006173E9" w:rsidP="006173E9">
            <w:pPr>
              <w:spacing w:before="120" w:after="120"/>
              <w:rPr>
                <w:noProof/>
              </w:rPr>
            </w:pPr>
            <w:r w:rsidRPr="0070201F">
              <w:rPr>
                <w:b/>
              </w:rPr>
              <w:t xml:space="preserve">Единица: </w:t>
            </w:r>
            <w:r w:rsidRPr="0070201F">
              <w:t xml:space="preserve">Индекс. </w:t>
            </w:r>
          </w:p>
          <w:p w:rsidR="006173E9" w:rsidRPr="0070201F" w:rsidRDefault="006173E9" w:rsidP="006173E9">
            <w:pPr>
              <w:spacing w:before="120" w:after="120"/>
              <w:rPr>
                <w:noProof/>
              </w:rPr>
            </w:pPr>
            <w:r w:rsidRPr="0070201F">
              <w:rPr>
                <w:b/>
              </w:rPr>
              <w:t>Методика:</w:t>
            </w:r>
            <w:r w:rsidRPr="0070201F">
              <w:t xml:space="preserve"> разработена от Организацията на ООН за прехрана и земеделие (ФАО), Vogt P. и др., </w:t>
            </w:r>
            <w:r w:rsidRPr="0070201F">
              <w:rPr>
                <w:i/>
              </w:rPr>
              <w:t>FAO – State of the World’s Forests: Forest Fragmentation</w:t>
            </w:r>
            <w:r w:rsidRPr="0070201F">
              <w:t>, Технически доклад на JRC, Служба за публикации на Европейския съюз, Люксембург, 2019 г.</w:t>
            </w:r>
          </w:p>
        </w:tc>
      </w:tr>
      <w:tr w:rsidR="006173E9" w:rsidRPr="0070201F" w:rsidTr="006173E9">
        <w:tc>
          <w:tcPr>
            <w:tcW w:w="283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t xml:space="preserve">Индекс на обикновените горски птици </w:t>
            </w:r>
          </w:p>
        </w:tc>
        <w:tc>
          <w:tcPr>
            <w:tcW w:w="11737"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rPr>
                <w:b/>
              </w:rPr>
              <w:t xml:space="preserve">Описание: </w:t>
            </w:r>
            <w:r w:rsidRPr="0070201F">
              <w:t>С показателя за горските птици се описват тенденциите в изобилието на често срещани горски птици в обитаваните от тях европейски райони във времето. Това е съставен индекс, създаден въз основа на данни от наблюдение на видовете птици, характерни за горските местообитания в Европа. Индексът се основава на конкретен списък на видовете във всяка държава членка.</w:t>
            </w:r>
          </w:p>
          <w:p w:rsidR="006173E9" w:rsidRPr="0070201F" w:rsidRDefault="006173E9" w:rsidP="006173E9">
            <w:pPr>
              <w:spacing w:before="120" w:after="120"/>
              <w:rPr>
                <w:noProof/>
              </w:rPr>
            </w:pPr>
            <w:r w:rsidRPr="0070201F">
              <w:rPr>
                <w:b/>
              </w:rPr>
              <w:t xml:space="preserve">Единица: </w:t>
            </w:r>
            <w:r w:rsidRPr="0070201F">
              <w:t>Индекс.</w:t>
            </w:r>
          </w:p>
          <w:p w:rsidR="006173E9" w:rsidRPr="0070201F" w:rsidRDefault="006173E9" w:rsidP="006173E9">
            <w:pPr>
              <w:spacing w:before="120" w:after="120"/>
              <w:rPr>
                <w:b/>
                <w:noProof/>
              </w:rPr>
            </w:pPr>
            <w:r w:rsidRPr="0070201F">
              <w:rPr>
                <w:b/>
              </w:rPr>
              <w:t xml:space="preserve">Методика: </w:t>
            </w:r>
            <w:r w:rsidRPr="0070201F">
              <w:t xml:space="preserve">Brlík и др. (2021 г.) </w:t>
            </w:r>
            <w:r w:rsidRPr="0070201F">
              <w:rPr>
                <w:i/>
              </w:rPr>
              <w:t>Long-term and large-scale multispecies dataset tracking population changes of common European breeding birds</w:t>
            </w:r>
            <w:r w:rsidRPr="0070201F">
              <w:t xml:space="preserve"> (, Sci Data 8, 21.</w:t>
            </w:r>
          </w:p>
        </w:tc>
      </w:tr>
      <w:tr w:rsidR="006173E9" w:rsidRPr="0070201F" w:rsidTr="006173E9">
        <w:tc>
          <w:tcPr>
            <w:tcW w:w="283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pageBreakBefore/>
              <w:spacing w:before="120" w:after="120"/>
              <w:rPr>
                <w:noProof/>
              </w:rPr>
            </w:pPr>
            <w:r w:rsidRPr="0070201F">
              <w:lastRenderedPageBreak/>
              <w:t xml:space="preserve">Запаси от органичен въглерод  </w:t>
            </w:r>
          </w:p>
        </w:tc>
        <w:tc>
          <w:tcPr>
            <w:tcW w:w="11737"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noProof/>
              </w:rPr>
            </w:pPr>
            <w:r w:rsidRPr="0070201F">
              <w:rPr>
                <w:b/>
              </w:rPr>
              <w:t>Описание</w:t>
            </w:r>
            <w:r w:rsidRPr="0070201F">
              <w:t>: С този показател се описват запасите от органичен въглерод в отпадъците и в минералните почви на дълбочина от 0 до 30 cm в горските екосистеми.</w:t>
            </w:r>
          </w:p>
          <w:p w:rsidR="006173E9" w:rsidRPr="0070201F" w:rsidRDefault="006173E9" w:rsidP="006173E9">
            <w:pPr>
              <w:spacing w:before="120" w:after="120"/>
              <w:rPr>
                <w:noProof/>
              </w:rPr>
            </w:pPr>
            <w:r w:rsidRPr="0070201F">
              <w:t>Единица: тонове органичен въглерод/ha.</w:t>
            </w:r>
          </w:p>
          <w:p w:rsidR="006173E9" w:rsidRPr="0070201F" w:rsidRDefault="006173E9" w:rsidP="006173E9">
            <w:pPr>
              <w:spacing w:before="120" w:after="120"/>
              <w:rPr>
                <w:b/>
                <w:bCs/>
                <w:noProof/>
              </w:rPr>
            </w:pPr>
            <w:r w:rsidRPr="0070201F">
              <w:rPr>
                <w:b/>
              </w:rPr>
              <w:t>Методика:</w:t>
            </w:r>
            <w:r w:rsidRPr="0070201F">
              <w:t xml:space="preserve"> посочена в приложение V към Регламент (ЕО) № 2018/1999 в съответствие с Указанията от 2006 г. на МКИК за националните инвентаризации на емисиите на парникови газове и подкрепена от Рамковото изследване на земеползването и земното покритие (LUCAS), Jones A. и др., </w:t>
            </w:r>
            <w:r w:rsidRPr="0070201F">
              <w:rPr>
                <w:i/>
              </w:rPr>
              <w:t>LUCAS Soil 2022</w:t>
            </w:r>
            <w:r w:rsidRPr="0070201F">
              <w:t>, технически доклад на JRC, Служба за публикации на Европейския съюз, 2021 г.</w:t>
            </w:r>
          </w:p>
        </w:tc>
      </w:tr>
      <w:tr w:rsidR="006173E9" w:rsidRPr="0070201F" w:rsidTr="006173E9">
        <w:tc>
          <w:tcPr>
            <w:tcW w:w="283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i/>
              </w:rPr>
            </w:pPr>
            <w:r w:rsidRPr="0070201F">
              <w:rPr>
                <w:b/>
                <w:i/>
              </w:rPr>
              <w:t>Дял на горите, в които преобладават местните дървесни видове</w:t>
            </w:r>
          </w:p>
        </w:tc>
        <w:tc>
          <w:tcPr>
            <w:tcW w:w="11737"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i/>
              </w:rPr>
            </w:pPr>
            <w:r w:rsidRPr="0070201F">
              <w:rPr>
                <w:b/>
                <w:i/>
              </w:rPr>
              <w:t xml:space="preserve">Описание: Дял на горите и други залесени земи, в които преобладават (&gt; 50% покритие) местни дървесни видове </w:t>
            </w:r>
          </w:p>
          <w:p w:rsidR="006173E9" w:rsidRPr="0070201F" w:rsidRDefault="006173E9" w:rsidP="006173E9">
            <w:pPr>
              <w:spacing w:before="120" w:after="120"/>
              <w:rPr>
                <w:b/>
                <w:i/>
              </w:rPr>
            </w:pPr>
            <w:r w:rsidRPr="0070201F">
              <w:rPr>
                <w:b/>
                <w:i/>
              </w:rPr>
              <w:t>Единица: %</w:t>
            </w:r>
          </w:p>
          <w:p w:rsidR="006173E9" w:rsidRPr="0070201F" w:rsidRDefault="006173E9" w:rsidP="006173E9">
            <w:pPr>
              <w:spacing w:before="120" w:after="120"/>
              <w:rPr>
                <w:b/>
                <w:i/>
              </w:rPr>
            </w:pPr>
            <w:r w:rsidRPr="0070201F">
              <w:rPr>
                <w:b/>
                <w:i/>
              </w:rPr>
              <w:t>Методика: разработена и използвана от FOREST EUROPE, State of Europe’s Forests 2020, FOREST EUROPE 2020, и в описанието на националните инвентаризации на горите в Tomppo E. и др., National Forest Inventories, Pathways for Common Reporting, Springer, 2010 г.</w:t>
            </w:r>
          </w:p>
        </w:tc>
      </w:tr>
      <w:tr w:rsidR="006173E9" w:rsidRPr="0070201F" w:rsidTr="006173E9">
        <w:tc>
          <w:tcPr>
            <w:tcW w:w="2830"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i/>
              </w:rPr>
            </w:pPr>
            <w:r w:rsidRPr="0070201F">
              <w:rPr>
                <w:b/>
                <w:i/>
              </w:rPr>
              <w:t>Разнообразие на дървесните видове</w:t>
            </w:r>
          </w:p>
        </w:tc>
        <w:tc>
          <w:tcPr>
            <w:tcW w:w="11737" w:type="dxa"/>
            <w:tcBorders>
              <w:top w:val="single" w:sz="4" w:space="0" w:color="auto"/>
              <w:left w:val="single" w:sz="4" w:space="0" w:color="auto"/>
              <w:bottom w:val="single" w:sz="4" w:space="0" w:color="auto"/>
              <w:right w:val="single" w:sz="4" w:space="0" w:color="auto"/>
            </w:tcBorders>
          </w:tcPr>
          <w:p w:rsidR="006173E9" w:rsidRPr="0070201F" w:rsidRDefault="006173E9" w:rsidP="006173E9">
            <w:pPr>
              <w:spacing w:before="120" w:after="120"/>
              <w:rPr>
                <w:b/>
                <w:i/>
              </w:rPr>
            </w:pPr>
            <w:r w:rsidRPr="0070201F">
              <w:rPr>
                <w:b/>
                <w:i/>
              </w:rPr>
              <w:t>Описание: Този показател описва средния брой дървесни видове, които се срещат в горските площи</w:t>
            </w:r>
          </w:p>
          <w:p w:rsidR="006173E9" w:rsidRPr="0070201F" w:rsidRDefault="006173E9" w:rsidP="006173E9">
            <w:pPr>
              <w:spacing w:before="120" w:after="120"/>
              <w:rPr>
                <w:b/>
                <w:i/>
              </w:rPr>
            </w:pPr>
            <w:r w:rsidRPr="0070201F">
              <w:rPr>
                <w:b/>
                <w:i/>
              </w:rPr>
              <w:t xml:space="preserve">Единица: Индекс </w:t>
            </w:r>
          </w:p>
          <w:p w:rsidR="006173E9" w:rsidRPr="0070201F" w:rsidRDefault="006173E9" w:rsidP="006173E9">
            <w:pPr>
              <w:spacing w:before="120" w:after="120"/>
              <w:rPr>
                <w:b/>
                <w:i/>
              </w:rPr>
            </w:pPr>
            <w:r w:rsidRPr="0070201F">
              <w:rPr>
                <w:b/>
                <w:i/>
              </w:rPr>
              <w:t>Методика: основаваща се на FOREST EUROPE, State of Europe’s Forests 2020, FOREST EUROPE 2020, и в описанието на националните инвентаризации на горите в Tomppo E. и др., National Forest Inventories, Pathways for Common Reporting, Springer, 2010 г.</w:t>
            </w:r>
          </w:p>
        </w:tc>
      </w:tr>
    </w:tbl>
    <w:p w:rsidR="006173E9" w:rsidRPr="0070201F" w:rsidRDefault="006173E9" w:rsidP="006173E9">
      <w:pPr>
        <w:suppressAutoHyphens/>
        <w:spacing w:before="120" w:after="120"/>
        <w:rPr>
          <w:rFonts w:eastAsia="Calibri"/>
          <w:noProof/>
          <w:szCs w:val="22"/>
        </w:rPr>
      </w:pPr>
    </w:p>
    <w:p w:rsidR="006173E9" w:rsidRPr="0070201F" w:rsidRDefault="006173E9" w:rsidP="006173E9">
      <w:pPr>
        <w:spacing w:before="120" w:after="120" w:line="360" w:lineRule="auto"/>
        <w:rPr>
          <w:rFonts w:eastAsia="Calibri"/>
          <w:szCs w:val="22"/>
        </w:rPr>
        <w:sectPr w:rsidR="006173E9" w:rsidRPr="0070201F" w:rsidSect="006173E9">
          <w:headerReference w:type="default" r:id="rId19"/>
          <w:footnotePr>
            <w:numRestart w:val="eachSect"/>
          </w:footnotePr>
          <w:pgSz w:w="16839" w:h="11907" w:orient="landscape"/>
          <w:pgMar w:top="1134" w:right="1134" w:bottom="1134" w:left="1134" w:header="567" w:footer="567" w:gutter="0"/>
          <w:cols w:space="720"/>
          <w:docGrid w:linePitch="360"/>
        </w:sectPr>
      </w:pPr>
    </w:p>
    <w:p w:rsidR="006173E9" w:rsidRPr="0070201F" w:rsidRDefault="006173E9" w:rsidP="006173E9">
      <w:pPr>
        <w:suppressAutoHyphens/>
        <w:spacing w:before="120" w:after="120" w:line="360" w:lineRule="auto"/>
        <w:ind w:left="851" w:hanging="851"/>
        <w:jc w:val="center"/>
        <w:rPr>
          <w:rFonts w:eastAsia="Calibri"/>
          <w:b/>
          <w:noProof/>
          <w:szCs w:val="22"/>
          <w:u w:val="single"/>
        </w:rPr>
      </w:pPr>
      <w:r w:rsidRPr="0070201F">
        <w:rPr>
          <w:b/>
          <w:u w:val="single"/>
        </w:rPr>
        <w:lastRenderedPageBreak/>
        <w:t>ПРИЛОЖЕНИЕ VII</w:t>
      </w:r>
    </w:p>
    <w:p w:rsidR="006173E9" w:rsidRPr="0070201F" w:rsidRDefault="006173E9" w:rsidP="006173E9">
      <w:pPr>
        <w:suppressAutoHyphens/>
        <w:spacing w:before="120" w:after="120"/>
        <w:jc w:val="center"/>
        <w:rPr>
          <w:rFonts w:eastAsia="Calibri"/>
          <w:b/>
          <w:noProof/>
          <w:szCs w:val="22"/>
          <w:u w:val="single"/>
          <w:shd w:val="clear" w:color="auto" w:fill="FFFFFF"/>
        </w:rPr>
      </w:pPr>
      <w:r w:rsidRPr="0070201F">
        <w:rPr>
          <w:b/>
          <w:u w:val="single"/>
          <w:shd w:val="clear" w:color="auto" w:fill="FFFFFF"/>
        </w:rPr>
        <w:t xml:space="preserve">СПИСЪК НА ПРИМЕРИТЕ ЗА МЕРКИ ЗА ВЪЗСТАНОВЯВАНЕ, ПОСОЧЕНИ В </w:t>
      </w:r>
    </w:p>
    <w:p w:rsidR="006173E9" w:rsidRPr="0070201F" w:rsidRDefault="006173E9" w:rsidP="006173E9">
      <w:pPr>
        <w:suppressAutoHyphens/>
        <w:spacing w:before="120" w:after="120"/>
        <w:jc w:val="center"/>
        <w:rPr>
          <w:rFonts w:eastAsia="Calibri"/>
          <w:b/>
          <w:noProof/>
          <w:szCs w:val="22"/>
          <w:u w:val="single"/>
        </w:rPr>
      </w:pPr>
      <w:r w:rsidRPr="0070201F">
        <w:rPr>
          <w:b/>
          <w:u w:val="single"/>
          <w:shd w:val="clear" w:color="auto" w:fill="FFFFFF"/>
        </w:rPr>
        <w:t>ЧЛЕН 11, ПАРАГРАФ 8</w:t>
      </w:r>
    </w:p>
    <w:p w:rsidR="006173E9" w:rsidRPr="0070201F" w:rsidRDefault="006173E9" w:rsidP="006173E9">
      <w:pPr>
        <w:spacing w:before="120" w:after="120" w:line="360" w:lineRule="auto"/>
        <w:ind w:left="851" w:hanging="851"/>
        <w:rPr>
          <w:rFonts w:eastAsia="Calibri"/>
          <w:noProof/>
          <w:szCs w:val="22"/>
        </w:rPr>
      </w:pPr>
      <w:r w:rsidRPr="0070201F">
        <w:t>(1)</w:t>
      </w:r>
      <w:r w:rsidRPr="0070201F">
        <w:tab/>
        <w:t>Възстановяване на влажните зони чрез възстановяване на отводнените торфища, премахване на структурите за отводняване на торфищата или наводняване, както и преустановяване на изкопаването на торф.</w:t>
      </w:r>
    </w:p>
    <w:p w:rsidR="006173E9" w:rsidRPr="0070201F" w:rsidRDefault="006173E9" w:rsidP="006173E9">
      <w:pPr>
        <w:spacing w:before="120" w:after="120" w:line="360" w:lineRule="auto"/>
        <w:ind w:left="851" w:hanging="851"/>
        <w:rPr>
          <w:rFonts w:eastAsia="Calibri"/>
          <w:noProof/>
          <w:szCs w:val="22"/>
        </w:rPr>
      </w:pPr>
      <w:r w:rsidRPr="0070201F">
        <w:t>(2)</w:t>
      </w:r>
      <w:r w:rsidRPr="0070201F">
        <w:tab/>
        <w:t xml:space="preserve">Подобряване на хидроложките условия чрез увеличаване на количеството, качеството и динамиката на повърхностните води и на нивата на подземните води за естествените и полуестествените екосистеми. </w:t>
      </w:r>
    </w:p>
    <w:p w:rsidR="006173E9" w:rsidRPr="0070201F" w:rsidRDefault="006173E9" w:rsidP="006173E9">
      <w:pPr>
        <w:spacing w:before="120" w:after="120" w:line="360" w:lineRule="auto"/>
        <w:ind w:left="851" w:hanging="851"/>
        <w:rPr>
          <w:noProof/>
          <w:szCs w:val="22"/>
        </w:rPr>
      </w:pPr>
      <w:r w:rsidRPr="0070201F">
        <w:t>(3)</w:t>
      </w:r>
      <w:r w:rsidRPr="0070201F">
        <w:tab/>
        <w:t>Премахване на нежеланата храстовидна растителност или неместните насаждения в затревените площи, влажните зони, горите и площите с рядка растителност.</w:t>
      </w:r>
    </w:p>
    <w:p w:rsidR="006173E9" w:rsidRPr="0070201F" w:rsidRDefault="006173E9" w:rsidP="006173E9">
      <w:pPr>
        <w:spacing w:before="120" w:after="120" w:line="360" w:lineRule="auto"/>
        <w:ind w:left="851" w:hanging="851"/>
        <w:rPr>
          <w:rFonts w:eastAsia="Calibri"/>
          <w:noProof/>
          <w:szCs w:val="22"/>
        </w:rPr>
      </w:pPr>
      <w:r w:rsidRPr="0070201F">
        <w:t>(4)</w:t>
      </w:r>
      <w:r w:rsidRPr="0070201F">
        <w:tab/>
        <w:t xml:space="preserve">Използване на палудикултура. </w:t>
      </w:r>
    </w:p>
    <w:p w:rsidR="006173E9" w:rsidRPr="0070201F" w:rsidRDefault="006173E9" w:rsidP="006173E9">
      <w:pPr>
        <w:spacing w:before="120" w:after="120" w:line="360" w:lineRule="auto"/>
        <w:ind w:left="851" w:hanging="851"/>
        <w:rPr>
          <w:noProof/>
        </w:rPr>
      </w:pPr>
      <w:r w:rsidRPr="0070201F">
        <w:t>(5)</w:t>
      </w:r>
      <w:r w:rsidRPr="0070201F">
        <w:tab/>
        <w:t xml:space="preserve">Възстановяване на меандрите на реките и свързване на изкуствено прекъснатите меандри или крайречните U-образни езера. </w:t>
      </w:r>
    </w:p>
    <w:p w:rsidR="006173E9" w:rsidRPr="0070201F" w:rsidRDefault="006173E9" w:rsidP="006173E9">
      <w:pPr>
        <w:spacing w:before="120" w:after="120" w:line="360" w:lineRule="auto"/>
        <w:ind w:left="851" w:hanging="851"/>
        <w:rPr>
          <w:rFonts w:eastAsia="Calibri"/>
          <w:noProof/>
          <w:szCs w:val="22"/>
        </w:rPr>
      </w:pPr>
      <w:r w:rsidRPr="0070201F">
        <w:t>(6)</w:t>
      </w:r>
      <w:r w:rsidRPr="0070201F">
        <w:tab/>
        <w:t>Премахване на надлъжните и страничните прегради (като диги и язовири), осигуряване на повече пространство за речната динамика и възстановяване на свободно течащи речни участъци.</w:t>
      </w:r>
    </w:p>
    <w:p w:rsidR="006173E9" w:rsidRPr="0070201F" w:rsidRDefault="006173E9" w:rsidP="006173E9">
      <w:pPr>
        <w:spacing w:before="120" w:after="120" w:line="360" w:lineRule="auto"/>
        <w:ind w:left="851" w:hanging="851"/>
        <w:rPr>
          <w:rFonts w:eastAsia="Calibri"/>
          <w:noProof/>
          <w:szCs w:val="22"/>
        </w:rPr>
      </w:pPr>
      <w:r w:rsidRPr="0070201F">
        <w:t>(7)</w:t>
      </w:r>
      <w:r w:rsidRPr="0070201F">
        <w:tab/>
        <w:t xml:space="preserve">Възстановяване на речните корита, езерата и речните течения през низините, например чрез премахване на изкуственото фиксиране на коритата, оптимизиране на състава на субстрата, подобряване или развитие на покритието на местообитанията. </w:t>
      </w:r>
    </w:p>
    <w:p w:rsidR="006173E9" w:rsidRPr="0070201F" w:rsidRDefault="006173E9" w:rsidP="006173E9">
      <w:pPr>
        <w:spacing w:before="120" w:after="120" w:line="360" w:lineRule="auto"/>
        <w:ind w:left="851" w:hanging="851"/>
        <w:rPr>
          <w:rFonts w:eastAsia="Calibri"/>
          <w:noProof/>
          <w:szCs w:val="22"/>
        </w:rPr>
      </w:pPr>
      <w:r w:rsidRPr="0070201F">
        <w:t>(8)</w:t>
      </w:r>
      <w:r w:rsidRPr="0070201F">
        <w:tab/>
        <w:t>Възстановяване на естествените процеси на утаяване.</w:t>
      </w:r>
    </w:p>
    <w:p w:rsidR="006173E9" w:rsidRPr="0070201F" w:rsidRDefault="006173E9" w:rsidP="006173E9">
      <w:pPr>
        <w:spacing w:before="120" w:after="120" w:line="360" w:lineRule="auto"/>
        <w:ind w:left="851" w:hanging="851"/>
        <w:rPr>
          <w:rFonts w:eastAsia="Calibri"/>
          <w:noProof/>
          <w:szCs w:val="22"/>
        </w:rPr>
      </w:pPr>
      <w:r w:rsidRPr="0070201F">
        <w:t>(9)</w:t>
      </w:r>
      <w:r w:rsidRPr="0070201F">
        <w:tab/>
        <w:t xml:space="preserve">Създаване на крайречни буфери, например крайречни гори, буферни ивици, ливади или пасища. </w:t>
      </w:r>
    </w:p>
    <w:p w:rsidR="006173E9" w:rsidRPr="0070201F" w:rsidRDefault="006173E9" w:rsidP="006173E9">
      <w:pPr>
        <w:spacing w:before="120" w:after="120" w:line="360" w:lineRule="auto"/>
        <w:ind w:left="851" w:hanging="851"/>
        <w:rPr>
          <w:rFonts w:eastAsia="Calibri"/>
          <w:noProof/>
          <w:szCs w:val="22"/>
        </w:rPr>
      </w:pPr>
      <w:r w:rsidRPr="0070201F">
        <w:t>(10)</w:t>
      </w:r>
      <w:r w:rsidRPr="0070201F">
        <w:tab/>
        <w:t>Увеличаване на екологичните характеристики на горите, като например големите, стари и умиращи дървета (дървета, представляващи местообитания) и количествата паднала и стояща мъртва дървесина.</w:t>
      </w:r>
    </w:p>
    <w:p w:rsidR="006173E9" w:rsidRPr="0070201F" w:rsidRDefault="006173E9" w:rsidP="006173E9">
      <w:pPr>
        <w:spacing w:before="120" w:after="120" w:line="360" w:lineRule="auto"/>
        <w:ind w:left="851" w:hanging="851"/>
        <w:rPr>
          <w:rFonts w:eastAsia="Calibri"/>
          <w:b/>
          <w:noProof/>
          <w:szCs w:val="22"/>
          <w:u w:val="single"/>
        </w:rPr>
      </w:pPr>
      <w:r w:rsidRPr="0070201F">
        <w:t>(11)</w:t>
      </w:r>
      <w:r w:rsidRPr="0070201F">
        <w:tab/>
        <w:t xml:space="preserve">Разнообразяване на структурата на горите по отношение на </w:t>
      </w:r>
      <w:r w:rsidRPr="0070201F">
        <w:rPr>
          <w:b/>
          <w:i/>
        </w:rPr>
        <w:t>видовия състав</w:t>
      </w:r>
      <w:r w:rsidRPr="0070201F">
        <w:t xml:space="preserve"> и възрастта, създаване на възможност за естествено възстановяване и смяна на поколенията дървесни видове.</w:t>
      </w:r>
    </w:p>
    <w:p w:rsidR="006173E9" w:rsidRPr="0070201F" w:rsidRDefault="006173E9" w:rsidP="006173E9">
      <w:pPr>
        <w:suppressAutoHyphens/>
        <w:spacing w:before="120" w:after="120" w:line="360" w:lineRule="auto"/>
        <w:ind w:left="851" w:hanging="851"/>
        <w:rPr>
          <w:rFonts w:eastAsia="Calibri"/>
          <w:b/>
          <w:i/>
          <w:szCs w:val="22"/>
        </w:rPr>
      </w:pPr>
      <w:r w:rsidRPr="0070201F">
        <w:rPr>
          <w:b/>
          <w:i/>
        </w:rPr>
        <w:lastRenderedPageBreak/>
        <w:t>(11а)</w:t>
      </w:r>
      <w:r w:rsidRPr="0070201F">
        <w:rPr>
          <w:b/>
          <w:i/>
        </w:rPr>
        <w:tab/>
        <w:t>Подпомагане на миграцията на произходите и видовете, когато това може да е необходимо поради изменението на климата.</w:t>
      </w:r>
    </w:p>
    <w:p w:rsidR="006173E9" w:rsidRPr="0070201F" w:rsidRDefault="006173E9" w:rsidP="006173E9">
      <w:pPr>
        <w:spacing w:before="120" w:after="120" w:line="360" w:lineRule="auto"/>
        <w:ind w:left="851" w:hanging="851"/>
        <w:rPr>
          <w:rFonts w:eastAsia="Calibri"/>
          <w:noProof/>
          <w:szCs w:val="22"/>
        </w:rPr>
      </w:pPr>
      <w:r w:rsidRPr="0070201F">
        <w:t>(12)</w:t>
      </w:r>
      <w:r w:rsidRPr="0070201F">
        <w:tab/>
        <w:t xml:space="preserve">Подобряване на разнообразието на горите чрез </w:t>
      </w:r>
      <w:r w:rsidRPr="0070201F">
        <w:rPr>
          <w:b/>
          <w:i/>
        </w:rPr>
        <w:t xml:space="preserve">възстановяване </w:t>
      </w:r>
      <w:r w:rsidRPr="0070201F">
        <w:t xml:space="preserve">на мозайки от негорски местообитания, като например открити участъци с тревни съобщества или пустош, езера или скалисти зони. </w:t>
      </w:r>
    </w:p>
    <w:p w:rsidR="006173E9" w:rsidRPr="0070201F" w:rsidRDefault="006173E9" w:rsidP="006173E9">
      <w:pPr>
        <w:spacing w:before="120" w:after="120" w:line="360" w:lineRule="auto"/>
        <w:ind w:left="851" w:hanging="851"/>
        <w:rPr>
          <w:rFonts w:eastAsia="Calibri"/>
          <w:noProof/>
          <w:szCs w:val="22"/>
        </w:rPr>
      </w:pPr>
      <w:r w:rsidRPr="0070201F">
        <w:t>(13)</w:t>
      </w:r>
      <w:r w:rsidRPr="0070201F">
        <w:tab/>
        <w:t>Използване на подходи на горското стопанство, които са „близки до природата“ или „непрекъсната покривка“; въвеждане на местни дървесни видове.</w:t>
      </w:r>
    </w:p>
    <w:p w:rsidR="006173E9" w:rsidRPr="0070201F" w:rsidRDefault="006173E9" w:rsidP="006173E9">
      <w:pPr>
        <w:spacing w:before="120" w:after="120" w:line="360" w:lineRule="auto"/>
        <w:ind w:left="851" w:hanging="851"/>
        <w:rPr>
          <w:rFonts w:eastAsia="Calibri"/>
          <w:noProof/>
          <w:szCs w:val="22"/>
        </w:rPr>
      </w:pPr>
      <w:r w:rsidRPr="0070201F">
        <w:t>(14)</w:t>
      </w:r>
      <w:r w:rsidRPr="0070201F">
        <w:tab/>
        <w:t>Насърчаване на развитието на вековни местни гори и зрели насаждения (например чрез спиране на дърводобива</w:t>
      </w:r>
      <w:r w:rsidRPr="0070201F">
        <w:rPr>
          <w:b/>
          <w:i/>
        </w:rPr>
        <w:t xml:space="preserve"> или чрез активно управление, което благоприятства развитието на авторегулаторни функции и подходяща устойчивост</w:t>
      </w:r>
      <w:r w:rsidRPr="0070201F">
        <w:t>).</w:t>
      </w:r>
    </w:p>
    <w:p w:rsidR="006173E9" w:rsidRPr="0070201F" w:rsidRDefault="006173E9" w:rsidP="006173E9">
      <w:pPr>
        <w:spacing w:before="120" w:after="120" w:line="360" w:lineRule="auto"/>
        <w:ind w:left="851" w:hanging="851"/>
        <w:rPr>
          <w:rFonts w:eastAsia="Calibri"/>
          <w:noProof/>
          <w:szCs w:val="22"/>
        </w:rPr>
      </w:pPr>
      <w:r w:rsidRPr="0070201F">
        <w:t>(15)</w:t>
      </w:r>
      <w:r w:rsidRPr="0070201F">
        <w:tab/>
        <w:t xml:space="preserve">Въвеждане на разнообразие в характеристиките на ландшафта в обработваемите земи и интензивно използваните затревени площи, като например буферни ивици, синори с местни цветя, живи плетове, дървета, малки гори, терасиране, езера, коридори на местообитания и екопасажи и др. </w:t>
      </w:r>
    </w:p>
    <w:p w:rsidR="006173E9" w:rsidRPr="0070201F" w:rsidRDefault="006173E9" w:rsidP="006173E9">
      <w:pPr>
        <w:spacing w:before="120" w:after="120" w:line="360" w:lineRule="auto"/>
        <w:ind w:left="851" w:hanging="851"/>
        <w:rPr>
          <w:noProof/>
          <w:szCs w:val="22"/>
        </w:rPr>
      </w:pPr>
      <w:r w:rsidRPr="0070201F">
        <w:t>(16)</w:t>
      </w:r>
      <w:r w:rsidRPr="0070201F">
        <w:tab/>
        <w:t>Увеличаване на земеделската площ, която се управлява съгласно агроекологични подходи, като например биологично земеделие или агролесовъдство, отглеждане на смесени култури и редуване на културите, интегрирано управление на вредителите и хранителните вещества.</w:t>
      </w:r>
    </w:p>
    <w:p w:rsidR="006173E9" w:rsidRPr="0070201F" w:rsidRDefault="006173E9" w:rsidP="006173E9">
      <w:pPr>
        <w:spacing w:before="120" w:after="120" w:line="360" w:lineRule="auto"/>
        <w:ind w:left="851" w:hanging="851"/>
        <w:rPr>
          <w:rFonts w:eastAsia="Calibri"/>
          <w:noProof/>
          <w:szCs w:val="22"/>
        </w:rPr>
      </w:pPr>
      <w:r w:rsidRPr="0070201F">
        <w:t>(17)</w:t>
      </w:r>
      <w:r w:rsidRPr="0070201F">
        <w:tab/>
        <w:t xml:space="preserve">Намаляване на интензивността на пашата или режимите на коситба върху затревени площи, когато е приложимо, и възстановяване на екстензивната паша с домашен добитък и режимите на екстензивно косене, когато те са били изоставени. </w:t>
      </w:r>
    </w:p>
    <w:p w:rsidR="006173E9" w:rsidRPr="0070201F" w:rsidRDefault="006173E9" w:rsidP="006173E9">
      <w:pPr>
        <w:spacing w:before="120" w:after="120" w:line="360" w:lineRule="auto"/>
        <w:ind w:left="851" w:hanging="851"/>
        <w:rPr>
          <w:rFonts w:eastAsia="Calibri"/>
          <w:noProof/>
          <w:szCs w:val="22"/>
        </w:rPr>
      </w:pPr>
      <w:bookmarkStart w:id="89" w:name="_Hlk132894426"/>
      <w:r w:rsidRPr="0070201F">
        <w:t>(18)</w:t>
      </w:r>
      <w:r w:rsidRPr="0070201F">
        <w:tab/>
        <w:t>Спиране или намаляване на употребата на химически пестициди, както и на изкуствени торове и оборски тор.</w:t>
      </w:r>
    </w:p>
    <w:bookmarkEnd w:id="89"/>
    <w:p w:rsidR="006173E9" w:rsidRPr="0070201F" w:rsidRDefault="006173E9" w:rsidP="006173E9">
      <w:pPr>
        <w:spacing w:before="120" w:after="120" w:line="360" w:lineRule="auto"/>
        <w:ind w:left="851" w:hanging="851"/>
        <w:rPr>
          <w:rFonts w:eastAsia="Calibri"/>
          <w:noProof/>
          <w:szCs w:val="22"/>
        </w:rPr>
      </w:pPr>
      <w:r w:rsidRPr="0070201F">
        <w:t>(19)</w:t>
      </w:r>
      <w:r w:rsidRPr="0070201F">
        <w:tab/>
        <w:t xml:space="preserve">Спиране на разораването на затревените площи и на въвеждането на семена от продуктивни треви. </w:t>
      </w:r>
    </w:p>
    <w:p w:rsidR="006173E9" w:rsidRPr="0070201F" w:rsidRDefault="006173E9" w:rsidP="006173E9">
      <w:pPr>
        <w:spacing w:before="120" w:after="120" w:line="360" w:lineRule="auto"/>
        <w:ind w:left="851" w:hanging="851"/>
        <w:rPr>
          <w:rFonts w:eastAsia="Calibri"/>
          <w:noProof/>
          <w:szCs w:val="22"/>
        </w:rPr>
      </w:pPr>
      <w:r w:rsidRPr="0070201F">
        <w:t>(20)</w:t>
      </w:r>
      <w:r w:rsidRPr="0070201F">
        <w:tab/>
        <w:t>Премахване на насажденията в предишните динамични системи на континентални дюни, за да може да се възстанови естествената динамика на вятъра в полза на откритите местообитания.</w:t>
      </w:r>
    </w:p>
    <w:p w:rsidR="006173E9" w:rsidRPr="0070201F" w:rsidRDefault="006173E9" w:rsidP="006173E9">
      <w:pPr>
        <w:spacing w:before="120" w:after="120" w:line="360" w:lineRule="auto"/>
        <w:ind w:left="851" w:hanging="851"/>
        <w:rPr>
          <w:rFonts w:eastAsia="Calibri"/>
          <w:noProof/>
          <w:szCs w:val="22"/>
        </w:rPr>
      </w:pPr>
      <w:r w:rsidRPr="0070201F">
        <w:lastRenderedPageBreak/>
        <w:t>(21)</w:t>
      </w:r>
      <w:r w:rsidRPr="0070201F">
        <w:tab/>
        <w:t xml:space="preserve">Подобряване на свързаността между местообитанията, за да се даде възможност за развитие на популации на видовете и за достатъчен индивидуален или генетичен обмен, както и за миграция на видовете и адаптиране към изменението на климата. </w:t>
      </w:r>
    </w:p>
    <w:p w:rsidR="006173E9" w:rsidRPr="0070201F" w:rsidRDefault="006173E9" w:rsidP="006173E9">
      <w:pPr>
        <w:spacing w:before="120" w:after="120" w:line="360" w:lineRule="auto"/>
        <w:ind w:left="851" w:hanging="851"/>
        <w:rPr>
          <w:rFonts w:eastAsia="Calibri"/>
          <w:noProof/>
          <w:szCs w:val="22"/>
        </w:rPr>
      </w:pPr>
      <w:r w:rsidRPr="0070201F">
        <w:t>(22)</w:t>
      </w:r>
      <w:r w:rsidRPr="0070201F">
        <w:tab/>
        <w:t xml:space="preserve">Създаване на възможност екосистемите да развиват собствена естествена динамика, например чрез отказ от събиране на реколта и насърчаване на естествената и дивата природа. </w:t>
      </w:r>
    </w:p>
    <w:p w:rsidR="006173E9" w:rsidRPr="0070201F" w:rsidRDefault="006173E9" w:rsidP="006173E9">
      <w:pPr>
        <w:spacing w:before="120" w:after="120" w:line="360" w:lineRule="auto"/>
        <w:ind w:left="851" w:hanging="851"/>
        <w:rPr>
          <w:rFonts w:eastAsia="Calibri"/>
          <w:noProof/>
          <w:szCs w:val="22"/>
        </w:rPr>
      </w:pPr>
      <w:r w:rsidRPr="0070201F">
        <w:t>(23)</w:t>
      </w:r>
      <w:r w:rsidRPr="0070201F">
        <w:tab/>
        <w:t xml:space="preserve">Премахване и контрол на инвазивните чуждоземни видове и предотвратяване или свеждане до минимум на въвеждането на нови екземпляри. </w:t>
      </w:r>
    </w:p>
    <w:p w:rsidR="006173E9" w:rsidRPr="0070201F" w:rsidRDefault="006173E9" w:rsidP="006173E9">
      <w:pPr>
        <w:spacing w:before="120" w:after="120" w:line="360" w:lineRule="auto"/>
        <w:ind w:left="851" w:hanging="851"/>
        <w:rPr>
          <w:rFonts w:eastAsia="Calibri"/>
          <w:noProof/>
          <w:szCs w:val="22"/>
        </w:rPr>
      </w:pPr>
      <w:r w:rsidRPr="0070201F">
        <w:t>(24)</w:t>
      </w:r>
      <w:r w:rsidRPr="0070201F">
        <w:tab/>
        <w:t>Свеждане до минимум на отрицателното въздействие на риболовните дейности върху морската екосистема, например чрез използване на уреди с по-малко въздействие върху морското дъно.</w:t>
      </w:r>
    </w:p>
    <w:p w:rsidR="006173E9" w:rsidRPr="0070201F" w:rsidRDefault="006173E9" w:rsidP="006173E9">
      <w:pPr>
        <w:spacing w:before="120" w:after="120" w:line="360" w:lineRule="auto"/>
        <w:ind w:left="851" w:hanging="851"/>
        <w:rPr>
          <w:rFonts w:eastAsia="Calibri"/>
          <w:noProof/>
          <w:szCs w:val="22"/>
        </w:rPr>
      </w:pPr>
      <w:r w:rsidRPr="0070201F">
        <w:t>(25)</w:t>
      </w:r>
      <w:r w:rsidRPr="0070201F">
        <w:tab/>
        <w:t>Възстановяване на важни зони за хвърляне на хайвер и размножаване на риба.</w:t>
      </w:r>
    </w:p>
    <w:p w:rsidR="006173E9" w:rsidRPr="0070201F" w:rsidRDefault="006173E9" w:rsidP="006173E9">
      <w:pPr>
        <w:spacing w:before="120" w:after="120" w:line="360" w:lineRule="auto"/>
        <w:ind w:left="851" w:hanging="851"/>
        <w:rPr>
          <w:rFonts w:eastAsia="Calibri"/>
          <w:noProof/>
          <w:szCs w:val="22"/>
        </w:rPr>
      </w:pPr>
      <w:r w:rsidRPr="0070201F">
        <w:t>(26)</w:t>
      </w:r>
      <w:r w:rsidRPr="0070201F">
        <w:tab/>
        <w:t xml:space="preserve">Осигуряване на структури или субстрати за насърчаване на завръщането на морските организми, например корали/стриди/каменни рифове. </w:t>
      </w:r>
    </w:p>
    <w:p w:rsidR="006173E9" w:rsidRPr="0070201F" w:rsidRDefault="006173E9" w:rsidP="006173E9">
      <w:pPr>
        <w:spacing w:before="120" w:after="120" w:line="360" w:lineRule="auto"/>
        <w:ind w:left="851" w:hanging="851"/>
        <w:rPr>
          <w:rFonts w:eastAsia="Calibri"/>
          <w:noProof/>
          <w:szCs w:val="22"/>
        </w:rPr>
      </w:pPr>
      <w:r w:rsidRPr="0070201F">
        <w:t>(27)</w:t>
      </w:r>
      <w:r w:rsidRPr="0070201F">
        <w:tab/>
        <w:t>Възстановяване на ливадите с морска трева и горите от водорасли чрез активно стабилизиране на морското дъно, намаляване, и когато е възможно, премахване на натиска или чрез активно размножаване и засаждане.</w:t>
      </w:r>
    </w:p>
    <w:p w:rsidR="006173E9" w:rsidRPr="0070201F" w:rsidRDefault="006173E9" w:rsidP="006173E9">
      <w:pPr>
        <w:suppressAutoHyphens/>
        <w:spacing w:before="120" w:after="120" w:line="360" w:lineRule="auto"/>
        <w:ind w:left="851" w:hanging="851"/>
        <w:rPr>
          <w:rFonts w:eastAsia="Calibri"/>
          <w:b/>
          <w:bCs/>
          <w:i/>
          <w:noProof/>
          <w:szCs w:val="22"/>
        </w:rPr>
      </w:pPr>
      <w:r w:rsidRPr="0070201F">
        <w:rPr>
          <w:b/>
          <w:i/>
        </w:rPr>
        <w:t>(27a)</w:t>
      </w:r>
      <w:r w:rsidRPr="0070201F">
        <w:rPr>
          <w:b/>
          <w:i/>
        </w:rPr>
        <w:tab/>
        <w:t>Възстановяване или подобряване на състоянието на характерната популация от местни видове, жизненоважна за екологията на морските местообитания, чрез предприемане на пасивни или активни мерки за възстановяване, например въвеждане на млади екземпляри.</w:t>
      </w:r>
    </w:p>
    <w:p w:rsidR="006173E9" w:rsidRPr="0070201F" w:rsidRDefault="006173E9" w:rsidP="006173E9">
      <w:pPr>
        <w:spacing w:before="120" w:after="120" w:line="360" w:lineRule="auto"/>
        <w:ind w:left="851" w:hanging="851"/>
        <w:rPr>
          <w:rFonts w:eastAsia="Calibri"/>
          <w:noProof/>
          <w:szCs w:val="22"/>
        </w:rPr>
      </w:pPr>
      <w:r w:rsidRPr="0070201F">
        <w:t>(28)</w:t>
      </w:r>
      <w:r w:rsidRPr="0070201F">
        <w:tab/>
        <w:t xml:space="preserve">Намаляване на различните форми на замърсяване на морската среда, като натрупването с хранителни вещества, шумовото замърсяване и пластмасовите отпадъци. </w:t>
      </w:r>
    </w:p>
    <w:p w:rsidR="006173E9" w:rsidRPr="0070201F" w:rsidRDefault="006173E9" w:rsidP="006173E9">
      <w:pPr>
        <w:spacing w:before="120" w:after="120" w:line="360" w:lineRule="auto"/>
        <w:ind w:left="851" w:hanging="851"/>
        <w:rPr>
          <w:rFonts w:eastAsia="Calibri"/>
          <w:noProof/>
          <w:szCs w:val="22"/>
        </w:rPr>
      </w:pPr>
      <w:r w:rsidRPr="0070201F">
        <w:t>(29)</w:t>
      </w:r>
      <w:r w:rsidRPr="0070201F">
        <w:tab/>
        <w:t xml:space="preserve">Увеличаване на градските зелени пространства с екологични характеристики, като например паркове, дървета и залесени </w:t>
      </w:r>
      <w:r w:rsidRPr="0070201F">
        <w:rPr>
          <w:rFonts w:ascii="Arial" w:hAnsi="Arial"/>
          <w:snapToGrid w:val="0"/>
        </w:rPr>
        <w:t>▌</w:t>
      </w:r>
      <w:r w:rsidRPr="0070201F">
        <w:t>участъци, зелени покриви, тревни площи с диви цветя, градини, градско градинарство, улици с дървета, градски ливади и живи плетове, езера и водни течения</w:t>
      </w:r>
      <w:r w:rsidRPr="0070201F">
        <w:rPr>
          <w:b/>
          <w:i/>
        </w:rPr>
        <w:t xml:space="preserve">, </w:t>
      </w:r>
      <w:bookmarkStart w:id="90" w:name="_Hlk133182370"/>
      <w:r w:rsidRPr="0070201F">
        <w:rPr>
          <w:b/>
          <w:i/>
        </w:rPr>
        <w:t>като се вземат предвид, наред с другото, разнообразието на видовете, местните видове, местните условия и устойчивостта спрямо изменението на климата</w:t>
      </w:r>
      <w:bookmarkEnd w:id="90"/>
      <w:r w:rsidRPr="0070201F">
        <w:t>.</w:t>
      </w:r>
    </w:p>
    <w:p w:rsidR="006173E9" w:rsidRPr="0070201F" w:rsidRDefault="006173E9" w:rsidP="006173E9">
      <w:pPr>
        <w:spacing w:before="120" w:after="120" w:line="360" w:lineRule="auto"/>
        <w:ind w:left="851" w:hanging="851"/>
        <w:rPr>
          <w:rFonts w:eastAsia="Calibri"/>
          <w:noProof/>
          <w:szCs w:val="22"/>
        </w:rPr>
      </w:pPr>
      <w:r w:rsidRPr="0070201F">
        <w:lastRenderedPageBreak/>
        <w:t>(30)</w:t>
      </w:r>
      <w:r w:rsidRPr="0070201F">
        <w:tab/>
        <w:t xml:space="preserve">Спиране, намаляване или отстраняване на замърсяването с фармацевтични продукти, опасни химикали, градски и промишлени отпадъчни води и други отпадъци, включително битови отпадъци и пластмаси, както и светлината във всички екосистеми. </w:t>
      </w:r>
    </w:p>
    <w:p w:rsidR="006173E9" w:rsidRPr="007A53D0" w:rsidRDefault="006173E9" w:rsidP="006173E9">
      <w:pPr>
        <w:spacing w:before="120" w:after="120" w:line="360" w:lineRule="auto"/>
        <w:ind w:left="851" w:hanging="851"/>
        <w:rPr>
          <w:rFonts w:eastAsia="Calibri"/>
          <w:szCs w:val="22"/>
        </w:rPr>
      </w:pPr>
      <w:r w:rsidRPr="0070201F">
        <w:t>(31)</w:t>
      </w:r>
      <w:r w:rsidRPr="0070201F">
        <w:tab/>
        <w:t>Превръщане на изоставени промишлени терени, бивши промишлени зони и кариери в природни обекти.</w:t>
      </w:r>
    </w:p>
    <w:p w:rsidR="006173E9" w:rsidRPr="007A53D0" w:rsidRDefault="006173E9" w:rsidP="006173E9">
      <w:pPr>
        <w:pBdr>
          <w:bottom w:val="single" w:sz="4" w:space="0" w:color="000000"/>
        </w:pBdr>
        <w:spacing w:before="360" w:after="120" w:line="360" w:lineRule="auto"/>
        <w:ind w:left="3400" w:right="3400"/>
        <w:jc w:val="center"/>
        <w:rPr>
          <w:rFonts w:eastAsia="Calibri"/>
          <w:b/>
          <w:szCs w:val="22"/>
        </w:rPr>
      </w:pPr>
    </w:p>
    <w:p w:rsidR="006173E9" w:rsidRPr="007A53D0" w:rsidRDefault="006173E9" w:rsidP="006173E9">
      <w:pPr>
        <w:spacing w:before="120" w:after="120" w:line="360" w:lineRule="auto"/>
        <w:rPr>
          <w:rFonts w:eastAsia="Calibri"/>
          <w:szCs w:val="22"/>
        </w:rPr>
      </w:pPr>
    </w:p>
    <w:p w:rsidR="006173E9" w:rsidRPr="007A53D0" w:rsidRDefault="006173E9" w:rsidP="006173E9">
      <w:pPr>
        <w:spacing w:before="240" w:after="240"/>
        <w:jc w:val="right"/>
      </w:pPr>
    </w:p>
    <w:p w:rsidR="00E365E1" w:rsidRPr="00A306B3" w:rsidRDefault="00E365E1" w:rsidP="00596A9C"/>
    <w:sectPr w:rsidR="00E365E1" w:rsidRPr="00A306B3" w:rsidSect="00A306B3">
      <w:headerReference w:type="even" r:id="rId20"/>
      <w:headerReference w:type="default" r:id="rId21"/>
      <w:footerReference w:type="even" r:id="rId22"/>
      <w:footerReference w:type="default" r:id="rId23"/>
      <w:headerReference w:type="first" r:id="rId24"/>
      <w:footerReference w:type="first" r:id="rId2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7DD" w:rsidRPr="00A306B3" w:rsidRDefault="00A937DD">
      <w:r w:rsidRPr="00A306B3">
        <w:separator/>
      </w:r>
    </w:p>
  </w:endnote>
  <w:endnote w:type="continuationSeparator" w:id="0">
    <w:p w:rsidR="00A937DD" w:rsidRPr="00A306B3" w:rsidRDefault="00A937DD">
      <w:r w:rsidRPr="00A306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7A53D0" w:rsidRDefault="00A937DD" w:rsidP="006173E9">
    <w:pPr>
      <w:pStyle w:val="EPFooter"/>
    </w:pPr>
    <w:r w:rsidRPr="007A53D0">
      <w:t>PE</w:t>
    </w:r>
    <w:r w:rsidRPr="007A53D0">
      <w:rPr>
        <w:rStyle w:val="HideTWBExt"/>
      </w:rPr>
      <w:t>&lt;NoPE&gt;</w:t>
    </w:r>
    <w:r w:rsidRPr="007A53D0">
      <w:t>748.791</w:t>
    </w:r>
    <w:r w:rsidRPr="007A53D0">
      <w:rPr>
        <w:rStyle w:val="HideTWBExt"/>
      </w:rPr>
      <w:t>&lt;/NoPE&gt;&lt;Version&gt;</w:t>
    </w:r>
    <w:r w:rsidRPr="007A53D0">
      <w:t>v01-00</w:t>
    </w:r>
    <w:r w:rsidRPr="007A53D0">
      <w:rPr>
        <w:rStyle w:val="HideTWBExt"/>
      </w:rPr>
      <w:t>&lt;/Version&gt;</w:t>
    </w:r>
    <w:r w:rsidRPr="007A53D0">
      <w:tab/>
    </w:r>
    <w:r w:rsidRPr="007A53D0">
      <w:fldChar w:fldCharType="begin"/>
    </w:r>
    <w:r w:rsidRPr="007A53D0">
      <w:instrText xml:space="preserve"> PAGE  \* MERGEFORMAT </w:instrText>
    </w:r>
    <w:r w:rsidRPr="007A53D0">
      <w:fldChar w:fldCharType="separate"/>
    </w:r>
    <w:r>
      <w:rPr>
        <w:noProof/>
      </w:rPr>
      <w:t>171</w:t>
    </w:r>
    <w:r w:rsidRPr="007A53D0">
      <w:fldChar w:fldCharType="end"/>
    </w:r>
    <w:r w:rsidRPr="007A53D0">
      <w:t>/</w:t>
    </w:r>
    <w:r w:rsidR="00223ACF">
      <w:fldChar w:fldCharType="begin"/>
    </w:r>
    <w:r w:rsidR="00223ACF">
      <w:instrText xml:space="preserve"> NUMPAGES  \* MERGEFORMAT </w:instrText>
    </w:r>
    <w:r w:rsidR="00223ACF">
      <w:fldChar w:fldCharType="separate"/>
    </w:r>
    <w:r>
      <w:rPr>
        <w:noProof/>
      </w:rPr>
      <w:t>176</w:t>
    </w:r>
    <w:r w:rsidR="00223ACF">
      <w:rPr>
        <w:noProof/>
      </w:rPr>
      <w:fldChar w:fldCharType="end"/>
    </w:r>
    <w:r w:rsidRPr="007A53D0">
      <w:tab/>
    </w:r>
    <w:r w:rsidRPr="007A53D0">
      <w:rPr>
        <w:rStyle w:val="HideTWBExt"/>
      </w:rPr>
      <w:t>&lt;PathFdR&gt;</w:t>
    </w:r>
    <w:r w:rsidRPr="007A53D0">
      <w:t>AM\1282615BG.docx</w:t>
    </w:r>
    <w:r w:rsidRPr="007A53D0">
      <w:rPr>
        <w:rStyle w:val="HideTWBExt"/>
      </w:rPr>
      <w:t>&lt;/PathFdR&gt;</w:t>
    </w:r>
  </w:p>
  <w:p w:rsidR="00A937DD" w:rsidRPr="007A53D0" w:rsidRDefault="00A937DD" w:rsidP="006173E9">
    <w:pPr>
      <w:pStyle w:val="EPFooter2"/>
    </w:pPr>
    <w:r w:rsidRPr="007A53D0">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7A53D0" w:rsidRDefault="00A937DD" w:rsidP="006173E9">
    <w:pPr>
      <w:pStyle w:val="EPFooter"/>
    </w:pPr>
    <w:r w:rsidRPr="007A53D0">
      <w:rPr>
        <w:rStyle w:val="HideTWBExt"/>
      </w:rPr>
      <w:t>&lt;PathFdR&gt;</w:t>
    </w:r>
    <w:r w:rsidRPr="007A53D0">
      <w:t>AM\1282615BG.docx</w:t>
    </w:r>
    <w:r w:rsidRPr="007A53D0">
      <w:rPr>
        <w:rStyle w:val="HideTWBExt"/>
      </w:rPr>
      <w:t>&lt;/PathFdR&gt;</w:t>
    </w:r>
    <w:r w:rsidRPr="007A53D0">
      <w:tab/>
    </w:r>
    <w:r w:rsidRPr="007A53D0">
      <w:tab/>
      <w:t>PE</w:t>
    </w:r>
    <w:r w:rsidRPr="007A53D0">
      <w:rPr>
        <w:rStyle w:val="HideTWBExt"/>
      </w:rPr>
      <w:t>&lt;NoPE&gt;</w:t>
    </w:r>
    <w:r w:rsidRPr="007A53D0">
      <w:t>748.791</w:t>
    </w:r>
    <w:r w:rsidRPr="007A53D0">
      <w:rPr>
        <w:rStyle w:val="HideTWBExt"/>
      </w:rPr>
      <w:t>&lt;/NoPE&gt;&lt;Version&gt;</w:t>
    </w:r>
    <w:r w:rsidRPr="007A53D0">
      <w:t>v01-00</w:t>
    </w:r>
    <w:r w:rsidRPr="007A53D0">
      <w:rPr>
        <w:rStyle w:val="HideTWBExt"/>
      </w:rPr>
      <w:t>&lt;/Version&gt;</w:t>
    </w:r>
  </w:p>
  <w:p w:rsidR="00A937DD" w:rsidRPr="007A53D0" w:rsidRDefault="00A937DD" w:rsidP="006173E9">
    <w:pPr>
      <w:pStyle w:val="EPFooter2"/>
    </w:pPr>
    <w:r w:rsidRPr="007A53D0">
      <w:t>BG</w:t>
    </w:r>
    <w:r w:rsidRPr="007A53D0">
      <w:tab/>
    </w:r>
    <w:r w:rsidRPr="007A53D0">
      <w:rPr>
        <w:b w:val="0"/>
        <w:i/>
        <w:color w:val="C0C0C0"/>
        <w:sz w:val="22"/>
      </w:rPr>
      <w:t>Единство в многообразието</w:t>
    </w:r>
    <w:r w:rsidRPr="007A53D0">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A306B3" w:rsidRDefault="00A937D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A306B3" w:rsidRDefault="00A937D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A306B3" w:rsidRDefault="00A937D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7DD" w:rsidRPr="00A306B3" w:rsidRDefault="00A937DD">
      <w:r w:rsidRPr="00A306B3">
        <w:separator/>
      </w:r>
    </w:p>
  </w:footnote>
  <w:footnote w:type="continuationSeparator" w:id="0">
    <w:p w:rsidR="00A937DD" w:rsidRPr="00A306B3" w:rsidRDefault="00A937DD">
      <w:r w:rsidRPr="00A306B3">
        <w:continuationSeparator/>
      </w:r>
    </w:p>
  </w:footnote>
  <w:footnote w:id="1">
    <w:p w:rsidR="00A937DD" w:rsidRPr="00A937DD" w:rsidRDefault="00A937DD" w:rsidP="0070201F">
      <w:pPr>
        <w:pStyle w:val="FootnoteText"/>
        <w:ind w:left="567" w:hanging="567"/>
        <w:rPr>
          <w:sz w:val="24"/>
          <w:szCs w:val="24"/>
          <w:lang w:val="en-GB"/>
        </w:rPr>
      </w:pPr>
      <w:r w:rsidRPr="00A937DD">
        <w:rPr>
          <w:rStyle w:val="FootnoteReference"/>
          <w:sz w:val="24"/>
          <w:szCs w:val="24"/>
          <w:lang w:val="en-GB"/>
        </w:rPr>
        <w:t>*</w:t>
      </w:r>
      <w:r w:rsidRPr="00A937DD">
        <w:rPr>
          <w:sz w:val="24"/>
          <w:szCs w:val="24"/>
          <w:lang w:val="en-GB"/>
        </w:rPr>
        <w:t xml:space="preserve"> </w:t>
      </w:r>
      <w:r w:rsidRPr="00A937DD">
        <w:rPr>
          <w:sz w:val="24"/>
          <w:szCs w:val="24"/>
          <w:lang w:val="en-GB"/>
        </w:rPr>
        <w:tab/>
      </w:r>
      <w:r w:rsidRPr="009674D5">
        <w:rPr>
          <w:sz w:val="24"/>
          <w:szCs w:val="24"/>
          <w:lang w:val="bg-BG"/>
        </w:rPr>
        <w:t>Позовавания към „cp“ в заглавията на приетите изменения да се разбират като „съотв</w:t>
      </w:r>
      <w:r w:rsidRPr="00A937DD">
        <w:rPr>
          <w:sz w:val="24"/>
          <w:szCs w:val="24"/>
          <w:lang w:val="bg-BG"/>
        </w:rPr>
        <w:t>етна част“ от посочените изменения.</w:t>
      </w:r>
    </w:p>
  </w:footnote>
  <w:footnote w:id="2">
    <w:p w:rsidR="00A937DD" w:rsidRPr="0070201F" w:rsidRDefault="00A937DD" w:rsidP="0070201F">
      <w:pPr>
        <w:pStyle w:val="FootnoteText"/>
        <w:spacing w:line="240" w:lineRule="auto"/>
        <w:ind w:left="567" w:hanging="567"/>
        <w:rPr>
          <w:sz w:val="24"/>
          <w:szCs w:val="24"/>
          <w:lang w:val="bg-BG"/>
        </w:rPr>
      </w:pPr>
      <w:r w:rsidRPr="0070201F">
        <w:rPr>
          <w:rStyle w:val="FootnoteReference"/>
          <w:sz w:val="24"/>
          <w:szCs w:val="24"/>
        </w:rPr>
        <w:footnoteRef/>
      </w:r>
      <w:r w:rsidRPr="00223ACF">
        <w:rPr>
          <w:sz w:val="24"/>
          <w:szCs w:val="24"/>
          <w:lang w:val="en-GB"/>
        </w:rPr>
        <w:t xml:space="preserve"> </w:t>
      </w:r>
      <w:r w:rsidRPr="0070201F">
        <w:rPr>
          <w:sz w:val="24"/>
          <w:szCs w:val="24"/>
          <w:lang w:val="bg-BG"/>
        </w:rPr>
        <w:tab/>
      </w:r>
      <w:r w:rsidRPr="00A937DD">
        <w:rPr>
          <w:sz w:val="24"/>
          <w:szCs w:val="24"/>
          <w:lang w:val="bg-BG"/>
        </w:rPr>
        <w:t>Въпросът е върнат за междуинституционални преговори в</w:t>
      </w:r>
      <w:r w:rsidRPr="009674D5">
        <w:rPr>
          <w:sz w:val="24"/>
          <w:szCs w:val="24"/>
          <w:lang w:val="bg-BG"/>
        </w:rPr>
        <w:t xml:space="preserve"> компетентната комисия съгласно член 59, параграф 4, четвърта алинея от Правилника за дейността (</w:t>
      </w:r>
      <w:r w:rsidRPr="0070201F">
        <w:rPr>
          <w:sz w:val="24"/>
          <w:szCs w:val="24"/>
          <w:lang w:val="bg-BG"/>
        </w:rPr>
        <w:t>А9-0220/202</w:t>
      </w:r>
      <w:r w:rsidRPr="00A937DD">
        <w:rPr>
          <w:sz w:val="24"/>
          <w:szCs w:val="24"/>
          <w:lang w:val="bg-BG"/>
        </w:rPr>
        <w:t>3).</w:t>
      </w:r>
    </w:p>
  </w:footnote>
  <w:footnote w:id="3">
    <w:p w:rsidR="00A937DD" w:rsidRPr="00223ACF" w:rsidRDefault="00A937DD" w:rsidP="0070201F">
      <w:pPr>
        <w:pStyle w:val="FootnoteText"/>
        <w:ind w:left="567" w:hanging="567"/>
        <w:rPr>
          <w:sz w:val="24"/>
          <w:szCs w:val="24"/>
          <w:lang w:val="bg-BG"/>
        </w:rPr>
      </w:pPr>
      <w:r w:rsidRPr="00223ACF">
        <w:rPr>
          <w:rStyle w:val="FootnoteReference"/>
          <w:sz w:val="24"/>
          <w:szCs w:val="24"/>
          <w:lang w:val="bg-BG"/>
        </w:rPr>
        <w:t>*</w:t>
      </w:r>
      <w:r w:rsidRPr="00223ACF">
        <w:rPr>
          <w:sz w:val="24"/>
          <w:szCs w:val="24"/>
          <w:lang w:val="bg-BG"/>
        </w:rPr>
        <w:t xml:space="preserve"> </w:t>
      </w:r>
      <w:r w:rsidRPr="00223ACF">
        <w:rPr>
          <w:sz w:val="24"/>
          <w:szCs w:val="24"/>
          <w:lang w:val="bg-BG"/>
        </w:rPr>
        <w:tab/>
        <w:t>Изменения: нов или изменен текст се обозначава с получер курсив; заличаванията се посочват със символа ▌.</w:t>
      </w:r>
    </w:p>
  </w:footnote>
  <w:footnote w:id="4">
    <w:p w:rsidR="00A937DD" w:rsidRPr="00A937DD" w:rsidRDefault="00A937DD" w:rsidP="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ОВ С [...], [...] г., стр. [...].</w:t>
      </w:r>
    </w:p>
  </w:footnote>
  <w:footnote w:id="5">
    <w:p w:rsidR="00A937DD" w:rsidRPr="0070201F" w:rsidRDefault="00A937DD" w:rsidP="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 xml:space="preserve">Съобщение на Комисията до Европейския парламент, Съвета, Европейския икономически и социален комитет и Комитета на регионите — Нова </w:t>
      </w:r>
      <w:r w:rsidR="00D45CA0">
        <w:rPr>
          <w:sz w:val="24"/>
          <w:szCs w:val="24"/>
        </w:rPr>
        <w:t>стратегия на ЕС за горите за 11.</w:t>
      </w:r>
      <w:r w:rsidRPr="0070201F">
        <w:rPr>
          <w:sz w:val="24"/>
          <w:szCs w:val="24"/>
        </w:rPr>
        <w:t>12</w:t>
      </w:r>
      <w:r w:rsidR="00D45CA0">
        <w:rPr>
          <w:sz w:val="24"/>
          <w:szCs w:val="24"/>
          <w:lang w:val="bg-BG"/>
        </w:rPr>
        <w:t>.2019</w:t>
      </w:r>
      <w:r w:rsidRPr="0070201F">
        <w:rPr>
          <w:sz w:val="24"/>
          <w:szCs w:val="24"/>
        </w:rPr>
        <w:t> г., COM (2019) 640 final.</w:t>
      </w:r>
    </w:p>
  </w:footnote>
  <w:footnote w:id="6">
    <w:p w:rsidR="00A937DD" w:rsidRPr="0070201F" w:rsidRDefault="00A937DD" w:rsidP="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 xml:space="preserve">Съобщение на Комисията до Европейския парламент, Съвета, Европейския икономически </w:t>
      </w:r>
      <w:r w:rsidRPr="0070201F">
        <w:rPr>
          <w:sz w:val="24"/>
          <w:szCs w:val="24"/>
        </w:rPr>
        <w:tab/>
        <w:t xml:space="preserve">и социален комитет и Комитета на регионите — Стратегия на ЕС за биологичното разнообразие за 2030 г. </w:t>
      </w:r>
      <w:r w:rsidRPr="0070201F">
        <w:rPr>
          <w:sz w:val="24"/>
          <w:szCs w:val="24"/>
        </w:rPr>
        <w:tab/>
        <w:t>Да осигурим полагащото се място на природата в нашия живот, 20.5.2020 г., COM (2020) 380 final.</w:t>
      </w:r>
    </w:p>
  </w:footnote>
  <w:footnote w:id="7">
    <w:p w:rsidR="00A937DD" w:rsidRPr="0070201F" w:rsidRDefault="00A937DD" w:rsidP="009674D5">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Решение № 93/626/ЕИО на Съвета от 25 октомври 1993 г. за сключване на Конвенцията за биологичното разнообразие (ОВ L 309, 13.12.1993 г., стр. 1).</w:t>
      </w:r>
    </w:p>
  </w:footnote>
  <w:footnote w:id="8">
    <w:p w:rsidR="00A937DD" w:rsidRPr="0070201F"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hyperlink r:id="rId1">
        <w:r w:rsidRPr="0070201F">
          <w:rPr>
            <w:rStyle w:val="Internetlnk"/>
            <w:rFonts w:eastAsiaTheme="minorHAnsi"/>
            <w:sz w:val="24"/>
            <w:szCs w:val="24"/>
          </w:rPr>
          <w:tab/>
          <w:t>https://www.cbd.int/decision/cop/?id=12268</w:t>
        </w:r>
      </w:hyperlink>
      <w:r w:rsidRPr="0070201F">
        <w:rPr>
          <w:sz w:val="24"/>
          <w:szCs w:val="24"/>
        </w:rPr>
        <w:t>.</w:t>
      </w:r>
    </w:p>
  </w:footnote>
  <w:footnote w:id="9">
    <w:p w:rsidR="00A937DD" w:rsidRPr="0070201F" w:rsidRDefault="00A937DD">
      <w:pPr>
        <w:pStyle w:val="FootnoteText"/>
        <w:ind w:left="567" w:hanging="567"/>
        <w:rPr>
          <w:rStyle w:val="FootnoteCharacters"/>
          <w:rFonts w:eastAsiaTheme="minorHAnsi"/>
          <w:sz w:val="24"/>
          <w:szCs w:val="24"/>
        </w:rPr>
      </w:pPr>
      <w:r w:rsidRPr="0070201F">
        <w:rPr>
          <w:rStyle w:val="FootnoteCharacters"/>
          <w:rFonts w:eastAsiaTheme="minorHAnsi"/>
          <w:sz w:val="24"/>
          <w:szCs w:val="24"/>
        </w:rPr>
        <w:footnoteRef/>
      </w:r>
      <w:r w:rsidRPr="0070201F">
        <w:rPr>
          <w:rStyle w:val="FootnoteCharacters"/>
          <w:rFonts w:eastAsiaTheme="minorHAnsi"/>
          <w:sz w:val="24"/>
          <w:szCs w:val="24"/>
        </w:rPr>
        <w:t xml:space="preserve"> </w:t>
      </w:r>
      <w:r w:rsidRPr="0070201F">
        <w:rPr>
          <w:rStyle w:val="FootnoteCharacters"/>
          <w:rFonts w:eastAsiaTheme="minorHAnsi"/>
          <w:sz w:val="24"/>
          <w:szCs w:val="24"/>
        </w:rPr>
        <w:tab/>
        <w:t xml:space="preserve">Глобална рамка за биологичното разнообразие Кунмин—Монреал. Проект за решение, представен от председателя, CBD/COP/DEC/15/4, 19 декември 2022 г. </w:t>
      </w:r>
    </w:p>
  </w:footnote>
  <w:footnote w:id="10">
    <w:p w:rsidR="00A937DD" w:rsidRPr="0070201F"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r>
      <w:hyperlink r:id="rId2">
        <w:r w:rsidRPr="0070201F">
          <w:rPr>
            <w:rStyle w:val="Internetlnk"/>
            <w:rFonts w:eastAsiaTheme="minorHAnsi"/>
            <w:sz w:val="24"/>
            <w:szCs w:val="24"/>
          </w:rPr>
          <w:t>United Nations Sustainable Development – 17 Goals to Transform Our World (Конференция на ООН по въпросите на устойчивото развитие — 17 цели за преобразуване на света)</w:t>
        </w:r>
      </w:hyperlink>
      <w:r w:rsidRPr="0070201F">
        <w:rPr>
          <w:sz w:val="24"/>
          <w:szCs w:val="24"/>
        </w:rPr>
        <w:t>.</w:t>
      </w:r>
    </w:p>
  </w:footnote>
  <w:footnote w:id="11">
    <w:p w:rsidR="00A937DD" w:rsidRPr="00A937DD"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Резолюция 73/284 от 1 март 2019 г. относно Десетилетието на ООН за възстановяване на екосистемите (2021—2030 г.).</w:t>
      </w:r>
    </w:p>
  </w:footnote>
  <w:footnote w:id="12">
    <w:p w:rsidR="00A937DD" w:rsidRPr="00A937DD"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Резолюция на Европейския парламент от 9 юни 2021 г. относно стратегията на ЕС за биологичното разнообразие за 2030 г.:</w:t>
      </w:r>
      <w:r w:rsidRPr="00A937DD">
        <w:rPr>
          <w:sz w:val="24"/>
          <w:szCs w:val="24"/>
        </w:rPr>
        <w:t xml:space="preserve"> да осигурим полагащото се място на природата в нашия живот (2020/2273 (INI).</w:t>
      </w:r>
    </w:p>
  </w:footnote>
  <w:footnote w:id="13">
    <w:p w:rsidR="00A937DD" w:rsidRPr="00A937DD"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Заключения на Съвета „Биологичното разнообразие изисква неотложни действия“, 12210/20.</w:t>
      </w:r>
    </w:p>
  </w:footnote>
  <w:footnote w:id="14">
    <w:p w:rsidR="00A937DD" w:rsidRPr="00A937DD"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Работен документ на службите на Комисията — Criteria and guidance for protected areas designations (Критерии и насоки за определяне на защитени зони) (SWD (2022) 23 final).</w:t>
      </w:r>
    </w:p>
  </w:footnote>
  <w:footnote w:id="15">
    <w:p w:rsidR="00A937DD" w:rsidRPr="00A937DD"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 xml:space="preserve">На разположение в </w:t>
      </w:r>
      <w:hyperlink r:id="rId3">
        <w:r w:rsidRPr="0070201F">
          <w:rPr>
            <w:rStyle w:val="Internetlnk"/>
            <w:rFonts w:eastAsiaTheme="minorHAnsi"/>
            <w:sz w:val="24"/>
            <w:szCs w:val="24"/>
          </w:rPr>
          <w:t>Circabc (europa.eu)</w:t>
        </w:r>
      </w:hyperlink>
      <w:r w:rsidRPr="0070201F">
        <w:rPr>
          <w:sz w:val="24"/>
          <w:szCs w:val="24"/>
        </w:rPr>
        <w:t xml:space="preserve"> [препратката да се допълни].</w:t>
      </w:r>
    </w:p>
  </w:footnote>
  <w:footnote w:id="16">
    <w:p w:rsidR="00A937DD" w:rsidRPr="00A937DD"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Доклад на Комисията до Европейския парламент, Съвета и Европейския икономически и социален комитет „Състоянието на природата в Европейския съюз — Доклад за статуса и тенденциите през периода 2013—2018 г. при видовете и при типовете местообитания, защитени съгласно Директивата за птиците и Директивата за местообитанията“, COM/2020/635 final.</w:t>
      </w:r>
    </w:p>
  </w:footnote>
  <w:footnote w:id="17">
    <w:p w:rsidR="00A937DD" w:rsidRPr="0070201F" w:rsidRDefault="00A937DD">
      <w:pPr>
        <w:pStyle w:val="FootnoteText"/>
        <w:ind w:left="567" w:hanging="567"/>
        <w:rPr>
          <w:b/>
          <w:bCs/>
          <w:i/>
          <w:iCs/>
          <w:sz w:val="24"/>
          <w:szCs w:val="24"/>
          <w:lang w:val="bg-BG"/>
        </w:rPr>
      </w:pPr>
      <w:r w:rsidRPr="0070201F">
        <w:rPr>
          <w:rStyle w:val="FootnoteReference"/>
          <w:sz w:val="24"/>
          <w:szCs w:val="24"/>
        </w:rPr>
        <w:footnoteRef/>
      </w:r>
      <w:r w:rsidRPr="0070201F">
        <w:rPr>
          <w:sz w:val="24"/>
          <w:szCs w:val="24"/>
        </w:rPr>
        <w:t xml:space="preserve"> </w:t>
      </w:r>
      <w:r w:rsidRPr="0070201F">
        <w:rPr>
          <w:sz w:val="24"/>
          <w:szCs w:val="24"/>
        </w:rPr>
        <w:tab/>
      </w:r>
      <w:r w:rsidRPr="0070201F">
        <w:rPr>
          <w:b/>
          <w:bCs/>
          <w:i/>
          <w:iCs/>
          <w:sz w:val="24"/>
          <w:szCs w:val="24"/>
          <w:lang w:val="bg-BG"/>
        </w:rPr>
        <w:t>Съобщение на Комисията до Европейския парламент, Съвета, Европейския икономически и социален комитет и Комитета на регионите, „Преглед на търговската политика — отворена, устойчива и решителна търговска политика“, Брюксел, 18.2.2021 г. COM(2021)0066.</w:t>
      </w:r>
    </w:p>
    <w:p w:rsidR="00A937DD" w:rsidRPr="0070201F" w:rsidRDefault="00A937DD" w:rsidP="0070201F">
      <w:pPr>
        <w:pStyle w:val="FootnoteText"/>
        <w:ind w:left="567" w:hanging="567"/>
        <w:rPr>
          <w:b/>
          <w:bCs/>
          <w:i/>
          <w:iCs/>
          <w:sz w:val="24"/>
          <w:szCs w:val="24"/>
        </w:rPr>
      </w:pPr>
    </w:p>
  </w:footnote>
  <w:footnote w:id="18">
    <w:p w:rsidR="00A937DD" w:rsidRPr="00A937DD" w:rsidRDefault="00A937DD" w:rsidP="00A937DD">
      <w:pPr>
        <w:pStyle w:val="FootnoteText"/>
        <w:ind w:left="567" w:hanging="567"/>
        <w:rPr>
          <w:sz w:val="24"/>
          <w:szCs w:val="24"/>
        </w:rPr>
      </w:pPr>
      <w:r w:rsidRPr="0070201F">
        <w:rPr>
          <w:rStyle w:val="FootnoteCharacters"/>
          <w:rFonts w:eastAsiaTheme="minorHAnsi"/>
          <w:sz w:val="24"/>
          <w:szCs w:val="24"/>
        </w:rPr>
        <w:footnoteRef/>
      </w:r>
      <w:hyperlink r:id="rId4">
        <w:r w:rsidRPr="0070201F">
          <w:rPr>
            <w:rStyle w:val="Internetlnk"/>
            <w:rFonts w:eastAsiaTheme="minorHAnsi"/>
            <w:sz w:val="24"/>
            <w:szCs w:val="24"/>
          </w:rPr>
          <w:tab/>
          <w:t>https://seea.un.org/sites/seea.un.org/files/documents/EA/seea_ea_white_cover_final.pdf</w:t>
        </w:r>
      </w:hyperlink>
      <w:r w:rsidRPr="00A937DD">
        <w:rPr>
          <w:sz w:val="24"/>
          <w:szCs w:val="24"/>
        </w:rPr>
        <w:t>.</w:t>
      </w:r>
    </w:p>
  </w:footnote>
  <w:footnote w:id="19">
    <w:p w:rsidR="00A937DD" w:rsidRPr="00A937DD" w:rsidRDefault="00A937DD" w:rsidP="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Междуправителствен комитет по изменението на климата (МКИК):</w:t>
      </w:r>
      <w:r w:rsidRPr="00A937DD">
        <w:rPr>
          <w:sz w:val="24"/>
          <w:szCs w:val="24"/>
        </w:rPr>
        <w:t xml:space="preserve"> </w:t>
      </w:r>
      <w:r w:rsidRPr="0070201F">
        <w:rPr>
          <w:sz w:val="24"/>
          <w:szCs w:val="24"/>
        </w:rPr>
        <w:t xml:space="preserve">Special Report on the impacts of global warming of 1.5°C and related global greenhouse gas emission pathways, in the context of strengthening the global response to the threat of climate change, sustainable development, and efforts to eradicate poverty (Специален доклад относно въздействието на глобалното затопляне с 1,5°C и свързаните с него траектории на емисиите на парникови газове в световен мащаб в контекста на засилването на глобалния отговор на заплахата от изменението на климата, устойчивото развитие и усилията за изкореняване на бедността) [Masson-Delmotte, V., P. Zhai, H.-O. Pörtner, D. Roberts, J. Skea, P.R. Shukla, A. Pirani, W. Moufouma-Okia, C. Péan, R. Pidcock, S. Connors, J.B.R. Matthews, Y. Chen, X. Zhou, M.I. Gomis, E. Lonnoy, T. Maycock, M. Tignor, и T. Waterfield (изд.)] </w:t>
      </w:r>
      <w:hyperlink r:id="rId5">
        <w:r w:rsidRPr="0070201F">
          <w:rPr>
            <w:rStyle w:val="Internetlnk"/>
            <w:rFonts w:eastAsiaTheme="minorHAnsi"/>
            <w:sz w:val="24"/>
            <w:szCs w:val="24"/>
          </w:rPr>
          <w:t>https://www.ipcc.ch/sr15/</w:t>
        </w:r>
      </w:hyperlink>
      <w:r w:rsidRPr="0070201F">
        <w:rPr>
          <w:rStyle w:val="Internetlnk"/>
          <w:rFonts w:eastAsiaTheme="minorHAnsi"/>
          <w:sz w:val="24"/>
          <w:szCs w:val="24"/>
        </w:rPr>
        <w:t xml:space="preserve"> </w:t>
      </w:r>
    </w:p>
  </w:footnote>
  <w:footnote w:id="20">
    <w:p w:rsidR="00A937DD" w:rsidRPr="0070201F" w:rsidRDefault="00A937DD" w:rsidP="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r>
      <w:hyperlink r:id="rId6">
        <w:r w:rsidRPr="0070201F">
          <w:rPr>
            <w:rStyle w:val="Internetlnk"/>
            <w:rFonts w:eastAsiaTheme="minorHAnsi"/>
            <w:sz w:val="24"/>
            <w:szCs w:val="24"/>
          </w:rPr>
          <w:t>Изменение на климата 2022 г.:</w:t>
        </w:r>
      </w:hyperlink>
      <w:hyperlink r:id="rId7">
        <w:r w:rsidRPr="0070201F">
          <w:rPr>
            <w:rStyle w:val="Internetlnk"/>
            <w:rFonts w:eastAsiaTheme="minorHAnsi"/>
            <w:sz w:val="24"/>
            <w:szCs w:val="24"/>
          </w:rPr>
          <w:t>въздействия, адаптация и уязвимост (ipcc.ch)</w:t>
        </w:r>
      </w:hyperlink>
    </w:p>
  </w:footnote>
  <w:footnote w:id="21">
    <w:p w:rsidR="00A937DD" w:rsidRPr="00223ACF" w:rsidRDefault="00A937DD" w:rsidP="00A937DD">
      <w:pPr>
        <w:pStyle w:val="FootnoteText"/>
        <w:ind w:left="567" w:hanging="567"/>
        <w:rPr>
          <w:sz w:val="24"/>
          <w:szCs w:val="24"/>
          <w:lang w:val="it-IT"/>
        </w:rPr>
      </w:pPr>
      <w:r w:rsidRPr="0070201F">
        <w:rPr>
          <w:rStyle w:val="FootnoteCharacters"/>
          <w:rFonts w:eastAsiaTheme="minorHAnsi"/>
          <w:sz w:val="24"/>
          <w:szCs w:val="24"/>
        </w:rPr>
        <w:footnoteRef/>
      </w:r>
      <w:r w:rsidRPr="0070201F">
        <w:rPr>
          <w:sz w:val="24"/>
          <w:szCs w:val="24"/>
          <w:shd w:val="clear" w:color="auto" w:fill="FFFFFF"/>
        </w:rPr>
        <w:t xml:space="preserve"> </w:t>
      </w:r>
      <w:r w:rsidRPr="0070201F">
        <w:rPr>
          <w:sz w:val="24"/>
          <w:szCs w:val="24"/>
          <w:shd w:val="clear" w:color="auto" w:fill="FFFFFF"/>
        </w:rPr>
        <w:tab/>
        <w:t xml:space="preserve">IPBES (2019 г.): Global assessment report on biodiversity and ecosystem services of the Intergovernmental Science-Policy Platform on Biodiversity and Ecosystem Services (Глобален доклад за оценка на биологичното разнообразие и екосистемните услуги на Междуправителствената научно-политическа платформа за биологично разнообразие и екосистемни услуги). </w:t>
      </w:r>
      <w:r w:rsidRPr="00223ACF">
        <w:rPr>
          <w:sz w:val="24"/>
          <w:szCs w:val="24"/>
          <w:shd w:val="clear" w:color="auto" w:fill="FFFFFF"/>
          <w:lang w:val="it-IT"/>
        </w:rPr>
        <w:t xml:space="preserve">E. S. Brondizio, J. Settele, S. Díaz </w:t>
      </w:r>
      <w:r w:rsidRPr="0070201F">
        <w:rPr>
          <w:sz w:val="24"/>
          <w:szCs w:val="24"/>
          <w:shd w:val="clear" w:color="auto" w:fill="FFFFFF"/>
        </w:rPr>
        <w:t>и</w:t>
      </w:r>
      <w:r w:rsidRPr="00223ACF">
        <w:rPr>
          <w:sz w:val="24"/>
          <w:szCs w:val="24"/>
          <w:shd w:val="clear" w:color="auto" w:fill="FFFFFF"/>
          <w:lang w:val="it-IT"/>
        </w:rPr>
        <w:t xml:space="preserve"> H. T. Ngo (</w:t>
      </w:r>
      <w:r w:rsidRPr="0070201F">
        <w:rPr>
          <w:sz w:val="24"/>
          <w:szCs w:val="24"/>
          <w:shd w:val="clear" w:color="auto" w:fill="FFFFFF"/>
        </w:rPr>
        <w:t>изд</w:t>
      </w:r>
      <w:r w:rsidRPr="00223ACF">
        <w:rPr>
          <w:sz w:val="24"/>
          <w:szCs w:val="24"/>
          <w:shd w:val="clear" w:color="auto" w:fill="FFFFFF"/>
          <w:lang w:val="it-IT"/>
        </w:rPr>
        <w:t xml:space="preserve">.). </w:t>
      </w:r>
      <w:r w:rsidRPr="0070201F">
        <w:rPr>
          <w:sz w:val="24"/>
          <w:szCs w:val="24"/>
          <w:shd w:val="clear" w:color="auto" w:fill="FFFFFF"/>
        </w:rPr>
        <w:t>Секретариат</w:t>
      </w:r>
      <w:r w:rsidRPr="00223ACF">
        <w:rPr>
          <w:sz w:val="24"/>
          <w:szCs w:val="24"/>
          <w:shd w:val="clear" w:color="auto" w:fill="FFFFFF"/>
          <w:lang w:val="it-IT"/>
        </w:rPr>
        <w:t xml:space="preserve"> </w:t>
      </w:r>
      <w:r w:rsidRPr="0070201F">
        <w:rPr>
          <w:sz w:val="24"/>
          <w:szCs w:val="24"/>
          <w:shd w:val="clear" w:color="auto" w:fill="FFFFFF"/>
        </w:rPr>
        <w:t>на</w:t>
      </w:r>
      <w:r w:rsidRPr="00223ACF">
        <w:rPr>
          <w:sz w:val="24"/>
          <w:szCs w:val="24"/>
          <w:shd w:val="clear" w:color="auto" w:fill="FFFFFF"/>
          <w:lang w:val="it-IT"/>
        </w:rPr>
        <w:t xml:space="preserve"> IPBES, </w:t>
      </w:r>
      <w:r w:rsidRPr="0070201F">
        <w:rPr>
          <w:sz w:val="24"/>
          <w:szCs w:val="24"/>
          <w:shd w:val="clear" w:color="auto" w:fill="FFFFFF"/>
        </w:rPr>
        <w:t>Бон</w:t>
      </w:r>
      <w:r w:rsidRPr="00223ACF">
        <w:rPr>
          <w:sz w:val="24"/>
          <w:szCs w:val="24"/>
          <w:shd w:val="clear" w:color="auto" w:fill="FFFFFF"/>
          <w:lang w:val="it-IT"/>
        </w:rPr>
        <w:t xml:space="preserve">, </w:t>
      </w:r>
      <w:r w:rsidRPr="0070201F">
        <w:rPr>
          <w:sz w:val="24"/>
          <w:szCs w:val="24"/>
          <w:shd w:val="clear" w:color="auto" w:fill="FFFFFF"/>
        </w:rPr>
        <w:t>Германия</w:t>
      </w:r>
      <w:r w:rsidRPr="00223ACF">
        <w:rPr>
          <w:sz w:val="24"/>
          <w:szCs w:val="24"/>
          <w:shd w:val="clear" w:color="auto" w:fill="FFFFFF"/>
          <w:lang w:val="it-IT"/>
        </w:rPr>
        <w:t xml:space="preserve">. 1148 </w:t>
      </w:r>
      <w:r w:rsidRPr="0070201F">
        <w:rPr>
          <w:sz w:val="24"/>
          <w:szCs w:val="24"/>
          <w:shd w:val="clear" w:color="auto" w:fill="FFFFFF"/>
        </w:rPr>
        <w:t>стр</w:t>
      </w:r>
      <w:r w:rsidRPr="00223ACF">
        <w:rPr>
          <w:sz w:val="24"/>
          <w:szCs w:val="24"/>
          <w:shd w:val="clear" w:color="auto" w:fill="FFFFFF"/>
          <w:lang w:val="it-IT"/>
        </w:rPr>
        <w:t>. </w:t>
      </w:r>
      <w:hyperlink r:id="rId8" w:tgtFrame="_blank">
        <w:r w:rsidRPr="00223ACF">
          <w:rPr>
            <w:rStyle w:val="Internetlnk"/>
            <w:rFonts w:eastAsiaTheme="minorHAnsi"/>
            <w:color w:val="000000"/>
            <w:sz w:val="24"/>
            <w:szCs w:val="24"/>
            <w:shd w:val="clear" w:color="auto" w:fill="FFFFFF"/>
            <w:lang w:val="it-IT"/>
          </w:rPr>
          <w:t>https://doi.org/10.5281/zenodo.3831673</w:t>
        </w:r>
      </w:hyperlink>
      <w:r w:rsidRPr="00223ACF">
        <w:rPr>
          <w:sz w:val="24"/>
          <w:szCs w:val="24"/>
          <w:lang w:val="it-IT"/>
        </w:rPr>
        <w:t>.</w:t>
      </w:r>
    </w:p>
  </w:footnote>
  <w:footnote w:id="22">
    <w:p w:rsidR="00A937DD" w:rsidRPr="0070201F" w:rsidRDefault="00A937DD" w:rsidP="00A937DD">
      <w:pPr>
        <w:pStyle w:val="NormalWeb"/>
        <w:shd w:val="clear" w:color="auto" w:fill="FFFFFF"/>
        <w:suppressAutoHyphens w:val="0"/>
        <w:spacing w:before="0" w:after="0"/>
        <w:ind w:left="567" w:hanging="567"/>
        <w:jc w:val="left"/>
        <w:rPr>
          <w:rFonts w:eastAsia="Times New Roman"/>
          <w:color w:val="444444"/>
        </w:rPr>
      </w:pPr>
      <w:r w:rsidRPr="0070201F">
        <w:rPr>
          <w:rStyle w:val="FootnoteCharacters"/>
        </w:rPr>
        <w:footnoteRef/>
      </w:r>
      <w:r w:rsidRPr="0070201F">
        <w:t xml:space="preserve"> </w:t>
      </w:r>
      <w:r w:rsidRPr="0070201F">
        <w:tab/>
        <w:t>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 (ОВ L 243, 9.7.2021 г., стр. 1).</w:t>
      </w:r>
    </w:p>
  </w:footnote>
  <w:footnote w:id="23">
    <w:p w:rsidR="00A937DD" w:rsidRPr="0070201F" w:rsidRDefault="00A937DD" w:rsidP="00A937DD">
      <w:pPr>
        <w:pStyle w:val="NormalWeb"/>
        <w:shd w:val="clear" w:color="auto" w:fill="FFFFFF"/>
        <w:suppressAutoHyphens w:val="0"/>
        <w:spacing w:before="0" w:after="0"/>
        <w:ind w:left="567" w:hanging="567"/>
        <w:jc w:val="left"/>
      </w:pPr>
      <w:r w:rsidRPr="0070201F">
        <w:rPr>
          <w:rStyle w:val="FootnoteCharacters"/>
        </w:rPr>
        <w:footnoteRef/>
      </w:r>
      <w:r w:rsidRPr="0070201F">
        <w:t xml:space="preserve"> </w:t>
      </w:r>
      <w:r w:rsidRPr="0070201F">
        <w:tab/>
        <w:t>Природосъобразните решения са решения, които са вдъхновени от природата и се опират на нея и които са разходноефективни, осигуряват едновременно екологични, социални и икономически ползи и спомагат за изграждането на издръжливост. Такива решения внасят повече и по-разнообразна природа и природни елементи и процеси в градовете, ландшафтите на сушата и в морето, посредством адаптирани на местно равнище, ресурсноефективни и системни намеси. Следователно природосъобразните решения трябва да бъдат от полза за биологичното разнообразие и да подкрепят предоставянето на различни екосистемни услуги.</w:t>
      </w:r>
    </w:p>
  </w:footnote>
  <w:footnote w:id="24">
    <w:p w:rsidR="00A937DD" w:rsidRPr="0070201F" w:rsidRDefault="00A937DD" w:rsidP="00A937DD">
      <w:pPr>
        <w:pStyle w:val="NormalWeb"/>
        <w:shd w:val="clear" w:color="auto" w:fill="FFFFFF"/>
        <w:suppressAutoHyphens w:val="0"/>
        <w:spacing w:before="0" w:after="0"/>
        <w:ind w:left="567" w:hanging="567"/>
        <w:jc w:val="left"/>
        <w:rPr>
          <w:rFonts w:eastAsia="Times New Roman"/>
        </w:rPr>
      </w:pPr>
      <w:r w:rsidRPr="0070201F">
        <w:rPr>
          <w:rStyle w:val="FootnoteCharacters"/>
        </w:rPr>
        <w:footnoteRef/>
      </w:r>
      <w:r w:rsidRPr="0070201F">
        <w:t xml:space="preserve"> </w:t>
      </w:r>
      <w:r w:rsidRPr="0070201F">
        <w:tab/>
        <w:t>Съобщение на Европейската комисия до Европейския парламент, Съвета, Европейския икономически и социален комитет и Комитета на регионите. Изграждане на устойчива на климатичните изменения Европа — новата стратегия на ЕС за адаптиране към изменението на климата (COM/2021/82 final).</w:t>
      </w:r>
    </w:p>
  </w:footnote>
  <w:footnote w:id="25">
    <w:p w:rsidR="00A937DD" w:rsidRPr="0070201F" w:rsidRDefault="00A937DD" w:rsidP="00A937DD">
      <w:pPr>
        <w:pStyle w:val="NormalWeb"/>
        <w:shd w:val="clear" w:color="auto" w:fill="FFFFFF"/>
        <w:suppressAutoHyphens w:val="0"/>
        <w:spacing w:before="0" w:after="0"/>
        <w:ind w:left="567" w:hanging="567"/>
        <w:jc w:val="left"/>
      </w:pPr>
      <w:r w:rsidRPr="0070201F">
        <w:rPr>
          <w:rStyle w:val="FootnoteCharacters"/>
        </w:rPr>
        <w:footnoteRef/>
      </w:r>
      <w:r w:rsidRPr="0070201F">
        <w:t xml:space="preserve"> </w:t>
      </w:r>
      <w:r w:rsidRPr="0070201F">
        <w:tab/>
        <w:t>Предложение за Регламент на Европейския парламент и на Съвета за изменение на Регламент (ЕС) 2018/841 по отношение на обхвата, опростяването на правилата за съответствие, определянето на целите на държавите членки за 2030 г. и поемането на ангажимент за колективно постигане на неутралност по отношение на климата до 2035 г. в сектора на земеползването, горското стопанство и селското стопанство, и на Регламент (ЕС) 2018/1999 по отношение на подобряването на мониторинга, докладването, проследяването на напредъка и прегледа (COM/2021/554 final).</w:t>
      </w:r>
    </w:p>
  </w:footnote>
  <w:footnote w:id="26">
    <w:p w:rsidR="00A937DD" w:rsidRPr="0070201F" w:rsidRDefault="00A937DD" w:rsidP="009674D5">
      <w:pPr>
        <w:pStyle w:val="NormalWeb"/>
        <w:shd w:val="clear" w:color="auto" w:fill="FFFFFF"/>
        <w:suppressAutoHyphens w:val="0"/>
        <w:spacing w:before="0" w:after="0"/>
        <w:ind w:left="567" w:hanging="567"/>
        <w:jc w:val="left"/>
      </w:pPr>
      <w:r w:rsidRPr="0070201F">
        <w:rPr>
          <w:rStyle w:val="FootnoteCharacters"/>
        </w:rPr>
        <w:footnoteRef/>
      </w:r>
      <w:r w:rsidRPr="0070201F">
        <w:t xml:space="preserve"> </w:t>
      </w:r>
      <w:r w:rsidRPr="0070201F">
        <w:tab/>
        <w:t xml:space="preserve">Съобщение на Комисията до Европейския парламент, Съвета, Европейския икономически и социален комитет и Комитета на регионите — Гарантиране на продоволствената сигурност и повишаване на гъвкавостта на продоволствените системи, COM(2022) 133 final. </w:t>
      </w:r>
    </w:p>
  </w:footnote>
  <w:footnote w:id="27">
    <w:p w:rsidR="00A937DD" w:rsidRPr="0070201F" w:rsidRDefault="00A937DD" w:rsidP="009674D5">
      <w:pPr>
        <w:pStyle w:val="NormalWeb"/>
        <w:shd w:val="clear" w:color="auto" w:fill="FFFFFF"/>
        <w:suppressAutoHyphens w:val="0"/>
        <w:spacing w:before="0" w:after="0"/>
        <w:ind w:left="567" w:hanging="567"/>
        <w:jc w:val="left"/>
      </w:pPr>
      <w:r w:rsidRPr="0070201F">
        <w:rPr>
          <w:rStyle w:val="FootnoteCharacters"/>
        </w:rPr>
        <w:footnoteRef/>
      </w:r>
      <w:r w:rsidRPr="0070201F">
        <w:t xml:space="preserve"> </w:t>
      </w:r>
      <w:r w:rsidRPr="0070201F">
        <w:tab/>
      </w:r>
      <w:r w:rsidRPr="0070201F">
        <w:rPr>
          <w:i/>
          <w:iCs/>
        </w:rPr>
        <w:t>Конференция за бъдещето на Европа – Доклад за окончателните резултати</w:t>
      </w:r>
      <w:r w:rsidRPr="0070201F">
        <w:t>, май 2022 г., предложение 2 (1, 4, 5), стр. 44 и предложение 6 (6), стр. 48.</w:t>
      </w:r>
    </w:p>
  </w:footnote>
  <w:footnote w:id="28">
    <w:p w:rsidR="00A937DD" w:rsidRPr="0070201F" w:rsidRDefault="00A937DD" w:rsidP="009674D5">
      <w:pPr>
        <w:pStyle w:val="NormalWeb"/>
        <w:shd w:val="clear" w:color="auto" w:fill="FFFFFF"/>
        <w:suppressAutoHyphens w:val="0"/>
        <w:spacing w:before="0" w:after="0"/>
        <w:ind w:left="567" w:hanging="567"/>
        <w:jc w:val="left"/>
      </w:pPr>
      <w:r w:rsidRPr="0070201F">
        <w:rPr>
          <w:rStyle w:val="FootnoteCharacters"/>
        </w:rPr>
        <w:footnoteRef/>
      </w:r>
      <w:r w:rsidRPr="0070201F">
        <w:t xml:space="preserve"> </w:t>
      </w:r>
      <w:r w:rsidRPr="0070201F">
        <w:tab/>
        <w:t>Съобщение на Европейската комисия до Европейския парламент, Съвета, Европейския икономически и социален комитет и Комитета на регионите. Стратегия на ЕС за почвите за 2030 г. — Извличане на ползите от здравите почви за хората, храните, природата и климата (COM/2021/699 final).</w:t>
      </w:r>
    </w:p>
  </w:footnote>
  <w:footnote w:id="29">
    <w:p w:rsidR="00A937DD" w:rsidRPr="0070201F" w:rsidRDefault="00A937DD">
      <w:pPr>
        <w:pStyle w:val="NormalWeb"/>
        <w:shd w:val="clear" w:color="auto" w:fill="FFFFFF"/>
        <w:suppressAutoHyphens w:val="0"/>
        <w:spacing w:before="0" w:after="0"/>
        <w:ind w:left="567" w:hanging="567"/>
        <w:jc w:val="left"/>
      </w:pPr>
      <w:r w:rsidRPr="0070201F">
        <w:rPr>
          <w:rStyle w:val="FootnoteCharacters"/>
        </w:rPr>
        <w:footnoteRef/>
      </w:r>
      <w:r w:rsidRPr="0070201F">
        <w:t xml:space="preserve"> </w:t>
      </w:r>
      <w:r w:rsidRPr="0070201F">
        <w:tab/>
        <w:t>Директива 92/43/ЕИО на Съвета от 21 май 1992 г. за опазване на естествените местообитания и на дивата флора и фауна (ОВ L 206, 22.7.1992 г., стр. 7).</w:t>
      </w:r>
    </w:p>
  </w:footnote>
  <w:footnote w:id="30">
    <w:p w:rsidR="00A937DD" w:rsidRPr="0070201F" w:rsidRDefault="00A937DD">
      <w:pPr>
        <w:pStyle w:val="NormalWeb"/>
        <w:shd w:val="clear" w:color="auto" w:fill="FFFFFF"/>
        <w:suppressAutoHyphens w:val="0"/>
        <w:spacing w:before="0" w:after="0"/>
        <w:ind w:left="567" w:hanging="567"/>
        <w:jc w:val="left"/>
      </w:pPr>
      <w:r w:rsidRPr="0070201F">
        <w:rPr>
          <w:rStyle w:val="FootnoteCharacters"/>
        </w:rPr>
        <w:footnoteRef/>
      </w:r>
      <w:r w:rsidRPr="0070201F">
        <w:t xml:space="preserve"> </w:t>
      </w:r>
      <w:r w:rsidRPr="0070201F">
        <w:tab/>
        <w:t>Директива 2009/147/ЕО на Европейския парламент и на Съвета от 30 ноември 2009 г. относно опазването на дивите птици( ОВ L 20, 26.1.2010 г, стр. 7).</w:t>
      </w:r>
    </w:p>
  </w:footnote>
  <w:footnote w:id="31">
    <w:p w:rsidR="00A937DD" w:rsidRPr="0070201F" w:rsidRDefault="00A937DD">
      <w:pPr>
        <w:pStyle w:val="NormalWeb"/>
        <w:shd w:val="clear" w:color="auto" w:fill="FFFFFF"/>
        <w:suppressAutoHyphens w:val="0"/>
        <w:spacing w:before="0" w:after="0"/>
        <w:ind w:left="567" w:hanging="567"/>
        <w:jc w:val="left"/>
      </w:pPr>
      <w:r w:rsidRPr="0070201F">
        <w:rPr>
          <w:rStyle w:val="FootnoteCharacters"/>
        </w:rPr>
        <w:footnoteRef/>
      </w:r>
      <w:r w:rsidRPr="0070201F">
        <w:t xml:space="preserve"> </w:t>
      </w:r>
      <w:r w:rsidRPr="0070201F">
        <w:tab/>
        <w:t>Генерална дирекция „Околна среда“ (ГД „Околна среда“), 2017 г., „Reporting under Article 17 of the Habitats Directive: Explanatory notes and guidelines for the period 2013-2018“ (Докладване в съответствие с член 17 от Директивата за местообитанията: Обяснителни бележки и насоки за периода 2013—2018 г.) и ГД „Околна среда“, 2013 г., „Interpretation manual of European Union habitats Eur 28„ (Тълковен наръчник на местообитанията в Европейския съюз — EUR 28).</w:t>
      </w:r>
    </w:p>
  </w:footnote>
  <w:footnote w:id="32">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 (ЕС) №</w:t>
      </w:r>
      <w:r w:rsidRPr="0070201F">
        <w:rPr>
          <w:sz w:val="24"/>
          <w:szCs w:val="24"/>
        </w:rPr>
        <w:t> </w:t>
      </w:r>
      <w:r w:rsidRPr="00223ACF">
        <w:rPr>
          <w:sz w:val="24"/>
          <w:szCs w:val="24"/>
          <w:lang w:val="bg-BG"/>
        </w:rPr>
        <w:t>1380/2013 на Европейския парламент и на Съвета от 11</w:t>
      </w:r>
      <w:r w:rsidRPr="0070201F">
        <w:rPr>
          <w:sz w:val="24"/>
          <w:szCs w:val="24"/>
        </w:rPr>
        <w:t> </w:t>
      </w:r>
      <w:r w:rsidRPr="00223ACF">
        <w:rPr>
          <w:sz w:val="24"/>
          <w:szCs w:val="24"/>
          <w:lang w:val="bg-BG"/>
        </w:rPr>
        <w:t>декември 2013</w:t>
      </w:r>
      <w:r w:rsidRPr="0070201F">
        <w:rPr>
          <w:sz w:val="24"/>
          <w:szCs w:val="24"/>
        </w:rPr>
        <w:t> </w:t>
      </w:r>
      <w:r w:rsidRPr="00223ACF">
        <w:rPr>
          <w:sz w:val="24"/>
          <w:szCs w:val="24"/>
          <w:lang w:val="bg-BG"/>
        </w:rPr>
        <w:t>г. относно общата политика в областта на рибарството, за изменение на регламенти (ЕО) №</w:t>
      </w:r>
      <w:r w:rsidRPr="0070201F">
        <w:rPr>
          <w:sz w:val="24"/>
          <w:szCs w:val="24"/>
        </w:rPr>
        <w:t> </w:t>
      </w:r>
      <w:r w:rsidRPr="00223ACF">
        <w:rPr>
          <w:sz w:val="24"/>
          <w:szCs w:val="24"/>
          <w:lang w:val="bg-BG"/>
        </w:rPr>
        <w:t>1954/2003 и (ЕО) №</w:t>
      </w:r>
      <w:r w:rsidRPr="0070201F">
        <w:rPr>
          <w:sz w:val="24"/>
          <w:szCs w:val="24"/>
        </w:rPr>
        <w:t> </w:t>
      </w:r>
      <w:r w:rsidRPr="00223ACF">
        <w:rPr>
          <w:sz w:val="24"/>
          <w:szCs w:val="24"/>
          <w:lang w:val="bg-BG"/>
        </w:rPr>
        <w:t>1224/2009 на Съвета и за отмяна на регламенти (ЕО) № 2371/2002 и (ЕО) №</w:t>
      </w:r>
      <w:r w:rsidRPr="0070201F">
        <w:rPr>
          <w:sz w:val="24"/>
          <w:szCs w:val="24"/>
        </w:rPr>
        <w:t> </w:t>
      </w:r>
      <w:r w:rsidRPr="00223ACF">
        <w:rPr>
          <w:sz w:val="24"/>
          <w:szCs w:val="24"/>
          <w:lang w:val="bg-BG"/>
        </w:rPr>
        <w:t>639/2004 на Съвета и Решение</w:t>
      </w:r>
      <w:r w:rsidRPr="0070201F">
        <w:rPr>
          <w:sz w:val="24"/>
          <w:szCs w:val="24"/>
        </w:rPr>
        <w:t> </w:t>
      </w:r>
      <w:r w:rsidRPr="00223ACF">
        <w:rPr>
          <w:sz w:val="24"/>
          <w:szCs w:val="24"/>
          <w:lang w:val="bg-BG"/>
        </w:rPr>
        <w:t xml:space="preserve">2004/585/ЕО на Съвета (ОВ </w:t>
      </w:r>
      <w:r w:rsidRPr="0070201F">
        <w:rPr>
          <w:sz w:val="24"/>
          <w:szCs w:val="24"/>
        </w:rPr>
        <w:t>L </w:t>
      </w:r>
      <w:r w:rsidRPr="00223ACF">
        <w:rPr>
          <w:sz w:val="24"/>
          <w:szCs w:val="24"/>
          <w:lang w:val="bg-BG"/>
        </w:rPr>
        <w:t>354, 28.12.2013</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22).</w:t>
      </w:r>
    </w:p>
  </w:footnote>
  <w:footnote w:id="33">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Конвенция за защита на морската среда на Североизточния Атлантически океан от 1992</w:t>
      </w:r>
      <w:r w:rsidRPr="0070201F">
        <w:rPr>
          <w:sz w:val="24"/>
          <w:szCs w:val="24"/>
        </w:rPr>
        <w:t> </w:t>
      </w:r>
      <w:r w:rsidRPr="00223ACF">
        <w:rPr>
          <w:sz w:val="24"/>
          <w:szCs w:val="24"/>
          <w:lang w:val="bg-BG"/>
        </w:rPr>
        <w:t xml:space="preserve">г. — Конвенцията </w:t>
      </w:r>
      <w:r w:rsidRPr="0070201F">
        <w:rPr>
          <w:sz w:val="24"/>
          <w:szCs w:val="24"/>
        </w:rPr>
        <w:t>OSPAR</w:t>
      </w:r>
      <w:r w:rsidRPr="00223ACF">
        <w:rPr>
          <w:sz w:val="24"/>
          <w:szCs w:val="24"/>
          <w:lang w:val="bg-BG"/>
        </w:rPr>
        <w:t xml:space="preserve"> (</w:t>
      </w:r>
      <w:r w:rsidRPr="0070201F">
        <w:rPr>
          <w:sz w:val="24"/>
          <w:szCs w:val="24"/>
        </w:rPr>
        <w:t>OSPAR</w:t>
      </w:r>
      <w:r w:rsidRPr="00223ACF">
        <w:rPr>
          <w:sz w:val="24"/>
          <w:szCs w:val="24"/>
          <w:lang w:val="bg-BG"/>
        </w:rPr>
        <w:t>), Конвенция за защитата на морската среда в района на Балтийско море от 1992 г.— Хелзинкската конвенция (</w:t>
      </w:r>
      <w:r w:rsidRPr="0070201F">
        <w:rPr>
          <w:sz w:val="24"/>
          <w:szCs w:val="24"/>
        </w:rPr>
        <w:t>HELCOM</w:t>
      </w:r>
      <w:r w:rsidRPr="00223ACF">
        <w:rPr>
          <w:sz w:val="24"/>
          <w:szCs w:val="24"/>
          <w:lang w:val="bg-BG"/>
        </w:rPr>
        <w:t>), Конвенция за защита на морската среда и на крайбрежните райони в Средиземноморието от 1995</w:t>
      </w:r>
      <w:r w:rsidRPr="0070201F">
        <w:rPr>
          <w:sz w:val="24"/>
          <w:szCs w:val="24"/>
        </w:rPr>
        <w:t> </w:t>
      </w:r>
      <w:r w:rsidRPr="00223ACF">
        <w:rPr>
          <w:sz w:val="24"/>
          <w:szCs w:val="24"/>
          <w:lang w:val="bg-BG"/>
        </w:rPr>
        <w:t>г. — Конвенцията от Барселона (</w:t>
      </w:r>
      <w:r w:rsidRPr="0070201F">
        <w:rPr>
          <w:sz w:val="24"/>
          <w:szCs w:val="24"/>
        </w:rPr>
        <w:t>UNEP</w:t>
      </w:r>
      <w:r w:rsidRPr="00223ACF">
        <w:rPr>
          <w:sz w:val="24"/>
          <w:szCs w:val="24"/>
          <w:lang w:val="bg-BG"/>
        </w:rPr>
        <w:t>-</w:t>
      </w:r>
      <w:r w:rsidRPr="0070201F">
        <w:rPr>
          <w:sz w:val="24"/>
          <w:szCs w:val="24"/>
        </w:rPr>
        <w:t>MAP</w:t>
      </w:r>
      <w:r w:rsidRPr="00223ACF">
        <w:rPr>
          <w:sz w:val="24"/>
          <w:szCs w:val="24"/>
          <w:lang w:val="bg-BG"/>
        </w:rPr>
        <w:t>) и Конвенция за опазване на Черно море от 1992</w:t>
      </w:r>
      <w:r w:rsidRPr="0070201F">
        <w:rPr>
          <w:sz w:val="24"/>
          <w:szCs w:val="24"/>
        </w:rPr>
        <w:t> </w:t>
      </w:r>
      <w:r w:rsidRPr="00223ACF">
        <w:rPr>
          <w:sz w:val="24"/>
          <w:szCs w:val="24"/>
          <w:lang w:val="bg-BG"/>
        </w:rPr>
        <w:t>г. — Букурещката конвенция.</w:t>
      </w:r>
    </w:p>
  </w:footnote>
  <w:footnote w:id="34">
    <w:p w:rsidR="00A937DD" w:rsidRPr="00223ACF" w:rsidRDefault="00A937DD">
      <w:pPr>
        <w:pStyle w:val="FootnoteText"/>
        <w:ind w:left="567" w:hanging="567"/>
        <w:rPr>
          <w:color w:val="000000"/>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r>
      <w:r w:rsidRPr="0070201F">
        <w:rPr>
          <w:sz w:val="24"/>
          <w:szCs w:val="24"/>
        </w:rPr>
        <w:t>Vysna</w:t>
      </w:r>
      <w:r w:rsidRPr="00223ACF">
        <w:rPr>
          <w:sz w:val="24"/>
          <w:szCs w:val="24"/>
          <w:lang w:val="bg-BG"/>
        </w:rPr>
        <w:t xml:space="preserve">, </w:t>
      </w:r>
      <w:r w:rsidRPr="0070201F">
        <w:rPr>
          <w:sz w:val="24"/>
          <w:szCs w:val="24"/>
        </w:rPr>
        <w:t>V</w:t>
      </w:r>
      <w:r w:rsidRPr="00223ACF">
        <w:rPr>
          <w:sz w:val="24"/>
          <w:szCs w:val="24"/>
          <w:lang w:val="bg-BG"/>
        </w:rPr>
        <w:t xml:space="preserve">., </w:t>
      </w:r>
      <w:r w:rsidRPr="0070201F">
        <w:rPr>
          <w:sz w:val="24"/>
          <w:szCs w:val="24"/>
        </w:rPr>
        <w:t>Maes</w:t>
      </w:r>
      <w:r w:rsidRPr="00223ACF">
        <w:rPr>
          <w:sz w:val="24"/>
          <w:szCs w:val="24"/>
          <w:lang w:val="bg-BG"/>
        </w:rPr>
        <w:t xml:space="preserve">, </w:t>
      </w:r>
      <w:r w:rsidRPr="0070201F">
        <w:rPr>
          <w:sz w:val="24"/>
          <w:szCs w:val="24"/>
        </w:rPr>
        <w:t>J</w:t>
      </w:r>
      <w:r w:rsidRPr="00223ACF">
        <w:rPr>
          <w:sz w:val="24"/>
          <w:szCs w:val="24"/>
          <w:lang w:val="bg-BG"/>
        </w:rPr>
        <w:t xml:space="preserve">., </w:t>
      </w:r>
      <w:r w:rsidRPr="0070201F">
        <w:rPr>
          <w:sz w:val="24"/>
          <w:szCs w:val="24"/>
        </w:rPr>
        <w:t>Petersen</w:t>
      </w:r>
      <w:r w:rsidRPr="00223ACF">
        <w:rPr>
          <w:sz w:val="24"/>
          <w:szCs w:val="24"/>
          <w:lang w:val="bg-BG"/>
        </w:rPr>
        <w:t xml:space="preserve">, </w:t>
      </w:r>
      <w:r w:rsidRPr="0070201F">
        <w:rPr>
          <w:sz w:val="24"/>
          <w:szCs w:val="24"/>
        </w:rPr>
        <w:t>J</w:t>
      </w:r>
      <w:r w:rsidRPr="00223ACF">
        <w:rPr>
          <w:sz w:val="24"/>
          <w:szCs w:val="24"/>
          <w:lang w:val="bg-BG"/>
        </w:rPr>
        <w:t>.</w:t>
      </w:r>
      <w:r w:rsidRPr="0070201F">
        <w:rPr>
          <w:sz w:val="24"/>
          <w:szCs w:val="24"/>
        </w:rPr>
        <w:t>E</w:t>
      </w:r>
      <w:r w:rsidRPr="00223ACF">
        <w:rPr>
          <w:sz w:val="24"/>
          <w:szCs w:val="24"/>
          <w:lang w:val="bg-BG"/>
        </w:rPr>
        <w:t xml:space="preserve">., </w:t>
      </w:r>
      <w:r w:rsidRPr="0070201F">
        <w:rPr>
          <w:sz w:val="24"/>
          <w:szCs w:val="24"/>
        </w:rPr>
        <w:t>La</w:t>
      </w:r>
      <w:r w:rsidRPr="00223ACF">
        <w:rPr>
          <w:sz w:val="24"/>
          <w:szCs w:val="24"/>
          <w:lang w:val="bg-BG"/>
        </w:rPr>
        <w:t xml:space="preserve"> </w:t>
      </w:r>
      <w:r w:rsidRPr="0070201F">
        <w:rPr>
          <w:sz w:val="24"/>
          <w:szCs w:val="24"/>
        </w:rPr>
        <w:t>Notte</w:t>
      </w:r>
      <w:r w:rsidRPr="00223ACF">
        <w:rPr>
          <w:sz w:val="24"/>
          <w:szCs w:val="24"/>
          <w:lang w:val="bg-BG"/>
        </w:rPr>
        <w:t xml:space="preserve">, </w:t>
      </w:r>
      <w:r w:rsidRPr="0070201F">
        <w:rPr>
          <w:sz w:val="24"/>
          <w:szCs w:val="24"/>
        </w:rPr>
        <w:t>A</w:t>
      </w:r>
      <w:r w:rsidRPr="00223ACF">
        <w:rPr>
          <w:sz w:val="24"/>
          <w:szCs w:val="24"/>
          <w:lang w:val="bg-BG"/>
        </w:rPr>
        <w:t xml:space="preserve">., </w:t>
      </w:r>
      <w:r w:rsidRPr="0070201F">
        <w:rPr>
          <w:sz w:val="24"/>
          <w:szCs w:val="24"/>
        </w:rPr>
        <w:t>Vallecillo</w:t>
      </w:r>
      <w:r w:rsidRPr="00223ACF">
        <w:rPr>
          <w:sz w:val="24"/>
          <w:szCs w:val="24"/>
          <w:lang w:val="bg-BG"/>
        </w:rPr>
        <w:t xml:space="preserve">, </w:t>
      </w:r>
      <w:r w:rsidRPr="0070201F">
        <w:rPr>
          <w:sz w:val="24"/>
          <w:szCs w:val="24"/>
        </w:rPr>
        <w:t>S</w:t>
      </w:r>
      <w:r w:rsidRPr="00223ACF">
        <w:rPr>
          <w:sz w:val="24"/>
          <w:szCs w:val="24"/>
          <w:lang w:val="bg-BG"/>
        </w:rPr>
        <w:t xml:space="preserve">., </w:t>
      </w:r>
      <w:r w:rsidRPr="0070201F">
        <w:rPr>
          <w:sz w:val="24"/>
          <w:szCs w:val="24"/>
        </w:rPr>
        <w:t>Aizpurua</w:t>
      </w:r>
      <w:r w:rsidRPr="00223ACF">
        <w:rPr>
          <w:sz w:val="24"/>
          <w:szCs w:val="24"/>
          <w:lang w:val="bg-BG"/>
        </w:rPr>
        <w:t xml:space="preserve">, </w:t>
      </w:r>
      <w:r w:rsidRPr="0070201F">
        <w:rPr>
          <w:sz w:val="24"/>
          <w:szCs w:val="24"/>
        </w:rPr>
        <w:t>N</w:t>
      </w:r>
      <w:r w:rsidRPr="00223ACF">
        <w:rPr>
          <w:sz w:val="24"/>
          <w:szCs w:val="24"/>
          <w:lang w:val="bg-BG"/>
        </w:rPr>
        <w:t xml:space="preserve">., </w:t>
      </w:r>
      <w:r w:rsidRPr="0070201F">
        <w:rPr>
          <w:sz w:val="24"/>
          <w:szCs w:val="24"/>
        </w:rPr>
        <w:t>Ivits</w:t>
      </w:r>
      <w:r w:rsidRPr="00223ACF">
        <w:rPr>
          <w:sz w:val="24"/>
          <w:szCs w:val="24"/>
          <w:lang w:val="bg-BG"/>
        </w:rPr>
        <w:t xml:space="preserve">, </w:t>
      </w:r>
      <w:r w:rsidRPr="0070201F">
        <w:rPr>
          <w:sz w:val="24"/>
          <w:szCs w:val="24"/>
        </w:rPr>
        <w:t>E</w:t>
      </w:r>
      <w:r w:rsidRPr="00223ACF">
        <w:rPr>
          <w:sz w:val="24"/>
          <w:szCs w:val="24"/>
          <w:lang w:val="bg-BG"/>
        </w:rPr>
        <w:t xml:space="preserve">., </w:t>
      </w:r>
      <w:r w:rsidRPr="0070201F">
        <w:rPr>
          <w:sz w:val="24"/>
          <w:szCs w:val="24"/>
        </w:rPr>
        <w:t>Teller</w:t>
      </w:r>
      <w:r w:rsidRPr="00223ACF">
        <w:rPr>
          <w:sz w:val="24"/>
          <w:szCs w:val="24"/>
          <w:lang w:val="bg-BG"/>
        </w:rPr>
        <w:t xml:space="preserve">, </w:t>
      </w:r>
      <w:r w:rsidRPr="0070201F">
        <w:rPr>
          <w:sz w:val="24"/>
          <w:szCs w:val="24"/>
        </w:rPr>
        <w:t>A</w:t>
      </w:r>
      <w:r w:rsidRPr="00223ACF">
        <w:rPr>
          <w:sz w:val="24"/>
          <w:szCs w:val="24"/>
          <w:lang w:val="bg-BG"/>
        </w:rPr>
        <w:t xml:space="preserve">., </w:t>
      </w:r>
      <w:r w:rsidRPr="0070201F">
        <w:rPr>
          <w:sz w:val="24"/>
          <w:szCs w:val="24"/>
        </w:rPr>
        <w:t>Accounting</w:t>
      </w:r>
      <w:r w:rsidRPr="00223ACF">
        <w:rPr>
          <w:sz w:val="24"/>
          <w:szCs w:val="24"/>
          <w:lang w:val="bg-BG"/>
        </w:rPr>
        <w:t xml:space="preserve"> </w:t>
      </w:r>
      <w:r w:rsidRPr="0070201F">
        <w:rPr>
          <w:sz w:val="24"/>
          <w:szCs w:val="24"/>
        </w:rPr>
        <w:t>for</w:t>
      </w:r>
      <w:r w:rsidRPr="00223ACF">
        <w:rPr>
          <w:sz w:val="24"/>
          <w:szCs w:val="24"/>
          <w:lang w:val="bg-BG"/>
        </w:rPr>
        <w:t xml:space="preserve"> </w:t>
      </w:r>
      <w:r w:rsidRPr="0070201F">
        <w:rPr>
          <w:sz w:val="24"/>
          <w:szCs w:val="24"/>
        </w:rPr>
        <w:t>ecosystems</w:t>
      </w:r>
      <w:r w:rsidRPr="00223ACF">
        <w:rPr>
          <w:sz w:val="24"/>
          <w:szCs w:val="24"/>
          <w:lang w:val="bg-BG"/>
        </w:rPr>
        <w:t xml:space="preserve"> </w:t>
      </w:r>
      <w:r w:rsidRPr="0070201F">
        <w:rPr>
          <w:sz w:val="24"/>
          <w:szCs w:val="24"/>
        </w:rPr>
        <w:t>and</w:t>
      </w:r>
      <w:r w:rsidRPr="00223ACF">
        <w:rPr>
          <w:sz w:val="24"/>
          <w:szCs w:val="24"/>
          <w:lang w:val="bg-BG"/>
        </w:rPr>
        <w:t xml:space="preserve"> </w:t>
      </w:r>
      <w:r w:rsidRPr="0070201F">
        <w:rPr>
          <w:sz w:val="24"/>
          <w:szCs w:val="24"/>
        </w:rPr>
        <w:t>their</w:t>
      </w:r>
      <w:r w:rsidRPr="00223ACF">
        <w:rPr>
          <w:sz w:val="24"/>
          <w:szCs w:val="24"/>
          <w:lang w:val="bg-BG"/>
        </w:rPr>
        <w:t xml:space="preserve"> </w:t>
      </w:r>
      <w:r w:rsidRPr="0070201F">
        <w:rPr>
          <w:sz w:val="24"/>
          <w:szCs w:val="24"/>
        </w:rPr>
        <w:t>services</w:t>
      </w:r>
      <w:r w:rsidRPr="00223ACF">
        <w:rPr>
          <w:sz w:val="24"/>
          <w:szCs w:val="24"/>
          <w:lang w:val="bg-BG"/>
        </w:rPr>
        <w:t xml:space="preserve"> </w:t>
      </w:r>
      <w:r w:rsidRPr="0070201F">
        <w:rPr>
          <w:sz w:val="24"/>
          <w:szCs w:val="24"/>
        </w:rPr>
        <w:t>in</w:t>
      </w:r>
      <w:r w:rsidRPr="00223ACF">
        <w:rPr>
          <w:sz w:val="24"/>
          <w:szCs w:val="24"/>
          <w:lang w:val="bg-BG"/>
        </w:rPr>
        <w:t xml:space="preserve"> </w:t>
      </w:r>
      <w:r w:rsidRPr="0070201F">
        <w:rPr>
          <w:sz w:val="24"/>
          <w:szCs w:val="24"/>
        </w:rPr>
        <w:t>the</w:t>
      </w:r>
      <w:r w:rsidRPr="00223ACF">
        <w:rPr>
          <w:sz w:val="24"/>
          <w:szCs w:val="24"/>
          <w:lang w:val="bg-BG"/>
        </w:rPr>
        <w:t xml:space="preserve"> </w:t>
      </w:r>
      <w:r w:rsidRPr="0070201F">
        <w:rPr>
          <w:sz w:val="24"/>
          <w:szCs w:val="24"/>
        </w:rPr>
        <w:t>European</w:t>
      </w:r>
      <w:r w:rsidRPr="00223ACF">
        <w:rPr>
          <w:sz w:val="24"/>
          <w:szCs w:val="24"/>
          <w:lang w:val="bg-BG"/>
        </w:rPr>
        <w:t xml:space="preserve"> </w:t>
      </w:r>
      <w:r w:rsidRPr="0070201F">
        <w:rPr>
          <w:sz w:val="24"/>
          <w:szCs w:val="24"/>
        </w:rPr>
        <w:t>Union</w:t>
      </w:r>
      <w:r w:rsidRPr="00223ACF">
        <w:rPr>
          <w:sz w:val="24"/>
          <w:szCs w:val="24"/>
          <w:lang w:val="bg-BG"/>
        </w:rPr>
        <w:t xml:space="preserve"> (</w:t>
      </w:r>
      <w:r w:rsidRPr="0070201F">
        <w:rPr>
          <w:sz w:val="24"/>
          <w:szCs w:val="24"/>
        </w:rPr>
        <w:t>INCA</w:t>
      </w:r>
      <w:r w:rsidRPr="00223ACF">
        <w:rPr>
          <w:sz w:val="24"/>
          <w:szCs w:val="24"/>
          <w:lang w:val="bg-BG"/>
        </w:rPr>
        <w:t xml:space="preserve">) („Отчитане на екосистемите и техните услуги в Европейския съюз“). </w:t>
      </w:r>
      <w:r w:rsidRPr="0070201F">
        <w:rPr>
          <w:sz w:val="24"/>
          <w:szCs w:val="24"/>
        </w:rPr>
        <w:t>Final</w:t>
      </w:r>
      <w:r w:rsidRPr="00223ACF">
        <w:rPr>
          <w:sz w:val="24"/>
          <w:szCs w:val="24"/>
          <w:lang w:val="bg-BG"/>
        </w:rPr>
        <w:t xml:space="preserve"> </w:t>
      </w:r>
      <w:r w:rsidRPr="0070201F">
        <w:rPr>
          <w:sz w:val="24"/>
          <w:szCs w:val="24"/>
        </w:rPr>
        <w:t>report</w:t>
      </w:r>
      <w:r w:rsidRPr="00223ACF">
        <w:rPr>
          <w:sz w:val="24"/>
          <w:szCs w:val="24"/>
          <w:lang w:val="bg-BG"/>
        </w:rPr>
        <w:t xml:space="preserve"> </w:t>
      </w:r>
      <w:r w:rsidRPr="0070201F">
        <w:rPr>
          <w:sz w:val="24"/>
          <w:szCs w:val="24"/>
        </w:rPr>
        <w:t>from</w:t>
      </w:r>
      <w:r w:rsidRPr="00223ACF">
        <w:rPr>
          <w:sz w:val="24"/>
          <w:szCs w:val="24"/>
          <w:lang w:val="bg-BG"/>
        </w:rPr>
        <w:t xml:space="preserve"> </w:t>
      </w:r>
      <w:r w:rsidRPr="0070201F">
        <w:rPr>
          <w:sz w:val="24"/>
          <w:szCs w:val="24"/>
        </w:rPr>
        <w:t>phase</w:t>
      </w:r>
      <w:r w:rsidRPr="00223ACF">
        <w:rPr>
          <w:sz w:val="24"/>
          <w:szCs w:val="24"/>
          <w:lang w:val="bg-BG"/>
        </w:rPr>
        <w:t xml:space="preserve"> </w:t>
      </w:r>
      <w:r w:rsidRPr="0070201F">
        <w:rPr>
          <w:sz w:val="24"/>
          <w:szCs w:val="24"/>
        </w:rPr>
        <w:t>II</w:t>
      </w:r>
      <w:r w:rsidRPr="00223ACF">
        <w:rPr>
          <w:sz w:val="24"/>
          <w:szCs w:val="24"/>
          <w:lang w:val="bg-BG"/>
        </w:rPr>
        <w:t xml:space="preserve"> </w:t>
      </w:r>
      <w:r w:rsidRPr="0070201F">
        <w:rPr>
          <w:sz w:val="24"/>
          <w:szCs w:val="24"/>
        </w:rPr>
        <w:t>of</w:t>
      </w:r>
      <w:r w:rsidRPr="00223ACF">
        <w:rPr>
          <w:sz w:val="24"/>
          <w:szCs w:val="24"/>
          <w:lang w:val="bg-BG"/>
        </w:rPr>
        <w:t xml:space="preserve"> </w:t>
      </w:r>
      <w:r w:rsidRPr="0070201F">
        <w:rPr>
          <w:sz w:val="24"/>
          <w:szCs w:val="24"/>
        </w:rPr>
        <w:t>the</w:t>
      </w:r>
      <w:r w:rsidRPr="00223ACF">
        <w:rPr>
          <w:sz w:val="24"/>
          <w:szCs w:val="24"/>
          <w:lang w:val="bg-BG"/>
        </w:rPr>
        <w:t xml:space="preserve"> </w:t>
      </w:r>
      <w:r w:rsidRPr="0070201F">
        <w:rPr>
          <w:sz w:val="24"/>
          <w:szCs w:val="24"/>
        </w:rPr>
        <w:t>INCA</w:t>
      </w:r>
      <w:r w:rsidRPr="00223ACF">
        <w:rPr>
          <w:sz w:val="24"/>
          <w:szCs w:val="24"/>
          <w:lang w:val="bg-BG"/>
        </w:rPr>
        <w:t xml:space="preserve"> </w:t>
      </w:r>
      <w:r w:rsidRPr="0070201F">
        <w:rPr>
          <w:sz w:val="24"/>
          <w:szCs w:val="24"/>
        </w:rPr>
        <w:t>project</w:t>
      </w:r>
      <w:r w:rsidRPr="00223ACF">
        <w:rPr>
          <w:sz w:val="24"/>
          <w:szCs w:val="24"/>
          <w:lang w:val="bg-BG"/>
        </w:rPr>
        <w:t xml:space="preserve"> </w:t>
      </w:r>
      <w:r w:rsidRPr="0070201F">
        <w:rPr>
          <w:sz w:val="24"/>
          <w:szCs w:val="24"/>
        </w:rPr>
        <w:t>aiming</w:t>
      </w:r>
      <w:r w:rsidRPr="00223ACF">
        <w:rPr>
          <w:sz w:val="24"/>
          <w:szCs w:val="24"/>
          <w:lang w:val="bg-BG"/>
        </w:rPr>
        <w:t xml:space="preserve"> </w:t>
      </w:r>
      <w:r w:rsidRPr="0070201F">
        <w:rPr>
          <w:sz w:val="24"/>
          <w:szCs w:val="24"/>
        </w:rPr>
        <w:t>to</w:t>
      </w:r>
      <w:r w:rsidRPr="00223ACF">
        <w:rPr>
          <w:sz w:val="24"/>
          <w:szCs w:val="24"/>
          <w:lang w:val="bg-BG"/>
        </w:rPr>
        <w:t xml:space="preserve"> </w:t>
      </w:r>
      <w:r w:rsidRPr="0070201F">
        <w:rPr>
          <w:sz w:val="24"/>
          <w:szCs w:val="24"/>
        </w:rPr>
        <w:t>develop</w:t>
      </w:r>
      <w:r w:rsidRPr="00223ACF">
        <w:rPr>
          <w:sz w:val="24"/>
          <w:szCs w:val="24"/>
          <w:lang w:val="bg-BG"/>
        </w:rPr>
        <w:t xml:space="preserve"> </w:t>
      </w:r>
      <w:r w:rsidRPr="0070201F">
        <w:rPr>
          <w:sz w:val="24"/>
          <w:szCs w:val="24"/>
        </w:rPr>
        <w:t>a</w:t>
      </w:r>
      <w:r w:rsidRPr="00223ACF">
        <w:rPr>
          <w:sz w:val="24"/>
          <w:szCs w:val="24"/>
          <w:lang w:val="bg-BG"/>
        </w:rPr>
        <w:t xml:space="preserve"> </w:t>
      </w:r>
      <w:r w:rsidRPr="0070201F">
        <w:rPr>
          <w:sz w:val="24"/>
          <w:szCs w:val="24"/>
        </w:rPr>
        <w:t>pilot</w:t>
      </w:r>
      <w:r w:rsidRPr="00223ACF">
        <w:rPr>
          <w:sz w:val="24"/>
          <w:szCs w:val="24"/>
          <w:lang w:val="bg-BG"/>
        </w:rPr>
        <w:t xml:space="preserve"> </w:t>
      </w:r>
      <w:r w:rsidRPr="0070201F">
        <w:rPr>
          <w:sz w:val="24"/>
          <w:szCs w:val="24"/>
        </w:rPr>
        <w:t>for</w:t>
      </w:r>
      <w:r w:rsidRPr="00223ACF">
        <w:rPr>
          <w:sz w:val="24"/>
          <w:szCs w:val="24"/>
          <w:lang w:val="bg-BG"/>
        </w:rPr>
        <w:t xml:space="preserve"> </w:t>
      </w:r>
      <w:r w:rsidRPr="0070201F">
        <w:rPr>
          <w:sz w:val="24"/>
          <w:szCs w:val="24"/>
        </w:rPr>
        <w:t>an</w:t>
      </w:r>
      <w:r w:rsidRPr="00223ACF">
        <w:rPr>
          <w:sz w:val="24"/>
          <w:szCs w:val="24"/>
          <w:lang w:val="bg-BG"/>
        </w:rPr>
        <w:t xml:space="preserve"> </w:t>
      </w:r>
      <w:r w:rsidRPr="0070201F">
        <w:rPr>
          <w:sz w:val="24"/>
          <w:szCs w:val="24"/>
        </w:rPr>
        <w:t>integrated</w:t>
      </w:r>
      <w:r w:rsidRPr="00223ACF">
        <w:rPr>
          <w:sz w:val="24"/>
          <w:szCs w:val="24"/>
          <w:lang w:val="bg-BG"/>
        </w:rPr>
        <w:t xml:space="preserve"> </w:t>
      </w:r>
      <w:r w:rsidRPr="0070201F">
        <w:rPr>
          <w:sz w:val="24"/>
          <w:szCs w:val="24"/>
        </w:rPr>
        <w:t>system</w:t>
      </w:r>
      <w:r w:rsidRPr="00223ACF">
        <w:rPr>
          <w:sz w:val="24"/>
          <w:szCs w:val="24"/>
          <w:lang w:val="bg-BG"/>
        </w:rPr>
        <w:t xml:space="preserve"> </w:t>
      </w:r>
      <w:r w:rsidRPr="0070201F">
        <w:rPr>
          <w:sz w:val="24"/>
          <w:szCs w:val="24"/>
        </w:rPr>
        <w:t>of</w:t>
      </w:r>
      <w:r w:rsidRPr="00223ACF">
        <w:rPr>
          <w:sz w:val="24"/>
          <w:szCs w:val="24"/>
          <w:lang w:val="bg-BG"/>
        </w:rPr>
        <w:t xml:space="preserve"> </w:t>
      </w:r>
      <w:r w:rsidRPr="0070201F">
        <w:rPr>
          <w:sz w:val="24"/>
          <w:szCs w:val="24"/>
        </w:rPr>
        <w:t>ecosystem</w:t>
      </w:r>
      <w:r w:rsidRPr="00223ACF">
        <w:rPr>
          <w:sz w:val="24"/>
          <w:szCs w:val="24"/>
          <w:lang w:val="bg-BG"/>
        </w:rPr>
        <w:t xml:space="preserve"> </w:t>
      </w:r>
      <w:r w:rsidRPr="0070201F">
        <w:rPr>
          <w:sz w:val="24"/>
          <w:szCs w:val="24"/>
        </w:rPr>
        <w:t>accounts</w:t>
      </w:r>
      <w:r w:rsidRPr="00223ACF">
        <w:rPr>
          <w:sz w:val="24"/>
          <w:szCs w:val="24"/>
          <w:lang w:val="bg-BG"/>
        </w:rPr>
        <w:t xml:space="preserve"> </w:t>
      </w:r>
      <w:r w:rsidRPr="0070201F">
        <w:rPr>
          <w:sz w:val="24"/>
          <w:szCs w:val="24"/>
        </w:rPr>
        <w:t>for</w:t>
      </w:r>
      <w:r w:rsidRPr="00223ACF">
        <w:rPr>
          <w:sz w:val="24"/>
          <w:szCs w:val="24"/>
          <w:lang w:val="bg-BG"/>
        </w:rPr>
        <w:t xml:space="preserve"> </w:t>
      </w:r>
      <w:r w:rsidRPr="0070201F">
        <w:rPr>
          <w:sz w:val="24"/>
          <w:szCs w:val="24"/>
        </w:rPr>
        <w:t>the</w:t>
      </w:r>
      <w:r w:rsidRPr="00223ACF">
        <w:rPr>
          <w:sz w:val="24"/>
          <w:szCs w:val="24"/>
          <w:lang w:val="bg-BG"/>
        </w:rPr>
        <w:t xml:space="preserve"> </w:t>
      </w:r>
      <w:r w:rsidRPr="0070201F">
        <w:rPr>
          <w:sz w:val="24"/>
          <w:szCs w:val="24"/>
        </w:rPr>
        <w:t>EU</w:t>
      </w:r>
      <w:r w:rsidRPr="00223ACF">
        <w:rPr>
          <w:sz w:val="24"/>
          <w:szCs w:val="24"/>
          <w:lang w:val="bg-BG"/>
        </w:rPr>
        <w:t xml:space="preserve"> (Окончателен доклад от етап</w:t>
      </w:r>
      <w:r w:rsidRPr="0070201F">
        <w:rPr>
          <w:sz w:val="24"/>
          <w:szCs w:val="24"/>
        </w:rPr>
        <w:t> II</w:t>
      </w:r>
      <w:r w:rsidRPr="00223ACF">
        <w:rPr>
          <w:sz w:val="24"/>
          <w:szCs w:val="24"/>
          <w:lang w:val="bg-BG"/>
        </w:rPr>
        <w:t xml:space="preserve"> на проекта </w:t>
      </w:r>
      <w:r w:rsidRPr="0070201F">
        <w:rPr>
          <w:sz w:val="24"/>
          <w:szCs w:val="24"/>
        </w:rPr>
        <w:t>INCA</w:t>
      </w:r>
      <w:r w:rsidRPr="00223ACF">
        <w:rPr>
          <w:sz w:val="24"/>
          <w:szCs w:val="24"/>
          <w:lang w:val="bg-BG"/>
        </w:rPr>
        <w:t>, насочен към разработване на пилотен проект за интегрирана система от сметки за екосистемите за ЕС).</w:t>
      </w:r>
      <w:r w:rsidRPr="00223ACF">
        <w:rPr>
          <w:color w:val="000000"/>
          <w:sz w:val="24"/>
          <w:szCs w:val="24"/>
          <w:lang w:val="bg-BG"/>
        </w:rPr>
        <w:t xml:space="preserve"> Статистически доклад. Служба за публикации на Европейския съюз, Люксембург, 2021</w:t>
      </w:r>
      <w:r w:rsidRPr="0070201F">
        <w:rPr>
          <w:color w:val="000000"/>
          <w:sz w:val="24"/>
          <w:szCs w:val="24"/>
        </w:rPr>
        <w:t> </w:t>
      </w:r>
      <w:r w:rsidRPr="00223ACF">
        <w:rPr>
          <w:color w:val="000000"/>
          <w:sz w:val="24"/>
          <w:szCs w:val="24"/>
          <w:lang w:val="bg-BG"/>
        </w:rPr>
        <w:t>г.</w:t>
      </w:r>
    </w:p>
  </w:footnote>
  <w:footnote w:id="35">
    <w:p w:rsidR="00A937DD" w:rsidRPr="00223ACF" w:rsidRDefault="00A937DD">
      <w:pPr>
        <w:pStyle w:val="FootnoteText"/>
        <w:ind w:left="567" w:hanging="567"/>
        <w:rPr>
          <w:color w:val="000000"/>
          <w:sz w:val="24"/>
          <w:szCs w:val="24"/>
          <w:lang w:val="bg-BG"/>
        </w:rPr>
      </w:pPr>
      <w:r w:rsidRPr="0070201F">
        <w:rPr>
          <w:rStyle w:val="FootnoteCharacters"/>
          <w:rFonts w:eastAsiaTheme="minorHAnsi"/>
          <w:sz w:val="24"/>
          <w:szCs w:val="24"/>
        </w:rPr>
        <w:footnoteRef/>
      </w:r>
      <w:r w:rsidRPr="00223ACF">
        <w:rPr>
          <w:color w:val="000000"/>
          <w:sz w:val="24"/>
          <w:szCs w:val="24"/>
          <w:shd w:val="clear" w:color="auto" w:fill="FFFFFF"/>
          <w:lang w:val="bg-BG"/>
        </w:rPr>
        <w:t xml:space="preserve"> </w:t>
      </w:r>
      <w:r w:rsidRPr="00223ACF">
        <w:rPr>
          <w:color w:val="000000"/>
          <w:sz w:val="24"/>
          <w:szCs w:val="24"/>
          <w:shd w:val="clear" w:color="auto" w:fill="FFFFFF"/>
          <w:lang w:val="bg-BG"/>
        </w:rPr>
        <w:tab/>
        <w:t>Съобщение на Комисията до Европейския парламент, Съвета, Европейския икономически и социален комитет Инициатива на ЕС относно опрашителите</w:t>
      </w:r>
      <w:r w:rsidRPr="00223ACF">
        <w:rPr>
          <w:color w:val="000000"/>
          <w:sz w:val="24"/>
          <w:szCs w:val="24"/>
          <w:lang w:val="bg-BG"/>
        </w:rPr>
        <w:t xml:space="preserve"> (</w:t>
      </w:r>
      <w:r w:rsidRPr="0070201F">
        <w:rPr>
          <w:color w:val="000000"/>
          <w:sz w:val="24"/>
          <w:szCs w:val="24"/>
        </w:rPr>
        <w:t>COM</w:t>
      </w:r>
      <w:r w:rsidRPr="00223ACF">
        <w:rPr>
          <w:color w:val="000000"/>
          <w:sz w:val="24"/>
          <w:szCs w:val="24"/>
          <w:lang w:val="bg-BG"/>
        </w:rPr>
        <w:t xml:space="preserve">/2018/ 395 </w:t>
      </w:r>
      <w:r w:rsidRPr="0070201F">
        <w:rPr>
          <w:color w:val="000000"/>
          <w:sz w:val="24"/>
          <w:szCs w:val="24"/>
        </w:rPr>
        <w:t>final</w:t>
      </w:r>
      <w:r w:rsidRPr="00223ACF">
        <w:rPr>
          <w:color w:val="000000"/>
          <w:sz w:val="24"/>
          <w:szCs w:val="24"/>
          <w:lang w:val="bg-BG"/>
        </w:rPr>
        <w:t>).</w:t>
      </w:r>
    </w:p>
  </w:footnote>
  <w:footnote w:id="36">
    <w:p w:rsidR="00A937DD" w:rsidRPr="00223ACF" w:rsidRDefault="00A937DD">
      <w:pPr>
        <w:pStyle w:val="FootnoteText"/>
        <w:ind w:left="567" w:hanging="567"/>
        <w:rPr>
          <w:color w:val="000000"/>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Съобщение на Европейската комисия до Европейския парламент, Съвета, Европейския икономически и социален комитет и Комитета на регионите.</w:t>
      </w:r>
      <w:r w:rsidRPr="00223ACF">
        <w:rPr>
          <w:color w:val="000000"/>
          <w:sz w:val="24"/>
          <w:szCs w:val="24"/>
          <w:lang w:val="bg-BG"/>
        </w:rPr>
        <w:t xml:space="preserve"> Напредък в изпълнението на Инициативата на ЕС относно опрашителите (</w:t>
      </w:r>
      <w:r w:rsidRPr="0070201F">
        <w:rPr>
          <w:color w:val="000000"/>
          <w:sz w:val="24"/>
          <w:szCs w:val="24"/>
        </w:rPr>
        <w:t>COM</w:t>
      </w:r>
      <w:r w:rsidRPr="00223ACF">
        <w:rPr>
          <w:color w:val="000000"/>
          <w:sz w:val="24"/>
          <w:szCs w:val="24"/>
          <w:lang w:val="bg-BG"/>
        </w:rPr>
        <w:t>/2021/261</w:t>
      </w:r>
      <w:r w:rsidRPr="0070201F">
        <w:rPr>
          <w:color w:val="000000"/>
          <w:sz w:val="24"/>
          <w:szCs w:val="24"/>
        </w:rPr>
        <w:t> final</w:t>
      </w:r>
      <w:r w:rsidRPr="00223ACF">
        <w:rPr>
          <w:color w:val="000000"/>
          <w:sz w:val="24"/>
          <w:szCs w:val="24"/>
          <w:lang w:val="bg-BG"/>
        </w:rPr>
        <w:t>).</w:t>
      </w:r>
    </w:p>
  </w:footnote>
  <w:footnote w:id="37">
    <w:p w:rsidR="00A937DD" w:rsidRPr="00223ACF" w:rsidRDefault="00A937DD">
      <w:pPr>
        <w:pStyle w:val="FootnoteText"/>
        <w:ind w:left="567" w:hanging="567"/>
        <w:rPr>
          <w:color w:val="000000"/>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Резолюция на Европейския парламент от 9</w:t>
      </w:r>
      <w:r w:rsidRPr="0070201F">
        <w:rPr>
          <w:sz w:val="24"/>
          <w:szCs w:val="24"/>
        </w:rPr>
        <w:t> </w:t>
      </w:r>
      <w:r w:rsidRPr="00223ACF">
        <w:rPr>
          <w:sz w:val="24"/>
          <w:szCs w:val="24"/>
          <w:lang w:val="bg-BG"/>
        </w:rPr>
        <w:t>юни</w:t>
      </w:r>
      <w:r w:rsidRPr="0070201F">
        <w:rPr>
          <w:sz w:val="24"/>
          <w:szCs w:val="24"/>
        </w:rPr>
        <w:t> </w:t>
      </w:r>
      <w:r w:rsidRPr="00223ACF">
        <w:rPr>
          <w:sz w:val="24"/>
          <w:szCs w:val="24"/>
          <w:lang w:val="bg-BG"/>
        </w:rPr>
        <w:t>2021</w:t>
      </w:r>
      <w:r w:rsidRPr="0070201F">
        <w:rPr>
          <w:sz w:val="24"/>
          <w:szCs w:val="24"/>
        </w:rPr>
        <w:t> </w:t>
      </w:r>
      <w:r w:rsidRPr="00223ACF">
        <w:rPr>
          <w:sz w:val="24"/>
          <w:szCs w:val="24"/>
          <w:lang w:val="bg-BG"/>
        </w:rPr>
        <w:t>г. относно стратегията на ЕС за биологичното разнообразие за 2030</w:t>
      </w:r>
      <w:r w:rsidRPr="0070201F">
        <w:rPr>
          <w:sz w:val="24"/>
          <w:szCs w:val="24"/>
        </w:rPr>
        <w:t> </w:t>
      </w:r>
      <w:r w:rsidRPr="00223ACF">
        <w:rPr>
          <w:sz w:val="24"/>
          <w:szCs w:val="24"/>
          <w:lang w:val="bg-BG"/>
        </w:rPr>
        <w:t>г.:</w:t>
      </w:r>
      <w:r w:rsidRPr="00223ACF">
        <w:rPr>
          <w:color w:val="000000"/>
          <w:sz w:val="24"/>
          <w:szCs w:val="24"/>
          <w:lang w:val="bg-BG"/>
        </w:rPr>
        <w:t xml:space="preserve"> да осигурим полагащото се място на природата в нашия живот (2020/2273 (</w:t>
      </w:r>
      <w:r w:rsidRPr="0070201F">
        <w:rPr>
          <w:color w:val="000000"/>
          <w:sz w:val="24"/>
          <w:szCs w:val="24"/>
        </w:rPr>
        <w:t>INI</w:t>
      </w:r>
      <w:r w:rsidRPr="00223ACF">
        <w:rPr>
          <w:color w:val="000000"/>
          <w:sz w:val="24"/>
          <w:szCs w:val="24"/>
          <w:lang w:val="bg-BG"/>
        </w:rPr>
        <w:t xml:space="preserve">), достъпна на адрес </w:t>
      </w:r>
      <w:r w:rsidRPr="0070201F">
        <w:rPr>
          <w:color w:val="000000"/>
          <w:sz w:val="24"/>
          <w:szCs w:val="24"/>
        </w:rPr>
        <w:t>https</w:t>
      </w:r>
      <w:r w:rsidRPr="00223ACF">
        <w:rPr>
          <w:color w:val="000000"/>
          <w:sz w:val="24"/>
          <w:szCs w:val="24"/>
          <w:lang w:val="bg-BG"/>
        </w:rPr>
        <w:t>://</w:t>
      </w:r>
      <w:r w:rsidRPr="0070201F">
        <w:rPr>
          <w:color w:val="000000"/>
          <w:sz w:val="24"/>
          <w:szCs w:val="24"/>
        </w:rPr>
        <w:t>www</w:t>
      </w:r>
      <w:r w:rsidRPr="00223ACF">
        <w:rPr>
          <w:color w:val="000000"/>
          <w:sz w:val="24"/>
          <w:szCs w:val="24"/>
          <w:lang w:val="bg-BG"/>
        </w:rPr>
        <w:t>.</w:t>
      </w:r>
      <w:r w:rsidRPr="0070201F">
        <w:rPr>
          <w:color w:val="000000"/>
          <w:sz w:val="24"/>
          <w:szCs w:val="24"/>
        </w:rPr>
        <w:t>europarl</w:t>
      </w:r>
      <w:r w:rsidRPr="00223ACF">
        <w:rPr>
          <w:color w:val="000000"/>
          <w:sz w:val="24"/>
          <w:szCs w:val="24"/>
          <w:lang w:val="bg-BG"/>
        </w:rPr>
        <w:t>.</w:t>
      </w:r>
      <w:r w:rsidRPr="0070201F">
        <w:rPr>
          <w:color w:val="000000"/>
          <w:sz w:val="24"/>
          <w:szCs w:val="24"/>
        </w:rPr>
        <w:t>europa</w:t>
      </w:r>
      <w:r w:rsidRPr="00223ACF">
        <w:rPr>
          <w:color w:val="000000"/>
          <w:sz w:val="24"/>
          <w:szCs w:val="24"/>
          <w:lang w:val="bg-BG"/>
        </w:rPr>
        <w:t>.</w:t>
      </w:r>
      <w:r w:rsidRPr="0070201F">
        <w:rPr>
          <w:color w:val="000000"/>
          <w:sz w:val="24"/>
          <w:szCs w:val="24"/>
        </w:rPr>
        <w:t>eu</w:t>
      </w:r>
      <w:r w:rsidRPr="00223ACF">
        <w:rPr>
          <w:color w:val="000000"/>
          <w:sz w:val="24"/>
          <w:szCs w:val="24"/>
          <w:lang w:val="bg-BG"/>
        </w:rPr>
        <w:t>/</w:t>
      </w:r>
      <w:r w:rsidRPr="0070201F">
        <w:rPr>
          <w:color w:val="000000"/>
          <w:sz w:val="24"/>
          <w:szCs w:val="24"/>
        </w:rPr>
        <w:t>doceo</w:t>
      </w:r>
      <w:r w:rsidRPr="00223ACF">
        <w:rPr>
          <w:color w:val="000000"/>
          <w:sz w:val="24"/>
          <w:szCs w:val="24"/>
          <w:lang w:val="bg-BG"/>
        </w:rPr>
        <w:t>/</w:t>
      </w:r>
      <w:r w:rsidRPr="0070201F">
        <w:rPr>
          <w:color w:val="000000"/>
          <w:sz w:val="24"/>
          <w:szCs w:val="24"/>
        </w:rPr>
        <w:t>document</w:t>
      </w:r>
      <w:r w:rsidRPr="00223ACF">
        <w:rPr>
          <w:color w:val="000000"/>
          <w:sz w:val="24"/>
          <w:szCs w:val="24"/>
          <w:lang w:val="bg-BG"/>
        </w:rPr>
        <w:t>/</w:t>
      </w:r>
      <w:r w:rsidRPr="0070201F">
        <w:rPr>
          <w:color w:val="000000"/>
          <w:sz w:val="24"/>
          <w:szCs w:val="24"/>
        </w:rPr>
        <w:t>TA</w:t>
      </w:r>
      <w:r w:rsidRPr="00223ACF">
        <w:rPr>
          <w:color w:val="000000"/>
          <w:sz w:val="24"/>
          <w:szCs w:val="24"/>
          <w:lang w:val="bg-BG"/>
        </w:rPr>
        <w:t>-9-2021-0277_</w:t>
      </w:r>
      <w:r w:rsidRPr="0070201F">
        <w:rPr>
          <w:color w:val="000000"/>
          <w:sz w:val="24"/>
          <w:szCs w:val="24"/>
        </w:rPr>
        <w:t>BG</w:t>
      </w:r>
      <w:r w:rsidRPr="00223ACF">
        <w:rPr>
          <w:color w:val="000000"/>
          <w:sz w:val="24"/>
          <w:szCs w:val="24"/>
          <w:lang w:val="bg-BG"/>
        </w:rPr>
        <w:t>.</w:t>
      </w:r>
      <w:r w:rsidRPr="0070201F">
        <w:rPr>
          <w:color w:val="000000"/>
          <w:sz w:val="24"/>
          <w:szCs w:val="24"/>
        </w:rPr>
        <w:t>pdf</w:t>
      </w:r>
      <w:r w:rsidRPr="00223ACF">
        <w:rPr>
          <w:color w:val="000000"/>
          <w:sz w:val="24"/>
          <w:szCs w:val="24"/>
          <w:lang w:val="bg-BG"/>
        </w:rPr>
        <w:t>.</w:t>
      </w:r>
    </w:p>
  </w:footnote>
  <w:footnote w:id="38">
    <w:p w:rsidR="00A937DD" w:rsidRPr="00223ACF" w:rsidRDefault="00A937DD">
      <w:pPr>
        <w:pStyle w:val="FootnoteText"/>
        <w:ind w:left="567" w:hanging="567"/>
        <w:rPr>
          <w:color w:val="000000"/>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Заключения на Съвета от 17</w:t>
      </w:r>
      <w:r w:rsidRPr="0070201F">
        <w:rPr>
          <w:sz w:val="24"/>
          <w:szCs w:val="24"/>
        </w:rPr>
        <w:t> </w:t>
      </w:r>
      <w:r w:rsidRPr="00223ACF">
        <w:rPr>
          <w:sz w:val="24"/>
          <w:szCs w:val="24"/>
          <w:lang w:val="bg-BG"/>
        </w:rPr>
        <w:t>декември 2020</w:t>
      </w:r>
      <w:r w:rsidRPr="0070201F">
        <w:rPr>
          <w:sz w:val="24"/>
          <w:szCs w:val="24"/>
        </w:rPr>
        <w:t> </w:t>
      </w:r>
      <w:r w:rsidRPr="00223ACF">
        <w:rPr>
          <w:sz w:val="24"/>
          <w:szCs w:val="24"/>
          <w:lang w:val="bg-BG"/>
        </w:rPr>
        <w:t>г. относно Специален доклад №</w:t>
      </w:r>
      <w:r w:rsidRPr="0070201F">
        <w:rPr>
          <w:sz w:val="24"/>
          <w:szCs w:val="24"/>
        </w:rPr>
        <w:t> </w:t>
      </w:r>
      <w:r w:rsidRPr="00223ACF">
        <w:rPr>
          <w:sz w:val="24"/>
          <w:szCs w:val="24"/>
          <w:lang w:val="bg-BG"/>
        </w:rPr>
        <w:t>15/2020 на Европейската сметна палата, озаглавен „Опазване на дивите насекоми опрашители в ЕС — инициативите на Европейската комисия не са постигнали резултати (14168/20).</w:t>
      </w:r>
    </w:p>
  </w:footnote>
  <w:footnote w:id="39">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Специален доклад №</w:t>
      </w:r>
      <w:r w:rsidRPr="0070201F">
        <w:rPr>
          <w:sz w:val="24"/>
          <w:szCs w:val="24"/>
        </w:rPr>
        <w:t> </w:t>
      </w:r>
      <w:r w:rsidRPr="00223ACF">
        <w:rPr>
          <w:sz w:val="24"/>
          <w:szCs w:val="24"/>
          <w:lang w:val="bg-BG"/>
        </w:rPr>
        <w:t xml:space="preserve">15/2020, </w:t>
      </w:r>
      <w:hyperlink r:id="rId9">
        <w:r w:rsidRPr="0070201F">
          <w:rPr>
            <w:rStyle w:val="Internetlnk"/>
            <w:rFonts w:eastAsiaTheme="minorHAnsi"/>
            <w:sz w:val="24"/>
            <w:szCs w:val="24"/>
          </w:rPr>
          <w:t>https</w:t>
        </w:r>
        <w:r w:rsidRPr="00223ACF">
          <w:rPr>
            <w:rStyle w:val="Internetlnk"/>
            <w:rFonts w:eastAsiaTheme="minorHAnsi"/>
            <w:sz w:val="24"/>
            <w:szCs w:val="24"/>
            <w:lang w:val="bg-BG"/>
          </w:rPr>
          <w:t>://</w:t>
        </w:r>
        <w:r w:rsidRPr="0070201F">
          <w:rPr>
            <w:rStyle w:val="Internetlnk"/>
            <w:rFonts w:eastAsiaTheme="minorHAnsi"/>
            <w:sz w:val="24"/>
            <w:szCs w:val="24"/>
          </w:rPr>
          <w:t>www</w:t>
        </w:r>
        <w:r w:rsidRPr="00223ACF">
          <w:rPr>
            <w:rStyle w:val="Internetlnk"/>
            <w:rFonts w:eastAsiaTheme="minorHAnsi"/>
            <w:sz w:val="24"/>
            <w:szCs w:val="24"/>
            <w:lang w:val="bg-BG"/>
          </w:rPr>
          <w:t>.</w:t>
        </w:r>
        <w:r w:rsidRPr="0070201F">
          <w:rPr>
            <w:rStyle w:val="Internetlnk"/>
            <w:rFonts w:eastAsiaTheme="minorHAnsi"/>
            <w:sz w:val="24"/>
            <w:szCs w:val="24"/>
          </w:rPr>
          <w:t>eca</w:t>
        </w:r>
        <w:r w:rsidRPr="00223ACF">
          <w:rPr>
            <w:rStyle w:val="Internetlnk"/>
            <w:rFonts w:eastAsiaTheme="minorHAnsi"/>
            <w:sz w:val="24"/>
            <w:szCs w:val="24"/>
            <w:lang w:val="bg-BG"/>
          </w:rPr>
          <w:t>.</w:t>
        </w:r>
        <w:r w:rsidRPr="0070201F">
          <w:rPr>
            <w:rStyle w:val="Internetlnk"/>
            <w:rFonts w:eastAsiaTheme="minorHAnsi"/>
            <w:sz w:val="24"/>
            <w:szCs w:val="24"/>
          </w:rPr>
          <w:t>europa</w:t>
        </w:r>
        <w:r w:rsidRPr="00223ACF">
          <w:rPr>
            <w:rStyle w:val="Internetlnk"/>
            <w:rFonts w:eastAsiaTheme="minorHAnsi"/>
            <w:sz w:val="24"/>
            <w:szCs w:val="24"/>
            <w:lang w:val="bg-BG"/>
          </w:rPr>
          <w:t>.</w:t>
        </w:r>
        <w:r w:rsidRPr="0070201F">
          <w:rPr>
            <w:rStyle w:val="Internetlnk"/>
            <w:rFonts w:eastAsiaTheme="minorHAnsi"/>
            <w:sz w:val="24"/>
            <w:szCs w:val="24"/>
          </w:rPr>
          <w:t>eu</w:t>
        </w:r>
        <w:r w:rsidRPr="00223ACF">
          <w:rPr>
            <w:rStyle w:val="Internetlnk"/>
            <w:rFonts w:eastAsiaTheme="minorHAnsi"/>
            <w:sz w:val="24"/>
            <w:szCs w:val="24"/>
            <w:lang w:val="bg-BG"/>
          </w:rPr>
          <w:t>/</w:t>
        </w:r>
        <w:r w:rsidRPr="0070201F">
          <w:rPr>
            <w:rStyle w:val="Internetlnk"/>
            <w:rFonts w:eastAsiaTheme="minorHAnsi"/>
            <w:sz w:val="24"/>
            <w:szCs w:val="24"/>
          </w:rPr>
          <w:t>Lists</w:t>
        </w:r>
        <w:r w:rsidRPr="00223ACF">
          <w:rPr>
            <w:rStyle w:val="Internetlnk"/>
            <w:rFonts w:eastAsiaTheme="minorHAnsi"/>
            <w:sz w:val="24"/>
            <w:szCs w:val="24"/>
            <w:lang w:val="bg-BG"/>
          </w:rPr>
          <w:t>/</w:t>
        </w:r>
        <w:r w:rsidRPr="0070201F">
          <w:rPr>
            <w:rStyle w:val="Internetlnk"/>
            <w:rFonts w:eastAsiaTheme="minorHAnsi"/>
            <w:sz w:val="24"/>
            <w:szCs w:val="24"/>
          </w:rPr>
          <w:t>ECADocuments</w:t>
        </w:r>
        <w:r w:rsidRPr="00223ACF">
          <w:rPr>
            <w:rStyle w:val="Internetlnk"/>
            <w:rFonts w:eastAsiaTheme="minorHAnsi"/>
            <w:sz w:val="24"/>
            <w:szCs w:val="24"/>
            <w:lang w:val="bg-BG"/>
          </w:rPr>
          <w:t>/</w:t>
        </w:r>
        <w:r w:rsidRPr="0070201F">
          <w:rPr>
            <w:rStyle w:val="Internetlnk"/>
            <w:rFonts w:eastAsiaTheme="minorHAnsi"/>
            <w:sz w:val="24"/>
            <w:szCs w:val="24"/>
          </w:rPr>
          <w:t>SR</w:t>
        </w:r>
        <w:r w:rsidRPr="00223ACF">
          <w:rPr>
            <w:rStyle w:val="Internetlnk"/>
            <w:rFonts w:eastAsiaTheme="minorHAnsi"/>
            <w:sz w:val="24"/>
            <w:szCs w:val="24"/>
            <w:lang w:val="bg-BG"/>
          </w:rPr>
          <w:t>20_15/</w:t>
        </w:r>
        <w:r w:rsidRPr="0070201F">
          <w:rPr>
            <w:rStyle w:val="Internetlnk"/>
            <w:rFonts w:eastAsiaTheme="minorHAnsi"/>
            <w:sz w:val="24"/>
            <w:szCs w:val="24"/>
          </w:rPr>
          <w:t>SR</w:t>
        </w:r>
        <w:r w:rsidRPr="00223ACF">
          <w:rPr>
            <w:rStyle w:val="Internetlnk"/>
            <w:rFonts w:eastAsiaTheme="minorHAnsi"/>
            <w:sz w:val="24"/>
            <w:szCs w:val="24"/>
            <w:lang w:val="bg-BG"/>
          </w:rPr>
          <w:t>_</w:t>
        </w:r>
        <w:r w:rsidRPr="0070201F">
          <w:rPr>
            <w:rStyle w:val="Internetlnk"/>
            <w:rFonts w:eastAsiaTheme="minorHAnsi"/>
            <w:sz w:val="24"/>
            <w:szCs w:val="24"/>
          </w:rPr>
          <w:t>Pollinators</w:t>
        </w:r>
        <w:r w:rsidRPr="00223ACF">
          <w:rPr>
            <w:rStyle w:val="Internetlnk"/>
            <w:rFonts w:eastAsiaTheme="minorHAnsi"/>
            <w:sz w:val="24"/>
            <w:szCs w:val="24"/>
            <w:lang w:val="bg-BG"/>
          </w:rPr>
          <w:t>_</w:t>
        </w:r>
        <w:r w:rsidRPr="0070201F">
          <w:rPr>
            <w:rStyle w:val="Internetlnk"/>
            <w:rFonts w:eastAsiaTheme="minorHAnsi"/>
            <w:sz w:val="24"/>
            <w:szCs w:val="24"/>
          </w:rPr>
          <w:t>BG</w:t>
        </w:r>
        <w:r w:rsidRPr="00223ACF">
          <w:rPr>
            <w:rStyle w:val="Internetlnk"/>
            <w:rFonts w:eastAsiaTheme="minorHAnsi"/>
            <w:sz w:val="24"/>
            <w:szCs w:val="24"/>
            <w:lang w:val="bg-BG"/>
          </w:rPr>
          <w:t>.</w:t>
        </w:r>
        <w:r w:rsidRPr="0070201F">
          <w:rPr>
            <w:rStyle w:val="Internetlnk"/>
            <w:rFonts w:eastAsiaTheme="minorHAnsi"/>
            <w:sz w:val="24"/>
            <w:szCs w:val="24"/>
          </w:rPr>
          <w:t>pdf</w:t>
        </w:r>
      </w:hyperlink>
      <w:r w:rsidRPr="0070201F">
        <w:rPr>
          <w:sz w:val="24"/>
          <w:szCs w:val="24"/>
        </w:rPr>
        <w:t> </w:t>
      </w:r>
    </w:p>
  </w:footnote>
  <w:footnote w:id="40">
    <w:p w:rsidR="00A937DD" w:rsidRPr="00223ACF" w:rsidRDefault="00A937DD">
      <w:pPr>
        <w:pStyle w:val="FootnoteText"/>
        <w:ind w:left="567" w:hanging="567"/>
        <w:rPr>
          <w:b/>
          <w:i/>
          <w:sz w:val="24"/>
          <w:szCs w:val="24"/>
          <w:lang w:val="bg-BG"/>
        </w:rPr>
      </w:pPr>
      <w:r w:rsidRPr="0070201F">
        <w:rPr>
          <w:rStyle w:val="FootnoteReference"/>
          <w:bCs/>
          <w:i/>
          <w:sz w:val="24"/>
          <w:szCs w:val="24"/>
        </w:rPr>
        <w:footnoteRef/>
      </w:r>
      <w:r w:rsidRPr="00223ACF">
        <w:rPr>
          <w:sz w:val="24"/>
          <w:szCs w:val="24"/>
          <w:lang w:val="bg-BG"/>
        </w:rPr>
        <w:t xml:space="preserve"> </w:t>
      </w:r>
      <w:r w:rsidRPr="00223ACF">
        <w:rPr>
          <w:sz w:val="24"/>
          <w:szCs w:val="24"/>
          <w:lang w:val="bg-BG"/>
        </w:rPr>
        <w:tab/>
      </w:r>
      <w:r w:rsidRPr="00223ACF">
        <w:rPr>
          <w:b/>
          <w:bCs/>
          <w:i/>
          <w:iCs/>
          <w:sz w:val="24"/>
          <w:szCs w:val="24"/>
          <w:lang w:val="bg-BG"/>
        </w:rPr>
        <w:t>Съобщение на Комисията до Европейския парламент, Съвета, Европейския икономически и социален комитет</w:t>
      </w:r>
      <w:r w:rsidRPr="00223ACF">
        <w:rPr>
          <w:b/>
          <w:bCs/>
          <w:sz w:val="24"/>
          <w:szCs w:val="24"/>
          <w:lang w:val="bg-BG"/>
        </w:rPr>
        <w:t>.</w:t>
      </w:r>
      <w:r w:rsidRPr="00223ACF">
        <w:rPr>
          <w:b/>
          <w:i/>
          <w:sz w:val="24"/>
          <w:szCs w:val="24"/>
          <w:lang w:val="bg-BG"/>
        </w:rPr>
        <w:t xml:space="preserve"> Преразглеждане на Инициативата на ЕС относно опрашителите — Нов пакт за опрашителите (</w:t>
      </w:r>
      <w:r w:rsidRPr="0070201F">
        <w:rPr>
          <w:b/>
          <w:i/>
          <w:sz w:val="24"/>
          <w:szCs w:val="24"/>
        </w:rPr>
        <w:t>COM</w:t>
      </w:r>
      <w:r w:rsidRPr="00223ACF">
        <w:rPr>
          <w:b/>
          <w:i/>
          <w:sz w:val="24"/>
          <w:szCs w:val="24"/>
          <w:lang w:val="bg-BG"/>
        </w:rPr>
        <w:t xml:space="preserve">/2023/35 </w:t>
      </w:r>
      <w:r w:rsidRPr="0070201F">
        <w:rPr>
          <w:b/>
          <w:i/>
          <w:sz w:val="24"/>
          <w:szCs w:val="24"/>
        </w:rPr>
        <w:t>final</w:t>
      </w:r>
      <w:r w:rsidRPr="00223ACF">
        <w:rPr>
          <w:b/>
          <w:i/>
          <w:sz w:val="24"/>
          <w:szCs w:val="24"/>
          <w:lang w:val="bg-BG"/>
        </w:rPr>
        <w:t>).</w:t>
      </w:r>
    </w:p>
  </w:footnote>
  <w:footnote w:id="41">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r>
      <w:hyperlink r:id="rId10">
        <w:r w:rsidRPr="00223ACF">
          <w:rPr>
            <w:rStyle w:val="Internetlnk"/>
            <w:rFonts w:eastAsiaTheme="minorHAnsi"/>
            <w:sz w:val="24"/>
            <w:szCs w:val="24"/>
            <w:lang w:val="bg-BG"/>
          </w:rPr>
          <w:t>Европейски червен списък — околна среда — Европейска комисия (</w:t>
        </w:r>
        <w:r w:rsidRPr="0070201F">
          <w:rPr>
            <w:rStyle w:val="Internetlnk"/>
            <w:rFonts w:eastAsiaTheme="minorHAnsi"/>
            <w:sz w:val="24"/>
            <w:szCs w:val="24"/>
          </w:rPr>
          <w:t>europa</w:t>
        </w:r>
        <w:r w:rsidRPr="00223ACF">
          <w:rPr>
            <w:rStyle w:val="Internetlnk"/>
            <w:rFonts w:eastAsiaTheme="minorHAnsi"/>
            <w:sz w:val="24"/>
            <w:szCs w:val="24"/>
            <w:lang w:val="bg-BG"/>
          </w:rPr>
          <w:t>.</w:t>
        </w:r>
        <w:r w:rsidRPr="0070201F">
          <w:rPr>
            <w:rStyle w:val="Internetlnk"/>
            <w:rFonts w:eastAsiaTheme="minorHAnsi"/>
            <w:sz w:val="24"/>
            <w:szCs w:val="24"/>
          </w:rPr>
          <w:t>eu</w:t>
        </w:r>
        <w:r w:rsidRPr="00223ACF">
          <w:rPr>
            <w:rStyle w:val="Internetlnk"/>
            <w:rFonts w:eastAsiaTheme="minorHAnsi"/>
            <w:sz w:val="24"/>
            <w:szCs w:val="24"/>
            <w:lang w:val="bg-BG"/>
          </w:rPr>
          <w:t>)</w:t>
        </w:r>
      </w:hyperlink>
    </w:p>
  </w:footnote>
  <w:footnote w:id="42">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Регламент(ЕС) 2021/2115 на Европейския парламент и на Съвета от 2</w:t>
      </w:r>
      <w:r w:rsidRPr="0070201F">
        <w:rPr>
          <w:sz w:val="24"/>
          <w:szCs w:val="24"/>
        </w:rPr>
        <w:t> </w:t>
      </w:r>
      <w:r w:rsidRPr="00223ACF">
        <w:rPr>
          <w:sz w:val="24"/>
          <w:szCs w:val="24"/>
          <w:lang w:val="bg-BG"/>
        </w:rPr>
        <w:t>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w:t>
      </w:r>
      <w:r w:rsidRPr="0070201F">
        <w:rPr>
          <w:sz w:val="24"/>
          <w:szCs w:val="24"/>
        </w:rPr>
        <w:t> </w:t>
      </w:r>
      <w:r w:rsidRPr="00223ACF">
        <w:rPr>
          <w:sz w:val="24"/>
          <w:szCs w:val="24"/>
          <w:lang w:val="bg-BG"/>
        </w:rPr>
        <w:t>1305/2013 и (ЕС) №</w:t>
      </w:r>
      <w:r w:rsidRPr="0070201F">
        <w:rPr>
          <w:sz w:val="24"/>
          <w:szCs w:val="24"/>
        </w:rPr>
        <w:t> </w:t>
      </w:r>
      <w:r w:rsidRPr="00223ACF">
        <w:rPr>
          <w:sz w:val="24"/>
          <w:szCs w:val="24"/>
          <w:lang w:val="bg-BG"/>
        </w:rPr>
        <w:t xml:space="preserve">1307/2013 (ОВ </w:t>
      </w:r>
      <w:r w:rsidRPr="0070201F">
        <w:rPr>
          <w:sz w:val="24"/>
          <w:szCs w:val="24"/>
        </w:rPr>
        <w:t>L </w:t>
      </w:r>
      <w:r w:rsidRPr="00223ACF">
        <w:rPr>
          <w:sz w:val="24"/>
          <w:szCs w:val="24"/>
          <w:lang w:val="bg-BG"/>
        </w:rPr>
        <w:t>435, 6.12.2021</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1).</w:t>
      </w:r>
    </w:p>
  </w:footnote>
  <w:footnote w:id="43">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Когато в рамките на подобрена екосхема земеделски стопанин се ангажира да отдели най-малко 7 % от обработваемата си земя за непроизводствени площи или елементи, включително оставена под угар земя, или ако минимален дял от най-малко 7</w:t>
      </w:r>
      <w:r w:rsidRPr="0070201F">
        <w:rPr>
          <w:sz w:val="24"/>
          <w:szCs w:val="24"/>
        </w:rPr>
        <w:t> </w:t>
      </w:r>
      <w:r w:rsidRPr="00223ACF">
        <w:rPr>
          <w:sz w:val="24"/>
          <w:szCs w:val="24"/>
          <w:lang w:val="bg-BG"/>
        </w:rPr>
        <w:t>% от обработваемата земя на равнището на земеделското стопанство се използва и за междинни култури или култури, обогатяващи почвата с азот, които се отглеждат без използване на продукти за растителна защита.</w:t>
      </w:r>
    </w:p>
  </w:footnote>
  <w:footnote w:id="44">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Възстановяването на влажни зони представлява процес на превръщане на пресушената почва във влажна почва. Глава</w:t>
      </w:r>
      <w:r w:rsidRPr="0070201F">
        <w:rPr>
          <w:sz w:val="24"/>
          <w:szCs w:val="24"/>
        </w:rPr>
        <w:t> </w:t>
      </w:r>
      <w:r w:rsidRPr="00223ACF">
        <w:rPr>
          <w:sz w:val="24"/>
          <w:szCs w:val="24"/>
          <w:lang w:val="bg-BG"/>
        </w:rPr>
        <w:t>1 от МКИК 2014</w:t>
      </w:r>
      <w:r w:rsidRPr="0070201F">
        <w:rPr>
          <w:sz w:val="24"/>
          <w:szCs w:val="24"/>
        </w:rPr>
        <w:t> </w:t>
      </w:r>
      <w:r w:rsidRPr="00223ACF">
        <w:rPr>
          <w:sz w:val="24"/>
          <w:szCs w:val="24"/>
          <w:lang w:val="bg-BG"/>
        </w:rPr>
        <w:t>г., 2013</w:t>
      </w:r>
      <w:r w:rsidRPr="0070201F">
        <w:rPr>
          <w:sz w:val="24"/>
          <w:szCs w:val="24"/>
        </w:rPr>
        <w:t> </w:t>
      </w:r>
      <w:r w:rsidRPr="00223ACF">
        <w:rPr>
          <w:sz w:val="24"/>
          <w:szCs w:val="24"/>
          <w:lang w:val="bg-BG"/>
        </w:rPr>
        <w:t>г. и притурката към Насоките от 2006</w:t>
      </w:r>
      <w:r w:rsidRPr="0070201F">
        <w:rPr>
          <w:sz w:val="24"/>
          <w:szCs w:val="24"/>
        </w:rPr>
        <w:t> </w:t>
      </w:r>
      <w:r w:rsidRPr="00223ACF">
        <w:rPr>
          <w:sz w:val="24"/>
          <w:szCs w:val="24"/>
          <w:lang w:val="bg-BG"/>
        </w:rPr>
        <w:t xml:space="preserve">г. на Междуправителствения комитет по изменение на климата (МКИК) за националните инвентаризации на емисиите на парникови газове: Влажни зони, </w:t>
      </w:r>
      <w:r w:rsidRPr="0070201F">
        <w:rPr>
          <w:sz w:val="24"/>
          <w:szCs w:val="24"/>
        </w:rPr>
        <w:t>Hiraishi</w:t>
      </w:r>
      <w:r w:rsidRPr="00223ACF">
        <w:rPr>
          <w:sz w:val="24"/>
          <w:szCs w:val="24"/>
          <w:lang w:val="bg-BG"/>
        </w:rPr>
        <w:t xml:space="preserve">, </w:t>
      </w:r>
      <w:r w:rsidRPr="0070201F">
        <w:rPr>
          <w:sz w:val="24"/>
          <w:szCs w:val="24"/>
        </w:rPr>
        <w:t>T</w:t>
      </w:r>
      <w:r w:rsidRPr="00223ACF">
        <w:rPr>
          <w:sz w:val="24"/>
          <w:szCs w:val="24"/>
          <w:lang w:val="bg-BG"/>
        </w:rPr>
        <w:t xml:space="preserve">., </w:t>
      </w:r>
      <w:r w:rsidRPr="0070201F">
        <w:rPr>
          <w:sz w:val="24"/>
          <w:szCs w:val="24"/>
        </w:rPr>
        <w:t>Krug</w:t>
      </w:r>
      <w:r w:rsidRPr="00223ACF">
        <w:rPr>
          <w:sz w:val="24"/>
          <w:szCs w:val="24"/>
          <w:lang w:val="bg-BG"/>
        </w:rPr>
        <w:t xml:space="preserve">, </w:t>
      </w:r>
      <w:r w:rsidRPr="0070201F">
        <w:rPr>
          <w:sz w:val="24"/>
          <w:szCs w:val="24"/>
        </w:rPr>
        <w:t>T</w:t>
      </w:r>
      <w:r w:rsidRPr="00223ACF">
        <w:rPr>
          <w:sz w:val="24"/>
          <w:szCs w:val="24"/>
          <w:lang w:val="bg-BG"/>
        </w:rPr>
        <w:t xml:space="preserve">., </w:t>
      </w:r>
      <w:r w:rsidRPr="0070201F">
        <w:rPr>
          <w:sz w:val="24"/>
          <w:szCs w:val="24"/>
        </w:rPr>
        <w:t>Tanabe</w:t>
      </w:r>
      <w:r w:rsidRPr="00223ACF">
        <w:rPr>
          <w:sz w:val="24"/>
          <w:szCs w:val="24"/>
          <w:lang w:val="bg-BG"/>
        </w:rPr>
        <w:t xml:space="preserve">, </w:t>
      </w:r>
      <w:r w:rsidRPr="0070201F">
        <w:rPr>
          <w:sz w:val="24"/>
          <w:szCs w:val="24"/>
        </w:rPr>
        <w:t>K</w:t>
      </w:r>
      <w:r w:rsidRPr="00223ACF">
        <w:rPr>
          <w:sz w:val="24"/>
          <w:szCs w:val="24"/>
          <w:lang w:val="bg-BG"/>
        </w:rPr>
        <w:t xml:space="preserve">., </w:t>
      </w:r>
      <w:r w:rsidRPr="0070201F">
        <w:rPr>
          <w:sz w:val="24"/>
          <w:szCs w:val="24"/>
        </w:rPr>
        <w:t>Srivastava</w:t>
      </w:r>
      <w:r w:rsidRPr="00223ACF">
        <w:rPr>
          <w:sz w:val="24"/>
          <w:szCs w:val="24"/>
          <w:lang w:val="bg-BG"/>
        </w:rPr>
        <w:t xml:space="preserve">, </w:t>
      </w:r>
      <w:r w:rsidRPr="0070201F">
        <w:rPr>
          <w:sz w:val="24"/>
          <w:szCs w:val="24"/>
        </w:rPr>
        <w:t>N</w:t>
      </w:r>
      <w:r w:rsidRPr="00223ACF">
        <w:rPr>
          <w:sz w:val="24"/>
          <w:szCs w:val="24"/>
          <w:lang w:val="bg-BG"/>
        </w:rPr>
        <w:t xml:space="preserve">., </w:t>
      </w:r>
      <w:r w:rsidRPr="0070201F">
        <w:rPr>
          <w:sz w:val="24"/>
          <w:szCs w:val="24"/>
        </w:rPr>
        <w:t>Baasansuren</w:t>
      </w:r>
      <w:r w:rsidRPr="00223ACF">
        <w:rPr>
          <w:sz w:val="24"/>
          <w:szCs w:val="24"/>
          <w:lang w:val="bg-BG"/>
        </w:rPr>
        <w:t xml:space="preserve">, </w:t>
      </w:r>
      <w:r w:rsidRPr="0070201F">
        <w:rPr>
          <w:sz w:val="24"/>
          <w:szCs w:val="24"/>
        </w:rPr>
        <w:t>J</w:t>
      </w:r>
      <w:r w:rsidRPr="00223ACF">
        <w:rPr>
          <w:sz w:val="24"/>
          <w:szCs w:val="24"/>
          <w:lang w:val="bg-BG"/>
        </w:rPr>
        <w:t xml:space="preserve">., </w:t>
      </w:r>
      <w:r w:rsidRPr="0070201F">
        <w:rPr>
          <w:sz w:val="24"/>
          <w:szCs w:val="24"/>
        </w:rPr>
        <w:t>Fukuda</w:t>
      </w:r>
      <w:r w:rsidRPr="00223ACF">
        <w:rPr>
          <w:sz w:val="24"/>
          <w:szCs w:val="24"/>
          <w:lang w:val="bg-BG"/>
        </w:rPr>
        <w:t xml:space="preserve">, </w:t>
      </w:r>
      <w:r w:rsidRPr="0070201F">
        <w:rPr>
          <w:sz w:val="24"/>
          <w:szCs w:val="24"/>
        </w:rPr>
        <w:t>M</w:t>
      </w:r>
      <w:r w:rsidRPr="00223ACF">
        <w:rPr>
          <w:sz w:val="24"/>
          <w:szCs w:val="24"/>
          <w:lang w:val="bg-BG"/>
        </w:rPr>
        <w:t xml:space="preserve">. и </w:t>
      </w:r>
      <w:r w:rsidRPr="0070201F">
        <w:rPr>
          <w:sz w:val="24"/>
          <w:szCs w:val="24"/>
        </w:rPr>
        <w:t>Troxler</w:t>
      </w:r>
      <w:r w:rsidRPr="00223ACF">
        <w:rPr>
          <w:sz w:val="24"/>
          <w:szCs w:val="24"/>
          <w:lang w:val="bg-BG"/>
        </w:rPr>
        <w:t xml:space="preserve">, </w:t>
      </w:r>
      <w:r w:rsidRPr="0070201F">
        <w:rPr>
          <w:sz w:val="24"/>
          <w:szCs w:val="24"/>
        </w:rPr>
        <w:t>T</w:t>
      </w:r>
      <w:r w:rsidRPr="00223ACF">
        <w:rPr>
          <w:sz w:val="24"/>
          <w:szCs w:val="24"/>
          <w:lang w:val="bg-BG"/>
        </w:rPr>
        <w:t>.</w:t>
      </w:r>
      <w:r w:rsidRPr="0070201F">
        <w:rPr>
          <w:sz w:val="24"/>
          <w:szCs w:val="24"/>
        </w:rPr>
        <w:t>G</w:t>
      </w:r>
      <w:r w:rsidRPr="00223ACF">
        <w:rPr>
          <w:sz w:val="24"/>
          <w:szCs w:val="24"/>
          <w:lang w:val="bg-BG"/>
        </w:rPr>
        <w:t>. (изд.).</w:t>
      </w:r>
    </w:p>
  </w:footnote>
  <w:footnote w:id="45">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Понятието „органична почва“ е определено в Насоките на МКИК за националните инвентаризации на емисиите на парникови газове от 2006</w:t>
      </w:r>
      <w:r w:rsidRPr="0070201F">
        <w:rPr>
          <w:sz w:val="24"/>
          <w:szCs w:val="24"/>
        </w:rPr>
        <w:t> </w:t>
      </w:r>
      <w:r w:rsidRPr="00223ACF">
        <w:rPr>
          <w:sz w:val="24"/>
          <w:szCs w:val="24"/>
          <w:lang w:val="bg-BG"/>
        </w:rPr>
        <w:t xml:space="preserve">г., изготвени по Националната програма за инвентаризациите на емисиите на парникови газове от </w:t>
      </w:r>
      <w:r w:rsidRPr="0070201F">
        <w:rPr>
          <w:sz w:val="24"/>
          <w:szCs w:val="24"/>
        </w:rPr>
        <w:t>Eggleston</w:t>
      </w:r>
      <w:r w:rsidRPr="00223ACF">
        <w:rPr>
          <w:sz w:val="24"/>
          <w:szCs w:val="24"/>
          <w:lang w:val="bg-BG"/>
        </w:rPr>
        <w:t xml:space="preserve"> </w:t>
      </w:r>
      <w:r w:rsidRPr="0070201F">
        <w:rPr>
          <w:sz w:val="24"/>
          <w:szCs w:val="24"/>
        </w:rPr>
        <w:t>H</w:t>
      </w:r>
      <w:r w:rsidRPr="00223ACF">
        <w:rPr>
          <w:sz w:val="24"/>
          <w:szCs w:val="24"/>
          <w:lang w:val="bg-BG"/>
        </w:rPr>
        <w:t>.</w:t>
      </w:r>
      <w:r w:rsidRPr="0070201F">
        <w:rPr>
          <w:sz w:val="24"/>
          <w:szCs w:val="24"/>
        </w:rPr>
        <w:t>S</w:t>
      </w:r>
      <w:r w:rsidRPr="00223ACF">
        <w:rPr>
          <w:sz w:val="24"/>
          <w:szCs w:val="24"/>
          <w:lang w:val="bg-BG"/>
        </w:rPr>
        <w:t xml:space="preserve">., </w:t>
      </w:r>
      <w:r w:rsidRPr="0070201F">
        <w:rPr>
          <w:sz w:val="24"/>
          <w:szCs w:val="24"/>
        </w:rPr>
        <w:t>Buendia</w:t>
      </w:r>
      <w:r w:rsidRPr="00223ACF">
        <w:rPr>
          <w:sz w:val="24"/>
          <w:szCs w:val="24"/>
          <w:lang w:val="bg-BG"/>
        </w:rPr>
        <w:t xml:space="preserve"> </w:t>
      </w:r>
      <w:r w:rsidRPr="0070201F">
        <w:rPr>
          <w:sz w:val="24"/>
          <w:szCs w:val="24"/>
        </w:rPr>
        <w:t>L</w:t>
      </w:r>
      <w:r w:rsidRPr="00223ACF">
        <w:rPr>
          <w:sz w:val="24"/>
          <w:szCs w:val="24"/>
          <w:lang w:val="bg-BG"/>
        </w:rPr>
        <w:t xml:space="preserve">., </w:t>
      </w:r>
      <w:r w:rsidRPr="0070201F">
        <w:rPr>
          <w:sz w:val="24"/>
          <w:szCs w:val="24"/>
        </w:rPr>
        <w:t>Miwa</w:t>
      </w:r>
      <w:r w:rsidRPr="00223ACF">
        <w:rPr>
          <w:sz w:val="24"/>
          <w:szCs w:val="24"/>
          <w:lang w:val="bg-BG"/>
        </w:rPr>
        <w:t xml:space="preserve"> </w:t>
      </w:r>
      <w:r w:rsidRPr="0070201F">
        <w:rPr>
          <w:sz w:val="24"/>
          <w:szCs w:val="24"/>
        </w:rPr>
        <w:t>K</w:t>
      </w:r>
      <w:r w:rsidRPr="00223ACF">
        <w:rPr>
          <w:sz w:val="24"/>
          <w:szCs w:val="24"/>
          <w:lang w:val="bg-BG"/>
        </w:rPr>
        <w:t xml:space="preserve">., </w:t>
      </w:r>
      <w:r w:rsidRPr="0070201F">
        <w:rPr>
          <w:sz w:val="24"/>
          <w:szCs w:val="24"/>
        </w:rPr>
        <w:t>Ngara</w:t>
      </w:r>
      <w:r w:rsidRPr="00223ACF">
        <w:rPr>
          <w:sz w:val="24"/>
          <w:szCs w:val="24"/>
          <w:lang w:val="bg-BG"/>
        </w:rPr>
        <w:t xml:space="preserve"> </w:t>
      </w:r>
      <w:r w:rsidRPr="0070201F">
        <w:rPr>
          <w:sz w:val="24"/>
          <w:szCs w:val="24"/>
        </w:rPr>
        <w:t>T</w:t>
      </w:r>
      <w:r w:rsidRPr="00223ACF">
        <w:rPr>
          <w:sz w:val="24"/>
          <w:szCs w:val="24"/>
          <w:lang w:val="bg-BG"/>
        </w:rPr>
        <w:t xml:space="preserve">. и </w:t>
      </w:r>
      <w:r w:rsidRPr="0070201F">
        <w:rPr>
          <w:sz w:val="24"/>
          <w:szCs w:val="24"/>
        </w:rPr>
        <w:t>Tanabe</w:t>
      </w:r>
      <w:r w:rsidRPr="00223ACF">
        <w:rPr>
          <w:sz w:val="24"/>
          <w:szCs w:val="24"/>
          <w:lang w:val="bg-BG"/>
        </w:rPr>
        <w:t xml:space="preserve"> </w:t>
      </w:r>
      <w:r w:rsidRPr="0070201F">
        <w:rPr>
          <w:sz w:val="24"/>
          <w:szCs w:val="24"/>
        </w:rPr>
        <w:t>K</w:t>
      </w:r>
      <w:r w:rsidRPr="00223ACF">
        <w:rPr>
          <w:sz w:val="24"/>
          <w:szCs w:val="24"/>
          <w:lang w:val="bg-BG"/>
        </w:rPr>
        <w:t>. (изд.).</w:t>
      </w:r>
    </w:p>
  </w:footnote>
  <w:footnote w:id="46">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Съобщение на Комисията до Европейския парламент, Съвета, Европейския икономически и социален комитет и Комитета на регионите — Нова стратегия на ЕС за горите за 2030</w:t>
      </w:r>
      <w:r w:rsidRPr="0070201F">
        <w:rPr>
          <w:sz w:val="24"/>
          <w:szCs w:val="24"/>
        </w:rPr>
        <w:t> </w:t>
      </w:r>
      <w:r w:rsidRPr="00223ACF">
        <w:rPr>
          <w:sz w:val="24"/>
          <w:szCs w:val="24"/>
          <w:lang w:val="bg-BG"/>
        </w:rPr>
        <w:t xml:space="preserve">г., </w:t>
      </w:r>
      <w:r w:rsidRPr="0070201F">
        <w:rPr>
          <w:sz w:val="24"/>
          <w:szCs w:val="24"/>
        </w:rPr>
        <w:t>COM </w:t>
      </w:r>
      <w:r w:rsidRPr="00223ACF">
        <w:rPr>
          <w:sz w:val="24"/>
          <w:szCs w:val="24"/>
          <w:lang w:val="bg-BG"/>
        </w:rPr>
        <w:t>(2021)</w:t>
      </w:r>
      <w:r w:rsidRPr="0070201F">
        <w:rPr>
          <w:sz w:val="24"/>
          <w:szCs w:val="24"/>
        </w:rPr>
        <w:t> </w:t>
      </w:r>
      <w:r w:rsidRPr="00223ACF">
        <w:rPr>
          <w:sz w:val="24"/>
          <w:szCs w:val="24"/>
          <w:lang w:val="bg-BG"/>
        </w:rPr>
        <w:t>572</w:t>
      </w:r>
      <w:r w:rsidRPr="0070201F">
        <w:rPr>
          <w:sz w:val="24"/>
          <w:szCs w:val="24"/>
        </w:rPr>
        <w:t> final</w:t>
      </w:r>
      <w:r w:rsidRPr="00223ACF">
        <w:rPr>
          <w:sz w:val="24"/>
          <w:szCs w:val="24"/>
          <w:lang w:val="bg-BG"/>
        </w:rPr>
        <w:t>.</w:t>
      </w:r>
    </w:p>
  </w:footnote>
  <w:footnote w:id="47">
    <w:p w:rsidR="00A937DD" w:rsidRPr="00223ACF" w:rsidRDefault="00A937DD">
      <w:pPr>
        <w:pStyle w:val="FootnoteText"/>
        <w:ind w:left="567" w:hanging="567"/>
        <w:rPr>
          <w:color w:val="000000"/>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 (ЕС) 2019/1241 на Европейския парламент и на Съвета от 20</w:t>
      </w:r>
      <w:r w:rsidRPr="0070201F">
        <w:rPr>
          <w:sz w:val="24"/>
          <w:szCs w:val="24"/>
        </w:rPr>
        <w:t> </w:t>
      </w:r>
      <w:r w:rsidRPr="00223ACF">
        <w:rPr>
          <w:sz w:val="24"/>
          <w:szCs w:val="24"/>
          <w:lang w:val="bg-BG"/>
        </w:rPr>
        <w:t>юни 2019</w:t>
      </w:r>
      <w:r w:rsidRPr="0070201F">
        <w:rPr>
          <w:sz w:val="24"/>
          <w:szCs w:val="24"/>
        </w:rPr>
        <w:t> </w:t>
      </w:r>
      <w:r w:rsidRPr="00223ACF">
        <w:rPr>
          <w:sz w:val="24"/>
          <w:szCs w:val="24"/>
          <w:lang w:val="bg-BG"/>
        </w:rPr>
        <w:t>г. за опазване на рибните ресурси и защита на морските екосистеми чрез технически мерки, за изменение на регламенти (ЕО) №</w:t>
      </w:r>
      <w:r w:rsidRPr="0070201F">
        <w:rPr>
          <w:sz w:val="24"/>
          <w:szCs w:val="24"/>
        </w:rPr>
        <w:t> </w:t>
      </w:r>
      <w:r w:rsidRPr="00223ACF">
        <w:rPr>
          <w:sz w:val="24"/>
          <w:szCs w:val="24"/>
          <w:lang w:val="bg-BG"/>
        </w:rPr>
        <w:t>1967/2006 и (ЕО) №</w:t>
      </w:r>
      <w:r w:rsidRPr="0070201F">
        <w:rPr>
          <w:sz w:val="24"/>
          <w:szCs w:val="24"/>
        </w:rPr>
        <w:t> </w:t>
      </w:r>
      <w:r w:rsidRPr="00223ACF">
        <w:rPr>
          <w:sz w:val="24"/>
          <w:szCs w:val="24"/>
          <w:lang w:val="bg-BG"/>
        </w:rPr>
        <w:t>1224/2009 на Съвета и на регламенти (ЕС) №</w:t>
      </w:r>
      <w:r w:rsidRPr="0070201F">
        <w:rPr>
          <w:sz w:val="24"/>
          <w:szCs w:val="24"/>
        </w:rPr>
        <w:t> </w:t>
      </w:r>
      <w:r w:rsidRPr="00223ACF">
        <w:rPr>
          <w:sz w:val="24"/>
          <w:szCs w:val="24"/>
          <w:lang w:val="bg-BG"/>
        </w:rPr>
        <w:t>1380/2013, (ЕС)</w:t>
      </w:r>
      <w:r w:rsidRPr="0070201F">
        <w:rPr>
          <w:sz w:val="24"/>
          <w:szCs w:val="24"/>
        </w:rPr>
        <w:t> </w:t>
      </w:r>
      <w:r w:rsidRPr="00223ACF">
        <w:rPr>
          <w:sz w:val="24"/>
          <w:szCs w:val="24"/>
          <w:lang w:val="bg-BG"/>
        </w:rPr>
        <w:t>2016/1139, (ЕС)</w:t>
      </w:r>
      <w:r w:rsidRPr="0070201F">
        <w:rPr>
          <w:sz w:val="24"/>
          <w:szCs w:val="24"/>
        </w:rPr>
        <w:t> </w:t>
      </w:r>
      <w:r w:rsidRPr="00223ACF">
        <w:rPr>
          <w:sz w:val="24"/>
          <w:szCs w:val="24"/>
          <w:lang w:val="bg-BG"/>
        </w:rPr>
        <w:t>2018/973, (ЕС)</w:t>
      </w:r>
      <w:r w:rsidRPr="0070201F">
        <w:rPr>
          <w:sz w:val="24"/>
          <w:szCs w:val="24"/>
        </w:rPr>
        <w:t> </w:t>
      </w:r>
      <w:r w:rsidRPr="00223ACF">
        <w:rPr>
          <w:sz w:val="24"/>
          <w:szCs w:val="24"/>
          <w:lang w:val="bg-BG"/>
        </w:rPr>
        <w:t>2019/472 и (ЕС)</w:t>
      </w:r>
      <w:r w:rsidRPr="0070201F">
        <w:rPr>
          <w:sz w:val="24"/>
          <w:szCs w:val="24"/>
        </w:rPr>
        <w:t> </w:t>
      </w:r>
      <w:r w:rsidRPr="00223ACF">
        <w:rPr>
          <w:sz w:val="24"/>
          <w:szCs w:val="24"/>
          <w:lang w:val="bg-BG"/>
        </w:rPr>
        <w:t>2019/1022 на Европейския парламент и на Съвета и за отмяна на регламенти (ЕО) №</w:t>
      </w:r>
      <w:r w:rsidRPr="0070201F">
        <w:rPr>
          <w:sz w:val="24"/>
          <w:szCs w:val="24"/>
        </w:rPr>
        <w:t> </w:t>
      </w:r>
      <w:r w:rsidRPr="00223ACF">
        <w:rPr>
          <w:sz w:val="24"/>
          <w:szCs w:val="24"/>
          <w:lang w:val="bg-BG"/>
        </w:rPr>
        <w:t>894/97, (ЕО) №</w:t>
      </w:r>
      <w:r w:rsidRPr="0070201F">
        <w:rPr>
          <w:sz w:val="24"/>
          <w:szCs w:val="24"/>
        </w:rPr>
        <w:t> </w:t>
      </w:r>
      <w:r w:rsidRPr="00223ACF">
        <w:rPr>
          <w:sz w:val="24"/>
          <w:szCs w:val="24"/>
          <w:lang w:val="bg-BG"/>
        </w:rPr>
        <w:t>850/98, (ЕО) №</w:t>
      </w:r>
      <w:r w:rsidRPr="0070201F">
        <w:rPr>
          <w:sz w:val="24"/>
          <w:szCs w:val="24"/>
        </w:rPr>
        <w:t> </w:t>
      </w:r>
      <w:r w:rsidRPr="00223ACF">
        <w:rPr>
          <w:sz w:val="24"/>
          <w:szCs w:val="24"/>
          <w:lang w:val="bg-BG"/>
        </w:rPr>
        <w:t>2549/2000, (ЕО) №</w:t>
      </w:r>
      <w:r w:rsidRPr="0070201F">
        <w:rPr>
          <w:sz w:val="24"/>
          <w:szCs w:val="24"/>
        </w:rPr>
        <w:t> </w:t>
      </w:r>
      <w:r w:rsidRPr="00223ACF">
        <w:rPr>
          <w:sz w:val="24"/>
          <w:szCs w:val="24"/>
          <w:lang w:val="bg-BG"/>
        </w:rPr>
        <w:t>254/2002, (ЕО) №</w:t>
      </w:r>
      <w:r w:rsidRPr="0070201F">
        <w:rPr>
          <w:sz w:val="24"/>
          <w:szCs w:val="24"/>
        </w:rPr>
        <w:t> </w:t>
      </w:r>
      <w:r w:rsidRPr="00223ACF">
        <w:rPr>
          <w:sz w:val="24"/>
          <w:szCs w:val="24"/>
          <w:lang w:val="bg-BG"/>
        </w:rPr>
        <w:t>812/2004 и (ЕО) №</w:t>
      </w:r>
      <w:r w:rsidRPr="0070201F">
        <w:rPr>
          <w:sz w:val="24"/>
          <w:szCs w:val="24"/>
        </w:rPr>
        <w:t> </w:t>
      </w:r>
      <w:r w:rsidRPr="00223ACF">
        <w:rPr>
          <w:sz w:val="24"/>
          <w:szCs w:val="24"/>
          <w:lang w:val="bg-BG"/>
        </w:rPr>
        <w:t xml:space="preserve">2187/2005 на Съвета (ОВ </w:t>
      </w:r>
      <w:r w:rsidRPr="0070201F">
        <w:rPr>
          <w:sz w:val="24"/>
          <w:szCs w:val="24"/>
        </w:rPr>
        <w:t>L </w:t>
      </w:r>
      <w:r w:rsidRPr="00223ACF">
        <w:rPr>
          <w:sz w:val="24"/>
          <w:szCs w:val="24"/>
          <w:lang w:val="bg-BG"/>
        </w:rPr>
        <w:t>198, 25.7.2019</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105).</w:t>
      </w:r>
    </w:p>
  </w:footnote>
  <w:footnote w:id="48">
    <w:p w:rsidR="00A937DD" w:rsidRPr="00223ACF" w:rsidRDefault="00A937DD">
      <w:pPr>
        <w:pStyle w:val="FootnoteText"/>
        <w:ind w:left="567" w:hanging="567"/>
        <w:rPr>
          <w:color w:val="000000"/>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Директива (ЕС)</w:t>
      </w:r>
      <w:r w:rsidRPr="0070201F">
        <w:rPr>
          <w:sz w:val="24"/>
          <w:szCs w:val="24"/>
        </w:rPr>
        <w:t> </w:t>
      </w:r>
      <w:r w:rsidRPr="00223ACF">
        <w:rPr>
          <w:sz w:val="24"/>
          <w:szCs w:val="24"/>
          <w:lang w:val="bg-BG"/>
        </w:rPr>
        <w:t>2018/2001 на Европейския парламент и на Съвета от 11</w:t>
      </w:r>
      <w:r w:rsidRPr="0070201F">
        <w:rPr>
          <w:sz w:val="24"/>
          <w:szCs w:val="24"/>
        </w:rPr>
        <w:t> </w:t>
      </w:r>
      <w:r w:rsidRPr="00223ACF">
        <w:rPr>
          <w:sz w:val="24"/>
          <w:szCs w:val="24"/>
          <w:lang w:val="bg-BG"/>
        </w:rPr>
        <w:t>декември 2018</w:t>
      </w:r>
      <w:r w:rsidRPr="0070201F">
        <w:rPr>
          <w:sz w:val="24"/>
          <w:szCs w:val="24"/>
        </w:rPr>
        <w:t> </w:t>
      </w:r>
      <w:r w:rsidRPr="00223ACF">
        <w:rPr>
          <w:sz w:val="24"/>
          <w:szCs w:val="24"/>
          <w:lang w:val="bg-BG"/>
        </w:rPr>
        <w:t>г. за насърчаване използването на енергия от възобновяеми източници;</w:t>
      </w:r>
      <w:r w:rsidRPr="00223ACF">
        <w:rPr>
          <w:color w:val="000000"/>
          <w:sz w:val="24"/>
          <w:szCs w:val="24"/>
          <w:lang w:val="bg-BG"/>
        </w:rPr>
        <w:t xml:space="preserve"> </w:t>
      </w:r>
    </w:p>
    <w:p w:rsidR="00A937DD" w:rsidRPr="00223ACF" w:rsidRDefault="00A937DD">
      <w:pPr>
        <w:pStyle w:val="FootnoteText"/>
        <w:ind w:left="567" w:hanging="567"/>
        <w:rPr>
          <w:sz w:val="24"/>
          <w:szCs w:val="24"/>
          <w:lang w:val="bg-BG"/>
        </w:rPr>
      </w:pPr>
      <w:r w:rsidRPr="00223ACF">
        <w:rPr>
          <w:color w:val="000000"/>
          <w:sz w:val="24"/>
          <w:szCs w:val="24"/>
          <w:lang w:val="bg-BG"/>
        </w:rPr>
        <w:tab/>
        <w:t>(</w:t>
      </w:r>
      <w:r w:rsidRPr="0070201F">
        <w:rPr>
          <w:color w:val="000000"/>
          <w:sz w:val="24"/>
          <w:szCs w:val="24"/>
        </w:rPr>
        <w:t>O</w:t>
      </w:r>
      <w:r w:rsidRPr="00223ACF">
        <w:rPr>
          <w:color w:val="000000"/>
          <w:sz w:val="24"/>
          <w:szCs w:val="24"/>
          <w:lang w:val="bg-BG"/>
        </w:rPr>
        <w:t xml:space="preserve">В </w:t>
      </w:r>
      <w:r w:rsidRPr="0070201F">
        <w:rPr>
          <w:color w:val="000000"/>
          <w:sz w:val="24"/>
          <w:szCs w:val="24"/>
        </w:rPr>
        <w:t>L </w:t>
      </w:r>
      <w:r w:rsidRPr="00223ACF">
        <w:rPr>
          <w:color w:val="000000"/>
          <w:sz w:val="24"/>
          <w:szCs w:val="24"/>
          <w:lang w:val="bg-BG"/>
        </w:rPr>
        <w:t>328, 21.12.2018</w:t>
      </w:r>
      <w:r w:rsidRPr="0070201F">
        <w:rPr>
          <w:color w:val="000000"/>
          <w:sz w:val="24"/>
          <w:szCs w:val="24"/>
        </w:rPr>
        <w:t> </w:t>
      </w:r>
      <w:r w:rsidRPr="00223ACF">
        <w:rPr>
          <w:color w:val="000000"/>
          <w:sz w:val="24"/>
          <w:szCs w:val="24"/>
          <w:lang w:val="bg-BG"/>
        </w:rPr>
        <w:t>г., стр.</w:t>
      </w:r>
      <w:r w:rsidRPr="0070201F">
        <w:rPr>
          <w:color w:val="000000"/>
          <w:sz w:val="24"/>
          <w:szCs w:val="24"/>
        </w:rPr>
        <w:t> </w:t>
      </w:r>
      <w:r w:rsidRPr="00223ACF">
        <w:rPr>
          <w:color w:val="000000"/>
          <w:sz w:val="24"/>
          <w:szCs w:val="24"/>
          <w:lang w:val="bg-BG"/>
        </w:rPr>
        <w:t>82).</w:t>
      </w:r>
    </w:p>
  </w:footnote>
  <w:footnote w:id="49">
    <w:p w:rsidR="00A937DD" w:rsidRPr="00223ACF" w:rsidRDefault="00A937DD">
      <w:pPr>
        <w:pStyle w:val="FootnoteText"/>
        <w:ind w:left="567" w:hanging="567"/>
        <w:rPr>
          <w:color w:val="000000"/>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w:t>
      </w:r>
      <w:r w:rsidRPr="0070201F">
        <w:rPr>
          <w:sz w:val="24"/>
          <w:szCs w:val="24"/>
        </w:rPr>
        <w:t> </w:t>
      </w:r>
      <w:r w:rsidRPr="00223ACF">
        <w:rPr>
          <w:sz w:val="24"/>
          <w:szCs w:val="24"/>
          <w:lang w:val="bg-BG"/>
        </w:rPr>
        <w:t>(ЕС)</w:t>
      </w:r>
      <w:r w:rsidRPr="0070201F">
        <w:rPr>
          <w:sz w:val="24"/>
          <w:szCs w:val="24"/>
        </w:rPr>
        <w:t> </w:t>
      </w:r>
      <w:r w:rsidRPr="00223ACF">
        <w:rPr>
          <w:sz w:val="24"/>
          <w:szCs w:val="24"/>
          <w:lang w:val="bg-BG"/>
        </w:rPr>
        <w:t>2018/1999 на Европейския парламент и на Съвета от 11</w:t>
      </w:r>
      <w:r w:rsidRPr="0070201F">
        <w:rPr>
          <w:sz w:val="24"/>
          <w:szCs w:val="24"/>
        </w:rPr>
        <w:t> </w:t>
      </w:r>
      <w:r w:rsidRPr="00223ACF">
        <w:rPr>
          <w:sz w:val="24"/>
          <w:szCs w:val="24"/>
          <w:lang w:val="bg-BG"/>
        </w:rPr>
        <w:t>декември 2018</w:t>
      </w:r>
      <w:r w:rsidRPr="0070201F">
        <w:rPr>
          <w:sz w:val="24"/>
          <w:szCs w:val="24"/>
        </w:rPr>
        <w:t> </w:t>
      </w:r>
      <w:r w:rsidRPr="00223ACF">
        <w:rPr>
          <w:sz w:val="24"/>
          <w:szCs w:val="24"/>
          <w:lang w:val="bg-BG"/>
        </w:rPr>
        <w:t>г. относно управлението на Енергийния съюз и на действията в областта на климата, за изменение на регламенти (ЕО) №</w:t>
      </w:r>
      <w:r w:rsidRPr="0070201F">
        <w:rPr>
          <w:sz w:val="24"/>
          <w:szCs w:val="24"/>
        </w:rPr>
        <w:t> </w:t>
      </w:r>
      <w:r w:rsidRPr="00223ACF">
        <w:rPr>
          <w:sz w:val="24"/>
          <w:szCs w:val="24"/>
          <w:lang w:val="bg-BG"/>
        </w:rPr>
        <w:t>663/2009 и (ЕО) №</w:t>
      </w:r>
      <w:r w:rsidRPr="0070201F">
        <w:rPr>
          <w:sz w:val="24"/>
          <w:szCs w:val="24"/>
        </w:rPr>
        <w:t> </w:t>
      </w:r>
      <w:r w:rsidRPr="00223ACF">
        <w:rPr>
          <w:sz w:val="24"/>
          <w:szCs w:val="24"/>
          <w:lang w:val="bg-BG"/>
        </w:rPr>
        <w:t>715/2009 на Европейския парламент и на Съвета, директиви</w:t>
      </w:r>
      <w:r w:rsidRPr="0070201F">
        <w:rPr>
          <w:sz w:val="24"/>
          <w:szCs w:val="24"/>
        </w:rPr>
        <w:t> </w:t>
      </w:r>
      <w:r w:rsidRPr="00223ACF">
        <w:rPr>
          <w:sz w:val="24"/>
          <w:szCs w:val="24"/>
          <w:lang w:val="bg-BG"/>
        </w:rPr>
        <w:t>94/22/ЕО, 98/70/ЕО, 2009/31/ЕО, 2009/73/ЕО, 2010/31/ЕС, 2012/27/ЕС и 2013/30/ЕС на Европейския парламент и на Съвета, директиви</w:t>
      </w:r>
      <w:r w:rsidRPr="0070201F">
        <w:rPr>
          <w:sz w:val="24"/>
          <w:szCs w:val="24"/>
        </w:rPr>
        <w:t> </w:t>
      </w:r>
      <w:r w:rsidRPr="00223ACF">
        <w:rPr>
          <w:sz w:val="24"/>
          <w:szCs w:val="24"/>
          <w:lang w:val="bg-BG"/>
        </w:rPr>
        <w:t>2009/119/ЕО и (ЕС) 2015/652 на Съвета и за отмяна на Регламент (ЕС) №</w:t>
      </w:r>
      <w:r w:rsidRPr="0070201F">
        <w:rPr>
          <w:sz w:val="24"/>
          <w:szCs w:val="24"/>
        </w:rPr>
        <w:t> </w:t>
      </w:r>
      <w:r w:rsidRPr="00223ACF">
        <w:rPr>
          <w:sz w:val="24"/>
          <w:szCs w:val="24"/>
          <w:lang w:val="bg-BG"/>
        </w:rPr>
        <w:t>525/2013 на Европейския парламент и на Съвета (ОВ</w:t>
      </w:r>
      <w:r w:rsidRPr="0070201F">
        <w:rPr>
          <w:sz w:val="24"/>
          <w:szCs w:val="24"/>
        </w:rPr>
        <w:t> L </w:t>
      </w:r>
      <w:r w:rsidRPr="00223ACF">
        <w:rPr>
          <w:sz w:val="24"/>
          <w:szCs w:val="24"/>
          <w:lang w:val="bg-BG"/>
        </w:rPr>
        <w:t>328, 21.12.2018</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1).</w:t>
      </w:r>
    </w:p>
  </w:footnote>
  <w:footnote w:id="50">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Директива 98/70/ЕО на Европейския парламент и на Съвета от 13 октомври 1998</w:t>
      </w:r>
      <w:r w:rsidRPr="0070201F">
        <w:rPr>
          <w:sz w:val="24"/>
          <w:szCs w:val="24"/>
        </w:rPr>
        <w:t> </w:t>
      </w:r>
      <w:r w:rsidRPr="00223ACF">
        <w:rPr>
          <w:sz w:val="24"/>
          <w:szCs w:val="24"/>
          <w:lang w:val="bg-BG"/>
        </w:rPr>
        <w:t>г. относно качеството на бензиновите и дизеловите горива и за изменение на Директива на Съвета</w:t>
      </w:r>
      <w:r w:rsidRPr="0070201F">
        <w:rPr>
          <w:sz w:val="24"/>
          <w:szCs w:val="24"/>
        </w:rPr>
        <w:t> </w:t>
      </w:r>
      <w:r w:rsidRPr="00223ACF">
        <w:rPr>
          <w:sz w:val="24"/>
          <w:szCs w:val="24"/>
          <w:lang w:val="bg-BG"/>
        </w:rPr>
        <w:t>93/12/ЕИО (ОВ</w:t>
      </w:r>
      <w:r w:rsidRPr="0070201F">
        <w:rPr>
          <w:sz w:val="24"/>
          <w:szCs w:val="24"/>
        </w:rPr>
        <w:t> L </w:t>
      </w:r>
      <w:r w:rsidRPr="00223ACF">
        <w:rPr>
          <w:sz w:val="24"/>
          <w:szCs w:val="24"/>
          <w:lang w:val="bg-BG"/>
        </w:rPr>
        <w:t>350, 28.12.1998, стр.</w:t>
      </w:r>
      <w:r w:rsidRPr="0070201F">
        <w:rPr>
          <w:sz w:val="24"/>
          <w:szCs w:val="24"/>
        </w:rPr>
        <w:t> </w:t>
      </w:r>
      <w:r w:rsidRPr="00223ACF">
        <w:rPr>
          <w:sz w:val="24"/>
          <w:szCs w:val="24"/>
          <w:lang w:val="bg-BG"/>
        </w:rPr>
        <w:t xml:space="preserve">58). </w:t>
      </w:r>
    </w:p>
    <w:p w:rsidR="00A937DD" w:rsidRPr="00223ACF" w:rsidRDefault="00A937DD">
      <w:pPr>
        <w:pStyle w:val="FootnoteText"/>
        <w:ind w:left="567" w:hanging="567"/>
        <w:rPr>
          <w:color w:val="000000"/>
          <w:sz w:val="24"/>
          <w:szCs w:val="24"/>
          <w:lang w:val="bg-BG"/>
        </w:rPr>
      </w:pPr>
      <w:r w:rsidRPr="00223ACF">
        <w:rPr>
          <w:snapToGrid w:val="0"/>
          <w:sz w:val="24"/>
          <w:szCs w:val="24"/>
          <w:lang w:val="bg-BG"/>
        </w:rPr>
        <w:t>▌</w:t>
      </w:r>
    </w:p>
  </w:footnote>
  <w:footnote w:id="51">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Директива</w:t>
      </w:r>
      <w:r w:rsidRPr="0070201F">
        <w:rPr>
          <w:sz w:val="24"/>
          <w:szCs w:val="24"/>
        </w:rPr>
        <w:t> </w:t>
      </w:r>
      <w:r w:rsidRPr="00223ACF">
        <w:rPr>
          <w:sz w:val="24"/>
          <w:szCs w:val="24"/>
          <w:lang w:val="bg-BG"/>
        </w:rPr>
        <w:t>92/43/ЕИО на Съвета от 21</w:t>
      </w:r>
      <w:r w:rsidRPr="0070201F">
        <w:rPr>
          <w:sz w:val="24"/>
          <w:szCs w:val="24"/>
        </w:rPr>
        <w:t> </w:t>
      </w:r>
      <w:r w:rsidRPr="00223ACF">
        <w:rPr>
          <w:sz w:val="24"/>
          <w:szCs w:val="24"/>
          <w:lang w:val="bg-BG"/>
        </w:rPr>
        <w:t>май 1992</w:t>
      </w:r>
      <w:r w:rsidRPr="0070201F">
        <w:rPr>
          <w:sz w:val="24"/>
          <w:szCs w:val="24"/>
        </w:rPr>
        <w:t> </w:t>
      </w:r>
      <w:r w:rsidRPr="00223ACF">
        <w:rPr>
          <w:sz w:val="24"/>
          <w:szCs w:val="24"/>
          <w:lang w:val="bg-BG"/>
        </w:rPr>
        <w:t xml:space="preserve">г. за опазване на естествените местообитания и на дивата флора и фауна (ОВ </w:t>
      </w:r>
      <w:r w:rsidRPr="0070201F">
        <w:rPr>
          <w:sz w:val="24"/>
          <w:szCs w:val="24"/>
        </w:rPr>
        <w:t>L </w:t>
      </w:r>
      <w:r w:rsidRPr="00223ACF">
        <w:rPr>
          <w:sz w:val="24"/>
          <w:szCs w:val="24"/>
          <w:lang w:val="bg-BG"/>
        </w:rPr>
        <w:t>206, 22.7.1992</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7).</w:t>
      </w:r>
    </w:p>
  </w:footnote>
  <w:footnote w:id="52">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 xml:space="preserve">Съобщение на Комисията до Европейския парламент, Съвета, Европейския икономически и социален комитет и Комитета на регионите — Инициатива на ЕС относно опрашителите, </w:t>
      </w:r>
      <w:r w:rsidRPr="0070201F">
        <w:rPr>
          <w:sz w:val="24"/>
          <w:szCs w:val="24"/>
        </w:rPr>
        <w:t>COM</w:t>
      </w:r>
      <w:r w:rsidRPr="00223ACF">
        <w:rPr>
          <w:sz w:val="24"/>
          <w:szCs w:val="24"/>
          <w:lang w:val="bg-BG"/>
        </w:rPr>
        <w:t>/2021/609</w:t>
      </w:r>
      <w:r w:rsidRPr="0070201F">
        <w:rPr>
          <w:sz w:val="24"/>
          <w:szCs w:val="24"/>
        </w:rPr>
        <w:t> final</w:t>
      </w:r>
      <w:r w:rsidRPr="00223ACF">
        <w:rPr>
          <w:sz w:val="24"/>
          <w:szCs w:val="24"/>
          <w:lang w:val="bg-BG"/>
        </w:rPr>
        <w:t>.</w:t>
      </w:r>
    </w:p>
  </w:footnote>
  <w:footnote w:id="53">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Директива 2003/4/ЕО на Европейския парламент и на Съвета от 28</w:t>
      </w:r>
      <w:r w:rsidRPr="0070201F">
        <w:rPr>
          <w:sz w:val="24"/>
          <w:szCs w:val="24"/>
        </w:rPr>
        <w:t> </w:t>
      </w:r>
      <w:r w:rsidRPr="00223ACF">
        <w:rPr>
          <w:sz w:val="24"/>
          <w:szCs w:val="24"/>
          <w:lang w:val="bg-BG"/>
        </w:rPr>
        <w:t>януари 2003</w:t>
      </w:r>
      <w:r w:rsidRPr="0070201F">
        <w:rPr>
          <w:sz w:val="24"/>
          <w:szCs w:val="24"/>
        </w:rPr>
        <w:t> </w:t>
      </w:r>
      <w:r w:rsidRPr="00223ACF">
        <w:rPr>
          <w:sz w:val="24"/>
          <w:szCs w:val="24"/>
          <w:lang w:val="bg-BG"/>
        </w:rPr>
        <w:t>г. относно обществения достъп до информация за околната среда и за отмяна на Директива</w:t>
      </w:r>
      <w:r w:rsidRPr="0070201F">
        <w:rPr>
          <w:sz w:val="24"/>
          <w:szCs w:val="24"/>
        </w:rPr>
        <w:t> </w:t>
      </w:r>
      <w:r w:rsidRPr="00223ACF">
        <w:rPr>
          <w:sz w:val="24"/>
          <w:szCs w:val="24"/>
          <w:lang w:val="bg-BG"/>
        </w:rPr>
        <w:t xml:space="preserve">90/313/ЕИО на Съвета (ОВ </w:t>
      </w:r>
      <w:r w:rsidRPr="0070201F">
        <w:rPr>
          <w:sz w:val="24"/>
          <w:szCs w:val="24"/>
        </w:rPr>
        <w:t>L </w:t>
      </w:r>
      <w:r w:rsidRPr="00223ACF">
        <w:rPr>
          <w:sz w:val="24"/>
          <w:szCs w:val="24"/>
          <w:lang w:val="bg-BG"/>
        </w:rPr>
        <w:t>41, 14.2.2003</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26).</w:t>
      </w:r>
    </w:p>
  </w:footnote>
  <w:footnote w:id="54">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Директива 2007/2/ЕО на Европейския парламент и на Съвета от 14</w:t>
      </w:r>
      <w:r w:rsidRPr="0070201F">
        <w:rPr>
          <w:sz w:val="24"/>
          <w:szCs w:val="24"/>
        </w:rPr>
        <w:t> </w:t>
      </w:r>
      <w:r w:rsidRPr="00223ACF">
        <w:rPr>
          <w:sz w:val="24"/>
          <w:szCs w:val="24"/>
          <w:lang w:val="bg-BG"/>
        </w:rPr>
        <w:t>март 2007</w:t>
      </w:r>
      <w:r w:rsidRPr="0070201F">
        <w:rPr>
          <w:sz w:val="24"/>
          <w:szCs w:val="24"/>
        </w:rPr>
        <w:t> </w:t>
      </w:r>
      <w:r w:rsidRPr="00223ACF">
        <w:rPr>
          <w:sz w:val="24"/>
          <w:szCs w:val="24"/>
          <w:lang w:val="bg-BG"/>
        </w:rPr>
        <w:t>г. за създаване на инфраструктура за пространствена информация в Европейската общност (</w:t>
      </w:r>
      <w:r w:rsidRPr="0070201F">
        <w:rPr>
          <w:sz w:val="24"/>
          <w:szCs w:val="24"/>
        </w:rPr>
        <w:t>INSPIRE</w:t>
      </w:r>
      <w:r w:rsidRPr="00223ACF">
        <w:rPr>
          <w:sz w:val="24"/>
          <w:szCs w:val="24"/>
          <w:lang w:val="bg-BG"/>
        </w:rPr>
        <w:t xml:space="preserve">) (ОВ </w:t>
      </w:r>
      <w:r w:rsidRPr="0070201F">
        <w:rPr>
          <w:sz w:val="24"/>
          <w:szCs w:val="24"/>
        </w:rPr>
        <w:t>L </w:t>
      </w:r>
      <w:r w:rsidRPr="00223ACF">
        <w:rPr>
          <w:sz w:val="24"/>
          <w:szCs w:val="24"/>
          <w:lang w:val="bg-BG"/>
        </w:rPr>
        <w:t>108, 25.4.2007</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1).</w:t>
      </w:r>
    </w:p>
  </w:footnote>
  <w:footnote w:id="55">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Директива (ЕС)</w:t>
      </w:r>
      <w:r w:rsidRPr="0070201F">
        <w:rPr>
          <w:sz w:val="24"/>
          <w:szCs w:val="24"/>
        </w:rPr>
        <w:t> </w:t>
      </w:r>
      <w:r w:rsidRPr="00223ACF">
        <w:rPr>
          <w:sz w:val="24"/>
          <w:szCs w:val="24"/>
          <w:lang w:val="bg-BG"/>
        </w:rPr>
        <w:t>2019/1024 на Европейския парламент и на Съвета от 20</w:t>
      </w:r>
      <w:r w:rsidRPr="0070201F">
        <w:rPr>
          <w:sz w:val="24"/>
          <w:szCs w:val="24"/>
        </w:rPr>
        <w:t> </w:t>
      </w:r>
      <w:r w:rsidRPr="00223ACF">
        <w:rPr>
          <w:sz w:val="24"/>
          <w:szCs w:val="24"/>
          <w:lang w:val="bg-BG"/>
        </w:rPr>
        <w:t>юни 2019</w:t>
      </w:r>
      <w:r w:rsidRPr="0070201F">
        <w:rPr>
          <w:sz w:val="24"/>
          <w:szCs w:val="24"/>
        </w:rPr>
        <w:t> </w:t>
      </w:r>
      <w:r w:rsidRPr="00223ACF">
        <w:rPr>
          <w:sz w:val="24"/>
          <w:szCs w:val="24"/>
          <w:lang w:val="bg-BG"/>
        </w:rPr>
        <w:t xml:space="preserve">г. относно отворените данни и повторното използване на информацията от обществения сектор (ОВ </w:t>
      </w:r>
      <w:r w:rsidRPr="0070201F">
        <w:rPr>
          <w:sz w:val="24"/>
          <w:szCs w:val="24"/>
        </w:rPr>
        <w:t>L </w:t>
      </w:r>
      <w:r w:rsidRPr="00223ACF">
        <w:rPr>
          <w:sz w:val="24"/>
          <w:szCs w:val="24"/>
          <w:lang w:val="bg-BG"/>
        </w:rPr>
        <w:t>172, 26.6.2019</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56).</w:t>
      </w:r>
    </w:p>
  </w:footnote>
  <w:footnote w:id="56">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w:t>
      </w:r>
      <w:r w:rsidRPr="0070201F">
        <w:rPr>
          <w:sz w:val="24"/>
          <w:szCs w:val="24"/>
        </w:rPr>
        <w:t> </w:t>
      </w:r>
      <w:r w:rsidRPr="00223ACF">
        <w:rPr>
          <w:sz w:val="24"/>
          <w:szCs w:val="24"/>
          <w:lang w:val="bg-BG"/>
        </w:rPr>
        <w:t>(ЕС)</w:t>
      </w:r>
      <w:r w:rsidRPr="0070201F">
        <w:rPr>
          <w:sz w:val="24"/>
          <w:szCs w:val="24"/>
        </w:rPr>
        <w:t> </w:t>
      </w:r>
      <w:r w:rsidRPr="00223ACF">
        <w:rPr>
          <w:sz w:val="24"/>
          <w:szCs w:val="24"/>
          <w:lang w:val="bg-BG"/>
        </w:rPr>
        <w:t xml:space="preserve">2021/240 на Европейския парламент и на Съвета </w:t>
      </w:r>
      <w:r w:rsidRPr="00223ACF">
        <w:rPr>
          <w:sz w:val="24"/>
          <w:szCs w:val="24"/>
          <w:shd w:val="clear" w:color="auto" w:fill="FFFFFF"/>
          <w:lang w:val="bg-BG"/>
        </w:rPr>
        <w:t>от 10</w:t>
      </w:r>
      <w:r w:rsidRPr="0070201F">
        <w:rPr>
          <w:sz w:val="24"/>
          <w:szCs w:val="24"/>
          <w:shd w:val="clear" w:color="auto" w:fill="FFFFFF"/>
        </w:rPr>
        <w:t> </w:t>
      </w:r>
      <w:r w:rsidRPr="00223ACF">
        <w:rPr>
          <w:sz w:val="24"/>
          <w:szCs w:val="24"/>
          <w:shd w:val="clear" w:color="auto" w:fill="FFFFFF"/>
          <w:lang w:val="bg-BG"/>
        </w:rPr>
        <w:t>февруари 2021</w:t>
      </w:r>
      <w:r w:rsidRPr="0070201F">
        <w:rPr>
          <w:sz w:val="24"/>
          <w:szCs w:val="24"/>
          <w:shd w:val="clear" w:color="auto" w:fill="FFFFFF"/>
        </w:rPr>
        <w:t> </w:t>
      </w:r>
      <w:r w:rsidRPr="00223ACF">
        <w:rPr>
          <w:sz w:val="24"/>
          <w:szCs w:val="24"/>
          <w:shd w:val="clear" w:color="auto" w:fill="FFFFFF"/>
          <w:lang w:val="bg-BG"/>
        </w:rPr>
        <w:t>г. за създаване на Инструмент за техническа подкрепа (</w:t>
      </w:r>
      <w:r w:rsidRPr="00223ACF">
        <w:rPr>
          <w:rStyle w:val="Betonad"/>
          <w:color w:val="444444"/>
          <w:sz w:val="24"/>
          <w:szCs w:val="24"/>
          <w:shd w:val="clear" w:color="auto" w:fill="FFFFFF"/>
          <w:lang w:val="bg-BG"/>
        </w:rPr>
        <w:t xml:space="preserve">ОВ </w:t>
      </w:r>
      <w:r w:rsidRPr="0070201F">
        <w:rPr>
          <w:rStyle w:val="Betonad"/>
          <w:color w:val="444444"/>
          <w:sz w:val="24"/>
          <w:szCs w:val="24"/>
          <w:shd w:val="clear" w:color="auto" w:fill="FFFFFF"/>
        </w:rPr>
        <w:t>L </w:t>
      </w:r>
      <w:r w:rsidRPr="00223ACF">
        <w:rPr>
          <w:rStyle w:val="Betonad"/>
          <w:color w:val="444444"/>
          <w:sz w:val="24"/>
          <w:szCs w:val="24"/>
          <w:shd w:val="clear" w:color="auto" w:fill="FFFFFF"/>
          <w:lang w:val="bg-BG"/>
        </w:rPr>
        <w:t>57, 18.2.2021</w:t>
      </w:r>
      <w:r w:rsidRPr="0070201F">
        <w:rPr>
          <w:rStyle w:val="Betonad"/>
          <w:color w:val="444444"/>
          <w:sz w:val="24"/>
          <w:szCs w:val="24"/>
          <w:shd w:val="clear" w:color="auto" w:fill="FFFFFF"/>
        </w:rPr>
        <w:t> </w:t>
      </w:r>
      <w:r w:rsidRPr="00223ACF">
        <w:rPr>
          <w:rStyle w:val="Betonad"/>
          <w:color w:val="444444"/>
          <w:sz w:val="24"/>
          <w:szCs w:val="24"/>
          <w:shd w:val="clear" w:color="auto" w:fill="FFFFFF"/>
          <w:lang w:val="bg-BG"/>
        </w:rPr>
        <w:t>г., стр.</w:t>
      </w:r>
      <w:r w:rsidRPr="0070201F">
        <w:rPr>
          <w:rStyle w:val="Betonad"/>
          <w:color w:val="444444"/>
          <w:sz w:val="24"/>
          <w:szCs w:val="24"/>
          <w:shd w:val="clear" w:color="auto" w:fill="FFFFFF"/>
        </w:rPr>
        <w:t> </w:t>
      </w:r>
      <w:r w:rsidRPr="00223ACF">
        <w:rPr>
          <w:rStyle w:val="Betonad"/>
          <w:color w:val="444444"/>
          <w:sz w:val="24"/>
          <w:szCs w:val="24"/>
          <w:shd w:val="clear" w:color="auto" w:fill="FFFFFF"/>
          <w:lang w:val="bg-BG"/>
        </w:rPr>
        <w:t>1).</w:t>
      </w:r>
    </w:p>
  </w:footnote>
  <w:footnote w:id="57">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 (ЕС) 2021/783 на Европейския парламент и на Съвета от 29</w:t>
      </w:r>
      <w:r w:rsidRPr="0070201F">
        <w:rPr>
          <w:sz w:val="24"/>
          <w:szCs w:val="24"/>
        </w:rPr>
        <w:t> </w:t>
      </w:r>
      <w:r w:rsidRPr="00223ACF">
        <w:rPr>
          <w:sz w:val="24"/>
          <w:szCs w:val="24"/>
          <w:lang w:val="bg-BG"/>
        </w:rPr>
        <w:t>април 2021</w:t>
      </w:r>
      <w:r w:rsidRPr="0070201F">
        <w:rPr>
          <w:sz w:val="24"/>
          <w:szCs w:val="24"/>
        </w:rPr>
        <w:t> </w:t>
      </w:r>
      <w:r w:rsidRPr="00223ACF">
        <w:rPr>
          <w:sz w:val="24"/>
          <w:szCs w:val="24"/>
          <w:lang w:val="bg-BG"/>
        </w:rPr>
        <w:t>г. за създаване на Програма за околната среда и действията по климата (</w:t>
      </w:r>
      <w:r w:rsidRPr="0070201F">
        <w:rPr>
          <w:sz w:val="24"/>
          <w:szCs w:val="24"/>
        </w:rPr>
        <w:t>LIFE</w:t>
      </w:r>
      <w:r w:rsidRPr="00223ACF">
        <w:rPr>
          <w:sz w:val="24"/>
          <w:szCs w:val="24"/>
          <w:lang w:val="bg-BG"/>
        </w:rPr>
        <w:t>) и за отмяна на Регламент (ЕС) №</w:t>
      </w:r>
      <w:r w:rsidRPr="0070201F">
        <w:rPr>
          <w:sz w:val="24"/>
          <w:szCs w:val="24"/>
        </w:rPr>
        <w:t> </w:t>
      </w:r>
      <w:r w:rsidRPr="00223ACF">
        <w:rPr>
          <w:sz w:val="24"/>
          <w:szCs w:val="24"/>
          <w:lang w:val="bg-BG"/>
        </w:rPr>
        <w:t xml:space="preserve">1293/2013 (ОВ </w:t>
      </w:r>
      <w:r w:rsidRPr="0070201F">
        <w:rPr>
          <w:sz w:val="24"/>
          <w:szCs w:val="24"/>
        </w:rPr>
        <w:t>L </w:t>
      </w:r>
      <w:r w:rsidRPr="00223ACF">
        <w:rPr>
          <w:sz w:val="24"/>
          <w:szCs w:val="24"/>
          <w:lang w:val="bg-BG"/>
        </w:rPr>
        <w:t>172, 17.5.2021</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53).</w:t>
      </w:r>
    </w:p>
  </w:footnote>
  <w:footnote w:id="58">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 (ЕС) 2021/1139 на Европейския парламент и на Съвета от 7</w:t>
      </w:r>
      <w:r w:rsidRPr="0070201F">
        <w:rPr>
          <w:sz w:val="24"/>
          <w:szCs w:val="24"/>
        </w:rPr>
        <w:t> </w:t>
      </w:r>
      <w:r w:rsidRPr="00223ACF">
        <w:rPr>
          <w:sz w:val="24"/>
          <w:szCs w:val="24"/>
          <w:lang w:val="bg-BG"/>
        </w:rPr>
        <w:t>юли 2021</w:t>
      </w:r>
      <w:r w:rsidRPr="0070201F">
        <w:rPr>
          <w:sz w:val="24"/>
          <w:szCs w:val="24"/>
        </w:rPr>
        <w:t> </w:t>
      </w:r>
      <w:r w:rsidRPr="00223ACF">
        <w:rPr>
          <w:sz w:val="24"/>
          <w:szCs w:val="24"/>
          <w:lang w:val="bg-BG"/>
        </w:rPr>
        <w:t xml:space="preserve">г. за създаване на Европейския фонд за морско дело, рибарство и аквакултури и за изменение на Регламент (ЕС) 2017/1004 (ОВ </w:t>
      </w:r>
      <w:r w:rsidRPr="0070201F">
        <w:rPr>
          <w:sz w:val="24"/>
          <w:szCs w:val="24"/>
        </w:rPr>
        <w:t>L </w:t>
      </w:r>
      <w:r w:rsidRPr="00223ACF">
        <w:rPr>
          <w:sz w:val="24"/>
          <w:szCs w:val="24"/>
          <w:lang w:val="bg-BG"/>
        </w:rPr>
        <w:t>247, 13.7.2021</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1).</w:t>
      </w:r>
    </w:p>
  </w:footnote>
  <w:footnote w:id="59">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 (ЕС) 2020/2220 на Европейския парламент и на Съвета от 23</w:t>
      </w:r>
      <w:r w:rsidRPr="0070201F">
        <w:rPr>
          <w:sz w:val="24"/>
          <w:szCs w:val="24"/>
        </w:rPr>
        <w:t> </w:t>
      </w:r>
      <w:r w:rsidRPr="00223ACF">
        <w:rPr>
          <w:sz w:val="24"/>
          <w:szCs w:val="24"/>
          <w:lang w:val="bg-BG"/>
        </w:rPr>
        <w:t>декември 2020</w:t>
      </w:r>
      <w:r w:rsidRPr="0070201F">
        <w:rPr>
          <w:sz w:val="24"/>
          <w:szCs w:val="24"/>
        </w:rPr>
        <w:t> </w:t>
      </w:r>
      <w:r w:rsidRPr="00223ACF">
        <w:rPr>
          <w:sz w:val="24"/>
          <w:szCs w:val="24"/>
          <w:lang w:val="bg-BG"/>
        </w:rPr>
        <w:t>г. за определяне на някои преходни разпоредби във връзка с подпомагането от Европейския земеделски фонд за развитие на селските райони (ЕЗФРСР) и от Европейския фонд за гарантиране на земеделието (ЕФГЗ) през 2021</w:t>
      </w:r>
      <w:r w:rsidRPr="0070201F">
        <w:rPr>
          <w:sz w:val="24"/>
          <w:szCs w:val="24"/>
        </w:rPr>
        <w:t> </w:t>
      </w:r>
      <w:r w:rsidRPr="00223ACF">
        <w:rPr>
          <w:sz w:val="24"/>
          <w:szCs w:val="24"/>
          <w:lang w:val="bg-BG"/>
        </w:rPr>
        <w:t>г. и 2022</w:t>
      </w:r>
      <w:r w:rsidRPr="0070201F">
        <w:rPr>
          <w:sz w:val="24"/>
          <w:szCs w:val="24"/>
        </w:rPr>
        <w:t> </w:t>
      </w:r>
      <w:r w:rsidRPr="00223ACF">
        <w:rPr>
          <w:sz w:val="24"/>
          <w:szCs w:val="24"/>
          <w:lang w:val="bg-BG"/>
        </w:rPr>
        <w:t>г. и за изменение на регламенти (ЕС) №</w:t>
      </w:r>
      <w:r w:rsidRPr="0070201F">
        <w:rPr>
          <w:sz w:val="24"/>
          <w:szCs w:val="24"/>
        </w:rPr>
        <w:t> </w:t>
      </w:r>
      <w:r w:rsidRPr="00223ACF">
        <w:rPr>
          <w:sz w:val="24"/>
          <w:szCs w:val="24"/>
          <w:lang w:val="bg-BG"/>
        </w:rPr>
        <w:t>1305/2013, (ЕС) №</w:t>
      </w:r>
      <w:r w:rsidRPr="0070201F">
        <w:rPr>
          <w:sz w:val="24"/>
          <w:szCs w:val="24"/>
        </w:rPr>
        <w:t> </w:t>
      </w:r>
      <w:r w:rsidRPr="00223ACF">
        <w:rPr>
          <w:sz w:val="24"/>
          <w:szCs w:val="24"/>
          <w:lang w:val="bg-BG"/>
        </w:rPr>
        <w:t>1306/2013 и (ЕС) №</w:t>
      </w:r>
      <w:r w:rsidRPr="0070201F">
        <w:rPr>
          <w:sz w:val="24"/>
          <w:szCs w:val="24"/>
        </w:rPr>
        <w:t> </w:t>
      </w:r>
      <w:r w:rsidRPr="00223ACF">
        <w:rPr>
          <w:sz w:val="24"/>
          <w:szCs w:val="24"/>
          <w:lang w:val="bg-BG"/>
        </w:rPr>
        <w:t>1307/2013 по отношение на ресурсите и на прилагането през 2021</w:t>
      </w:r>
      <w:r w:rsidRPr="0070201F">
        <w:rPr>
          <w:sz w:val="24"/>
          <w:szCs w:val="24"/>
        </w:rPr>
        <w:t> </w:t>
      </w:r>
      <w:r w:rsidRPr="00223ACF">
        <w:rPr>
          <w:sz w:val="24"/>
          <w:szCs w:val="24"/>
          <w:lang w:val="bg-BG"/>
        </w:rPr>
        <w:t>г. и 2022</w:t>
      </w:r>
      <w:r w:rsidRPr="0070201F">
        <w:rPr>
          <w:sz w:val="24"/>
          <w:szCs w:val="24"/>
        </w:rPr>
        <w:t> </w:t>
      </w:r>
      <w:r w:rsidRPr="00223ACF">
        <w:rPr>
          <w:sz w:val="24"/>
          <w:szCs w:val="24"/>
          <w:lang w:val="bg-BG"/>
        </w:rPr>
        <w:t>г. и Регламент (ЕС) №</w:t>
      </w:r>
      <w:r w:rsidRPr="0070201F">
        <w:rPr>
          <w:sz w:val="24"/>
          <w:szCs w:val="24"/>
        </w:rPr>
        <w:t> </w:t>
      </w:r>
      <w:r w:rsidRPr="00223ACF">
        <w:rPr>
          <w:sz w:val="24"/>
          <w:szCs w:val="24"/>
          <w:lang w:val="bg-BG"/>
        </w:rPr>
        <w:t>1308/2013 по отношение на ресурсите и разпределението на това подпомагане за 2021</w:t>
      </w:r>
      <w:r w:rsidRPr="0070201F">
        <w:rPr>
          <w:sz w:val="24"/>
          <w:szCs w:val="24"/>
        </w:rPr>
        <w:t> </w:t>
      </w:r>
      <w:r w:rsidRPr="00223ACF">
        <w:rPr>
          <w:sz w:val="24"/>
          <w:szCs w:val="24"/>
          <w:lang w:val="bg-BG"/>
        </w:rPr>
        <w:t>г. и 2022</w:t>
      </w:r>
      <w:r w:rsidRPr="0070201F">
        <w:rPr>
          <w:sz w:val="24"/>
          <w:szCs w:val="24"/>
        </w:rPr>
        <w:t> </w:t>
      </w:r>
      <w:r w:rsidRPr="00223ACF">
        <w:rPr>
          <w:sz w:val="24"/>
          <w:szCs w:val="24"/>
          <w:lang w:val="bg-BG"/>
        </w:rPr>
        <w:t xml:space="preserve">г. (ОВ </w:t>
      </w:r>
      <w:r w:rsidRPr="0070201F">
        <w:rPr>
          <w:sz w:val="24"/>
          <w:szCs w:val="24"/>
        </w:rPr>
        <w:t>L </w:t>
      </w:r>
      <w:r w:rsidRPr="00223ACF">
        <w:rPr>
          <w:sz w:val="24"/>
          <w:szCs w:val="24"/>
          <w:lang w:val="bg-BG"/>
        </w:rPr>
        <w:t>437, 28.12.2020</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1).</w:t>
      </w:r>
    </w:p>
  </w:footnote>
  <w:footnote w:id="60">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 (ЕС) 2021/1058 на Европейския парламент и на Съвета от 24</w:t>
      </w:r>
      <w:r w:rsidRPr="0070201F">
        <w:rPr>
          <w:sz w:val="24"/>
          <w:szCs w:val="24"/>
        </w:rPr>
        <w:t> </w:t>
      </w:r>
      <w:r w:rsidRPr="00223ACF">
        <w:rPr>
          <w:sz w:val="24"/>
          <w:szCs w:val="24"/>
          <w:lang w:val="bg-BG"/>
        </w:rPr>
        <w:t>юни 2021</w:t>
      </w:r>
      <w:r w:rsidRPr="0070201F">
        <w:rPr>
          <w:sz w:val="24"/>
          <w:szCs w:val="24"/>
        </w:rPr>
        <w:t> </w:t>
      </w:r>
      <w:r w:rsidRPr="00223ACF">
        <w:rPr>
          <w:sz w:val="24"/>
          <w:szCs w:val="24"/>
          <w:lang w:val="bg-BG"/>
        </w:rPr>
        <w:t xml:space="preserve">г. за Европейския фонд за регионално развитие и Кохезионния фонд (ОВ </w:t>
      </w:r>
      <w:r w:rsidRPr="0070201F">
        <w:rPr>
          <w:sz w:val="24"/>
          <w:szCs w:val="24"/>
        </w:rPr>
        <w:t>L </w:t>
      </w:r>
      <w:r w:rsidRPr="00223ACF">
        <w:rPr>
          <w:sz w:val="24"/>
          <w:szCs w:val="24"/>
          <w:lang w:val="bg-BG"/>
        </w:rPr>
        <w:t>231, 30.6.2021</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60).</w:t>
      </w:r>
    </w:p>
  </w:footnote>
  <w:footnote w:id="61">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 (ЕС) 2021/1056 на Европейския парламент и на Съвета от 24</w:t>
      </w:r>
      <w:r w:rsidRPr="0070201F">
        <w:rPr>
          <w:sz w:val="24"/>
          <w:szCs w:val="24"/>
        </w:rPr>
        <w:t> </w:t>
      </w:r>
      <w:r w:rsidRPr="00223ACF">
        <w:rPr>
          <w:sz w:val="24"/>
          <w:szCs w:val="24"/>
          <w:lang w:val="bg-BG"/>
        </w:rPr>
        <w:t>юни 2021</w:t>
      </w:r>
      <w:r w:rsidRPr="0070201F">
        <w:rPr>
          <w:sz w:val="24"/>
          <w:szCs w:val="24"/>
        </w:rPr>
        <w:t> </w:t>
      </w:r>
      <w:r w:rsidRPr="00223ACF">
        <w:rPr>
          <w:sz w:val="24"/>
          <w:szCs w:val="24"/>
          <w:lang w:val="bg-BG"/>
        </w:rPr>
        <w:t xml:space="preserve">г. за създаване на Фонда за справедлив преход (ОВ </w:t>
      </w:r>
      <w:r w:rsidRPr="0070201F">
        <w:rPr>
          <w:sz w:val="24"/>
          <w:szCs w:val="24"/>
        </w:rPr>
        <w:t>L </w:t>
      </w:r>
      <w:r w:rsidRPr="00223ACF">
        <w:rPr>
          <w:sz w:val="24"/>
          <w:szCs w:val="24"/>
          <w:lang w:val="bg-BG"/>
        </w:rPr>
        <w:t>231, 30.6.2021</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1).</w:t>
      </w:r>
    </w:p>
  </w:footnote>
  <w:footnote w:id="62">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w:t>
      </w:r>
      <w:r w:rsidRPr="0070201F">
        <w:rPr>
          <w:sz w:val="24"/>
          <w:szCs w:val="24"/>
        </w:rPr>
        <w:t> </w:t>
      </w:r>
      <w:r w:rsidRPr="00223ACF">
        <w:rPr>
          <w:sz w:val="24"/>
          <w:szCs w:val="24"/>
          <w:lang w:val="bg-BG"/>
        </w:rPr>
        <w:t>(ЕС)</w:t>
      </w:r>
      <w:r w:rsidRPr="0070201F">
        <w:rPr>
          <w:sz w:val="24"/>
          <w:szCs w:val="24"/>
        </w:rPr>
        <w:t> </w:t>
      </w:r>
      <w:r w:rsidRPr="00223ACF">
        <w:rPr>
          <w:sz w:val="24"/>
          <w:szCs w:val="24"/>
          <w:lang w:val="bg-BG"/>
        </w:rPr>
        <w:t>2021/695 на Европейския парламент и на Съвета от 28</w:t>
      </w:r>
      <w:r w:rsidRPr="0070201F">
        <w:rPr>
          <w:sz w:val="24"/>
          <w:szCs w:val="24"/>
        </w:rPr>
        <w:t> </w:t>
      </w:r>
      <w:r w:rsidRPr="00223ACF">
        <w:rPr>
          <w:sz w:val="24"/>
          <w:szCs w:val="24"/>
          <w:lang w:val="bg-BG"/>
        </w:rPr>
        <w:t>април 2021</w:t>
      </w:r>
      <w:r w:rsidRPr="0070201F">
        <w:rPr>
          <w:sz w:val="24"/>
          <w:szCs w:val="24"/>
        </w:rPr>
        <w:t> </w:t>
      </w:r>
      <w:r w:rsidRPr="00223ACF">
        <w:rPr>
          <w:sz w:val="24"/>
          <w:szCs w:val="24"/>
          <w:lang w:val="bg-BG"/>
        </w:rPr>
        <w:t>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w:t>
      </w:r>
      <w:r w:rsidRPr="0070201F">
        <w:rPr>
          <w:sz w:val="24"/>
          <w:szCs w:val="24"/>
        </w:rPr>
        <w:t> </w:t>
      </w:r>
      <w:r w:rsidRPr="00223ACF">
        <w:rPr>
          <w:sz w:val="24"/>
          <w:szCs w:val="24"/>
          <w:lang w:val="bg-BG"/>
        </w:rPr>
        <w:t>1290/2013 и (ЕС) №</w:t>
      </w:r>
      <w:r w:rsidRPr="0070201F">
        <w:rPr>
          <w:sz w:val="24"/>
          <w:szCs w:val="24"/>
        </w:rPr>
        <w:t> </w:t>
      </w:r>
      <w:r w:rsidRPr="00223ACF">
        <w:rPr>
          <w:sz w:val="24"/>
          <w:szCs w:val="24"/>
          <w:lang w:val="bg-BG"/>
        </w:rPr>
        <w:t xml:space="preserve">1291/2013 (ОВ </w:t>
      </w:r>
      <w:r w:rsidRPr="0070201F">
        <w:rPr>
          <w:sz w:val="24"/>
          <w:szCs w:val="24"/>
        </w:rPr>
        <w:t>L </w:t>
      </w:r>
      <w:r w:rsidRPr="00223ACF">
        <w:rPr>
          <w:sz w:val="24"/>
          <w:szCs w:val="24"/>
          <w:lang w:val="bg-BG"/>
        </w:rPr>
        <w:t>170, 12.5.2021</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1).</w:t>
      </w:r>
    </w:p>
  </w:footnote>
  <w:footnote w:id="63">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 (ЕС, Евратом) 2020/2093 на Съвета от 17</w:t>
      </w:r>
      <w:r w:rsidRPr="0070201F">
        <w:rPr>
          <w:sz w:val="24"/>
          <w:szCs w:val="24"/>
        </w:rPr>
        <w:t> </w:t>
      </w:r>
      <w:r w:rsidRPr="00223ACF">
        <w:rPr>
          <w:sz w:val="24"/>
          <w:szCs w:val="24"/>
          <w:lang w:val="bg-BG"/>
        </w:rPr>
        <w:t>декември 2020</w:t>
      </w:r>
      <w:r w:rsidRPr="0070201F">
        <w:rPr>
          <w:sz w:val="24"/>
          <w:szCs w:val="24"/>
        </w:rPr>
        <w:t> </w:t>
      </w:r>
      <w:r w:rsidRPr="00223ACF">
        <w:rPr>
          <w:sz w:val="24"/>
          <w:szCs w:val="24"/>
          <w:lang w:val="bg-BG"/>
        </w:rPr>
        <w:t xml:space="preserve">г. за определяне на многогодишната финансова рамка за годините 2021—2027 (ОВ </w:t>
      </w:r>
      <w:r w:rsidRPr="0070201F">
        <w:rPr>
          <w:sz w:val="24"/>
          <w:szCs w:val="24"/>
        </w:rPr>
        <w:t>L </w:t>
      </w:r>
      <w:r w:rsidRPr="00223ACF">
        <w:rPr>
          <w:sz w:val="24"/>
          <w:szCs w:val="24"/>
          <w:lang w:val="bg-BG"/>
        </w:rPr>
        <w:t>433</w:t>
      </w:r>
      <w:r w:rsidRPr="0070201F">
        <w:rPr>
          <w:sz w:val="24"/>
          <w:szCs w:val="24"/>
        </w:rPr>
        <w:t>I</w:t>
      </w:r>
      <w:r w:rsidRPr="00223ACF">
        <w:rPr>
          <w:sz w:val="24"/>
          <w:szCs w:val="24"/>
          <w:lang w:val="bg-BG"/>
        </w:rPr>
        <w:t>, 22.12.2020</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11).</w:t>
      </w:r>
    </w:p>
  </w:footnote>
  <w:footnote w:id="64">
    <w:p w:rsidR="00A937DD" w:rsidRPr="00223ACF" w:rsidRDefault="00A937DD">
      <w:pPr>
        <w:pStyle w:val="FootnoteText"/>
        <w:ind w:left="567" w:hanging="567"/>
        <w:rPr>
          <w:sz w:val="24"/>
          <w:szCs w:val="24"/>
          <w:lang w:val="bg-BG"/>
        </w:rPr>
      </w:pPr>
      <w:r w:rsidRPr="0070201F">
        <w:rPr>
          <w:rStyle w:val="FootnoteCharacters"/>
          <w:rFonts w:eastAsiaTheme="minorHAnsi"/>
          <w:sz w:val="24"/>
          <w:szCs w:val="24"/>
        </w:rPr>
        <w:footnoteRef/>
      </w:r>
      <w:r w:rsidRPr="00223ACF">
        <w:rPr>
          <w:sz w:val="24"/>
          <w:szCs w:val="24"/>
          <w:lang w:val="bg-BG"/>
        </w:rPr>
        <w:t xml:space="preserve"> </w:t>
      </w:r>
      <w:r w:rsidRPr="00223ACF">
        <w:rPr>
          <w:sz w:val="24"/>
          <w:szCs w:val="24"/>
          <w:lang w:val="bg-BG"/>
        </w:rPr>
        <w:tab/>
        <w:t>Регламент (ЕС) 2021/241 на Европейския парламент и на Съвета от 12</w:t>
      </w:r>
      <w:r w:rsidRPr="0070201F">
        <w:rPr>
          <w:sz w:val="24"/>
          <w:szCs w:val="24"/>
        </w:rPr>
        <w:t> </w:t>
      </w:r>
      <w:r w:rsidRPr="00223ACF">
        <w:rPr>
          <w:sz w:val="24"/>
          <w:szCs w:val="24"/>
          <w:lang w:val="bg-BG"/>
        </w:rPr>
        <w:t>февруари 2021</w:t>
      </w:r>
      <w:r w:rsidRPr="0070201F">
        <w:rPr>
          <w:sz w:val="24"/>
          <w:szCs w:val="24"/>
        </w:rPr>
        <w:t> </w:t>
      </w:r>
      <w:r w:rsidRPr="00223ACF">
        <w:rPr>
          <w:sz w:val="24"/>
          <w:szCs w:val="24"/>
          <w:lang w:val="bg-BG"/>
        </w:rPr>
        <w:t xml:space="preserve">г. за създаване на Механизъм за възстановяване и устойчивост (ОВ </w:t>
      </w:r>
      <w:r w:rsidRPr="0070201F">
        <w:rPr>
          <w:sz w:val="24"/>
          <w:szCs w:val="24"/>
        </w:rPr>
        <w:t>L </w:t>
      </w:r>
      <w:r w:rsidRPr="00223ACF">
        <w:rPr>
          <w:sz w:val="24"/>
          <w:szCs w:val="24"/>
          <w:lang w:val="bg-BG"/>
        </w:rPr>
        <w:t>57, 18.2.2021</w:t>
      </w:r>
      <w:r w:rsidRPr="0070201F">
        <w:rPr>
          <w:sz w:val="24"/>
          <w:szCs w:val="24"/>
        </w:rPr>
        <w:t> </w:t>
      </w:r>
      <w:r w:rsidRPr="00223ACF">
        <w:rPr>
          <w:sz w:val="24"/>
          <w:szCs w:val="24"/>
          <w:lang w:val="bg-BG"/>
        </w:rPr>
        <w:t>г., стр.</w:t>
      </w:r>
      <w:r w:rsidRPr="0070201F">
        <w:rPr>
          <w:sz w:val="24"/>
          <w:szCs w:val="24"/>
        </w:rPr>
        <w:t> </w:t>
      </w:r>
      <w:r w:rsidRPr="00223ACF">
        <w:rPr>
          <w:sz w:val="24"/>
          <w:szCs w:val="24"/>
          <w:lang w:val="bg-BG"/>
        </w:rPr>
        <w:t>17).</w:t>
      </w:r>
    </w:p>
  </w:footnote>
  <w:footnote w:id="65">
    <w:p w:rsidR="00A937DD" w:rsidRPr="0070201F" w:rsidRDefault="00A937DD">
      <w:pPr>
        <w:pStyle w:val="FootnoteText"/>
        <w:ind w:left="567" w:hanging="567"/>
        <w:rPr>
          <w:sz w:val="24"/>
          <w:szCs w:val="24"/>
        </w:rPr>
      </w:pPr>
      <w:r w:rsidRPr="0070201F">
        <w:rPr>
          <w:rStyle w:val="FootnoteCharacters"/>
          <w:rFonts w:eastAsiaTheme="minorHAnsi"/>
          <w:sz w:val="24"/>
          <w:szCs w:val="24"/>
        </w:rPr>
        <w:footnoteRef/>
      </w:r>
      <w:r w:rsidRPr="0070201F">
        <w:rPr>
          <w:color w:val="444444"/>
          <w:sz w:val="24"/>
          <w:szCs w:val="24"/>
          <w:shd w:val="clear" w:color="auto" w:fill="FFFFFF"/>
        </w:rPr>
        <w:t xml:space="preserve"> </w:t>
      </w:r>
      <w:r w:rsidRPr="0070201F">
        <w:rPr>
          <w:color w:val="444444"/>
          <w:sz w:val="24"/>
          <w:szCs w:val="24"/>
          <w:shd w:val="clear" w:color="auto" w:fill="FFFFFF"/>
        </w:rPr>
        <w:tab/>
      </w:r>
      <w:r w:rsidRPr="00223ACF">
        <w:rPr>
          <w:sz w:val="24"/>
          <w:szCs w:val="24"/>
          <w:shd w:val="clear" w:color="auto" w:fill="FFFFFF"/>
        </w:rPr>
        <w:t xml:space="preserve">Регламент (ЕС) 2021/523 на Европейския парламент и на Съвета от 24 март 2021 г. за създаване на програмата InvestEU и за изменение на Регламент (ЕС) 2015/1017 </w:t>
      </w:r>
      <w:r w:rsidRPr="00223ACF">
        <w:rPr>
          <w:rStyle w:val="Betonad"/>
          <w:sz w:val="24"/>
          <w:szCs w:val="24"/>
          <w:shd w:val="clear" w:color="auto" w:fill="FFFFFF"/>
        </w:rPr>
        <w:t>(ОВ L 107, 26.3.2021 г., стр. 30).</w:t>
      </w:r>
    </w:p>
  </w:footnote>
  <w:footnote w:id="66">
    <w:p w:rsidR="00A937DD" w:rsidRPr="00A937DD"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Съобщение на Комисията до Европейския парламент и Съвета — Устойчиви въглеродни цикли (COM (2021) 800 final).</w:t>
      </w:r>
    </w:p>
  </w:footnote>
  <w:footnote w:id="67">
    <w:p w:rsidR="00A937DD" w:rsidRPr="0070201F"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ab/>
        <w:t>Регламент</w:t>
      </w:r>
      <w:r w:rsidR="00241A11">
        <w:rPr>
          <w:sz w:val="24"/>
          <w:szCs w:val="24"/>
          <w:lang w:val="bg-BG"/>
        </w:rPr>
        <w:t xml:space="preserve"> </w:t>
      </w:r>
      <w:r w:rsidRPr="0070201F">
        <w:rPr>
          <w:sz w:val="24"/>
          <w:szCs w:val="24"/>
        </w:rPr>
        <w:t>(ЕС)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(ОВ L 435, 6.12.2021 г., стр. 1).</w:t>
      </w:r>
    </w:p>
  </w:footnote>
  <w:footnote w:id="68">
    <w:p w:rsidR="00A937DD" w:rsidRPr="0070201F"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ab/>
        <w:t>[Да се добави препратка след публикуването на 8-ата ПДОС].</w:t>
      </w:r>
    </w:p>
  </w:footnote>
  <w:footnote w:id="69">
    <w:p w:rsidR="00223ACF" w:rsidRPr="00223ACF" w:rsidRDefault="00223ACF">
      <w:pPr>
        <w:pStyle w:val="FootnoteText"/>
        <w:rPr>
          <w:sz w:val="24"/>
          <w:szCs w:val="24"/>
        </w:rPr>
      </w:pPr>
      <w:r w:rsidRPr="00223ACF">
        <w:rPr>
          <w:rStyle w:val="FootnoteReference"/>
          <w:sz w:val="24"/>
          <w:szCs w:val="24"/>
        </w:rPr>
        <w:footnoteRef/>
      </w:r>
      <w:r w:rsidRPr="00223ACF">
        <w:rPr>
          <w:sz w:val="24"/>
          <w:szCs w:val="24"/>
        </w:rPr>
        <w:t xml:space="preserve"> </w:t>
      </w:r>
      <w:r w:rsidRPr="00223ACF">
        <w:rPr>
          <w:sz w:val="24"/>
          <w:szCs w:val="24"/>
        </w:rPr>
        <w:tab/>
      </w:r>
      <w:r w:rsidRPr="00223ACF">
        <w:rPr>
          <w:sz w:val="24"/>
          <w:szCs w:val="24"/>
        </w:rPr>
        <w:t>Междуинституционално споразумение между Европейския парламент, Съвета на Европейския съюз и Европейската комисия за по-добро законотворчество (ОВ L 123, 12.5.2016 г., стр. 1).</w:t>
      </w:r>
    </w:p>
  </w:footnote>
  <w:footnote w:id="70">
    <w:p w:rsidR="00A937DD" w:rsidRPr="0070201F"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 xml:space="preserve"> </w:t>
      </w:r>
      <w:r w:rsidRPr="0070201F">
        <w:rPr>
          <w:sz w:val="24"/>
          <w:szCs w:val="24"/>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71">
    <w:p w:rsidR="00A937DD" w:rsidRPr="0070201F" w:rsidRDefault="00A937DD">
      <w:pPr>
        <w:pStyle w:val="FootnoteText"/>
        <w:ind w:left="567" w:hanging="567"/>
        <w:rPr>
          <w:sz w:val="24"/>
          <w:szCs w:val="24"/>
        </w:rPr>
      </w:pPr>
      <w:r w:rsidRPr="0070201F">
        <w:rPr>
          <w:rStyle w:val="FootnoteCharacters"/>
          <w:rFonts w:eastAsiaTheme="minorHAnsi"/>
          <w:sz w:val="24"/>
          <w:szCs w:val="24"/>
        </w:rPr>
        <w:footnoteRef/>
      </w:r>
      <w:r w:rsidRPr="0070201F">
        <w:rPr>
          <w:color w:val="000000"/>
          <w:sz w:val="24"/>
          <w:szCs w:val="24"/>
          <w:shd w:val="clear" w:color="auto" w:fill="FFFFFF"/>
        </w:rPr>
        <w:tab/>
        <w:t>Регламент (ЕО) № 1059/2003 на Европейския парламент и на Съвета от 26 май 2003 г. за установяване на обща класификация на териториалните единици за статистически цели (NUTS) (</w:t>
      </w:r>
      <w:r w:rsidRPr="0070201F">
        <w:rPr>
          <w:rStyle w:val="Betonad"/>
          <w:color w:val="444444"/>
          <w:sz w:val="24"/>
          <w:szCs w:val="24"/>
          <w:shd w:val="clear" w:color="auto" w:fill="FFFFFF"/>
        </w:rPr>
        <w:t xml:space="preserve">ОВ L 154, </w:t>
      </w:r>
      <w:r w:rsidRPr="0070201F">
        <w:rPr>
          <w:rStyle w:val="Betonad"/>
          <w:color w:val="444444"/>
          <w:sz w:val="24"/>
          <w:szCs w:val="24"/>
          <w:shd w:val="clear" w:color="auto" w:fill="FFFFFF"/>
        </w:rPr>
        <w:tab/>
        <w:t>21.6.2003 г., стр. 1).</w:t>
      </w:r>
    </w:p>
  </w:footnote>
  <w:footnote w:id="72">
    <w:p w:rsidR="00A937DD" w:rsidRPr="0070201F" w:rsidRDefault="00A937DD">
      <w:pPr>
        <w:pStyle w:val="FootnoteText"/>
        <w:ind w:left="567" w:hanging="567"/>
        <w:rPr>
          <w:sz w:val="24"/>
          <w:szCs w:val="24"/>
        </w:rPr>
      </w:pPr>
      <w:r w:rsidRPr="0070201F">
        <w:rPr>
          <w:rStyle w:val="FootnoteCharacters"/>
          <w:rFonts w:eastAsiaTheme="minorHAnsi"/>
          <w:sz w:val="24"/>
          <w:szCs w:val="24"/>
        </w:rPr>
        <w:footnoteRef/>
      </w:r>
      <w:r w:rsidRPr="0070201F">
        <w:rPr>
          <w:sz w:val="24"/>
          <w:szCs w:val="24"/>
        </w:rPr>
        <w:tab/>
        <w:t>Регламент (ЕС) 2021/696 на Европейския парламент и на Съвета от 28 април 2021 г. за създаване на космическа програма на Съюза и Агенция на Европейския съюз за космическата програма и за отмяна на регламенти (ЕС) № 912/2010, (ЕС) № 1285/2013 и (ЕС) № 377/2014 и на Решение № 541/2014/ЕС (ОВ L 170, 12.5.2021 г., стр. 69)</w:t>
      </w:r>
      <w:r w:rsidRPr="0070201F">
        <w:rPr>
          <w:color w:val="444444"/>
          <w:sz w:val="24"/>
          <w:szCs w:val="24"/>
        </w:rPr>
        <w:t>.</w:t>
      </w:r>
    </w:p>
  </w:footnote>
  <w:footnote w:id="73">
    <w:p w:rsidR="00A937DD" w:rsidRPr="0070201F" w:rsidRDefault="00A937DD">
      <w:pPr>
        <w:pStyle w:val="Point0number"/>
        <w:tabs>
          <w:tab w:val="clear" w:pos="850"/>
        </w:tabs>
        <w:suppressAutoHyphens w:val="0"/>
        <w:spacing w:before="0" w:after="0"/>
        <w:ind w:left="567" w:hanging="567"/>
        <w:jc w:val="left"/>
        <w:rPr>
          <w:szCs w:val="24"/>
        </w:rPr>
      </w:pPr>
      <w:r w:rsidRPr="0070201F">
        <w:rPr>
          <w:rStyle w:val="FootnoteCharacters"/>
          <w:szCs w:val="24"/>
        </w:rPr>
        <w:footnoteRef/>
      </w:r>
      <w:r w:rsidRPr="0070201F">
        <w:rPr>
          <w:szCs w:val="24"/>
        </w:rPr>
        <w:t xml:space="preserve"> </w:t>
      </w:r>
      <w:r w:rsidRPr="0070201F">
        <w:rPr>
          <w:szCs w:val="24"/>
        </w:rPr>
        <w:tab/>
        <w:t>Предложение за Директива на Европейския парламент и на Съвета за изменение на Директива (ЕС) 2018/2001 за насърчаване използването на енергия от възобновяеми източници, Директива 2010/31/ЕС относно енергийните характеристики на сградите и Директива 2012/27/ЕС относно енергийната ефективност, COM/2022/222 final.</w:t>
      </w:r>
    </w:p>
    <w:p w:rsidR="00A937DD" w:rsidRPr="00A937DD" w:rsidRDefault="00A937DD">
      <w:pPr>
        <w:pStyle w:val="FootnoteText"/>
        <w:ind w:left="567" w:hanging="567"/>
        <w:rPr>
          <w:sz w:val="24"/>
          <w:szCs w:val="24"/>
        </w:rPr>
      </w:pPr>
    </w:p>
  </w:footnote>
  <w:footnote w:id="74">
    <w:p w:rsidR="00A937DD" w:rsidRPr="00A937DD" w:rsidRDefault="00A937DD">
      <w:pPr>
        <w:pStyle w:val="FootnoteText"/>
        <w:ind w:left="567" w:hanging="567"/>
        <w:rPr>
          <w:sz w:val="24"/>
          <w:szCs w:val="24"/>
        </w:rPr>
      </w:pPr>
      <w:r w:rsidRPr="0070201F">
        <w:rPr>
          <w:rStyle w:val="FootnoteReference"/>
          <w:sz w:val="24"/>
          <w:szCs w:val="24"/>
        </w:rPr>
        <w:footnoteRef/>
      </w:r>
      <w:r w:rsidRPr="00A937DD">
        <w:rPr>
          <w:sz w:val="24"/>
          <w:szCs w:val="24"/>
        </w:rPr>
        <w:tab/>
      </w:r>
      <w:hyperlink r:id="rId11" w:history="1">
        <w:r w:rsidRPr="0070201F">
          <w:rPr>
            <w:rStyle w:val="Hyperlink"/>
            <w:rFonts w:eastAsia="Calibri"/>
            <w:sz w:val="24"/>
            <w:szCs w:val="24"/>
          </w:rPr>
          <w:t>Класификация на морските местообитания EUNIS за 2022 г.</w:t>
        </w:r>
      </w:hyperlink>
      <w:hyperlink r:id="rId12" w:history="1">
        <w:r w:rsidRPr="0070201F">
          <w:rPr>
            <w:rStyle w:val="Hyperlink"/>
            <w:rFonts w:eastAsia="Calibri"/>
            <w:sz w:val="24"/>
            <w:szCs w:val="24"/>
          </w:rPr>
          <w:t>Европейска агенция за околната среда.</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6840D6" w:rsidRDefault="00A937DD" w:rsidP="006173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6840D6" w:rsidRDefault="00A937DD" w:rsidP="006173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6840D6" w:rsidRDefault="00A937DD" w:rsidP="006173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A306B3" w:rsidRDefault="00A937D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A306B3" w:rsidRDefault="00A937D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7DD" w:rsidRPr="00A306B3" w:rsidRDefault="00A937D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B3C78B8"/>
    <w:multiLevelType w:val="multilevel"/>
    <w:tmpl w:val="2ED4F4D0"/>
    <w:styleLink w:val="Aktuelllista1"/>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4"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C9B0453"/>
    <w:multiLevelType w:val="multilevel"/>
    <w:tmpl w:val="1A20A4CA"/>
    <w:numStyleLink w:val="RKPunktlista"/>
  </w:abstractNum>
  <w:abstractNum w:abstractNumId="20"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B8A3A2B"/>
    <w:multiLevelType w:val="hybridMultilevel"/>
    <w:tmpl w:val="299C9EA4"/>
    <w:lvl w:ilvl="0" w:tplc="84B459D0">
      <w:start w:val="1"/>
      <w:numFmt w:val="lowerLetter"/>
      <w:lvlText w:val="%1)"/>
      <w:lvlJc w:val="left"/>
      <w:pPr>
        <w:ind w:left="720" w:hanging="360"/>
      </w:pPr>
      <w:rPr>
        <w:rFonts w:ascii="Times New Roman" w:hAnsi="Times New Roman" w:cs="Times New Roman" w:hint="default"/>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559B5053"/>
    <w:multiLevelType w:val="multilevel"/>
    <w:tmpl w:val="72CA2D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4A12FA4"/>
    <w:multiLevelType w:val="multilevel"/>
    <w:tmpl w:val="428ECF3E"/>
    <w:name w:val="Heading"/>
    <w:styleLink w:val="Aktuelllista2"/>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9"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2"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4"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8"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2"/>
  </w:num>
  <w:num w:numId="3">
    <w:abstractNumId w:val="40"/>
  </w:num>
  <w:num w:numId="4">
    <w:abstractNumId w:val="2"/>
  </w:num>
  <w:num w:numId="5">
    <w:abstractNumId w:val="41"/>
  </w:num>
  <w:num w:numId="6">
    <w:abstractNumId w:val="33"/>
  </w:num>
  <w:num w:numId="7">
    <w:abstractNumId w:val="5"/>
  </w:num>
  <w:num w:numId="8">
    <w:abstractNumId w:val="45"/>
  </w:num>
  <w:num w:numId="9">
    <w:abstractNumId w:val="47"/>
  </w:num>
  <w:num w:numId="10">
    <w:abstractNumId w:val="29"/>
  </w:num>
  <w:num w:numId="11">
    <w:abstractNumId w:val="43"/>
  </w:num>
  <w:num w:numId="12">
    <w:abstractNumId w:val="37"/>
  </w:num>
  <w:num w:numId="13">
    <w:abstractNumId w:val="26"/>
  </w:num>
  <w:num w:numId="14">
    <w:abstractNumId w:val="13"/>
  </w:num>
  <w:num w:numId="15">
    <w:abstractNumId w:val="11"/>
  </w:num>
  <w:num w:numId="16">
    <w:abstractNumId w:val="38"/>
  </w:num>
  <w:num w:numId="17">
    <w:abstractNumId w:val="46"/>
  </w:num>
  <w:num w:numId="18">
    <w:abstractNumId w:val="1"/>
  </w:num>
  <w:num w:numId="19">
    <w:abstractNumId w:val="15"/>
  </w:num>
  <w:num w:numId="20">
    <w:abstractNumId w:val="10"/>
  </w:num>
  <w:num w:numId="21">
    <w:abstractNumId w:val="16"/>
  </w:num>
  <w:num w:numId="22">
    <w:abstractNumId w:val="31"/>
  </w:num>
  <w:num w:numId="23">
    <w:abstractNumId w:val="7"/>
  </w:num>
  <w:num w:numId="24">
    <w:abstractNumId w:val="19"/>
  </w:num>
  <w:num w:numId="25">
    <w:abstractNumId w:val="24"/>
  </w:num>
  <w:num w:numId="26">
    <w:abstractNumId w:val="44"/>
  </w:num>
  <w:num w:numId="27">
    <w:abstractNumId w:val="17"/>
  </w:num>
  <w:num w:numId="28">
    <w:abstractNumId w:val="36"/>
  </w:num>
  <w:num w:numId="29">
    <w:abstractNumId w:val="34"/>
  </w:num>
  <w:num w:numId="30">
    <w:abstractNumId w:val="6"/>
  </w:num>
  <w:num w:numId="31">
    <w:abstractNumId w:val="39"/>
  </w:num>
  <w:num w:numId="32">
    <w:abstractNumId w:val="9"/>
  </w:num>
  <w:num w:numId="33">
    <w:abstractNumId w:val="30"/>
  </w:num>
  <w:num w:numId="34">
    <w:abstractNumId w:val="14"/>
  </w:num>
  <w:num w:numId="35">
    <w:abstractNumId w:val="0"/>
  </w:num>
  <w:num w:numId="36">
    <w:abstractNumId w:val="49"/>
  </w:num>
  <w:num w:numId="37">
    <w:abstractNumId w:val="3"/>
  </w:num>
  <w:num w:numId="38">
    <w:abstractNumId w:val="21"/>
  </w:num>
  <w:num w:numId="39">
    <w:abstractNumId w:val="18"/>
  </w:num>
  <w:num w:numId="40">
    <w:abstractNumId w:val="8"/>
  </w:num>
  <w:num w:numId="41">
    <w:abstractNumId w:val="23"/>
  </w:num>
  <w:num w:numId="42">
    <w:abstractNumId w:val="20"/>
  </w:num>
  <w:num w:numId="43">
    <w:abstractNumId w:val="32"/>
  </w:num>
  <w:num w:numId="44">
    <w:abstractNumId w:val="42"/>
  </w:num>
  <w:num w:numId="45">
    <w:abstractNumId w:val="48"/>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num>
  <w:num w:numId="49">
    <w:abstractNumId w:val="25"/>
  </w:num>
  <w:num w:numId="50">
    <w:abstractNumId w:val="12"/>
  </w:num>
  <w:num w:numId="51">
    <w:abstractNumId w:val="2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BG"/>
    <w:docVar w:name="dvnumam" w:val="1"/>
    <w:docVar w:name="dvpe" w:val="737.282"/>
    <w:docVar w:name="dvrapporteur" w:val="Докладчик: "/>
    <w:docVar w:name="dvstar" w:val="***I"/>
    <w:docVar w:name="dvtitre" w:val="Законодателна резолюция на Европейския парламент от ... 2023 г. относно предложението за регламент на Европейския парламент и на Съвета относно възстановяването на природата(COM(2022)0304 – C9-0208/2022 – 2022/0195(COD))"/>
  </w:docVars>
  <w:rsids>
    <w:rsidRoot w:val="00FE712E"/>
    <w:rsid w:val="00002272"/>
    <w:rsid w:val="00064002"/>
    <w:rsid w:val="000677B9"/>
    <w:rsid w:val="00070543"/>
    <w:rsid w:val="000831BA"/>
    <w:rsid w:val="000A42CC"/>
    <w:rsid w:val="000E7DD9"/>
    <w:rsid w:val="0010095E"/>
    <w:rsid w:val="00125B37"/>
    <w:rsid w:val="0014171D"/>
    <w:rsid w:val="0016114A"/>
    <w:rsid w:val="00175D69"/>
    <w:rsid w:val="00187494"/>
    <w:rsid w:val="001F32AE"/>
    <w:rsid w:val="00223ACF"/>
    <w:rsid w:val="00241A1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A9C"/>
    <w:rsid w:val="005C2568"/>
    <w:rsid w:val="006037C0"/>
    <w:rsid w:val="006173E9"/>
    <w:rsid w:val="006631B6"/>
    <w:rsid w:val="00680577"/>
    <w:rsid w:val="006D1A10"/>
    <w:rsid w:val="006F74FA"/>
    <w:rsid w:val="0070201F"/>
    <w:rsid w:val="00731ADD"/>
    <w:rsid w:val="00734777"/>
    <w:rsid w:val="00747932"/>
    <w:rsid w:val="00751A4A"/>
    <w:rsid w:val="00756632"/>
    <w:rsid w:val="00762C74"/>
    <w:rsid w:val="00786EC0"/>
    <w:rsid w:val="007D1690"/>
    <w:rsid w:val="007D787F"/>
    <w:rsid w:val="007E22AD"/>
    <w:rsid w:val="00817416"/>
    <w:rsid w:val="00842779"/>
    <w:rsid w:val="00865F67"/>
    <w:rsid w:val="00881A7B"/>
    <w:rsid w:val="008840E5"/>
    <w:rsid w:val="00887B3E"/>
    <w:rsid w:val="008C2AC6"/>
    <w:rsid w:val="00930C23"/>
    <w:rsid w:val="0093193B"/>
    <w:rsid w:val="009509D8"/>
    <w:rsid w:val="00950B64"/>
    <w:rsid w:val="009674D5"/>
    <w:rsid w:val="00981893"/>
    <w:rsid w:val="00A1687D"/>
    <w:rsid w:val="00A306B3"/>
    <w:rsid w:val="00A43E52"/>
    <w:rsid w:val="00A4678D"/>
    <w:rsid w:val="00A7454F"/>
    <w:rsid w:val="00A778C7"/>
    <w:rsid w:val="00A937DD"/>
    <w:rsid w:val="00AB441E"/>
    <w:rsid w:val="00AB6293"/>
    <w:rsid w:val="00AE0928"/>
    <w:rsid w:val="00AF3B82"/>
    <w:rsid w:val="00B12E95"/>
    <w:rsid w:val="00B22876"/>
    <w:rsid w:val="00B305F3"/>
    <w:rsid w:val="00B558F0"/>
    <w:rsid w:val="00B61A21"/>
    <w:rsid w:val="00B96301"/>
    <w:rsid w:val="00BD48FE"/>
    <w:rsid w:val="00BD7BD8"/>
    <w:rsid w:val="00BE6ADC"/>
    <w:rsid w:val="00C05BFE"/>
    <w:rsid w:val="00C23CD4"/>
    <w:rsid w:val="00C61C0C"/>
    <w:rsid w:val="00C941CB"/>
    <w:rsid w:val="00CC2357"/>
    <w:rsid w:val="00CF071A"/>
    <w:rsid w:val="00D058B8"/>
    <w:rsid w:val="00D45CA0"/>
    <w:rsid w:val="00D56C11"/>
    <w:rsid w:val="00D63A0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AE0"/>
    <w:rsid w:val="00F74202"/>
    <w:rsid w:val="00F87713"/>
    <w:rsid w:val="00FB4360"/>
    <w:rsid w:val="00FD0C70"/>
    <w:rsid w:val="00FE42A2"/>
    <w:rsid w:val="00FE712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9FB04"/>
  <w15:chartTrackingRefBased/>
  <w15:docId w15:val="{6B12711D-AEE3-4BCC-9721-3D856CAE2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96A9C"/>
    <w:pPr>
      <w:spacing w:before="480" w:after="240"/>
    </w:pPr>
  </w:style>
  <w:style w:type="paragraph" w:customStyle="1" w:styleId="NormalBold">
    <w:name w:val="NormalBold"/>
    <w:basedOn w:val="Normal"/>
    <w:link w:val="NormalBoldChar"/>
    <w:rsid w:val="00596A9C"/>
    <w:rPr>
      <w:b/>
    </w:rPr>
  </w:style>
  <w:style w:type="paragraph" w:customStyle="1" w:styleId="NormalHanging12a">
    <w:name w:val="NormalHanging12a"/>
    <w:basedOn w:val="Normal"/>
    <w:rsid w:val="00596A9C"/>
    <w:pPr>
      <w:spacing w:after="240"/>
      <w:ind w:left="567" w:hanging="567"/>
    </w:pPr>
  </w:style>
  <w:style w:type="character" w:customStyle="1" w:styleId="NormalBoldChar">
    <w:name w:val="NormalBold Char"/>
    <w:basedOn w:val="DefaultParagraphFont"/>
    <w:link w:val="NormalBold"/>
    <w:locked/>
    <w:rsid w:val="00596A9C"/>
    <w:rPr>
      <w:b/>
      <w:sz w:val="24"/>
      <w:lang w:val="bg-BG"/>
    </w:rPr>
  </w:style>
  <w:style w:type="paragraph" w:styleId="BalloonText">
    <w:name w:val="Balloon Text"/>
    <w:basedOn w:val="Normal"/>
    <w:link w:val="BalloonTextChar"/>
    <w:uiPriority w:val="99"/>
    <w:qFormat/>
    <w:rsid w:val="00B305F3"/>
    <w:rPr>
      <w:rFonts w:ascii="Segoe UI" w:hAnsi="Segoe UI" w:cs="Segoe UI"/>
      <w:sz w:val="18"/>
      <w:szCs w:val="18"/>
    </w:rPr>
  </w:style>
  <w:style w:type="character" w:customStyle="1" w:styleId="BalloonTextChar">
    <w:name w:val="Balloon Text Char"/>
    <w:basedOn w:val="DefaultParagraphFont"/>
    <w:link w:val="BalloonText"/>
    <w:uiPriority w:val="99"/>
    <w:qFormat/>
    <w:rsid w:val="00B305F3"/>
    <w:rPr>
      <w:rFonts w:ascii="Segoe UI" w:hAnsi="Segoe UI" w:cs="Segoe UI"/>
      <w:sz w:val="18"/>
      <w:szCs w:val="18"/>
      <w:lang w:val="bg-BG"/>
    </w:rPr>
  </w:style>
  <w:style w:type="character" w:styleId="CommentReference">
    <w:name w:val="annotation reference"/>
    <w:basedOn w:val="DefaultParagraphFont"/>
    <w:uiPriority w:val="99"/>
    <w:qFormat/>
    <w:rsid w:val="00B305F3"/>
    <w:rPr>
      <w:sz w:val="16"/>
      <w:szCs w:val="16"/>
    </w:rPr>
  </w:style>
  <w:style w:type="paragraph" w:styleId="CommentText">
    <w:name w:val="annotation text"/>
    <w:basedOn w:val="Normal"/>
    <w:link w:val="CommentTextChar"/>
    <w:uiPriority w:val="99"/>
    <w:qFormat/>
    <w:rsid w:val="00B305F3"/>
    <w:rPr>
      <w:sz w:val="20"/>
    </w:rPr>
  </w:style>
  <w:style w:type="character" w:customStyle="1" w:styleId="CommentTextChar">
    <w:name w:val="Comment Text Char"/>
    <w:basedOn w:val="DefaultParagraphFont"/>
    <w:link w:val="CommentText"/>
    <w:uiPriority w:val="99"/>
    <w:qFormat/>
    <w:rsid w:val="00B305F3"/>
    <w:rPr>
      <w:lang w:val="bg-BG"/>
    </w:rPr>
  </w:style>
  <w:style w:type="paragraph" w:styleId="CommentSubject">
    <w:name w:val="annotation subject"/>
    <w:basedOn w:val="CommentText"/>
    <w:next w:val="CommentText"/>
    <w:link w:val="CommentSubjectChar"/>
    <w:uiPriority w:val="99"/>
    <w:qFormat/>
    <w:rsid w:val="00B305F3"/>
    <w:rPr>
      <w:b/>
      <w:bCs/>
    </w:rPr>
  </w:style>
  <w:style w:type="character" w:customStyle="1" w:styleId="CommentSubjectChar">
    <w:name w:val="Comment Subject Char"/>
    <w:basedOn w:val="CommentTextChar"/>
    <w:link w:val="CommentSubject"/>
    <w:uiPriority w:val="99"/>
    <w:qFormat/>
    <w:rsid w:val="00B305F3"/>
    <w:rPr>
      <w:b/>
      <w:bCs/>
      <w:lang w:val="bg-BG"/>
    </w:rPr>
  </w:style>
  <w:style w:type="character" w:styleId="Hyperlink">
    <w:name w:val="Hyperlink"/>
    <w:basedOn w:val="DefaultParagraphFont"/>
    <w:uiPriority w:val="99"/>
    <w:rsid w:val="00B305F3"/>
    <w:rPr>
      <w:color w:val="0563C1" w:themeColor="hyperlink"/>
      <w:u w:val="single"/>
    </w:rPr>
  </w:style>
  <w:style w:type="character" w:styleId="FollowedHyperlink">
    <w:name w:val="FollowedHyperlink"/>
    <w:basedOn w:val="DefaultParagraphFont"/>
    <w:uiPriority w:val="99"/>
    <w:rsid w:val="00B305F3"/>
    <w:rPr>
      <w:color w:val="954F72" w:themeColor="followedHyperlink"/>
      <w:u w:val="single"/>
    </w:rPr>
  </w:style>
  <w:style w:type="character" w:customStyle="1" w:styleId="Heading1Char">
    <w:name w:val="Heading 1 Char"/>
    <w:basedOn w:val="DefaultParagraphFont"/>
    <w:link w:val="Heading1"/>
    <w:uiPriority w:val="9"/>
    <w:qFormat/>
    <w:rsid w:val="006173E9"/>
    <w:rPr>
      <w:b/>
      <w:kern w:val="28"/>
      <w:sz w:val="28"/>
      <w:lang w:val="fr-FR" w:eastAsia="fr-FR"/>
    </w:rPr>
  </w:style>
  <w:style w:type="character" w:customStyle="1" w:styleId="Heading2Char">
    <w:name w:val="Heading 2 Char"/>
    <w:basedOn w:val="DefaultParagraphFont"/>
    <w:link w:val="Heading2"/>
    <w:uiPriority w:val="9"/>
    <w:qFormat/>
    <w:rsid w:val="006173E9"/>
    <w:rPr>
      <w:sz w:val="24"/>
      <w:lang w:val="fr-FR" w:eastAsia="fr-FR"/>
    </w:rPr>
  </w:style>
  <w:style w:type="character" w:customStyle="1" w:styleId="Heading3Char">
    <w:name w:val="Heading 3 Char"/>
    <w:basedOn w:val="DefaultParagraphFont"/>
    <w:link w:val="Heading3"/>
    <w:uiPriority w:val="9"/>
    <w:qFormat/>
    <w:rsid w:val="006173E9"/>
    <w:rPr>
      <w:rFonts w:ascii="Arial" w:hAnsi="Arial"/>
      <w:sz w:val="24"/>
      <w:lang w:val="fr-FR" w:eastAsia="fr-FR"/>
    </w:rPr>
  </w:style>
  <w:style w:type="character" w:customStyle="1" w:styleId="Heading4Char">
    <w:name w:val="Heading 4 Char"/>
    <w:basedOn w:val="DefaultParagraphFont"/>
    <w:link w:val="Heading4"/>
    <w:uiPriority w:val="9"/>
    <w:semiHidden/>
    <w:qFormat/>
    <w:rsid w:val="006173E9"/>
    <w:rPr>
      <w:sz w:val="24"/>
      <w:lang w:val="en-US" w:eastAsia="fr-FR"/>
    </w:rPr>
  </w:style>
  <w:style w:type="character" w:customStyle="1" w:styleId="Heading5Char">
    <w:name w:val="Heading 5 Char"/>
    <w:basedOn w:val="DefaultParagraphFont"/>
    <w:link w:val="Heading5"/>
    <w:uiPriority w:val="9"/>
    <w:semiHidden/>
    <w:qFormat/>
    <w:rsid w:val="006173E9"/>
    <w:rPr>
      <w:sz w:val="24"/>
      <w:lang w:val="en-US" w:eastAsia="fr-FR"/>
    </w:rPr>
  </w:style>
  <w:style w:type="character" w:customStyle="1" w:styleId="Heading6Char">
    <w:name w:val="Heading 6 Char"/>
    <w:basedOn w:val="DefaultParagraphFont"/>
    <w:link w:val="Heading6"/>
    <w:uiPriority w:val="9"/>
    <w:semiHidden/>
    <w:qFormat/>
    <w:rsid w:val="006173E9"/>
    <w:rPr>
      <w:i/>
      <w:sz w:val="22"/>
      <w:lang w:val="bg-BG"/>
    </w:rPr>
  </w:style>
  <w:style w:type="character" w:customStyle="1" w:styleId="Heading7Char">
    <w:name w:val="Heading 7 Char"/>
    <w:basedOn w:val="DefaultParagraphFont"/>
    <w:link w:val="Heading7"/>
    <w:uiPriority w:val="9"/>
    <w:semiHidden/>
    <w:qFormat/>
    <w:rsid w:val="006173E9"/>
    <w:rPr>
      <w:rFonts w:ascii="Arial" w:hAnsi="Arial"/>
      <w:sz w:val="24"/>
      <w:lang w:val="bg-BG"/>
    </w:rPr>
  </w:style>
  <w:style w:type="character" w:customStyle="1" w:styleId="Heading8Char">
    <w:name w:val="Heading 8 Char"/>
    <w:basedOn w:val="DefaultParagraphFont"/>
    <w:link w:val="Heading8"/>
    <w:semiHidden/>
    <w:rsid w:val="006173E9"/>
    <w:rPr>
      <w:rFonts w:ascii="Arial" w:hAnsi="Arial"/>
      <w:i/>
      <w:sz w:val="24"/>
      <w:lang w:val="bg-BG"/>
    </w:rPr>
  </w:style>
  <w:style w:type="character" w:customStyle="1" w:styleId="Heading9Char">
    <w:name w:val="Heading 9 Char"/>
    <w:basedOn w:val="DefaultParagraphFont"/>
    <w:link w:val="Heading9"/>
    <w:semiHidden/>
    <w:rsid w:val="006173E9"/>
    <w:rPr>
      <w:rFonts w:ascii="Arial" w:hAnsi="Arial"/>
      <w:b/>
      <w:i/>
      <w:sz w:val="18"/>
      <w:lang w:val="bg-BG"/>
    </w:rPr>
  </w:style>
  <w:style w:type="paragraph" w:styleId="Header">
    <w:name w:val="header"/>
    <w:basedOn w:val="Normal"/>
    <w:link w:val="HeaderChar"/>
    <w:uiPriority w:val="99"/>
    <w:qFormat/>
    <w:rsid w:val="006173E9"/>
    <w:pPr>
      <w:tabs>
        <w:tab w:val="center" w:pos="4513"/>
        <w:tab w:val="right" w:pos="9026"/>
      </w:tabs>
    </w:pPr>
  </w:style>
  <w:style w:type="character" w:customStyle="1" w:styleId="HeaderChar">
    <w:name w:val="Header Char"/>
    <w:basedOn w:val="DefaultParagraphFont"/>
    <w:link w:val="Header"/>
    <w:uiPriority w:val="99"/>
    <w:qFormat/>
    <w:rsid w:val="006173E9"/>
    <w:rPr>
      <w:sz w:val="24"/>
      <w:lang w:val="bg-BG"/>
    </w:rPr>
  </w:style>
  <w:style w:type="paragraph" w:styleId="Footer">
    <w:name w:val="footer"/>
    <w:basedOn w:val="Normal"/>
    <w:link w:val="FooterChar"/>
    <w:uiPriority w:val="99"/>
    <w:qFormat/>
    <w:rsid w:val="006173E9"/>
    <w:pPr>
      <w:tabs>
        <w:tab w:val="center" w:pos="4513"/>
        <w:tab w:val="right" w:pos="9026"/>
      </w:tabs>
    </w:pPr>
  </w:style>
  <w:style w:type="character" w:customStyle="1" w:styleId="FooterChar">
    <w:name w:val="Footer Char"/>
    <w:basedOn w:val="DefaultParagraphFont"/>
    <w:link w:val="Footer"/>
    <w:uiPriority w:val="99"/>
    <w:qFormat/>
    <w:rsid w:val="006173E9"/>
    <w:rPr>
      <w:sz w:val="24"/>
      <w:lang w:val="bg-BG"/>
    </w:rPr>
  </w:style>
  <w:style w:type="paragraph" w:customStyle="1" w:styleId="AmDocTypeTab">
    <w:name w:val="AmDocTypeTab"/>
    <w:basedOn w:val="Normal"/>
    <w:rsid w:val="006173E9"/>
    <w:pPr>
      <w:tabs>
        <w:tab w:val="right" w:pos="9072"/>
      </w:tabs>
    </w:pPr>
    <w:rPr>
      <w:b/>
    </w:rPr>
  </w:style>
  <w:style w:type="paragraph" w:customStyle="1" w:styleId="Normal12a">
    <w:name w:val="Normal12a"/>
    <w:basedOn w:val="Normal"/>
    <w:rsid w:val="006173E9"/>
    <w:pPr>
      <w:spacing w:after="240"/>
    </w:pPr>
  </w:style>
  <w:style w:type="paragraph" w:customStyle="1" w:styleId="EPFooter2">
    <w:name w:val="EPFooter2"/>
    <w:basedOn w:val="Normal"/>
    <w:next w:val="Normal"/>
    <w:link w:val="EPFooter2Char"/>
    <w:rsid w:val="006173E9"/>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6173E9"/>
    <w:pPr>
      <w:spacing w:before="240" w:after="240"/>
      <w:jc w:val="right"/>
    </w:pPr>
  </w:style>
  <w:style w:type="paragraph" w:customStyle="1" w:styleId="Normal6a">
    <w:name w:val="Normal6a"/>
    <w:basedOn w:val="Normal"/>
    <w:rsid w:val="006173E9"/>
    <w:pPr>
      <w:spacing w:after="120"/>
    </w:pPr>
  </w:style>
  <w:style w:type="paragraph" w:customStyle="1" w:styleId="AmCrossRef">
    <w:name w:val="AmCrossRef"/>
    <w:basedOn w:val="Normal"/>
    <w:rsid w:val="006173E9"/>
    <w:pPr>
      <w:spacing w:before="240" w:after="240"/>
      <w:jc w:val="center"/>
    </w:pPr>
    <w:rPr>
      <w:i/>
    </w:rPr>
  </w:style>
  <w:style w:type="paragraph" w:customStyle="1" w:styleId="AmJustTitle">
    <w:name w:val="AmJustTitle"/>
    <w:basedOn w:val="Normal"/>
    <w:next w:val="AmJustText"/>
    <w:rsid w:val="006173E9"/>
    <w:pPr>
      <w:keepNext/>
      <w:spacing w:before="240" w:after="240"/>
      <w:jc w:val="center"/>
    </w:pPr>
    <w:rPr>
      <w:i/>
    </w:rPr>
  </w:style>
  <w:style w:type="paragraph" w:customStyle="1" w:styleId="AmDateTab">
    <w:name w:val="AmDateTab"/>
    <w:basedOn w:val="Normal"/>
    <w:link w:val="AmDateTabChar"/>
    <w:rsid w:val="006173E9"/>
    <w:pPr>
      <w:tabs>
        <w:tab w:val="right" w:pos="9072"/>
      </w:tabs>
    </w:pPr>
  </w:style>
  <w:style w:type="paragraph" w:customStyle="1" w:styleId="AmJustText">
    <w:name w:val="AmJustText"/>
    <w:basedOn w:val="Normal"/>
    <w:rsid w:val="006173E9"/>
    <w:pPr>
      <w:spacing w:after="240"/>
    </w:pPr>
    <w:rPr>
      <w:i/>
    </w:rPr>
  </w:style>
  <w:style w:type="paragraph" w:customStyle="1" w:styleId="AmColumnHeading">
    <w:name w:val="AmColumnHeading"/>
    <w:basedOn w:val="Normal"/>
    <w:rsid w:val="006173E9"/>
    <w:pPr>
      <w:spacing w:after="240"/>
      <w:jc w:val="center"/>
    </w:pPr>
    <w:rPr>
      <w:i/>
    </w:rPr>
  </w:style>
  <w:style w:type="paragraph" w:customStyle="1" w:styleId="AmNumberTabs">
    <w:name w:val="AmNumberTabs"/>
    <w:basedOn w:val="Normal"/>
    <w:rsid w:val="006173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link w:val="EPFooterChar"/>
    <w:rsid w:val="006173E9"/>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6173E9"/>
    <w:pPr>
      <w:keepLines/>
      <w:spacing w:after="240"/>
    </w:pPr>
    <w:rPr>
      <w:rFonts w:asciiTheme="majorHAnsi" w:eastAsiaTheme="majorEastAsia" w:hAnsiTheme="majorHAnsi" w:cstheme="majorBidi"/>
      <w:b/>
      <w:color w:val="2E74B5" w:themeColor="accent1" w:themeShade="BF"/>
      <w:sz w:val="32"/>
      <w:szCs w:val="32"/>
    </w:rPr>
  </w:style>
  <w:style w:type="paragraph" w:styleId="Title">
    <w:name w:val="Title"/>
    <w:basedOn w:val="Normal"/>
    <w:next w:val="Normal"/>
    <w:link w:val="TitleChar"/>
    <w:qFormat/>
    <w:rsid w:val="006173E9"/>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rsid w:val="006173E9"/>
    <w:rPr>
      <w:rFonts w:ascii="Arial" w:eastAsiaTheme="majorEastAsia" w:hAnsi="Arial" w:cs="Arial"/>
      <w:b/>
      <w:bCs/>
      <w:kern w:val="28"/>
      <w:sz w:val="32"/>
      <w:szCs w:val="32"/>
      <w:lang w:val="bg-BG" w:eastAsia="en-US"/>
    </w:rPr>
  </w:style>
  <w:style w:type="paragraph" w:styleId="Subtitle">
    <w:name w:val="Subtitle"/>
    <w:basedOn w:val="Normal"/>
    <w:next w:val="Normal"/>
    <w:link w:val="SubtitleChar"/>
    <w:uiPriority w:val="11"/>
    <w:qFormat/>
    <w:rsid w:val="006173E9"/>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6173E9"/>
    <w:rPr>
      <w:rFonts w:ascii="Arial" w:eastAsiaTheme="majorEastAsia" w:hAnsi="Arial" w:cs="Arial"/>
      <w:sz w:val="24"/>
      <w:szCs w:val="24"/>
      <w:lang w:val="bg-BG" w:eastAsia="en-US"/>
    </w:rPr>
  </w:style>
  <w:style w:type="character" w:styleId="Strong">
    <w:name w:val="Strong"/>
    <w:basedOn w:val="DefaultParagraphFont"/>
    <w:uiPriority w:val="22"/>
    <w:qFormat/>
    <w:rsid w:val="006173E9"/>
    <w:rPr>
      <w:b/>
      <w:bCs/>
    </w:rPr>
  </w:style>
  <w:style w:type="character" w:styleId="Emphasis">
    <w:name w:val="Emphasis"/>
    <w:basedOn w:val="DefaultParagraphFont"/>
    <w:uiPriority w:val="20"/>
    <w:qFormat/>
    <w:rsid w:val="006173E9"/>
    <w:rPr>
      <w:rFonts w:asciiTheme="minorHAnsi" w:hAnsiTheme="minorHAnsi"/>
      <w:b/>
      <w:i/>
      <w:iCs/>
    </w:rPr>
  </w:style>
  <w:style w:type="paragraph" w:styleId="NoSpacing">
    <w:name w:val="No Spacing"/>
    <w:basedOn w:val="Normal"/>
    <w:uiPriority w:val="1"/>
    <w:qFormat/>
    <w:rsid w:val="006173E9"/>
    <w:pPr>
      <w:widowControl/>
      <w:jc w:val="both"/>
    </w:pPr>
    <w:rPr>
      <w:rFonts w:eastAsiaTheme="minorHAnsi"/>
      <w:szCs w:val="32"/>
      <w:lang w:eastAsia="en-US"/>
    </w:rPr>
  </w:style>
  <w:style w:type="paragraph" w:styleId="ListParagraph">
    <w:name w:val="List Paragraph"/>
    <w:basedOn w:val="Normal"/>
    <w:uiPriority w:val="34"/>
    <w:qFormat/>
    <w:rsid w:val="006173E9"/>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6173E9"/>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6173E9"/>
    <w:rPr>
      <w:rFonts w:eastAsiaTheme="minorHAnsi"/>
      <w:i/>
      <w:sz w:val="24"/>
      <w:szCs w:val="24"/>
      <w:lang w:val="bg-BG" w:eastAsia="en-US"/>
    </w:rPr>
  </w:style>
  <w:style w:type="paragraph" w:styleId="IntenseQuote">
    <w:name w:val="Intense Quote"/>
    <w:basedOn w:val="Normal"/>
    <w:next w:val="Normal"/>
    <w:link w:val="IntenseQuoteChar"/>
    <w:uiPriority w:val="30"/>
    <w:qFormat/>
    <w:rsid w:val="006173E9"/>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6173E9"/>
    <w:rPr>
      <w:rFonts w:eastAsiaTheme="minorHAnsi"/>
      <w:b/>
      <w:i/>
      <w:sz w:val="24"/>
      <w:szCs w:val="22"/>
      <w:lang w:val="bg-BG" w:eastAsia="en-US"/>
    </w:rPr>
  </w:style>
  <w:style w:type="character" w:styleId="SubtleEmphasis">
    <w:name w:val="Subtle Emphasis"/>
    <w:uiPriority w:val="19"/>
    <w:qFormat/>
    <w:rsid w:val="006173E9"/>
    <w:rPr>
      <w:i/>
      <w:color w:val="5A5A5A" w:themeColor="text1" w:themeTint="A5"/>
    </w:rPr>
  </w:style>
  <w:style w:type="character" w:styleId="IntenseEmphasis">
    <w:name w:val="Intense Emphasis"/>
    <w:basedOn w:val="DefaultParagraphFont"/>
    <w:uiPriority w:val="21"/>
    <w:qFormat/>
    <w:rsid w:val="006173E9"/>
    <w:rPr>
      <w:b/>
      <w:i/>
      <w:sz w:val="24"/>
      <w:szCs w:val="24"/>
      <w:u w:val="single"/>
    </w:rPr>
  </w:style>
  <w:style w:type="character" w:styleId="SubtleReference">
    <w:name w:val="Subtle Reference"/>
    <w:basedOn w:val="DefaultParagraphFont"/>
    <w:uiPriority w:val="31"/>
    <w:qFormat/>
    <w:rsid w:val="006173E9"/>
    <w:rPr>
      <w:sz w:val="24"/>
      <w:szCs w:val="24"/>
      <w:u w:val="single"/>
    </w:rPr>
  </w:style>
  <w:style w:type="character" w:styleId="IntenseReference">
    <w:name w:val="Intense Reference"/>
    <w:basedOn w:val="DefaultParagraphFont"/>
    <w:uiPriority w:val="32"/>
    <w:qFormat/>
    <w:rsid w:val="006173E9"/>
    <w:rPr>
      <w:b/>
      <w:sz w:val="24"/>
      <w:u w:val="single"/>
    </w:rPr>
  </w:style>
  <w:style w:type="character" w:styleId="BookTitle">
    <w:name w:val="Book Title"/>
    <w:basedOn w:val="DefaultParagraphFont"/>
    <w:uiPriority w:val="33"/>
    <w:qFormat/>
    <w:rsid w:val="006173E9"/>
    <w:rPr>
      <w:rFonts w:asciiTheme="majorHAnsi" w:eastAsiaTheme="majorEastAsia" w:hAnsiTheme="majorHAnsi"/>
      <w:b/>
      <w:i/>
      <w:sz w:val="24"/>
      <w:szCs w:val="24"/>
    </w:rPr>
  </w:style>
  <w:style w:type="paragraph" w:customStyle="1" w:styleId="NormalCenter12a">
    <w:name w:val="NormalCenter12a"/>
    <w:basedOn w:val="Normal"/>
    <w:rsid w:val="006173E9"/>
    <w:pPr>
      <w:spacing w:after="240"/>
      <w:jc w:val="center"/>
    </w:pPr>
  </w:style>
  <w:style w:type="paragraph" w:customStyle="1" w:styleId="AmHeadingConsam">
    <w:name w:val="AmHeadingConsam"/>
    <w:basedOn w:val="Normal"/>
    <w:next w:val="NormalCenter12a"/>
    <w:rsid w:val="006173E9"/>
    <w:pPr>
      <w:spacing w:before="720" w:after="240"/>
      <w:jc w:val="center"/>
    </w:pPr>
  </w:style>
  <w:style w:type="character" w:customStyle="1" w:styleId="Internetlnk">
    <w:name w:val="Internetlänk"/>
    <w:uiPriority w:val="99"/>
    <w:qFormat/>
    <w:rsid w:val="006173E9"/>
    <w:rPr>
      <w:color w:val="0000FF"/>
      <w:u w:val="single"/>
    </w:rPr>
  </w:style>
  <w:style w:type="character" w:customStyle="1" w:styleId="Betonad">
    <w:name w:val="Betonad"/>
    <w:basedOn w:val="DefaultParagraphFont"/>
    <w:uiPriority w:val="20"/>
    <w:qFormat/>
    <w:rsid w:val="006173E9"/>
    <w:rPr>
      <w:i/>
      <w:iCs/>
    </w:rPr>
  </w:style>
  <w:style w:type="character" w:customStyle="1" w:styleId="FootnoteCharacters">
    <w:name w:val="Footnote Characters"/>
    <w:qFormat/>
    <w:rsid w:val="006173E9"/>
  </w:style>
  <w:style w:type="paragraph" w:styleId="NormalWeb">
    <w:name w:val="Normal (Web)"/>
    <w:basedOn w:val="Normal"/>
    <w:uiPriority w:val="99"/>
    <w:unhideWhenUsed/>
    <w:qFormat/>
    <w:rsid w:val="006173E9"/>
    <w:pPr>
      <w:widowControl/>
      <w:suppressAutoHyphens/>
      <w:spacing w:before="120" w:after="120"/>
      <w:jc w:val="both"/>
    </w:pPr>
    <w:rPr>
      <w:rFonts w:eastAsia="Calibri"/>
      <w:szCs w:val="24"/>
      <w:lang w:eastAsia="en-US"/>
    </w:rPr>
  </w:style>
  <w:style w:type="character" w:customStyle="1" w:styleId="AmDateTabChar">
    <w:name w:val="AmDateTab Char"/>
    <w:basedOn w:val="DefaultParagraphFont"/>
    <w:link w:val="AmDateTab"/>
    <w:rsid w:val="006173E9"/>
    <w:rPr>
      <w:sz w:val="24"/>
      <w:lang w:val="bg-BG"/>
    </w:rPr>
  </w:style>
  <w:style w:type="character" w:customStyle="1" w:styleId="EPFooter2Char">
    <w:name w:val="EPFooter2 Char"/>
    <w:basedOn w:val="AmDateTabChar"/>
    <w:link w:val="EPFooter2"/>
    <w:rsid w:val="006173E9"/>
    <w:rPr>
      <w:rFonts w:ascii="Arial" w:hAnsi="Arial" w:cs="Arial"/>
      <w:b/>
      <w:sz w:val="48"/>
      <w:lang w:val="bg-BG"/>
    </w:rPr>
  </w:style>
  <w:style w:type="character" w:customStyle="1" w:styleId="EPFooterChar">
    <w:name w:val="EPFooter Char"/>
    <w:basedOn w:val="AmDateTabChar"/>
    <w:link w:val="EPFooter"/>
    <w:rsid w:val="006173E9"/>
    <w:rPr>
      <w:color w:val="010000"/>
      <w:sz w:val="22"/>
      <w:lang w:val="bg-BG"/>
    </w:rPr>
  </w:style>
  <w:style w:type="paragraph" w:customStyle="1" w:styleId="Point0number">
    <w:name w:val="Point 0 (number)"/>
    <w:basedOn w:val="Normal"/>
    <w:qFormat/>
    <w:rsid w:val="006173E9"/>
    <w:pPr>
      <w:widowControl/>
      <w:tabs>
        <w:tab w:val="num" w:pos="850"/>
      </w:tabs>
      <w:suppressAutoHyphens/>
      <w:spacing w:before="120" w:after="120"/>
      <w:ind w:left="850" w:hanging="850"/>
      <w:jc w:val="both"/>
    </w:pPr>
    <w:rPr>
      <w:rFonts w:eastAsia="Calibri"/>
      <w:szCs w:val="22"/>
      <w:lang w:eastAsia="en-US"/>
    </w:rPr>
  </w:style>
  <w:style w:type="numbering" w:customStyle="1" w:styleId="NoList1">
    <w:name w:val="No List1"/>
    <w:next w:val="NoList"/>
    <w:uiPriority w:val="99"/>
    <w:semiHidden/>
    <w:unhideWhenUsed/>
    <w:rsid w:val="006173E9"/>
  </w:style>
  <w:style w:type="numbering" w:customStyle="1" w:styleId="NoList11">
    <w:name w:val="No List11"/>
    <w:next w:val="NoList"/>
    <w:uiPriority w:val="99"/>
    <w:semiHidden/>
    <w:unhideWhenUsed/>
    <w:rsid w:val="006173E9"/>
  </w:style>
  <w:style w:type="paragraph" w:customStyle="1" w:styleId="NormalCentered">
    <w:name w:val="Normal Centered"/>
    <w:basedOn w:val="Normal"/>
    <w:qFormat/>
    <w:rsid w:val="006173E9"/>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6173E9"/>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6173E9"/>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6173E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6173E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6173E9"/>
    <w:pPr>
      <w:widowControl/>
    </w:pPr>
    <w:rPr>
      <w:rFonts w:eastAsia="Calibri"/>
      <w:sz w:val="2"/>
      <w:szCs w:val="22"/>
      <w:lang w:eastAsia="en-US"/>
    </w:rPr>
  </w:style>
  <w:style w:type="paragraph" w:customStyle="1" w:styleId="FooterCouncil">
    <w:name w:val="Footer Council"/>
    <w:basedOn w:val="Normal"/>
    <w:link w:val="FooterCouncilChar"/>
    <w:qFormat/>
    <w:rsid w:val="006173E9"/>
    <w:pPr>
      <w:widowControl/>
    </w:pPr>
    <w:rPr>
      <w:rFonts w:eastAsia="Calibri"/>
      <w:sz w:val="2"/>
      <w:szCs w:val="22"/>
      <w:lang w:eastAsia="en-US"/>
    </w:rPr>
  </w:style>
  <w:style w:type="paragraph" w:customStyle="1" w:styleId="TechnicalBlock">
    <w:name w:val="Technical Block"/>
    <w:basedOn w:val="Normal"/>
    <w:next w:val="Normal"/>
    <w:link w:val="TechnicalBlockChar"/>
    <w:rsid w:val="006173E9"/>
    <w:pPr>
      <w:widowControl/>
      <w:spacing w:after="240"/>
      <w:jc w:val="center"/>
    </w:pPr>
    <w:rPr>
      <w:rFonts w:eastAsia="Calibri"/>
      <w:szCs w:val="22"/>
      <w:lang w:eastAsia="en-US"/>
    </w:rPr>
  </w:style>
  <w:style w:type="paragraph" w:customStyle="1" w:styleId="FinalLine">
    <w:name w:val="Final Line"/>
    <w:basedOn w:val="Normal"/>
    <w:next w:val="Normal"/>
    <w:qFormat/>
    <w:rsid w:val="006173E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6173E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6173E9"/>
    <w:pPr>
      <w:widowControl/>
      <w:spacing w:before="120" w:after="120" w:line="360" w:lineRule="auto"/>
      <w:ind w:left="567"/>
    </w:pPr>
    <w:rPr>
      <w:rFonts w:eastAsia="Calibri"/>
      <w:szCs w:val="22"/>
      <w:lang w:eastAsia="en-US"/>
    </w:rPr>
  </w:style>
  <w:style w:type="paragraph" w:customStyle="1" w:styleId="Text2">
    <w:name w:val="Text 2"/>
    <w:basedOn w:val="Normal"/>
    <w:qFormat/>
    <w:rsid w:val="006173E9"/>
    <w:pPr>
      <w:widowControl/>
      <w:spacing w:before="120" w:after="120" w:line="360" w:lineRule="auto"/>
      <w:ind w:left="1134"/>
    </w:pPr>
    <w:rPr>
      <w:rFonts w:eastAsia="Calibri"/>
      <w:szCs w:val="22"/>
      <w:lang w:eastAsia="en-US"/>
    </w:rPr>
  </w:style>
  <w:style w:type="paragraph" w:customStyle="1" w:styleId="Text3">
    <w:name w:val="Text 3"/>
    <w:basedOn w:val="Normal"/>
    <w:qFormat/>
    <w:rsid w:val="006173E9"/>
    <w:pPr>
      <w:widowControl/>
      <w:spacing w:before="120" w:after="120" w:line="360" w:lineRule="auto"/>
      <w:ind w:left="1701"/>
    </w:pPr>
    <w:rPr>
      <w:rFonts w:eastAsia="Calibri"/>
      <w:szCs w:val="22"/>
      <w:lang w:eastAsia="en-US"/>
    </w:rPr>
  </w:style>
  <w:style w:type="paragraph" w:customStyle="1" w:styleId="Text4">
    <w:name w:val="Text 4"/>
    <w:basedOn w:val="Normal"/>
    <w:qFormat/>
    <w:rsid w:val="006173E9"/>
    <w:pPr>
      <w:widowControl/>
      <w:spacing w:before="120" w:after="120" w:line="360" w:lineRule="auto"/>
      <w:ind w:left="2268"/>
    </w:pPr>
    <w:rPr>
      <w:rFonts w:eastAsia="Calibri"/>
      <w:szCs w:val="22"/>
      <w:lang w:eastAsia="en-US"/>
    </w:rPr>
  </w:style>
  <w:style w:type="paragraph" w:customStyle="1" w:styleId="Text5">
    <w:name w:val="Text 5"/>
    <w:basedOn w:val="Normal"/>
    <w:qFormat/>
    <w:rsid w:val="006173E9"/>
    <w:pPr>
      <w:widowControl/>
      <w:spacing w:before="120" w:after="120" w:line="360" w:lineRule="auto"/>
      <w:ind w:left="2835"/>
    </w:pPr>
    <w:rPr>
      <w:rFonts w:eastAsia="Calibri"/>
      <w:szCs w:val="22"/>
      <w:lang w:eastAsia="en-US"/>
    </w:rPr>
  </w:style>
  <w:style w:type="paragraph" w:customStyle="1" w:styleId="Text6">
    <w:name w:val="Text 6"/>
    <w:basedOn w:val="Normal"/>
    <w:qFormat/>
    <w:rsid w:val="006173E9"/>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6173E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6173E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6173E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6173E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6173E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6173E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6173E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6173E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6173E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6173E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6173E9"/>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6173E9"/>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6173E9"/>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6173E9"/>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6173E9"/>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6173E9"/>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6173E9"/>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6173E9"/>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6173E9"/>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6173E9"/>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6173E9"/>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6173E9"/>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6173E9"/>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6173E9"/>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6173E9"/>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6173E9"/>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6173E9"/>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6173E9"/>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6173E9"/>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6173E9"/>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6173E9"/>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6173E9"/>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6173E9"/>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6173E9"/>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6173E9"/>
    <w:pPr>
      <w:numPr>
        <w:numId w:val="8"/>
      </w:numPr>
      <w:tabs>
        <w:tab w:val="clear" w:pos="567"/>
        <w:tab w:val="num" w:pos="1080"/>
      </w:tabs>
      <w:ind w:left="1080" w:hanging="360"/>
    </w:pPr>
  </w:style>
  <w:style w:type="paragraph" w:customStyle="1" w:styleId="DashEqual1">
    <w:name w:val="Dash Equal 1"/>
    <w:basedOn w:val="Dash1"/>
    <w:qFormat/>
    <w:rsid w:val="006173E9"/>
    <w:pPr>
      <w:numPr>
        <w:numId w:val="9"/>
      </w:numPr>
      <w:tabs>
        <w:tab w:val="clear" w:pos="1134"/>
        <w:tab w:val="num" w:pos="1440"/>
      </w:tabs>
      <w:ind w:left="1440" w:hanging="360"/>
    </w:pPr>
  </w:style>
  <w:style w:type="paragraph" w:customStyle="1" w:styleId="DashEqual2">
    <w:name w:val="Dash Equal 2"/>
    <w:basedOn w:val="Dash2"/>
    <w:qFormat/>
    <w:rsid w:val="006173E9"/>
    <w:pPr>
      <w:numPr>
        <w:numId w:val="10"/>
      </w:numPr>
      <w:tabs>
        <w:tab w:val="clear" w:pos="1701"/>
        <w:tab w:val="num" w:pos="1440"/>
      </w:tabs>
      <w:ind w:left="1440" w:hanging="360"/>
    </w:pPr>
  </w:style>
  <w:style w:type="paragraph" w:customStyle="1" w:styleId="DashEqual3">
    <w:name w:val="Dash Equal 3"/>
    <w:basedOn w:val="Dash3"/>
    <w:qFormat/>
    <w:rsid w:val="006173E9"/>
    <w:pPr>
      <w:numPr>
        <w:numId w:val="11"/>
      </w:numPr>
      <w:tabs>
        <w:tab w:val="clear" w:pos="2268"/>
        <w:tab w:val="num" w:pos="1800"/>
      </w:tabs>
      <w:ind w:left="1800" w:hanging="360"/>
    </w:pPr>
  </w:style>
  <w:style w:type="paragraph" w:customStyle="1" w:styleId="DashEqual4">
    <w:name w:val="Dash Equal 4"/>
    <w:basedOn w:val="Dash4"/>
    <w:qFormat/>
    <w:rsid w:val="006173E9"/>
    <w:pPr>
      <w:numPr>
        <w:numId w:val="12"/>
      </w:numPr>
      <w:tabs>
        <w:tab w:val="clear" w:pos="2835"/>
        <w:tab w:val="num" w:pos="1800"/>
      </w:tabs>
      <w:ind w:left="1800" w:hanging="360"/>
    </w:pPr>
  </w:style>
  <w:style w:type="character" w:customStyle="1" w:styleId="Marker">
    <w:name w:val="Marker"/>
    <w:basedOn w:val="DefaultParagraphFont"/>
    <w:qFormat/>
    <w:rsid w:val="006173E9"/>
    <w:rPr>
      <w:color w:val="0000FF"/>
      <w:shd w:val="clear" w:color="auto" w:fill="auto"/>
    </w:rPr>
  </w:style>
  <w:style w:type="character" w:customStyle="1" w:styleId="Marker1">
    <w:name w:val="Marker1"/>
    <w:basedOn w:val="DefaultParagraphFont"/>
    <w:qFormat/>
    <w:rsid w:val="006173E9"/>
    <w:rPr>
      <w:color w:val="008000"/>
      <w:shd w:val="clear" w:color="auto" w:fill="auto"/>
    </w:rPr>
  </w:style>
  <w:style w:type="paragraph" w:customStyle="1" w:styleId="HeadingLeft">
    <w:name w:val="Heading Left"/>
    <w:basedOn w:val="Normal"/>
    <w:next w:val="Normal"/>
    <w:qFormat/>
    <w:rsid w:val="006173E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6173E9"/>
    <w:pPr>
      <w:numPr>
        <w:numId w:val="22"/>
      </w:numPr>
      <w:tabs>
        <w:tab w:val="clear" w:pos="567"/>
        <w:tab w:val="num" w:pos="1800"/>
      </w:tabs>
      <w:ind w:left="1800" w:hanging="360"/>
    </w:pPr>
  </w:style>
  <w:style w:type="paragraph" w:customStyle="1" w:styleId="Heading123">
    <w:name w:val="Heading 123"/>
    <w:basedOn w:val="HeadingLeft"/>
    <w:next w:val="Normal"/>
    <w:qFormat/>
    <w:rsid w:val="006173E9"/>
    <w:pPr>
      <w:numPr>
        <w:numId w:val="21"/>
      </w:numPr>
      <w:tabs>
        <w:tab w:val="clear" w:pos="567"/>
        <w:tab w:val="num" w:pos="1800"/>
      </w:tabs>
      <w:ind w:left="1800" w:hanging="360"/>
    </w:pPr>
  </w:style>
  <w:style w:type="paragraph" w:customStyle="1" w:styleId="HeadingABC">
    <w:name w:val="Heading ABC"/>
    <w:basedOn w:val="HeadingLeft"/>
    <w:next w:val="Normal"/>
    <w:qFormat/>
    <w:rsid w:val="006173E9"/>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6173E9"/>
    <w:pPr>
      <w:jc w:val="center"/>
    </w:pPr>
  </w:style>
  <w:style w:type="paragraph" w:customStyle="1" w:styleId="Jardin">
    <w:name w:val="Jardin"/>
    <w:basedOn w:val="Normal"/>
    <w:qFormat/>
    <w:rsid w:val="006173E9"/>
    <w:pPr>
      <w:widowControl/>
      <w:spacing w:before="200"/>
      <w:jc w:val="center"/>
    </w:pPr>
    <w:rPr>
      <w:rFonts w:eastAsia="Calibri"/>
      <w:szCs w:val="22"/>
      <w:lang w:eastAsia="en-US"/>
    </w:rPr>
  </w:style>
  <w:style w:type="paragraph" w:customStyle="1" w:styleId="Amendment">
    <w:name w:val="Amendment"/>
    <w:basedOn w:val="Normal"/>
    <w:next w:val="Normal"/>
    <w:qFormat/>
    <w:rsid w:val="006173E9"/>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6173E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6173E9"/>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6173E9"/>
    <w:rPr>
      <w:b/>
    </w:rPr>
  </w:style>
  <w:style w:type="paragraph" w:customStyle="1" w:styleId="Annex">
    <w:name w:val="Annex"/>
    <w:basedOn w:val="Normal"/>
    <w:next w:val="Normal"/>
    <w:qFormat/>
    <w:rsid w:val="006173E9"/>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6173E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6173E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6173E9"/>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6173E9"/>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173E9"/>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6173E9"/>
    <w:rPr>
      <w:rFonts w:eastAsia="Calibri"/>
      <w:lang w:val="bg-BG" w:eastAsia="en-US"/>
    </w:rPr>
  </w:style>
  <w:style w:type="character" w:styleId="EndnoteReference">
    <w:name w:val="endnote reference"/>
    <w:basedOn w:val="DefaultParagraphFont"/>
    <w:uiPriority w:val="99"/>
    <w:unhideWhenUsed/>
    <w:rsid w:val="006173E9"/>
    <w:rPr>
      <w:vertAlign w:val="superscript"/>
    </w:rPr>
  </w:style>
  <w:style w:type="paragraph" w:customStyle="1" w:styleId="HeaderCouncilLarge">
    <w:name w:val="Header Council Large"/>
    <w:basedOn w:val="Normal"/>
    <w:link w:val="HeaderCouncilLargeChar"/>
    <w:qFormat/>
    <w:rsid w:val="006173E9"/>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6173E9"/>
    <w:rPr>
      <w:rFonts w:eastAsia="Calibri"/>
      <w:sz w:val="24"/>
      <w:szCs w:val="22"/>
      <w:lang w:val="bg-BG" w:eastAsia="en-US"/>
    </w:rPr>
  </w:style>
  <w:style w:type="character" w:customStyle="1" w:styleId="HeaderCouncilLargeChar">
    <w:name w:val="Header Council Large Char"/>
    <w:basedOn w:val="TechnicalBlockChar"/>
    <w:link w:val="HeaderCouncilLarge"/>
    <w:qFormat/>
    <w:rsid w:val="006173E9"/>
    <w:rPr>
      <w:rFonts w:eastAsia="Calibri"/>
      <w:sz w:val="2"/>
      <w:szCs w:val="22"/>
      <w:lang w:val="bg-BG" w:eastAsia="en-US"/>
    </w:rPr>
  </w:style>
  <w:style w:type="paragraph" w:customStyle="1" w:styleId="FooterText">
    <w:name w:val="Footer Text"/>
    <w:basedOn w:val="Normal"/>
    <w:qFormat/>
    <w:rsid w:val="006173E9"/>
    <w:pPr>
      <w:widowControl/>
    </w:pPr>
    <w:rPr>
      <w:szCs w:val="24"/>
      <w:lang w:eastAsia="en-US"/>
    </w:rPr>
  </w:style>
  <w:style w:type="character" w:styleId="PlaceholderText">
    <w:name w:val="Placeholder Text"/>
    <w:basedOn w:val="DefaultParagraphFont"/>
    <w:uiPriority w:val="99"/>
    <w:semiHidden/>
    <w:qFormat/>
    <w:rsid w:val="006173E9"/>
    <w:rPr>
      <w:color w:val="808080"/>
    </w:rPr>
  </w:style>
  <w:style w:type="numbering" w:customStyle="1" w:styleId="RKPunktlista">
    <w:name w:val="RK Punktlista"/>
    <w:uiPriority w:val="99"/>
    <w:rsid w:val="006173E9"/>
    <w:pPr>
      <w:numPr>
        <w:numId w:val="23"/>
      </w:numPr>
    </w:pPr>
  </w:style>
  <w:style w:type="paragraph" w:customStyle="1" w:styleId="ListBullet10">
    <w:name w:val="List Bullet1"/>
    <w:basedOn w:val="Normal"/>
    <w:next w:val="ListBullet"/>
    <w:uiPriority w:val="99"/>
    <w:qFormat/>
    <w:rsid w:val="006173E9"/>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Bullet21">
    <w:name w:val="List Bullet 21"/>
    <w:basedOn w:val="Normal"/>
    <w:next w:val="ListBullet2"/>
    <w:uiPriority w:val="99"/>
    <w:qFormat/>
    <w:rsid w:val="006173E9"/>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eastAsia="en-US"/>
    </w:rPr>
  </w:style>
  <w:style w:type="paragraph" w:customStyle="1" w:styleId="ListBullet31">
    <w:name w:val="List Bullet 31"/>
    <w:basedOn w:val="Normal"/>
    <w:next w:val="ListBullet3"/>
    <w:uiPriority w:val="99"/>
    <w:qFormat/>
    <w:rsid w:val="006173E9"/>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ParagraphCharCharChar1">
    <w:name w:val="List Paragraph Char Char Char1"/>
    <w:basedOn w:val="Normal"/>
    <w:next w:val="ListParagraph"/>
    <w:link w:val="ListParagraphChar"/>
    <w:uiPriority w:val="34"/>
    <w:qFormat/>
    <w:rsid w:val="006173E9"/>
    <w:pPr>
      <w:widowControl/>
      <w:spacing w:after="280" w:line="276" w:lineRule="auto"/>
      <w:ind w:left="720"/>
      <w:contextualSpacing/>
    </w:pPr>
    <w:rPr>
      <w:rFonts w:ascii="Calibri" w:eastAsia="Calibri" w:hAnsi="Calibri" w:cs="Arial"/>
      <w:sz w:val="25"/>
      <w:szCs w:val="25"/>
      <w:lang w:eastAsia="en-US"/>
    </w:rPr>
  </w:style>
  <w:style w:type="paragraph" w:customStyle="1" w:styleId="CM1">
    <w:name w:val="CM1"/>
    <w:basedOn w:val="Default"/>
    <w:next w:val="Default"/>
    <w:uiPriority w:val="99"/>
    <w:rsid w:val="006173E9"/>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6173E9"/>
    <w:rPr>
      <w:b/>
      <w:shd w:val="clear" w:color="auto" w:fill="auto"/>
      <w:vertAlign w:val="superscript"/>
    </w:rPr>
  </w:style>
  <w:style w:type="character" w:customStyle="1" w:styleId="Fotnotsankare">
    <w:name w:val="Fotnotsankare"/>
    <w:qFormat/>
    <w:rsid w:val="006173E9"/>
    <w:rPr>
      <w:vertAlign w:val="superscript"/>
    </w:rPr>
  </w:style>
  <w:style w:type="character" w:customStyle="1" w:styleId="Slutnotstecken">
    <w:name w:val="Slutnotstecken"/>
    <w:basedOn w:val="DefaultParagraphFont"/>
    <w:uiPriority w:val="99"/>
    <w:semiHidden/>
    <w:unhideWhenUsed/>
    <w:qFormat/>
    <w:rsid w:val="006173E9"/>
    <w:rPr>
      <w:vertAlign w:val="superscript"/>
    </w:rPr>
  </w:style>
  <w:style w:type="character" w:customStyle="1" w:styleId="Slutnotsankare">
    <w:name w:val="Slutnotsankare"/>
    <w:qFormat/>
    <w:rsid w:val="006173E9"/>
    <w:rPr>
      <w:vertAlign w:val="superscript"/>
    </w:rPr>
  </w:style>
  <w:style w:type="character" w:customStyle="1" w:styleId="TOCHeadingChar">
    <w:name w:val="TOC Heading Char"/>
    <w:uiPriority w:val="39"/>
    <w:qFormat/>
    <w:rsid w:val="006173E9"/>
    <w:rPr>
      <w:rFonts w:ascii="Times New Roman" w:hAnsi="Times New Roman" w:cs="Times New Roman"/>
      <w:b/>
      <w:sz w:val="28"/>
      <w:lang w:val="bg-BG"/>
    </w:rPr>
  </w:style>
  <w:style w:type="character" w:customStyle="1" w:styleId="tw4winMark">
    <w:name w:val="tw4winMark"/>
    <w:qFormat/>
    <w:rsid w:val="006173E9"/>
    <w:rPr>
      <w:vanish/>
      <w:color w:val="800080"/>
      <w:vertAlign w:val="subscript"/>
    </w:rPr>
  </w:style>
  <w:style w:type="character" w:customStyle="1" w:styleId="AnvndInternetlnk">
    <w:name w:val="Använd Internetlänk"/>
    <w:qFormat/>
    <w:rsid w:val="006173E9"/>
    <w:rPr>
      <w:color w:val="800080"/>
      <w:u w:val="single"/>
    </w:rPr>
  </w:style>
  <w:style w:type="character" w:customStyle="1" w:styleId="FooterCoverPageChar">
    <w:name w:val="Footer Cover Page Char"/>
    <w:link w:val="FooterCoverPage"/>
    <w:qFormat/>
    <w:rsid w:val="006173E9"/>
    <w:rPr>
      <w:rFonts w:eastAsia="Calibri"/>
      <w:sz w:val="24"/>
    </w:rPr>
  </w:style>
  <w:style w:type="character" w:customStyle="1" w:styleId="HeaderCoverPageChar">
    <w:name w:val="Header Cover Page Char"/>
    <w:link w:val="HeaderCoverPage"/>
    <w:qFormat/>
    <w:rsid w:val="006173E9"/>
    <w:rPr>
      <w:rFonts w:eastAsia="Calibri"/>
      <w:sz w:val="24"/>
    </w:rPr>
  </w:style>
  <w:style w:type="character" w:customStyle="1" w:styleId="ListParagraphChar">
    <w:name w:val="List Paragraph Char"/>
    <w:aliases w:val="List Paragraph1 Char,Numbered Para 1 Char,Dot pt Char,No Spacing1 Char,Indicator Text Char,Bullet Points Char,MAIN CONTENT Char,List Paragraph12 Char,F5 List Paragraph Char,Heading 2_sj Char,1st level - Bullet List Paragraph Char"/>
    <w:basedOn w:val="DefaultParagraphFont"/>
    <w:link w:val="ListParagraphCharCharChar1"/>
    <w:uiPriority w:val="34"/>
    <w:qFormat/>
    <w:locked/>
    <w:rsid w:val="006173E9"/>
    <w:rPr>
      <w:rFonts w:ascii="Calibri" w:eastAsia="Calibri" w:hAnsi="Calibri" w:cs="Arial"/>
      <w:sz w:val="25"/>
      <w:szCs w:val="25"/>
      <w:lang w:val="bg-BG" w:eastAsia="en-US"/>
    </w:rPr>
  </w:style>
  <w:style w:type="character" w:customStyle="1" w:styleId="normaltextrun">
    <w:name w:val="normaltextrun"/>
    <w:basedOn w:val="DefaultParagraphFont"/>
    <w:qFormat/>
    <w:rsid w:val="006173E9"/>
  </w:style>
  <w:style w:type="character" w:customStyle="1" w:styleId="eop">
    <w:name w:val="eop"/>
    <w:basedOn w:val="DefaultParagraphFont"/>
    <w:qFormat/>
    <w:rsid w:val="006173E9"/>
  </w:style>
  <w:style w:type="character" w:customStyle="1" w:styleId="bold">
    <w:name w:val="bold"/>
    <w:basedOn w:val="DefaultParagraphFont"/>
    <w:qFormat/>
    <w:rsid w:val="006173E9"/>
  </w:style>
  <w:style w:type="character" w:customStyle="1" w:styleId="oj-italic">
    <w:name w:val="oj-italic"/>
    <w:basedOn w:val="DefaultParagraphFont"/>
    <w:qFormat/>
    <w:rsid w:val="006173E9"/>
  </w:style>
  <w:style w:type="character" w:customStyle="1" w:styleId="Bodytext2">
    <w:name w:val="Body text|2"/>
    <w:basedOn w:val="DefaultParagraphFont"/>
    <w:qFormat/>
    <w:rsid w:val="006173E9"/>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highlight">
    <w:name w:val="highlight"/>
    <w:basedOn w:val="DefaultParagraphFont"/>
    <w:qFormat/>
    <w:rsid w:val="006173E9"/>
  </w:style>
  <w:style w:type="character" w:customStyle="1" w:styleId="oj-super">
    <w:name w:val="oj-super"/>
    <w:basedOn w:val="DefaultParagraphFont"/>
    <w:qFormat/>
    <w:rsid w:val="006173E9"/>
  </w:style>
  <w:style w:type="character" w:customStyle="1" w:styleId="findhit">
    <w:name w:val="findhit"/>
    <w:basedOn w:val="DefaultParagraphFont"/>
    <w:qFormat/>
    <w:rsid w:val="006173E9"/>
  </w:style>
  <w:style w:type="character" w:customStyle="1" w:styleId="Marker2">
    <w:name w:val="Marker2"/>
    <w:basedOn w:val="DefaultParagraphFont"/>
    <w:qFormat/>
    <w:rsid w:val="006173E9"/>
    <w:rPr>
      <w:color w:val="FF0000"/>
      <w:shd w:val="clear" w:color="auto" w:fill="auto"/>
    </w:rPr>
  </w:style>
  <w:style w:type="character" w:customStyle="1" w:styleId="Added">
    <w:name w:val="Added"/>
    <w:basedOn w:val="DefaultParagraphFont"/>
    <w:qFormat/>
    <w:rsid w:val="006173E9"/>
    <w:rPr>
      <w:b/>
      <w:u w:val="single"/>
      <w:shd w:val="clear" w:color="auto" w:fill="auto"/>
    </w:rPr>
  </w:style>
  <w:style w:type="character" w:customStyle="1" w:styleId="Deleted">
    <w:name w:val="Deleted"/>
    <w:basedOn w:val="DefaultParagraphFont"/>
    <w:qFormat/>
    <w:rsid w:val="006173E9"/>
    <w:rPr>
      <w:strike w:val="0"/>
      <w:dstrike w:val="0"/>
      <w:shd w:val="clear" w:color="auto" w:fill="auto"/>
    </w:rPr>
  </w:style>
  <w:style w:type="character" w:customStyle="1" w:styleId="pjChar">
    <w:name w:val="p.j. Char"/>
    <w:basedOn w:val="TechnicalBlockChar"/>
    <w:link w:val="pj"/>
    <w:qFormat/>
    <w:rsid w:val="006173E9"/>
    <w:rPr>
      <w:rFonts w:eastAsia="Calibri"/>
      <w:sz w:val="24"/>
      <w:szCs w:val="22"/>
      <w:lang w:val="bg-BG" w:eastAsia="en-US"/>
    </w:rPr>
  </w:style>
  <w:style w:type="character" w:customStyle="1" w:styleId="nbborderedChar">
    <w:name w:val="nb bordered Char"/>
    <w:basedOn w:val="TechnicalBlockChar"/>
    <w:link w:val="nbbordered"/>
    <w:qFormat/>
    <w:rsid w:val="006173E9"/>
    <w:rPr>
      <w:rFonts w:eastAsia="Calibri"/>
      <w:b/>
      <w:sz w:val="24"/>
      <w:szCs w:val="22"/>
      <w:lang w:val="bg-BG" w:eastAsia="en-US"/>
    </w:rPr>
  </w:style>
  <w:style w:type="character" w:customStyle="1" w:styleId="HeaderCouncilChar">
    <w:name w:val="Header Council Char"/>
    <w:basedOn w:val="DefaultParagraphFont"/>
    <w:link w:val="HeaderCouncil"/>
    <w:qFormat/>
    <w:rsid w:val="006173E9"/>
    <w:rPr>
      <w:rFonts w:eastAsia="Calibri"/>
      <w:sz w:val="2"/>
      <w:szCs w:val="22"/>
      <w:lang w:val="bg-BG" w:eastAsia="en-US"/>
    </w:rPr>
  </w:style>
  <w:style w:type="character" w:customStyle="1" w:styleId="FooterCouncilChar">
    <w:name w:val="Footer Council Char"/>
    <w:basedOn w:val="DefaultParagraphFont"/>
    <w:link w:val="FooterCouncil"/>
    <w:qFormat/>
    <w:rsid w:val="006173E9"/>
    <w:rPr>
      <w:rFonts w:eastAsia="Calibri"/>
      <w:sz w:val="2"/>
      <w:szCs w:val="22"/>
      <w:lang w:val="bg-BG" w:eastAsia="en-US"/>
    </w:rPr>
  </w:style>
  <w:style w:type="character" w:customStyle="1" w:styleId="ArticleNRLChar">
    <w:name w:val="Article NRL Char"/>
    <w:basedOn w:val="Heading2Char"/>
    <w:link w:val="ArticleNRL"/>
    <w:qFormat/>
    <w:rsid w:val="006173E9"/>
    <w:rPr>
      <w:sz w:val="24"/>
      <w:lang w:val="fr-FR" w:eastAsia="fr-FR"/>
    </w:rPr>
  </w:style>
  <w:style w:type="character" w:customStyle="1" w:styleId="TypedudocumentChar">
    <w:name w:val="Type du document Char"/>
    <w:basedOn w:val="DefaultParagraphFont"/>
    <w:link w:val="Typedudocument"/>
    <w:qFormat/>
    <w:rsid w:val="006173E9"/>
    <w:rPr>
      <w:b/>
      <w:sz w:val="24"/>
    </w:rPr>
  </w:style>
  <w:style w:type="character" w:customStyle="1" w:styleId="Rubrik1Char">
    <w:name w:val="Rubrik1 Char"/>
    <w:basedOn w:val="TypedudocumentChar"/>
    <w:link w:val="Rubrik1"/>
    <w:qFormat/>
    <w:rsid w:val="006173E9"/>
    <w:rPr>
      <w:b/>
      <w:sz w:val="24"/>
    </w:rPr>
  </w:style>
  <w:style w:type="character" w:customStyle="1" w:styleId="ChapterTitleChar">
    <w:name w:val="ChapterTitle Char"/>
    <w:basedOn w:val="DefaultParagraphFont"/>
    <w:link w:val="ChapterTitle"/>
    <w:qFormat/>
    <w:rsid w:val="006173E9"/>
    <w:rPr>
      <w:b/>
      <w:bCs/>
      <w:smallCaps/>
      <w:sz w:val="32"/>
      <w:szCs w:val="28"/>
    </w:rPr>
  </w:style>
  <w:style w:type="character" w:customStyle="1" w:styleId="Point0Char">
    <w:name w:val="Point 0 Char"/>
    <w:basedOn w:val="DefaultParagraphFont"/>
    <w:link w:val="Point0"/>
    <w:qFormat/>
    <w:rsid w:val="006173E9"/>
    <w:rPr>
      <w:sz w:val="24"/>
    </w:rPr>
  </w:style>
  <w:style w:type="character" w:customStyle="1" w:styleId="additionChar">
    <w:name w:val="addition Char"/>
    <w:basedOn w:val="Point0Char"/>
    <w:link w:val="addition"/>
    <w:qFormat/>
    <w:rsid w:val="006173E9"/>
    <w:rPr>
      <w:b/>
      <w:sz w:val="24"/>
      <w:u w:val="single"/>
    </w:rPr>
  </w:style>
  <w:style w:type="character" w:customStyle="1" w:styleId="ManualNumPar1Char">
    <w:name w:val="Manual NumPar 1 Char"/>
    <w:basedOn w:val="DefaultParagraphFont"/>
    <w:link w:val="ManualNumPar1"/>
    <w:qFormat/>
    <w:rsid w:val="006173E9"/>
    <w:rPr>
      <w:sz w:val="24"/>
    </w:rPr>
  </w:style>
  <w:style w:type="character" w:customStyle="1" w:styleId="deletionChar">
    <w:name w:val="deletion Char"/>
    <w:basedOn w:val="ManualNumPar1Char"/>
    <w:link w:val="deletion"/>
    <w:qFormat/>
    <w:rsid w:val="006173E9"/>
    <w:rPr>
      <w:strike/>
      <w:sz w:val="24"/>
    </w:rPr>
  </w:style>
  <w:style w:type="character" w:customStyle="1" w:styleId="FootnoteAnchor">
    <w:name w:val="Footnote Anchor"/>
    <w:rsid w:val="006173E9"/>
    <w:rPr>
      <w:vertAlign w:val="superscript"/>
    </w:rPr>
  </w:style>
  <w:style w:type="character" w:customStyle="1" w:styleId="EndnoteAnchor">
    <w:name w:val="Endnote Anchor"/>
    <w:rsid w:val="006173E9"/>
    <w:rPr>
      <w:vertAlign w:val="superscript"/>
    </w:rPr>
  </w:style>
  <w:style w:type="character" w:customStyle="1" w:styleId="EndnoteCharacters">
    <w:name w:val="Endnote Characters"/>
    <w:qFormat/>
    <w:rsid w:val="006173E9"/>
  </w:style>
  <w:style w:type="paragraph" w:customStyle="1" w:styleId="Heading">
    <w:name w:val="Heading"/>
    <w:basedOn w:val="Normal"/>
    <w:next w:val="BodyText"/>
    <w:qFormat/>
    <w:rsid w:val="006173E9"/>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6173E9"/>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6173E9"/>
    <w:rPr>
      <w:rFonts w:eastAsia="Calibri"/>
      <w:sz w:val="24"/>
      <w:szCs w:val="22"/>
      <w:lang w:val="bg-BG" w:eastAsia="en-US"/>
    </w:rPr>
  </w:style>
  <w:style w:type="paragraph" w:styleId="List">
    <w:name w:val="List"/>
    <w:basedOn w:val="Normal"/>
    <w:uiPriority w:val="99"/>
    <w:unhideWhenUsed/>
    <w:rsid w:val="006173E9"/>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6173E9"/>
    <w:pPr>
      <w:widowControl/>
      <w:suppressAutoHyphens/>
      <w:spacing w:before="120" w:after="120"/>
      <w:jc w:val="both"/>
    </w:pPr>
    <w:rPr>
      <w:b/>
      <w:bCs/>
      <w:sz w:val="20"/>
    </w:rPr>
  </w:style>
  <w:style w:type="paragraph" w:customStyle="1" w:styleId="Index">
    <w:name w:val="Index"/>
    <w:basedOn w:val="Normal"/>
    <w:qFormat/>
    <w:rsid w:val="006173E9"/>
    <w:pPr>
      <w:widowControl/>
      <w:suppressLineNumbers/>
      <w:suppressAutoHyphens/>
      <w:spacing w:before="120" w:after="120" w:line="360" w:lineRule="auto"/>
    </w:pPr>
    <w:rPr>
      <w:rFonts w:eastAsia="Calibri" w:cs="Noto Sans Devanagari"/>
      <w:szCs w:val="22"/>
      <w:lang w:eastAsia="en-US"/>
    </w:rPr>
  </w:style>
  <w:style w:type="paragraph" w:customStyle="1" w:styleId="Frteckning">
    <w:name w:val="Förteckning"/>
    <w:basedOn w:val="Normal"/>
    <w:qFormat/>
    <w:rsid w:val="006173E9"/>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6173E9"/>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6173E9"/>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6173E9"/>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6173E9"/>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6173E9"/>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6173E9"/>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6173E9"/>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6173E9"/>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6173E9"/>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6173E9"/>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6173E9"/>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6173E9"/>
    <w:pPr>
      <w:widowControl/>
      <w:numPr>
        <w:numId w:val="34"/>
      </w:numPr>
      <w:suppressAutoHyphens/>
      <w:spacing w:before="120" w:after="120"/>
      <w:jc w:val="both"/>
    </w:pPr>
    <w:rPr>
      <w:szCs w:val="22"/>
    </w:rPr>
  </w:style>
  <w:style w:type="paragraph" w:styleId="ListNumber3">
    <w:name w:val="List Number 3"/>
    <w:basedOn w:val="Normal"/>
    <w:uiPriority w:val="99"/>
    <w:qFormat/>
    <w:rsid w:val="006173E9"/>
    <w:pPr>
      <w:widowControl/>
      <w:numPr>
        <w:numId w:val="35"/>
      </w:numPr>
      <w:suppressAutoHyphens/>
      <w:spacing w:before="120" w:after="120"/>
      <w:jc w:val="both"/>
    </w:pPr>
    <w:rPr>
      <w:szCs w:val="22"/>
    </w:rPr>
  </w:style>
  <w:style w:type="paragraph" w:styleId="ListNumber4">
    <w:name w:val="List Number 4"/>
    <w:basedOn w:val="Normal"/>
    <w:uiPriority w:val="99"/>
    <w:qFormat/>
    <w:rsid w:val="006173E9"/>
    <w:pPr>
      <w:widowControl/>
      <w:tabs>
        <w:tab w:val="num" w:pos="1560"/>
      </w:tabs>
      <w:suppressAutoHyphens/>
      <w:spacing w:before="120" w:after="120"/>
      <w:ind w:left="1560" w:hanging="709"/>
      <w:jc w:val="both"/>
    </w:pPr>
    <w:rPr>
      <w:szCs w:val="22"/>
    </w:rPr>
  </w:style>
  <w:style w:type="paragraph" w:customStyle="1" w:styleId="ListDash3">
    <w:name w:val="List Dash 3"/>
    <w:basedOn w:val="Normal"/>
    <w:qFormat/>
    <w:rsid w:val="006173E9"/>
    <w:pPr>
      <w:widowControl/>
      <w:numPr>
        <w:numId w:val="31"/>
      </w:numPr>
      <w:suppressAutoHyphens/>
      <w:spacing w:before="120" w:after="120"/>
      <w:jc w:val="both"/>
    </w:pPr>
    <w:rPr>
      <w:szCs w:val="22"/>
    </w:rPr>
  </w:style>
  <w:style w:type="paragraph" w:customStyle="1" w:styleId="ListDash4">
    <w:name w:val="List Dash 4"/>
    <w:basedOn w:val="Normal"/>
    <w:qFormat/>
    <w:rsid w:val="006173E9"/>
    <w:pPr>
      <w:widowControl/>
      <w:numPr>
        <w:numId w:val="32"/>
      </w:numPr>
      <w:suppressAutoHyphens/>
      <w:spacing w:before="120" w:after="120"/>
      <w:jc w:val="both"/>
    </w:pPr>
    <w:rPr>
      <w:szCs w:val="22"/>
    </w:rPr>
  </w:style>
  <w:style w:type="paragraph" w:customStyle="1" w:styleId="ListNumber1">
    <w:name w:val="List Number 1"/>
    <w:basedOn w:val="Text1"/>
    <w:qFormat/>
    <w:rsid w:val="006173E9"/>
    <w:pPr>
      <w:numPr>
        <w:numId w:val="33"/>
      </w:numPr>
      <w:suppressAutoHyphens/>
      <w:spacing w:line="240" w:lineRule="auto"/>
      <w:jc w:val="both"/>
    </w:pPr>
    <w:rPr>
      <w:rFonts w:eastAsia="Times New Roman"/>
      <w:lang w:eastAsia="en-GB"/>
    </w:rPr>
  </w:style>
  <w:style w:type="paragraph" w:customStyle="1" w:styleId="ListNumber1Level2">
    <w:name w:val="List Number 1 (Level 2)"/>
    <w:basedOn w:val="Text1"/>
    <w:qFormat/>
    <w:rsid w:val="006173E9"/>
    <w:pPr>
      <w:numPr>
        <w:ilvl w:val="1"/>
        <w:numId w:val="33"/>
      </w:numPr>
      <w:suppressAutoHyphens/>
      <w:spacing w:line="240" w:lineRule="auto"/>
      <w:jc w:val="both"/>
    </w:pPr>
    <w:rPr>
      <w:rFonts w:eastAsia="Times New Roman"/>
      <w:lang w:eastAsia="en-GB"/>
    </w:rPr>
  </w:style>
  <w:style w:type="paragraph" w:customStyle="1" w:styleId="ListNumber2Level2">
    <w:name w:val="List Number 2 (Level 2)"/>
    <w:basedOn w:val="Text2"/>
    <w:qFormat/>
    <w:rsid w:val="006173E9"/>
    <w:pPr>
      <w:numPr>
        <w:ilvl w:val="1"/>
        <w:numId w:val="34"/>
      </w:numPr>
      <w:suppressAutoHyphens/>
      <w:spacing w:line="240" w:lineRule="auto"/>
      <w:jc w:val="both"/>
    </w:pPr>
    <w:rPr>
      <w:rFonts w:eastAsia="Times New Roman"/>
      <w:lang w:eastAsia="en-GB"/>
    </w:rPr>
  </w:style>
  <w:style w:type="paragraph" w:customStyle="1" w:styleId="ListNumber3Level2">
    <w:name w:val="List Number 3 (Level 2)"/>
    <w:basedOn w:val="Text3"/>
    <w:qFormat/>
    <w:rsid w:val="006173E9"/>
    <w:pPr>
      <w:numPr>
        <w:ilvl w:val="1"/>
        <w:numId w:val="35"/>
      </w:numPr>
      <w:tabs>
        <w:tab w:val="clear" w:pos="2268"/>
        <w:tab w:val="num" w:pos="2835"/>
      </w:tabs>
      <w:suppressAutoHyphens/>
      <w:ind w:left="1701" w:firstLine="0"/>
    </w:pPr>
  </w:style>
  <w:style w:type="paragraph" w:customStyle="1" w:styleId="ListNumber4Level2">
    <w:name w:val="List Number 4 (Level 2)"/>
    <w:basedOn w:val="Text4"/>
    <w:qFormat/>
    <w:rsid w:val="006173E9"/>
    <w:pPr>
      <w:tabs>
        <w:tab w:val="num" w:pos="2268"/>
      </w:tabs>
      <w:suppressAutoHyphens/>
      <w:spacing w:line="240" w:lineRule="auto"/>
      <w:ind w:hanging="708"/>
      <w:jc w:val="both"/>
    </w:pPr>
    <w:rPr>
      <w:rFonts w:eastAsia="Times New Roman"/>
      <w:lang w:eastAsia="en-GB"/>
    </w:rPr>
  </w:style>
  <w:style w:type="paragraph" w:customStyle="1" w:styleId="ListNumber1Level3">
    <w:name w:val="List Number 1 (Level 3)"/>
    <w:basedOn w:val="Text1"/>
    <w:qFormat/>
    <w:rsid w:val="006173E9"/>
    <w:pPr>
      <w:tabs>
        <w:tab w:val="left" w:pos="2977"/>
      </w:tabs>
      <w:suppressAutoHyphens/>
      <w:spacing w:line="240" w:lineRule="auto"/>
      <w:ind w:left="2977" w:hanging="709"/>
      <w:jc w:val="both"/>
    </w:pPr>
    <w:rPr>
      <w:rFonts w:eastAsia="Times New Roman"/>
      <w:lang w:eastAsia="en-GB"/>
    </w:rPr>
  </w:style>
  <w:style w:type="paragraph" w:customStyle="1" w:styleId="ListNumber2Level3">
    <w:name w:val="List Number 2 (Level 3)"/>
    <w:basedOn w:val="Text2"/>
    <w:qFormat/>
    <w:rsid w:val="006173E9"/>
    <w:pPr>
      <w:numPr>
        <w:ilvl w:val="2"/>
        <w:numId w:val="34"/>
      </w:numPr>
      <w:suppressAutoHyphens/>
      <w:spacing w:line="240" w:lineRule="auto"/>
      <w:jc w:val="both"/>
    </w:pPr>
    <w:rPr>
      <w:rFonts w:eastAsia="Times New Roman"/>
      <w:lang w:eastAsia="en-GB"/>
    </w:rPr>
  </w:style>
  <w:style w:type="paragraph" w:customStyle="1" w:styleId="ListNumber3Level3">
    <w:name w:val="List Number 3 (Level 3)"/>
    <w:basedOn w:val="Text3"/>
    <w:qFormat/>
    <w:rsid w:val="006173E9"/>
    <w:pPr>
      <w:numPr>
        <w:ilvl w:val="2"/>
        <w:numId w:val="35"/>
      </w:numPr>
      <w:tabs>
        <w:tab w:val="clear" w:pos="2977"/>
        <w:tab w:val="num" w:pos="2835"/>
      </w:tabs>
      <w:suppressAutoHyphens/>
      <w:ind w:left="1701" w:firstLine="0"/>
    </w:pPr>
  </w:style>
  <w:style w:type="paragraph" w:customStyle="1" w:styleId="ListNumber4Level3">
    <w:name w:val="List Number 4 (Level 3)"/>
    <w:basedOn w:val="Text4"/>
    <w:qFormat/>
    <w:rsid w:val="006173E9"/>
    <w:pPr>
      <w:tabs>
        <w:tab w:val="num" w:pos="2977"/>
      </w:tabs>
      <w:suppressAutoHyphens/>
      <w:spacing w:line="240" w:lineRule="auto"/>
      <w:ind w:left="2977" w:hanging="709"/>
      <w:jc w:val="both"/>
    </w:pPr>
    <w:rPr>
      <w:rFonts w:eastAsia="Times New Roman"/>
      <w:lang w:eastAsia="en-GB"/>
    </w:rPr>
  </w:style>
  <w:style w:type="paragraph" w:customStyle="1" w:styleId="ListNumber1Level4">
    <w:name w:val="List Number 1 (Level 4)"/>
    <w:basedOn w:val="Text1"/>
    <w:qFormat/>
    <w:rsid w:val="006173E9"/>
    <w:pPr>
      <w:numPr>
        <w:ilvl w:val="3"/>
        <w:numId w:val="33"/>
      </w:numPr>
      <w:suppressAutoHyphens/>
      <w:spacing w:line="240" w:lineRule="auto"/>
      <w:jc w:val="both"/>
    </w:pPr>
    <w:rPr>
      <w:rFonts w:eastAsia="Times New Roman"/>
      <w:lang w:eastAsia="en-GB"/>
    </w:rPr>
  </w:style>
  <w:style w:type="paragraph" w:customStyle="1" w:styleId="ListNumber2Level4">
    <w:name w:val="List Number 2 (Level 4)"/>
    <w:basedOn w:val="Text2"/>
    <w:qFormat/>
    <w:rsid w:val="006173E9"/>
    <w:pPr>
      <w:numPr>
        <w:ilvl w:val="3"/>
        <w:numId w:val="34"/>
      </w:numPr>
      <w:suppressAutoHyphens/>
      <w:spacing w:line="240" w:lineRule="auto"/>
      <w:jc w:val="both"/>
    </w:pPr>
    <w:rPr>
      <w:rFonts w:eastAsia="Times New Roman"/>
      <w:lang w:eastAsia="en-GB"/>
    </w:rPr>
  </w:style>
  <w:style w:type="paragraph" w:customStyle="1" w:styleId="ListNumber3Level4">
    <w:name w:val="List Number 3 (Level 4)"/>
    <w:basedOn w:val="Text3"/>
    <w:qFormat/>
    <w:rsid w:val="006173E9"/>
    <w:pPr>
      <w:numPr>
        <w:ilvl w:val="3"/>
        <w:numId w:val="35"/>
      </w:numPr>
      <w:tabs>
        <w:tab w:val="clear" w:pos="3686"/>
        <w:tab w:val="num" w:pos="2835"/>
      </w:tabs>
      <w:suppressAutoHyphens/>
      <w:ind w:left="1701" w:firstLine="0"/>
    </w:pPr>
  </w:style>
  <w:style w:type="paragraph" w:customStyle="1" w:styleId="ListNumber4Level4">
    <w:name w:val="List Number 4 (Level 4)"/>
    <w:basedOn w:val="Text4"/>
    <w:qFormat/>
    <w:rsid w:val="006173E9"/>
    <w:pPr>
      <w:tabs>
        <w:tab w:val="num" w:pos="3686"/>
      </w:tabs>
      <w:suppressAutoHyphens/>
      <w:spacing w:line="240" w:lineRule="auto"/>
      <w:ind w:left="3686" w:hanging="709"/>
      <w:jc w:val="both"/>
    </w:pPr>
    <w:rPr>
      <w:rFonts w:eastAsia="Times New Roman"/>
      <w:lang w:eastAsia="en-GB"/>
    </w:rPr>
  </w:style>
  <w:style w:type="paragraph" w:customStyle="1" w:styleId="Annexetitreacte">
    <w:name w:val="Annexe titre (acte)"/>
    <w:basedOn w:val="Normal"/>
    <w:next w:val="Normal"/>
    <w:qFormat/>
    <w:rsid w:val="006173E9"/>
    <w:pPr>
      <w:widowControl/>
      <w:suppressAutoHyphens/>
      <w:spacing w:before="120" w:after="120"/>
      <w:jc w:val="center"/>
    </w:pPr>
    <w:rPr>
      <w:b/>
      <w:szCs w:val="22"/>
      <w:u w:val="single"/>
    </w:rPr>
  </w:style>
  <w:style w:type="paragraph" w:customStyle="1" w:styleId="Annexetitreexposglobal">
    <w:name w:val="Annexe titre (exposé global)"/>
    <w:basedOn w:val="Normal"/>
    <w:next w:val="Normal"/>
    <w:qFormat/>
    <w:rsid w:val="006173E9"/>
    <w:pPr>
      <w:widowControl/>
      <w:suppressAutoHyphens/>
      <w:spacing w:before="120" w:after="120"/>
      <w:jc w:val="center"/>
    </w:pPr>
    <w:rPr>
      <w:b/>
      <w:szCs w:val="22"/>
      <w:u w:val="single"/>
    </w:rPr>
  </w:style>
  <w:style w:type="paragraph" w:customStyle="1" w:styleId="Annexetitrefichefinacte">
    <w:name w:val="Annexe titre (fiche fin. acte)"/>
    <w:basedOn w:val="Normal"/>
    <w:next w:val="Normal"/>
    <w:qFormat/>
    <w:rsid w:val="006173E9"/>
    <w:pPr>
      <w:widowControl/>
      <w:suppressAutoHyphens/>
      <w:spacing w:before="120" w:after="120"/>
      <w:jc w:val="center"/>
    </w:pPr>
    <w:rPr>
      <w:b/>
      <w:szCs w:val="22"/>
      <w:u w:val="single"/>
    </w:rPr>
  </w:style>
  <w:style w:type="paragraph" w:customStyle="1" w:styleId="Annexetitrefichefinglobale">
    <w:name w:val="Annexe titre (fiche fin. globale)"/>
    <w:basedOn w:val="Normal"/>
    <w:next w:val="Normal"/>
    <w:qFormat/>
    <w:rsid w:val="006173E9"/>
    <w:pPr>
      <w:widowControl/>
      <w:suppressAutoHyphens/>
      <w:spacing w:before="120" w:after="120"/>
      <w:jc w:val="center"/>
    </w:pPr>
    <w:rPr>
      <w:b/>
      <w:szCs w:val="22"/>
      <w:u w:val="single"/>
    </w:rPr>
  </w:style>
  <w:style w:type="paragraph" w:customStyle="1" w:styleId="Annexetitreglobale">
    <w:name w:val="Annexe titre (globale)"/>
    <w:basedOn w:val="Normal"/>
    <w:next w:val="Normal"/>
    <w:qFormat/>
    <w:rsid w:val="006173E9"/>
    <w:pPr>
      <w:widowControl/>
      <w:suppressAutoHyphens/>
      <w:spacing w:before="120" w:after="120"/>
      <w:jc w:val="center"/>
    </w:pPr>
    <w:rPr>
      <w:b/>
      <w:szCs w:val="22"/>
      <w:u w:val="single"/>
    </w:rPr>
  </w:style>
  <w:style w:type="paragraph" w:customStyle="1" w:styleId="Exposdesmotifstitreglobal">
    <w:name w:val="Exposé des motifs titre (global)"/>
    <w:basedOn w:val="Normal"/>
    <w:next w:val="Normal"/>
    <w:qFormat/>
    <w:rsid w:val="006173E9"/>
    <w:pPr>
      <w:widowControl/>
      <w:suppressAutoHyphens/>
      <w:spacing w:before="120" w:after="120"/>
      <w:jc w:val="center"/>
    </w:pPr>
    <w:rPr>
      <w:b/>
      <w:szCs w:val="22"/>
      <w:u w:val="single"/>
    </w:rPr>
  </w:style>
  <w:style w:type="paragraph" w:customStyle="1" w:styleId="Langueoriginale">
    <w:name w:val="Langue originale"/>
    <w:basedOn w:val="Normal"/>
    <w:qFormat/>
    <w:rsid w:val="006173E9"/>
    <w:pPr>
      <w:widowControl/>
      <w:suppressAutoHyphens/>
      <w:spacing w:before="360" w:after="120"/>
      <w:jc w:val="center"/>
    </w:pPr>
    <w:rPr>
      <w:caps/>
      <w:szCs w:val="22"/>
    </w:rPr>
  </w:style>
  <w:style w:type="paragraph" w:customStyle="1" w:styleId="Phrasefinale">
    <w:name w:val="Phrase finale"/>
    <w:basedOn w:val="Normal"/>
    <w:next w:val="Normal"/>
    <w:qFormat/>
    <w:rsid w:val="006173E9"/>
    <w:pPr>
      <w:widowControl/>
      <w:suppressAutoHyphens/>
      <w:spacing w:before="360"/>
      <w:jc w:val="center"/>
    </w:pPr>
    <w:rPr>
      <w:szCs w:val="22"/>
    </w:rPr>
  </w:style>
  <w:style w:type="paragraph" w:customStyle="1" w:styleId="Prliminairetitre">
    <w:name w:val="Préliminaire titre"/>
    <w:basedOn w:val="Normal"/>
    <w:next w:val="Normal"/>
    <w:qFormat/>
    <w:rsid w:val="006173E9"/>
    <w:pPr>
      <w:widowControl/>
      <w:suppressAutoHyphens/>
      <w:spacing w:before="360" w:after="360"/>
      <w:jc w:val="center"/>
    </w:pPr>
    <w:rPr>
      <w:b/>
      <w:szCs w:val="22"/>
    </w:rPr>
  </w:style>
  <w:style w:type="paragraph" w:customStyle="1" w:styleId="Prliminairetype">
    <w:name w:val="Préliminaire type"/>
    <w:basedOn w:val="Normal"/>
    <w:next w:val="Normal"/>
    <w:qFormat/>
    <w:rsid w:val="006173E9"/>
    <w:pPr>
      <w:widowControl/>
      <w:suppressAutoHyphens/>
      <w:spacing w:before="360"/>
      <w:jc w:val="center"/>
    </w:pPr>
    <w:rPr>
      <w:b/>
      <w:szCs w:val="22"/>
    </w:rPr>
  </w:style>
  <w:style w:type="paragraph" w:customStyle="1" w:styleId="Rfrenceinstitutionelle">
    <w:name w:val="Référence institutionelle"/>
    <w:basedOn w:val="Normal"/>
    <w:next w:val="Statut"/>
    <w:qFormat/>
    <w:rsid w:val="006173E9"/>
    <w:pPr>
      <w:widowControl/>
      <w:suppressAutoHyphens/>
      <w:spacing w:after="240"/>
      <w:ind w:left="5103"/>
    </w:pPr>
    <w:rPr>
      <w:szCs w:val="22"/>
    </w:rPr>
  </w:style>
  <w:style w:type="paragraph" w:customStyle="1" w:styleId="Rfrenceinterinstitutionelle">
    <w:name w:val="Référence interinstitutionelle"/>
    <w:basedOn w:val="Normal"/>
    <w:next w:val="Statut"/>
    <w:qFormat/>
    <w:rsid w:val="006173E9"/>
    <w:pPr>
      <w:widowControl/>
      <w:suppressAutoHyphens/>
      <w:ind w:left="5103"/>
    </w:pPr>
    <w:rPr>
      <w:szCs w:val="22"/>
    </w:rPr>
  </w:style>
  <w:style w:type="paragraph" w:customStyle="1" w:styleId="Rfrenceinterinstitutionelleprliminaire">
    <w:name w:val="Référence interinstitutionelle (préliminaire)"/>
    <w:basedOn w:val="Normal"/>
    <w:next w:val="Normal"/>
    <w:qFormat/>
    <w:rsid w:val="006173E9"/>
    <w:pPr>
      <w:widowControl/>
      <w:suppressAutoHyphens/>
      <w:ind w:left="5103"/>
    </w:pPr>
    <w:rPr>
      <w:szCs w:val="22"/>
    </w:rPr>
  </w:style>
  <w:style w:type="paragraph" w:customStyle="1" w:styleId="Sous-titreobjetprliminaire">
    <w:name w:val="Sous-titre objet (préliminaire)"/>
    <w:basedOn w:val="Normal"/>
    <w:qFormat/>
    <w:rsid w:val="006173E9"/>
    <w:pPr>
      <w:widowControl/>
      <w:suppressAutoHyphens/>
      <w:jc w:val="center"/>
    </w:pPr>
    <w:rPr>
      <w:b/>
      <w:szCs w:val="22"/>
    </w:rPr>
  </w:style>
  <w:style w:type="paragraph" w:customStyle="1" w:styleId="Statutprliminaire">
    <w:name w:val="Statut (préliminaire)"/>
    <w:basedOn w:val="Normal"/>
    <w:next w:val="Normal"/>
    <w:qFormat/>
    <w:rsid w:val="006173E9"/>
    <w:pPr>
      <w:widowControl/>
      <w:suppressAutoHyphens/>
      <w:spacing w:before="360"/>
      <w:jc w:val="center"/>
    </w:pPr>
    <w:rPr>
      <w:szCs w:val="22"/>
    </w:rPr>
  </w:style>
  <w:style w:type="paragraph" w:customStyle="1" w:styleId="Titreobjetprliminaire">
    <w:name w:val="Titre objet (préliminaire)"/>
    <w:basedOn w:val="Normal"/>
    <w:next w:val="Normal"/>
    <w:qFormat/>
    <w:rsid w:val="006173E9"/>
    <w:pPr>
      <w:widowControl/>
      <w:suppressAutoHyphens/>
      <w:spacing w:before="360" w:after="360"/>
      <w:jc w:val="center"/>
    </w:pPr>
    <w:rPr>
      <w:b/>
      <w:szCs w:val="22"/>
    </w:rPr>
  </w:style>
  <w:style w:type="paragraph" w:customStyle="1" w:styleId="Typedudocumentprliminaire">
    <w:name w:val="Type du document (préliminaire)"/>
    <w:basedOn w:val="Normal"/>
    <w:next w:val="Normal"/>
    <w:qFormat/>
    <w:rsid w:val="006173E9"/>
    <w:pPr>
      <w:widowControl/>
      <w:suppressAutoHyphens/>
      <w:spacing w:before="360"/>
      <w:jc w:val="center"/>
    </w:pPr>
    <w:rPr>
      <w:b/>
      <w:szCs w:val="22"/>
    </w:rPr>
  </w:style>
  <w:style w:type="paragraph" w:customStyle="1" w:styleId="Fichefinancirestandardtitre">
    <w:name w:val="Fiche financière (standard) titre"/>
    <w:basedOn w:val="Normal"/>
    <w:next w:val="Normal"/>
    <w:qFormat/>
    <w:rsid w:val="006173E9"/>
    <w:pPr>
      <w:widowControl/>
      <w:suppressAutoHyphens/>
      <w:spacing w:before="120" w:after="120"/>
      <w:jc w:val="center"/>
    </w:pPr>
    <w:rPr>
      <w:b/>
      <w:szCs w:val="22"/>
      <w:u w:val="single"/>
    </w:rPr>
  </w:style>
  <w:style w:type="paragraph" w:customStyle="1" w:styleId="Fichefinancirestandardtitreacte">
    <w:name w:val="Fiche financière (standard) titre (acte)"/>
    <w:basedOn w:val="Normal"/>
    <w:next w:val="Normal"/>
    <w:qFormat/>
    <w:rsid w:val="006173E9"/>
    <w:pPr>
      <w:widowControl/>
      <w:suppressAutoHyphens/>
      <w:spacing w:before="120" w:after="120"/>
      <w:jc w:val="center"/>
    </w:pPr>
    <w:rPr>
      <w:b/>
      <w:szCs w:val="22"/>
      <w:u w:val="single"/>
    </w:rPr>
  </w:style>
  <w:style w:type="paragraph" w:customStyle="1" w:styleId="Fichefinanciretravailtitre">
    <w:name w:val="Fiche financière (travail) titre"/>
    <w:basedOn w:val="Normal"/>
    <w:next w:val="Normal"/>
    <w:qFormat/>
    <w:rsid w:val="006173E9"/>
    <w:pPr>
      <w:widowControl/>
      <w:suppressAutoHyphens/>
      <w:spacing w:before="120" w:after="120"/>
      <w:jc w:val="center"/>
    </w:pPr>
    <w:rPr>
      <w:b/>
      <w:szCs w:val="22"/>
      <w:u w:val="single"/>
    </w:rPr>
  </w:style>
  <w:style w:type="paragraph" w:customStyle="1" w:styleId="Fichefinanciretravailtitreacte">
    <w:name w:val="Fiche financière (travail) titre (acte)"/>
    <w:basedOn w:val="Normal"/>
    <w:next w:val="Normal"/>
    <w:qFormat/>
    <w:rsid w:val="006173E9"/>
    <w:pPr>
      <w:widowControl/>
      <w:suppressAutoHyphens/>
      <w:spacing w:before="120" w:after="120"/>
      <w:jc w:val="center"/>
    </w:pPr>
    <w:rPr>
      <w:b/>
      <w:szCs w:val="22"/>
      <w:u w:val="single"/>
    </w:rPr>
  </w:style>
  <w:style w:type="paragraph" w:customStyle="1" w:styleId="Fichefinancireattributiontitre">
    <w:name w:val="Fiche financière (attribution) titre"/>
    <w:basedOn w:val="Normal"/>
    <w:next w:val="Normal"/>
    <w:qFormat/>
    <w:rsid w:val="006173E9"/>
    <w:pPr>
      <w:widowControl/>
      <w:suppressAutoHyphens/>
      <w:spacing w:before="120" w:after="120"/>
      <w:jc w:val="center"/>
    </w:pPr>
    <w:rPr>
      <w:b/>
      <w:szCs w:val="22"/>
      <w:u w:val="single"/>
    </w:rPr>
  </w:style>
  <w:style w:type="paragraph" w:customStyle="1" w:styleId="Fichefinancireattributiontitreacte">
    <w:name w:val="Fiche financière (attribution) titre (acte)"/>
    <w:basedOn w:val="Normal"/>
    <w:next w:val="Normal"/>
    <w:qFormat/>
    <w:rsid w:val="006173E9"/>
    <w:pPr>
      <w:widowControl/>
      <w:suppressAutoHyphens/>
      <w:spacing w:before="120" w:after="120"/>
      <w:jc w:val="center"/>
    </w:pPr>
    <w:rPr>
      <w:b/>
      <w:szCs w:val="22"/>
      <w:u w:val="single"/>
    </w:rPr>
  </w:style>
  <w:style w:type="character" w:customStyle="1" w:styleId="CommentTextChar1">
    <w:name w:val="Comment Text Char1"/>
    <w:basedOn w:val="DefaultParagraphFont"/>
    <w:uiPriority w:val="99"/>
    <w:rsid w:val="006173E9"/>
    <w:rPr>
      <w:lang w:val="bg-BG"/>
    </w:rPr>
  </w:style>
  <w:style w:type="character" w:customStyle="1" w:styleId="CommentSubjectChar1">
    <w:name w:val="Comment Subject Char1"/>
    <w:basedOn w:val="CommentTextChar1"/>
    <w:uiPriority w:val="99"/>
    <w:rsid w:val="006173E9"/>
    <w:rPr>
      <w:b/>
      <w:bCs/>
      <w:lang w:val="bg-BG"/>
    </w:rPr>
  </w:style>
  <w:style w:type="character" w:customStyle="1" w:styleId="BalloonTextChar1">
    <w:name w:val="Balloon Text Char1"/>
    <w:basedOn w:val="DefaultParagraphFont"/>
    <w:uiPriority w:val="99"/>
    <w:rsid w:val="006173E9"/>
    <w:rPr>
      <w:rFonts w:ascii="Segoe UI" w:hAnsi="Segoe UI" w:cs="Segoe UI"/>
      <w:sz w:val="18"/>
      <w:szCs w:val="18"/>
      <w:lang w:val="bg-BG"/>
    </w:rPr>
  </w:style>
  <w:style w:type="paragraph" w:styleId="TableofFigures">
    <w:name w:val="table of figures"/>
    <w:basedOn w:val="Normal"/>
    <w:next w:val="Normal"/>
    <w:uiPriority w:val="99"/>
    <w:qFormat/>
    <w:rsid w:val="006173E9"/>
    <w:pPr>
      <w:widowControl/>
      <w:suppressAutoHyphens/>
      <w:spacing w:before="120" w:after="120"/>
      <w:jc w:val="both"/>
    </w:pPr>
    <w:rPr>
      <w:szCs w:val="22"/>
    </w:rPr>
  </w:style>
  <w:style w:type="paragraph" w:customStyle="1" w:styleId="Sous-titreobjet">
    <w:name w:val="Sous-titre objet"/>
    <w:basedOn w:val="Normal"/>
    <w:qFormat/>
    <w:rsid w:val="006173E9"/>
    <w:pPr>
      <w:widowControl/>
      <w:suppressAutoHyphens/>
      <w:jc w:val="center"/>
    </w:pPr>
    <w:rPr>
      <w:b/>
      <w:szCs w:val="22"/>
    </w:rPr>
  </w:style>
  <w:style w:type="paragraph" w:customStyle="1" w:styleId="Sous-titreobjetPagedecouverture">
    <w:name w:val="Sous-titre objet (Page de couverture)"/>
    <w:basedOn w:val="Sous-titreobjet"/>
    <w:qFormat/>
    <w:rsid w:val="006173E9"/>
  </w:style>
  <w:style w:type="paragraph" w:customStyle="1" w:styleId="FooterCoverPage">
    <w:name w:val="Footer Cover Page"/>
    <w:basedOn w:val="Normal"/>
    <w:link w:val="FooterCoverPageChar"/>
    <w:qFormat/>
    <w:rsid w:val="006173E9"/>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6173E9"/>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6173E9"/>
    <w:pPr>
      <w:widowControl/>
      <w:suppressAutoHyphens/>
      <w:spacing w:before="120" w:beforeAutospacing="1" w:after="120" w:afterAutospacing="1"/>
    </w:pPr>
    <w:rPr>
      <w:szCs w:val="24"/>
    </w:rPr>
  </w:style>
  <w:style w:type="paragraph" w:customStyle="1" w:styleId="titreobjetcp">
    <w:name w:val="titreobjet_cp"/>
    <w:basedOn w:val="Normal"/>
    <w:qFormat/>
    <w:rsid w:val="006173E9"/>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6173E9"/>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6173E9"/>
    <w:pPr>
      <w:widowControl/>
      <w:suppressAutoHyphens/>
      <w:spacing w:after="240"/>
      <w:ind w:left="5103"/>
    </w:pPr>
    <w:rPr>
      <w:rFonts w:eastAsia="Calibri"/>
      <w:szCs w:val="22"/>
      <w:lang w:eastAsia="en-US"/>
    </w:rPr>
  </w:style>
  <w:style w:type="paragraph" w:customStyle="1" w:styleId="Article">
    <w:name w:val="Article"/>
    <w:basedOn w:val="Normal"/>
    <w:qFormat/>
    <w:rsid w:val="006173E9"/>
    <w:pPr>
      <w:widowControl/>
      <w:suppressAutoHyphens/>
      <w:spacing w:before="120" w:after="120"/>
      <w:jc w:val="center"/>
    </w:pPr>
    <w:rPr>
      <w:rFonts w:eastAsia="Calibri"/>
      <w:szCs w:val="22"/>
      <w:lang w:eastAsia="en-US"/>
    </w:rPr>
  </w:style>
  <w:style w:type="paragraph" w:customStyle="1" w:styleId="ti-art">
    <w:name w:val="ti-art"/>
    <w:basedOn w:val="Normal"/>
    <w:qFormat/>
    <w:rsid w:val="006173E9"/>
    <w:pPr>
      <w:widowControl/>
      <w:suppressAutoHyphens/>
      <w:spacing w:before="120" w:beforeAutospacing="1" w:after="120" w:afterAutospacing="1"/>
    </w:pPr>
    <w:rPr>
      <w:szCs w:val="24"/>
    </w:rPr>
  </w:style>
  <w:style w:type="paragraph" w:customStyle="1" w:styleId="sti-art">
    <w:name w:val="sti-art"/>
    <w:basedOn w:val="Normal"/>
    <w:qFormat/>
    <w:rsid w:val="006173E9"/>
    <w:pPr>
      <w:widowControl/>
      <w:suppressAutoHyphens/>
      <w:spacing w:before="120" w:beforeAutospacing="1" w:after="120" w:afterAutospacing="1"/>
    </w:pPr>
    <w:rPr>
      <w:szCs w:val="24"/>
    </w:rPr>
  </w:style>
  <w:style w:type="paragraph" w:customStyle="1" w:styleId="Normal1">
    <w:name w:val="Normal1"/>
    <w:basedOn w:val="Normal"/>
    <w:qFormat/>
    <w:rsid w:val="006173E9"/>
    <w:pPr>
      <w:widowControl/>
      <w:suppressAutoHyphens/>
      <w:spacing w:before="120" w:beforeAutospacing="1" w:after="120" w:afterAutospacing="1"/>
    </w:pPr>
    <w:rPr>
      <w:szCs w:val="24"/>
    </w:rPr>
  </w:style>
  <w:style w:type="paragraph" w:customStyle="1" w:styleId="ti-section-1">
    <w:name w:val="ti-section-1"/>
    <w:basedOn w:val="Normal"/>
    <w:qFormat/>
    <w:rsid w:val="006173E9"/>
    <w:pPr>
      <w:widowControl/>
      <w:suppressAutoHyphens/>
      <w:spacing w:before="120" w:beforeAutospacing="1" w:after="120" w:afterAutospacing="1"/>
    </w:pPr>
    <w:rPr>
      <w:szCs w:val="24"/>
    </w:rPr>
  </w:style>
  <w:style w:type="paragraph" w:customStyle="1" w:styleId="ti-section-2">
    <w:name w:val="ti-section-2"/>
    <w:basedOn w:val="Normal"/>
    <w:qFormat/>
    <w:rsid w:val="006173E9"/>
    <w:pPr>
      <w:widowControl/>
      <w:suppressAutoHyphens/>
      <w:spacing w:before="120" w:beforeAutospacing="1" w:after="120" w:afterAutospacing="1"/>
    </w:pPr>
    <w:rPr>
      <w:szCs w:val="24"/>
    </w:rPr>
  </w:style>
  <w:style w:type="paragraph" w:customStyle="1" w:styleId="oj-ti-section-1">
    <w:name w:val="oj-ti-section-1"/>
    <w:basedOn w:val="Normal"/>
    <w:qFormat/>
    <w:rsid w:val="006173E9"/>
    <w:pPr>
      <w:widowControl/>
      <w:suppressAutoHyphens/>
      <w:spacing w:before="120" w:beforeAutospacing="1" w:after="120" w:afterAutospacing="1"/>
    </w:pPr>
    <w:rPr>
      <w:szCs w:val="24"/>
    </w:rPr>
  </w:style>
  <w:style w:type="paragraph" w:customStyle="1" w:styleId="oj-ti-section-2">
    <w:name w:val="oj-ti-section-2"/>
    <w:basedOn w:val="Normal"/>
    <w:qFormat/>
    <w:rsid w:val="006173E9"/>
    <w:pPr>
      <w:widowControl/>
      <w:suppressAutoHyphens/>
      <w:spacing w:before="120" w:beforeAutospacing="1" w:after="120" w:afterAutospacing="1"/>
    </w:pPr>
    <w:rPr>
      <w:szCs w:val="24"/>
    </w:rPr>
  </w:style>
  <w:style w:type="paragraph" w:styleId="Revision">
    <w:name w:val="Revision"/>
    <w:uiPriority w:val="99"/>
    <w:semiHidden/>
    <w:qFormat/>
    <w:rsid w:val="006173E9"/>
    <w:pPr>
      <w:suppressAutoHyphens/>
    </w:pPr>
    <w:rPr>
      <w:rFonts w:eastAsia="Calibri"/>
      <w:sz w:val="24"/>
      <w:szCs w:val="22"/>
      <w:lang w:val="bg-BG" w:eastAsia="en-US"/>
    </w:rPr>
  </w:style>
  <w:style w:type="paragraph" w:customStyle="1" w:styleId="Revis">
    <w:name w:val="Revis"/>
    <w:basedOn w:val="Normal"/>
    <w:qFormat/>
    <w:rsid w:val="006173E9"/>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6173E9"/>
  </w:style>
  <w:style w:type="paragraph" w:customStyle="1" w:styleId="oj-normal">
    <w:name w:val="oj-normal"/>
    <w:basedOn w:val="Normal"/>
    <w:qFormat/>
    <w:rsid w:val="006173E9"/>
    <w:pPr>
      <w:widowControl/>
      <w:suppressAutoHyphens/>
      <w:spacing w:before="120" w:beforeAutospacing="1" w:after="120" w:afterAutospacing="1"/>
    </w:pPr>
    <w:rPr>
      <w:szCs w:val="24"/>
    </w:rPr>
  </w:style>
  <w:style w:type="paragraph" w:customStyle="1" w:styleId="paragraph">
    <w:name w:val="paragraph"/>
    <w:basedOn w:val="Normal"/>
    <w:qFormat/>
    <w:rsid w:val="006173E9"/>
    <w:pPr>
      <w:widowControl/>
      <w:suppressAutoHyphens/>
      <w:spacing w:before="120" w:beforeAutospacing="1" w:after="120" w:afterAutospacing="1"/>
    </w:pPr>
    <w:rPr>
      <w:szCs w:val="24"/>
    </w:rPr>
  </w:style>
  <w:style w:type="paragraph" w:customStyle="1" w:styleId="ListPoint">
    <w:name w:val="List Point"/>
    <w:basedOn w:val="Tiret0"/>
    <w:qFormat/>
    <w:rsid w:val="006173E9"/>
    <w:pPr>
      <w:numPr>
        <w:numId w:val="0"/>
      </w:numPr>
      <w:tabs>
        <w:tab w:val="clear" w:pos="850"/>
        <w:tab w:val="num" w:pos="567"/>
      </w:tabs>
      <w:ind w:left="1417" w:hanging="567"/>
    </w:pPr>
  </w:style>
  <w:style w:type="paragraph" w:customStyle="1" w:styleId="Pointlist">
    <w:name w:val="Point list"/>
    <w:basedOn w:val="Point0letter"/>
    <w:qFormat/>
    <w:rsid w:val="006173E9"/>
  </w:style>
  <w:style w:type="paragraph" w:customStyle="1" w:styleId="Rfrenceinstitutionnelle00">
    <w:name w:val="Référence institutionnelle0"/>
    <w:basedOn w:val="Normal"/>
    <w:next w:val="Confidentialit"/>
    <w:qFormat/>
    <w:rsid w:val="006173E9"/>
    <w:pPr>
      <w:widowControl/>
      <w:suppressAutoHyphens/>
      <w:spacing w:after="240"/>
      <w:ind w:left="5103"/>
    </w:pPr>
    <w:rPr>
      <w:rFonts w:eastAsia="Calibri"/>
      <w:szCs w:val="22"/>
      <w:lang w:eastAsia="en-US"/>
    </w:rPr>
  </w:style>
  <w:style w:type="paragraph" w:customStyle="1" w:styleId="Norm">
    <w:name w:val="Norm"/>
    <w:basedOn w:val="Normal"/>
    <w:qFormat/>
    <w:rsid w:val="006173E9"/>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6173E9"/>
    <w:pPr>
      <w:widowControl/>
      <w:suppressAutoHyphens/>
      <w:spacing w:after="240"/>
      <w:ind w:left="5103"/>
    </w:pPr>
    <w:rPr>
      <w:rFonts w:eastAsia="Calibri"/>
      <w:szCs w:val="22"/>
      <w:lang w:eastAsia="en-US"/>
    </w:rPr>
  </w:style>
  <w:style w:type="paragraph" w:customStyle="1" w:styleId="ncroise">
    <w:name w:val="n croisée"/>
    <w:basedOn w:val="Rfrencecroise"/>
    <w:qFormat/>
    <w:rsid w:val="006173E9"/>
    <w:pPr>
      <w:jc w:val="both"/>
    </w:pPr>
  </w:style>
  <w:style w:type="paragraph" w:customStyle="1" w:styleId="NumPar10">
    <w:name w:val="NumPar 10"/>
    <w:basedOn w:val="Normal"/>
    <w:qFormat/>
    <w:rsid w:val="006173E9"/>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6173E9"/>
    <w:pPr>
      <w:widowControl/>
      <w:suppressAutoHyphens/>
      <w:spacing w:after="240"/>
      <w:ind w:left="5103"/>
    </w:pPr>
    <w:rPr>
      <w:rFonts w:eastAsia="Calibri"/>
      <w:szCs w:val="22"/>
      <w:lang w:eastAsia="en-US"/>
    </w:rPr>
  </w:style>
  <w:style w:type="paragraph" w:customStyle="1" w:styleId="Normal2">
    <w:name w:val="Normal2"/>
    <w:basedOn w:val="Normal"/>
    <w:qFormat/>
    <w:rsid w:val="006173E9"/>
    <w:pPr>
      <w:widowControl/>
      <w:suppressAutoHyphens/>
      <w:spacing w:before="120" w:beforeAutospacing="1" w:after="120" w:afterAutospacing="1"/>
    </w:pPr>
    <w:rPr>
      <w:szCs w:val="24"/>
    </w:rPr>
  </w:style>
  <w:style w:type="paragraph" w:customStyle="1" w:styleId="Default">
    <w:name w:val="Default"/>
    <w:qFormat/>
    <w:rsid w:val="006173E9"/>
    <w:pPr>
      <w:suppressAutoHyphens/>
    </w:pPr>
    <w:rPr>
      <w:rFonts w:eastAsia="Calibri"/>
      <w:color w:val="000000"/>
      <w:sz w:val="24"/>
      <w:szCs w:val="24"/>
      <w:lang w:val="bg-BG" w:eastAsia="en-US"/>
    </w:rPr>
  </w:style>
  <w:style w:type="paragraph" w:customStyle="1" w:styleId="Rfrenceinstitutionnelle41">
    <w:name w:val="Référence institutionnelle41"/>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6173E9"/>
    <w:pPr>
      <w:widowControl/>
      <w:suppressAutoHyphens/>
      <w:spacing w:after="240"/>
      <w:ind w:left="5103"/>
    </w:pPr>
    <w:rPr>
      <w:rFonts w:eastAsia="Calibri"/>
      <w:szCs w:val="22"/>
      <w:lang w:eastAsia="en-US"/>
    </w:rPr>
  </w:style>
  <w:style w:type="paragraph" w:customStyle="1" w:styleId="Normal3">
    <w:name w:val="Normal3"/>
    <w:basedOn w:val="Normal"/>
    <w:qFormat/>
    <w:rsid w:val="006173E9"/>
    <w:pPr>
      <w:widowControl/>
      <w:suppressAutoHyphens/>
      <w:spacing w:before="120" w:beforeAutospacing="1" w:after="120" w:afterAutospacing="1"/>
    </w:pPr>
    <w:rPr>
      <w:szCs w:val="24"/>
    </w:rPr>
  </w:style>
  <w:style w:type="paragraph" w:customStyle="1" w:styleId="Point1letter">
    <w:name w:val="Point 1(letter)"/>
    <w:basedOn w:val="Point1"/>
    <w:qFormat/>
    <w:rsid w:val="006173E9"/>
  </w:style>
  <w:style w:type="paragraph" w:customStyle="1" w:styleId="Poin1">
    <w:name w:val="Poin 1"/>
    <w:basedOn w:val="Point1letter0"/>
    <w:qFormat/>
    <w:rsid w:val="006173E9"/>
  </w:style>
  <w:style w:type="paragraph" w:customStyle="1" w:styleId="Rfrenceinstitutionnelle18">
    <w:name w:val="Référence institutionnelle18"/>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6173E9"/>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6173E9"/>
    <w:rPr>
      <w:rFonts w:eastAsia="Arial Unicode MS"/>
      <w:u w:color="000000"/>
      <w:lang w:eastAsia="en-GB"/>
    </w:rPr>
  </w:style>
  <w:style w:type="paragraph" w:customStyle="1" w:styleId="Rfrenceinstitutionnelle34">
    <w:name w:val="Référence institutionnelle34"/>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6173E9"/>
    <w:pPr>
      <w:widowControl/>
      <w:suppressAutoHyphens/>
      <w:spacing w:after="240"/>
      <w:ind w:left="5103"/>
    </w:pPr>
    <w:rPr>
      <w:rFonts w:eastAsia="Calibri"/>
      <w:szCs w:val="22"/>
      <w:lang w:eastAsia="en-US"/>
    </w:rPr>
  </w:style>
  <w:style w:type="paragraph" w:customStyle="1" w:styleId="heading30">
    <w:name w:val="heading 30"/>
    <w:basedOn w:val="Point0number"/>
    <w:qFormat/>
    <w:rsid w:val="006173E9"/>
  </w:style>
  <w:style w:type="paragraph" w:customStyle="1" w:styleId="Rfrenceinstitutionnelle31">
    <w:name w:val="Référence institutionnelle31"/>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6173E9"/>
    <w:pPr>
      <w:widowControl/>
      <w:suppressAutoHyphens/>
      <w:spacing w:after="240"/>
      <w:ind w:left="5103"/>
    </w:pPr>
    <w:rPr>
      <w:rFonts w:eastAsia="Calibri"/>
      <w:szCs w:val="22"/>
      <w:lang w:eastAsia="en-US"/>
    </w:rPr>
  </w:style>
  <w:style w:type="paragraph" w:customStyle="1" w:styleId="title-bold">
    <w:name w:val="title-bold"/>
    <w:basedOn w:val="Normal"/>
    <w:qFormat/>
    <w:rsid w:val="006173E9"/>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6173E9"/>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6173E9"/>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6173E9"/>
    <w:pPr>
      <w:widowControl/>
      <w:ind w:left="240" w:hanging="240"/>
    </w:pPr>
    <w:rPr>
      <w:rFonts w:eastAsia="Calibri"/>
      <w:szCs w:val="22"/>
      <w:lang w:eastAsia="en-US"/>
    </w:rPr>
  </w:style>
  <w:style w:type="paragraph" w:styleId="IndexHeading">
    <w:name w:val="index heading"/>
    <w:basedOn w:val="Title"/>
    <w:rsid w:val="006173E9"/>
    <w:pPr>
      <w:keepNext/>
      <w:suppressAutoHyphens/>
      <w:spacing w:after="120" w:line="360" w:lineRule="auto"/>
      <w:jc w:val="left"/>
      <w:outlineLvl w:val="9"/>
    </w:pPr>
    <w:rPr>
      <w:rFonts w:ascii="Carlito" w:eastAsia="Noto Sans SC Regular" w:hAnsi="Carlito" w:cs="Noto Sans Devanagari"/>
      <w:b w:val="0"/>
      <w:bCs w:val="0"/>
      <w:kern w:val="0"/>
      <w:sz w:val="28"/>
      <w:szCs w:val="28"/>
    </w:rPr>
  </w:style>
  <w:style w:type="paragraph" w:styleId="TOC4">
    <w:name w:val="toc 4"/>
    <w:basedOn w:val="Normal"/>
    <w:next w:val="Normal"/>
    <w:uiPriority w:val="39"/>
    <w:unhideWhenUsed/>
    <w:qFormat/>
    <w:rsid w:val="006173E9"/>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6173E9"/>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6173E9"/>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6173E9"/>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6173E9"/>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6173E9"/>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6173E9"/>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6173E9"/>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6173E9"/>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6173E9"/>
    <w:pPr>
      <w:widowControl/>
      <w:suppressAutoHyphens/>
      <w:spacing w:before="120" w:after="120"/>
    </w:pPr>
    <w:rPr>
      <w:rFonts w:eastAsia="Calibri"/>
      <w:szCs w:val="22"/>
      <w:lang w:eastAsia="en-US"/>
    </w:rPr>
  </w:style>
  <w:style w:type="paragraph" w:customStyle="1" w:styleId="QuotedText">
    <w:name w:val="Quoted Text"/>
    <w:basedOn w:val="Normal"/>
    <w:qFormat/>
    <w:rsid w:val="006173E9"/>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6173E9"/>
    <w:pPr>
      <w:widowControl/>
      <w:suppressAutoHyphens/>
      <w:spacing w:before="120" w:after="120"/>
      <w:ind w:left="850" w:hanging="850"/>
      <w:jc w:val="both"/>
    </w:pPr>
    <w:rPr>
      <w:lang w:val="en-GB"/>
    </w:rPr>
  </w:style>
  <w:style w:type="paragraph" w:customStyle="1" w:styleId="Point1">
    <w:name w:val="Point 1"/>
    <w:basedOn w:val="Normal"/>
    <w:qFormat/>
    <w:rsid w:val="006173E9"/>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6173E9"/>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6173E9"/>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6173E9"/>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6173E9"/>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6173E9"/>
    <w:pPr>
      <w:numPr>
        <w:numId w:val="36"/>
      </w:numPr>
      <w:tabs>
        <w:tab w:val="clear" w:pos="850"/>
        <w:tab w:val="num" w:pos="425"/>
        <w:tab w:val="num" w:pos="567"/>
        <w:tab w:val="num" w:pos="1209"/>
        <w:tab w:val="num" w:pos="2268"/>
      </w:tabs>
      <w:ind w:left="425" w:hanging="425"/>
    </w:pPr>
    <w:rPr>
      <w:rFonts w:eastAsia="Calibri"/>
    </w:rPr>
  </w:style>
  <w:style w:type="paragraph" w:customStyle="1" w:styleId="Tiret1">
    <w:name w:val="Tiret 1"/>
    <w:basedOn w:val="Point1"/>
    <w:qFormat/>
    <w:rsid w:val="006173E9"/>
    <w:pPr>
      <w:numPr>
        <w:numId w:val="37"/>
      </w:numPr>
      <w:tabs>
        <w:tab w:val="clear" w:pos="1417"/>
        <w:tab w:val="num" w:pos="567"/>
      </w:tabs>
      <w:ind w:left="567"/>
    </w:pPr>
  </w:style>
  <w:style w:type="paragraph" w:customStyle="1" w:styleId="Tiret2">
    <w:name w:val="Tiret 2"/>
    <w:basedOn w:val="Point2"/>
    <w:qFormat/>
    <w:rsid w:val="006173E9"/>
    <w:pPr>
      <w:numPr>
        <w:numId w:val="38"/>
      </w:numPr>
      <w:tabs>
        <w:tab w:val="clear" w:pos="1984"/>
        <w:tab w:val="num" w:pos="567"/>
      </w:tabs>
      <w:ind w:left="567"/>
    </w:pPr>
  </w:style>
  <w:style w:type="paragraph" w:customStyle="1" w:styleId="Tiret3">
    <w:name w:val="Tiret 3"/>
    <w:basedOn w:val="Point3"/>
    <w:qFormat/>
    <w:rsid w:val="006173E9"/>
    <w:pPr>
      <w:numPr>
        <w:numId w:val="39"/>
      </w:numPr>
      <w:tabs>
        <w:tab w:val="clear" w:pos="2551"/>
        <w:tab w:val="num" w:pos="567"/>
      </w:tabs>
      <w:ind w:left="567"/>
    </w:pPr>
  </w:style>
  <w:style w:type="paragraph" w:customStyle="1" w:styleId="Tiret4">
    <w:name w:val="Tiret 4"/>
    <w:basedOn w:val="Point4"/>
    <w:qFormat/>
    <w:rsid w:val="006173E9"/>
    <w:pPr>
      <w:numPr>
        <w:numId w:val="40"/>
      </w:numPr>
      <w:tabs>
        <w:tab w:val="clear" w:pos="3118"/>
        <w:tab w:val="num" w:pos="567"/>
      </w:tabs>
      <w:ind w:left="567"/>
    </w:pPr>
  </w:style>
  <w:style w:type="paragraph" w:customStyle="1" w:styleId="Tiret5">
    <w:name w:val="Tiret 5"/>
    <w:basedOn w:val="Point5"/>
    <w:qFormat/>
    <w:rsid w:val="006173E9"/>
    <w:pPr>
      <w:numPr>
        <w:numId w:val="41"/>
      </w:numPr>
      <w:tabs>
        <w:tab w:val="clear" w:pos="3685"/>
        <w:tab w:val="num" w:pos="425"/>
      </w:tabs>
      <w:ind w:left="425" w:hanging="425"/>
    </w:pPr>
  </w:style>
  <w:style w:type="paragraph" w:customStyle="1" w:styleId="PointDouble0">
    <w:name w:val="PointDouble 0"/>
    <w:basedOn w:val="Normal"/>
    <w:qFormat/>
    <w:rsid w:val="006173E9"/>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6173E9"/>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6173E9"/>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6173E9"/>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6173E9"/>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6173E9"/>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6173E9"/>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6173E9"/>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6173E9"/>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6173E9"/>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6173E9"/>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6173E9"/>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6173E9"/>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6173E9"/>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6173E9"/>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6173E9"/>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6173E9"/>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6173E9"/>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6173E9"/>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6173E9"/>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6173E9"/>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6173E9"/>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6173E9"/>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6173E9"/>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6173E9"/>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6173E9"/>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6173E9"/>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6173E9"/>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6173E9"/>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6173E9"/>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6173E9"/>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6173E9"/>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6173E9"/>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6173E9"/>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6173E9"/>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6173E9"/>
    <w:pPr>
      <w:widowControl/>
      <w:suppressAutoHyphens/>
      <w:spacing w:before="120" w:after="120"/>
      <w:jc w:val="center"/>
    </w:pPr>
    <w:rPr>
      <w:rFonts w:eastAsia="Calibri"/>
      <w:b/>
      <w:szCs w:val="22"/>
      <w:lang w:eastAsia="en-US"/>
    </w:rPr>
  </w:style>
  <w:style w:type="paragraph" w:customStyle="1" w:styleId="Point1number">
    <w:name w:val="Point 1 (number)"/>
    <w:basedOn w:val="Normal"/>
    <w:qFormat/>
    <w:rsid w:val="006173E9"/>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6173E9"/>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6173E9"/>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6173E9"/>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6173E9"/>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6173E9"/>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6173E9"/>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6173E9"/>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6173E9"/>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6173E9"/>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6173E9"/>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6173E9"/>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6173E9"/>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6173E9"/>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6173E9"/>
    <w:pPr>
      <w:widowControl/>
      <w:suppressAutoHyphens/>
      <w:jc w:val="both"/>
    </w:pPr>
    <w:rPr>
      <w:rFonts w:eastAsia="Calibri"/>
      <w:szCs w:val="22"/>
      <w:lang w:eastAsia="en-US"/>
    </w:rPr>
  </w:style>
  <w:style w:type="paragraph" w:customStyle="1" w:styleId="Disclaimer">
    <w:name w:val="Disclaimer"/>
    <w:basedOn w:val="Normal"/>
    <w:qFormat/>
    <w:rsid w:val="006173E9"/>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6173E9"/>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6173E9"/>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6173E9"/>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6173E9"/>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6173E9"/>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6173E9"/>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6173E9"/>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6173E9"/>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6173E9"/>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6173E9"/>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6173E9"/>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6173E9"/>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6173E9"/>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6173E9"/>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6173E9"/>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6173E9"/>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6173E9"/>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6173E9"/>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6173E9"/>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6173E9"/>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6173E9"/>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6173E9"/>
    <w:pPr>
      <w:widowControl/>
      <w:suppressAutoHyphens/>
      <w:ind w:left="5103"/>
    </w:pPr>
    <w:rPr>
      <w:rFonts w:eastAsia="Calibri"/>
      <w:szCs w:val="22"/>
      <w:lang w:eastAsia="en-US"/>
    </w:rPr>
  </w:style>
  <w:style w:type="paragraph" w:customStyle="1" w:styleId="Statut">
    <w:name w:val="Statut"/>
    <w:basedOn w:val="Normal"/>
    <w:next w:val="Typedudocument"/>
    <w:qFormat/>
    <w:rsid w:val="006173E9"/>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6173E9"/>
    <w:pPr>
      <w:numPr>
        <w:ilvl w:val="0"/>
        <w:numId w:val="0"/>
      </w:numPr>
      <w:suppressAutoHyphens/>
      <w:spacing w:before="360" w:after="120"/>
      <w:jc w:val="center"/>
    </w:pPr>
  </w:style>
  <w:style w:type="paragraph" w:customStyle="1" w:styleId="Titreobjet">
    <w:name w:val="Titre objet"/>
    <w:basedOn w:val="Normal"/>
    <w:next w:val="IntrtEEE"/>
    <w:qFormat/>
    <w:rsid w:val="006173E9"/>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6173E9"/>
    <w:pPr>
      <w:widowControl/>
      <w:suppressAutoHyphens/>
      <w:spacing w:before="360"/>
      <w:jc w:val="center"/>
    </w:pPr>
    <w:rPr>
      <w:b/>
      <w:lang w:val="en-GB"/>
    </w:rPr>
  </w:style>
  <w:style w:type="paragraph" w:customStyle="1" w:styleId="Address">
    <w:name w:val="Address"/>
    <w:basedOn w:val="Normal"/>
    <w:next w:val="Normal"/>
    <w:qFormat/>
    <w:rsid w:val="006173E9"/>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6173E9"/>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6173E9"/>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6173E9"/>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6173E9"/>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6173E9"/>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6173E9"/>
  </w:style>
  <w:style w:type="paragraph" w:customStyle="1" w:styleId="RfrenceinterinstitutionnellePagedecouverture">
    <w:name w:val="Référence interinstitutionnelle (Page de couverture)"/>
    <w:basedOn w:val="Rfrenceinterinstitutionnelle"/>
    <w:next w:val="Confidentialit"/>
    <w:qFormat/>
    <w:rsid w:val="006173E9"/>
  </w:style>
  <w:style w:type="paragraph" w:customStyle="1" w:styleId="StatutPagedecouverture">
    <w:name w:val="Statut (Page de couverture)"/>
    <w:basedOn w:val="Statut"/>
    <w:next w:val="TypedudocumentPagedecouverture"/>
    <w:qFormat/>
    <w:rsid w:val="006173E9"/>
  </w:style>
  <w:style w:type="paragraph" w:customStyle="1" w:styleId="TitreobjetPagedecouverture">
    <w:name w:val="Titre objet (Page de couverture)"/>
    <w:basedOn w:val="Titreobjet"/>
    <w:next w:val="IntrtEEEPagedecouverture"/>
    <w:qFormat/>
    <w:rsid w:val="006173E9"/>
  </w:style>
  <w:style w:type="paragraph" w:customStyle="1" w:styleId="TypedudocumentPagedecouverture">
    <w:name w:val="Type du document (Page de couverture)"/>
    <w:basedOn w:val="Typedudocument"/>
    <w:next w:val="TitreobjetPagedecouverture"/>
    <w:qFormat/>
    <w:rsid w:val="006173E9"/>
    <w:rPr>
      <w:rFonts w:eastAsia="Calibri"/>
    </w:rPr>
  </w:style>
  <w:style w:type="paragraph" w:customStyle="1" w:styleId="Volume">
    <w:name w:val="Volume"/>
    <w:basedOn w:val="Normal"/>
    <w:next w:val="Confidentialit"/>
    <w:qFormat/>
    <w:rsid w:val="006173E9"/>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6173E9"/>
    <w:pPr>
      <w:spacing w:after="240"/>
    </w:pPr>
  </w:style>
  <w:style w:type="paragraph" w:customStyle="1" w:styleId="Accompagnant">
    <w:name w:val="Accompagnant"/>
    <w:basedOn w:val="Normal"/>
    <w:next w:val="Typeacteprincipal"/>
    <w:qFormat/>
    <w:rsid w:val="006173E9"/>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6173E9"/>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6173E9"/>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6173E9"/>
  </w:style>
  <w:style w:type="paragraph" w:customStyle="1" w:styleId="AccompagnantPagedecouverture">
    <w:name w:val="Accompagnant (Page de couverture)"/>
    <w:basedOn w:val="Accompagnant"/>
    <w:next w:val="TypeacteprincipalPagedecouverture"/>
    <w:qFormat/>
    <w:rsid w:val="006173E9"/>
  </w:style>
  <w:style w:type="paragraph" w:customStyle="1" w:styleId="TypeacteprincipalPagedecouverture">
    <w:name w:val="Type acte principal (Page de couverture)"/>
    <w:basedOn w:val="Typeacteprincipal"/>
    <w:next w:val="ObjetacteprincipalPagedecouverture"/>
    <w:qFormat/>
    <w:rsid w:val="006173E9"/>
  </w:style>
  <w:style w:type="paragraph" w:customStyle="1" w:styleId="ObjetacteprincipalPagedecouverture">
    <w:name w:val="Objet acte principal (Page de couverture)"/>
    <w:basedOn w:val="Objetacteprincipal"/>
    <w:next w:val="Rfrencecroise"/>
    <w:qFormat/>
    <w:rsid w:val="006173E9"/>
  </w:style>
  <w:style w:type="paragraph" w:customStyle="1" w:styleId="LanguesfaisantfoiPagedecouverture">
    <w:name w:val="Langues faisant foi (Page de couverture)"/>
    <w:basedOn w:val="Normal"/>
    <w:next w:val="Normal"/>
    <w:qFormat/>
    <w:rsid w:val="006173E9"/>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6173E9"/>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6173E9"/>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6173E9"/>
    <w:pPr>
      <w:suppressAutoHyphens/>
      <w:spacing w:before="1200" w:after="120"/>
      <w:ind w:left="1440" w:hanging="1440"/>
      <w:jc w:val="left"/>
    </w:pPr>
  </w:style>
  <w:style w:type="paragraph" w:customStyle="1" w:styleId="nbbordered">
    <w:name w:val="nb bordered"/>
    <w:basedOn w:val="TechnicalBlock"/>
    <w:link w:val="nbborderedChar"/>
    <w:qFormat/>
    <w:rsid w:val="006173E9"/>
    <w:pPr>
      <w:pBdr>
        <w:top w:val="single" w:sz="4" w:space="1" w:color="000000"/>
        <w:left w:val="single" w:sz="4" w:space="4" w:color="000000"/>
        <w:bottom w:val="single" w:sz="4" w:space="1" w:color="000000"/>
        <w:right w:val="single" w:sz="4" w:space="4" w:color="000000"/>
      </w:pBdr>
      <w:suppressAutoHyphens/>
      <w:spacing w:before="120" w:after="160"/>
      <w:ind w:left="480" w:hanging="480"/>
      <w:jc w:val="both"/>
    </w:pPr>
    <w:rPr>
      <w:b/>
    </w:rPr>
  </w:style>
  <w:style w:type="paragraph" w:customStyle="1" w:styleId="Rubrik1">
    <w:name w:val="Rubrik1"/>
    <w:basedOn w:val="Typedudocument"/>
    <w:link w:val="Rubrik1Char"/>
    <w:qFormat/>
    <w:rsid w:val="006173E9"/>
  </w:style>
  <w:style w:type="paragraph" w:customStyle="1" w:styleId="addition">
    <w:name w:val="addition"/>
    <w:basedOn w:val="Point0"/>
    <w:link w:val="additionChar"/>
    <w:qFormat/>
    <w:rsid w:val="006173E9"/>
    <w:pPr>
      <w:ind w:left="567" w:hanging="567"/>
      <w:jc w:val="left"/>
    </w:pPr>
    <w:rPr>
      <w:b/>
      <w:u w:val="single"/>
    </w:rPr>
  </w:style>
  <w:style w:type="paragraph" w:customStyle="1" w:styleId="deletion">
    <w:name w:val="deletion"/>
    <w:basedOn w:val="ManualNumPar1"/>
    <w:link w:val="deletionChar"/>
    <w:qFormat/>
    <w:rsid w:val="006173E9"/>
    <w:pPr>
      <w:ind w:left="567" w:hanging="567"/>
      <w:jc w:val="left"/>
    </w:pPr>
    <w:rPr>
      <w:strike/>
    </w:rPr>
  </w:style>
  <w:style w:type="table" w:customStyle="1" w:styleId="TableGrid1">
    <w:name w:val="Table Grid1"/>
    <w:basedOn w:val="TableNormal"/>
    <w:uiPriority w:val="39"/>
    <w:rsid w:val="006173E9"/>
    <w:pPr>
      <w:suppressAutoHyphens/>
    </w:pPr>
    <w:rPr>
      <w:rFonts w:ascii="Calibri" w:eastAsia="Calibri" w:hAnsi="Calibri" w:cs="Arial"/>
      <w:sz w:val="22"/>
      <w:szCs w:val="22"/>
      <w:lang w:val="bg-B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6173E9"/>
    <w:rPr>
      <w:rFonts w:ascii="TimesNewRomanPS-BoldMT" w:hAnsi="TimesNewRomanPS-BoldMT" w:cs="0" w:hint="default"/>
      <w:b/>
      <w:bCs/>
      <w:i w:val="0"/>
      <w:iCs w:val="0"/>
      <w:color w:val="000000"/>
      <w:sz w:val="24"/>
      <w:szCs w:val="24"/>
    </w:rPr>
  </w:style>
  <w:style w:type="paragraph" w:customStyle="1" w:styleId="H2">
    <w:name w:val="H2"/>
    <w:basedOn w:val="Normal"/>
    <w:qFormat/>
    <w:rsid w:val="006173E9"/>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6173E9"/>
    <w:pPr>
      <w:widowControl/>
      <w:contextualSpacing/>
    </w:pPr>
    <w:rPr>
      <w:rFonts w:ascii="Roboto Black" w:hAnsi="Roboto Black"/>
      <w:b/>
      <w:bCs/>
      <w:color w:val="003863"/>
      <w:spacing w:val="-10"/>
      <w:kern w:val="28"/>
      <w:sz w:val="60"/>
      <w:szCs w:val="60"/>
      <w:lang w:eastAsia="en-US"/>
    </w:rPr>
  </w:style>
  <w:style w:type="character" w:customStyle="1" w:styleId="FollowedHyperlink1">
    <w:name w:val="FollowedHyperlink1"/>
    <w:basedOn w:val="DefaultParagraphFont"/>
    <w:uiPriority w:val="99"/>
    <w:semiHidden/>
    <w:unhideWhenUsed/>
    <w:rsid w:val="006173E9"/>
    <w:rPr>
      <w:color w:val="800080"/>
      <w:u w:val="single"/>
    </w:rPr>
  </w:style>
  <w:style w:type="paragraph" w:customStyle="1" w:styleId="Strecklista">
    <w:name w:val="Strecklista"/>
    <w:basedOn w:val="ListBullet"/>
    <w:uiPriority w:val="6"/>
    <w:qFormat/>
    <w:rsid w:val="006173E9"/>
    <w:pPr>
      <w:widowControl/>
      <w:tabs>
        <w:tab w:val="clear" w:pos="360"/>
        <w:tab w:val="num" w:pos="709"/>
      </w:tabs>
      <w:spacing w:after="100" w:line="276" w:lineRule="auto"/>
      <w:ind w:left="709" w:hanging="709"/>
    </w:pPr>
    <w:rPr>
      <w:rFonts w:ascii="Calibri" w:eastAsia="Calibri" w:hAnsi="Calibri" w:cs="Arial"/>
      <w:sz w:val="25"/>
      <w:szCs w:val="25"/>
      <w:lang w:eastAsia="en-US"/>
    </w:rPr>
  </w:style>
  <w:style w:type="paragraph" w:customStyle="1" w:styleId="Strecklista2">
    <w:name w:val="Strecklista 2"/>
    <w:basedOn w:val="Strecklista"/>
    <w:uiPriority w:val="6"/>
    <w:semiHidden/>
    <w:qFormat/>
    <w:rsid w:val="006173E9"/>
    <w:pPr>
      <w:tabs>
        <w:tab w:val="clear" w:pos="709"/>
        <w:tab w:val="num" w:pos="1080"/>
      </w:tabs>
      <w:ind w:left="1080" w:hanging="360"/>
    </w:pPr>
  </w:style>
  <w:style w:type="numbering" w:customStyle="1" w:styleId="Strecklistan">
    <w:name w:val="Strecklistan"/>
    <w:uiPriority w:val="99"/>
    <w:rsid w:val="006173E9"/>
    <w:pPr>
      <w:numPr>
        <w:numId w:val="45"/>
      </w:numPr>
    </w:pPr>
  </w:style>
  <w:style w:type="paragraph" w:customStyle="1" w:styleId="Strecklista3">
    <w:name w:val="Strecklista 3"/>
    <w:basedOn w:val="BodyText"/>
    <w:uiPriority w:val="6"/>
    <w:semiHidden/>
    <w:qFormat/>
    <w:rsid w:val="006173E9"/>
    <w:pPr>
      <w:tabs>
        <w:tab w:val="num" w:pos="1440"/>
        <w:tab w:val="left" w:pos="1701"/>
        <w:tab w:val="left" w:pos="3600"/>
        <w:tab w:val="left" w:pos="5387"/>
      </w:tabs>
      <w:suppressAutoHyphens w:val="0"/>
      <w:spacing w:after="100"/>
      <w:ind w:left="1440" w:hanging="360"/>
    </w:pPr>
    <w:rPr>
      <w:rFonts w:ascii="Calibri" w:hAnsi="Calibri" w:cs="Arial"/>
      <w:sz w:val="25"/>
      <w:szCs w:val="25"/>
    </w:rPr>
  </w:style>
  <w:style w:type="table" w:customStyle="1" w:styleId="ListTable5Dark-Accent51">
    <w:name w:val="List Table 5 Dark - Accent 51"/>
    <w:basedOn w:val="TableNormal"/>
    <w:next w:val="ListTable5Dark-Accent5"/>
    <w:uiPriority w:val="50"/>
    <w:rsid w:val="006173E9"/>
    <w:rPr>
      <w:rFonts w:ascii="Calibri" w:eastAsia="Calibri" w:hAnsi="Calibri" w:cs="Arial"/>
      <w:color w:val="FFFFFF"/>
      <w:sz w:val="25"/>
      <w:szCs w:val="25"/>
      <w:lang w:val="bg-BG"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6173E9"/>
  </w:style>
  <w:style w:type="paragraph" w:customStyle="1" w:styleId="Annext">
    <w:name w:val="Annex t"/>
    <w:basedOn w:val="Normal"/>
    <w:qFormat/>
    <w:rsid w:val="006173E9"/>
    <w:pPr>
      <w:widowControl/>
      <w:spacing w:before="120" w:after="120"/>
      <w:jc w:val="both"/>
    </w:pPr>
    <w:rPr>
      <w:rFonts w:eastAsia="Calibri"/>
      <w:b/>
      <w:szCs w:val="22"/>
      <w:lang w:eastAsia="en-US"/>
    </w:rPr>
  </w:style>
  <w:style w:type="paragraph" w:customStyle="1" w:styleId="Annextit">
    <w:name w:val="Annex tit"/>
    <w:basedOn w:val="Normal"/>
    <w:qFormat/>
    <w:rsid w:val="006173E9"/>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6173E9"/>
    <w:pPr>
      <w:suppressAutoHyphens w:val="0"/>
      <w:jc w:val="both"/>
    </w:pPr>
  </w:style>
  <w:style w:type="character" w:customStyle="1" w:styleId="Olstomnmnande1">
    <w:name w:val="Olöst omnämnande1"/>
    <w:basedOn w:val="DefaultParagraphFont"/>
    <w:uiPriority w:val="99"/>
    <w:semiHidden/>
    <w:unhideWhenUsed/>
    <w:rsid w:val="006173E9"/>
    <w:rPr>
      <w:color w:val="605E5C"/>
      <w:shd w:val="clear" w:color="auto" w:fill="E1DFDD"/>
    </w:rPr>
  </w:style>
  <w:style w:type="paragraph" w:customStyle="1" w:styleId="Titrearticle">
    <w:name w:val="Titre article"/>
    <w:basedOn w:val="Normal"/>
    <w:next w:val="Normal"/>
    <w:qFormat/>
    <w:rsid w:val="006173E9"/>
    <w:pPr>
      <w:keepNext/>
      <w:widowControl/>
      <w:spacing w:before="360" w:after="120"/>
      <w:jc w:val="center"/>
    </w:pPr>
    <w:rPr>
      <w:rFonts w:eastAsia="Calibri"/>
      <w:i/>
      <w:szCs w:val="22"/>
      <w:lang w:eastAsia="en-US"/>
    </w:rPr>
  </w:style>
  <w:style w:type="numbering" w:customStyle="1" w:styleId="Aktuelllista1">
    <w:name w:val="Aktuell lista1"/>
    <w:uiPriority w:val="99"/>
    <w:rsid w:val="006173E9"/>
    <w:pPr>
      <w:numPr>
        <w:numId w:val="50"/>
      </w:numPr>
    </w:pPr>
  </w:style>
  <w:style w:type="numbering" w:customStyle="1" w:styleId="Aktuelllista2">
    <w:name w:val="Aktuell lista2"/>
    <w:uiPriority w:val="99"/>
    <w:rsid w:val="006173E9"/>
    <w:pPr>
      <w:numPr>
        <w:numId w:val="48"/>
      </w:numPr>
    </w:pPr>
  </w:style>
  <w:style w:type="paragraph" w:styleId="PlainText">
    <w:name w:val="Plain Text"/>
    <w:basedOn w:val="Normal"/>
    <w:link w:val="PlainTextChar"/>
    <w:uiPriority w:val="99"/>
    <w:unhideWhenUsed/>
    <w:rsid w:val="006173E9"/>
    <w:pPr>
      <w:widowControl/>
    </w:pPr>
    <w:rPr>
      <w:rFonts w:ascii="Calibri" w:hAnsi="Calibri" w:cs="Calibri"/>
      <w:sz w:val="22"/>
      <w:szCs w:val="21"/>
      <w:lang w:eastAsia="sv-SE"/>
    </w:rPr>
  </w:style>
  <w:style w:type="character" w:customStyle="1" w:styleId="PlainTextChar">
    <w:name w:val="Plain Text Char"/>
    <w:basedOn w:val="DefaultParagraphFont"/>
    <w:link w:val="PlainText"/>
    <w:uiPriority w:val="99"/>
    <w:rsid w:val="006173E9"/>
    <w:rPr>
      <w:rFonts w:ascii="Calibri" w:hAnsi="Calibri" w:cs="Calibri"/>
      <w:sz w:val="22"/>
      <w:szCs w:val="21"/>
      <w:lang w:val="bg-BG" w:eastAsia="sv-SE"/>
    </w:rPr>
  </w:style>
  <w:style w:type="paragraph" w:customStyle="1" w:styleId="msonormal0">
    <w:name w:val="msonormal"/>
    <w:basedOn w:val="Normal"/>
    <w:uiPriority w:val="99"/>
    <w:qFormat/>
    <w:rsid w:val="006173E9"/>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6173E9"/>
    <w:rPr>
      <w:rFonts w:ascii="Calibri" w:eastAsia="Calibri" w:hAnsi="Calibri" w:cs="Arial"/>
      <w:color w:val="31849B"/>
      <w:sz w:val="25"/>
      <w:szCs w:val="25"/>
      <w:lang w:val="bg-BG"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6173E9"/>
    <w:pPr>
      <w:suppressAutoHyphens w:val="0"/>
      <w:autoSpaceDE w:val="0"/>
      <w:autoSpaceDN w:val="0"/>
      <w:adjustRightInd w:val="0"/>
    </w:pPr>
    <w:rPr>
      <w:color w:val="auto"/>
    </w:rPr>
  </w:style>
  <w:style w:type="character" w:customStyle="1" w:styleId="Bodytext1">
    <w:name w:val="Body text|1_"/>
    <w:basedOn w:val="DefaultParagraphFont"/>
    <w:link w:val="Bodytext10"/>
    <w:rsid w:val="006173E9"/>
    <w:rPr>
      <w:rFonts w:ascii="Arial" w:eastAsia="Arial" w:hAnsi="Arial" w:cs="Arial"/>
      <w:sz w:val="19"/>
    </w:rPr>
  </w:style>
  <w:style w:type="paragraph" w:customStyle="1" w:styleId="Bodytext10">
    <w:name w:val="Body text|1"/>
    <w:basedOn w:val="Normal"/>
    <w:link w:val="Bodytext1"/>
    <w:rsid w:val="006173E9"/>
    <w:pPr>
      <w:spacing w:after="160" w:line="348" w:lineRule="auto"/>
    </w:pPr>
    <w:rPr>
      <w:rFonts w:ascii="Arial" w:eastAsia="Arial" w:hAnsi="Arial" w:cs="Arial"/>
      <w:sz w:val="19"/>
      <w:lang w:val="en-GB"/>
    </w:rPr>
  </w:style>
  <w:style w:type="numbering" w:customStyle="1" w:styleId="RKNumreraderubriker">
    <w:name w:val="RK Numrerade rubriker"/>
    <w:uiPriority w:val="99"/>
    <w:rsid w:val="006173E9"/>
    <w:pPr>
      <w:numPr>
        <w:numId w:val="49"/>
      </w:numPr>
    </w:pPr>
  </w:style>
  <w:style w:type="numbering" w:customStyle="1" w:styleId="Strecklistan3">
    <w:name w:val="Strecklistan3"/>
    <w:uiPriority w:val="99"/>
    <w:rsid w:val="006173E9"/>
    <w:pPr>
      <w:numPr>
        <w:numId w:val="25"/>
      </w:numPr>
    </w:pPr>
  </w:style>
  <w:style w:type="numbering" w:customStyle="1" w:styleId="Aktuelllista14">
    <w:name w:val="Aktuell lista14"/>
    <w:uiPriority w:val="99"/>
    <w:rsid w:val="006173E9"/>
    <w:pPr>
      <w:numPr>
        <w:numId w:val="30"/>
      </w:numPr>
    </w:pPr>
  </w:style>
  <w:style w:type="numbering" w:customStyle="1" w:styleId="Aktuelllista23">
    <w:name w:val="Aktuell lista23"/>
    <w:uiPriority w:val="99"/>
    <w:rsid w:val="006173E9"/>
    <w:pPr>
      <w:numPr>
        <w:numId w:val="29"/>
      </w:numPr>
    </w:pPr>
  </w:style>
  <w:style w:type="character" w:customStyle="1" w:styleId="ListenabsatzZchn">
    <w:name w:val="Listenabsatz Zchn"/>
    <w:aliases w:val="Bullet List Zchn,FooterText Zchn,Colorful List Accent 1 Zchn,Colorful List - Accent 11 Zchn,numbered Zchn,Paragraphe de liste1 Zchn,列出段落 Zchn,列出段落1 Zchn,Bulletr List Paragraph Zchn,List Paragraph2 Zchn,List Paragraph21 Zchn,リスト段落1 Zchn"/>
    <w:basedOn w:val="DefaultParagraphFont"/>
    <w:uiPriority w:val="34"/>
    <w:locked/>
    <w:rsid w:val="006173E9"/>
    <w:rPr>
      <w:rFonts w:ascii="Arial" w:hAnsi="Arial" w:cs="Arial"/>
    </w:rPr>
  </w:style>
  <w:style w:type="paragraph" w:customStyle="1" w:styleId="NormalRight0">
    <w:name w:val="NormalRight"/>
    <w:basedOn w:val="Normal"/>
    <w:rsid w:val="006173E9"/>
    <w:pPr>
      <w:widowControl/>
      <w:jc w:val="right"/>
    </w:pPr>
    <w:rPr>
      <w:snapToGrid w:val="0"/>
    </w:rPr>
  </w:style>
  <w:style w:type="paragraph" w:customStyle="1" w:styleId="NormalBoldRight">
    <w:name w:val="NormalBoldRight"/>
    <w:basedOn w:val="NormalBold"/>
    <w:rsid w:val="006173E9"/>
    <w:pPr>
      <w:jc w:val="right"/>
    </w:pPr>
    <w:rPr>
      <w:bCs/>
      <w:snapToGrid w:val="0"/>
    </w:rPr>
  </w:style>
  <w:style w:type="paragraph" w:customStyle="1" w:styleId="Normal24">
    <w:name w:val="Normal24"/>
    <w:basedOn w:val="Normal"/>
    <w:rsid w:val="006173E9"/>
    <w:pPr>
      <w:spacing w:after="480"/>
    </w:pPr>
    <w:rPr>
      <w:snapToGrid w:val="0"/>
    </w:rPr>
  </w:style>
  <w:style w:type="paragraph" w:styleId="ListBullet">
    <w:name w:val="List Bullet"/>
    <w:basedOn w:val="Normal"/>
    <w:rsid w:val="006173E9"/>
    <w:pPr>
      <w:tabs>
        <w:tab w:val="num" w:pos="360"/>
      </w:tabs>
      <w:ind w:left="360" w:hanging="360"/>
      <w:contextualSpacing/>
    </w:pPr>
  </w:style>
  <w:style w:type="paragraph" w:styleId="ListBullet2">
    <w:name w:val="List Bullet 2"/>
    <w:basedOn w:val="Normal"/>
    <w:rsid w:val="006173E9"/>
    <w:pPr>
      <w:tabs>
        <w:tab w:val="num" w:pos="720"/>
      </w:tabs>
      <w:ind w:left="720" w:hanging="360"/>
      <w:contextualSpacing/>
    </w:pPr>
  </w:style>
  <w:style w:type="paragraph" w:styleId="ListBullet3">
    <w:name w:val="List Bullet 3"/>
    <w:basedOn w:val="Normal"/>
    <w:rsid w:val="006173E9"/>
    <w:pPr>
      <w:tabs>
        <w:tab w:val="num" w:pos="1080"/>
      </w:tabs>
      <w:ind w:left="1080" w:hanging="360"/>
      <w:contextualSpacing/>
    </w:pPr>
  </w:style>
  <w:style w:type="character" w:customStyle="1" w:styleId="FollowedHyperlink2">
    <w:name w:val="FollowedHyperlink2"/>
    <w:basedOn w:val="DefaultParagraphFont"/>
    <w:rsid w:val="006173E9"/>
    <w:rPr>
      <w:color w:val="954F72"/>
      <w:u w:val="single"/>
    </w:rPr>
  </w:style>
  <w:style w:type="table" w:customStyle="1" w:styleId="ListTable5Dark-Accent52">
    <w:name w:val="List Table 5 Dark - Accent 52"/>
    <w:basedOn w:val="TableNormal"/>
    <w:next w:val="ListTable5Dark-Accent5"/>
    <w:uiPriority w:val="50"/>
    <w:rsid w:val="006173E9"/>
    <w:rPr>
      <w:color w:val="FFFFFF"/>
      <w:lang w:val="bg-BG"/>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Accent52">
    <w:name w:val="List Table 6 Colorful - Accent 52"/>
    <w:basedOn w:val="TableNormal"/>
    <w:next w:val="ListTable6Colorful-Accent5"/>
    <w:uiPriority w:val="51"/>
    <w:rsid w:val="006173E9"/>
    <w:rPr>
      <w:color w:val="2F5496"/>
      <w:lang w:val="bg-BG"/>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5Dark-Accent5">
    <w:name w:val="List Table 5 Dark Accent 5"/>
    <w:basedOn w:val="TableNormal"/>
    <w:uiPriority w:val="50"/>
    <w:rsid w:val="006173E9"/>
    <w:rPr>
      <w:rFonts w:asciiTheme="minorHAnsi" w:eastAsiaTheme="minorHAnsi" w:hAnsiTheme="minorHAnsi"/>
      <w:color w:val="FFFFFF" w:themeColor="background1"/>
      <w:sz w:val="22"/>
      <w:szCs w:val="22"/>
      <w:lang w:val="bg-BG" w:eastAsia="en-US"/>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6173E9"/>
    <w:rPr>
      <w:rFonts w:asciiTheme="minorHAnsi" w:eastAsiaTheme="minorHAnsi" w:hAnsiTheme="minorHAnsi"/>
      <w:color w:val="2F5496" w:themeColor="accent5" w:themeShade="BF"/>
      <w:sz w:val="22"/>
      <w:szCs w:val="22"/>
      <w:lang w:val="bg-BG" w:eastAsia="en-US"/>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270979">
      <w:bodyDiv w:val="1"/>
      <w:marLeft w:val="0"/>
      <w:marRight w:val="0"/>
      <w:marTop w:val="0"/>
      <w:marBottom w:val="0"/>
      <w:divBdr>
        <w:top w:val="none" w:sz="0" w:space="0" w:color="auto"/>
        <w:left w:val="none" w:sz="0" w:space="0" w:color="auto"/>
        <w:bottom w:val="none" w:sz="0" w:space="0" w:color="auto"/>
        <w:right w:val="none" w:sz="0" w:space="0" w:color="auto"/>
      </w:divBdr>
    </w:div>
    <w:div w:id="145753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en/funding/cohesion-fund/"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ec.europa.eu/regional_policy/en/funding/erdf/" TargetMode="Externa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griculture.ec.europa.eu/common-agricultural-policy/financing-cap/cap-funds_bg"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hyperlink" Target="https://agriculture.ec.europa.eu/common-agricultural-policy/rural-development_bg"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inea.ec.europa.eu/programmes/european-maritime-fisheries-and-aquaculture-fund_bg" TargetMode="External"/><Relationship Id="rId14" Type="http://schemas.openxmlformats.org/officeDocument/2006/relationships/hyperlink" Target="https://commission.europa.eu/business-economy-euro/economic-recovery/recovery-and-resilience-facility_bg" TargetMode="External"/><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5281/zenodo.3831673" TargetMode="External"/><Relationship Id="rId3" Type="http://schemas.openxmlformats.org/officeDocument/2006/relationships/hyperlink" Target="https://circabc.europa.eu/ui/group/fcb355ee-7434-4448-a53d-5dc5d1dac678/library/4d8f2f91-7708-4ed2-ba0e-e7a945a6d56a/details" TargetMode="External"/><Relationship Id="rId7" Type="http://schemas.openxmlformats.org/officeDocument/2006/relationships/hyperlink" Target="https://www.ipcc.ch/report/ar6/wg2/" TargetMode="External"/><Relationship Id="rId12" Type="http://schemas.openxmlformats.org/officeDocument/2006/relationships/hyperlink" Target="https://www.eea.europa.eu/data-and-maps/data/eunis-habitat-classification-1" TargetMode="External"/><Relationship Id="rId2" Type="http://schemas.openxmlformats.org/officeDocument/2006/relationships/hyperlink" Target="https://www.un.org/sustainabledevelopment/" TargetMode="External"/><Relationship Id="rId1" Type="http://schemas.openxmlformats.org/officeDocument/2006/relationships/hyperlink" Target="https://www.cbd.int/decision/cop/?id=12268" TargetMode="External"/><Relationship Id="rId6" Type="http://schemas.openxmlformats.org/officeDocument/2006/relationships/hyperlink" Target="https://www.ipcc.ch/report/ar6/wg2/" TargetMode="External"/><Relationship Id="rId11" Type="http://schemas.openxmlformats.org/officeDocument/2006/relationships/hyperlink" Target="https://www.eea.europa.eu/data-and-maps/data/eunis-habitat-classification-1" TargetMode="External"/><Relationship Id="rId5" Type="http://schemas.openxmlformats.org/officeDocument/2006/relationships/hyperlink" Target="https://www.ipcc.ch/sr15/" TargetMode="External"/><Relationship Id="rId10" Type="http://schemas.openxmlformats.org/officeDocument/2006/relationships/hyperlink" Target="https://environment.ec.europa.eu/topics/nature-and-biodiversity/habitats-directive_bg" TargetMode="External"/><Relationship Id="rId4" Type="http://schemas.openxmlformats.org/officeDocument/2006/relationships/hyperlink" Target="https://seea.un.org/sites/seea.un.org/files/documents/EA/seea_ea_white_cover_final.pdf." TargetMode="External"/><Relationship Id="rId9" Type="http://schemas.openxmlformats.org/officeDocument/2006/relationships/hyperlink" Target="https://www.eca.europa.eu/Lists/ECADocuments/SR20_15/SR_Pollinators_B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05C10-BDD8-44A4-9EC6-0ACFE02E8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170</Pages>
  <Words>32383</Words>
  <Characters>184584</Characters>
  <Application>Microsoft Office Word</Application>
  <DocSecurity>0</DocSecurity>
  <Lines>1538</Lines>
  <Paragraphs>433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SEMEDO Teresa</cp:lastModifiedBy>
  <cp:revision>3</cp:revision>
  <cp:lastPrinted>2004-11-19T15:42:00Z</cp:lastPrinted>
  <dcterms:created xsi:type="dcterms:W3CDTF">2023-11-15T11:17:00Z</dcterms:created>
  <dcterms:modified xsi:type="dcterms:W3CDTF">2024-04-29T12:15:00Z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P9_TA(2023)0277_</vt:lpwstr>
  </property>
  <property fmtid="{D5CDD505-2E9C-101B-9397-08002B2CF9AE}" pid="4" name="&lt;Type&gt;">
    <vt:lpwstr>RR</vt:lpwstr>
  </property>
</Properties>
</file>