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87DD1" w:rsidTr="0010095E">
        <w:trPr>
          <w:trHeight w:hRule="exact" w:val="1418"/>
        </w:trPr>
        <w:tc>
          <w:tcPr>
            <w:tcW w:w="6804" w:type="dxa"/>
            <w:shd w:val="clear" w:color="auto" w:fill="auto"/>
            <w:vAlign w:val="center"/>
          </w:tcPr>
          <w:p w:rsidR="00751A4A" w:rsidRPr="00B87DD1" w:rsidRDefault="00566308" w:rsidP="0010095E">
            <w:pPr>
              <w:pStyle w:val="EPName"/>
            </w:pPr>
            <w:r w:rsidRPr="00B87DD1">
              <w:t>Euroopan parlamentti</w:t>
            </w:r>
          </w:p>
          <w:p w:rsidR="00751A4A" w:rsidRPr="00B87DD1" w:rsidRDefault="00817416" w:rsidP="00756632">
            <w:pPr>
              <w:pStyle w:val="EPTerm"/>
              <w:rPr>
                <w:rStyle w:val="HideTWBExt"/>
                <w:noProof w:val="0"/>
                <w:vanish w:val="0"/>
                <w:color w:val="auto"/>
              </w:rPr>
            </w:pPr>
            <w:r w:rsidRPr="00B87DD1">
              <w:t>2019-2024</w:t>
            </w:r>
          </w:p>
        </w:tc>
        <w:tc>
          <w:tcPr>
            <w:tcW w:w="2268" w:type="dxa"/>
            <w:shd w:val="clear" w:color="auto" w:fill="auto"/>
          </w:tcPr>
          <w:p w:rsidR="00751A4A" w:rsidRPr="00B87DD1" w:rsidRDefault="00187494" w:rsidP="0010095E">
            <w:pPr>
              <w:pStyle w:val="EPLogo"/>
            </w:pPr>
            <w:r w:rsidRPr="00B87DD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87DD1" w:rsidRDefault="00D058B8" w:rsidP="004C5D52">
      <w:pPr>
        <w:pStyle w:val="LineTop"/>
      </w:pPr>
    </w:p>
    <w:p w:rsidR="00680577" w:rsidRPr="00B87DD1" w:rsidRDefault="00566308" w:rsidP="00680577">
      <w:pPr>
        <w:pStyle w:val="EPBodyTA1"/>
      </w:pPr>
      <w:r w:rsidRPr="00B87DD1">
        <w:t>HYVÄKSYTYT TEKSTIT</w:t>
      </w:r>
    </w:p>
    <w:p w:rsidR="00D058B8" w:rsidRPr="00B87DD1" w:rsidRDefault="00D058B8" w:rsidP="00D058B8">
      <w:pPr>
        <w:pStyle w:val="LineBottom"/>
      </w:pPr>
    </w:p>
    <w:p w:rsidR="00566308" w:rsidRPr="00B87DD1" w:rsidRDefault="00566308" w:rsidP="00566308">
      <w:pPr>
        <w:pStyle w:val="ATHeading1"/>
      </w:pPr>
      <w:bookmarkStart w:id="0" w:name="TANumber"/>
      <w:r w:rsidRPr="00B87DD1">
        <w:t>P9_</w:t>
      </w:r>
      <w:proofErr w:type="gramStart"/>
      <w:r w:rsidRPr="00B87DD1">
        <w:t>TA(</w:t>
      </w:r>
      <w:proofErr w:type="gramEnd"/>
      <w:r w:rsidRPr="00B87DD1">
        <w:t>2023)0</w:t>
      </w:r>
      <w:r w:rsidR="004A61CF" w:rsidRPr="00B87DD1">
        <w:t>277</w:t>
      </w:r>
      <w:bookmarkEnd w:id="0"/>
    </w:p>
    <w:p w:rsidR="00566308" w:rsidRPr="00B87DD1" w:rsidRDefault="00566308" w:rsidP="00566308">
      <w:pPr>
        <w:pStyle w:val="ATHeading2"/>
      </w:pPr>
      <w:bookmarkStart w:id="1" w:name="title"/>
      <w:r w:rsidRPr="00B87DD1">
        <w:t>Luonnon ennallistaminen</w:t>
      </w:r>
      <w:bookmarkEnd w:id="1"/>
    </w:p>
    <w:p w:rsidR="00566308" w:rsidRPr="00B87DD1" w:rsidRDefault="00566308" w:rsidP="00566308">
      <w:pPr>
        <w:rPr>
          <w:i/>
          <w:vanish/>
        </w:rPr>
      </w:pPr>
      <w:r w:rsidRPr="00B87DD1">
        <w:rPr>
          <w:i/>
        </w:rPr>
        <w:fldChar w:fldCharType="begin"/>
      </w:r>
      <w:r w:rsidRPr="00B87DD1">
        <w:rPr>
          <w:i/>
        </w:rPr>
        <w:instrText xml:space="preserve"> TC"(</w:instrText>
      </w:r>
      <w:bookmarkStart w:id="2" w:name="DocNumber"/>
      <w:r w:rsidRPr="00B87DD1">
        <w:rPr>
          <w:i/>
        </w:rPr>
        <w:instrText>A9-0220/2023</w:instrText>
      </w:r>
      <w:bookmarkEnd w:id="2"/>
      <w:r w:rsidRPr="00B87DD1">
        <w:rPr>
          <w:i/>
        </w:rPr>
        <w:instrText xml:space="preserve"> - Esittelijä: César Luena)"\l3 \n&gt; \* MERGEFORMAT </w:instrText>
      </w:r>
      <w:r w:rsidRPr="00B87DD1">
        <w:rPr>
          <w:i/>
        </w:rPr>
        <w:fldChar w:fldCharType="end"/>
      </w:r>
    </w:p>
    <w:p w:rsidR="00566308" w:rsidRPr="00B87DD1" w:rsidRDefault="00566308" w:rsidP="00566308">
      <w:pPr>
        <w:rPr>
          <w:vanish/>
        </w:rPr>
      </w:pPr>
      <w:bookmarkStart w:id="3" w:name="Commission"/>
      <w:r w:rsidRPr="00B87DD1">
        <w:rPr>
          <w:vanish/>
        </w:rPr>
        <w:t>Ympäristön, kansanterveyden ja elintarvikkeiden turvallisuuden valiokunta</w:t>
      </w:r>
      <w:bookmarkEnd w:id="3"/>
    </w:p>
    <w:p w:rsidR="00566308" w:rsidRPr="00B87DD1" w:rsidRDefault="00566308" w:rsidP="00566308">
      <w:pPr>
        <w:rPr>
          <w:vanish/>
        </w:rPr>
      </w:pPr>
      <w:bookmarkStart w:id="4" w:name="PE"/>
      <w:r w:rsidRPr="00B87DD1">
        <w:rPr>
          <w:vanish/>
        </w:rPr>
        <w:t>PE737.282</w:t>
      </w:r>
      <w:bookmarkEnd w:id="4"/>
    </w:p>
    <w:p w:rsidR="00566308" w:rsidRPr="00B87DD1" w:rsidRDefault="00566308" w:rsidP="00566308">
      <w:pPr>
        <w:pStyle w:val="ATHeading3"/>
      </w:pPr>
      <w:bookmarkStart w:id="5" w:name="Sujet"/>
      <w:r w:rsidRPr="00B87DD1">
        <w:t xml:space="preserve">Euroopan parlamentin </w:t>
      </w:r>
      <w:r w:rsidR="00CB7853" w:rsidRPr="00B87DD1">
        <w:t>tarkistukset</w:t>
      </w:r>
      <w:r w:rsidR="00CB7853" w:rsidRPr="00B87DD1">
        <w:rPr>
          <w:rStyle w:val="FootnoteReference"/>
        </w:rPr>
        <w:footnoteReference w:customMarkFollows="1" w:id="1"/>
        <w:t>*</w:t>
      </w:r>
      <w:r w:rsidRPr="00B87DD1">
        <w:t xml:space="preserve"> </w:t>
      </w:r>
      <w:r w:rsidR="004A61CF" w:rsidRPr="00B87DD1">
        <w:t>12</w:t>
      </w:r>
      <w:r w:rsidRPr="00B87DD1">
        <w:t>. heinäkuuta 2023 ehdotukse</w:t>
      </w:r>
      <w:r w:rsidR="00CB7853" w:rsidRPr="00B87DD1">
        <w:t>en</w:t>
      </w:r>
      <w:r w:rsidRPr="00B87DD1">
        <w:t xml:space="preserve"> Euroopan parlamentin ja neuvoston asetukseksi luonnon ennallistamisesta</w:t>
      </w:r>
      <w:bookmarkEnd w:id="5"/>
      <w:r w:rsidRPr="00B87DD1">
        <w:t xml:space="preserve"> </w:t>
      </w:r>
      <w:bookmarkStart w:id="6" w:name="References"/>
      <w:r w:rsidRPr="00B87DD1">
        <w:t>(COM(2022)0304 – C9-0208/2022 – 2022/0195(COD</w:t>
      </w:r>
      <w:r w:rsidR="00CB7853" w:rsidRPr="00B87DD1">
        <w:t>)</w:t>
      </w:r>
      <w:r w:rsidRPr="00B87DD1">
        <w:t>)</w:t>
      </w:r>
      <w:r w:rsidR="00CB7853" w:rsidRPr="00B87DD1">
        <w:rPr>
          <w:b w:val="0"/>
          <w:szCs w:val="24"/>
          <w:vertAlign w:val="superscript"/>
          <w:lang w:eastAsia="en-GB"/>
        </w:rPr>
        <w:footnoteReference w:id="2"/>
      </w:r>
      <w:bookmarkEnd w:id="6"/>
    </w:p>
    <w:p w:rsidR="00DA065E" w:rsidRPr="00B87DD1" w:rsidRDefault="00DA065E" w:rsidP="00DA065E">
      <w:pPr>
        <w:pStyle w:val="NormalBold"/>
        <w:widowControl/>
      </w:pPr>
      <w:bookmarkStart w:id="7" w:name="TextBodyBegin"/>
      <w:bookmarkEnd w:id="7"/>
      <w:r w:rsidRPr="00B87DD1">
        <w:t>(Tavallinen lainsäätämisjärjestys: ensimmäinen käsittely)</w:t>
      </w:r>
    </w:p>
    <w:p w:rsidR="00CB7853" w:rsidRPr="00B87DD1" w:rsidRDefault="00CB7853">
      <w:pPr>
        <w:widowControl/>
      </w:pPr>
      <w:r w:rsidRPr="00B87DD1">
        <w:br w:type="page"/>
      </w:r>
    </w:p>
    <w:p w:rsidR="00CB7853" w:rsidRPr="00B87DD1" w:rsidRDefault="00CB7853" w:rsidP="00CB7853">
      <w:pPr>
        <w:widowControl/>
        <w:ind w:left="720" w:hanging="720"/>
        <w:rPr>
          <w:szCs w:val="24"/>
        </w:rPr>
      </w:pPr>
      <w:r w:rsidRPr="00B87DD1">
        <w:rPr>
          <w:b/>
          <w:szCs w:val="24"/>
        </w:rPr>
        <w:lastRenderedPageBreak/>
        <w:t>[tark. 18, jollei toisin ilmoiteta]</w:t>
      </w:r>
    </w:p>
    <w:p w:rsidR="00CB7853" w:rsidRPr="00B87DD1" w:rsidRDefault="00CB7853" w:rsidP="00CB7853">
      <w:pPr>
        <w:widowControl/>
        <w:rPr>
          <w:szCs w:val="24"/>
        </w:rPr>
      </w:pPr>
    </w:p>
    <w:p w:rsidR="00CB7853" w:rsidRPr="00B87DD1" w:rsidRDefault="00CB7853" w:rsidP="00CB7853">
      <w:pPr>
        <w:widowControl/>
        <w:jc w:val="center"/>
        <w:rPr>
          <w:noProof/>
          <w:szCs w:val="24"/>
        </w:rPr>
      </w:pPr>
      <w:r w:rsidRPr="00B87DD1">
        <w:rPr>
          <w:szCs w:val="24"/>
        </w:rPr>
        <w:t>PARLAMENTIN TARKISTUKSET</w:t>
      </w:r>
      <w:r w:rsidRPr="00B87DD1">
        <w:rPr>
          <w:szCs w:val="24"/>
          <w:vertAlign w:val="superscript"/>
        </w:rPr>
        <w:footnoteReference w:customMarkFollows="1" w:id="3"/>
        <w:t>*</w:t>
      </w:r>
    </w:p>
    <w:p w:rsidR="00CB7853" w:rsidRPr="00B87DD1" w:rsidRDefault="00CB7853" w:rsidP="00CB7853">
      <w:pPr>
        <w:widowControl/>
        <w:jc w:val="center"/>
        <w:rPr>
          <w:noProof/>
          <w:szCs w:val="24"/>
        </w:rPr>
      </w:pPr>
    </w:p>
    <w:p w:rsidR="00CB7853" w:rsidRPr="00B87DD1" w:rsidRDefault="00CB7853" w:rsidP="00CB7853">
      <w:pPr>
        <w:widowControl/>
        <w:jc w:val="center"/>
        <w:rPr>
          <w:szCs w:val="24"/>
        </w:rPr>
      </w:pPr>
      <w:r w:rsidRPr="00B87DD1">
        <w:rPr>
          <w:szCs w:val="24"/>
        </w:rPr>
        <w:t>komission ehdotukseen</w:t>
      </w:r>
    </w:p>
    <w:p w:rsidR="00CB7853" w:rsidRPr="00B87DD1" w:rsidRDefault="00CB7853" w:rsidP="00CB7853">
      <w:pPr>
        <w:widowControl/>
        <w:rPr>
          <w:szCs w:val="24"/>
        </w:rPr>
      </w:pPr>
    </w:p>
    <w:p w:rsidR="00CB7853" w:rsidRPr="00B87DD1" w:rsidRDefault="00CB7853" w:rsidP="00FF7B51">
      <w:pPr>
        <w:widowControl/>
        <w:jc w:val="center"/>
      </w:pPr>
      <w:r w:rsidRPr="00B87DD1">
        <w:rPr>
          <w:szCs w:val="24"/>
        </w:rPr>
        <w:t>___________________________</w:t>
      </w:r>
    </w:p>
    <w:p w:rsidR="00FF7B51" w:rsidRPr="00B87DD1" w:rsidRDefault="00FF7B51" w:rsidP="00FF7B51">
      <w:pPr>
        <w:suppressAutoHyphens/>
        <w:spacing w:before="360"/>
        <w:jc w:val="center"/>
        <w:rPr>
          <w:rFonts w:eastAsia="Calibri"/>
          <w:b/>
          <w:szCs w:val="24"/>
        </w:rPr>
      </w:pPr>
      <w:r w:rsidRPr="00B87DD1">
        <w:rPr>
          <w:b/>
        </w:rPr>
        <w:t>EUROOPAN PARLAMENTIN JA NEUVOSTON ASETUS</w:t>
      </w:r>
    </w:p>
    <w:p w:rsidR="00FF7B51" w:rsidRPr="00B87DD1" w:rsidRDefault="00FF7B51" w:rsidP="00FF7B51">
      <w:pPr>
        <w:widowControl/>
        <w:suppressAutoHyphens/>
        <w:spacing w:before="360" w:line="360" w:lineRule="auto"/>
        <w:jc w:val="center"/>
        <w:rPr>
          <w:rFonts w:eastAsia="Calibri"/>
          <w:b/>
          <w:szCs w:val="24"/>
        </w:rPr>
      </w:pPr>
      <w:r w:rsidRPr="00B87DD1">
        <w:rPr>
          <w:b/>
        </w:rPr>
        <w:t>luonnon ennallistamisesta</w:t>
      </w:r>
    </w:p>
    <w:p w:rsidR="00FF7B51" w:rsidRPr="00B87DD1" w:rsidRDefault="00FF7B51" w:rsidP="00FF7B51">
      <w:pPr>
        <w:widowControl/>
        <w:suppressAutoHyphens/>
        <w:spacing w:before="360" w:after="240" w:line="360" w:lineRule="auto"/>
        <w:jc w:val="center"/>
        <w:rPr>
          <w:rFonts w:eastAsia="Calibri"/>
          <w:szCs w:val="24"/>
        </w:rPr>
      </w:pPr>
      <w:r w:rsidRPr="00B87DD1">
        <w:t>(ETA:n kannalta merkityksellinen teksti)</w:t>
      </w:r>
    </w:p>
    <w:p w:rsidR="00FF7B51" w:rsidRPr="00B87DD1" w:rsidRDefault="00FF7B51" w:rsidP="00FF7B51">
      <w:pPr>
        <w:keepNext/>
        <w:widowControl/>
        <w:suppressAutoHyphens/>
        <w:spacing w:line="360" w:lineRule="auto"/>
        <w:jc w:val="both"/>
        <w:rPr>
          <w:rFonts w:eastAsia="Calibri"/>
          <w:szCs w:val="24"/>
        </w:rPr>
      </w:pPr>
      <w:r w:rsidRPr="00B87DD1">
        <w:t>EUROOPAN PARLAMENTTI JA EUROOPAN UNIONIN NEUVOSTO, jotka</w:t>
      </w:r>
    </w:p>
    <w:p w:rsidR="00FF7B51" w:rsidRPr="00B87DD1" w:rsidRDefault="00FF7B51" w:rsidP="00FF7B51">
      <w:pPr>
        <w:widowControl/>
        <w:suppressAutoHyphens/>
        <w:spacing w:line="360" w:lineRule="auto"/>
        <w:rPr>
          <w:rFonts w:eastAsia="Calibri"/>
          <w:szCs w:val="24"/>
        </w:rPr>
      </w:pPr>
      <w:r w:rsidRPr="00B87DD1">
        <w:t>ottavat huomioon Euroopan unionin toiminnasta tehdyn sopimuksen ja erityisesti sen 192 artiklan 1 kohdan,</w:t>
      </w:r>
    </w:p>
    <w:p w:rsidR="00FF7B51" w:rsidRPr="00B87DD1" w:rsidRDefault="00FF7B51" w:rsidP="00FF7B51">
      <w:pPr>
        <w:widowControl/>
        <w:suppressAutoHyphens/>
        <w:spacing w:line="360" w:lineRule="auto"/>
        <w:rPr>
          <w:rFonts w:eastAsia="Calibri"/>
          <w:szCs w:val="24"/>
        </w:rPr>
      </w:pPr>
      <w:r w:rsidRPr="00B87DD1">
        <w:t>ottavat huomioon Euroopan komission ehdotuksen,</w:t>
      </w:r>
    </w:p>
    <w:p w:rsidR="00FF7B51" w:rsidRPr="00B87DD1" w:rsidRDefault="00FF7B51" w:rsidP="00FF7B51">
      <w:pPr>
        <w:widowControl/>
        <w:suppressAutoHyphens/>
        <w:spacing w:line="360" w:lineRule="auto"/>
        <w:rPr>
          <w:rFonts w:eastAsia="Calibri"/>
          <w:szCs w:val="24"/>
        </w:rPr>
      </w:pPr>
      <w:r w:rsidRPr="00B87DD1">
        <w:t xml:space="preserve">sen </w:t>
      </w:r>
      <w:proofErr w:type="gramStart"/>
      <w:r w:rsidRPr="00B87DD1">
        <w:t>jälkeen</w:t>
      </w:r>
      <w:proofErr w:type="gramEnd"/>
      <w:r w:rsidRPr="00B87DD1">
        <w:t xml:space="preserve"> kun esitys lainsäätämisjärjestyksessä hyväksyttäväksi säädökseksi on toimitettu kansallisille parlamenteille,</w:t>
      </w:r>
    </w:p>
    <w:p w:rsidR="00FF7B51" w:rsidRPr="00B87DD1" w:rsidRDefault="00FF7B51" w:rsidP="00FF7B51">
      <w:pPr>
        <w:widowControl/>
        <w:suppressAutoHyphens/>
        <w:spacing w:line="360" w:lineRule="auto"/>
        <w:rPr>
          <w:rFonts w:eastAsia="Calibri"/>
          <w:szCs w:val="24"/>
        </w:rPr>
      </w:pPr>
      <w:r w:rsidRPr="00B87DD1">
        <w:t>ottavat huomioon Euroopan talous- ja sosiaalikomitean lausunnon</w:t>
      </w:r>
      <w:r w:rsidRPr="00B87DD1">
        <w:rPr>
          <w:rFonts w:eastAsia="Calibri"/>
          <w:bCs/>
          <w:szCs w:val="24"/>
          <w:vertAlign w:val="superscript"/>
          <w:lang w:eastAsia="en-US"/>
        </w:rPr>
        <w:footnoteReference w:id="4"/>
      </w:r>
      <w:r w:rsidRPr="00B87DD1">
        <w:t>,</w:t>
      </w:r>
    </w:p>
    <w:p w:rsidR="00FF7B51" w:rsidRPr="00B87DD1" w:rsidRDefault="00FF7B51" w:rsidP="00FF7B51">
      <w:pPr>
        <w:widowControl/>
        <w:suppressAutoHyphens/>
        <w:spacing w:line="360" w:lineRule="auto"/>
        <w:rPr>
          <w:rFonts w:eastAsia="Calibri"/>
          <w:szCs w:val="24"/>
        </w:rPr>
      </w:pPr>
      <w:r w:rsidRPr="00B87DD1">
        <w:t>ottavat huomioon alueiden komitean lausunnon,</w:t>
      </w:r>
    </w:p>
    <w:p w:rsidR="00FF7B51" w:rsidRPr="00B87DD1" w:rsidRDefault="00FF7B51" w:rsidP="00FF7B51">
      <w:pPr>
        <w:widowControl/>
        <w:suppressAutoHyphens/>
        <w:spacing w:line="360" w:lineRule="auto"/>
        <w:rPr>
          <w:rFonts w:eastAsia="Calibri"/>
          <w:szCs w:val="24"/>
        </w:rPr>
      </w:pPr>
      <w:r w:rsidRPr="00B87DD1">
        <w:t>noudattavat tavallista lainsäätämisjärjestystä,</w:t>
      </w:r>
    </w:p>
    <w:p w:rsidR="00FF7B51" w:rsidRPr="00B87DD1" w:rsidRDefault="00FF7B51" w:rsidP="00FF7B51">
      <w:pPr>
        <w:widowControl/>
        <w:suppressAutoHyphens/>
        <w:spacing w:line="360" w:lineRule="auto"/>
      </w:pPr>
      <w:r w:rsidRPr="00B87DD1">
        <w:t>sekä katsovat seuraavaa: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(1)</w:t>
      </w:r>
      <w:r w:rsidRPr="00B87DD1">
        <w:tab/>
        <w:t xml:space="preserve">On tarpeen vahvistaa unionin tasolla säännöt ekosysteemien ennallistamisesta, jotta varmistetaan luonnon monimuotoisuuden elpyminen ja häiriönsietokykyinen luonto koko unionin alueella. Ekosysteemien ennallistaminen edistää myös ilmastonmuutoksen hillitsemistä ja ilmastonmuutokseen sopeutumista koskevien unionin tavoitteiden saavuttamista.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(2)</w:t>
      </w:r>
      <w:r w:rsidRPr="00B87DD1">
        <w:tab/>
        <w:t>Euroopan vihreän kehityksen ohjelmassa</w:t>
      </w:r>
      <w:r w:rsidRPr="00B87DD1">
        <w:rPr>
          <w:rFonts w:eastAsia="Calibri"/>
          <w:szCs w:val="24"/>
          <w:vertAlign w:val="superscript"/>
          <w:lang w:eastAsia="en-US"/>
        </w:rPr>
        <w:footnoteReference w:id="5"/>
      </w:r>
      <w:r w:rsidRPr="00B87DD1">
        <w:t xml:space="preserve"> on esitetty kunnianhimoinen etenemissuunnitelma unionin muuttamiseksi oikeudenmukaiseksi ja vauraaksi yhteiskunnaksi, jolla on nykyaikainen, resurssitehokas ja kilpailukykyinen talous ja jonka tavoitteena on suojella, hoitaa ja parantaa unionin luonnonpääomaa sekä suojella kansalaisten terveyttä ja hyvinvointia ympäristöön liittyviltä riskeiltä ja ympäristövaikutuksilta. Komissio on hyväksynyt osana Euroopan vihreän kehityksen ohjelmaa vuoteen 2030</w:t>
      </w:r>
      <w:r w:rsidRPr="00B87DD1">
        <w:rPr>
          <w:rFonts w:eastAsia="Calibri"/>
          <w:szCs w:val="24"/>
          <w:vertAlign w:val="superscript"/>
          <w:lang w:eastAsia="en-US"/>
        </w:rPr>
        <w:footnoteReference w:id="6"/>
      </w:r>
      <w:r w:rsidRPr="00B87DD1">
        <w:t xml:space="preserve"> ulottuvan EU:n biodiversiteettistrategian.</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(3)</w:t>
      </w:r>
      <w:r w:rsidRPr="00B87DD1">
        <w:tab/>
        <w:t>Unioni ja sen jäsenvaltiot, jotka ovat neuvoston päätöksellä 93/626/ETY</w:t>
      </w:r>
      <w:r w:rsidRPr="00B87DD1">
        <w:rPr>
          <w:rFonts w:eastAsia="Calibri"/>
          <w:szCs w:val="24"/>
          <w:vertAlign w:val="superscript"/>
          <w:lang w:eastAsia="en-US"/>
        </w:rPr>
        <w:footnoteReference w:id="7"/>
      </w:r>
      <w:r w:rsidRPr="00B87DD1">
        <w:t xml:space="preserve"> hyväksytyn biologista monimuotoisuutta koskevan yleissopimuksen osapuolia, ovat sitoutuneet pitkän aikavälin strategiseen visioon, jonka sopimuspuolten konferenssi hyväksyi vuonna 2010 päätöksellä X/2 luonnon monimuotoisuutta koskevasta strategisesta suunnitelmasta vuosiksi 2011–2020</w:t>
      </w:r>
      <w:r w:rsidRPr="00B87DD1">
        <w:rPr>
          <w:rFonts w:eastAsia="Calibri"/>
          <w:szCs w:val="24"/>
          <w:vertAlign w:val="superscript"/>
          <w:lang w:eastAsia="en-US"/>
        </w:rPr>
        <w:footnoteReference w:id="8"/>
      </w:r>
      <w:r w:rsidRPr="00B87DD1">
        <w:t>. Sen mukaan vuoteen 2050 mennessä biologista monimuotoisuutta on arvostettava, suojeltava, ennallistettava ja käytettävä järkevästi siten, että pidetään yllä ekosysteemipalveluja ja tervettä maapalloa ja tuotetaan kaikkien ihmisten ja tulevien sukupolvien kannalta välttämättömiä hyötyjä.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r w:rsidRPr="00B87DD1">
        <w:lastRenderedPageBreak/>
        <w:t>(4)</w:t>
      </w:r>
      <w:r w:rsidRPr="00B87DD1">
        <w:tab/>
      </w:r>
      <w:r w:rsidRPr="00B87DD1">
        <w:rPr>
          <w:b/>
          <w:i/>
        </w:rPr>
        <w:t>Biologista monimuotoisuutta koskevan yleissopimuksen COP15-kokouksessa joulukuussa 2022</w:t>
      </w:r>
      <w:r w:rsidRPr="00B87DD1">
        <w:rPr>
          <w:rFonts w:eastAsia="Calibri"/>
          <w:b/>
          <w:i/>
          <w:szCs w:val="24"/>
          <w:vertAlign w:val="superscript"/>
          <w:lang w:eastAsia="en-US"/>
        </w:rPr>
        <w:footnoteReference w:id="9"/>
      </w:r>
      <w:r w:rsidRPr="00B87DD1">
        <w:rPr>
          <w:b/>
          <w:i/>
        </w:rPr>
        <w:t xml:space="preserve"> hyväksytyssä </w:t>
      </w:r>
      <w:bookmarkStart w:id="8" w:name="_Hlk129711629"/>
      <w:r w:rsidRPr="00B87DD1">
        <w:rPr>
          <w:b/>
          <w:i/>
        </w:rPr>
        <w:t xml:space="preserve">maailmanlaajuisessa biodiversiteettikehyksessä vahvistetaan toimintapainotteiset maailmanlaajuiset tavoitteet </w:t>
      </w:r>
      <w:r w:rsidRPr="00B87DD1">
        <w:rPr>
          <w:b/>
          <w:i/>
          <w:shd w:val="clear" w:color="auto" w:fill="FFFFFF"/>
        </w:rPr>
        <w:t>kiireellisille toimille vuoteen 2030 mennessä</w:t>
      </w:r>
      <w:r w:rsidRPr="00B87DD1">
        <w:rPr>
          <w:b/>
          <w:i/>
        </w:rPr>
        <w:t xml:space="preserve"> </w:t>
      </w:r>
      <w:r w:rsidRPr="00B87DD1">
        <w:rPr>
          <w:b/>
          <w:i/>
          <w:shd w:val="clear" w:color="auto" w:fill="FFFFFF"/>
        </w:rPr>
        <w:t xml:space="preserve">sen varmistamiseksi, että kaikkiin aloihin sovelletaan osallistavaa, yhdennettyä ja biologisen monimuotoisuuden huomioivaa aluesuunnittelua ja/tai tehokkaita hallintaprosesseja maan ja meren käytön muutoksiin puuttumiseksi; </w:t>
      </w:r>
      <w:r w:rsidRPr="00B87DD1">
        <w:rPr>
          <w:b/>
          <w:i/>
        </w:rPr>
        <w:t xml:space="preserve">biologiselta monimuotoisuudeltaan merkittävien alueiden, mukaan lukien ekologisesti hyvin eheät ekosysteemit, häviämisen saamiseksi lähelle nollaa vuoteen 2030 mennessä </w:t>
      </w:r>
      <w:r w:rsidRPr="00B87DD1">
        <w:rPr>
          <w:b/>
          <w:i/>
          <w:shd w:val="clear" w:color="auto" w:fill="FFFFFF"/>
        </w:rPr>
        <w:t>alkuperäiskansojen ja paikallisyhteisöjen oikeuksia kunnioittaen</w:t>
      </w:r>
      <w:r w:rsidRPr="00B87DD1">
        <w:rPr>
          <w:b/>
          <w:i/>
        </w:rPr>
        <w:t xml:space="preserve"> alkuperäiskansojen oikeuksista annetun Yhdistyneiden kansakuntien julistuksen mukaisesti</w:t>
      </w:r>
      <w:r w:rsidRPr="00B87DD1">
        <w:rPr>
          <w:b/>
          <w:i/>
          <w:shd w:val="clear" w:color="auto" w:fill="FFFFFF"/>
        </w:rPr>
        <w:t xml:space="preserve">; </w:t>
      </w:r>
      <w:r w:rsidRPr="00B87DD1">
        <w:rPr>
          <w:b/>
          <w:i/>
        </w:rPr>
        <w:t>sen varmistamiseksi, että vuoteen 2030 mennessä vähintään 30 prosenttiin heikentyneistä maa</w:t>
      </w:r>
      <w:r w:rsidRPr="00B87DD1">
        <w:rPr>
          <w:b/>
          <w:i/>
        </w:rPr>
        <w:noBreakHyphen/>
        <w:t>, sisävesi- sekä meri- ja rannikkoekosysteemeistä kohdistuu tehokasta ennallistamista biologisen monimuotoisuuden ja ekosysteemitoimintojen ja -palvelujen, ekologisen eheyden ja kytkeytyneisyyden vahvistamiseksi;</w:t>
      </w:r>
      <w:r w:rsidRPr="00B87DD1">
        <w:rPr>
          <w:b/>
          <w:i/>
          <w:shd w:val="clear" w:color="auto" w:fill="FFFFFF"/>
        </w:rPr>
        <w:t xml:space="preserve"> ihmistä hyödyttävien luontovaikutusten ennallistamiseksi, säilyttämiseksi ja lisäämiseksi, mukaan lukien ekosysteemitoiminnot ja </w:t>
      </w:r>
      <w:r w:rsidRPr="00B87DD1">
        <w:rPr>
          <w:b/>
          <w:i/>
          <w:shd w:val="clear" w:color="auto" w:fill="FFFFFF"/>
        </w:rPr>
        <w:noBreakHyphen/>
        <w:t>palvelut, kuten ilman, veden ja ilmaston sääntely, maaperän terveys, pölytys ja tautiriskin vähentäminen sekä suojelu luonnonkatastrofeilta ja katastrofeilta, luontopohjaisten ratkaisujen ja/tai ekosysteemipohjaisten lähestymistapojen avulla ihmisten ja luonnon hyväksi. Maailmanlaajuinen biodiversiteettikehys</w:t>
      </w:r>
      <w:r w:rsidRPr="00B87DD1">
        <w:rPr>
          <w:b/>
          <w:i/>
        </w:rPr>
        <w:t xml:space="preserve"> </w:t>
      </w:r>
      <w:r w:rsidRPr="00B87DD1">
        <w:rPr>
          <w:b/>
          <w:i/>
          <w:shd w:val="clear" w:color="auto" w:fill="FFFFFF"/>
        </w:rPr>
        <w:t>mahdollistaa edistymisen kohti tulossuuntautuneiden tavoitteiden saavuttamista vuoteen 2050 mennessä</w:t>
      </w:r>
      <w:r w:rsidRPr="00B87DD1">
        <w:rPr>
          <w:b/>
          <w:i/>
        </w:rPr>
        <w:t>.</w:t>
      </w:r>
      <w:bookmarkEnd w:id="8"/>
    </w:p>
    <w:p w:rsidR="00FF7B51" w:rsidRPr="00B87DD1" w:rsidRDefault="00FF7B51" w:rsidP="00FF7B51">
      <w:pPr>
        <w:widowControl/>
        <w:suppressAutoHyphens/>
        <w:spacing w:before="120" w:after="120" w:line="360" w:lineRule="auto"/>
        <w:ind w:left="567" w:right="-1" w:hanging="567"/>
        <w:rPr>
          <w:rFonts w:eastAsia="Calibri"/>
          <w:szCs w:val="24"/>
        </w:rPr>
      </w:pPr>
      <w:r w:rsidRPr="00B87DD1">
        <w:t>(5)</w:t>
      </w:r>
      <w:r w:rsidRPr="00B87DD1">
        <w:tab/>
        <w:t>YK:n kestävän kehityksen tavoitteissa</w:t>
      </w:r>
      <w:r w:rsidRPr="00B87DD1">
        <w:rPr>
          <w:rFonts w:eastAsia="Calibri"/>
          <w:szCs w:val="24"/>
          <w:vertAlign w:val="superscript"/>
          <w:lang w:eastAsia="en-US"/>
        </w:rPr>
        <w:footnoteReference w:id="10"/>
      </w:r>
      <w:r w:rsidRPr="00B87DD1">
        <w:t xml:space="preserve"> ja erityisesti tavoitteissa 14.2, 15.1, 15.2 ja 15.3 viitataan tarpeeseen varmistaa maa- ja sisävesialueiden makean veden ekosysteemien ja niiden palvelujen, erityisesti metsien, kosteikkojen, vuoristojen ja kuivamaiden, suojelu, ennallistaminen ja kestävä käyttö.</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(6)</w:t>
      </w:r>
      <w:r w:rsidRPr="00B87DD1">
        <w:tab/>
        <w:t>Yhdistyneiden kansakuntien yleiskokous julisti 1 päivänä maaliskuuta 2019</w:t>
      </w:r>
      <w:r w:rsidRPr="00B87DD1">
        <w:rPr>
          <w:rFonts w:eastAsia="Calibri"/>
          <w:szCs w:val="24"/>
          <w:vertAlign w:val="superscript"/>
          <w:lang w:eastAsia="en-US"/>
        </w:rPr>
        <w:footnoteReference w:id="11"/>
      </w:r>
      <w:r w:rsidRPr="00B87DD1">
        <w:t xml:space="preserve"> antamassaan päätöslauselmassa vuosille 2021–2030 ekosysteemien ennallistamista koskevan YK:n vuosikymmenen, jonka tavoitteena on tukea ja laajentaa toimia ekosysteemien tilan heikkenemisen ehkäisemiseksi, pysäyttämiseksi ja kääntämiseksi maailmanlaajuisesti sekä lisätä tietoisuutta ekosysteemien ennallistamisen merkityksestä.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(7)</w:t>
      </w:r>
      <w:r w:rsidRPr="00B87DD1">
        <w:tab/>
        <w:t>Vuoteen 2030 ulottuvalla EU:n biodiversiteettistrategialla pyritään varmistamaan, että luonnon monimuotoisuus Euroopassa saadaan elpymään vuoteen 2030 mennessä ihmisten, maapallon, ilmaston ja talouden hyödyksi. Siinä esitetään kunnianhimoinen EU:n luonnon ennallistamissuunnitelma, johon sisältyy useita keskeisiä sitoumuksia, muun muassa sitoumus esittää ehdotus luonnon ennallistamista koskeviksi oikeudellisesti sitoviksi EU:n tavoitteiksi, joilla pyritään ennallistamaan heikentyneitä ekosysteemejä, erityisesti niitä, joilla on parhaat mahdollisuudet ottaa talteen ja varastoida hiiltä sekä ehkäistä ja vähentää luonnonkatastrofien vaikutuksia.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(8)</w:t>
      </w:r>
      <w:r w:rsidRPr="00B87DD1">
        <w:tab/>
        <w:t>Euroopan parlamentti suhtautui 9 päivänä kesäkuuta 2021 antamassaan päätöslauselmassa</w:t>
      </w:r>
      <w:r w:rsidRPr="00B87DD1">
        <w:rPr>
          <w:rFonts w:eastAsia="Calibri"/>
          <w:szCs w:val="24"/>
          <w:vertAlign w:val="superscript"/>
          <w:lang w:eastAsia="en-US"/>
        </w:rPr>
        <w:footnoteReference w:id="12"/>
      </w:r>
      <w:r w:rsidRPr="00B87DD1">
        <w:t xml:space="preserve"> erittäin myönteisesti sitoumukseen laatia lainsäädäntöehdotus, johon sisältyy sitovia luonnon ennallistamistavoitteita, ja katsoi lisäksi, että yleisen ennallistamistavoitteen lisäksi siihen olisi sisällytettävä ekosysteemi-, luontotyyppi- ja lajikohtaisia ennallistamistavoitteita, jotka kattavat metsät, niityt, kosteikot, turvesuot, pölyttäjät, vapaasti virtaavat joet, rannikkoalueet ja merelliset ekosysteemit.</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(9)</w:t>
      </w:r>
      <w:r w:rsidRPr="00B87DD1">
        <w:tab/>
        <w:t>Neuvosto katsoi 23 päivänä lokakuuta 2020</w:t>
      </w:r>
      <w:r w:rsidRPr="00B87DD1">
        <w:rPr>
          <w:rFonts w:eastAsia="Calibri"/>
          <w:szCs w:val="24"/>
          <w:vertAlign w:val="superscript"/>
          <w:lang w:eastAsia="en-US"/>
        </w:rPr>
        <w:footnoteReference w:id="13"/>
      </w:r>
      <w:r w:rsidRPr="00B87DD1">
        <w:t xml:space="preserve"> antamissaan päätelmissä, että on tärkeää estää luonnon monimuotoisuuden ja luonnon nykytilan heikentyminen entisestään, joskaan se ei riitä palauttamaan luontoa takaisin osaksi elämäämme. Neuvosto vahvisti, että luonnon ennallistamisessa tarvitaan enemmän kunnianhimoa, kuten esitetään uudessa EU:n luonnon ennallistamissuunnitelmassa, joka sisältää toimenpiteitä luonnon monimuotoisuuden suojelun ja ennallistamisen ulottamiseksi suojelualueiden ulkopuolelle. Neuvosto totesi myös odottavansa ehdotusta oikeudellisesti sitoviksi luonnon ennallistamistavoitteiksi vaikutustenarvioinnin pohjalta.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r w:rsidRPr="00B87DD1">
        <w:lastRenderedPageBreak/>
        <w:t>(10)</w:t>
      </w:r>
      <w:r w:rsidRPr="00B87DD1">
        <w:tab/>
        <w:t>Vuoteen 2030 ulottuvassa EU:n biodiversiteettistrategiassa vahvistetaan sitoumus, jonka mukaan oikeudellisen suojelun piirissä on vähintään 30 prosenttia unionin maa-alueista, sisävedet mukaan lukien, ja 30 prosenttia unionin merialueista, joista vähintään kolmasosan tulisi kuulua tiukan suojelun piiriin, mukaan lukien kaikki jäljellä olevat aarniometsät ja vanhat metsät. Komission yhteistyössä jäsenvaltioiden</w:t>
      </w:r>
      <w:r w:rsidRPr="00B87DD1">
        <w:rPr>
          <w:rFonts w:eastAsia="Calibri"/>
          <w:szCs w:val="24"/>
          <w:vertAlign w:val="superscript"/>
          <w:lang w:eastAsia="en-US"/>
        </w:rPr>
        <w:footnoteReference w:id="14"/>
      </w:r>
      <w:r w:rsidRPr="00B87DD1">
        <w:t xml:space="preserve"> ja sidosryhmien kanssa laatimissa uusien suojelualueiden nimeämistä koskevissa kriteereissä ja ohjeissa, jäljempänä ’kriteerit ja ohjeet’, korostetaan, että jos ennallistetut alueet täyttävät tai niiden odotetaan täyttävän suojelualueita koskevat kriteerit, kun ennallistamisesta saadaan sen täysi vaikutus ja sovelletaan suojelualueita koskevia kriteereitä, näiden ennallistettujen alueiden olisi myös edistettävä suojelualueita koskevien unionin tavoitteiden saavuttamista. Kriteereissä ja ohjeissa korostetaan myös, että suojelualueet voivat edistää merkittävästi vuoteen 2030 ulottuvan EU:n biodiversiteettistrategian ennallistamistavoitteita, koska niiden avulla luodaan edellytykset ennallistamistoimien onnistumiselle. Tämä koskee erityisesti alueita, jotka voivat elpyä luontaisesti, jos poistetaan osa ihmisen toiminnasta aiheutuvista paineista tai rajoitetaan niitä. Tällaisten alueiden, mukaan lukien meriympäristö, asettaminen tiukan suojelun piiriin, riittää joissakin tapauksissa siihen, että niiden luonnonarvot palautuvat. Lisäksi kriteereissä ja ohjeissa korostetaan, että kaikkien jäsenvaltioiden odotetaan edistävän vuoteen 2030 ulottuvassa unionin biodiversiteettistrategiassa esitettyjen suojelualueita koskevien unionin tavoitteiden saavuttamista oikeasuhteisesti kyseisillä alueilla oleviin luonnonarvoihin ja luonnon ennallistamiseen liittyviin mahdollisuuksiin nähden.</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r w:rsidRPr="00B87DD1">
        <w:lastRenderedPageBreak/>
        <w:t>(11)</w:t>
      </w:r>
      <w:r w:rsidRPr="00B87DD1">
        <w:tab/>
        <w:t>Vuoteen 2030 ulottuvassa EU:n biodiversiteettistrategiassa asetetaan tavoite varmistaa, että suojeltujen luontotyyppien ja lajien suojelun suuntaukset ja suojelun taso eivät heikkene ja että vähintään 30 prosenttia lajeista ja luontotyypeistä, joiden suojelun taso ei tällä hetkellä ole suotuisa, ovat kyseisessä luokassa tai osoittavat voimakasta myönteistä suuntausta kyseistä luokkaa kohti vuoteen 2030 mennessä. Komission yhteistyössä jäsenvaltioiden ja sidosryhmien kanssa laatimat ohjeet</w:t>
      </w:r>
      <w:r w:rsidRPr="00B87DD1">
        <w:rPr>
          <w:rFonts w:eastAsia="Calibri"/>
          <w:szCs w:val="24"/>
          <w:vertAlign w:val="superscript"/>
          <w:lang w:eastAsia="en-US"/>
        </w:rPr>
        <w:footnoteReference w:id="15"/>
      </w:r>
      <w:r w:rsidRPr="00B87DD1">
        <w:t>, joilla tuetaan näiden tavoitteiden saavuttamista, osoittavat, että useimpien kyseisten luontotyyppien ja lajien osalta tarvitaan todennäköisesti säilyttämis- ja ennallistamistoimia, joilla joko pysäytetään niiden nykyiset kielteiset suuntaukset vuoteen 2030 mennessä tai säilytetään nykyiset vakaat tai paranevat suuntaukset taikka estetään suotuisan suojelun tason omaavien luontotyyppien ja lajien heikkeneminen. Ohjeissa korostetaan lisäksi, että nämä ennallistamistoimet on ensisijaisesti suunniteltava, pantava täytäntöön ja koordinoitava kansallisella tai alueellisella tasolla ja että valittaessa ja priorisoitaessa vuoteen 2030 mennessä parannettavia lajeja ja luontotyyppejä on pyrittävä synergiaan muiden unionin ja kansainvälisten tavoitteiden, erityisesti ympäristö- tai ilmastopoliittisten tavoitteiden, kanssa.</w:t>
      </w:r>
    </w:p>
    <w:p w:rsidR="00FF7B51" w:rsidRPr="00B87DD1" w:rsidRDefault="00FF7B51" w:rsidP="00FF7B51">
      <w:pPr>
        <w:widowControl/>
        <w:suppressAutoHyphens/>
        <w:spacing w:before="120" w:after="120" w:line="360" w:lineRule="auto"/>
        <w:ind w:left="567" w:right="-1" w:hanging="567"/>
      </w:pPr>
      <w:r w:rsidRPr="00B87DD1">
        <w:t>(12)</w:t>
      </w:r>
      <w:r w:rsidRPr="00B87DD1">
        <w:tab/>
        <w:t>Komission vuonna 2020 julkaisemassa luonnon tilaa koskevassa kertomuksessa</w:t>
      </w:r>
      <w:r w:rsidRPr="00B87DD1">
        <w:rPr>
          <w:rFonts w:eastAsia="Calibri"/>
          <w:szCs w:val="24"/>
          <w:vertAlign w:val="superscript"/>
          <w:lang w:eastAsia="en-US"/>
        </w:rPr>
        <w:footnoteReference w:id="16"/>
      </w:r>
      <w:r w:rsidRPr="00B87DD1">
        <w:t xml:space="preserve"> todettiin, että unioni ei ole vielä onnistunut pysäyttämään sellaisten suojeltujen luontotyyppien ja lajien vähenemistä, joiden suojelu aiheuttaa huolta unionille. Väheneminen johtuu pääasiassa laajaperäisestä maataloudesta luopumisesta, hoitokäytäntöjen tehostamisesta, hydrologisten järjestelmien muutoksista, kaupungistumisesta ja ympäristön pilaantumisesta sekä kestämättömästä metsätaloudesta ja lajien hyödyntämisestä. Lisäksi haitalliset vieraslajit ja ilmastonmuutos ovat merkittäviä ja kasvavia uhkia unionin kotoperäiselle kasvistolle ja eläimistölle.</w:t>
      </w:r>
    </w:p>
    <w:p w:rsidR="00E73C1C" w:rsidRPr="00B87DD1" w:rsidRDefault="00E73C1C" w:rsidP="00FF7B51">
      <w:pPr>
        <w:widowControl/>
        <w:suppressAutoHyphens/>
        <w:spacing w:before="120" w:after="120" w:line="360" w:lineRule="auto"/>
        <w:ind w:left="567" w:right="-1" w:hanging="567"/>
        <w:rPr>
          <w:rFonts w:eastAsia="Calibri"/>
          <w:b/>
          <w:i/>
          <w:szCs w:val="24"/>
        </w:rPr>
      </w:pPr>
      <w:r w:rsidRPr="00B87DD1">
        <w:rPr>
          <w:b/>
          <w:i/>
        </w:rPr>
        <w:t>(12 a)</w:t>
      </w:r>
      <w:r w:rsidRPr="00B87DD1">
        <w:rPr>
          <w:b/>
          <w:i/>
        </w:rPr>
        <w:tab/>
        <w:t>Komission kauppapolitiikan katsauksessa – Avoin, kestävä ja määrätietoinen kauppapolitiikka</w:t>
      </w:r>
      <w:r w:rsidRPr="00B87DD1">
        <w:rPr>
          <w:rStyle w:val="FootnoteReference"/>
          <w:b/>
          <w:i/>
        </w:rPr>
        <w:footnoteReference w:id="17"/>
      </w:r>
      <w:r w:rsidRPr="00B87DD1">
        <w:rPr>
          <w:b/>
          <w:i/>
        </w:rPr>
        <w:t xml:space="preserve"> – todetaan, että Euroopan vihreän kehityksen ohjelma on EU:n uusi kasvustrategia, joka on kilpailukykymme liikkeellepaneva voima ja johtaa talouksiemme asteittaiseen mutta perusteelliseen muutokseen, jolla puolestaan on vahva vaikutus kaupan rakenteisiin, kun taas EU:n laaja kahdenvälisten kauppasopimusten verkosto on keskeinen </w:t>
      </w:r>
      <w:r w:rsidRPr="00B87DD1">
        <w:rPr>
          <w:b/>
          <w:i/>
        </w:rPr>
        <w:lastRenderedPageBreak/>
        <w:t>foorumi ilmastonmuutokseen ja biologiseen monimuotoisuuteen liittyvien kumppaniemme kanssa, ja edellyttää siksi peilitoimenpiteiden käyttöönottoa WTO:n sääntöjen mukaisesti. [suullinen tark.]</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(13)</w:t>
      </w:r>
      <w:r w:rsidRPr="00B87DD1">
        <w:tab/>
        <w:t>On aiheellista asettaa ekosysteemien ennallistamiselle yleinen tavoite, jolla edistetään taloudellista ja yhteiskunnallista muutosta, laadukkaiden työpaikkojen luomista ja kestävää kasvua. Luonnoltaan monimuotoiset ekosysteemit, kuten kosteikkojen, makeiden vesien, metsien, maatalouden ja harvan kasvillisuuden, merien, rannikkojen ja kaupunkien ekosysteemit tuottavat, jos niiden tila on hyvä, erilaisia keskeisiä ekosysteemipalveluja, ja heikentyneiden ekosysteemien ennallistamisesta hyvään tilaan kaikilla maa- ja merialueilla saadaan hyötyjä, jotka ovat paljon suuremmat kuin ennallistamisen kustannukset. Näistä palveluista on monenlaisia sosioekonomisia hyötyjä, jotka riippuvat taloudellisista, sosiaalisista, kulttuurisista, alueellisista ja paikallisista erityispiirteistä.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(14)</w:t>
      </w:r>
      <w:r w:rsidRPr="00B87DD1">
        <w:tab/>
        <w:t>Yhdistyneiden kansakuntien tilastotoimikunta hyväksyi maaliskuussa 2021 pidetyssä 52. istunnossaan YK:n ympäristötilinpitojärjestelmään sisältyvän ekosysteemitilinpidon (SEEA EA)</w:t>
      </w:r>
      <w:r w:rsidRPr="00B87DD1">
        <w:rPr>
          <w:rFonts w:eastAsia="Calibri"/>
          <w:szCs w:val="24"/>
          <w:vertAlign w:val="superscript"/>
          <w:lang w:eastAsia="en-US"/>
        </w:rPr>
        <w:footnoteReference w:id="18"/>
      </w:r>
      <w:r w:rsidRPr="00B87DD1">
        <w:t xml:space="preserve">. SEEA EA -järjestelmä muodostaa integroidun ja kattavan tilastokehyksen, jonka avulla voidaan organisoida luontotyyppejä ja maisemia koskevia tietoja, mitata ekosysteemien laajuutta, tilaa ja palveluja, seurata ekosysteemivarojen muutoksia ja yhdistää nämä tiedot taloudelliseen ja muuhun ihmisten toimintaan.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(15)</w:t>
      </w:r>
      <w:r w:rsidRPr="00B87DD1">
        <w:tab/>
        <w:t>Luonnoltaan monimuotoisten ekosysteemien varmistaminen ja ilmastonmuutoksen torjunta liittyvät kiinteästi toisiinsa. Luonto ja luontoon perustuvat ratkaisut, kuten luonnolliset hiilivarannot ja -nielut, ovat olennaisen tärkeitä ilmastokriisin torjunnassa. Samaan aikaan ilmastokriisi pahentaa jo nyt maa- ja meriekosysteemien muutosta, ja unionin on valmistauduttava siihen, että ilmastonmuutoksen vaikutukset vain voimistuvat ja että niitä esiintyy yhä tiheämmin ja suuremmassa mittakaavassa. Hallitustenvälisen ilmastonmuutospaneelin (IPCC)</w:t>
      </w:r>
      <w:r w:rsidRPr="00B87DD1">
        <w:rPr>
          <w:rFonts w:eastAsia="Calibri"/>
          <w:szCs w:val="24"/>
          <w:vertAlign w:val="superscript"/>
          <w:lang w:eastAsia="en-US"/>
        </w:rPr>
        <w:footnoteReference w:id="19"/>
      </w:r>
      <w:r w:rsidRPr="00B87DD1">
        <w:t xml:space="preserve"> erityisraportissa ilmaston 1,5 celsiusasteen lämpenemisen vaikutuksista todettiin, että jotkin vaikutukset voivat olla pitkäaikaisia tai peruuttamattomia. IPCC:n kuudennessa arviointiraportissa</w:t>
      </w:r>
      <w:r w:rsidRPr="00B87DD1">
        <w:rPr>
          <w:rFonts w:eastAsia="Calibri"/>
          <w:szCs w:val="24"/>
          <w:vertAlign w:val="superscript"/>
          <w:lang w:eastAsia="en-US"/>
        </w:rPr>
        <w:footnoteReference w:id="20"/>
      </w:r>
      <w:r w:rsidRPr="00B87DD1">
        <w:t xml:space="preserve"> todetaan, että ekosysteemien ennallistaminen on </w:t>
      </w:r>
      <w:r w:rsidRPr="00B87DD1">
        <w:lastRenderedPageBreak/>
        <w:t>olennaisen tärkeää, jotta voidaan torjua ilmastonmuutosta ja vähentää elintarviketurvaan kohdistuvia riskejä. Biologista monimuotoisuutta ja ekosysteemipalveluja käsittelevä hallitustenvälinen tiede- ja politiikkafoorumi (IPBES) katsoi biodiversiteetistä ja ekosysteemipalveluista vuonna 2019 julkaisemassaan maailmanlaajuisessa arviointiraportissaan</w:t>
      </w:r>
      <w:r w:rsidRPr="00B87DD1">
        <w:rPr>
          <w:rFonts w:eastAsia="Calibri"/>
          <w:szCs w:val="24"/>
          <w:vertAlign w:val="superscript"/>
          <w:lang w:eastAsia="en-US"/>
        </w:rPr>
        <w:footnoteReference w:id="21"/>
      </w:r>
      <w:r w:rsidRPr="00B87DD1">
        <w:t>, että ilmastonmuutos on keskeinen tekijä luonnon muuttumisessa, ja odottavissa on, että sen vaikutukset lisääntyvät tulevina vuosikymmeninä ja joissakin tapauksissa ylittävät muiden ekosysteemin muutosten syiden, kuten maan ja meren käytön muuttumisen, vaikutuksen.</w:t>
      </w:r>
    </w:p>
    <w:p w:rsidR="00E73C1C" w:rsidRPr="00B87DD1" w:rsidRDefault="00E73C1C">
      <w:pPr>
        <w:widowControl/>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(16)</w:t>
      </w:r>
      <w:r w:rsidRPr="00B87DD1">
        <w:tab/>
        <w:t>Euroopan parlamentin ja neuvoston asetuksessa (EU) 2021/1119</w:t>
      </w:r>
      <w:r w:rsidRPr="00B87DD1">
        <w:rPr>
          <w:rFonts w:eastAsia="Calibri"/>
          <w:szCs w:val="24"/>
          <w:vertAlign w:val="superscript"/>
          <w:lang w:eastAsia="en-US"/>
        </w:rPr>
        <w:footnoteReference w:id="22"/>
      </w:r>
      <w:r w:rsidRPr="00B87DD1">
        <w:t xml:space="preserve"> asetetaan sitova tavoite ilmastoneutraaliudelle unionissa vuoteen 2050 mennessä ja sen jälkeisille negatiivisille päästöille sekä asetetaan etusijalle nopeat ja ennakoitavissa olevat päästövähennykset ja lisätään samalla luonnollisten nielujen aikaansaamia poistumia. Ekosysteemien ennallistaminen voi edistää merkittävästi luonnollisten nielujen ylläpitämistä, hoitoa ja lisäämistä sekä luonnon monimuotoisuuden lisäämistä samalla kun torjutaan ilmastonmuutosta. Asetuksessa (EU) 2021/1119 edellytetään myös, että asiaankuuluvat unionin toimielimet ja jäsenvaltiot varmistavat jatkuvan edistymisen toimissa, joilla parannetaan sopeutumiskykyä, vahvistetaan ilmastokestävyyttä ja vähennetään haavoittuvuutta ilmastonmuutokselle. Siinä edellytetään myös, että jäsenvaltiot sisällyttävät sopeutumisen kaikkiin politiikanaloihin ja edistävät luontopohjaisia ratkaisuja</w:t>
      </w:r>
      <w:r w:rsidRPr="00B87DD1">
        <w:rPr>
          <w:rFonts w:eastAsia="Calibri"/>
          <w:szCs w:val="24"/>
          <w:vertAlign w:val="superscript"/>
          <w:lang w:eastAsia="en-US"/>
        </w:rPr>
        <w:footnoteReference w:id="23"/>
      </w:r>
      <w:r w:rsidRPr="00B87DD1">
        <w:t xml:space="preserve"> ja ekosysteemipohjaista sopeutumista.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(17)</w:t>
      </w:r>
      <w:r w:rsidRPr="00B87DD1">
        <w:tab/>
        <w:t>Komission vuonna 2021 antamassa tiedonannossa ilmastonmuutokseen sopeutumisesta</w:t>
      </w:r>
      <w:r w:rsidRPr="00B87DD1">
        <w:rPr>
          <w:rFonts w:eastAsia="Calibri"/>
          <w:szCs w:val="24"/>
          <w:vertAlign w:val="superscript"/>
          <w:lang w:eastAsia="en-US"/>
        </w:rPr>
        <w:footnoteReference w:id="24"/>
      </w:r>
      <w:r w:rsidRPr="00B87DD1">
        <w:t xml:space="preserve"> korostetaan tarvetta edistää luontoon perustuvia ratkaisuja ja todetaan, että kustannustehokas sopeutuminen ilmastonmuutokseen voidaan saavuttaa suojelemalla ja ennallistamalla kosteikkoja ja turvemaita sekä rannikko- ja meriekosysteemejä, kehittämällä kaupunkien viheralueita ja asentamalla viherkattoja ja -seiniä sekä edistämällä ja hoitamalla kestävällä tavalla metsiä ja viljelymaita. Luonnoltaan monimuotoisten ekosysteemien määrän lisääminen parantaa kykyä sietää ilmastonmuutosta ja tarjoaa tehokkaampia tapoja vähentää katastrofeja ja ehkäistä niitä.</w:t>
      </w:r>
    </w:p>
    <w:p w:rsidR="00E73C1C" w:rsidRPr="00B87DD1" w:rsidRDefault="00E73C1C">
      <w:pPr>
        <w:widowControl/>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(18)</w:t>
      </w:r>
      <w:r w:rsidRPr="00B87DD1">
        <w:tab/>
        <w:t>Unionin ilmastopolitiikkaa tarkistetaan parhaillaan, jotta voidaan noudattaa asetuksessa (EU) 2021/1119 ehdotettua kehityspolkua vähentää nettopäästöjä vähintään 55 prosenttia vuoteen 2030 mennessä vuoden 1990 tasoon verrattuna. Erityisesti ehdotuksella Euroopan parlamentin ja neuvoston asetukseksi asetusten (EU) 2018/841 ja (EU) 2018/1999 muuttamisesta</w:t>
      </w:r>
      <w:r w:rsidRPr="00B87DD1">
        <w:rPr>
          <w:rFonts w:eastAsia="Calibri"/>
          <w:szCs w:val="24"/>
          <w:vertAlign w:val="superscript"/>
          <w:lang w:eastAsia="en-US"/>
        </w:rPr>
        <w:footnoteReference w:id="25"/>
      </w:r>
      <w:r w:rsidRPr="00B87DD1">
        <w:t xml:space="preserve"> pyritään vahvistamaan maasektorin panosta vuoden 2030 yleisen ilmastotavoitteen saavuttamiseen ja yhdenmukaistamaan tavoitteet maankäytön, maankäytön muutoksen ja metsätalouden, jäljempänä ’LULUCF’, päästöjen ja poistumien tilinpidosta asiaan liittyvien luonnon monimuotoisuutta koskevien poliittisten aloitteiden kanssa. Ehdotuksessa korostetaan luontoon perustuvien hiilipoistumien suojelua ja tehostamista, ekosysteemien ilmastonmuutoksen sietokyvyn parantamista, huonontuneen maan ja ekosysteemien ennallistamista sekä turvemaiden uudelleenvesittämistä. Lisäksi sillä pyritään parantamaan suojellun ja ennallistettavan maan kasvihuonekaasupäästöjen ja -poistumien seurantaa ja niitä koskevaa raportointia. Tässä yhteydessä on tärkeää, että ekosysteemit kaikissa maaluokissa, mukaan lukien metsät, niityt, viljelymaat ja kosteikot, ovat hyvässä tilassa, jotta ne pystyvät tehokkaasti ottamaan talteen ja varastoimaan hiiltä.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(19)</w:t>
      </w:r>
      <w:r w:rsidRPr="00B87DD1">
        <w:tab/>
        <w:t>Geopoliittinen kehitys on entisestään korostanut tarvetta turvata elintarvikejärjestelmien häiriönsietokyky</w:t>
      </w:r>
      <w:r w:rsidRPr="00B87DD1">
        <w:rPr>
          <w:rFonts w:eastAsia="Calibri"/>
          <w:szCs w:val="24"/>
          <w:vertAlign w:val="superscript"/>
          <w:lang w:eastAsia="en-US"/>
        </w:rPr>
        <w:footnoteReference w:id="26"/>
      </w:r>
      <w:r w:rsidRPr="00B87DD1">
        <w:t>.</w:t>
      </w:r>
      <w:r w:rsidRPr="00B87DD1">
        <w:rPr>
          <w:vertAlign w:val="superscript"/>
        </w:rPr>
        <w:t xml:space="preserve"> </w:t>
      </w:r>
      <w:r w:rsidRPr="00B87DD1">
        <w:t>On näyttöä siitä, että maatalouden ekosysteemien ennallistamisella on myönteisiä vaikutuksia elintarvikkeisiin liittyvään tuottavuuteen pitkällä aikavälillä ja että luonnon ennallistaminen toimii vakuutuksena, jolla varmistetaan EU:n pitkän aikavälin kestävyys ja häiriönsietokyky.</w:t>
      </w:r>
    </w:p>
    <w:p w:rsidR="00FF7B51" w:rsidRPr="00B87DD1" w:rsidRDefault="00FF7B51" w:rsidP="00FF7B51">
      <w:pPr>
        <w:widowControl/>
        <w:suppressAutoHyphens/>
        <w:spacing w:before="120" w:after="120" w:line="360" w:lineRule="auto"/>
        <w:ind w:left="567" w:right="-1" w:hanging="567"/>
        <w:rPr>
          <w:rFonts w:eastAsia="Calibri"/>
          <w:szCs w:val="24"/>
          <w:shd w:val="clear" w:color="auto" w:fill="FFFFFF"/>
        </w:rPr>
      </w:pPr>
      <w:r w:rsidRPr="00B87DD1">
        <w:t>(20)</w:t>
      </w:r>
      <w:r w:rsidRPr="00B87DD1">
        <w:tab/>
      </w:r>
      <w:r w:rsidRPr="00B87DD1">
        <w:rPr>
          <w:shd w:val="clear" w:color="auto" w:fill="FFFFFF"/>
        </w:rPr>
        <w:t>Euroopan tulevaisuuskonferenssin</w:t>
      </w:r>
      <w:r w:rsidRPr="00B87DD1">
        <w:t xml:space="preserve"> loppuraportissa kansalaiset kehottavat unionia suojelemaan ja ennallistamaan luonnon monimuotoisuutta, maisemaa ja valtameriä, estämään pilaantumista ja edistämään tietämystä, tietoisuutta, koulutusta ja vuoropuhelua ympäristöstä, ilmastonmuutoksesta, energiankäytöstä ja kestävyydestä</w:t>
      </w:r>
      <w:r w:rsidRPr="00B87DD1">
        <w:rPr>
          <w:rFonts w:eastAsia="Calibri"/>
          <w:szCs w:val="24"/>
          <w:vertAlign w:val="superscript"/>
          <w:lang w:eastAsia="en-US"/>
        </w:rPr>
        <w:footnoteReference w:id="27"/>
      </w:r>
      <w:r w:rsidRPr="00B87DD1">
        <w:rPr>
          <w:shd w:val="clear" w:color="auto" w:fill="FFFFFF"/>
        </w:rPr>
        <w:t>.</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(21)</w:t>
      </w:r>
      <w:r w:rsidRPr="00B87DD1">
        <w:tab/>
        <w:t>Ekosysteemien ennallistaminen yhdessä luonnonvaraisten eläinten ja kasvien kaupan ja kulutuksen vähentämiseen tähtäävien toimien kanssa auttaa myös ehkäisemään ja parantamaan kykyä sietää mahdollisia tulevia tartuntatauteja, joilla on zoonoottista potentiaalia, ja siten pienentämään taudinpurkausten ja pandemioiden riskejä sekä tukemaan EU:n ja maailmanlaajuisia pyrkimyksiä soveltaa ”yhteinen terveys” -lähestymistapaa, jossa tunnustetaan ihmisten terveyden, eläinten terveyden ja terveen selviytymiskykyisen luonnon välinen luontainen yhteys.</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(22)</w:t>
      </w:r>
      <w:r w:rsidRPr="00B87DD1">
        <w:tab/>
        <w:t>Maaperä on olennainen osa maaekosysteemejä. Komission vuonna 2021 antamassa tiedonannossa ”EU:n maaperästrategia vuoteen 2030”</w:t>
      </w:r>
      <w:r w:rsidRPr="00B87DD1">
        <w:rPr>
          <w:rFonts w:eastAsia="Calibri"/>
          <w:szCs w:val="24"/>
          <w:vertAlign w:val="superscript"/>
          <w:lang w:eastAsia="en-US"/>
        </w:rPr>
        <w:footnoteReference w:id="28"/>
      </w:r>
      <w:r w:rsidRPr="00B87DD1">
        <w:t xml:space="preserve"> todetaan tarve ennallistaa huonontunut maaperä ja parantaa maaperän luonnon monimuotoisuutta.</w:t>
      </w:r>
      <w:r w:rsidRPr="00B87DD1">
        <w:rPr>
          <w:b/>
          <w:i/>
        </w:rPr>
        <w:t xml:space="preserve"> Maailmanlaajuinen mekanismi ja Yhdistyneiden Kansakuntien yleissopimuksen aavikoitumisen estämiseksi (UNCCD) sihteeristö ovat perustaneet maaperän tuottokyvyn heikentämisen nollatasoa koskevan tavoiteohjelman, jolla autetaan maita saavuttamaan maaperän tuottokyvyn heikentämisen nollataso vuoteen 2030 mennessä.</w:t>
      </w:r>
    </w:p>
    <w:p w:rsidR="00FF7B51" w:rsidRPr="00B87DD1" w:rsidRDefault="00FF7B51" w:rsidP="00FF7B51">
      <w:pPr>
        <w:widowControl/>
        <w:suppressAutoHyphens/>
        <w:spacing w:before="120" w:after="120" w:line="360" w:lineRule="auto"/>
        <w:ind w:left="567" w:right="-1" w:hanging="567"/>
        <w:rPr>
          <w:rFonts w:eastAsia="Calibri"/>
          <w:b/>
          <w:szCs w:val="24"/>
          <w:u w:val="single"/>
        </w:rPr>
      </w:pPr>
      <w:r w:rsidRPr="00B87DD1">
        <w:t>(23)</w:t>
      </w:r>
      <w:r w:rsidRPr="00B87DD1">
        <w:tab/>
        <w:t>Neuvoston direktiivillä 92/43/ETY</w:t>
      </w:r>
      <w:r w:rsidRPr="00B87DD1">
        <w:rPr>
          <w:rFonts w:eastAsia="Calibri"/>
          <w:szCs w:val="24"/>
          <w:vertAlign w:val="superscript"/>
          <w:lang w:eastAsia="en-US"/>
        </w:rPr>
        <w:footnoteReference w:id="29"/>
      </w:r>
      <w:r w:rsidRPr="00B87DD1">
        <w:t xml:space="preserve"> ja Euroopan parlamentin ja neuvoston direktiivillä 2009/147/EY</w:t>
      </w:r>
      <w:r w:rsidRPr="00B87DD1">
        <w:rPr>
          <w:rFonts w:eastAsia="Calibri"/>
          <w:szCs w:val="24"/>
          <w:vertAlign w:val="superscript"/>
          <w:lang w:eastAsia="en-US"/>
        </w:rPr>
        <w:footnoteReference w:id="30"/>
      </w:r>
      <w:r w:rsidRPr="00B87DD1">
        <w:t xml:space="preserve"> pyritään varmistamaan Euroopan arvokkaimpien ja uhanalaisimpien lajien ja luontotyyppien sekä ekosysteemien, joihin ne kuuluvat, pitkäaikainen suojelu, säilyttäminen ja eloonjääminen. Natura 2000 -verkosto perustettiin vuonna 1992. Kyseessä on maailman suurin koordinoitu suojelualueiden verkosto, ja se on keskeinen väline näiden kahden direktiivin tavoitteiden toteuttamisessa. </w:t>
      </w:r>
      <w:r w:rsidRPr="00B87DD1">
        <w:rPr>
          <w:b/>
          <w:i/>
        </w:rPr>
        <w:t>Kuten mainittuja direktiivejä, tätä asetusta olisi sovellettava jäsenvaltioiden Eurooppaan kuuluvaan alueeseen, johon sovelletaan perussopimuksia, jolloin se on yhdenmukainen myös direktiivin 2008/56/EY kanssa.</w:t>
      </w:r>
    </w:p>
    <w:p w:rsidR="00E73C1C" w:rsidRPr="00B87DD1" w:rsidRDefault="00E73C1C">
      <w:pPr>
        <w:widowControl/>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(24)</w:t>
      </w:r>
      <w:r w:rsidRPr="00B87DD1">
        <w:tab/>
        <w:t>On jo luotu puitteet ja ohjeet</w:t>
      </w:r>
      <w:r w:rsidRPr="00B87DD1">
        <w:rPr>
          <w:szCs w:val="24"/>
          <w:vertAlign w:val="superscript"/>
          <w:lang w:eastAsia="en-US"/>
        </w:rPr>
        <w:footnoteReference w:id="31"/>
      </w:r>
      <w:r w:rsidRPr="00B87DD1">
        <w:t xml:space="preserve"> direktiivin 92/43/ETY nojalla suojeltujen luontotyyppien hyvän tilan määrittämiseksi ja kyseisen direktiivin soveltamisalaan kuuluvien lajien elinympäristöjen riittävän laadun ja määrän määrittämiseksi. Kyseisten luontotyyppien ja lajien elinympäristöjen ennallistamistavoitteet voidaan asettaa näiden puitteiden ja ohjeiden perusteella. Tällainen ennallistaminen ei kuitenkaan riitä kääntämään luonnon monimuotoisuuden köyhtymissuuntausta ja saattamaan ennalleen kaikkia ekosysteemejä. Sen vuoksi olisi asetettava erityisiä indikaattoreita koskevia lisävelvoitteita luonnon monimuotoisuuden vahvistamiseksi laajemmissa ekosysteemeissä.</w:t>
      </w:r>
    </w:p>
    <w:p w:rsidR="00FF7B51" w:rsidRPr="00B87DD1" w:rsidRDefault="00FF7B51" w:rsidP="00FF7B51">
      <w:pPr>
        <w:widowControl/>
        <w:suppressAutoHyphens/>
        <w:spacing w:before="120" w:after="120" w:line="360" w:lineRule="auto"/>
        <w:ind w:left="567" w:right="-1" w:hanging="567"/>
        <w:rPr>
          <w:szCs w:val="24"/>
        </w:rPr>
      </w:pPr>
      <w:r w:rsidRPr="00B87DD1">
        <w:t>(25)</w:t>
      </w:r>
      <w:r w:rsidRPr="00B87DD1">
        <w:tab/>
        <w:t xml:space="preserve">Direktiivien 92/43/ETY ja 2009/147/EY pohjalta ja kyseisissä direktiiveissä asetettujen tavoitteiden saavuttamisen tukemiseksi jäsenvaltioiden olisi otettava käyttöön ennallistamistoimenpiteitä, joilla varmistetaan suojeltujen luontotyyppien ja lajien, mukaan lukien luonnonvaraiset linnut, elpyminen kaikilla unionin alueilla, myös Natura 2000 </w:t>
      </w:r>
      <w:r w:rsidRPr="00B87DD1">
        <w:noBreakHyphen/>
        <w:t xml:space="preserve">verkostoon kuulumattomilla alueilla.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(26)</w:t>
      </w:r>
      <w:r w:rsidRPr="00B87DD1">
        <w:tab/>
        <w:t>Direktiivin 92/43/ETY tavoitteena on varmistaa unionin tärkeänä pitämien luontotyyppien ja luonnonvaraisen eläin- ja kasvilajien suotuisan suojelun tason säilyttäminen tai sen ennalleen saattaminen. Siinä ei kuitenkaan aseteta määräaikaa tämän tavoitteen saavuttamiselle. Direktiivissä 2009/147/EY ei myöskään aseteta määräaikaa lintukantojen elpymiselle unionissa.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(27)</w:t>
      </w:r>
      <w:r w:rsidRPr="00B87DD1">
        <w:tab/>
        <w:t>Sen vuoksi olisi vahvistettava määräajat ennallistamistoimenpiteiden käyttöönotolle Natura 2000 -alueilla ja niiden ulkopuolella, jotta voidaan asteittain parantaa suojeltujen luontotyyppien tilaa kaikkialla unionissa ja palauttaa luontotyyppejä, kunnes saavutetaan tarvittava suotuisa viiteala näiden luontotyyppien suotuisan suojelun tason saavuttamiseksi unionissa. Jotta jäsenvaltioille annettaisiin tarvittavaa joustonvaraa toteuttaa laajamittaisia ennallistamistoimia, on aiheellista ryhmitellä luontotyypit sen ekosysteemin mukaan, johon ne kuuluvat, ja asettaa aikasidonnaiset ja määrälliset aluekohtaiset tavoitteet luontotyyppiryhmille. Näin jäsenvaltiot voivat valita, mitkä luontotyypit ryhmän sisällä ennallistetaan ensimmäiseksi.</w:t>
      </w:r>
    </w:p>
    <w:p w:rsidR="00FF7B51" w:rsidRPr="00B87DD1" w:rsidRDefault="00FF7B51" w:rsidP="00FF7B51">
      <w:pPr>
        <w:widowControl/>
        <w:spacing w:after="200" w:line="276" w:lineRule="auto"/>
        <w:rPr>
          <w:rFonts w:eastAsia="Calibri"/>
          <w:szCs w:val="24"/>
        </w:rPr>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(28)</w:t>
      </w:r>
      <w:r w:rsidRPr="00B87DD1">
        <w:tab/>
        <w:t>Samanlaiset vaatimukset olisi vahvistettava direktiivin 92/43/ETY soveltamisalaan kuuluvien lajien elinympäristöille ja direktiivin 2009/147/EY soveltamisalaan kuuluville luonnonvaraisten lintujen elinympäristöille ottaen erityisesti huomioon näiden molempien elinympäristöjen kytkeytyneisyys, jotta lajien populaatiot voivat menestyä.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(29)</w:t>
      </w:r>
      <w:r w:rsidRPr="00B87DD1">
        <w:tab/>
        <w:t>On tarpeen, että luontotyyppien ennallistamistoimenpiteet ovat riittävät ja soveltuvat hyvän tilan ja suotuisan viitealan saavuttamiseen mahdollisimman nopeasti, jotta niiden suotuisa suojelun taso voidaan saavuttaa. On tärkeää, että ennallistamistoimenpiteet ovat niitä, jotka ovat tarpeen aikasidonnaisten ja määrällisten aluekohtaisten tavoitteiden saavuttamiseksi. On myös tarpeen, että lajien elinympäristöjen ennallistamistoimenpiteet ovat riittävät ja sopivat niiden riittävän laadun ja määrän saavuttamiseksi mahdollisimman nopeasti, jotta saavutetaan lajien suotuisa suojelun taso.</w:t>
      </w:r>
    </w:p>
    <w:p w:rsidR="00FF7B51" w:rsidRPr="00B87DD1" w:rsidRDefault="00E21FBD" w:rsidP="00FF7B51">
      <w:pPr>
        <w:widowControl/>
        <w:suppressAutoHyphens/>
        <w:spacing w:before="120" w:after="120" w:line="360" w:lineRule="auto"/>
        <w:ind w:left="567" w:right="-1" w:hanging="567"/>
        <w:rPr>
          <w:rFonts w:eastAsia="Calibri"/>
          <w:b/>
          <w:i/>
          <w:szCs w:val="24"/>
        </w:rPr>
      </w:pPr>
      <w:bookmarkStart w:id="9" w:name="_Hlk136798909"/>
      <w:r w:rsidRPr="00B87DD1">
        <w:rPr>
          <w:b/>
          <w:i/>
        </w:rPr>
        <w:t>(</w:t>
      </w:r>
      <w:r w:rsidR="00FF7B51" w:rsidRPr="00B87DD1">
        <w:rPr>
          <w:b/>
          <w:i/>
        </w:rPr>
        <w:t>29 a)</w:t>
      </w:r>
      <w:r w:rsidR="00FF7B51" w:rsidRPr="00B87DD1">
        <w:rPr>
          <w:b/>
          <w:i/>
        </w:rPr>
        <w:tab/>
        <w:t>Tämän asetuksen mukaiset ennallistamistoimenpiteet tiettyjen liitteessä I lueteltujen luontotyyppien, kuten niittyjen, nummien tai kosteikkojen, ennallistamiseksi tai säilyttämiseksi voivat joissakin tapauksissa edellyttää metsän poistamista, jotta voidaan palata suojeluun perustuvaan hallinnointiin, joka saattaa sisältää niittämisen tai laiduntamisen kaltaisia toimia. Luonnon ennallistaminen ja metsäkadon pysäyttäminen ovat molemmat tärkeitä ja toisiaan vahvistavia ympäristötavoitteita. Kuten tiettyjen metsäkatoon ja metsien tilan heikkenemiseen liittyvien hyödykkeiden ja tuotteiden asettamisesta saataville unionin markkinoilla ja viennistä unionista sekä asetuksen (EU) N:o 995/2010 kumoamisesta annetun Euroopan parlamentin ja neuvoston asetuksen (EU) [XXXX/2023] johdanto-osan 36 kappaleessa mainitaan, komissio laatii ohjeet mainitun asetuksen 2 artiklassa olevan ’maatalouskäytön’ määritelmän tulkinnan selkeyttämiseksi erityisesti niiltä osin kuin on kyse metsän muuntamisesta maaksi, jonka käyttötarkoitus ei ole maatalouskäyttö.</w:t>
      </w:r>
    </w:p>
    <w:bookmarkEnd w:id="9"/>
    <w:p w:rsidR="00FF7B51" w:rsidRPr="00B87DD1" w:rsidRDefault="00FF7B51" w:rsidP="00FF7B51">
      <w:pPr>
        <w:widowControl/>
        <w:suppressAutoHyphens/>
        <w:spacing w:before="120" w:after="120" w:line="360" w:lineRule="auto"/>
        <w:ind w:left="567" w:right="-1" w:hanging="567"/>
        <w:rPr>
          <w:rFonts w:eastAsia="Calibri"/>
          <w:szCs w:val="24"/>
        </w:rPr>
      </w:pPr>
      <w:r w:rsidRPr="00B87DD1">
        <w:t>(30)</w:t>
      </w:r>
      <w:r w:rsidRPr="00B87DD1">
        <w:tab/>
        <w:t xml:space="preserve">On tärkeää varmistaa, että tämän asetuksen nojalla käyttöön otetuilla ennallistamistoimenpiteillä saadaan aikaan konkreettisia ja mitattavissa olevia parannuksia ekosysteemien tilaan sekä yksittäisten ennallistamisalueiden </w:t>
      </w:r>
      <w:proofErr w:type="gramStart"/>
      <w:r w:rsidRPr="00B87DD1">
        <w:t>tasolla</w:t>
      </w:r>
      <w:proofErr w:type="gramEnd"/>
      <w:r w:rsidRPr="00B87DD1">
        <w:t xml:space="preserve"> että kansallisella ja unionin tasolla.</w:t>
      </w:r>
    </w:p>
    <w:p w:rsidR="00FF7B51" w:rsidRPr="00B87DD1" w:rsidRDefault="00FF7B51" w:rsidP="00FF7B51">
      <w:pPr>
        <w:widowControl/>
        <w:spacing w:after="200" w:line="276" w:lineRule="auto"/>
        <w:rPr>
          <w:szCs w:val="24"/>
        </w:rPr>
      </w:pPr>
      <w:r w:rsidRPr="00B87DD1">
        <w:br w:type="page"/>
      </w:r>
    </w:p>
    <w:p w:rsidR="00FF7B51" w:rsidRPr="00B87DD1" w:rsidRDefault="00FF7B51" w:rsidP="00FF7B51">
      <w:pPr>
        <w:widowControl/>
        <w:suppressAutoHyphens/>
        <w:spacing w:before="120" w:after="120" w:line="360" w:lineRule="auto"/>
        <w:ind w:left="567" w:right="-1" w:hanging="567"/>
        <w:rPr>
          <w:szCs w:val="24"/>
        </w:rPr>
      </w:pPr>
      <w:r w:rsidRPr="00B87DD1">
        <w:lastRenderedPageBreak/>
        <w:t>(31)</w:t>
      </w:r>
      <w:r w:rsidRPr="00B87DD1">
        <w:tab/>
        <w:t>Jotta voidaan varmistaa, että ennallistamistoimenpiteet ovat toimivia ja että niiden tuloksia voidaan ajan myötä mitata, on olennaisen tärkeää, että tällaisten ennallistamistoimenpiteiden kohteena olevat alueet osoittavat jatkuvasti merkkejä paranemisesta, kunnes hyvä tila saavutetaan, jotta voidaan parantaa direktiivin 92/43/ETY liitteen I soveltamisalaan kuuluvien luontotyyppien tilaa, saattaa ennalleen kyseiset luontotyypit ja parantaa niiden kytkeytyneisyyttä.</w:t>
      </w:r>
    </w:p>
    <w:p w:rsidR="00FF7B51" w:rsidRPr="00B87DD1" w:rsidRDefault="00FF7B51" w:rsidP="00FF7B51">
      <w:pPr>
        <w:widowControl/>
        <w:suppressAutoHyphens/>
        <w:spacing w:before="120" w:after="120" w:line="360" w:lineRule="auto"/>
        <w:ind w:left="567" w:right="-1" w:hanging="567"/>
        <w:rPr>
          <w:szCs w:val="24"/>
        </w:rPr>
      </w:pPr>
      <w:r w:rsidRPr="00B87DD1">
        <w:t>(32)</w:t>
      </w:r>
      <w:r w:rsidRPr="00B87DD1">
        <w:tab/>
        <w:t>On myös olennaisen tärkeää, että alueet, joihin sovelletaan ennallistamistoimenpiteitä direktiivin 92/43/ETY soveltamisalaan kuuluvien lajien elinympäristöjen laadun ja määrän parantamiseksi, sekä direktiivin 2009/147/EY soveltamisalaan kuuluvien luonnonvaraisten lintujen elinympäristöt paranevat jatkuvasti, jotta voidaan edistää tällaisten lajien elinympäristöjen riittävän määrän ja laadun saavuttamista.</w:t>
      </w:r>
    </w:p>
    <w:p w:rsidR="00FF7B51" w:rsidRPr="00B87DD1" w:rsidRDefault="00FF7B51" w:rsidP="00FF7B51">
      <w:pPr>
        <w:widowControl/>
        <w:suppressAutoHyphens/>
        <w:spacing w:before="120" w:after="120" w:line="360" w:lineRule="auto"/>
        <w:ind w:left="567" w:right="140" w:hanging="567"/>
        <w:rPr>
          <w:rFonts w:eastAsia="Calibri"/>
          <w:b/>
          <w:szCs w:val="24"/>
          <w:u w:val="single"/>
        </w:rPr>
      </w:pPr>
      <w:r w:rsidRPr="00B87DD1">
        <w:t>(33)</w:t>
      </w:r>
      <w:r w:rsidRPr="00B87DD1">
        <w:tab/>
        <w:t>On tärkeää varmistaa, että direktiivin 92/43/ETY soveltamisalaan kuuluvien, hyvässä tilassa olevien luontotyyppien kattamien alueiden määrä kasvaa asteittain jäsenvaltioiden ja koko unionin alueella, kunnes kunkin luontotyypin suotuisa viiteala on saavutettu ja vähintään 90 prosenttia kyseisestä alueesta jäsenvaltion tasolla on hyvässä tilassa, jotta kyseiset luontotyypit unionissa voivat saavuttaa suotuisan suojelun tason.</w:t>
      </w:r>
    </w:p>
    <w:p w:rsidR="00FF7B51" w:rsidRPr="00B87DD1" w:rsidRDefault="00FF7B51" w:rsidP="00FF7B51">
      <w:pPr>
        <w:widowControl/>
        <w:suppressAutoHyphens/>
        <w:spacing w:before="120" w:after="120" w:line="360" w:lineRule="auto"/>
        <w:ind w:left="567" w:right="-1" w:hanging="567"/>
        <w:rPr>
          <w:szCs w:val="24"/>
        </w:rPr>
      </w:pPr>
      <w:r w:rsidRPr="00B87DD1">
        <w:t>(34)</w:t>
      </w:r>
      <w:r w:rsidRPr="00B87DD1">
        <w:tab/>
        <w:t>On tärkeää varmistaa direktiivin 92/43/ETY soveltamisalaan kuuluvien lajien elinympäristöjen sekä direktiivin 2009/147/EY soveltamisalaan kuuluvien luonnonvaraisten lintujen elinympäristöjen laadun ja määrän asteittainen lisääntyminen jäsenvaltioiden alueella ja viime kädessä unionissa, kunnes se riittää varmistamaan kyseisten lajien selviytymisen pitkällä aikavälillä.</w:t>
      </w:r>
    </w:p>
    <w:p w:rsidR="00FF7B51" w:rsidRPr="00B87DD1" w:rsidRDefault="00FF7B51" w:rsidP="00FF7B51">
      <w:pPr>
        <w:widowControl/>
        <w:suppressAutoHyphens/>
        <w:spacing w:before="120" w:after="120" w:line="360" w:lineRule="auto"/>
        <w:ind w:left="567" w:right="-1" w:hanging="567"/>
        <w:rPr>
          <w:szCs w:val="24"/>
        </w:rPr>
      </w:pPr>
      <w:r w:rsidRPr="00B87DD1">
        <w:br w:type="page"/>
      </w:r>
      <w:r w:rsidRPr="00B87DD1">
        <w:lastRenderedPageBreak/>
        <w:t>(35)</w:t>
      </w:r>
      <w:r w:rsidRPr="00B87DD1">
        <w:tab/>
        <w:t>On tärkeää, että tämän asetuksen soveltamisalaan kuuluvien luontotyyppien kattamat</w:t>
      </w:r>
      <w:r w:rsidRPr="00B87DD1">
        <w:rPr>
          <w:b/>
          <w:i/>
        </w:rPr>
        <w:t xml:space="preserve"> ja ennallistamistoimenpiteiden kohteena olevat</w:t>
      </w:r>
      <w:r w:rsidRPr="00B87DD1">
        <w:t xml:space="preserve"> alueet </w:t>
      </w:r>
      <w:r w:rsidRPr="00B87DD1">
        <w:rPr>
          <w:b/>
          <w:i/>
        </w:rPr>
        <w:t xml:space="preserve">paranevat </w:t>
      </w:r>
      <w:proofErr w:type="gramStart"/>
      <w:r w:rsidRPr="00B87DD1">
        <w:rPr>
          <w:b/>
          <w:i/>
        </w:rPr>
        <w:t>jatkuvasti</w:t>
      </w:r>
      <w:proofErr w:type="gramEnd"/>
      <w:r w:rsidRPr="00B87DD1">
        <w:rPr>
          <w:b/>
          <w:i/>
        </w:rPr>
        <w:t xml:space="preserve"> kunnes ne saavuttavat hyvän tilan ja etteivät ne tämän jälkeen merkittävästi</w:t>
      </w:r>
      <w:r w:rsidRPr="00B87DD1">
        <w:t xml:space="preserve"> heikkene</w:t>
      </w:r>
      <w:r w:rsidRPr="00B87DD1">
        <w:rPr>
          <w:b/>
          <w:i/>
        </w:rPr>
        <w:t>, jotta pitkän aikavälin säilyminen tai hyvän tilan saavuttaminen eivät vaarannu. On myös tärkeää, että jäsenvaltiot pyrkivät toteuttamaan toimia, joilla estetään merkittävä heikkeneminen alueilla, jotka edustavat tällaisia luontotyyppejä ja joiden tila on hyvä tai joiden tila ei ole hyvä ja joihin ei edelleenkään sovelleta ennallistamistoimenpiteitä. Tällaiset toimenpiteet ovat tärkeitä, jotta ennallistamistarpeet eivät lisäännyt tulevaisuudessa, ja niissä olisi painotettava alueita, jotka edustavat niitä jäsenvaltioiden kansallisissa ennallistamissuunnitelmissaan yksilöimiä luontotyyppejä, jotka on ennallistettava ennallistamistavoitteiden saavuttamiseksi.</w:t>
      </w:r>
      <w:r w:rsidRPr="00B87DD1">
        <w:t xml:space="preserve"> On </w:t>
      </w:r>
      <w:r w:rsidRPr="00B87DD1">
        <w:rPr>
          <w:rFonts w:ascii="Arial" w:hAnsi="Arial"/>
          <w:snapToGrid w:val="0"/>
        </w:rPr>
        <w:t>▌</w:t>
      </w:r>
      <w:r w:rsidRPr="00B87DD1">
        <w:t xml:space="preserve"> aiheellista tarkastella mahdollista ylivoimaista estettä, </w:t>
      </w:r>
      <w:r w:rsidRPr="00B87DD1">
        <w:rPr>
          <w:b/>
          <w:i/>
        </w:rPr>
        <w:t>kuten luonnonkatastrofi,</w:t>
      </w:r>
      <w:r w:rsidRPr="00B87DD1">
        <w:t xml:space="preserve"> joka voi johtaa kyseisten luontotyyppien kattamien alueiden heikentymiseen, sekä sellaisia luontotyyppien väistämättömiä muutoksia, jotka johtuvat suoraan ilmastonmuutoksesta</w:t>
      </w:r>
      <w:r w:rsidRPr="00B87DD1">
        <w:rPr>
          <w:b/>
          <w:i/>
        </w:rPr>
        <w:t>. Natura 2000 -alueiden ulkopuolella on aiheellista tarkastella myös muutoksia, jotka johtuvat</w:t>
      </w:r>
      <w:r w:rsidRPr="00B87DD1">
        <w:t xml:space="preserve"> erittäin tärkeän yleisen edun mukaisesta suunnitelmasta tai hankkeesta, johon ei ole käytettävissä vähemmän haitallisia vaihtoehtoisia ratkaisuja</w:t>
      </w:r>
      <w:r w:rsidRPr="00B87DD1">
        <w:rPr>
          <w:b/>
          <w:i/>
        </w:rPr>
        <w:t>.</w:t>
      </w:r>
      <w:r w:rsidRPr="00B87DD1">
        <w:rPr>
          <w:i/>
        </w:rPr>
        <w:t xml:space="preserve"> </w:t>
      </w:r>
      <w:r w:rsidRPr="00B87DD1">
        <w:rPr>
          <w:b/>
          <w:i/>
        </w:rPr>
        <w:t>Ennallistamistoimenpiteiden kohteena olevien alueiden osalta tämä olisi määritettävä tapauskohtaisesti. Natura 2000 -alueiden osalta suunnitelmat ja hankkeet hyväksytään</w:t>
      </w:r>
      <w:r w:rsidRPr="00B87DD1">
        <w:t xml:space="preserve"> direktiivin 92/43/ETY 6 artiklan 4 kohdan mukaisesti.</w:t>
      </w:r>
      <w:r w:rsidRPr="00B87DD1">
        <w:rPr>
          <w:b/>
          <w:i/>
        </w:rPr>
        <w:t xml:space="preserve"> </w:t>
      </w:r>
      <w:bookmarkStart w:id="10" w:name="_Hlk129720012"/>
      <w:r w:rsidRPr="00B87DD1">
        <w:rPr>
          <w:b/>
          <w:i/>
        </w:rPr>
        <w:t>Jos alue muuttuu ennallistamistoimenpiteen toivottuna tuloksena yhdestä luontotyypistä toiseksi, joka kuuluu tämän asetuksen soveltamisalaan, aluetta ei olisi pidettävä huonontuneena.</w:t>
      </w:r>
    </w:p>
    <w:p w:rsidR="00FF7B51" w:rsidRPr="00B87DD1" w:rsidRDefault="00FF7B51" w:rsidP="00FF7B51">
      <w:pPr>
        <w:widowControl/>
        <w:suppressAutoHyphens/>
        <w:spacing w:before="120" w:after="120" w:line="360" w:lineRule="auto"/>
        <w:ind w:left="567" w:right="-1" w:hanging="567"/>
        <w:rPr>
          <w:rFonts w:eastAsia="Calibri"/>
          <w:i/>
          <w:szCs w:val="22"/>
        </w:rPr>
      </w:pPr>
      <w:bookmarkStart w:id="11" w:name="_Hlk136602132"/>
      <w:bookmarkStart w:id="12" w:name="_Hlk136878792"/>
      <w:bookmarkEnd w:id="10"/>
      <w:r w:rsidRPr="00B87DD1">
        <w:br w:type="page"/>
      </w:r>
      <w:r w:rsidR="00E21FBD" w:rsidRPr="00B87DD1">
        <w:lastRenderedPageBreak/>
        <w:t>(</w:t>
      </w:r>
      <w:r w:rsidRPr="00B87DD1">
        <w:rPr>
          <w:b/>
          <w:i/>
        </w:rPr>
        <w:t>35 a)</w:t>
      </w:r>
      <w:r w:rsidRPr="00B87DD1">
        <w:rPr>
          <w:b/>
          <w:i/>
        </w:rPr>
        <w:tab/>
        <w:t xml:space="preserve">Tämän asetuksen mukaisia </w:t>
      </w:r>
      <w:bookmarkStart w:id="13" w:name="_Hlk136854307"/>
      <w:r w:rsidRPr="00B87DD1">
        <w:rPr>
          <w:b/>
          <w:i/>
        </w:rPr>
        <w:t>Natura 2000 -alueiden ulkopuolella sovellettavia jatkuvaa paranemista ja huonontumisen estämistä koskevia velvoitteita koskevien poikkeusten soveltamiseksi</w:t>
      </w:r>
      <w:bookmarkEnd w:id="13"/>
      <w:r w:rsidRPr="00B87DD1">
        <w:rPr>
          <w:b/>
          <w:i/>
        </w:rPr>
        <w:t xml:space="preserve"> jäsenvaltioiden olisi katsottava uusiutuvista lähteistä peräisin olevan energian tuotantolaitosten suunnittelun, rakentamisen ja käytön, niiden verkkoon liittämisen ja asiaankuuluvan verkon itsensä sekä varastointimenetelmien olevan erittäin tärkeän yleisen edun mukaisia. Jäsenvaltiot voivat päättää rajoittaa tämän oletuksen soveltamista asianmukaisesti perustelluissa ja erityisissä olosuhteissa, esimerkiksi maanpuolustukseen liittyvistä syistä. </w:t>
      </w:r>
      <w:bookmarkStart w:id="14" w:name="_Hlk137545403"/>
      <w:r w:rsidRPr="00B87DD1">
        <w:rPr>
          <w:b/>
          <w:i/>
        </w:rPr>
        <w:t xml:space="preserve">Lisäksi jäsenvaltiot voivat </w:t>
      </w:r>
      <w:bookmarkStart w:id="15" w:name="_Hlk136525305"/>
      <w:r w:rsidRPr="00B87DD1">
        <w:rPr>
          <w:b/>
          <w:i/>
        </w:rPr>
        <w:t>vapauttaa nämä hankkeet näiden poikkeusten soveltamista koskevasta velvoitteesta osoittaa, että vähemmän haitallisia vaihtoehtoisia ratkaisuja ei ole käytettävissä</w:t>
      </w:r>
      <w:bookmarkEnd w:id="15"/>
      <w:r w:rsidRPr="00B87DD1">
        <w:rPr>
          <w:b/>
          <w:i/>
        </w:rPr>
        <w:t xml:space="preserve">, edellyttäen että hankkeista on tehty strateginen ympäristöarviointi tai ympäristövaikutusten arviointi. </w:t>
      </w:r>
      <w:bookmarkEnd w:id="14"/>
      <w:r w:rsidRPr="00B87DD1">
        <w:rPr>
          <w:b/>
          <w:i/>
        </w:rPr>
        <w:t>Jos tällaiset laitokset katsottaisiin erittäin tärkeän yleisen edun mukaisiksi ja tapauksen mukaan rajoitettaisiin vaatimusta arvioida vähemmän vahingollisia vaihtoehtoisia ratkaisuja, tällaisiin hankkeisiin voitaisiin soveltaa yksinkertaistettua arviointia tämän asetuksen mukaiseen erittäin tärkeän yleisen edun arviointiin sovellettavien poikkeusten osalta.</w:t>
      </w:r>
      <w:bookmarkEnd w:id="11"/>
    </w:p>
    <w:p w:rsidR="00FF7B51" w:rsidRPr="00B87DD1" w:rsidRDefault="00E21FBD" w:rsidP="00FF7B51">
      <w:pPr>
        <w:widowControl/>
        <w:suppressAutoHyphens/>
        <w:spacing w:before="120" w:after="120" w:line="360" w:lineRule="auto"/>
        <w:ind w:left="567" w:right="-1" w:hanging="567"/>
        <w:rPr>
          <w:rFonts w:eastAsia="Calibri"/>
          <w:b/>
          <w:bCs/>
          <w:i/>
          <w:szCs w:val="22"/>
        </w:rPr>
      </w:pPr>
      <w:r w:rsidRPr="00B87DD1">
        <w:rPr>
          <w:b/>
          <w:i/>
        </w:rPr>
        <w:t>(</w:t>
      </w:r>
      <w:r w:rsidR="00FF7B51" w:rsidRPr="00B87DD1">
        <w:rPr>
          <w:b/>
          <w:i/>
        </w:rPr>
        <w:t xml:space="preserve">35 b) Toimet, joiden ainoa tarkoitus on puolustus tai kansallinen turvallisuus, olisi asetettava etusijalle. Ottaessaan käyttöön ennallistamistoimenpiteitä jäsenvaltiot voivat näin ollen vapauttaa niistä alueet, joita käytetään ainoastaan maanpuolustukseen liittyvään toimintaan, jos näiden toimenpiteiden ei katsota olevan yhteensopivia asianomaisten alueiden jatkuvan sotilaskäytön kanssa. Lisäksi tämän asetuksen mukaisia Natura 2000 </w:t>
      </w:r>
      <w:r w:rsidR="00FF7B51" w:rsidRPr="00B87DD1">
        <w:rPr>
          <w:b/>
          <w:i/>
        </w:rPr>
        <w:noBreakHyphen/>
        <w:t>alueiden ulkopuolella sovellettavia jatkuvaa paranemista ja huonontumisen estämistä koskevia velvoitteita koskevien poikkeusten soveltamiseksi jäsenvaltioiden olisi voitava katsoa tällaisia toimia koskevien suunnitelmien ja hankkeiden olevan erittäin tärkeän yleisen edun mukaisia. Jos jäsenvaltiot soveltavat tätä poikkeusta, ne voivat myös vapauttaa tällaiset hankkeet velvoitteesta osoittaa, että vähemmän haitallisia vaihtoehtoisia ratkaisuja ei ole käytettävissä, mutta niiden olisi toteutettava toimenpiteitä luontotyyppeihin kohdistuvien vaikutusten lieventämiseksi, siinä määrin kuin se on kohtuullista ja mahdollista.</w:t>
      </w:r>
    </w:p>
    <w:bookmarkEnd w:id="12"/>
    <w:p w:rsidR="00FF7B51" w:rsidRPr="00B87DD1" w:rsidRDefault="00FF7B51" w:rsidP="00FF7B51">
      <w:pPr>
        <w:widowControl/>
        <w:suppressAutoHyphens/>
        <w:spacing w:before="120" w:after="120" w:line="360" w:lineRule="auto"/>
        <w:ind w:left="567" w:right="-1" w:hanging="567"/>
        <w:rPr>
          <w:rFonts w:eastAsia="Calibri"/>
          <w:szCs w:val="24"/>
        </w:rPr>
      </w:pPr>
      <w:r w:rsidRPr="00B87DD1">
        <w:t>(36)</w:t>
      </w:r>
      <w:r w:rsidRPr="00B87DD1">
        <w:tab/>
        <w:t>Vuoteen 2030 ulottuvassa EU:n biodiversiteettistrategiassa korostetaan tarvetta tehostaa toimia huonontuneiden meriekosysteemien ennallistamiseksi, mukaan lukien runsaasti hiiltä sisältävät ekosysteemit ja tärkeät kalojen kutu- ja kasvualueet. Strategiassa todetaan myös, että komissio aikoo ehdottaa uutta toimintasuunnitelmaa kalavarojen säilyttämiseksi ja merellisten ekosysteemien suojelemiseksi.</w:t>
      </w:r>
    </w:p>
    <w:p w:rsidR="00FF7B51" w:rsidRPr="00B87DD1" w:rsidRDefault="00FF7B51" w:rsidP="00FF7B51">
      <w:pPr>
        <w:widowControl/>
        <w:suppressAutoHyphens/>
        <w:spacing w:before="120" w:after="120" w:line="360" w:lineRule="auto"/>
        <w:ind w:left="567" w:right="-1" w:hanging="567"/>
        <w:rPr>
          <w:b/>
          <w:szCs w:val="24"/>
          <w:u w:val="single"/>
        </w:rPr>
      </w:pPr>
      <w:r w:rsidRPr="00B87DD1">
        <w:br w:type="page"/>
      </w:r>
      <w:r w:rsidRPr="00B87DD1">
        <w:lastRenderedPageBreak/>
        <w:t>(37)</w:t>
      </w:r>
      <w:r w:rsidRPr="00B87DD1">
        <w:tab/>
        <w:t>Direktiivin 92/43/ETY liitteessä I luetellut merten luontotyypit on määritelty laajasti, ja ne käsittävät monia ekologisesti erilaisia alatyyppejä, joilla on erilaiset ennallistamismahdollisuudet, minkä vuoksi jäsenvaltioiden on vaikea toteuttaa asianmukaisia ennallistamistoimenpiteitä kyseisten luontotyyppien tasolla. Sen vuoksi merellisiä luontotyyppejä olisi täsmennettävä käyttämällä Euroopan luontoa koskevan tietojärjestelmän (EUNIS) asiaankuuluvia tasoja merten luontotyyppien luokittelussa. Jäsenvaltioiden olisi vahvistettava suotuisat viitealat kunkin luontotyypin suotuisan suojelun tason saavuttamiseksi siltä osin kuin näitä viitealoja ei ole jo käsitelty muussa unionin lainsäädännössä.</w:t>
      </w:r>
      <w:r w:rsidRPr="00B87DD1">
        <w:rPr>
          <w:b/>
          <w:i/>
        </w:rPr>
        <w:t xml:space="preserve"> </w:t>
      </w:r>
      <w:bookmarkStart w:id="16" w:name="_Hlk132553514"/>
      <w:r w:rsidRPr="00B87DD1">
        <w:rPr>
          <w:b/>
          <w:i/>
        </w:rPr>
        <w:t>Meriympäristön pehmeiden sedimenttien luontotyyppien ryhmä, joka vastaa tiettyjä direktiivissä 2008/56/EY täsmennettyjä laajoja merenpohjan (benttiset) elinympäristötyyppejä, on laajasti edustettuna useiden jäsenvaltioiden merivesissä. Sen vuoksi jäsenvaltioiden olisi voitava rajoittaa asteittain käyttöön otettavia ennallistamistoimenpiteitä pienempään osuuteen näiden luontotyyppien, joiden tila ei ole hyvä, alasta edellyttäen, että tämä ei estä direktiivin 2008/56/EY 9 artiklan 1 kohdan mukaisesti määritetyn ympäristön hyvän tilan saavuttamista tai säilyttämistä, ottaen huomioon erityisesti mainitun direktiivin 9 artiklan 3 kohdan mukaisesti vahvistettujen kuvaajien 1 ja 6 kynnysarvot, jotka koskevat näiden luontotyyppien häviämisen laajuutta, näiden luontotyyppien tilaan kohdistuvia haitallisia vaikutuksia ja kyseisten haitallisten vaikutusten suurinta sallittua laajuutta.</w:t>
      </w:r>
    </w:p>
    <w:bookmarkEnd w:id="16"/>
    <w:p w:rsidR="00FF7B51" w:rsidRPr="00B87DD1" w:rsidRDefault="00FF7B51" w:rsidP="00FF7B51">
      <w:pPr>
        <w:widowControl/>
        <w:suppressAutoHyphens/>
        <w:spacing w:before="120" w:after="120" w:line="360" w:lineRule="auto"/>
        <w:ind w:left="567" w:right="-1" w:hanging="567"/>
        <w:rPr>
          <w:rFonts w:eastAsia="Calibri"/>
          <w:color w:val="000000"/>
          <w:szCs w:val="24"/>
          <w:shd w:val="clear" w:color="auto" w:fill="FFFFFF"/>
        </w:rPr>
      </w:pPr>
      <w:r w:rsidRPr="00B87DD1">
        <w:br w:type="page"/>
      </w:r>
      <w:r w:rsidRPr="00B87DD1">
        <w:lastRenderedPageBreak/>
        <w:t>(38)</w:t>
      </w:r>
      <w:r w:rsidRPr="00B87DD1">
        <w:tab/>
        <w:t>Jos rannikoiden ja merten luontotyyppien suojelu edellyttää kalastus- tai vesiviljelytoiminnan sääntelyä, sovelletaan yhteistä kalastuspolitiikkaa. Euroopan parlamentin ja neuvoston asetuksessa (EU) N:o 1380/2013</w:t>
      </w:r>
      <w:r w:rsidRPr="00B87DD1">
        <w:rPr>
          <w:rFonts w:eastAsia="Calibri"/>
          <w:szCs w:val="24"/>
          <w:vertAlign w:val="superscript"/>
          <w:lang w:eastAsia="en-US"/>
        </w:rPr>
        <w:footnoteReference w:id="32"/>
      </w:r>
      <w:r w:rsidRPr="00B87DD1">
        <w:t xml:space="preserve"> säädetään erityisesti, että yhteisessä kalastuspolitiikassa </w:t>
      </w:r>
      <w:r w:rsidRPr="00B87DD1">
        <w:rPr>
          <w:color w:val="000000"/>
          <w:shd w:val="clear" w:color="auto" w:fill="FFFFFF"/>
        </w:rPr>
        <w:t>sovelletaan kalastuksenhoitoon ekosysteemilähtöistä lähestymistapaa sen varmistamiseksi, että kalastustoimien vuoksi meriekosysteemiin kohdistuvat haittavaikutukset voidaan minimoida</w:t>
      </w:r>
      <w:r w:rsidRPr="00B87DD1">
        <w:t>.</w:t>
      </w:r>
      <w:r w:rsidRPr="00B87DD1">
        <w:rPr>
          <w:color w:val="000000"/>
          <w:shd w:val="clear" w:color="auto" w:fill="FFFFFF"/>
        </w:rPr>
        <w:t xml:space="preserve"> Kyseisessä asetuksessa säädetään myös, että mainitulla politiikalla pyritään varmistamaan, että vesiviljely- ja kalastustoimissa vältetään merellisen ympäristön huonontuminen.</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(39)</w:t>
      </w:r>
      <w:r w:rsidRPr="00B87DD1">
        <w:tab/>
      </w:r>
      <w:r w:rsidRPr="00B87DD1">
        <w:rPr>
          <w:shd w:val="clear" w:color="auto" w:fill="FFFFFF"/>
        </w:rPr>
        <w:t>Luonnon monimuotoisuuden ja häiriönsietokykyisen luonnon jatkuvan, pitkäaikaisen ja kestävän elpymisen tavoitteen saavuttamiseksi jäsenvaltioiden olisi hyödynnettävä täysimääräisesti yhteisen kalastuspolitiikan tarjoamia mahdollisuuksia. Meren elollisten luonnonvarojen säilyttämistä koskevan unionin yksinomaisen toimivallan puitteissa jäsenvaltioilla on mahdollisuus toteuttaa syrjimättömiä toimenpiteitä kalakantojen säilyttämiseksi ja hoitamiseksi sekä merten ekosysteemien suojelun tason ylläpitämiseksi tai parantamiseksi 12 meripeninkulman rajan sisällä. Lisäksi jäsenvaltiot, joilla on välitön kalastuksenhoitoetu, voivat toimittaa yhteisiä suosituksia niistä säilyttämistoimenpiteistä, jotka ovat tarpeen unionin ympäristölainsäädännön mukaisten velvoitteiden noudattamiseksi. Tällaiset toimenpiteet arvioidaan ja hyväksytään yhteisessä kalastuspolitiikassa vahvistettujen sääntöjen ja menettelyjen mukaisesti.</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(40)</w:t>
      </w:r>
      <w:r w:rsidRPr="00B87DD1">
        <w:tab/>
        <w:t>Direktiivissä 2008/56/EY edellytetään, että jäsenvaltiot tekevät yhteistyötä kahdenvälisesti ja alueellisten ja osa-alueellisten yhteistyömekanismien puitteissa, myös alueellisten merisopimusten</w:t>
      </w:r>
      <w:r w:rsidRPr="00B87DD1">
        <w:rPr>
          <w:szCs w:val="24"/>
          <w:vertAlign w:val="superscript"/>
          <w:lang w:eastAsia="en-US"/>
        </w:rPr>
        <w:footnoteReference w:id="33"/>
      </w:r>
      <w:r w:rsidRPr="00B87DD1">
        <w:t xml:space="preserve"> kautta, sekä kalastustoimenpiteiden osalta yhteisen kalastuspolitiikan mukaisesti perustettujen alueellisten ryhmien puitteissa.</w:t>
      </w:r>
    </w:p>
    <w:p w:rsidR="00FF7B51" w:rsidRPr="00B87DD1" w:rsidRDefault="00FF7B51" w:rsidP="00FF7B51">
      <w:pPr>
        <w:widowControl/>
        <w:spacing w:after="200" w:line="276" w:lineRule="auto"/>
        <w:rPr>
          <w:rFonts w:eastAsia="Calibri"/>
          <w:szCs w:val="24"/>
        </w:rPr>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(41)</w:t>
      </w:r>
      <w:r w:rsidRPr="00B87DD1">
        <w:tab/>
        <w:t xml:space="preserve">On tärkeää ottaa käyttöön ennallistamistoimenpiteitä myös tiettyjen meriympäristön lajien, kuten haiden ja rauskujen, elinympäristöille, kun kyseiset lajit kuuluvat </w:t>
      </w:r>
      <w:r w:rsidRPr="00B87DD1">
        <w:rPr>
          <w:b/>
          <w:i/>
        </w:rPr>
        <w:t>esimerkiksi</w:t>
      </w:r>
      <w:r w:rsidRPr="00B87DD1">
        <w:t xml:space="preserve"> muuttavien luonnonvaraisten eläinten suojelemista koskevan yleissopimuksen </w:t>
      </w:r>
      <w:r w:rsidRPr="00B87DD1">
        <w:rPr>
          <w:b/>
          <w:i/>
        </w:rPr>
        <w:t>tai Euroopan alueellisten merisopimusten erittäin uhanalaisten ja uhanalaisten lajien luetteloiden</w:t>
      </w:r>
      <w:r w:rsidRPr="00B87DD1">
        <w:t xml:space="preserve"> soveltamisalaan mutta jäävät direktiivin 92/43/ETY soveltamisalan ulkopuolelle, koska niillä on tärkeä tehtävä ekosysteemissä.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(42)</w:t>
      </w:r>
      <w:r w:rsidRPr="00B87DD1">
        <w:tab/>
        <w:t>Maa-alueiden, makean veden, rannikoiden ja merellisten luontotyyppien ennallistamisen ja huonontumisen estämisen tukemiseksi jäsenvaltioilla on mahdollisuus nimetä lisäalueita ”suojelualueiksi” tai ”tiukasti suojelluiksi alueiksi”, toteuttaa muita tehokkaita aluekohtaisia suojelutoimenpiteitä ja edistää yksityisiä maansuojelutoimenpiteitä.</w:t>
      </w:r>
    </w:p>
    <w:p w:rsidR="00FF7B51" w:rsidRPr="00B87DD1" w:rsidRDefault="00FF7B51" w:rsidP="00FF7B51">
      <w:pPr>
        <w:widowControl/>
        <w:suppressAutoHyphens/>
        <w:spacing w:before="120" w:after="120" w:line="360" w:lineRule="auto"/>
        <w:ind w:left="567" w:right="-1" w:hanging="567"/>
        <w:rPr>
          <w:rFonts w:eastAsia="Calibri"/>
          <w:b/>
          <w:i/>
          <w:szCs w:val="24"/>
        </w:rPr>
      </w:pPr>
      <w:bookmarkStart w:id="17" w:name="_Hlk128428834"/>
      <w:r w:rsidRPr="00B87DD1">
        <w:t>(43)</w:t>
      </w:r>
      <w:r w:rsidRPr="00B87DD1">
        <w:tab/>
        <w:t>Kaupunkien ekosysteemien osuus unionin maapinta-alasta on noin 22 prosenttia, ja ne muodostavat alueen, jolla suurin osa unionin kansalaisista asuu. Kaupunkien viheralueita ovat muun muassa kaupunkimetsät, -puistot ja -puutarhat, kaupunkifarmit, puistokadut, kaupunkiniityt ja pensasaidat</w:t>
      </w:r>
      <w:r w:rsidRPr="00B87DD1">
        <w:rPr>
          <w:b/>
          <w:i/>
        </w:rPr>
        <w:t>. Kuten muut tässä asetuksessa käsitellyt ekosysteemit, kaupunkien ekosysteemit</w:t>
      </w:r>
      <w:r w:rsidRPr="00B87DD1">
        <w:t xml:space="preserve"> tarjoavat tärkeitä elinympäristöjä luonnon monimuotoisuudelle, erityisesti kasveille, linnuille ja hyönteisille, pölyttäjät mukaan luettuina. Ne tarjoavat myös </w:t>
      </w:r>
      <w:r w:rsidRPr="00B87DD1">
        <w:rPr>
          <w:b/>
          <w:i/>
        </w:rPr>
        <w:t>monia muita</w:t>
      </w:r>
      <w:r w:rsidRPr="00B87DD1">
        <w:t xml:space="preserve"> elintärkeitä ekosysteemipalveluja, joita ovat muun muassa luonnonkatastrofiriskien (esimerkiksi tulvien ja lämpösaarekevaikutusten) vähentäminen ja hallinta, jäähdytys, virkistys, veden ja ilman suodatus sekä ilmastonmuutoksen hillitseminen ja siihen sopeutuminen.</w:t>
      </w:r>
      <w:r w:rsidRPr="00B87DD1">
        <w:rPr>
          <w:b/>
          <w:i/>
        </w:rPr>
        <w:t xml:space="preserve"> Kaupunkien viheralueiden lisääminen on yksi tärkeä tekijä pyrittäessä lisäämään kaupunkien ekosysteemien kykyä tarjota näitä tärkeitä palveluja. Kasvillisuuspeitteen lisääminen tietyllä kaupunkialueella hidastaa veden poisvaluntaa (ja pienentää näin joen pilaantumisriskiä myrskyveden valuman osalta) ja auttaa viilentämään kesälämpötiloja, jolloin ilmastokestävyys paranee, ja tarjoaa luonnolle lisää tilaa kukoistaa. Kaupunkien viheralueiden lisääminen parantaa monissa tapauksissa kaupunkien ekosysteemin terveyttä. Terveet kaupunkien ekosysteemit puolestaan tukevat olennaisella tavalla muiden keskeisten eurooppalaisten ekosysteemien terveyttä, sillä ne kytkeytyvät ympäröivän maaseudun luonnonalueisiin, parantavat jokien kuntoa kaupunkien ulkopuolella, tarjoavat maatalouden ja metsien luontotyyppien lintu- ja pölyttäjälajeille suoja- ja lisääntymisalueita ja muuttolinnuille tärkeitä elinympäristöjä.</w:t>
      </w:r>
    </w:p>
    <w:p w:rsidR="00FF7B51" w:rsidRPr="00B87DD1" w:rsidRDefault="00FF7B51" w:rsidP="00FF7B51">
      <w:pPr>
        <w:widowControl/>
        <w:spacing w:after="200" w:line="276" w:lineRule="auto"/>
        <w:rPr>
          <w:rFonts w:eastAsia="Calibri"/>
          <w:szCs w:val="24"/>
        </w:rPr>
      </w:pPr>
      <w:r w:rsidRPr="00B87DD1">
        <w:br w:type="page"/>
      </w:r>
    </w:p>
    <w:p w:rsidR="00FF7B51" w:rsidRPr="00B87DD1" w:rsidRDefault="00FF7B51" w:rsidP="00FF7B51">
      <w:pPr>
        <w:widowControl/>
        <w:suppressAutoHyphens/>
        <w:spacing w:before="120" w:after="120" w:line="360" w:lineRule="auto"/>
        <w:ind w:left="567" w:right="-1" w:hanging="567"/>
        <w:rPr>
          <w:b/>
          <w:i/>
        </w:rPr>
      </w:pPr>
      <w:r w:rsidRPr="00B87DD1">
        <w:lastRenderedPageBreak/>
        <w:t>(44)</w:t>
      </w:r>
      <w:bookmarkStart w:id="18" w:name="_Hlk131428298"/>
      <w:r w:rsidRPr="00B87DD1">
        <w:tab/>
      </w:r>
      <w:bookmarkStart w:id="19" w:name="_Hlk131080068"/>
      <w:r w:rsidRPr="00B87DD1">
        <w:t xml:space="preserve">Toimia, joilla varmistetaan, että kaupunkien </w:t>
      </w:r>
      <w:r w:rsidRPr="00B87DD1">
        <w:rPr>
          <w:b/>
          <w:i/>
        </w:rPr>
        <w:t>viheralueiden, erityisesti puiden, peittämä ala,</w:t>
      </w:r>
      <w:r w:rsidRPr="00B87DD1">
        <w:t xml:space="preserve"> ei enää ole vaarassa </w:t>
      </w:r>
      <w:r w:rsidRPr="00B87DD1">
        <w:rPr>
          <w:b/>
          <w:i/>
        </w:rPr>
        <w:t>huveta</w:t>
      </w:r>
      <w:r w:rsidRPr="00B87DD1">
        <w:t>, on tehostettava voimakkaasti. Jotta voidaan varmistaa, että kaupunkien viheralueet tarjoavat jatkossakin tarvittavia ekosysteemipalveluja, niiden häviäminen olisi pysäytettävä ja niitä olisi ennallistettava ja lisättävä alueella muun muassa integroimalla vihreä infrastruktuuri ja luontoon perustuvat ratkaisut</w:t>
      </w:r>
      <w:r w:rsidRPr="00B87DD1">
        <w:rPr>
          <w:rFonts w:ascii="Arial" w:hAnsi="Arial"/>
          <w:snapToGrid w:val="0"/>
        </w:rPr>
        <w:t>▌</w:t>
      </w:r>
      <w:r w:rsidRPr="00B87DD1">
        <w:t>, kuten viherkatot ja vihermuurit, rakennusten suunnitteluun</w:t>
      </w:r>
      <w:r w:rsidRPr="00B87DD1">
        <w:rPr>
          <w:b/>
          <w:i/>
        </w:rPr>
        <w:t xml:space="preserve"> Tällaisella integroinnilla voidaan lisätä kaupunkien viheralueita ja, jos siihen sisällytetään puut, myös kaupunkien latvuspeittävyyttä.</w:t>
      </w:r>
      <w:bookmarkEnd w:id="18"/>
    </w:p>
    <w:p w:rsidR="00B5008A" w:rsidRPr="00B87DD1" w:rsidRDefault="00B5008A">
      <w:pPr>
        <w:widowControl/>
        <w:suppressAutoHyphens/>
        <w:spacing w:before="120" w:after="120" w:line="360" w:lineRule="auto"/>
        <w:ind w:left="567" w:right="-1" w:hanging="567"/>
        <w:rPr>
          <w:rFonts w:eastAsia="Calibri"/>
          <w:b/>
        </w:rPr>
      </w:pPr>
      <w:r w:rsidRPr="00B87DD1">
        <w:rPr>
          <w:rFonts w:eastAsia="Calibri"/>
          <w:b/>
          <w:i/>
        </w:rPr>
        <w:t>(44 a)</w:t>
      </w:r>
      <w:r w:rsidRPr="00B87DD1">
        <w:rPr>
          <w:rFonts w:eastAsia="Calibri"/>
        </w:rPr>
        <w:tab/>
      </w:r>
      <w:r w:rsidRPr="00B87DD1">
        <w:rPr>
          <w:rFonts w:eastAsia="Calibri"/>
          <w:b/>
          <w:i/>
        </w:rPr>
        <w:t>Keinovalon lisääntyessä valosaasteesta on tullut pysyvä ongelma. Sen lähteitä ovat muun muassa rakennusten ulko- ja sisävalaistus, mainosvalot, liikekiinteistöt, toimistot, tehtaat, katuvalot ja valaistut urheilupaikat. Valosaaste aiheuttaa hyönteisten vähenemistä. Valo houkuttelee monia hyönteisiä, mutta keinovalo voi olla niille kohtalokasta. Pienenevät hyönteispopulaatiot vaikuttavat kielteisesti kaikkiin hyönteisistä ruokana tai pölyttäjinä riippuvaisiin lajeihin. Jotkut petoeläimet hyödyntävät tätä vetovoimaa ja vaikuttavat ravintoverkkoihin ennakoimattomalla tavalla.</w:t>
      </w:r>
      <w:r w:rsidRPr="00B87DD1">
        <w:rPr>
          <w:rFonts w:eastAsia="Calibri"/>
          <w:b/>
        </w:rPr>
        <w:t xml:space="preserve"> [tark. 2]</w:t>
      </w:r>
    </w:p>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bookmarkStart w:id="20" w:name="_Hlk133324641"/>
      <w:bookmarkEnd w:id="17"/>
      <w:bookmarkEnd w:id="19"/>
      <w:r w:rsidRPr="00B87DD1">
        <w:t>(45)</w:t>
      </w:r>
      <w:r w:rsidRPr="00B87DD1">
        <w:tab/>
        <w:t xml:space="preserve">Vuoteen 2030 ulottuvassa EU:n biodiversiteettistrategiassa edellytetään lisätoimia makean veden ekosysteemien ja jokien luonnollisten toimintojen ennallistamiseksi. Makean veden ekosysteemien ennallistamiseen olisi sisällyttävä toimia jokien, niiden ranta-alueiden ja tulvatasanteiden </w:t>
      </w:r>
      <w:r w:rsidRPr="00B87DD1">
        <w:rPr>
          <w:b/>
          <w:i/>
        </w:rPr>
        <w:t>luonnollisten</w:t>
      </w:r>
      <w:r w:rsidRPr="00B87DD1">
        <w:t xml:space="preserve"> yhteyksien palauttamiseksi, mukaan lukien </w:t>
      </w:r>
      <w:r w:rsidRPr="00B87DD1">
        <w:rPr>
          <w:b/>
          <w:i/>
        </w:rPr>
        <w:t>keinotekoisten</w:t>
      </w:r>
      <w:r w:rsidRPr="00B87DD1">
        <w:t xml:space="preserve"> esteiden poistaminen, jotta voidaan tukea suotuisan suojelun tason saavuttamista jokien, järvien ja alluviaalisten luontotyyppien sekä direktiiveillä 92/43/ETY ja 2009/147/EY suojeltujen luontotyyppien sekä niissä elävien lajien osalta sekä toteuttaa yksi EU:n vuoteen 2030 ulottuvan biodiversiteettistrategian keskeisistä sitoumuksista, jonka mukaan ennallistetaan vähintään 25 000 kilometriä jokia vapaana virtaaviksi</w:t>
      </w:r>
      <w:r w:rsidRPr="00B87DD1">
        <w:rPr>
          <w:b/>
          <w:i/>
        </w:rPr>
        <w:t xml:space="preserve"> ja jota arvioidaan vuoteen 2020 nähden, jolloin strategia annettiin tiedoksi</w:t>
      </w:r>
      <w:r w:rsidRPr="00B87DD1">
        <w:t>. Esteitä poistettaessa jäsenvaltioiden olisi ensisijaisesti puututtava vanhentuneisiin esteisiin, joita ei enää tarvita uusiutuvan energian tuotantoon, sisävesiliikenteeseen, vesihuoltoon tai muuhun käyttöön.</w:t>
      </w:r>
    </w:p>
    <w:bookmarkEnd w:id="20"/>
    <w:p w:rsidR="00FF7B51" w:rsidRPr="00B87DD1" w:rsidRDefault="00FF7B51" w:rsidP="00FF7B51">
      <w:pPr>
        <w:widowControl/>
        <w:suppressAutoHyphens/>
        <w:spacing w:before="120" w:after="120" w:line="360" w:lineRule="auto"/>
        <w:ind w:left="567" w:right="-1" w:hanging="567"/>
        <w:rPr>
          <w:rFonts w:eastAsia="Calibri"/>
          <w:szCs w:val="24"/>
        </w:rPr>
      </w:pPr>
      <w:r w:rsidRPr="00B87DD1">
        <w:t>(46)</w:t>
      </w:r>
      <w:r w:rsidRPr="00B87DD1">
        <w:tab/>
        <w:t xml:space="preserve">Pölyttäjät ovat unionissa vähentyneet dramaattisesti viime vuosikymmeninä. Joka kolmannen mehiläis- ja perhoslajin kanta pienenee ja joka kymmenes näistä lajeista on vaarassa kuolla sukupuuttoon. Pölyttäjät ovat olennaisen tärkeitä maaekosysteemien toiminnalle, ihmisten hyvinvoinnille ja elintarviketurvalle, koska ne pölyttävät luonnonvaraisia ja viljeltyjä kasveja. </w:t>
      </w:r>
      <w:r w:rsidRPr="00B87DD1">
        <w:lastRenderedPageBreak/>
        <w:t>Lähes 5 000 000 000 euroa EU:n maatalouden vuosittaisesta tuotoksesta on suoraan pölyttäjähyönteisten ansiota</w:t>
      </w:r>
      <w:r w:rsidRPr="00B87DD1">
        <w:rPr>
          <w:rFonts w:eastAsia="Calibri"/>
          <w:szCs w:val="24"/>
          <w:vertAlign w:val="superscript"/>
          <w:lang w:eastAsia="en-US"/>
        </w:rPr>
        <w:footnoteReference w:id="34"/>
      </w:r>
      <w:r w:rsidRPr="00B87DD1">
        <w:t>.</w:t>
      </w:r>
    </w:p>
    <w:p w:rsidR="00FF7B51" w:rsidRPr="00B87DD1" w:rsidRDefault="00FF7B51" w:rsidP="00FF7B51">
      <w:pPr>
        <w:widowControl/>
        <w:shd w:val="clear" w:color="auto" w:fill="FFFFFF"/>
        <w:suppressAutoHyphens/>
        <w:spacing w:before="120" w:after="120" w:line="360" w:lineRule="auto"/>
        <w:ind w:left="567" w:right="-1" w:hanging="567"/>
        <w:rPr>
          <w:b/>
          <w:szCs w:val="24"/>
          <w:u w:val="single"/>
        </w:rPr>
      </w:pPr>
      <w:r w:rsidRPr="00B87DD1">
        <w:br w:type="page"/>
      </w:r>
      <w:r w:rsidRPr="00B87DD1">
        <w:lastRenderedPageBreak/>
        <w:t>(47)</w:t>
      </w:r>
      <w:r w:rsidRPr="00B87DD1">
        <w:tab/>
        <w:t>Komissio käynnisti pölyttäjiä koskevan EU:n aloitteen</w:t>
      </w:r>
      <w:r w:rsidRPr="00B87DD1">
        <w:rPr>
          <w:rFonts w:eastAsia="Calibri"/>
          <w:szCs w:val="24"/>
          <w:vertAlign w:val="superscript"/>
          <w:lang w:eastAsia="en-US"/>
        </w:rPr>
        <w:footnoteReference w:id="35"/>
      </w:r>
      <w:r w:rsidRPr="00B87DD1">
        <w:t xml:space="preserve"> 1 päivänä kesäkuuta 2018 vastauksena Euroopan parlamentin ja neuvoston kehotuksiin puuttua luonnonvaraisten pölyttäjähyönteisten vähenemiseen. Aloitteen täytäntöönpanoa koskeva edistymiskertomus</w:t>
      </w:r>
      <w:r w:rsidRPr="00B87DD1">
        <w:rPr>
          <w:rFonts w:eastAsia="Calibri"/>
          <w:szCs w:val="24"/>
          <w:vertAlign w:val="superscript"/>
          <w:lang w:eastAsia="en-US"/>
        </w:rPr>
        <w:footnoteReference w:id="36"/>
      </w:r>
      <w:r w:rsidRPr="00B87DD1">
        <w:t xml:space="preserve"> osoitti, että pölyttäjien vähenemistä aiheuttaviin tekijöihin, torjunta-aineiden käyttö mukaan luettuna, liittyy edelleen merkittäviä haasteita. Euroopan parlamentti</w:t>
      </w:r>
      <w:r w:rsidRPr="00B87DD1">
        <w:rPr>
          <w:rFonts w:eastAsia="Calibri"/>
          <w:szCs w:val="24"/>
          <w:vertAlign w:val="superscript"/>
          <w:lang w:eastAsia="en-US"/>
        </w:rPr>
        <w:footnoteReference w:id="37"/>
      </w:r>
      <w:r w:rsidRPr="00B87DD1">
        <w:t xml:space="preserve"> ja neuvosto</w:t>
      </w:r>
      <w:r w:rsidRPr="00B87DD1">
        <w:rPr>
          <w:rFonts w:eastAsia="Calibri"/>
          <w:szCs w:val="24"/>
          <w:vertAlign w:val="superscript"/>
          <w:lang w:eastAsia="en-US"/>
        </w:rPr>
        <w:footnoteReference w:id="38"/>
      </w:r>
      <w:r w:rsidRPr="00B87DD1">
        <w:t xml:space="preserve"> kehottivat vahvistamaan toimia pölyttäjien vähenemisen estämiseksi ja perustamaan pölyttäjiä koskevan unionin laajuisen seurantakehyksen sekä asettamaan selkeät tavoitteet ja indikaattorit, jotka koskevat sitoutumista pölyttäjien vähenemisen pysäyttämiseen. Euroopan tilintarkastustuomioistuin on suositellut, että komissio perustaisi asianmukaiset hallinnointi- ja valvontamekanismit pölyttäjiin kohdistuvien uhkien torjumiseksi</w:t>
      </w:r>
      <w:r w:rsidRPr="00B87DD1">
        <w:rPr>
          <w:rFonts w:eastAsia="Calibri"/>
          <w:szCs w:val="24"/>
          <w:vertAlign w:val="superscript"/>
          <w:lang w:eastAsia="en-US"/>
        </w:rPr>
        <w:footnoteReference w:id="39"/>
      </w:r>
      <w:r w:rsidRPr="00B87DD1">
        <w:t>.</w:t>
      </w:r>
      <w:r w:rsidRPr="00B87DD1">
        <w:rPr>
          <w:b/>
          <w:i/>
        </w:rPr>
        <w:t xml:space="preserve"> Komissio esitti 24 päivänä tammikuuta 2023 pölyttäjiä koskevan tarkistetun EU:n aloitteen</w:t>
      </w:r>
      <w:r w:rsidRPr="00B87DD1">
        <w:rPr>
          <w:b/>
          <w:bCs/>
          <w:i/>
          <w:szCs w:val="24"/>
          <w:vertAlign w:val="superscript"/>
        </w:rPr>
        <w:footnoteReference w:id="40"/>
      </w:r>
      <w:r w:rsidRPr="00B87DD1">
        <w:rPr>
          <w:b/>
          <w:i/>
        </w:rPr>
        <w:t>. Tarkistuksessa esitetään toimia, joita EU:n ja sen jäsenvaltioiden on toteutettava pölyttäjien vähenemisen pysäyttämiseksi vuoteen 2030 mennessä.</w:t>
      </w:r>
    </w:p>
    <w:p w:rsidR="00FF7B51" w:rsidRPr="00B87DD1" w:rsidRDefault="00FF7B51" w:rsidP="00FF7B51">
      <w:pPr>
        <w:widowControl/>
        <w:spacing w:before="120" w:after="120" w:line="360" w:lineRule="auto"/>
        <w:ind w:left="567" w:hanging="567"/>
        <w:rPr>
          <w:rFonts w:eastAsia="Calibri"/>
          <w:szCs w:val="22"/>
        </w:rPr>
      </w:pPr>
      <w:r w:rsidRPr="00B87DD1">
        <w:t>(48)</w:t>
      </w:r>
      <w:r w:rsidRPr="00B87DD1">
        <w:tab/>
        <w:t xml:space="preserve">Ehdotuksella Euroopan parlamentin ja neuvoston asetukseksi kasvinsuojeluaineiden kestävästä käytöstä </w:t>
      </w:r>
      <w:r w:rsidRPr="00B87DD1">
        <w:rPr>
          <w:i/>
        </w:rPr>
        <w:t>[hyväksyttäväksi 22 päivänä kesäkuuta 2022, sisällytetään hyväksytyn säädöksen nimi ja numero, kun sellainen on saatavilla]</w:t>
      </w:r>
      <w:r w:rsidRPr="00B87DD1">
        <w:t xml:space="preserve"> pyritään sääntelemään yhtä pölyttäjien vähenemiseen vaikuttavaa tekijää kieltämällä torjunta-aineiden käyttö ekologisesti herkillä alueilla, joista monet kuuluvat tämän asetuksen soveltamisalaan, esimerkiksi alueilla, joilla esiintyy pölyttäjälajeja, jotka Euroopan punaisissa listoissa</w:t>
      </w:r>
      <w:r w:rsidRPr="00B87DD1">
        <w:rPr>
          <w:rFonts w:eastAsia="Calibri"/>
          <w:szCs w:val="22"/>
          <w:vertAlign w:val="superscript"/>
          <w:lang w:eastAsia="en-US"/>
        </w:rPr>
        <w:footnoteReference w:id="41"/>
      </w:r>
      <w:r w:rsidRPr="00B87DD1">
        <w:t xml:space="preserve"> luokitellaan uhanalaisiksi.</w:t>
      </w:r>
    </w:p>
    <w:p w:rsidR="00B5008A" w:rsidRPr="00B87DD1" w:rsidRDefault="00B5008A">
      <w:pPr>
        <w:widowControl/>
      </w:pPr>
      <w:r w:rsidRPr="00B87DD1">
        <w:br w:type="page"/>
      </w:r>
    </w:p>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r w:rsidRPr="00B87DD1">
        <w:lastRenderedPageBreak/>
        <w:t>(49)</w:t>
      </w:r>
      <w:r w:rsidRPr="00B87DD1">
        <w:tab/>
        <w:t>Turvallisten, kestävien, ravitsevien ja kohtuuhintaisten elintarvikkeiden tarjoamiseksi tarvitaan kestäviä, häiriönsietokykyisiä ja luonnoltaan monimuotoisia maatalouden ekosysteemejä. Luonnoltaan monimuotoiset maatalouden ekosysteemit myös parantavat maatalouden kykyä sietää ilmastonmuutosta ja ympäristöriskejä samalla kun varmistetaan elintarviketurvallisuus ja ruokaturva ja luodaan uusia työpaikkoja maaseutualueilla, erityisesti luonnonmukaiseen maatalouteen sekä maaseutumatkailuun ja virkistystoimintaan liittyviä työpaikkoja. Sen vuoksi unionin on parannettava maatalousmaansa luonnon monimuotoisuutta erilaisilla olemassa olevilla käytännöillä, jotka ovat suotuisia tai yhteensopivia luonnon monimuotoisuuden parantamisen kannalta, laajaperäinen maatalous mukaan luettuna. Laajaperäinen maatalous on elintärkeää monien lajien ja luontotyyppien säilyttämiseksi luonnoltaan monimuotoisilla alueilla. Monista laajaperäisistä maatalouskäytännöistä on monenlaista ja merkittävää hyötyä luonnon monimuotoisuuden, ekosysteemipalvelujen ja maisemapiirteiden suojelulle. Näitä ovat esimerkiksi täsmäviljely, luonnonmukainen maatalous, agroekologia, peltometsäviljely ja matalan intensiteetin pysyvän nurmen suojelun kannalta.</w:t>
      </w:r>
    </w:p>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r w:rsidRPr="00B87DD1">
        <w:t>(50)</w:t>
      </w:r>
      <w:r w:rsidRPr="00B87DD1">
        <w:tab/>
        <w:t>On tarpeen ottaa käyttöön ennallistamistoimenpiteitä maatalouden ekosysteemien luonnon monimuotoisuuden parantamiseksi kaikkialla unionissa, myös alueilla, jotka eivät kuulu direktiivin 92/43/ETY soveltamisalaan kuuluvien luontotyyppien piiriin. Koska maatalouden ekosysteemien tilan arvioimiseksi ei ole yhteistä menetelmää, joka mahdollistaisi erityisten ennallistamistavoitteiden asettamisen maatalouden ekosysteemeille, on aiheellista asettaa yleinen velvoite parantaa maatalouden ekosysteemien luonnon monimuotoisuutta ja mitata kyseisen velvoitteen täyttymistä olemassa olevien indikaattoreiden perusteella.</w:t>
      </w:r>
      <w:bookmarkStart w:id="21" w:name="_Hlk135935549"/>
    </w:p>
    <w:bookmarkEnd w:id="21"/>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r w:rsidRPr="00B87DD1">
        <w:t>(51)</w:t>
      </w:r>
      <w:r w:rsidRPr="00B87DD1">
        <w:tab/>
        <w:t>Koska viljelysmaiden linnut ovat hyvin tunnettuja ja laajalti tunnustettuja maatalouden ekosysteemien terveyttä kuvaavia keskeisiä indikaattoreita, on aiheellista asettaa tavoitteet niiden elvyttämiselle. Velvoite saavuttaa tällaiset tavoitteet koskisi jäsenvaltioita, ei yksittäisiä viljelijöitä. Jäsenvaltioiden olisi saavutettava nämä tavoitteet ottamalla käyttöön tehokkaita viljelysmaan ennallistamistoimenpiteitä, tekemällä yhteistyötä viljelijöiden ja muiden sidosryhmien kanssa ja tukemalla niitä niiden suunnittelussa ja täytäntöönpanossa käytännössä.</w:t>
      </w:r>
    </w:p>
    <w:p w:rsidR="00FF7B51" w:rsidRPr="00B87DD1" w:rsidRDefault="00FF7B51" w:rsidP="00FF7B51">
      <w:pPr>
        <w:widowControl/>
        <w:spacing w:after="200" w:line="276" w:lineRule="auto"/>
        <w:rPr>
          <w:rFonts w:eastAsia="Calibri"/>
          <w:szCs w:val="24"/>
        </w:rPr>
      </w:pPr>
      <w:r w:rsidRPr="00B87DD1">
        <w:br w:type="page"/>
      </w:r>
    </w:p>
    <w:p w:rsidR="00FF7B51" w:rsidRPr="00B87DD1" w:rsidRDefault="00FF7B51" w:rsidP="00FF7B51">
      <w:pPr>
        <w:widowControl/>
        <w:shd w:val="clear" w:color="auto" w:fill="FFFFFF"/>
        <w:suppressAutoHyphens/>
        <w:spacing w:before="120" w:after="120" w:line="360" w:lineRule="auto"/>
        <w:ind w:left="567" w:right="-1" w:hanging="567"/>
        <w:rPr>
          <w:rFonts w:eastAsia="Calibri"/>
          <w:b/>
          <w:szCs w:val="24"/>
        </w:rPr>
      </w:pPr>
      <w:r w:rsidRPr="00B87DD1">
        <w:lastRenderedPageBreak/>
        <w:t>(52)</w:t>
      </w:r>
      <w:r w:rsidRPr="00B87DD1">
        <w:tab/>
        <w:t xml:space="preserve">Maatalousmaan monimuotoiset maisemapiirteet, kuten suojakaistat, vuoroviljelyyn kuuluva ja kuulumaton kesantomaa, pensasaidat, yksittäiset puut ja puuryhmät, puurivit, pellonpientareet, palstat, ojat, purot, pienet kosteikot, terassiviljelmät, kiviröykkiöt, kiviaidat, pienet lammikot ja kulttuuriset erityispiirteet tarjoavat tilaa luonnonvaraisille kasveille ja eläimille, pölyttäjät mukaan lukien, estävät maaperän eroosiota ja ehtymistä, suodattavat ilmaa ja vettä, tukevat ilmastonmuutoksen hillitsemistä ja siihen sopeutumista sekä pölyttämisestä riippuvaisten viljelykasvien maatalouden tuottavuutta. Viljelymaan peltometsätalousjärjestelmiin kuuluvia tuottavia puita ja ei-tuotannollisten pensasaitojen tuotantoelementtejä voidaan myös pitää luonnoltaan monimuotoisina maisemapiirteinä edellyttäen, että niitä ei käsitellä lannoitteilla tai torjunta-aineilla ja korjuu tapahtuu vain silloin, kun se ei vaaranna luonnon monimuotoisuuden korkeaa tasoa. Sen vuoksi olisi säädettävä vaatimuksesta varmistaa sellaisen maatalousmaan osuuden lisääntyminen, jolla on hyvin monimuotoisia maisemapiirteitä. </w:t>
      </w:r>
      <w:r w:rsidR="00B5008A" w:rsidRPr="00B87DD1">
        <w:t>▌</w:t>
      </w:r>
      <w:r w:rsidRPr="00B87DD1">
        <w:t xml:space="preserve"> Myös muiden olemassa olevien indikaattorien, kuten ruohoalueiden perhoskantaindeksin ja viljelymaan kivennäismaan orgaanisen hiilen määrän, osalta olisi saavutettava lisääntyviä suuntauksia. </w:t>
      </w:r>
      <w:r w:rsidR="00B5008A" w:rsidRPr="00B87DD1">
        <w:rPr>
          <w:b/>
        </w:rPr>
        <w:t>[tark. 14]</w:t>
      </w:r>
    </w:p>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r w:rsidRPr="00B87DD1">
        <w:br w:type="page"/>
      </w:r>
      <w:r w:rsidRPr="00B87DD1">
        <w:lastRenderedPageBreak/>
        <w:t>(53)</w:t>
      </w:r>
      <w:r w:rsidRPr="00B87DD1">
        <w:tab/>
        <w:t>Yhteisen maatalouspolitiikan (YMP) tavoitteena on tukea ja vahvistaa ympäristönsuojelua, myös luonnon monimuotoisuutta. Yksi tämän politiikan erityistavoitteista on edistää luonnon monimuotoisuuden vähenemistä ja tämän suuntauksen kääntämistä sekä ekosysteemipalveluja sekä säilyttää elinympäristöjä ja maisemia. Uudessa YMP:n hyvää maatalous- ja ympäristökuntoa koskevassa ehdollisuusvaatimuksessa nro 8 (GAEC 8)</w:t>
      </w:r>
      <w:r w:rsidRPr="00B87DD1">
        <w:rPr>
          <w:rFonts w:eastAsia="Calibri"/>
          <w:szCs w:val="24"/>
          <w:vertAlign w:val="superscript"/>
          <w:lang w:eastAsia="en-US"/>
        </w:rPr>
        <w:footnoteReference w:id="42"/>
      </w:r>
      <w:r w:rsidRPr="00B87DD1">
        <w:t xml:space="preserve"> pinta-alaperusteisten tukien saajilta edellytetään, että vähintään neljä prosenttia maatilan peltoalasta on pidetty muuna kuin tuottavana alueena tai piirteenä, kesantoala mukaan lukien, ja että maisemapiirteet säilytetään. Kyseisen GAEC-vaatimuksen noudattamisesta johtuva neljän prosentin osuus voidaan pienentää kolmeen prosenttiin, jos tietyt ennakkoedellytykset täyttyvät</w:t>
      </w:r>
      <w:r w:rsidRPr="00B87DD1">
        <w:rPr>
          <w:rFonts w:eastAsia="Calibri"/>
          <w:szCs w:val="24"/>
          <w:vertAlign w:val="superscript"/>
          <w:lang w:eastAsia="en-US"/>
        </w:rPr>
        <w:footnoteReference w:id="43"/>
      </w:r>
      <w:r w:rsidRPr="00B87DD1">
        <w:t>. Tämä velvoite auttaa jäsenvaltioita saavuttamaan myönteisen suuntauksen maatalousmaan monipuolisissa maisemapiirteissä. Lisäksi jäsenvaltioilla on YMP:n puitteissa mahdollisuus ottaa käyttöön viljelijöiden maatalousalueilla harjoittamia maatalouskäytäntöjä varten ekojärjestelmiä, joihin voi kuulua maisemapiirteiden tai tuottamattomien alojen säilyttäminen ja kehittäminen. Vastaavasti jäsenvaltiot voivat sisällyttää YMP:n strategiasuunnitelmiinsa myös maatalouden ympäristö- ja ilmastositoumuksia, mukaan lukien maisemapiirteiden tehostettu hallinnointi, joka menee GAEC-vaatimusta 8 ja/tai ekojärjestelmiä pidemmälle. Luonnon ja biologisen monimuotoisuuden Life+-hankkeet edistävät myös Euroopan luonnon maatalousmaan monimuotoisuuden elpymistä vuoteen 2030 mennessä, koska niillä tuetaan direktiivin 92/43/ETY ja direktiivin 2009/147/EY sekä vuoteen 2030 ulottuvan biologista monimuotoisuutta koskevan EU:n biodiversiteettistrategian täytäntöönpanoa.</w:t>
      </w:r>
    </w:p>
    <w:p w:rsidR="00FF7B51" w:rsidRPr="00B87DD1" w:rsidRDefault="00FF7B51" w:rsidP="00FF7B51">
      <w:pPr>
        <w:widowControl/>
        <w:shd w:val="clear" w:color="auto" w:fill="FFFFFF"/>
        <w:suppressAutoHyphens/>
        <w:spacing w:before="120" w:after="120" w:line="360" w:lineRule="auto"/>
        <w:ind w:left="567" w:right="-1" w:hanging="567"/>
        <w:rPr>
          <w:rFonts w:eastAsia="Calibri"/>
          <w:i/>
          <w:szCs w:val="24"/>
        </w:rPr>
      </w:pPr>
      <w:r w:rsidRPr="00B87DD1">
        <w:br w:type="page"/>
      </w:r>
      <w:r w:rsidRPr="00B87DD1">
        <w:lastRenderedPageBreak/>
        <w:t>(54)</w:t>
      </w:r>
      <w:r w:rsidRPr="00B87DD1">
        <w:tab/>
        <w:t>Orgaanisen maaperän</w:t>
      </w:r>
      <w:r w:rsidRPr="00B87DD1">
        <w:rPr>
          <w:rFonts w:eastAsia="Calibri"/>
          <w:szCs w:val="24"/>
          <w:vertAlign w:val="superscript"/>
          <w:lang w:eastAsia="en-US"/>
        </w:rPr>
        <w:footnoteReference w:id="44"/>
      </w:r>
      <w:r w:rsidRPr="00B87DD1">
        <w:t xml:space="preserve"> ennallistaminen ja uudelleenvesittäminen</w:t>
      </w:r>
      <w:r w:rsidRPr="00B87DD1">
        <w:rPr>
          <w:rFonts w:eastAsia="Calibri"/>
          <w:szCs w:val="24"/>
          <w:vertAlign w:val="superscript"/>
          <w:lang w:eastAsia="en-US"/>
        </w:rPr>
        <w:footnoteReference w:id="45"/>
      </w:r>
      <w:r w:rsidRPr="00B87DD1">
        <w:t xml:space="preserve"> maatalouskäytössä (laidun- ja viljelysmaana), jossa käytetään kuivatettuja turvemaita, auttaa saavuttamaan merkittäviä luonnon monimuotoisuuteen liittyviä hyötyjä, vähentämään merkittävästi kasvihuonekaasupäästöjä ja tarjoaa muita ympäristöhyötyjä sekä edistää samalla monimuotoista maatalousmaisemaa. </w:t>
      </w:r>
      <w:bookmarkStart w:id="22" w:name="_Hlk136867766"/>
      <w:r w:rsidRPr="00B87DD1">
        <w:t>Jäsenvaltiot voivat valita erilaisista kuivattujen turvemaiden ennallistamistoimenpiteistä, kuten viljelymaan muuttaminen pysyväksi nurmeksi ja laajaperäistämistoimenpiteet, joihin liittyy kuivatuksen vähentäminen, sekä täysimittainen uudelleenvesittäminen, johon liittyy mahdollisuus kosteikkojen viljelykäyttöön, tai turvetta muodostavan kasvillisuuden kasvattaminen.</w:t>
      </w:r>
      <w:bookmarkEnd w:id="22"/>
      <w:r w:rsidRPr="00B87DD1">
        <w:t xml:space="preserve"> Merkittävimmät ilmastohyödyt saadaan viljelymaan ennallistamisesta ja uudelleenvesittämisestä ja sen jälkeen voimaperäisesti viljellyn nurmen ennallistamisesta. Jotta maatalouskäytössä olevia kuivatettuja turvemaita koskeva ennallistamistavoite voidaan panna joustavasti täytäntöön, jäsenvaltiot voivat katsoa ennallistamistoimenpiteiden ja kuivattujen turvemaiden uudelleenvesittämisen turpeenottoalueilla sekä tietyssä määrin kuivatettujen turvemaiden ennallistamisen ja uudelleenvesittämisen muussa maankäytössä (esimerkiksi metsänä) edistävän tavoitteita, jotka koskevat maatalouskäytössä olevia kuivattuja turvemaita.</w:t>
      </w:r>
      <w:r w:rsidRPr="00B87DD1">
        <w:rPr>
          <w:b/>
          <w:i/>
        </w:rPr>
        <w:t xml:space="preserve"> Jäsenvaltiot voivat asianmukaisesti perustelluissa tapauksissa ja jos maatalouskäytössä olevien ojitettujen turvemaiden uudelleenvesittäminen ei ole toteutettavissa rakennuksiin, infrastruktuuriin, ilmastonmuutokseen sopeutumiseen tai muiden yleiseen etuun liittyvien huomattavien kielteisten vaikutusten vuoksi ja jos muussa maankäytössä olevia turvemaita ei ole mahdollista uudelleenvesittää, jäsenvaltiot voivat vahvistaa uudelleenvesitettävien turvemaiden laajuuden pienemmäksi.</w:t>
      </w:r>
    </w:p>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r w:rsidRPr="00B87DD1">
        <w:br w:type="page"/>
      </w:r>
      <w:r w:rsidRPr="00B87DD1">
        <w:lastRenderedPageBreak/>
        <w:t>(55)</w:t>
      </w:r>
      <w:r w:rsidRPr="00B87DD1">
        <w:tab/>
        <w:t xml:space="preserve">Jotta luonnon monimuotoisuuden kannalta saataisiin mahdollisimman suuri hyöty, kuivatun turvemaan alueiden ennallistamisen ja uudelleenvesittämisen olisi ulotuttava sellaisten direktiivin 92/43/ETY liitteessä I lueteltujen kosteikkojen luontotyyppien alueiden ulkopuolelle, jotka on tarkoitus ennallistaa ja saattaa ennalleen. Tietoja orgaanisen maaperän laajuudesta sekä sen kasvihuonekaasupäästöistä ja -poistumista seurataan ja asetetaan saataville LULUCF-sektorin raportoinnissa jäsenvaltioiden kansallisissa kasvihuonekaasuinventaarioissa, jotka toimitetaan UNFCCC:n sihteeristölle. Ennallistettuja ja uudelleenvesitettyjä turvemaita voidaan edelleen käyttää tuottavasti vaihtoehtoisilla tavoilla. Esimerkiksi kosteikkoalueella (kosteilla turvemailla) harjoitettavaan viljelyyn voi kuulua erityyppisten ruokojen ja tiettyjen puiden, mustikoiden ja karpaloiden sekä rahkasammaleen viljely ja vesipuhvelien laiduntaminen. Tällaisten käytäntöjen olisi perustuttava kestävän hoidon periaatteisiin, ja niillä olisi pyrittävä lisäämään luonnon monimuotoisuutta, jotta ne voivat olla arvokkaita sekä taloudellisesti että ekologisesti. </w:t>
      </w:r>
      <w:r w:rsidRPr="00B87DD1">
        <w:rPr>
          <w:b/>
          <w:bCs/>
          <w:i/>
          <w:iCs/>
        </w:rPr>
        <w:t>Kosteikkoalueen</w:t>
      </w:r>
      <w:r w:rsidRPr="00B87DD1">
        <w:t xml:space="preserve"> viljely voi myös hyödyttää useita lajeja, jotka ovat uhanalaisia unionissa, ja se voi myös helpottaa kosteikkoalueiden ja niihin liittyvien lajien kantojen kytkeytyneisyyttä unionissa. Kuivatettujen turvemaiden ennallistamiseen ja uudelleenvesittämiseen sekä mahdollisten tulonmenetysten korvaamiseen tarkoitettujen toimenpiteiden rahoitusta voidaan saada useista eri lähteistä, kuten unionin talousarviosta ja unionin rahoitusohjelmista.</w:t>
      </w:r>
    </w:p>
    <w:p w:rsidR="00FF7B51" w:rsidRPr="00B87DD1" w:rsidRDefault="00FF7B51" w:rsidP="00FF7B51">
      <w:pPr>
        <w:widowControl/>
        <w:shd w:val="clear" w:color="auto" w:fill="FFFFFF"/>
        <w:suppressAutoHyphens/>
        <w:spacing w:before="120" w:after="120" w:line="360" w:lineRule="auto"/>
        <w:ind w:left="567" w:right="-1" w:hanging="567"/>
        <w:rPr>
          <w:rFonts w:eastAsia="Calibri"/>
          <w:szCs w:val="24"/>
        </w:rPr>
      </w:pPr>
      <w:r w:rsidRPr="00B87DD1">
        <w:t>(56)</w:t>
      </w:r>
      <w:r w:rsidRPr="00B87DD1">
        <w:tab/>
        <w:t>EU:n uudessa vuoteen 2030 ulottuvassa metsästrategiassa</w:t>
      </w:r>
      <w:r w:rsidRPr="00B87DD1">
        <w:rPr>
          <w:rFonts w:eastAsia="Calibri"/>
          <w:szCs w:val="24"/>
          <w:vertAlign w:val="superscript"/>
          <w:lang w:eastAsia="en-US"/>
        </w:rPr>
        <w:footnoteReference w:id="46"/>
      </w:r>
      <w:r w:rsidRPr="00B87DD1">
        <w:t xml:space="preserve"> korostettiin tarvetta palauttaa metsien luonnon monimuotoisuus. Metsät ja muu puustoinen maa peittävät yli 43,5 prosenttia EU:n maapinta-alasta. Metsäekosysteemit, joissa on runsaasti luonnon monimuotoisuutta, ovat alttiita ilmastonmuutokselle, mutta ne ovat myös </w:t>
      </w:r>
      <w:r w:rsidRPr="00B87DD1">
        <w:rPr>
          <w:shd w:val="clear" w:color="auto" w:fill="FFFFFF"/>
        </w:rPr>
        <w:t>luonnollinen liittolainen ilmastonmuutokseen ja ilmastonmuutokseen liittyviin riskeihin sopeutumisessa ja niiden torjumisessa, myös hiilivaranto- ja nielutoimintojensa kautta, ja</w:t>
      </w:r>
      <w:r w:rsidRPr="00B87DD1">
        <w:t xml:space="preserve"> ne tarjoavat monia muita tärkeitä ekosysteemipalveluja ja -hyötyjä, joita ovat muun muassa puutavaran ja puun, elintarvikkeiden ja muiden kuin puutuotteiden tarjonta, ilmaston sääntely, maaperän stabilointi ja eroosion hallinta sekä ilman ja veden puhdistaminen.</w:t>
      </w:r>
    </w:p>
    <w:p w:rsidR="00DF0385" w:rsidRPr="00B87DD1" w:rsidRDefault="00FF7B51" w:rsidP="00184958">
      <w:pPr>
        <w:widowControl/>
        <w:shd w:val="clear" w:color="auto" w:fill="FFFFFF"/>
        <w:suppressAutoHyphens/>
        <w:spacing w:before="120" w:after="120" w:line="360" w:lineRule="auto"/>
        <w:ind w:left="567" w:right="-1" w:hanging="567"/>
        <w:rPr>
          <w:b/>
        </w:rPr>
      </w:pPr>
      <w:r w:rsidRPr="00B87DD1">
        <w:br w:type="page"/>
      </w:r>
      <w:r w:rsidR="00DF0385" w:rsidRPr="00B87DD1">
        <w:lastRenderedPageBreak/>
        <w:t>▌</w:t>
      </w:r>
      <w:r w:rsidR="00DF0385" w:rsidRPr="00B87DD1">
        <w:rPr>
          <w:b/>
        </w:rPr>
        <w:t xml:space="preserve"> [tark. 112</w:t>
      </w:r>
      <w:r w:rsidR="00E21FBD" w:rsidRPr="00B87DD1">
        <w:rPr>
          <w:b/>
        </w:rPr>
        <w:t>/rev1]</w:t>
      </w:r>
    </w:p>
    <w:p w:rsidR="00FF7B51" w:rsidRPr="00B87DD1" w:rsidRDefault="00FF7B51" w:rsidP="00184958">
      <w:pPr>
        <w:widowControl/>
        <w:shd w:val="clear" w:color="auto" w:fill="FFFFFF"/>
        <w:suppressAutoHyphens/>
        <w:spacing w:before="120" w:after="120" w:line="360" w:lineRule="auto"/>
        <w:ind w:left="567" w:right="-1" w:hanging="567"/>
        <w:rPr>
          <w:rFonts w:eastAsia="Calibri"/>
          <w:szCs w:val="24"/>
        </w:rPr>
      </w:pPr>
      <w:r w:rsidRPr="00B87DD1">
        <w:t>(58)</w:t>
      </w:r>
      <w:r w:rsidRPr="00B87DD1">
        <w:tab/>
        <w:t xml:space="preserve">Direktiivien 92/43/ETY ja 2009/147/EY nojalla suojeltuja luontotyyppejä ja lajeja, pölyttäjiä sekä makean veden, kaupunkien, maatalouden ja metsätalouden ekosysteemejä koskevien ennallistamistavoitteiden ja -velvoitteiden olisi täydennettävä toisiaan ja toimittava synergiassa, jotta voidaan saavuttaa yleinen tavoite ekosysteemien ennallistamisesta </w:t>
      </w:r>
      <w:r w:rsidRPr="00B87DD1">
        <w:rPr>
          <w:b/>
          <w:i/>
        </w:rPr>
        <w:t>jäsenvaltioiden</w:t>
      </w:r>
      <w:r w:rsidRPr="00B87DD1">
        <w:t xml:space="preserve"> maa- ja merialueilla. Yhden erityistavoitteen saavuttamiseksi tarvittavat ennallistamistoimenpiteet edistävät monissa tapauksissa muiden tavoitteiden tai velvoitteiden saavuttamista. Jäsenvaltioiden olisi sen vuoksi suunniteltava ennallistamistoimenpiteet strategisesti, jotta maksimoidaan niiden vaikuttavuus luonnon elpymisen edistämisessä kaikkialla unionissa. Ennallistamistoimenpiteet olisi suunniteltava myös siten, että niillä puututaan ilmastonmuutoksen hillitsemiseen ja ilmastonmuutokseen sopeutumiseen sekä luonnonkatastrofien vaikutusten ehkäisemiseen ja hallintaan </w:t>
      </w:r>
      <w:r w:rsidRPr="00B87DD1">
        <w:rPr>
          <w:b/>
          <w:i/>
        </w:rPr>
        <w:t>ja maaperän tuottokyvyn heikentämiseen</w:t>
      </w:r>
      <w:r w:rsidRPr="00B87DD1">
        <w:t>. Niillä olisi pyrittävä optimoimaan ekosysteemien ekologiset, taloudelliset ja sosiaaliset toiminnot, mukaan lukien niiden tuottavuuspotentiaali, ottaen huomioon niiden vaikutus asianomaisten alueiden ja yhteisöjen kestävään kehitykseen. On tärkeää, että jäsenvaltiot laativat yksityiskohtaiset kansalliset ennallistamissuunnitelmat, jotka perustuvat parhaaseen saatavilla olevaan tieteelliseen näyttöön</w:t>
      </w:r>
      <w:r w:rsidRPr="00B87DD1">
        <w:rPr>
          <w:b/>
          <w:i/>
        </w:rPr>
        <w:t>.</w:t>
      </w:r>
      <w:r w:rsidRPr="00B87DD1">
        <w:t xml:space="preserve"> </w:t>
      </w:r>
      <w:r w:rsidRPr="00B87DD1">
        <w:rPr>
          <w:b/>
          <w:i/>
        </w:rPr>
        <w:t>Luontotyyppien suotuisaa viitealaa koskevien päätösten pitäisi perustua dokumentoituihin tietoihin historiallisesta levinneisyydestä ja pinta-alasta sekä ilmastonmuutoksesta johtuvista ennakoiduista ympäristöolosuhteiden muutoksista. Lisäksi on tärkeää,</w:t>
      </w:r>
      <w:r w:rsidRPr="00B87DD1">
        <w:t xml:space="preserve"> että yleisölle annetaan mahdollisuus osallistua varhaisessa vaiheessa ja tehokkaasti suunnitelmien valmisteluun. Jäsenvaltioiden olisi otettava huomioon alueensa erityisolosuhteet ja -tarpeet, jotta suunnitelmissa voidaan vastata luonnon monimuotoisuuden köyhtymisen aiheuttamiin paineisiin, uhkiin ja syihin, ja niiden olisi tehtävä yhteistyötä ennallistamisen ja rajatylittävien yhteyksien varmistamiseksi.</w:t>
      </w:r>
    </w:p>
    <w:p w:rsidR="00FF7B51" w:rsidRPr="00B87DD1" w:rsidRDefault="00FF7B51" w:rsidP="00FF7B51">
      <w:pPr>
        <w:widowControl/>
        <w:suppressAutoHyphens/>
        <w:spacing w:before="120" w:after="120" w:line="360" w:lineRule="auto"/>
        <w:ind w:left="567" w:right="-1" w:hanging="567"/>
        <w:rPr>
          <w:rFonts w:eastAsia="Calibri"/>
          <w:szCs w:val="24"/>
          <w:shd w:val="clear" w:color="auto" w:fill="FFFFFF"/>
        </w:rPr>
      </w:pPr>
      <w:r w:rsidRPr="00B87DD1">
        <w:br w:type="page"/>
      </w:r>
      <w:r w:rsidRPr="00B87DD1">
        <w:lastRenderedPageBreak/>
        <w:t>(59)</w:t>
      </w:r>
      <w:r w:rsidRPr="00B87DD1">
        <w:tab/>
        <w:t xml:space="preserve">Jotta voidaan varmistaa synergia niiden eri toimenpiteiden välillä, jotka on toteutettu ja joita aiotaan toteuttaa luonnon suojelemiseksi, säilyttämiseksi ja ennallistamiseksi unionissa, jäsenvaltioiden olisi kansallisia ennallistamissuunnitelmiaan laatiessaan otettava huomioon Natura 2000 -alueita varten vahvistetut suojelutoimenpiteet ja direktiivien 92/43/ETY ja 2009/147/EY mukaisesti laaditut hankkeiden toteuttamisjärjestyksen sisältävät toimintasuunnitelmat; direktiivin 2000/60/EY mukaisesti laadittuihin vesipiirin hoitosuunnitelmiin sisältyvät toimenpiteet vesimuodostumien hyvän ekologisen ja kemiallisen tilan saavuttamiseksi; direktiivin 2008/56/EY mukaisesti laaditut meristrategiat ympäristön hyvän tilan saavuttamiseksi kaikilla unionin merialueilla; direktiivin (EU) 2016/2284 mukaisesti laaditut kansalliset ilmansuojeluohjelmat; biologista monimuotoisuutta koskevan yleissopimuksen 6 artiklan mukaisesti laaditut kansalliset biodiversiteettistrategiat ja </w:t>
      </w:r>
      <w:r w:rsidRPr="00B87DD1">
        <w:noBreakHyphen/>
        <w:t xml:space="preserve">toimintasuunnitelmat sekä asetuksen (EU) N:o 1380/2013 mukaisesti hyväksytyt säilyttämistoimenpiteet ja </w:t>
      </w:r>
      <w:r w:rsidRPr="00B87DD1">
        <w:rPr>
          <w:shd w:val="clear" w:color="auto" w:fill="FFFFFF"/>
        </w:rPr>
        <w:t>Euroopan parlamentin ja neuvoston asetuksen (EU) 2019/1241 mukaisesti hyväksytyt tekniset toimenpiteet</w:t>
      </w:r>
      <w:r w:rsidRPr="00B87DD1">
        <w:rPr>
          <w:rFonts w:eastAsia="Calibri"/>
          <w:szCs w:val="24"/>
          <w:vertAlign w:val="superscript"/>
          <w:lang w:eastAsia="en-US"/>
        </w:rPr>
        <w:footnoteReference w:id="47"/>
      </w:r>
      <w:r w:rsidRPr="00B87DD1">
        <w:rPr>
          <w:shd w:val="clear" w:color="auto" w:fill="FFFFFF"/>
        </w:rPr>
        <w:t>.</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r w:rsidRPr="00B87DD1">
        <w:lastRenderedPageBreak/>
        <w:t>(60)</w:t>
      </w:r>
      <w:r w:rsidRPr="00B87DD1">
        <w:tab/>
        <w:t>Jotta voidaan varmistaa johdonmukaisuus tämän asetuksen sekä direktiivin (EU) 2018/2001</w:t>
      </w:r>
      <w:r w:rsidRPr="00B87DD1">
        <w:rPr>
          <w:rFonts w:eastAsia="Calibri"/>
          <w:szCs w:val="24"/>
          <w:vertAlign w:val="superscript"/>
          <w:lang w:eastAsia="en-US"/>
        </w:rPr>
        <w:footnoteReference w:id="48"/>
      </w:r>
      <w:r w:rsidRPr="00B87DD1">
        <w:t>, asetuksen (EU) 2018/1999</w:t>
      </w:r>
      <w:r w:rsidRPr="00B87DD1">
        <w:rPr>
          <w:rFonts w:eastAsia="Calibri"/>
          <w:szCs w:val="24"/>
          <w:vertAlign w:val="superscript"/>
          <w:lang w:eastAsia="en-US"/>
        </w:rPr>
        <w:footnoteReference w:id="49"/>
      </w:r>
      <w:r w:rsidRPr="00B87DD1">
        <w:t xml:space="preserve"> ja Euroopan parlamentin ja neuvoston direktiivin 98/70/EY</w:t>
      </w:r>
      <w:r w:rsidRPr="00B87DD1">
        <w:rPr>
          <w:rFonts w:eastAsia="Calibri"/>
          <w:szCs w:val="24"/>
          <w:vertAlign w:val="superscript"/>
          <w:lang w:eastAsia="en-US"/>
        </w:rPr>
        <w:footnoteReference w:id="50"/>
      </w:r>
      <w:r w:rsidRPr="00B87DD1">
        <w:t xml:space="preserve"> tavoitteiden välillä uusiutuvista lähteistä peräisin olevan energian edistämisen osalta, erityisesti kansallisten ennallistamissuunnitelmien valmistelun yhteydessä, jäsenvaltioiden olisi otettava huomioon uusiutuvaa energiaa koskevien hankkeiden mahdollisuudet edistää luonnon ennallistamistavoitteiden saavuttamista.</w:t>
      </w:r>
    </w:p>
    <w:p w:rsidR="00FF7B51" w:rsidRPr="00B87DD1" w:rsidRDefault="00FF7B51" w:rsidP="00FF7B51">
      <w:pPr>
        <w:widowControl/>
        <w:suppressAutoHyphens/>
        <w:spacing w:before="120" w:after="120" w:line="360" w:lineRule="auto"/>
        <w:ind w:left="567" w:right="-1" w:hanging="567"/>
        <w:rPr>
          <w:rFonts w:eastAsia="Calibri"/>
          <w:szCs w:val="24"/>
          <w:shd w:val="clear" w:color="auto" w:fill="FFFFFF"/>
        </w:rPr>
      </w:pPr>
      <w:r w:rsidRPr="00B87DD1">
        <w:t>(61)</w:t>
      </w:r>
      <w:r w:rsidRPr="00B87DD1">
        <w:tab/>
      </w:r>
      <w:r w:rsidRPr="00B87DD1">
        <w:rPr>
          <w:shd w:val="clear" w:color="auto" w:fill="FFFFFF"/>
        </w:rPr>
        <w:t xml:space="preserve">Koska on tärkeää puuttua johdonmukaisesti luonnon monimuotoisuuden köyhtymiseen ja ilmastonmuutokseen liittyviin kahteen samanaikaiseen haasteeseen, luonnon monimuotoisuuden ennallistamisessa olisi otettava huomioon uusiutuvan energian käyttöönotto ja päinvastoin. </w:t>
      </w:r>
      <w:r w:rsidRPr="00B87DD1">
        <w:rPr>
          <w:b/>
          <w:i/>
          <w:shd w:val="clear" w:color="auto" w:fill="FFFFFF"/>
        </w:rPr>
        <w:t>Ennallistamistoimet ja uusiutuvan energian käyttöönottohankkeet voidaan yhdistää aina kun se on mahdollista, muun muassa uusiutuvan energian nopean kehittämisen alueilla ja erityisillä infrastruktuurialueilla.</w:t>
      </w:r>
      <w:r w:rsidRPr="00B87DD1">
        <w:rPr>
          <w:shd w:val="clear" w:color="auto" w:fill="FFFFFF"/>
        </w:rPr>
        <w:t xml:space="preserve"> </w:t>
      </w:r>
      <w:r w:rsidRPr="00B87DD1">
        <w:rPr>
          <w:b/>
          <w:i/>
          <w:shd w:val="clear" w:color="auto" w:fill="FFFFFF"/>
        </w:rPr>
        <w:t>Direktiivin (EU) 2018/2001 mukaan jäsenvaltioiden on toteutettava koordinoitu kartoitus uusiutuvista lähteistä peräisin olevan energian käyttöönottamiseksi alueellaan, jotta voidaan määrittää kansallinen potentiaali ja käytettävissä olevat maanpinta-alueet, maanpinnan alaiset alueet ja meri- tai sisävesialueet, jotka ovat tarpeen uusiutuvia energialähteitä käyttävien tuotantolaitosten sijoittamiselle, ja tähän liittyvä infrastruktuuri, kuten verkko ja varastointiratkaisut, lämpövarastointi mukaan luettuna, joita tarvitaan, jotta ne voivat täyttää vähintään kansalliset panoksensa vuoteen 2030 asetetun uusiutuvaa energiaa koskevan tarkistetun tavoitteen saavuttamiseen. Näiden alueiden, mukaan lukien olemassa olevat laitokset ja yhteistyömekanismit, on vastattava kansallisissa energia- ja ilmastosuunnitelmissa vahvistettuja arvioituja kehityskulkuja ja suunniteltua asennettua kokonaiskapasiteettia kutakin uusiutuvan energian teknologiaa kohti.</w:t>
      </w:r>
      <w:r w:rsidRPr="00B87DD1">
        <w:rPr>
          <w:shd w:val="clear" w:color="auto" w:fill="FFFFFF"/>
        </w:rPr>
        <w:t xml:space="preserve"> </w:t>
      </w:r>
      <w:r w:rsidRPr="00B87DD1">
        <w:rPr>
          <w:b/>
          <w:i/>
          <w:shd w:val="clear" w:color="auto" w:fill="FFFFFF"/>
        </w:rPr>
        <w:t>Jäsenvaltioiden olisi nimettävä näiden alueiden alaryhmä uusiutuvan energian nopean kehittämisen alueiksi.</w:t>
      </w:r>
      <w:r w:rsidRPr="00B87DD1">
        <w:rPr>
          <w:shd w:val="clear" w:color="auto" w:fill="FFFFFF"/>
        </w:rPr>
        <w:t xml:space="preserve"> Nämä ovat erityisiä joko maalla tai merellä sijaitsevia paikkoja, jotka soveltuvat erityisen </w:t>
      </w:r>
      <w:r w:rsidRPr="00B87DD1">
        <w:rPr>
          <w:shd w:val="clear" w:color="auto" w:fill="FFFFFF"/>
        </w:rPr>
        <w:lastRenderedPageBreak/>
        <w:t>hyvin sellaisten laitosten asentamiseen, joissa tuotetaan energiaa uusiutuvista lähteistä</w:t>
      </w:r>
      <w:r w:rsidRPr="00B87DD1">
        <w:t xml:space="preserve">, </w:t>
      </w:r>
      <w:r w:rsidRPr="00B87DD1">
        <w:rPr>
          <w:rFonts w:ascii="Arial" w:hAnsi="Arial"/>
          <w:snapToGrid w:val="0"/>
        </w:rPr>
        <w:t>▌</w:t>
      </w:r>
      <w:r w:rsidRPr="00B87DD1">
        <w:rPr>
          <w:shd w:val="clear" w:color="auto" w:fill="FFFFFF"/>
        </w:rPr>
        <w:t>joissa tietyntyyppisen uusiutuvan energian käyttöönotolla ei odoteta olevan merkittäviä ympäristövaikutuksia valitun alueen erityispiirteiden vuoksi. Jäsenvaltioiden olisi asetettava etusijalle</w:t>
      </w:r>
      <w:r w:rsidRPr="00B87DD1">
        <w:t xml:space="preserve"> keinotekoiset ja rakennetut pinnat, kuten </w:t>
      </w:r>
      <w:r w:rsidRPr="00B87DD1">
        <w:rPr>
          <w:b/>
          <w:i/>
        </w:rPr>
        <w:t>rakennusten</w:t>
      </w:r>
      <w:r w:rsidRPr="00B87DD1">
        <w:t xml:space="preserve"> katot </w:t>
      </w:r>
      <w:r w:rsidRPr="00B87DD1">
        <w:rPr>
          <w:b/>
          <w:i/>
        </w:rPr>
        <w:t>ja julkisivut</w:t>
      </w:r>
      <w:r w:rsidRPr="00B87DD1">
        <w:t xml:space="preserve">, liikenneinfrastruktuurialueet </w:t>
      </w:r>
      <w:r w:rsidRPr="00B87DD1">
        <w:rPr>
          <w:b/>
          <w:i/>
        </w:rPr>
        <w:t>ja niiden välitön ympäristö</w:t>
      </w:r>
      <w:r w:rsidRPr="00B87DD1">
        <w:t>, paikoitusalueet,</w:t>
      </w:r>
      <w:r w:rsidRPr="00B87DD1">
        <w:rPr>
          <w:b/>
          <w:i/>
        </w:rPr>
        <w:t xml:space="preserve"> maatilat,</w:t>
      </w:r>
      <w:r w:rsidRPr="00B87DD1">
        <w:t xml:space="preserve"> jätealueet, teollisuusalueet, kaivokset, keinotekoiset sisävesialueet, järvet tai tekoaltaat ja tarvittaessa yhdyskuntajätevesien käsittelylaitokset sekä pilaantuneet maa-alueet, joita ei voida käyttää maataloudessa. </w:t>
      </w:r>
      <w:r w:rsidRPr="00B87DD1">
        <w:rPr>
          <w:b/>
          <w:i/>
          <w:shd w:val="clear" w:color="auto" w:fill="FFFFFF"/>
        </w:rPr>
        <w:t>Direktiivissä (EU) 2018/2001 säädetään myös, että jäsenvaltiot voivat</w:t>
      </w:r>
      <w:r w:rsidRPr="00B87DD1">
        <w:rPr>
          <w:b/>
          <w:i/>
        </w:rPr>
        <w:t xml:space="preserve"> </w:t>
      </w:r>
      <w:r w:rsidRPr="00B87DD1">
        <w:rPr>
          <w:b/>
          <w:i/>
          <w:shd w:val="clear" w:color="auto" w:fill="FFFFFF"/>
        </w:rPr>
        <w:t xml:space="preserve">hyväksyä suunnitelman tai suunnitelmat, joissa nimetään erityisiä infrastruktuurialueita verkko- ja varastointihankkeiden kehittämiseksi, joita tarvitaan uusiutuvan energian integroimiseksi sähköjärjestelmään, kun tällaisella kehittämisellä ei odoteta olevan merkittäviä ympäristövaikutuksia tai tällaisia vaikutuksia voidaan lieventää asianmukaisesti tai, jos tämä ei ole mahdollista, vaikutukset voidaan kompensoida. Tällaisten alueiden tavoitteena on tukea ja täydentää uusiutuvan energian nopean kehittämisen alueita. </w:t>
      </w:r>
      <w:r w:rsidRPr="00B87DD1">
        <w:rPr>
          <w:shd w:val="clear" w:color="auto" w:fill="FFFFFF"/>
        </w:rPr>
        <w:t>Uusiutuvan energian</w:t>
      </w:r>
      <w:r w:rsidRPr="00B87DD1">
        <w:rPr>
          <w:b/>
          <w:i/>
          <w:shd w:val="clear" w:color="auto" w:fill="FFFFFF"/>
        </w:rPr>
        <w:t xml:space="preserve"> nopean kehittämisen alueita ja erityisiä infrastruktuurialueita</w:t>
      </w:r>
      <w:r w:rsidRPr="00B87DD1">
        <w:rPr>
          <w:shd w:val="clear" w:color="auto" w:fill="FFFFFF"/>
        </w:rPr>
        <w:t xml:space="preserve"> nimetessään jäsenvaltioiden olisi vältettävä suojelualueita sekä otettava huomioon ennallistamissuunnitelmansa. Jäsenvaltioiden olisi koordinoitava kansallisten ennallistamissuunnitelmien laatimista </w:t>
      </w:r>
      <w:r w:rsidRPr="00B87DD1">
        <w:rPr>
          <w:b/>
          <w:i/>
          <w:shd w:val="clear" w:color="auto" w:fill="FFFFFF"/>
        </w:rPr>
        <w:t xml:space="preserve">vuoteen 2030 asetetun uusiutuvaa energiaa koskevan tavoitteen saavuttamiseen vaadittavien alueiden kartoittamisen kanssa ja tapauksen mukaan uusiutuvan energian nopean kehittämisen alueiden ja erityisten infrastruktuurialueiden </w:t>
      </w:r>
      <w:r w:rsidRPr="00B87DD1">
        <w:rPr>
          <w:shd w:val="clear" w:color="auto" w:fill="FFFFFF"/>
        </w:rPr>
        <w:t>nimeämisen kanssa. Luonnon ennallistamissuunnitelmien valmistelun aikana jäsenvaltioiden olisi varmistettava synergia</w:t>
      </w:r>
      <w:r w:rsidRPr="00B87DD1">
        <w:rPr>
          <w:b/>
          <w:i/>
          <w:shd w:val="clear" w:color="auto" w:fill="FFFFFF"/>
        </w:rPr>
        <w:t xml:space="preserve"> uusiutuvan energian ja energiainfrastruktuurin kehittämisen ja</w:t>
      </w:r>
      <w:r w:rsidRPr="00B87DD1">
        <w:rPr>
          <w:shd w:val="clear" w:color="auto" w:fill="FFFFFF"/>
        </w:rPr>
        <w:t xml:space="preserve"> jo nimettyjen uusiutuvan </w:t>
      </w:r>
      <w:r w:rsidRPr="00B87DD1">
        <w:rPr>
          <w:b/>
          <w:i/>
          <w:shd w:val="clear" w:color="auto" w:fill="FFFFFF"/>
        </w:rPr>
        <w:t>energian nopean kehittämisen alueiden ja erityisten infrastruktuurialueiden</w:t>
      </w:r>
      <w:r w:rsidRPr="00B87DD1">
        <w:rPr>
          <w:shd w:val="clear" w:color="auto" w:fill="FFFFFF"/>
        </w:rPr>
        <w:t xml:space="preserve"> kanssa ja varmistettava, että </w:t>
      </w:r>
      <w:r w:rsidRPr="00B87DD1">
        <w:rPr>
          <w:b/>
          <w:i/>
          <w:shd w:val="clear" w:color="auto" w:fill="FFFFFF"/>
        </w:rPr>
        <w:t>näiden uusiutuvan energian</w:t>
      </w:r>
      <w:r w:rsidRPr="00B87DD1">
        <w:rPr>
          <w:b/>
          <w:i/>
        </w:rPr>
        <w:t xml:space="preserve"> alueiden</w:t>
      </w:r>
      <w:r w:rsidRPr="00B87DD1">
        <w:t xml:space="preserve"> toiminta, mukaan lukien direktiivissä (EU) 2018/2001 säädetyt </w:t>
      </w:r>
      <w:r w:rsidRPr="00B87DD1">
        <w:rPr>
          <w:b/>
          <w:i/>
        </w:rPr>
        <w:t xml:space="preserve">näihin uusiutuvan energian alueisiin </w:t>
      </w:r>
      <w:r w:rsidRPr="00B87DD1">
        <w:t>sovellettavat lupamenettelyt, ei muutu.</w:t>
      </w:r>
    </w:p>
    <w:p w:rsidR="00FF7B51" w:rsidRPr="00B87DD1" w:rsidRDefault="00FF7B51" w:rsidP="00FF7B51">
      <w:pPr>
        <w:widowControl/>
        <w:suppressAutoHyphens/>
        <w:spacing w:before="120" w:after="120" w:line="360" w:lineRule="auto"/>
        <w:ind w:left="567" w:right="-1" w:hanging="567"/>
        <w:rPr>
          <w:szCs w:val="24"/>
        </w:rPr>
      </w:pPr>
      <w:r w:rsidRPr="00B87DD1">
        <w:t>(62)</w:t>
      </w:r>
      <w:r w:rsidRPr="00B87DD1">
        <w:tab/>
        <w:t>Jotta voidaan varmistaa synergia jäsenvaltioissa jo suunniteltujen tai käyttöön otettujen ennallistamistoimenpiteiden kanssa, kansallisissa ennallistamissuunnitelmissa olisi tunnustettava kyseiset ennallistamistoimenpiteet ja otettava ne huomioon. Kun otetaan huomioon IPCC:n vuoden 2022 raportissa esiintuotu heikentyneiden ekosysteemien ennallistamista koskevien toimien toteuttamisen kiireellisyys, jäsenvaltioiden olisi pantava kyseiset toimenpiteet täytäntöön samanaikaisesti ennallistamissuunnitelmien laatimisen kanssa.</w:t>
      </w:r>
    </w:p>
    <w:p w:rsidR="00FF7B51" w:rsidRPr="00B87DD1" w:rsidRDefault="00FF7B51" w:rsidP="00FF7B51">
      <w:pPr>
        <w:widowControl/>
        <w:suppressAutoHyphens/>
        <w:spacing w:before="120" w:after="120" w:line="360" w:lineRule="auto"/>
        <w:ind w:left="567" w:right="-1" w:hanging="567"/>
        <w:rPr>
          <w:rFonts w:eastAsia="Calibri"/>
          <w:szCs w:val="24"/>
        </w:rPr>
      </w:pPr>
      <w:bookmarkStart w:id="23" w:name="_Hlk136778969"/>
      <w:r w:rsidRPr="00B87DD1">
        <w:lastRenderedPageBreak/>
        <w:t>(63)</w:t>
      </w:r>
      <w:r w:rsidRPr="00B87DD1">
        <w:tab/>
        <w:t>Kansallisissa ennallistamissuunnitelmissa</w:t>
      </w:r>
      <w:r w:rsidRPr="00B87DD1">
        <w:rPr>
          <w:b/>
          <w:i/>
        </w:rPr>
        <w:t xml:space="preserve"> ja luontotyyppien ennallistamistoimenpiteissä sekä toimenpiteissä luontotyyppien heikentymisen estämiseksi</w:t>
      </w:r>
      <w:r w:rsidRPr="00B87DD1">
        <w:t xml:space="preserve"> olisi myös otettava huomioon sellaiset tutkimushankkeiden tulokset, joilla on merkitystä ekosysteemien tilan arvioinnin, ennallistamistoimenpiteiden määrittämisen ja käyttöönoton sekä seurantatarkoitusten kannalta</w:t>
      </w:r>
      <w:r w:rsidRPr="00B87DD1">
        <w:rPr>
          <w:b/>
          <w:i/>
        </w:rPr>
        <w:t>. Euroopan unionin toiminnasta tehdyn sopimuksen (SEUT) 191 artiklan 1 kohdan mukaisesti tapauksen mukaan olisi otettava huomioon myös unionin eri alueiden tilanteiden erilaisuus, kuten sosiaaliset, taloudelliset ja kulttuurilliset vaatimukset ja alueelliset ja paikalliset ominaispiirteet, väestötiheys mukaan lukien</w:t>
      </w:r>
      <w:r w:rsidRPr="00B87DD1">
        <w:t xml:space="preserve">. </w:t>
      </w:r>
    </w:p>
    <w:p w:rsidR="00FF7B51" w:rsidRPr="00B87DD1" w:rsidRDefault="00FF7B51" w:rsidP="00FF7B51">
      <w:pPr>
        <w:widowControl/>
        <w:suppressAutoHyphens/>
        <w:spacing w:before="120" w:after="120" w:line="360" w:lineRule="auto"/>
        <w:ind w:left="567" w:right="-1" w:hanging="567"/>
        <w:rPr>
          <w:rFonts w:eastAsia="Calibri"/>
          <w:szCs w:val="24"/>
        </w:rPr>
      </w:pPr>
      <w:bookmarkStart w:id="24" w:name="_Hlk136800230"/>
      <w:bookmarkEnd w:id="23"/>
      <w:r w:rsidRPr="00B87DD1">
        <w:br w:type="page"/>
      </w:r>
      <w:r w:rsidRPr="00B87DD1">
        <w:lastRenderedPageBreak/>
        <w:t>(64)</w:t>
      </w:r>
      <w:r w:rsidRPr="00B87DD1">
        <w:tab/>
        <w:t>On aiheellista ottaa huomioon Euroopan unionin toiminnasta tehdyn sopimuksen 349 artiklassa lueteltujen unionin syrjäisimpien alueiden erityistilanne; kyseisessä artiklassa määrätään erityistoimenpiteistä kyseisten alueiden tukemiseksi. Kuten vuoteen 2030 ulottuvassa EU:n biodiversiteettistrategiassa todetaan, erityistä huomiota olisi kiinnitettävä syrjäisimpien alueiden ekosysteemien suojeluun ja ennallistamiseen, koska niiden luonnon monimuotoisuus on poikkeuksellisen rikasta.</w:t>
      </w:r>
      <w:r w:rsidRPr="00B87DD1">
        <w:rPr>
          <w:b/>
          <w:i/>
        </w:rPr>
        <w:t xml:space="preserve"> Erityisesti kansallisten ennallistamissuunnitelmien laatimisessa olisi samalla otettava huomioon näiden ekosysteemien suojelemiseen ja ennallistamiseen liittyvät kustannukset sekä syrjäisimpien alueiden syrjäinen sijainti, saaristoasema, pieni pinta-ala, vaikea pinnanmuodostus ja ilmasto.</w:t>
      </w:r>
      <w:r w:rsidRPr="00B87DD1">
        <w:rPr>
          <w:i/>
        </w:rPr>
        <w:t xml:space="preserve"> </w:t>
      </w:r>
      <w:r w:rsidRPr="00B87DD1">
        <w:rPr>
          <w:b/>
          <w:i/>
        </w:rPr>
        <w:t>Jäsenvaltioita kannustetaan sisällyttämään vapaaehtoispohjalta erityisiä ennallistamistoimenpiteitä niillä syrjäisimmillä alueilla, jotka eivät kuulu tämän asetuksen soveltamisalaan.</w:t>
      </w:r>
      <w:r w:rsidRPr="00B87DD1">
        <w:t xml:space="preserve"> </w:t>
      </w:r>
    </w:p>
    <w:bookmarkEnd w:id="24"/>
    <w:p w:rsidR="00FF7B51" w:rsidRPr="00B87DD1" w:rsidRDefault="00FF7B51" w:rsidP="00FF7B51">
      <w:pPr>
        <w:widowControl/>
        <w:suppressAutoHyphens/>
        <w:spacing w:before="120" w:after="120" w:line="360" w:lineRule="auto"/>
        <w:ind w:left="567" w:right="-1" w:hanging="567"/>
        <w:rPr>
          <w:rFonts w:eastAsia="Calibri"/>
          <w:szCs w:val="24"/>
        </w:rPr>
      </w:pPr>
      <w:r w:rsidRPr="00B87DD1">
        <w:t>(65)</w:t>
      </w:r>
      <w:r w:rsidRPr="00B87DD1">
        <w:tab/>
        <w:t>Euroopan ympäristökeskuksen (EEA) olisi tuettava jäsenvaltioita kansallisten ennallistamissuunnitelmien valmistelussa sekä sen seurannassa, miten ennallistamistavoitteiden ja -velvoitteiden toteuttamisessa edistytään. Komission olisi arvioitava, ovatko kansalliset ennallistamissuunnitelmat asianmukaisia mainittujen tavoitteiden ja velvoitteiden saavuttamiseksi.</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r w:rsidRPr="00B87DD1">
        <w:lastRenderedPageBreak/>
        <w:t>(66)</w:t>
      </w:r>
      <w:r w:rsidRPr="00B87DD1">
        <w:tab/>
        <w:t>Luonnon tilaa koskeva komission kertomus vuodelta 2020 on osoittanut, että merkittävä osa jäsenvaltioiden neuvoston direktiivin 92/43/ETY</w:t>
      </w:r>
      <w:r w:rsidRPr="00B87DD1">
        <w:rPr>
          <w:rFonts w:eastAsia="Calibri"/>
          <w:szCs w:val="24"/>
          <w:vertAlign w:val="superscript"/>
          <w:lang w:eastAsia="en-US"/>
        </w:rPr>
        <w:footnoteReference w:id="51"/>
      </w:r>
      <w:r w:rsidRPr="00B87DD1">
        <w:t xml:space="preserve"> 17 artiklan ja direktiivin 2009/147/EY 12 artiklan mukaisesti raportoimista tiedoista, jotka koskevat erityisesti suojeltavien luontotyyppien ja lajien suojelun tasoa ja kehityssuuntia, on saatu osittaisista tutkimuksista tai ne perustuvat ainoastaan asiantuntijalausuntoihin. Kertomus osoitti myös, että useiden direktiivin 92/43/ETY nojalla suojeltujen luontotyyppien ja lajien tila ei ole vielä tiedossa. Näiden tietoaukkojen korjaaminen ja panostus seurantaan ja valvontaan ovat tarpeen, jotta voidaan tukea vankkoja ja tieteeseen perustuvia kansallisia ennallistamissuunnitelmia. Eri seurantamenetelmien oikea-aikaisuuden, tehokkuuden ja johdonmukaisuuden parantamiseksi seurannassa ja valvonnassa olisi hyödynnettävä parhaalla mahdollisella tavalla unionin rahoittamien tutkimus- ja innovointihankkeiden tuloksia ja uusia teknologioita, kuten paikalla tehtävää seurantaa ja kaukokartoitusta, jossa käytetään unionin avaruusohjelman (EGNOS/Galileo ja Copernicus) tarjoamaa avaruusdataa ja -palveluja. EU:n tutkimusmissiot ”Ennallistetaan valtameriä ja vesistöjä”, ”Ilmastonmuutokseen sopeutuminen” ja ”Euroopan maaperäsopimus” tukevat ennallistamistavoitteiden täytäntöönpanoa</w:t>
      </w:r>
      <w:r w:rsidRPr="00B87DD1">
        <w:rPr>
          <w:rFonts w:eastAsia="Calibri"/>
          <w:szCs w:val="24"/>
          <w:vertAlign w:val="superscript"/>
          <w:lang w:eastAsia="en-US"/>
        </w:rPr>
        <w:footnoteReference w:id="52"/>
      </w:r>
      <w:r w:rsidRPr="00B87DD1">
        <w:t>.</w:t>
      </w:r>
    </w:p>
    <w:p w:rsidR="00FF7B51" w:rsidRPr="00B87DD1" w:rsidRDefault="00FF7B51" w:rsidP="00FF7B51">
      <w:pPr>
        <w:widowControl/>
        <w:suppressAutoHyphens/>
        <w:spacing w:before="120" w:after="120" w:line="360" w:lineRule="auto"/>
        <w:ind w:left="567" w:right="-1" w:hanging="567"/>
        <w:rPr>
          <w:rFonts w:eastAsia="Calibri"/>
          <w:b/>
          <w:i/>
          <w:szCs w:val="24"/>
        </w:rPr>
      </w:pPr>
      <w:r w:rsidRPr="00B87DD1">
        <w:rPr>
          <w:b/>
          <w:i/>
        </w:rPr>
        <w:t>66 a)</w:t>
      </w:r>
      <w:r w:rsidR="006825B9" w:rsidRPr="00B87DD1">
        <w:rPr>
          <w:b/>
          <w:i/>
        </w:rPr>
        <w:tab/>
      </w:r>
      <w:r w:rsidRPr="00B87DD1">
        <w:rPr>
          <w:b/>
          <w:i/>
        </w:rPr>
        <w:t>Kun otetaan huomioon meriympäristöjen kartoitukseen ja seurantaan liittyvät erityiset tekniset ja rahoitukselliset haasteet, jäsenvaltiot voivat direktiivin 92/43/ETY 17 artiklan ja direktiivin 2008/56/EY 17 artiklan mukaisesti raportoitujen tietojen lisäksi käyttää ekstrapoloinnin perustana paineita ja uhkia koskevia tietoja tai muita asiaankuuluvia tietoja arvioidessaan liitteessä II lueteltujen merellisten luontotyyppien tilaa. Tällaista lähestymistapaa voidaan näin ollen käyttää myös perustana merellisten luontotyyppien ennallistamistoimenpiteiden suunnittelussa tämän asetuksen mukaisesti. Liitteessä II lueteltujen merellisten luontotyyppien tilan kokonaisarvioinnin olisi perustuttava parhaaseen saatavilla olevaan tietoon ja uusimpaan tekniikan ja tieteen kehitykseen.</w:t>
      </w:r>
    </w:p>
    <w:p w:rsidR="00FF7B51" w:rsidRPr="00B87DD1" w:rsidRDefault="00FF7B51" w:rsidP="00FF7B51">
      <w:pPr>
        <w:widowControl/>
        <w:spacing w:after="200" w:line="276" w:lineRule="auto"/>
        <w:rPr>
          <w:rFonts w:eastAsia="Calibri"/>
          <w:b/>
          <w:szCs w:val="24"/>
          <w:u w:val="single"/>
        </w:rPr>
      </w:pPr>
      <w:r w:rsidRPr="00B87DD1">
        <w:br w:type="page"/>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lastRenderedPageBreak/>
        <w:t>(67)</w:t>
      </w:r>
      <w:r w:rsidRPr="00B87DD1">
        <w:tab/>
        <w:t>Jotta voidaan seurata kansallisten ennallistamissuunnitelmien täytäntöönpanon edistymistä, käyttöön otettuja ennallistamistoimenpiteitä, ennallistamistoimenpiteiden kohteena olevia alueita sekä jokien esteettömyyttä häiritsevien rakenteiden kartoitusta koskevia tietoja, olisi otettava käyttöön järjestelmä, jossa jäsenvaltioita vaaditaan laatimaan, pitämään ajan tasalla ja asettamaan saataville asiaankuuluvat tiedot tällaisen seurannan tuloksista. Tietojen sähköisessä raportoinnissa komissiolle olisi hyödynnettävä Euroopan ympäristökeskuksen Reportnet-järjestelmää ja pyrittävä pitämään kaikkien toimijoiden hallinnollinen taakka mahdollisimman vähäisenä. Jotta varmistetaan yleisen saatavuuden kannalta asianmukainen infrastruktuuri, raportointi ja tietojen vaihto viranomaisten kesken, jäsenvaltioiden olisi tarvittaessa laadittavat dataeritelmät Euroopan parlamentin ja neuvoston direktiivissä 2003/4/EY</w:t>
      </w:r>
      <w:r w:rsidRPr="00B87DD1">
        <w:rPr>
          <w:rFonts w:eastAsia="Calibri"/>
          <w:szCs w:val="24"/>
          <w:vertAlign w:val="superscript"/>
          <w:lang w:eastAsia="en-US"/>
        </w:rPr>
        <w:footnoteReference w:id="53"/>
      </w:r>
      <w:r w:rsidRPr="00B87DD1">
        <w:t>, Euroopan parlamentin ja neuvoston direktiivissä 2007/2/EY</w:t>
      </w:r>
      <w:r w:rsidRPr="00B87DD1">
        <w:rPr>
          <w:rFonts w:eastAsia="Calibri"/>
          <w:szCs w:val="24"/>
          <w:vertAlign w:val="superscript"/>
          <w:lang w:eastAsia="en-US"/>
        </w:rPr>
        <w:footnoteReference w:id="54"/>
      </w:r>
      <w:r w:rsidRPr="00B87DD1">
        <w:t xml:space="preserve"> ja Euroopan parlamentin ja neuvoston direktiivissä (EU) 2019/1024</w:t>
      </w:r>
      <w:r w:rsidRPr="00B87DD1">
        <w:rPr>
          <w:rFonts w:eastAsia="Calibri"/>
          <w:szCs w:val="24"/>
          <w:vertAlign w:val="superscript"/>
          <w:lang w:eastAsia="en-US"/>
        </w:rPr>
        <w:footnoteReference w:id="55"/>
      </w:r>
      <w:r w:rsidRPr="00B87DD1">
        <w:t xml:space="preserve"> tarkoitettujen tietojen pohjalta.</w:t>
      </w:r>
    </w:p>
    <w:p w:rsidR="00FF7B51" w:rsidRPr="00B87DD1" w:rsidRDefault="00FF7B51" w:rsidP="00FF7B51">
      <w:pPr>
        <w:widowControl/>
        <w:suppressAutoHyphens/>
        <w:spacing w:before="120" w:after="120" w:line="360" w:lineRule="auto"/>
        <w:ind w:left="567" w:right="-1" w:hanging="567"/>
        <w:rPr>
          <w:rFonts w:eastAsia="Calibri"/>
          <w:color w:val="000000"/>
          <w:szCs w:val="24"/>
        </w:rPr>
      </w:pPr>
      <w:r w:rsidRPr="00B87DD1">
        <w:t>(68)</w:t>
      </w:r>
      <w:r w:rsidRPr="00B87DD1">
        <w:tab/>
        <w:t>Tämän asetuksen tehokkaan täytäntöönpanon varmistamiseksi komission olisi pyynnöstä tuettava jäsenvaltioita teknisen tuen välineellä</w:t>
      </w:r>
      <w:r w:rsidRPr="00B87DD1">
        <w:rPr>
          <w:rFonts w:eastAsia="Calibri"/>
          <w:szCs w:val="24"/>
          <w:vertAlign w:val="superscript"/>
          <w:lang w:eastAsia="en-US"/>
        </w:rPr>
        <w:footnoteReference w:id="56"/>
      </w:r>
      <w:r w:rsidRPr="00B87DD1">
        <w:t>, joka tarjoaa räätälöityä teknistä tukea uudistusten suunnitteluun ja toteuttamiseen. Tekniseen tukeen kuuluu esimerkiksi hallinnollisten valmiuksien vahvistaminen, lainsäädäntökehysten yhdenmukaistaminen ja asiaankuuluvien parhaiden käytäntöjen jakaminen.</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(69)</w:t>
      </w:r>
      <w:r w:rsidRPr="00B87DD1">
        <w:tab/>
        <w:t>Komission olisi raportoitava jäsenvaltioiden edistymisestä tässä asetuksessa säädettyjen ennallistamistavoitteiden ja -velvoitteiden täyttämisessä Euroopan ympäristökeskuksen laatimien unionin laajuisten edistymiskertomusten sekä jäsenvaltioiden asiaan liittyvillä politiikanaloilla, kuten luonto-, meri- ja vesipolitiikan aloilla, toimittamien muiden analyysien ja raporttien perusteella.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br w:type="page"/>
      </w:r>
      <w:r w:rsidRPr="00B87DD1">
        <w:lastRenderedPageBreak/>
        <w:t>(70)</w:t>
      </w:r>
      <w:r w:rsidRPr="00B87DD1">
        <w:tab/>
        <w:t>Jotta voidaan varmistaa tässä asetuksessa säädettyjen tavoitteiden ja velvoitteiden noudattaminen, on äärimmäisen tärkeää, että ennallistamiseen tehdään asianmukaisia yksityisiä ja julkisia investointeja, ja jäsenvaltioiden olisi sisällytettävä luonnon monimuotoisuutta koskeviin tavoitteisiin liittyvät menot, myös kansallisten ennallistamissuunnitelmien täytäntöönpanosta aiheutuvat vaihtoehto- ja siirtymäkustannukset, kansallisiin talousarvioihinsa ja tarkasteltava, miten unionin rahoitusta käytetään. Unionin rahoituksella, jota myönnetään unionin talousarviosta ja unionin rahoitusohjelmista, kuten Ympäristö- ja ilmastotoimien ohjelma (Life)</w:t>
      </w:r>
      <w:r w:rsidRPr="00B87DD1">
        <w:rPr>
          <w:rFonts w:eastAsia="Calibri"/>
          <w:szCs w:val="24"/>
          <w:vertAlign w:val="superscript"/>
          <w:lang w:eastAsia="en-US"/>
        </w:rPr>
        <w:footnoteReference w:id="57"/>
      </w:r>
      <w:r w:rsidRPr="00B87DD1">
        <w:t xml:space="preserve">, </w:t>
      </w:r>
      <w:hyperlink r:id="rId9">
        <w:r w:rsidRPr="00B87DD1">
          <w:t>Euroopan meri-, kalatalous- ja vesiviljelyrahasto</w:t>
        </w:r>
      </w:hyperlink>
      <w:r w:rsidRPr="00B87DD1">
        <w:t xml:space="preserve"> (EMKVR)</w:t>
      </w:r>
      <w:r w:rsidRPr="00B87DD1">
        <w:rPr>
          <w:rFonts w:eastAsia="Calibri"/>
          <w:szCs w:val="24"/>
          <w:vertAlign w:val="superscript"/>
          <w:lang w:eastAsia="en-US"/>
        </w:rPr>
        <w:footnoteReference w:id="58"/>
      </w:r>
      <w:r w:rsidRPr="00B87DD1">
        <w:t xml:space="preserve">, </w:t>
      </w:r>
      <w:hyperlink r:id="rId10">
        <w:r w:rsidRPr="00B87DD1">
          <w:t>Euroopan maaseudun kehittämisen maatalousrahasto</w:t>
        </w:r>
      </w:hyperlink>
      <w:r w:rsidRPr="00B87DD1">
        <w:t xml:space="preserve"> (EAFRD)</w:t>
      </w:r>
      <w:r w:rsidRPr="00B87DD1">
        <w:rPr>
          <w:rFonts w:eastAsia="Calibri"/>
          <w:szCs w:val="24"/>
          <w:vertAlign w:val="superscript"/>
          <w:lang w:eastAsia="en-US"/>
        </w:rPr>
        <w:footnoteReference w:id="59"/>
      </w:r>
      <w:r w:rsidRPr="00B87DD1">
        <w:t xml:space="preserve">, </w:t>
      </w:r>
      <w:hyperlink r:id="rId11">
        <w:r w:rsidRPr="00B87DD1">
          <w:t>Euroopan maatalouden tukirahasto</w:t>
        </w:r>
      </w:hyperlink>
      <w:r w:rsidRPr="00B87DD1">
        <w:t xml:space="preserve"> (EAGF), </w:t>
      </w:r>
      <w:hyperlink r:id="rId12">
        <w:r w:rsidRPr="00B87DD1">
          <w:t>Euroopan aluekehitysrahasto</w:t>
        </w:r>
      </w:hyperlink>
      <w:r w:rsidRPr="00B87DD1">
        <w:t xml:space="preserve"> (EAKR), </w:t>
      </w:r>
      <w:hyperlink r:id="rId13">
        <w:r w:rsidRPr="00B87DD1">
          <w:t>koheesiorahasto</w:t>
        </w:r>
        <w:r w:rsidRPr="00B87DD1">
          <w:rPr>
            <w:rFonts w:eastAsia="Calibri"/>
            <w:szCs w:val="24"/>
            <w:vertAlign w:val="superscript"/>
            <w:lang w:eastAsia="en-US"/>
          </w:rPr>
          <w:footnoteReference w:id="60"/>
        </w:r>
      </w:hyperlink>
      <w:r w:rsidRPr="00B87DD1">
        <w:t xml:space="preserve"> ja </w:t>
      </w:r>
      <w:r w:rsidRPr="00B87DD1">
        <w:rPr>
          <w:rFonts w:eastAsia="Calibri"/>
          <w:szCs w:val="24"/>
          <w:vertAlign w:val="superscript"/>
          <w:lang w:eastAsia="en-US"/>
        </w:rPr>
        <w:footnoteReference w:id="61"/>
      </w:r>
      <w:r w:rsidRPr="00B87DD1">
        <w:t xml:space="preserve"> sekä </w:t>
      </w:r>
      <w:r w:rsidRPr="00B87DD1">
        <w:rPr>
          <w:shd w:val="clear" w:color="auto" w:fill="FFFFFF"/>
        </w:rPr>
        <w:t>unionin tutkimuksen ja innovoinnin puiteohjelma (Horisontti Eurooppa)</w:t>
      </w:r>
      <w:r w:rsidRPr="00B87DD1">
        <w:rPr>
          <w:rFonts w:eastAsia="Calibri"/>
          <w:color w:val="000000"/>
          <w:szCs w:val="24"/>
          <w:vertAlign w:val="superscript"/>
          <w:lang w:eastAsia="en-US"/>
        </w:rPr>
        <w:footnoteReference w:id="62"/>
      </w:r>
      <w:r w:rsidRPr="00B87DD1">
        <w:rPr>
          <w:shd w:val="clear" w:color="auto" w:fill="FFFFFF"/>
        </w:rPr>
        <w:t>,</w:t>
      </w:r>
      <w:r w:rsidRPr="00B87DD1">
        <w:t xml:space="preserve"> edistetään luonnon monimuotoisuuden tavoitteita, ja </w:t>
      </w:r>
      <w:r w:rsidRPr="00B87DD1">
        <w:rPr>
          <w:shd w:val="clear" w:color="auto" w:fill="FFFFFF"/>
        </w:rPr>
        <w:t>tarkoitus on osoittaa näiden tavoitteiden edistämiseen 7,5 prosenttia vuonna 2024 sekä 10 prosenttia vuonna 2026 ja vuonna 2027 monivuotisen rahoituskehyksen 2021–2027</w:t>
      </w:r>
      <w:r w:rsidRPr="00B87DD1">
        <w:rPr>
          <w:rFonts w:eastAsia="Calibri"/>
          <w:color w:val="000000"/>
          <w:szCs w:val="24"/>
          <w:vertAlign w:val="superscript"/>
          <w:lang w:eastAsia="en-US"/>
        </w:rPr>
        <w:footnoteReference w:id="63"/>
      </w:r>
      <w:r w:rsidRPr="00B87DD1">
        <w:rPr>
          <w:shd w:val="clear" w:color="auto" w:fill="FFFFFF"/>
        </w:rPr>
        <w:t xml:space="preserve"> menoista</w:t>
      </w:r>
      <w:r w:rsidRPr="00B87DD1">
        <w:t xml:space="preserve">. </w:t>
      </w:r>
    </w:p>
    <w:p w:rsidR="00FF7B51" w:rsidRPr="00B87DD1" w:rsidRDefault="00FF7B51" w:rsidP="00FF7B51">
      <w:pPr>
        <w:widowControl/>
        <w:suppressAutoHyphens/>
        <w:spacing w:before="120" w:after="120" w:line="360" w:lineRule="auto"/>
        <w:ind w:left="567" w:right="-1"/>
        <w:rPr>
          <w:rFonts w:eastAsia="Calibri"/>
          <w:szCs w:val="24"/>
        </w:rPr>
      </w:pPr>
      <w:r w:rsidRPr="00B87DD1">
        <w:br w:type="page"/>
      </w:r>
      <w:hyperlink r:id="rId14">
        <w:r w:rsidRPr="00B87DD1">
          <w:t>Elpymis- ja palautumistukivälineestä</w:t>
        </w:r>
      </w:hyperlink>
      <w:r w:rsidRPr="00B87DD1">
        <w:t xml:space="preserve"> (RFF)</w:t>
      </w:r>
      <w:r w:rsidRPr="00B87DD1">
        <w:rPr>
          <w:rFonts w:eastAsia="Calibri"/>
          <w:szCs w:val="24"/>
          <w:vertAlign w:val="superscript"/>
          <w:lang w:eastAsia="en-US"/>
        </w:rPr>
        <w:footnoteReference w:id="64"/>
      </w:r>
      <w:r w:rsidRPr="00B87DD1">
        <w:t xml:space="preserve"> saadaan lisärahoitusta luonnon monimuotoisuuden ja ekosysteemien suojeluun ja ennallistamiseen. Life-ohjelman osalta olisi kiinnitettävä erityistä huomiota strategisten luontohankkeiden asianmukaiseen käyttöön erityisenä välineenä, jolla voitaisiin tukea tämän asetuksen täytäntöönpanoa valtavirtaistamalla käytettävissä olevat rahoitusvarat vaikuttavalla ja tehokkaalla tavalla.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(71)</w:t>
      </w:r>
      <w:r w:rsidRPr="00B87DD1">
        <w:tab/>
        <w:t>Yksityisen rahoituksen edistämiseksi käytettävissä on useita EU:n, kansallisia ja yksityisiä aloitteita, kuten InvestEU-ohjelma</w:t>
      </w:r>
      <w:r w:rsidRPr="00B87DD1">
        <w:rPr>
          <w:rFonts w:eastAsia="Calibri"/>
          <w:szCs w:val="24"/>
          <w:vertAlign w:val="superscript"/>
          <w:lang w:eastAsia="en-US"/>
        </w:rPr>
        <w:footnoteReference w:id="65"/>
      </w:r>
      <w:r w:rsidRPr="00B87DD1">
        <w:t>, joka tarjoaa mahdollisuuksia saada julkista ja yksityistä rahoitusta muun muassa luonnon ja sen monimuotoisuuden edistämiseen vihreiden ja sinisten infrastruktuurihankkeiden avulla, sekä hiiliviljely vihreänä liiketoimintamallina</w:t>
      </w:r>
      <w:r w:rsidRPr="00B87DD1">
        <w:rPr>
          <w:rFonts w:eastAsia="Calibri"/>
          <w:szCs w:val="24"/>
          <w:vertAlign w:val="superscript"/>
          <w:lang w:eastAsia="en-US"/>
        </w:rPr>
        <w:footnoteReference w:id="66"/>
      </w:r>
      <w:r w:rsidRPr="00B87DD1">
        <w:t>.</w:t>
      </w:r>
    </w:p>
    <w:p w:rsidR="00FF7B51" w:rsidRPr="00B87DD1" w:rsidRDefault="00FF7B51" w:rsidP="00FF7B51">
      <w:pPr>
        <w:widowControl/>
        <w:suppressAutoHyphens/>
        <w:spacing w:before="120" w:after="120" w:line="360" w:lineRule="auto"/>
        <w:ind w:left="567" w:right="-1" w:hanging="567"/>
        <w:rPr>
          <w:rFonts w:eastAsia="Calibri"/>
          <w:b/>
          <w:bCs/>
          <w:i/>
          <w:szCs w:val="22"/>
        </w:rPr>
      </w:pPr>
      <w:r w:rsidRPr="00B87DD1">
        <w:rPr>
          <w:b/>
          <w:i/>
        </w:rPr>
        <w:t>71 a)</w:t>
      </w:r>
      <w:r w:rsidRPr="00B87DD1">
        <w:rPr>
          <w:b/>
          <w:i/>
        </w:rPr>
        <w:tab/>
        <w:t>Asianmukaiset yksityiset ja julkiset investoinnit luonnon ennallistamistoimenpiteisiin ovat olennaisen tärkeitä tämän asetuksen täytäntöönpanon varmistamiseksi. Näin ollen komission olisi viimeistään 12 kuukauden kuluttua sen voimaantulosta esitettävä jäsenvaltioita kuultuaan kertomus, joka sisältää analyysin tämän asetuksen täytäntöönpanossa havaituista puutteista. Kyseiseen kertomukseen olisi tarvittaessa liitettävä ehdotuksia asianmukaisiksi toimenpiteiksi, rahoitustoimenpiteet mukaan lukien, havaittujen puutteiden korjaamiseksi, kuten erityisen rahoituksen perustaminen, ja rajoittamatta vuoden 2027 jälkeisen monivuotisen rahoituskehyksen hyväksymistä koskevia lainsäätäjien valtaoikeuksia.</w:t>
      </w:r>
    </w:p>
    <w:p w:rsidR="00FF7B51" w:rsidRPr="00B87DD1" w:rsidRDefault="00FF7B51" w:rsidP="00FF7B51">
      <w:pPr>
        <w:widowControl/>
        <w:suppressAutoHyphens/>
        <w:spacing w:before="120" w:after="120" w:line="360" w:lineRule="auto"/>
        <w:ind w:left="567" w:right="-1" w:hanging="567"/>
        <w:rPr>
          <w:rFonts w:eastAsia="Calibri"/>
          <w:b/>
          <w:i/>
          <w:szCs w:val="24"/>
        </w:rPr>
      </w:pPr>
      <w:r w:rsidRPr="00B87DD1">
        <w:br w:type="page"/>
      </w:r>
      <w:r w:rsidRPr="00B87DD1">
        <w:rPr>
          <w:b/>
          <w:i/>
        </w:rPr>
        <w:lastRenderedPageBreak/>
        <w:t>(71 b)</w:t>
      </w:r>
      <w:r w:rsidR="006825B9" w:rsidRPr="00B87DD1">
        <w:rPr>
          <w:b/>
          <w:i/>
        </w:rPr>
        <w:tab/>
      </w:r>
      <w:r w:rsidRPr="00B87DD1">
        <w:rPr>
          <w:b/>
          <w:i/>
        </w:rPr>
        <w:t>Euroopan unionin tuomioistuimen vakiintuneen oikeuskäytännön mukaan Euroopan unionista tehdyn sopimuksen, jäljempänä 'SEU</w:t>
      </w:r>
      <w:r w:rsidR="00E21FBD" w:rsidRPr="00B87DD1">
        <w:rPr>
          <w:b/>
          <w:i/>
        </w:rPr>
        <w:t>’</w:t>
      </w:r>
      <w:r w:rsidRPr="00B87DD1">
        <w:rPr>
          <w:b/>
          <w:i/>
        </w:rPr>
        <w:t xml:space="preserve">, 4 artiklan 3 kohdassa vahvistetun vilpittömän yhteistyön periaatteen mukaisesti jäsenvaltioiden tuomioistuinten tehtävänä on varmistaa unionin oikeuden mukaisten yksilön oikeuksien oikeussuoja. Lisäksi SEU 19 artiklan 1 kohdassa asetetaan jäsenvaltioille velvollisuus säätää tarvittavista muutoksenhakukeinoista tehokkaan oikeussuojan takaamiseksi unionin oikeuteen kuuluvilla aloilla. Unioni ja jäsenvaltiot ovat tiedon saannista, yleisön osallistumisoikeudesta päätöksentekoon sekä muutoksenhaku- ja vireillepano-oikeudesta ympäristöasioissa tehdyn Yhdistyneiden kansakuntien Euroopan talouskomission (UNECE) yleissopimuksen, jäljempänä ’Århusin yleissopimus’, osapuolia. Århusin yleissopimuksen mukaan jäsenvaltioiden olisi varmistettava, että asianomaisen kansallisen oikeusjärjestelmän mukaisesti yleisöllä on muutoksenhaku- ja vireillepano-oikeus.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(72)</w:t>
      </w:r>
      <w:r w:rsidRPr="00B87DD1">
        <w:tab/>
        <w:t xml:space="preserve">Jäsenvaltioiden olisi edistettävä </w:t>
      </w:r>
      <w:r w:rsidRPr="00B87DD1">
        <w:rPr>
          <w:shd w:val="clear" w:color="auto" w:fill="FFFFFF"/>
        </w:rPr>
        <w:t>oikeudenmukaista ja koko yhteiskunnan kattavaa lähestymistapaa kansallisten ennallistamissuunnitelmiensa valmistelussa ja täytäntöönpanossa</w:t>
      </w:r>
      <w:r w:rsidRPr="00B87DD1">
        <w:t xml:space="preserve"> ja sisällytettävä niihin kansalaisten osallistumisprosessit ja otettava huomioon paikallisyhteisöjen ja sidosryhmien tarpeet.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(73)</w:t>
      </w:r>
      <w:r w:rsidRPr="00B87DD1">
        <w:tab/>
        <w:t>Euroopan parlamentin ja neuvoston asetuksen (EU) 2021/2115</w:t>
      </w:r>
      <w:r w:rsidRPr="00B87DD1">
        <w:rPr>
          <w:rFonts w:eastAsia="Calibri"/>
          <w:szCs w:val="24"/>
          <w:vertAlign w:val="superscript"/>
          <w:lang w:eastAsia="en-US"/>
        </w:rPr>
        <w:footnoteReference w:id="67"/>
      </w:r>
      <w:r w:rsidRPr="00B87DD1">
        <w:t xml:space="preserve"> mukaan YMP:n strategiasuunnitelmien tarkoituksena on edistää niiden pitkän aikavälin kansallisten tavoitteiden saavuttamista, jotka vahvistetaan mainitun asetuksen liitteessä XIII luetelluissa säädöksissä tai jotka johtuvat niistä, ja olla johdonmukainen kyseisten tavoitteiden suhteen. Tämä luonnon ennallistamista koskeva asetus olisi otettava huomioon, kun komissio asetuksen (EU) 2021/2115 159 artiklan mukaisesti tarkastelee 31 päivään joulukuuta 2025 mennessä uudelleen mainitun asetuksen liitteessä XIII olevaa luetteloa.</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(74)</w:t>
      </w:r>
      <w:r w:rsidRPr="00B87DD1">
        <w:tab/>
        <w:t>Vuoteen 2030 ulottuvassa kahdeksannessa ympäristöalan toimintaohjelmassa</w:t>
      </w:r>
      <w:r w:rsidRPr="00B87DD1">
        <w:rPr>
          <w:rFonts w:eastAsia="Calibri"/>
          <w:szCs w:val="24"/>
          <w:vertAlign w:val="superscript"/>
          <w:lang w:eastAsia="en-US"/>
        </w:rPr>
        <w:footnoteReference w:id="68"/>
      </w:r>
      <w:r w:rsidRPr="00B87DD1">
        <w:t xml:space="preserve"> esitetyn sitoumuksen mukaisesti jäsenvaltioiden olisi lakkautettava asteittain ympäristön kannalta haitalliset tuet unionin ja kansallisella tasolla, käytettävä mahdollisimman tehokkaasti markkinapohjaisia välineitä ja vihreän budjetoinnin välineitä, mukaan lukien sosiaalisesti </w:t>
      </w:r>
      <w:r w:rsidRPr="00B87DD1">
        <w:lastRenderedPageBreak/>
        <w:t>oikeudenmukaisen siirtymän varmistamiseen käytettävät välineet, ja tuettava yrityksiä ja muita sidosryhmiä luonnonpääoman standardoitujen tilipitokäytäntöjen kehittämisessä.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(75)</w:t>
      </w:r>
      <w:r w:rsidRPr="00B87DD1">
        <w:tab/>
        <w:t xml:space="preserve">Jotta voidaan varmistaa tämän asetuksen tarpeellinen mukauttaminen, komissiolle olisi siirrettävä valta hyväksyä Euroopan unionin toiminnasta tehdyn sopimuksen 290 artiklan mukaisesti säädösvallan siirron nojalla annettavia delegoituja säädöksiä, jotka koskevat liitteiden I–VII muuttamista </w:t>
      </w:r>
      <w:r w:rsidRPr="00B87DD1">
        <w:rPr>
          <w:b/>
          <w:i/>
        </w:rPr>
        <w:t>luontotyyppiryhmien</w:t>
      </w:r>
      <w:r w:rsidRPr="00B87DD1">
        <w:t xml:space="preserve"> mukauttamiseksi, viljelysmaiden </w:t>
      </w:r>
      <w:r w:rsidRPr="00B87DD1">
        <w:rPr>
          <w:b/>
          <w:i/>
        </w:rPr>
        <w:t>yhteisessä lintuindeksissä käytettävän lintulajiluettelon mukauttamiseksi</w:t>
      </w:r>
      <w:r w:rsidRPr="00B87DD1">
        <w:t xml:space="preserve"> sekä maatalouden ekosysteemien biodiversiteetti-indikaattorien luettelon, metsäekosysteemien biodiversiteetti-indikaattorien luettelon ja </w:t>
      </w:r>
      <w:r w:rsidRPr="00B87DD1">
        <w:rPr>
          <w:b/>
          <w:i/>
        </w:rPr>
        <w:t>meriekosysteemien ja</w:t>
      </w:r>
      <w:r w:rsidRPr="00B87DD1">
        <w:t xml:space="preserve"> merellisten lajien </w:t>
      </w:r>
      <w:r w:rsidRPr="00B87DD1">
        <w:rPr>
          <w:b/>
          <w:i/>
        </w:rPr>
        <w:t>luettelojen</w:t>
      </w:r>
      <w:r w:rsidRPr="00B87DD1">
        <w:t xml:space="preserve"> </w:t>
      </w:r>
      <w:r w:rsidRPr="00B87DD1">
        <w:rPr>
          <w:b/>
          <w:i/>
        </w:rPr>
        <w:t xml:space="preserve">sekä </w:t>
      </w:r>
      <w:r w:rsidRPr="00B87DD1">
        <w:t xml:space="preserve">ennallistamistoimenpiteiden </w:t>
      </w:r>
      <w:r w:rsidRPr="00B87DD1">
        <w:rPr>
          <w:b/>
          <w:i/>
        </w:rPr>
        <w:t>esimerkkejä sisältävän luettelon</w:t>
      </w:r>
      <w:r w:rsidRPr="00B87DD1">
        <w:t xml:space="preserve"> mukauttamiseksi </w:t>
      </w:r>
      <w:r w:rsidRPr="00B87DD1">
        <w:rPr>
          <w:b/>
          <w:i/>
        </w:rPr>
        <w:t>tekniikan ja tieteen kehitykseen, jotta voidaan ottaa huomioon asetuksen soveltamisesta saadut kokemukset tai varmistaa johdonmukaisuus EUNIS-luontotyyppien kanssa</w:t>
      </w:r>
      <w:r w:rsidRPr="00B87DD1">
        <w:t xml:space="preserve">. On erityisen tärkeää, että komissio asiaa valmistellessaan toteuttaa </w:t>
      </w:r>
      <w:r w:rsidRPr="00B87DD1">
        <w:rPr>
          <w:b/>
          <w:i/>
        </w:rPr>
        <w:t>vaikutustenarvioinnit ja</w:t>
      </w:r>
      <w:r w:rsidRPr="00B87DD1">
        <w:t xml:space="preserve"> asianmukaiset kuulemiset, myös asiantuntijatasolla, </w:t>
      </w:r>
      <w:r w:rsidRPr="00B87DD1">
        <w:rPr>
          <w:rFonts w:ascii="Arial" w:hAnsi="Arial"/>
          <w:snapToGrid w:val="0"/>
        </w:rPr>
        <w:t>▌</w:t>
      </w:r>
      <w:r w:rsidRPr="00B87DD1">
        <w:t>paremmasta lainsäädännöstä 13 päivänä huhtikuuta 2016 tehdyssä toimielinten välisessä sopimuksessa</w:t>
      </w:r>
      <w:r w:rsidR="009211A5">
        <w:rPr>
          <w:rStyle w:val="FootnoteReference"/>
        </w:rPr>
        <w:footnoteReference w:id="69"/>
      </w:r>
      <w:r w:rsidRPr="00B87DD1">
        <w:t xml:space="preserve"> vahvistettujen periaatteiden mukaisesti. Jotta voitaisiin erityisesti varmistaa tasavertainen osallistuminen delegoitujen säädösten valmisteluun, Euroopan parlamentille ja neuvostolle toimitetaan kaikki asiakirjat samaan aikaan kuin jäsenvaltioiden asiantuntijoille, ja Euroopan parlamentin ja neuvoston asiantuntijoilla on järjestelmällisesti oikeus osallistua komission asiantuntijaryhmien kokouksiin, joissa valmistellaan delegoituja säädöksiä.</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(76)</w:t>
      </w:r>
      <w:r w:rsidRPr="00B87DD1">
        <w:tab/>
        <w:t xml:space="preserve">Jotta voidaan varmistaa tämän asetuksen yhdenmukainen täytäntöönpano, komissiolle olisi siirrettävä täytäntöönpanovaltaa pölyttäjien seurantamenetelmän täsmentämiseksi, tämän asetuksen liitteessä IV lueteltujen maatalouden ekosysteemien indikaattorien ja tämän asetuksen liitteessä VI lueteltujen metsäekosysteemien indikaattorien seuraamisessa käytettävien menetelmien täsmentämiseksi, </w:t>
      </w:r>
      <w:bookmarkStart w:id="25" w:name="_Hlk133427816"/>
      <w:r w:rsidRPr="00B87DD1">
        <w:rPr>
          <w:b/>
          <w:i/>
        </w:rPr>
        <w:t>ohjeellisten puitteiden vahvistamiseksi kaupunkien viheralueiden, kaupunkien ekosysteemien latvuspeittävyyden ja</w:t>
      </w:r>
      <w:bookmarkEnd w:id="25"/>
      <w:r w:rsidRPr="00B87DD1">
        <w:t xml:space="preserve"> pölyttäjien tyydyttävän tilan </w:t>
      </w:r>
      <w:r w:rsidRPr="00B87DD1">
        <w:rPr>
          <w:b/>
          <w:i/>
        </w:rPr>
        <w:t>saavuttamiseksi</w:t>
      </w:r>
      <w:r w:rsidRPr="00B87DD1">
        <w:t xml:space="preserve">, tämän asetuksen liitteessä IV lueteltujen maatalouden ekosysteemejä koskevien indikaattorien ja tämän asetuksen liitteessä VI lueteltujen metsätalouden ekosysteemejä koskevien indikaattoreiden määrittämiseksi, kansallisten ennallistamissuunnitelmien yhtenäisen muodon vahvistamiseksi sekä tietojen toimittamisessa komissiolle sähköisesti käytettävän muodon, rakenteen ja yksityiskohtaisten järjestelyjen </w:t>
      </w:r>
      <w:r w:rsidRPr="00B87DD1">
        <w:lastRenderedPageBreak/>
        <w:t>vahvistamiseksi. Tätä valtaa olisi käytettävä Euroopan parlamentin ja neuvoston asetuksen (EU) N:o 182/2011</w:t>
      </w:r>
      <w:r w:rsidRPr="00B87DD1">
        <w:rPr>
          <w:rFonts w:eastAsia="Calibri"/>
          <w:szCs w:val="24"/>
          <w:vertAlign w:val="superscript"/>
          <w:lang w:eastAsia="en-US"/>
        </w:rPr>
        <w:footnoteReference w:id="70"/>
      </w:r>
      <w:r w:rsidRPr="00B87DD1">
        <w:t xml:space="preserve"> mukaisesti.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(77)</w:t>
      </w:r>
      <w:r w:rsidRPr="00B87DD1">
        <w:tab/>
        <w:t xml:space="preserve">Komission olisi tehtävä tätä asetusta koskeva arviointi. Arviointi olisi paremmasta lainsäädännöstä tehdyn toimielinten välisen sopimuksen 22 kohdan nojalla tehtävä viiden eri kriteerin eli tehokkuuden, tuloksellisuuden, merkityksellisyyden, johdonmukaisuuden ja EU:n tason lisäarvon perusteella, ja sen olisi oltava pohjana mahdollisten jatkotoimien vaikutusten arvioinneille. Lisäksi komission olisi arvioitava tarvetta asettaa ennallistamista koskevia lisätavoitteita, jotka perustuvat yhteisiin menetelmiin, joilla arvioidaan sellaisten ekosysteemien kuntoa, jotka eivät kuulu 4 ja 5 artiklan soveltamisalaan, ottaen huomioon uusin tieteellinen näyttö. </w:t>
      </w:r>
    </w:p>
    <w:p w:rsidR="00FF7B51" w:rsidRPr="00B87DD1" w:rsidRDefault="00FF7B51" w:rsidP="00FF7B51">
      <w:pPr>
        <w:widowControl/>
        <w:suppressAutoHyphens/>
        <w:spacing w:before="120" w:after="120" w:line="360" w:lineRule="auto"/>
        <w:ind w:left="567" w:right="-1" w:hanging="567"/>
        <w:rPr>
          <w:rFonts w:eastAsia="Calibri"/>
          <w:szCs w:val="24"/>
        </w:rPr>
      </w:pPr>
      <w:r w:rsidRPr="00B87DD1">
        <w:t>(78)</w:t>
      </w:r>
      <w:r w:rsidRPr="00B87DD1">
        <w:tab/>
        <w:t xml:space="preserve">Jäsenvaltiot eivät voi riittävällä tavalla saavuttaa tämän asetuksen tavoitteita, vaan ne voidaan sen laajuuden ja vaikutusten vuoksi saavuttaa paremmin unionin tasolla. Sen vuoksi unioni voi toteuttaa toimenpiteitä </w:t>
      </w:r>
      <w:r w:rsidRPr="00B87DD1">
        <w:rPr>
          <w:b/>
          <w:i/>
        </w:rPr>
        <w:t>SEU</w:t>
      </w:r>
      <w:r w:rsidRPr="00B87DD1">
        <w:t xml:space="preserve"> 5 artiklassa vahvistetun toissijaisuusperiaatteen mukaisesti. Mainitussa artiklassa vahvistetun suhteellisuusperiaatteen mukaisesti tässä asetuksessa ei ylitetä sitä, mikä on tarpeen näiden tavoitteiden saavuttamiseksi,</w:t>
      </w:r>
    </w:p>
    <w:p w:rsidR="00FF7B51" w:rsidRPr="00B87DD1" w:rsidRDefault="00FF7B51" w:rsidP="00FF7B51">
      <w:pPr>
        <w:widowControl/>
        <w:suppressAutoHyphens/>
        <w:spacing w:before="120" w:after="120" w:line="360" w:lineRule="auto"/>
        <w:ind w:left="567" w:right="3400" w:hanging="567"/>
        <w:rPr>
          <w:rFonts w:eastAsia="Calibri"/>
          <w:szCs w:val="24"/>
        </w:rPr>
      </w:pPr>
      <w:r w:rsidRPr="00B87DD1">
        <w:br w:type="page"/>
      </w:r>
    </w:p>
    <w:p w:rsidR="00FF7B51" w:rsidRPr="00B87DD1" w:rsidRDefault="00FF7B51" w:rsidP="00FF7B51">
      <w:pPr>
        <w:keepNext/>
        <w:widowControl/>
        <w:suppressAutoHyphens/>
        <w:spacing w:before="120" w:after="120"/>
        <w:jc w:val="both"/>
        <w:rPr>
          <w:b/>
          <w:bCs/>
          <w:szCs w:val="26"/>
          <w:lang w:eastAsia="en-US"/>
        </w:rPr>
      </w:pPr>
      <w:r w:rsidRPr="00B87DD1">
        <w:lastRenderedPageBreak/>
        <w:t>OVAT HYVÄKSYNEET TÄMÄN ASETUKSEN:</w:t>
      </w:r>
    </w:p>
    <w:p w:rsidR="00FF7B51" w:rsidRPr="00B87DD1" w:rsidRDefault="00FF7B51" w:rsidP="00FF7B51">
      <w:pPr>
        <w:keepNext/>
        <w:widowControl/>
        <w:suppressAutoHyphens/>
        <w:spacing w:before="360" w:after="360" w:line="360" w:lineRule="auto"/>
        <w:jc w:val="center"/>
        <w:outlineLvl w:val="0"/>
        <w:rPr>
          <w:b/>
          <w:bCs/>
          <w:smallCaps/>
          <w:sz w:val="32"/>
          <w:szCs w:val="28"/>
        </w:rPr>
      </w:pPr>
      <w:r w:rsidRPr="00B87DD1">
        <w:rPr>
          <w:b/>
          <w:smallCaps/>
          <w:sz w:val="32"/>
        </w:rPr>
        <w:t>I LUKU</w:t>
      </w:r>
      <w:r w:rsidRPr="00B87DD1">
        <w:rPr>
          <w:b/>
          <w:smallCaps/>
          <w:sz w:val="32"/>
        </w:rPr>
        <w:cr/>
        <w:t>YLEISET SÄÄNNÖKSET</w:t>
      </w:r>
    </w:p>
    <w:p w:rsidR="00FF7B51" w:rsidRPr="00B87DD1" w:rsidRDefault="00FF7B51" w:rsidP="00FF7B51">
      <w:pPr>
        <w:keepNext/>
        <w:widowControl/>
        <w:suppressAutoHyphens/>
        <w:spacing w:before="360" w:after="120" w:line="360" w:lineRule="auto"/>
        <w:ind w:right="-1"/>
        <w:jc w:val="center"/>
        <w:outlineLvl w:val="1"/>
        <w:rPr>
          <w:b/>
          <w:bCs/>
          <w:szCs w:val="26"/>
        </w:rPr>
      </w:pPr>
      <w:bookmarkStart w:id="26" w:name="_Hlk137037513"/>
      <w:r w:rsidRPr="00B87DD1">
        <w:t>1 artikla</w:t>
      </w:r>
      <w:r w:rsidR="006825B9" w:rsidRPr="00B87DD1">
        <w:br/>
      </w:r>
      <w:r w:rsidRPr="00B87DD1">
        <w:rPr>
          <w:i/>
        </w:rPr>
        <w:t>Kohde</w:t>
      </w:r>
    </w:p>
    <w:p w:rsidR="00FF7B51" w:rsidRPr="00B87DD1" w:rsidRDefault="00FF7B51" w:rsidP="00FF7B51">
      <w:pPr>
        <w:widowControl/>
        <w:suppressAutoHyphens/>
        <w:spacing w:before="120" w:after="120" w:line="360" w:lineRule="auto"/>
        <w:ind w:left="567" w:right="-1" w:hanging="567"/>
        <w:jc w:val="both"/>
        <w:rPr>
          <w:rFonts w:eastAsia="Calibri"/>
          <w:szCs w:val="22"/>
        </w:rPr>
      </w:pPr>
      <w:r w:rsidRPr="00B87DD1">
        <w:t>1.</w:t>
      </w:r>
      <w:r w:rsidRPr="00B87DD1">
        <w:tab/>
        <w:t>Tässä asetuksessa vahvistetaan säännöt, joilla edistetään</w:t>
      </w:r>
    </w:p>
    <w:p w:rsidR="00FF7B51" w:rsidRPr="00B87DD1" w:rsidRDefault="00FF7B51" w:rsidP="00FF7B51">
      <w:pPr>
        <w:widowControl/>
        <w:suppressAutoHyphens/>
        <w:spacing w:before="120" w:after="120" w:line="360" w:lineRule="auto"/>
        <w:ind w:left="1134" w:right="-1" w:hanging="567"/>
        <w:rPr>
          <w:rFonts w:eastAsia="Calibri"/>
          <w:b/>
          <w:szCs w:val="22"/>
        </w:rPr>
      </w:pPr>
      <w:r w:rsidRPr="00B87DD1">
        <w:t>a)</w:t>
      </w:r>
      <w:r w:rsidRPr="00B87DD1">
        <w:tab/>
      </w:r>
      <w:r w:rsidR="006825B9" w:rsidRPr="00B87DD1">
        <w:rPr>
          <w:b/>
          <w:i/>
        </w:rPr>
        <w:t>luonnoltaan monimuotoisia</w:t>
      </w:r>
      <w:r w:rsidR="006825B9" w:rsidRPr="00B87DD1">
        <w:t xml:space="preserve">, </w:t>
      </w:r>
      <w:r w:rsidR="006825B9" w:rsidRPr="00B87DD1">
        <w:rPr>
          <w:b/>
          <w:i/>
        </w:rPr>
        <w:t>häiriönsietokykyisiä</w:t>
      </w:r>
      <w:r w:rsidR="006825B9" w:rsidRPr="00B87DD1">
        <w:t xml:space="preserve"> ja </w:t>
      </w:r>
      <w:r w:rsidR="006825B9" w:rsidRPr="00B87DD1">
        <w:rPr>
          <w:b/>
          <w:i/>
        </w:rPr>
        <w:t>tuottavia ekosysteemeitä</w:t>
      </w:r>
      <w:r w:rsidRPr="00B87DD1">
        <w:t xml:space="preserve"> </w:t>
      </w:r>
      <w:r w:rsidRPr="00B87DD1">
        <w:rPr>
          <w:b/>
          <w:i/>
        </w:rPr>
        <w:t>jäsenvaltioiden</w:t>
      </w:r>
      <w:r w:rsidRPr="00B87DD1">
        <w:t xml:space="preserve"> maa- ja merialueilla </w:t>
      </w:r>
      <w:r w:rsidR="006825B9" w:rsidRPr="00B87DD1">
        <w:rPr>
          <w:b/>
          <w:i/>
        </w:rPr>
        <w:t>rappeutuneiden</w:t>
      </w:r>
      <w:r w:rsidR="006825B9" w:rsidRPr="00B87DD1">
        <w:t xml:space="preserve"> </w:t>
      </w:r>
      <w:r w:rsidRPr="00B87DD1">
        <w:t>ekosysteemien ennallistamisen avulla;</w:t>
      </w:r>
      <w:r w:rsidR="006825B9" w:rsidRPr="00B87DD1">
        <w:rPr>
          <w:b/>
        </w:rPr>
        <w:t xml:space="preserve"> [tark. 113/rev1]</w:t>
      </w:r>
    </w:p>
    <w:p w:rsidR="00FF7B51" w:rsidRPr="00B87DD1" w:rsidRDefault="00FF7B51" w:rsidP="00FF7B51">
      <w:pPr>
        <w:widowControl/>
        <w:suppressAutoHyphens/>
        <w:spacing w:before="120" w:after="120" w:line="360" w:lineRule="auto"/>
        <w:ind w:left="1134" w:right="-1" w:hanging="567"/>
        <w:rPr>
          <w:rFonts w:eastAsia="Calibri"/>
          <w:b/>
          <w:szCs w:val="22"/>
        </w:rPr>
      </w:pPr>
      <w:r w:rsidRPr="00B87DD1">
        <w:t>b)</w:t>
      </w:r>
      <w:r w:rsidRPr="00B87DD1">
        <w:tab/>
        <w:t>ilmastonmuutoksen hillitsemistä</w:t>
      </w:r>
      <w:r w:rsidR="00E02FC0" w:rsidRPr="00B87DD1">
        <w:t xml:space="preserve"> ja</w:t>
      </w:r>
      <w:r w:rsidR="00184958" w:rsidRPr="00B87DD1">
        <w:t xml:space="preserve"> </w:t>
      </w:r>
      <w:r w:rsidR="00E02FC0" w:rsidRPr="00B87DD1">
        <w:rPr>
          <w:b/>
          <w:i/>
        </w:rPr>
        <w:t>▌</w:t>
      </w:r>
      <w:r w:rsidRPr="00B87DD1">
        <w:t xml:space="preserve"> ilmastonmuutokseen sopeutumista</w:t>
      </w:r>
      <w:r w:rsidR="00E02FC0" w:rsidRPr="00B87DD1">
        <w:rPr>
          <w:b/>
          <w:i/>
        </w:rPr>
        <w:t>▌</w:t>
      </w:r>
      <w:r w:rsidRPr="00B87DD1">
        <w:t xml:space="preserve"> koskevien unionin yleisten tavoitteiden</w:t>
      </w:r>
      <w:r w:rsidR="00E02FC0" w:rsidRPr="00B87DD1">
        <w:rPr>
          <w:b/>
          <w:i/>
        </w:rPr>
        <w:t>, mukaan lukien elintarviketurva, energiakäänne ja sosiaalinen asuntotuotanto</w:t>
      </w:r>
      <w:r w:rsidR="00E21FBD" w:rsidRPr="00B87DD1">
        <w:rPr>
          <w:b/>
          <w:i/>
        </w:rPr>
        <w:t>,</w:t>
      </w:r>
      <w:r w:rsidRPr="00B87DD1">
        <w:t xml:space="preserve"> saavuttamista;</w:t>
      </w:r>
      <w:r w:rsidR="006825B9" w:rsidRPr="00B87DD1">
        <w:rPr>
          <w:b/>
        </w:rPr>
        <w:t xml:space="preserve"> [tark. 114]</w:t>
      </w:r>
    </w:p>
    <w:p w:rsidR="00FF7B51" w:rsidRPr="00B87DD1" w:rsidRDefault="00FF7B51" w:rsidP="00FF7B51">
      <w:pPr>
        <w:widowControl/>
        <w:suppressAutoHyphens/>
        <w:spacing w:before="120" w:after="120" w:line="360" w:lineRule="auto"/>
        <w:ind w:left="1134" w:right="-1" w:hanging="567"/>
        <w:jc w:val="both"/>
        <w:rPr>
          <w:rFonts w:eastAsia="Calibri"/>
          <w:szCs w:val="22"/>
        </w:rPr>
      </w:pPr>
      <w:r w:rsidRPr="00B87DD1">
        <w:t>c)</w:t>
      </w:r>
      <w:r w:rsidRPr="00B87DD1">
        <w:tab/>
        <w:t>unionin kansainvälisten sitoumusten täyttämistä.</w:t>
      </w:r>
    </w:p>
    <w:p w:rsidR="00FF7B51" w:rsidRPr="00B87DD1" w:rsidRDefault="00FF7B51" w:rsidP="00FF7B51">
      <w:pPr>
        <w:widowControl/>
        <w:suppressAutoHyphens/>
        <w:spacing w:before="120" w:after="120" w:line="360" w:lineRule="auto"/>
        <w:ind w:left="567" w:right="-1" w:hanging="567"/>
      </w:pPr>
      <w:r w:rsidRPr="00B87DD1">
        <w:t>2.</w:t>
      </w:r>
      <w:r w:rsidRPr="00B87DD1">
        <w:tab/>
        <w:t xml:space="preserve">Tässä asetuksessa luodaan puitteet, joissa jäsenvaltiot ottavat </w:t>
      </w:r>
      <w:r w:rsidRPr="00B87DD1">
        <w:rPr>
          <w:rFonts w:ascii="Arial" w:hAnsi="Arial"/>
          <w:snapToGrid w:val="0"/>
        </w:rPr>
        <w:t>▌</w:t>
      </w:r>
      <w:r w:rsidRPr="00B87DD1">
        <w:t xml:space="preserve"> käyttöön toimivia ja alueperusteisia ennallistamistoimenpiteitä, </w:t>
      </w:r>
      <w:r w:rsidRPr="00B87DD1">
        <w:rPr>
          <w:b/>
          <w:i/>
        </w:rPr>
        <w:t>joilla on tarkoitus yhdessä kattaa unionin tavoitteena 2 artiklassa määriteltyyn soveltamisalaan kuuluvilla alueilla ja ekosysteemeissä</w:t>
      </w:r>
      <w:r w:rsidRPr="00B87DD1">
        <w:t xml:space="preserve"> vähintään 20 prosenttia </w:t>
      </w:r>
      <w:r w:rsidRPr="00B87DD1">
        <w:rPr>
          <w:b/>
          <w:i/>
        </w:rPr>
        <w:t>maa-alueista ja</w:t>
      </w:r>
      <w:r w:rsidRPr="00B87DD1">
        <w:t xml:space="preserve"> 20 prosenttia </w:t>
      </w:r>
      <w:r w:rsidRPr="00B87DD1">
        <w:rPr>
          <w:b/>
          <w:i/>
        </w:rPr>
        <w:t>merialueista</w:t>
      </w:r>
      <w:r w:rsidRPr="00B87DD1">
        <w:t xml:space="preserve"> vuoteen 2030 mennessä sekä kaikki ennallistamisen tarpeessa olevat ekosysteemit vuoteen 2050 mennessä.</w:t>
      </w:r>
    </w:p>
    <w:p w:rsidR="00176693" w:rsidRPr="00B87DD1" w:rsidRDefault="00176693" w:rsidP="00FF7B51">
      <w:pPr>
        <w:widowControl/>
        <w:suppressAutoHyphens/>
        <w:spacing w:before="120" w:after="120" w:line="360" w:lineRule="auto"/>
        <w:ind w:left="567" w:right="-1" w:hanging="567"/>
        <w:rPr>
          <w:rFonts w:eastAsia="Calibri"/>
          <w:b/>
          <w:szCs w:val="22"/>
        </w:rPr>
      </w:pPr>
      <w:r w:rsidRPr="00B87DD1">
        <w:rPr>
          <w:b/>
          <w:i/>
        </w:rPr>
        <w:t>2 a.</w:t>
      </w:r>
      <w:r w:rsidRPr="00B87DD1">
        <w:tab/>
      </w:r>
      <w:r w:rsidRPr="00B87DD1">
        <w:rPr>
          <w:b/>
          <w:i/>
        </w:rPr>
        <w:t>Tällä asetuksella on luotava synergioita, sen oltava johdonmukainen voimassa olevan ja valmisteilla olevan lainsäädännön kanssa ja siinä on otettava huomioon kansallinen toimivalta ja varmistettava yhtenäisyys ja johdonmukaisuus muun muassa uusiutuvia energialähteitä, kasvinsuojeluaineita, kriittisiä raaka-aineita sekä maa- ja metsätaloutta koskevan unionin lainsäädännön kanssa.</w:t>
      </w:r>
      <w:r w:rsidRPr="00B87DD1">
        <w:rPr>
          <w:b/>
        </w:rPr>
        <w:t xml:space="preserve"> [tark. 116]</w:t>
      </w:r>
    </w:p>
    <w:bookmarkEnd w:id="26"/>
    <w:p w:rsidR="00B87DD1" w:rsidRPr="00B87DD1" w:rsidRDefault="00B87DD1">
      <w:pPr>
        <w:widowControl/>
      </w:pPr>
      <w:r w:rsidRPr="00B87DD1">
        <w:br w:type="page"/>
      </w:r>
    </w:p>
    <w:p w:rsidR="00FF7B51" w:rsidRPr="00B87DD1" w:rsidRDefault="00FF7B51" w:rsidP="00FF7B51">
      <w:pPr>
        <w:keepNext/>
        <w:widowControl/>
        <w:suppressAutoHyphens/>
        <w:spacing w:before="360" w:after="120" w:line="360" w:lineRule="auto"/>
        <w:ind w:right="-1"/>
        <w:jc w:val="center"/>
        <w:outlineLvl w:val="1"/>
        <w:rPr>
          <w:b/>
          <w:bCs/>
          <w:szCs w:val="26"/>
        </w:rPr>
      </w:pPr>
      <w:r w:rsidRPr="00B87DD1">
        <w:lastRenderedPageBreak/>
        <w:t>2 artikla</w:t>
      </w:r>
      <w:r w:rsidR="00176693" w:rsidRPr="00B87DD1">
        <w:br/>
      </w:r>
      <w:r w:rsidRPr="00B87DD1">
        <w:rPr>
          <w:i/>
        </w:rPr>
        <w:t>Maantieteellinen soveltamisala</w:t>
      </w:r>
    </w:p>
    <w:p w:rsidR="00FF7B51" w:rsidRPr="00B87DD1" w:rsidRDefault="00FF7B51" w:rsidP="00FF7B51">
      <w:pPr>
        <w:widowControl/>
        <w:suppressAutoHyphens/>
        <w:spacing w:before="120" w:after="120" w:line="360" w:lineRule="auto"/>
        <w:ind w:right="-1"/>
        <w:rPr>
          <w:rFonts w:eastAsia="Calibri"/>
          <w:szCs w:val="22"/>
        </w:rPr>
      </w:pPr>
      <w:r w:rsidRPr="00B87DD1">
        <w:t>Tätä asetusta sovelletaan 4–10 artiklassa tarkoitettuihin ekosysteemeihin:</w:t>
      </w:r>
    </w:p>
    <w:p w:rsidR="00FF7B51" w:rsidRPr="00B87DD1" w:rsidRDefault="00FF7B51" w:rsidP="00FF7B51">
      <w:pPr>
        <w:widowControl/>
        <w:suppressAutoHyphens/>
        <w:spacing w:before="120" w:after="120" w:line="360" w:lineRule="auto"/>
        <w:ind w:left="1134" w:right="-1" w:hanging="567"/>
        <w:jc w:val="both"/>
        <w:rPr>
          <w:rFonts w:eastAsia="Calibri"/>
          <w:b/>
          <w:szCs w:val="22"/>
          <w:u w:val="single"/>
        </w:rPr>
      </w:pPr>
      <w:r w:rsidRPr="00B87DD1">
        <w:t>a)</w:t>
      </w:r>
      <w:r w:rsidRPr="00B87DD1">
        <w:tab/>
        <w:t>jäsenvaltioiden alueella;</w:t>
      </w:r>
    </w:p>
    <w:p w:rsidR="00FF7B51" w:rsidRPr="00B87DD1" w:rsidRDefault="00FF7B51" w:rsidP="00184958">
      <w:pPr>
        <w:widowControl/>
        <w:suppressAutoHyphens/>
        <w:spacing w:before="120" w:after="120" w:line="360" w:lineRule="auto"/>
        <w:ind w:left="1134" w:right="-1" w:hanging="567"/>
        <w:rPr>
          <w:rFonts w:eastAsia="Calibri"/>
          <w:i/>
          <w:szCs w:val="22"/>
        </w:rPr>
      </w:pPr>
      <w:r w:rsidRPr="00B87DD1">
        <w:rPr>
          <w:b/>
          <w:i/>
        </w:rPr>
        <w:t>a a)</w:t>
      </w:r>
      <w:r w:rsidRPr="00B87DD1">
        <w:rPr>
          <w:b/>
          <w:i/>
        </w:rPr>
        <w:tab/>
        <w:t>jäsenvaltioiden rannikkovesillä, sellaisina kuin ne määritellään direktiivissä 2000/60/EY, rannikkovesien merenpohjassa ja tämän sisustassa;</w:t>
      </w:r>
    </w:p>
    <w:p w:rsidR="00FF7B51" w:rsidRPr="00B87DD1" w:rsidRDefault="00FF7B51" w:rsidP="00FF7B51">
      <w:pPr>
        <w:widowControl/>
        <w:spacing w:before="120" w:after="120" w:line="360" w:lineRule="auto"/>
        <w:ind w:left="1134" w:hanging="567"/>
        <w:rPr>
          <w:rFonts w:eastAsia="Calibri"/>
          <w:szCs w:val="22"/>
        </w:rPr>
      </w:pPr>
      <w:r w:rsidRPr="00B87DD1">
        <w:t>b)</w:t>
      </w:r>
      <w:r w:rsidRPr="00B87DD1">
        <w:tab/>
        <w:t>vesillä, merenpohjassa ja tämän sisustassa merenpuoleisella alueella perusviivasta, josta aluevesien leveys mitataan, ulottuen sen alueen ulkorajaan saakka, jolla jäsenvaltiolla on ja/tai jolla se käyttää suvereniteettioikeuksia</w:t>
      </w:r>
      <w:r w:rsidRPr="00B87DD1">
        <w:rPr>
          <w:b/>
          <w:i/>
        </w:rPr>
        <w:t xml:space="preserve"> tai lainkäyttövaltaa</w:t>
      </w:r>
      <w:r w:rsidRPr="00B87DD1">
        <w:t xml:space="preserve"> vuoden 1982 Yhdistyneiden Kansakuntien merioikeusyleissopimuksen mukaisesti.</w:t>
      </w:r>
    </w:p>
    <w:p w:rsidR="00FF7B51" w:rsidRPr="00B87DD1" w:rsidRDefault="00FF7B51" w:rsidP="00FF7B51">
      <w:pPr>
        <w:widowControl/>
        <w:spacing w:before="120" w:after="120" w:line="360" w:lineRule="auto"/>
        <w:rPr>
          <w:rFonts w:eastAsia="Calibri"/>
          <w:b/>
          <w:i/>
          <w:sz w:val="22"/>
          <w:szCs w:val="22"/>
        </w:rPr>
      </w:pPr>
      <w:r w:rsidRPr="00B87DD1">
        <w:rPr>
          <w:b/>
          <w:i/>
        </w:rPr>
        <w:t xml:space="preserve">Tätä asetusta </w:t>
      </w:r>
      <w:bookmarkStart w:id="27" w:name="_Hlk135939578"/>
      <w:r w:rsidRPr="00B87DD1">
        <w:rPr>
          <w:b/>
          <w:i/>
        </w:rPr>
        <w:t>sovelletaan ainoastaan ekosysteemeihin jäsenvaltioiden Eurooppaan kuuluvalla alueella, johon sovelletaan perussopimuksia</w:t>
      </w:r>
      <w:bookmarkEnd w:id="27"/>
      <w:r w:rsidRPr="00B87DD1">
        <w:rPr>
          <w:b/>
          <w:i/>
        </w:rPr>
        <w:t>.</w:t>
      </w:r>
    </w:p>
    <w:p w:rsidR="00FF7B51" w:rsidRPr="00B87DD1" w:rsidRDefault="00FF7B51" w:rsidP="00FF7B51">
      <w:pPr>
        <w:keepNext/>
        <w:widowControl/>
        <w:suppressAutoHyphens/>
        <w:spacing w:before="360" w:after="120" w:line="360" w:lineRule="auto"/>
        <w:ind w:right="-1"/>
        <w:jc w:val="center"/>
        <w:outlineLvl w:val="1"/>
        <w:rPr>
          <w:b/>
          <w:bCs/>
          <w:sz w:val="22"/>
          <w:szCs w:val="26"/>
        </w:rPr>
      </w:pPr>
      <w:r w:rsidRPr="00B87DD1">
        <w:t>3 artikla</w:t>
      </w:r>
      <w:r w:rsidR="00176693" w:rsidRPr="00B87DD1">
        <w:br/>
      </w:r>
      <w:r w:rsidRPr="00B87DD1">
        <w:rPr>
          <w:i/>
        </w:rPr>
        <w:t>Määritelmät</w:t>
      </w:r>
      <w:r w:rsidRPr="00B87DD1">
        <w:rPr>
          <w:b/>
        </w:rPr>
        <w:t xml:space="preserve"> </w:t>
      </w:r>
    </w:p>
    <w:p w:rsidR="00FF7B51" w:rsidRPr="00B87DD1" w:rsidRDefault="00FF7B51" w:rsidP="00FF7B51">
      <w:pPr>
        <w:widowControl/>
        <w:suppressAutoHyphens/>
        <w:spacing w:before="120" w:after="120" w:line="360" w:lineRule="auto"/>
        <w:ind w:right="-1"/>
        <w:rPr>
          <w:rFonts w:eastAsia="Calibri"/>
          <w:szCs w:val="22"/>
        </w:rPr>
      </w:pPr>
      <w:r w:rsidRPr="00B87DD1">
        <w:t>Tässä asetuksessa tarkoitetaan</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t>(1)</w:t>
      </w:r>
      <w:r w:rsidRPr="00B87DD1">
        <w:tab/>
        <w:t>’ekosysteemillä’ dynaamista kokonaisuutta, jossa kasvi-, eläin-</w:t>
      </w:r>
      <w:r w:rsidRPr="00B87DD1">
        <w:rPr>
          <w:b/>
          <w:i/>
        </w:rPr>
        <w:t>, sieni-</w:t>
      </w:r>
      <w:r w:rsidRPr="00B87DD1">
        <w:t xml:space="preserve"> ja pieneliöyhteisöt toimivat elottomassa ympäristössään toiminnallisena yksikkönä ja joka kattaa luontotyypit, lajien elinympäristöt ja lajien kannat;</w:t>
      </w:r>
    </w:p>
    <w:p w:rsidR="00FF7B51" w:rsidRPr="00B87DD1" w:rsidRDefault="00FF7B51" w:rsidP="00FF7B51">
      <w:pPr>
        <w:widowControl/>
        <w:suppressAutoHyphens/>
        <w:spacing w:before="120" w:after="120" w:line="360" w:lineRule="auto"/>
        <w:ind w:left="851" w:right="-1" w:hanging="851"/>
        <w:rPr>
          <w:rFonts w:eastAsia="Calibri"/>
          <w:szCs w:val="22"/>
          <w:lang w:eastAsia="en-US"/>
        </w:rPr>
      </w:pPr>
      <w:r w:rsidRPr="00B87DD1">
        <w:t>(2)</w:t>
      </w:r>
      <w:r w:rsidRPr="00B87DD1">
        <w:tab/>
        <w:t xml:space="preserve">‘lajin elinympäristöllä’ </w:t>
      </w:r>
      <w:r w:rsidRPr="00B87DD1">
        <w:rPr>
          <w:b/>
          <w:i/>
        </w:rPr>
        <w:t xml:space="preserve">direktiivin 92/43/ETY 1 artiklan f alakohdassa määriteltyä lajin </w:t>
      </w:r>
      <w:bookmarkStart w:id="28" w:name="_Hlk126738941"/>
      <w:bookmarkEnd w:id="28"/>
      <w:r w:rsidRPr="00B87DD1">
        <w:rPr>
          <w:b/>
          <w:i/>
        </w:rPr>
        <w:t>elinympäristöä</w:t>
      </w:r>
      <w:r w:rsidRPr="00B87DD1">
        <w:t>;</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br w:type="page"/>
      </w:r>
      <w:r w:rsidRPr="00B87DD1">
        <w:lastRenderedPageBreak/>
        <w:t>(3)</w:t>
      </w:r>
      <w:r w:rsidRPr="00B87DD1">
        <w:tab/>
        <w:t xml:space="preserve">’ennallistamisella’ prosessia, jossa aktiivisesti tai passiivisesti tuetaan ekosysteemin elpymistä </w:t>
      </w:r>
      <w:r w:rsidRPr="00B87DD1">
        <w:rPr>
          <w:b/>
          <w:i/>
        </w:rPr>
        <w:t xml:space="preserve">sen rakenteen ja toimintojen parantamiseksi tavoitteena luonnon monimuotoisuuden ja ekosysteemien häiriönsietokyvyn säilyttäminen tai parantaminen; tässä asetuksessa tarkoitettu ekosysteemien ennallistaminen tapahtuu parantamalla luontotyypin tila hyväksi, palauttamalla sen suotuisa viiteala ja elvyttämällä lajin elinympäristö </w:t>
      </w:r>
      <w:r w:rsidRPr="00B87DD1">
        <w:t>laadullisesti ja määrällisesti riittäväksi</w:t>
      </w:r>
      <w:r w:rsidRPr="00B87DD1">
        <w:rPr>
          <w:b/>
          <w:i/>
        </w:rPr>
        <w:t xml:space="preserve"> 4 artiklan 1, 2 ja 3 kohdan ja 5 artiklan 1, 2 ja 3 kohdan mukaisesti sekä täyttämällä 6–10 artiklan mukaiset tavoitteet ja velvoitteet, mukaan lukien 8 artiklan 1 kohdassa, 9 artiklan 2 kohdassa ja 10 artiklan 2 kohdassa tarkoitettujen indikaattoreiden osalta tyydyttävien tasojen saavuttaminen</w:t>
      </w:r>
      <w:r w:rsidRPr="00B87DD1">
        <w:t xml:space="preserve"> luonnon monimuotoisuuden ja ekosysteemien häiriönsietokyvyn säilyttämiseksi tai parantamiseksi; </w:t>
      </w:r>
    </w:p>
    <w:p w:rsidR="00FF7B51" w:rsidRPr="00B87DD1" w:rsidRDefault="00FF7B51" w:rsidP="00FF7B51">
      <w:pPr>
        <w:widowControl/>
        <w:suppressAutoHyphens/>
        <w:spacing w:before="120" w:after="120" w:line="360" w:lineRule="auto"/>
        <w:ind w:left="851" w:right="-1" w:hanging="851"/>
        <w:rPr>
          <w:szCs w:val="22"/>
        </w:rPr>
      </w:pPr>
      <w:r w:rsidRPr="00B87DD1">
        <w:t>(4)</w:t>
      </w:r>
      <w:r w:rsidRPr="00B87DD1">
        <w:tab/>
      </w:r>
      <w:r w:rsidRPr="00B87DD1">
        <w:rPr>
          <w:b/>
          <w:i/>
        </w:rPr>
        <w:t>luontotyypin</w:t>
      </w:r>
      <w:r w:rsidRPr="00B87DD1">
        <w:t xml:space="preserve"> ’hyvällä tilalla’ tilaa, jossa </w:t>
      </w:r>
      <w:r w:rsidRPr="00B87DD1">
        <w:rPr>
          <w:b/>
          <w:i/>
        </w:rPr>
        <w:t>sen</w:t>
      </w:r>
      <w:r w:rsidRPr="00B87DD1">
        <w:t xml:space="preserve"> keskeiset ominaisuudet</w:t>
      </w:r>
      <w:r w:rsidRPr="00B87DD1">
        <w:rPr>
          <w:b/>
          <w:i/>
        </w:rPr>
        <w:t>,</w:t>
      </w:r>
      <w:r w:rsidRPr="00B87DD1">
        <w:t xml:space="preserve"> </w:t>
      </w:r>
      <w:r w:rsidRPr="00B87DD1">
        <w:rPr>
          <w:b/>
          <w:i/>
        </w:rPr>
        <w:t>erityisesti</w:t>
      </w:r>
      <w:r w:rsidRPr="00B87DD1">
        <w:t xml:space="preserve"> sen </w:t>
      </w:r>
      <w:r w:rsidRPr="00B87DD1">
        <w:rPr>
          <w:b/>
          <w:i/>
        </w:rPr>
        <w:t>rakenne ja toiminnot ja sille luonteenomaiset lajit tai luonteenomainen lajikoostumus</w:t>
      </w:r>
      <w:r w:rsidRPr="00B87DD1">
        <w:t xml:space="preserve"> heijastavat korkeatasoista ekologista eheyttä, vakautta ja häiriönsietokykyä, jotka ovat tarpeen ekosysteemin pitkän aikavälin säilymisen varmistamiseksi</w:t>
      </w:r>
      <w:r w:rsidRPr="00B87DD1">
        <w:rPr>
          <w:b/>
          <w:i/>
        </w:rPr>
        <w:t xml:space="preserve">, ja näin edistävät direktiivin 92/43/ETY 1 artiklan e alakohdan mukaisen suotuisan suojelun tason saavuttamista tai säilyttämistä, kun asianomainen luontotyyppi on luetteloitu mainitun direktiivin liitteeseen I, ja meriekosysteemeissä edistävät </w:t>
      </w:r>
      <w:bookmarkStart w:id="29" w:name="_Hlk132368424"/>
      <w:r w:rsidRPr="00B87DD1">
        <w:rPr>
          <w:b/>
          <w:i/>
        </w:rPr>
        <w:t>direktiivin 2008/56/EY 3 artiklan 5 kohdan mukaisen, ympäristön hyvän tilan saavuttamista tai säilyttämistä</w:t>
      </w:r>
      <w:bookmarkEnd w:id="29"/>
      <w:r w:rsidRPr="00B87DD1">
        <w:t>;</w:t>
      </w:r>
    </w:p>
    <w:p w:rsidR="00FF7B51" w:rsidRPr="00B87DD1" w:rsidRDefault="00FF7B51" w:rsidP="00FF7B51">
      <w:pPr>
        <w:widowControl/>
        <w:suppressAutoHyphens/>
        <w:spacing w:before="120" w:after="120" w:line="360" w:lineRule="auto"/>
        <w:ind w:left="851" w:right="-1" w:hanging="851"/>
        <w:rPr>
          <w:rFonts w:eastAsia="Calibri"/>
          <w:b/>
          <w:szCs w:val="22"/>
          <w:u w:val="single"/>
        </w:rPr>
      </w:pPr>
      <w:r w:rsidRPr="00B87DD1">
        <w:br w:type="page"/>
      </w:r>
      <w:r w:rsidRPr="00B87DD1">
        <w:lastRenderedPageBreak/>
        <w:t>(5)</w:t>
      </w:r>
      <w:r w:rsidRPr="00B87DD1">
        <w:tab/>
        <w:t xml:space="preserve">’suotuisalla viitealalla’ luontotyypin sellaista kokonaispinta-alaa kansallisella tasolla tietyllä luonnonmaantieteellisellä alueella tai merialueella, joka katsotaan välttämättömäksi luontotyypin ja sen </w:t>
      </w:r>
      <w:r w:rsidRPr="00B87DD1">
        <w:rPr>
          <w:b/>
          <w:i/>
        </w:rPr>
        <w:t>luonteenomaisten</w:t>
      </w:r>
      <w:r w:rsidRPr="00B87DD1">
        <w:t xml:space="preserve"> lajien </w:t>
      </w:r>
      <w:r w:rsidRPr="00B87DD1">
        <w:rPr>
          <w:b/>
          <w:i/>
          <w:shd w:val="clear" w:color="auto" w:fill="FFFFFF"/>
        </w:rPr>
        <w:t>tai luonteenomaisen lajikoostumuksen</w:t>
      </w:r>
      <w:r w:rsidRPr="00B87DD1">
        <w:t xml:space="preserve"> pitkän aikavälin elinkelpoisuuden ja sen luontaisen levinneisyysalueen kaikkien merkittävien ekologisten vaihtelujen varmistamiseksi ja joka koostuu luontotyypin pinta-alasta ja, jos kyseinen alue ei ole riittävä, luontotyypin palauttamiseen tarvittavasta alasta; </w:t>
      </w:r>
      <w:r w:rsidRPr="00B87DD1">
        <w:rPr>
          <w:b/>
          <w:i/>
        </w:rPr>
        <w:t>jos kyseinen luontotyyppi on lueteltu direktiivin 92/43/ETY liitteessä I, tällainen palauttaminen edistää kyseisen direktiivin 1 artiklan e alakohdan mukaisen suotuisan suojelun tason saavuttamista</w:t>
      </w:r>
      <w:r w:rsidRPr="00B87DD1">
        <w:rPr>
          <w:b/>
          <w:i/>
          <w:shd w:val="clear" w:color="auto" w:fill="FFFFFF"/>
        </w:rPr>
        <w:t xml:space="preserve"> ja meriekosysteemeissä tällainen palauttaminen edistää direktiivin 2008/56/EY 3 artiklan 5 kohdan mukaisen ympäristön hyvän tilan saavuttamista tai säilyttämistä</w:t>
      </w:r>
      <w:r w:rsidRPr="00B87DD1">
        <w:rPr>
          <w:b/>
          <w:i/>
        </w:rPr>
        <w:t>;</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t>(6)</w:t>
      </w:r>
      <w:r w:rsidRPr="00B87DD1">
        <w:tab/>
        <w:t>’elinympäristön riittävällä laadulla’ sellaista lajin elinympäristön laatua, joka mahdollistaa lajin ekologisten vaatimusten täyttymisen missä tahansa sen biologisen syklin vaiheessa siten, että laji pystyy pitkällä aikavälillä selviytymään elinympäristönsä elinkelpoisena osana sen luontaisella levinneisyysalueella</w:t>
      </w:r>
      <w:r w:rsidRPr="00B87DD1">
        <w:rPr>
          <w:b/>
          <w:i/>
        </w:rPr>
        <w:t>, edistää direktiivin 92/43/ETY 1 artiklan i alakohdan mukaisen lajin suotuisan suojelun tason saavuttamista tai ylläpitämistä kyseisen direktiivin liitteessä II, IV tai V lueteltujen lajien osalta ja turvaa direktiivin 2009/147/EY soveltamisalaan kuuluvien luonnonvaraisten lintulajien populaatiot ja lisäksi meriekosysteemeissä edistää 2008/56/EY 3 artiklan 5 kohdan mukaista ympäristön hyvän tilan saavuttamista tai ylläpitämistä</w:t>
      </w:r>
      <w:r w:rsidRPr="00B87DD1">
        <w:t>;</w:t>
      </w:r>
    </w:p>
    <w:p w:rsidR="00FF7B51" w:rsidRPr="00B87DD1" w:rsidRDefault="00FF7B51" w:rsidP="00FF7B51">
      <w:pPr>
        <w:widowControl/>
        <w:suppressAutoHyphens/>
        <w:spacing w:before="120" w:after="120" w:line="360" w:lineRule="auto"/>
        <w:ind w:left="851" w:right="-1" w:hanging="851"/>
      </w:pPr>
      <w:r w:rsidRPr="00B87DD1">
        <w:br w:type="page"/>
      </w:r>
      <w:r w:rsidRPr="00B87DD1">
        <w:lastRenderedPageBreak/>
        <w:t>(7)</w:t>
      </w:r>
      <w:r w:rsidRPr="00B87DD1">
        <w:tab/>
        <w:t>’elinympäristön riittävällä määrällä’ sellaista lajin elinympäristön määrää, joka mahdollistaa lajin ekologisten vaatimusten täyttymisen missä tahansa sen biologisen syklin vaiheessa siten, että laji pystyy pitkällä aikavälillä selviytymään elinympäristönsä elinkelpoisena osana sen luontaisella levinneisyysalueella</w:t>
      </w:r>
      <w:r w:rsidRPr="00B87DD1">
        <w:rPr>
          <w:b/>
          <w:i/>
        </w:rPr>
        <w:t>, edistää direktiivin 92/43/ETY 1 artiklan i alakohdan mukaisen lajin suotuisan suojelun tason saavuttamista tai ylläpitämistä kyseisen direktiivin liitteessä II, IV tai V lueteltujen lajien osalta ja turvaa direktiivin 2009/147/EY soveltamisalaan kuuluvien luonnonvaraisten lintulajien populaatiot ja lisäksi meriekosysteemeissä edistää 2008/56/EY 3 artiklan 5 kohdan mukaista ympäristön hyvän tilan saavuttamista tai ylläpitämistä</w:t>
      </w:r>
      <w:r w:rsidRPr="00B87DD1">
        <w:t>;</w:t>
      </w:r>
    </w:p>
    <w:p w:rsidR="00176693" w:rsidRPr="00B87DD1" w:rsidRDefault="001B2DF4" w:rsidP="00FF7B51">
      <w:pPr>
        <w:widowControl/>
        <w:suppressAutoHyphens/>
        <w:spacing w:before="120" w:after="120" w:line="360" w:lineRule="auto"/>
        <w:ind w:left="851" w:right="-1" w:hanging="851"/>
        <w:rPr>
          <w:rFonts w:eastAsia="Calibri"/>
          <w:b/>
          <w:szCs w:val="22"/>
        </w:rPr>
      </w:pPr>
      <w:r>
        <w:rPr>
          <w:b/>
          <w:i/>
        </w:rPr>
        <w:t>(</w:t>
      </w:r>
      <w:r w:rsidR="00176693" w:rsidRPr="00B87DD1">
        <w:rPr>
          <w:b/>
          <w:i/>
        </w:rPr>
        <w:t>7 a)</w:t>
      </w:r>
      <w:r w:rsidR="00176693" w:rsidRPr="00B87DD1">
        <w:tab/>
      </w:r>
      <w:r w:rsidR="00176693" w:rsidRPr="00B87DD1">
        <w:rPr>
          <w:b/>
          <w:i/>
        </w:rPr>
        <w:t>’heikkenemisellä’ haitallisen nettovaikutuksen aiheuttamista 4 artiklan 6 ja 7 kohdan sekä 5 artiklan 6 ja 7 kohdan soveltamisalaan kuuluville luontotyypeille ja lajien elinympäristöille, jos tämä vaikutus voisi olla merkittävä suhteessa 4 ja 5 artiklan yleiseen tavoitteeseen, joka on tällaisten luontotyyppien ja lajien elinympäristöjen suotuisan suojelun tason säilyttäminen tai ennalleen palauttaminen kansallisella tasolla ja kyseisestä luontotyypistä tai lajin elinympäristöstä riippuen luonnonmaantieteellisellä tasolla.</w:t>
      </w:r>
      <w:r w:rsidR="00176693" w:rsidRPr="00B87DD1">
        <w:rPr>
          <w:b/>
        </w:rPr>
        <w:t xml:space="preserve"> [tark. 117/rev1]</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t>(8)</w:t>
      </w:r>
      <w:r w:rsidRPr="00B87DD1">
        <w:tab/>
        <w:t xml:space="preserve">’pölyttäjällä’ luonnonvaraista </w:t>
      </w:r>
      <w:r w:rsidRPr="00B87DD1">
        <w:rPr>
          <w:b/>
          <w:i/>
        </w:rPr>
        <w:t>hyönteistä</w:t>
      </w:r>
      <w:r w:rsidRPr="00B87DD1">
        <w:t>, joka kuljettaa siitepölyä kasvin ponnesta kasvin luottiin ja mahdollistaa siten hedelmöityksen ja siementen tuotannon;</w:t>
      </w:r>
    </w:p>
    <w:p w:rsidR="00FF7B51" w:rsidRPr="00B87DD1" w:rsidRDefault="00FF7B51" w:rsidP="00FF7B51">
      <w:pPr>
        <w:widowControl/>
        <w:suppressAutoHyphens/>
        <w:spacing w:before="120" w:after="120" w:line="360" w:lineRule="auto"/>
        <w:ind w:left="851" w:right="-1" w:hanging="851"/>
        <w:rPr>
          <w:rFonts w:eastAsia="Calibri"/>
          <w:b/>
          <w:color w:val="000000"/>
          <w:szCs w:val="22"/>
          <w:u w:val="single"/>
        </w:rPr>
      </w:pPr>
      <w:r w:rsidRPr="00B87DD1">
        <w:t>(9)</w:t>
      </w:r>
      <w:r w:rsidRPr="00B87DD1">
        <w:tab/>
        <w:t>’pölyttäjäpopulaatioiden vähenemisellä’ pölyttäjien määrän tai monimuotoisuuden tai molempien vähenemistä;</w:t>
      </w:r>
    </w:p>
    <w:p w:rsidR="00FF7B51" w:rsidRPr="00B87DD1" w:rsidRDefault="00FF7B51" w:rsidP="00FF7B51">
      <w:pPr>
        <w:widowControl/>
        <w:suppressAutoHyphens/>
        <w:spacing w:before="120" w:after="120" w:line="360" w:lineRule="auto"/>
        <w:ind w:left="851" w:right="-1" w:hanging="851"/>
        <w:rPr>
          <w:rFonts w:eastAsia="Calibri"/>
          <w:i/>
          <w:color w:val="000000"/>
          <w:szCs w:val="22"/>
          <w:shd w:val="clear" w:color="auto" w:fill="FFFFFF"/>
        </w:rPr>
      </w:pPr>
      <w:r w:rsidRPr="00B87DD1">
        <w:rPr>
          <w:i/>
          <w:color w:val="000000"/>
        </w:rPr>
        <w:t>(</w:t>
      </w:r>
      <w:r w:rsidRPr="00B87DD1">
        <w:rPr>
          <w:b/>
          <w:i/>
        </w:rPr>
        <w:t>9 a)</w:t>
      </w:r>
      <w:r w:rsidRPr="00B87DD1">
        <w:rPr>
          <w:b/>
          <w:i/>
        </w:rPr>
        <w:tab/>
        <w:t>’kotoperäisellä puulajilla’ puulajia, joka esiintyy luontaisella</w:t>
      </w:r>
      <w:bookmarkStart w:id="30" w:name="_Hlk131598940"/>
      <w:r w:rsidRPr="00B87DD1">
        <w:rPr>
          <w:b/>
          <w:i/>
        </w:rPr>
        <w:t xml:space="preserve"> (entisellä tai nykyisellä) levinneisyysalueellaan ja leviämispotentiaalillaan (eli alueella, jota se luontaisesti käyttää tai voisi käyttää ilman ihmisen suoraa tai välillistä vaikutusta tai hoitoa); </w:t>
      </w:r>
    </w:p>
    <w:p w:rsidR="00FF7B51" w:rsidRPr="00B87DD1" w:rsidRDefault="00FF7B51" w:rsidP="00FF7B51">
      <w:pPr>
        <w:widowControl/>
        <w:suppressAutoHyphens/>
        <w:spacing w:before="120" w:after="120" w:line="360" w:lineRule="auto"/>
        <w:ind w:left="851" w:right="-1" w:hanging="851"/>
        <w:rPr>
          <w:rFonts w:eastAsia="Calibri"/>
          <w:color w:val="000000"/>
          <w:szCs w:val="22"/>
        </w:rPr>
      </w:pPr>
      <w:r w:rsidRPr="00B87DD1">
        <w:t>(10)</w:t>
      </w:r>
      <w:r w:rsidRPr="00B87DD1">
        <w:tab/>
        <w:t>’paikallisella hallinnollisella yksiköllä’ tai ’LAU:lla’ Euroopan parlamentin ja neuvoston asetuksen (EY) N:o 1059/2003</w:t>
      </w:r>
      <w:r w:rsidRPr="00B87DD1">
        <w:rPr>
          <w:rFonts w:eastAsia="Calibri"/>
          <w:color w:val="000000"/>
          <w:szCs w:val="24"/>
          <w:vertAlign w:val="superscript"/>
          <w:lang w:eastAsia="en-US"/>
        </w:rPr>
        <w:footnoteReference w:id="71"/>
      </w:r>
      <w:r w:rsidRPr="00B87DD1">
        <w:t> 4 artiklan mukaisesti perustettua jäsenvaltion alemman tason hallinnollista yksikköä ma</w:t>
      </w:r>
      <w:bookmarkStart w:id="31" w:name="_GoBack"/>
      <w:bookmarkEnd w:id="31"/>
      <w:r w:rsidRPr="00B87DD1">
        <w:t>akunnan, alueen tai valtion alapuolella;</w:t>
      </w:r>
    </w:p>
    <w:p w:rsidR="00FF7B51" w:rsidRPr="00B87DD1" w:rsidRDefault="00FF7B51" w:rsidP="00FF7B51">
      <w:pPr>
        <w:widowControl/>
        <w:suppressAutoHyphens/>
        <w:spacing w:before="120" w:after="120" w:line="360" w:lineRule="auto"/>
        <w:ind w:left="851" w:right="-1" w:hanging="851"/>
        <w:rPr>
          <w:rFonts w:eastAsia="Calibri"/>
          <w:b/>
          <w:i/>
          <w:szCs w:val="22"/>
        </w:rPr>
      </w:pPr>
      <w:r w:rsidRPr="00B87DD1">
        <w:br w:type="page"/>
      </w:r>
      <w:r w:rsidRPr="00B87DD1">
        <w:rPr>
          <w:b/>
          <w:i/>
        </w:rPr>
        <w:lastRenderedPageBreak/>
        <w:t>(10 a)</w:t>
      </w:r>
      <w:r w:rsidRPr="00B87DD1">
        <w:rPr>
          <w:b/>
          <w:i/>
        </w:rPr>
        <w:tab/>
        <w:t xml:space="preserve">’kaupunkikeskuksilla’ ja ’kaupunkiklustereilla’ alueyksiköitä, jotka on luokiteltu kaupungeiksi ja esikaupungeiksi </w:t>
      </w:r>
      <w:bookmarkStart w:id="32" w:name="_Hlk136856956"/>
      <w:r w:rsidRPr="00B87DD1">
        <w:rPr>
          <w:b/>
          <w:i/>
        </w:rPr>
        <w:t xml:space="preserve">asetuksen (EY) </w:t>
      </w:r>
      <w:proofErr w:type="gramStart"/>
      <w:r w:rsidRPr="00B87DD1">
        <w:rPr>
          <w:b/>
          <w:i/>
        </w:rPr>
        <w:t>N:o</w:t>
      </w:r>
      <w:proofErr w:type="gramEnd"/>
      <w:r w:rsidRPr="00B87DD1">
        <w:rPr>
          <w:b/>
          <w:i/>
        </w:rPr>
        <w:t> 1059/2003</w:t>
      </w:r>
      <w:bookmarkEnd w:id="32"/>
      <w:r w:rsidRPr="00B87DD1">
        <w:rPr>
          <w:b/>
          <w:i/>
        </w:rPr>
        <w:t xml:space="preserve"> 4 b artiklan 2 kohdan mukaisesti vahvistettua ruudukkoperusteista typologiaa käyttäen;</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t>(11)</w:t>
      </w:r>
      <w:r w:rsidRPr="00B87DD1">
        <w:tab/>
        <w:t xml:space="preserve">’kaupungeilla’ paikallisia hallinnollisia yksiköitä, joiden väestöstä vähintään 50 prosenttia asuu yhdessä tai useammassa kaupunkikeskuksessa mitattuna asetuksen (EY) </w:t>
      </w:r>
      <w:proofErr w:type="gramStart"/>
      <w:r w:rsidRPr="00B87DD1">
        <w:t>N:o</w:t>
      </w:r>
      <w:proofErr w:type="gramEnd"/>
      <w:r w:rsidRPr="00B87DD1">
        <w:t> 1059/2003 </w:t>
      </w:r>
      <w:r w:rsidRPr="00B87DD1">
        <w:rPr>
          <w:shd w:val="clear" w:color="auto" w:fill="FFFFFF"/>
        </w:rPr>
        <w:t>4 b artiklan 3 kohdan a alakohdan mukaisesti vahvistettua kaupungistumisastetta käyttäen</w:t>
      </w:r>
      <w:r w:rsidRPr="00B87DD1">
        <w:t>;</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t>(12)</w:t>
      </w:r>
      <w:r w:rsidRPr="00B87DD1">
        <w:tab/>
        <w:t xml:space="preserve">’pienemmillä kaupungeilla ja esikaupungeilla’ paikallisia hallinnollisia yksiköitä, joiden väestöstä alle 50 prosenttia asuu kaupunkikeskuksessa mutta vähintään 50 prosenttia asuu kaupunkiklusterissa mitattuna </w:t>
      </w:r>
      <w:r w:rsidRPr="00B87DD1">
        <w:rPr>
          <w:shd w:val="clear" w:color="auto" w:fill="FFFFFF"/>
        </w:rPr>
        <w:t xml:space="preserve">asetuksen (EY) </w:t>
      </w:r>
      <w:proofErr w:type="gramStart"/>
      <w:r w:rsidRPr="00B87DD1">
        <w:rPr>
          <w:shd w:val="clear" w:color="auto" w:fill="FFFFFF"/>
        </w:rPr>
        <w:t>N:o</w:t>
      </w:r>
      <w:proofErr w:type="gramEnd"/>
      <w:r w:rsidRPr="00B87DD1">
        <w:rPr>
          <w:shd w:val="clear" w:color="auto" w:fill="FFFFFF"/>
        </w:rPr>
        <w:t xml:space="preserve"> 1059/2003 4 b artiklan 3 kohdan a alakohdan mukaisesti</w:t>
      </w:r>
      <w:r w:rsidRPr="00B87DD1">
        <w:t xml:space="preserve"> </w:t>
      </w:r>
      <w:r w:rsidRPr="00B87DD1">
        <w:rPr>
          <w:color w:val="000000"/>
          <w:shd w:val="clear" w:color="auto" w:fill="FFFFFF"/>
        </w:rPr>
        <w:t>vahvistettua kaupungistumisastetta</w:t>
      </w:r>
      <w:r w:rsidRPr="00B87DD1">
        <w:t xml:space="preserve"> käyttäen;</w:t>
      </w:r>
    </w:p>
    <w:p w:rsidR="00FF7B51" w:rsidRPr="00B87DD1" w:rsidRDefault="00FF7B51" w:rsidP="00FF7B51">
      <w:pPr>
        <w:widowControl/>
        <w:suppressAutoHyphens/>
        <w:spacing w:before="120" w:after="120" w:line="360" w:lineRule="auto"/>
        <w:ind w:left="851" w:right="-1" w:hanging="851"/>
        <w:rPr>
          <w:rFonts w:eastAsia="Calibri"/>
          <w:b/>
          <w:i/>
          <w:color w:val="000000"/>
          <w:szCs w:val="22"/>
        </w:rPr>
      </w:pPr>
      <w:r w:rsidRPr="00B87DD1">
        <w:rPr>
          <w:b/>
          <w:i/>
          <w:color w:val="000000"/>
        </w:rPr>
        <w:t xml:space="preserve">(12 a) </w:t>
      </w:r>
      <w:r w:rsidRPr="00B87DD1">
        <w:rPr>
          <w:b/>
          <w:i/>
          <w:color w:val="000000"/>
        </w:rPr>
        <w:tab/>
        <w:t>’kaupunkien lähialueilla’ kaupunkikeskusten tai kaupunkiklustereiden viereisiä alueita, mukaan lukien vähintään kaikki alueet, jotka sijaitsevat enintään yhden kilometrin etäisyydellä kyseisten kaupunkikeskusten tai kaupunkiklustereiden ulkorajoista ja jotka sijaitsevat samassa kaupungissa, pienemmässä kaupungissa tai esikaupungissa kuin kyseiset kaupunkikeskukset tai kaupunkiklusterit;</w:t>
      </w:r>
    </w:p>
    <w:p w:rsidR="00FF7B51" w:rsidRPr="00B87DD1" w:rsidRDefault="00FF7B51" w:rsidP="00FF7B51">
      <w:pPr>
        <w:widowControl/>
        <w:suppressAutoHyphens/>
        <w:spacing w:before="120" w:after="120" w:line="360" w:lineRule="auto"/>
        <w:ind w:left="851" w:right="-1" w:hanging="851"/>
        <w:rPr>
          <w:rFonts w:eastAsia="Calibri"/>
          <w:szCs w:val="22"/>
        </w:rPr>
      </w:pPr>
      <w:r w:rsidRPr="00B87DD1">
        <w:t>(13)</w:t>
      </w:r>
      <w:r w:rsidRPr="00B87DD1">
        <w:tab/>
        <w:t>’kaupunkien viheralueella’</w:t>
      </w:r>
      <w:r w:rsidRPr="00B87DD1">
        <w:rPr>
          <w:b/>
          <w:i/>
        </w:rPr>
        <w:t xml:space="preserve"> puiden, pensaikkojen, pensastojen, pysyvän ruohokasvillisuuden, jäkälien ja sammalten, lammikoiden ja vesistöjen, joita esiintyy kaupungeissa tai pienemmissä kaupungeissa tai esikaupungeissa, kokonaisalaa</w:t>
      </w:r>
      <w:r w:rsidRPr="00B87DD1">
        <w:t xml:space="preserve">, </w:t>
      </w:r>
      <w:bookmarkStart w:id="33" w:name="_Hlk133232176"/>
      <w:r w:rsidRPr="00B87DD1">
        <w:t>laskettuna Euroopan parlamentin ja neuvoston asetuksella (EU) 2021/696</w:t>
      </w:r>
      <w:r w:rsidRPr="00B87DD1">
        <w:rPr>
          <w:rFonts w:eastAsia="Calibri"/>
          <w:szCs w:val="22"/>
          <w:vertAlign w:val="superscript"/>
          <w:lang w:eastAsia="en-US"/>
        </w:rPr>
        <w:footnoteReference w:id="72"/>
      </w:r>
      <w:r w:rsidRPr="00B87DD1">
        <w:t xml:space="preserve"> perustetun Copernicuksen maakartoituspalvelun toimittamien tietojen</w:t>
      </w:r>
      <w:r w:rsidRPr="00B87DD1">
        <w:rPr>
          <w:b/>
          <w:i/>
        </w:rPr>
        <w:t>, ja mikäli jäsenvaltion osalta saatavilla, asianomaisen jäsenvaltion toimittaman muun aiheellisen lisätiedon</w:t>
      </w:r>
      <w:r w:rsidRPr="00B87DD1">
        <w:t xml:space="preserve"> perusteella;</w:t>
      </w:r>
      <w:bookmarkEnd w:id="33"/>
    </w:p>
    <w:p w:rsidR="00FF7B51" w:rsidRPr="00B87DD1" w:rsidRDefault="00FF7B51" w:rsidP="00FF7B51">
      <w:pPr>
        <w:widowControl/>
        <w:suppressAutoHyphens/>
        <w:spacing w:before="120" w:after="120" w:line="360" w:lineRule="auto"/>
        <w:ind w:left="851" w:right="-1" w:hanging="851"/>
        <w:rPr>
          <w:rFonts w:eastAsia="Calibri"/>
          <w:szCs w:val="22"/>
        </w:rPr>
      </w:pPr>
      <w:r w:rsidRPr="00B87DD1">
        <w:br w:type="page"/>
      </w:r>
      <w:r w:rsidRPr="00B87DD1">
        <w:lastRenderedPageBreak/>
        <w:t>(14)</w:t>
      </w:r>
      <w:r w:rsidRPr="00B87DD1">
        <w:tab/>
      </w:r>
      <w:bookmarkStart w:id="34" w:name="_Hlk133171975"/>
      <w:r w:rsidRPr="00B87DD1">
        <w:t>’kaupunkien latvuspeittävyydellä’ puiden peittämää kokonaisalaa kaupungeissa tai pienemmissä kaupungeissa tai esikaupungeissa laskettuna Euroopan parlamentin ja neuvoston asetuksella (EU) 2021/696 perustetun Copernicuksen maakartoituspalvelun toimittamien tietojen</w:t>
      </w:r>
      <w:r w:rsidRPr="00B87DD1">
        <w:rPr>
          <w:b/>
          <w:i/>
        </w:rPr>
        <w:t>, ja mikäli jäsenvaltion osalta saatavilla, asianomaisen jäsenvaltion toimittaman muun aiheellisen lisätiedon</w:t>
      </w:r>
      <w:r w:rsidRPr="00B87DD1">
        <w:t xml:space="preserve"> perusteella;</w:t>
      </w:r>
      <w:bookmarkEnd w:id="34"/>
    </w:p>
    <w:bookmarkEnd w:id="30"/>
    <w:p w:rsidR="00FF7B51" w:rsidRPr="00B87DD1" w:rsidRDefault="00FF7B51" w:rsidP="00FF7B51">
      <w:pPr>
        <w:widowControl/>
        <w:suppressAutoHyphens/>
        <w:spacing w:before="120" w:after="120" w:line="360" w:lineRule="auto"/>
        <w:ind w:left="851" w:right="-1" w:hanging="851"/>
        <w:rPr>
          <w:rFonts w:eastAsia="Calibri"/>
          <w:i/>
          <w:sz w:val="28"/>
          <w:szCs w:val="24"/>
        </w:rPr>
      </w:pPr>
      <w:r w:rsidRPr="00B87DD1">
        <w:rPr>
          <w:b/>
          <w:i/>
        </w:rPr>
        <w:t>(14 a)</w:t>
      </w:r>
      <w:r w:rsidRPr="00B87DD1">
        <w:rPr>
          <w:b/>
          <w:i/>
        </w:rPr>
        <w:tab/>
        <w:t>’vapaasti virtaavalla joella’ jokea tai jokiosuutta, jonka pitkittäis-, sivu- ja pystysuuntaisten yhteyksien esteenä ei ole keinotekoisia rakenteita ja jonka luonnolliset toiminnot ovat suurelta osin entisellään;</w:t>
      </w:r>
      <w:r w:rsidRPr="00B87DD1">
        <w:rPr>
          <w:i/>
          <w:sz w:val="28"/>
        </w:rPr>
        <w:t xml:space="preserve"> </w:t>
      </w:r>
    </w:p>
    <w:p w:rsidR="00FF7B51" w:rsidRPr="00B87DD1" w:rsidRDefault="00FF7B51" w:rsidP="00FF7B51">
      <w:pPr>
        <w:widowControl/>
        <w:suppressAutoHyphens/>
        <w:spacing w:before="120" w:after="120" w:line="360" w:lineRule="auto"/>
        <w:ind w:left="851" w:right="-1" w:hanging="851"/>
        <w:rPr>
          <w:rFonts w:eastAsia="Calibri"/>
          <w:i/>
          <w:szCs w:val="22"/>
        </w:rPr>
      </w:pPr>
      <w:bookmarkStart w:id="35" w:name="_Hlk133242023"/>
      <w:r w:rsidRPr="00B87DD1">
        <w:rPr>
          <w:b/>
          <w:i/>
        </w:rPr>
        <w:t>(14 b)</w:t>
      </w:r>
      <w:r w:rsidRPr="00B87DD1">
        <w:rPr>
          <w:i/>
        </w:rPr>
        <w:tab/>
      </w:r>
      <w:r w:rsidRPr="00B87DD1">
        <w:rPr>
          <w:b/>
          <w:i/>
        </w:rPr>
        <w:t>’uudelleenvesittämisellä’ prosessia, jossa ojitettu turvemaa muutetaan kosteaksi maaperäksi.</w:t>
      </w:r>
    </w:p>
    <w:bookmarkEnd w:id="35"/>
    <w:p w:rsidR="00461FF2" w:rsidRPr="00B87DD1" w:rsidRDefault="00FF7B51" w:rsidP="00FF7B51">
      <w:pPr>
        <w:widowControl/>
        <w:spacing w:after="200" w:line="276" w:lineRule="auto"/>
        <w:ind w:left="851" w:hanging="851"/>
      </w:pPr>
      <w:r w:rsidRPr="00B87DD1">
        <w:t>(15)</w:t>
      </w:r>
      <w:r w:rsidRPr="00B87DD1">
        <w:tab/>
        <w:t xml:space="preserve">’uusiutuvan energian </w:t>
      </w:r>
      <w:r w:rsidRPr="00B87DD1">
        <w:rPr>
          <w:b/>
          <w:i/>
        </w:rPr>
        <w:t>nopean kehittämisen alueella</w:t>
      </w:r>
      <w:r w:rsidRPr="00B87DD1">
        <w:t xml:space="preserve">’ Euroopan parlamentin ja neuvoston direktiivin 2018/2001/EU 2 artiklan 9 a kohdassa määriteltyä uusiutuvan energian </w:t>
      </w:r>
      <w:r w:rsidRPr="00B87DD1">
        <w:rPr>
          <w:b/>
          <w:i/>
        </w:rPr>
        <w:t>nopean kehittämisen aluetta</w:t>
      </w:r>
      <w:r w:rsidRPr="00B87DD1">
        <w:rPr>
          <w:rFonts w:eastAsia="Calibri"/>
          <w:szCs w:val="22"/>
          <w:vertAlign w:val="superscript"/>
          <w:lang w:eastAsia="en-US"/>
        </w:rPr>
        <w:footnoteReference w:id="73"/>
      </w:r>
      <w:r w:rsidRPr="00B87DD1">
        <w:t>.</w:t>
      </w:r>
    </w:p>
    <w:p w:rsidR="00FF7B51" w:rsidRPr="00B87DD1" w:rsidRDefault="00FF7B51" w:rsidP="00FF7B51">
      <w:pPr>
        <w:widowControl/>
        <w:spacing w:after="200" w:line="276" w:lineRule="auto"/>
        <w:ind w:left="851" w:hanging="851"/>
        <w:rPr>
          <w:rFonts w:eastAsia="Calibri"/>
          <w:szCs w:val="22"/>
        </w:rPr>
      </w:pPr>
      <w:r w:rsidRPr="00B87DD1">
        <w:br w:type="page"/>
      </w:r>
    </w:p>
    <w:p w:rsidR="00FF7B51" w:rsidRPr="00B87DD1" w:rsidRDefault="00FF7B51" w:rsidP="00FF7B51">
      <w:pPr>
        <w:keepNext/>
        <w:widowControl/>
        <w:suppressAutoHyphens/>
        <w:spacing w:before="360" w:after="360" w:line="360" w:lineRule="auto"/>
        <w:jc w:val="center"/>
        <w:outlineLvl w:val="0"/>
        <w:rPr>
          <w:b/>
          <w:bCs/>
          <w:smallCaps/>
          <w:sz w:val="32"/>
          <w:szCs w:val="28"/>
        </w:rPr>
      </w:pPr>
      <w:r w:rsidRPr="00B87DD1">
        <w:rPr>
          <w:b/>
          <w:smallCaps/>
          <w:sz w:val="32"/>
        </w:rPr>
        <w:lastRenderedPageBreak/>
        <w:t>II LUKU</w:t>
      </w:r>
      <w:r w:rsidRPr="00B87DD1">
        <w:rPr>
          <w:b/>
          <w:smallCaps/>
          <w:sz w:val="32"/>
        </w:rPr>
        <w:br/>
        <w:t>ENNALLISTAMISTAVOITTEET JA -VELVOITTEET</w:t>
      </w:r>
    </w:p>
    <w:p w:rsidR="00FF7B51" w:rsidRPr="00B87DD1" w:rsidRDefault="00FF7B51" w:rsidP="00FF7B51">
      <w:pPr>
        <w:keepNext/>
        <w:widowControl/>
        <w:suppressAutoHyphens/>
        <w:spacing w:before="360" w:after="120" w:line="360" w:lineRule="auto"/>
        <w:ind w:right="140"/>
        <w:jc w:val="center"/>
        <w:outlineLvl w:val="1"/>
        <w:rPr>
          <w:i/>
          <w:szCs w:val="26"/>
        </w:rPr>
      </w:pPr>
      <w:r w:rsidRPr="00B87DD1">
        <w:t>4 artikla</w:t>
      </w:r>
      <w:r w:rsidR="00461FF2" w:rsidRPr="00B87DD1">
        <w:br/>
      </w:r>
      <w:r w:rsidRPr="00B87DD1">
        <w:rPr>
          <w:i/>
        </w:rPr>
        <w:t>Maa-alueiden, rannikoiden ja makean veden ekosysteemien ennallistaminen</w:t>
      </w:r>
    </w:p>
    <w:p w:rsidR="00FF7B51" w:rsidRPr="00B87DD1" w:rsidRDefault="00FF7B51" w:rsidP="00184958">
      <w:pPr>
        <w:widowControl/>
        <w:suppressAutoHyphens/>
        <w:spacing w:before="120" w:after="120" w:line="360" w:lineRule="auto"/>
        <w:ind w:left="567" w:right="140" w:hanging="567"/>
        <w:rPr>
          <w:rFonts w:eastAsia="Calibri"/>
          <w:b/>
          <w:bCs/>
          <w:szCs w:val="22"/>
        </w:rPr>
      </w:pPr>
      <w:r w:rsidRPr="00B87DD1">
        <w:t>1.</w:t>
      </w:r>
      <w:r w:rsidRPr="00B87DD1">
        <w:tab/>
        <w:t xml:space="preserve">Jäsenvaltioiden on </w:t>
      </w:r>
      <w:r w:rsidR="00461FF2" w:rsidRPr="00B87DD1">
        <w:rPr>
          <w:b/>
          <w:i/>
        </w:rPr>
        <w:t>pyrittävä toteuttamaan Natura 2000 -alueilla</w:t>
      </w:r>
      <w:r w:rsidR="00461FF2" w:rsidRPr="00B87DD1">
        <w:t xml:space="preserve"> </w:t>
      </w:r>
      <w:r w:rsidRPr="00B87DD1">
        <w:t xml:space="preserve">ennallistamistoimenpiteet, jotka ovat tarpeen </w:t>
      </w:r>
      <w:r w:rsidR="00461FF2" w:rsidRPr="00B87DD1">
        <w:rPr>
          <w:b/>
          <w:i/>
        </w:rPr>
        <w:t>suotuisan suojelun tason saavuttamisen edistämiseksi sellaisilla</w:t>
      </w:r>
      <w:r w:rsidRPr="00B87DD1">
        <w:t xml:space="preserve"> liitteessä I lueteltujen luontotyyppien </w:t>
      </w:r>
      <w:r w:rsidR="00461FF2" w:rsidRPr="00B87DD1">
        <w:rPr>
          <w:b/>
          <w:i/>
        </w:rPr>
        <w:t>alueilla</w:t>
      </w:r>
      <w:r w:rsidRPr="00B87DD1">
        <w:t>, joiden tila ei ole hyvä</w:t>
      </w:r>
      <w:r w:rsidR="00184958" w:rsidRPr="00B87DD1">
        <w:t xml:space="preserve"> </w:t>
      </w:r>
      <w:r w:rsidR="00461FF2" w:rsidRPr="00B87DD1">
        <w:t>▌</w:t>
      </w:r>
      <w:r w:rsidRPr="00B87DD1">
        <w:t>. Tällaisia toimenpiteitä on toteutettava</w:t>
      </w:r>
      <w:r w:rsidR="00461FF2" w:rsidRPr="00B87DD1">
        <w:t xml:space="preserve"> </w:t>
      </w:r>
      <w:r w:rsidR="00461FF2" w:rsidRPr="00B87DD1">
        <w:rPr>
          <w:b/>
          <w:i/>
        </w:rPr>
        <w:t>Natura 2000 -verkostoon kuuluvan</w:t>
      </w:r>
      <w:r w:rsidR="00184958" w:rsidRPr="00B87DD1">
        <w:rPr>
          <w:b/>
          <w:i/>
        </w:rPr>
        <w:t xml:space="preserve"> </w:t>
      </w:r>
      <w:r w:rsidRPr="00B87DD1">
        <w:t>kunkin</w:t>
      </w:r>
      <w:r w:rsidRPr="00B87DD1">
        <w:rPr>
          <w:b/>
          <w:i/>
        </w:rPr>
        <w:t xml:space="preserve"> </w:t>
      </w:r>
      <w:r w:rsidRPr="00B87DD1">
        <w:t>liitteessä I luetellun</w:t>
      </w:r>
      <w:r w:rsidRPr="00B87DD1">
        <w:rPr>
          <w:b/>
          <w:i/>
        </w:rPr>
        <w:t xml:space="preserve"> </w:t>
      </w:r>
      <w:r w:rsidR="00461FF2" w:rsidRPr="00B87DD1">
        <w:rPr>
          <w:b/>
          <w:i/>
        </w:rPr>
        <w:t>sellaisen luontotyypin alueella</w:t>
      </w:r>
      <w:r w:rsidRPr="00B87DD1">
        <w:t xml:space="preserve">, </w:t>
      </w:r>
      <w:r w:rsidR="00461FF2" w:rsidRPr="00B87DD1">
        <w:t>jonka tila ei ole hyvä,</w:t>
      </w:r>
      <w:r w:rsidRPr="00B87DD1">
        <w:t xml:space="preserve"> sellaisena kuin se on ilmaistu määrällisesti 12 artiklassa tarkoitetussa kansallisessa ennallistamissuunnitelmassa</w:t>
      </w:r>
      <w:r w:rsidRPr="00B87DD1">
        <w:rPr>
          <w:b/>
          <w:i/>
        </w:rPr>
        <w:t>.</w:t>
      </w:r>
      <w:r w:rsidR="00461FF2" w:rsidRPr="00B87DD1">
        <w:rPr>
          <w:b/>
        </w:rPr>
        <w:t xml:space="preserve"> [tark. 21]</w:t>
      </w:r>
    </w:p>
    <w:p w:rsidR="00FF7B51" w:rsidRPr="00B87DD1" w:rsidRDefault="00FF7B51" w:rsidP="00FF7B51">
      <w:pPr>
        <w:widowControl/>
        <w:suppressAutoHyphens/>
        <w:spacing w:before="120" w:after="120" w:line="360" w:lineRule="auto"/>
        <w:ind w:left="567" w:right="140" w:hanging="567"/>
        <w:rPr>
          <w:rFonts w:eastAsia="Calibri"/>
          <w:b/>
          <w:szCs w:val="22"/>
        </w:rPr>
      </w:pPr>
      <w:r w:rsidRPr="00B87DD1">
        <w:t>2.</w:t>
      </w:r>
      <w:r w:rsidRPr="00B87DD1">
        <w:tab/>
        <w:t>Jäsenvaltioiden on toteutettava ennallistamistoimenpiteet, jotka ovat tarpeen liitteessä I lueteltujen luontotyyppien palauttamiseksi alueilla, joita kyseiset luontotyypit eivät kata</w:t>
      </w:r>
      <w:r w:rsidR="00184958" w:rsidRPr="00B87DD1">
        <w:t xml:space="preserve"> </w:t>
      </w:r>
      <w:r w:rsidR="0022286E" w:rsidRPr="00B87DD1">
        <w:rPr>
          <w:b/>
          <w:i/>
        </w:rPr>
        <w:t>▌</w:t>
      </w:r>
      <w:r w:rsidRPr="00B87DD1">
        <w:t xml:space="preserve">. Tällaisia toimenpiteitä on toteutettava alueilla, jotka </w:t>
      </w:r>
      <w:r w:rsidR="0022286E" w:rsidRPr="00B87DD1">
        <w:rPr>
          <w:b/>
          <w:i/>
        </w:rPr>
        <w:t>ovat tarpeen tämän artiklan 1 kohdassa säädettyjen tavoitteiden saavuttamisen varmistamiseksi</w:t>
      </w:r>
      <w:r w:rsidRPr="00B87DD1">
        <w:t>.</w:t>
      </w:r>
      <w:r w:rsidR="0022286E" w:rsidRPr="00B87DD1">
        <w:rPr>
          <w:b/>
        </w:rPr>
        <w:t xml:space="preserve"> [tark. 99]</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br w:type="page"/>
      </w:r>
      <w:r w:rsidRPr="00B87DD1">
        <w:lastRenderedPageBreak/>
        <w:t>3.</w:t>
      </w:r>
      <w:r w:rsidRPr="00B87DD1">
        <w:tab/>
        <w:t xml:space="preserve">Jäsenvaltioiden on toteutettava maa-alueilla, rannikoilla ja makean veden alueilla direktiivin 92/43/ETY liitteissä II, IV ja V lueteltujen lajien elinympäristöjä sekä maa-alueilla, rannikoilla ja makean veden alueilla direktiivin 2009/147/EY soveltamisalaan kuuluvien luonnonvaraisten lintujen elinympäristöjä koskevat ennallistamistoimenpiteet, jotka ovat </w:t>
      </w:r>
      <w:r w:rsidRPr="00B87DD1">
        <w:rPr>
          <w:b/>
          <w:i/>
        </w:rPr>
        <w:t>tämän artiklan 1 ja 2 kohdan mukaisten ennallistamistoimenpiteiden lisäksi</w:t>
      </w:r>
      <w:r w:rsidRPr="00B87DD1">
        <w:t xml:space="preserve"> tarpeen kyseisten elinympäristöjen laadun ja määrän parantamiseksi, myös palauttamalla ne, ja kytkeytyneisyyden parantamiseksi, kunnes kyseisten elinympäristöjen riittävä laatu ja määrä saavutetaan.</w:t>
      </w:r>
    </w:p>
    <w:p w:rsidR="00FF7B51" w:rsidRPr="00B87DD1" w:rsidRDefault="00FF7B51" w:rsidP="00FF7B51">
      <w:pPr>
        <w:widowControl/>
        <w:suppressAutoHyphens/>
        <w:spacing w:before="120" w:after="120" w:line="360" w:lineRule="auto"/>
        <w:ind w:left="567" w:right="140" w:hanging="567"/>
        <w:rPr>
          <w:rFonts w:eastAsia="Calibri"/>
          <w:b/>
          <w:szCs w:val="22"/>
          <w:u w:val="single"/>
        </w:rPr>
      </w:pPr>
      <w:r w:rsidRPr="00B87DD1">
        <w:t>4.</w:t>
      </w:r>
      <w:bookmarkStart w:id="36" w:name="_Hlk136791385"/>
      <w:r w:rsidRPr="00B87DD1">
        <w:tab/>
        <w:t xml:space="preserve">Tämän artiklan 1, 2 ja 3 kohdan mukaisten ennallistamistoimenpiteiden kannalta sopivimpien alueiden määrittämisen on perustuttava parhaaseen saatavilla olevaan tietoon ja tuoreimpaan tieteelliseen näyttöön liitteessä I lueteltujen luontotyyppien tilasta, mitattuna niiden rakenteella ja toiminnoilla, mukaan lukien niille luonteenomaiset lajit, jotka ovat välttämättömiä niiden pitkän aikavälin ylläpidon kannalta, kuten direktiivin 92/43/ETY 1 artiklan e alakohdassa esitetään, sekä tämän artiklan 3 kohdassa tarkoitettujen lajien elinympäristöjen laadusta ja määrästä </w:t>
      </w:r>
      <w:r w:rsidRPr="00B87DD1">
        <w:rPr>
          <w:b/>
          <w:i/>
        </w:rPr>
        <w:t xml:space="preserve">käyttäen hyödyksi direktiivin 92/43/ETY 17 artiklan ja direktiivin 2009/147/EY 12 artiklan mukaisesti raportoituja tietoja ja </w:t>
      </w:r>
      <w:bookmarkStart w:id="37" w:name="_Hlk136423483"/>
      <w:r w:rsidRPr="00B87DD1">
        <w:rPr>
          <w:b/>
          <w:i/>
        </w:rPr>
        <w:t>tapauksen mukaan 11 artiklan 9 a kohdassa tarkoitettu eri alueiden tilanteen erilaisuus huomioon ottaen</w:t>
      </w:r>
      <w:bookmarkEnd w:id="36"/>
      <w:bookmarkEnd w:id="37"/>
      <w:r w:rsidRPr="00B87DD1">
        <w:rPr>
          <w:b/>
          <w:i/>
        </w:rPr>
        <w:t>.</w:t>
      </w:r>
    </w:p>
    <w:p w:rsidR="00FF7B51" w:rsidRPr="00B87DD1" w:rsidRDefault="00FF7B51" w:rsidP="00FF7B51">
      <w:pPr>
        <w:widowControl/>
        <w:suppressAutoHyphens/>
        <w:spacing w:before="120" w:after="120" w:line="360" w:lineRule="auto"/>
        <w:ind w:left="567" w:right="140" w:hanging="567"/>
        <w:rPr>
          <w:rFonts w:eastAsia="Calibri"/>
          <w:b/>
          <w:i/>
          <w:szCs w:val="22"/>
        </w:rPr>
      </w:pPr>
      <w:r w:rsidRPr="00B87DD1">
        <w:rPr>
          <w:b/>
          <w:i/>
        </w:rPr>
        <w:t>4 a.</w:t>
      </w:r>
      <w:r w:rsidRPr="00B87DD1">
        <w:rPr>
          <w:b/>
          <w:i/>
        </w:rPr>
        <w:tab/>
        <w:t>Jäsenvaltioiden on varmistettava viimeistään vuonna 2030, että tila on tiedossa vähintään 90 prosentille pinta-alasta, joka levittäytyy kaikille liitteessä II lueteltujen luontotyyppien alueille. Liitteessä I lueteltujen luontotyyppien kaikkien pinta-alojen tilan on oltava tiedossa vuoteen 2040 mennessä.</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t>5.</w:t>
      </w:r>
      <w:r w:rsidRPr="00B87DD1">
        <w:tab/>
        <w:t>Edellä 1 ja 2 kohdassa tarkoitetuissa ennallistamistoimenpiteissä on tarkasteltava tarvetta parantaa liitteessä I lueteltujen luontotyyppien kytkeytyneisyyttä sekä otettava huomioon kyseisissä luontotyypeissä esiintyvien 3 kohdassa tarkoitettujen lajien ekologiset vaatimukset.</w:t>
      </w:r>
    </w:p>
    <w:p w:rsidR="00FF7B51" w:rsidRPr="00B87DD1" w:rsidRDefault="00FF7B51" w:rsidP="00FF7B51">
      <w:pPr>
        <w:widowControl/>
        <w:suppressAutoHyphens/>
        <w:spacing w:before="120" w:after="120" w:line="360" w:lineRule="auto"/>
        <w:ind w:left="567" w:right="140" w:hanging="567"/>
        <w:rPr>
          <w:rFonts w:eastAsia="Calibri"/>
          <w:b/>
          <w:szCs w:val="22"/>
        </w:rPr>
      </w:pPr>
      <w:r w:rsidRPr="00B87DD1">
        <w:br w:type="page"/>
      </w:r>
      <w:r w:rsidRPr="00B87DD1">
        <w:lastRenderedPageBreak/>
        <w:t>6.</w:t>
      </w:r>
      <w:r w:rsidRPr="00B87DD1">
        <w:tab/>
        <w:t xml:space="preserve">Jäsenvaltioiden on </w:t>
      </w:r>
      <w:r w:rsidR="00D6646C" w:rsidRPr="00B87DD1">
        <w:rPr>
          <w:b/>
          <w:i/>
        </w:rPr>
        <w:t>pyrittävä varmistamaan</w:t>
      </w:r>
      <w:r w:rsidRPr="00B87DD1">
        <w:t xml:space="preserve">, että </w:t>
      </w:r>
      <w:r w:rsidR="004B4807" w:rsidRPr="00B87DD1">
        <w:rPr>
          <w:b/>
          <w:i/>
        </w:rPr>
        <w:t>hyvässä tilassa oleva kansallinen kokonaispinta-ala</w:t>
      </w:r>
      <w:r w:rsidR="004B4807" w:rsidRPr="00B87DD1">
        <w:t xml:space="preserve"> ja </w:t>
      </w:r>
      <w:r w:rsidR="004B4807" w:rsidRPr="00B87DD1">
        <w:rPr>
          <w:b/>
          <w:i/>
        </w:rPr>
        <w:t>kokonaispinta-alan määrä alueella</w:t>
      </w:r>
      <w:r w:rsidR="004B4807" w:rsidRPr="00B87DD1">
        <w:t xml:space="preserve">, </w:t>
      </w:r>
      <w:r w:rsidR="004B4807" w:rsidRPr="00B87DD1">
        <w:rPr>
          <w:b/>
          <w:i/>
        </w:rPr>
        <w:t>jossa esiintyy 1</w:t>
      </w:r>
      <w:r w:rsidR="004B4807" w:rsidRPr="00B87DD1">
        <w:t xml:space="preserve">, </w:t>
      </w:r>
      <w:r w:rsidR="004B4807" w:rsidRPr="00B87DD1">
        <w:rPr>
          <w:b/>
          <w:i/>
        </w:rPr>
        <w:t>2</w:t>
      </w:r>
      <w:r w:rsidRPr="00B87DD1">
        <w:t xml:space="preserve">ja 3 kohdassa </w:t>
      </w:r>
      <w:r w:rsidR="004B4807" w:rsidRPr="00B87DD1">
        <w:rPr>
          <w:b/>
          <w:i/>
        </w:rPr>
        <w:t>tarkoitettuja</w:t>
      </w:r>
      <w:r w:rsidR="004B4807" w:rsidRPr="00B87DD1">
        <w:t xml:space="preserve"> </w:t>
      </w:r>
      <w:r w:rsidRPr="00B87DD1">
        <w:t xml:space="preserve">lajien </w:t>
      </w:r>
      <w:r w:rsidR="004B4807" w:rsidRPr="00B87DD1">
        <w:rPr>
          <w:b/>
          <w:i/>
        </w:rPr>
        <w:t>riittävän laadukkaita elinympäristöjä</w:t>
      </w:r>
      <w:r w:rsidR="004B4807" w:rsidRPr="00B87DD1">
        <w:t xml:space="preserve">, </w:t>
      </w:r>
      <w:r w:rsidR="004B4807" w:rsidRPr="00B87DD1">
        <w:rPr>
          <w:b/>
          <w:i/>
        </w:rPr>
        <w:t>ei vähene merkittävästi ajan myötä</w:t>
      </w:r>
      <w:r w:rsidRPr="00B87DD1">
        <w:t>.</w:t>
      </w:r>
      <w:r w:rsidR="00D6646C" w:rsidRPr="00B87DD1">
        <w:rPr>
          <w:b/>
        </w:rPr>
        <w:t xml:space="preserve"> [tark. 100]</w:t>
      </w:r>
    </w:p>
    <w:p w:rsidR="00FF7B51" w:rsidRPr="00B87DD1" w:rsidRDefault="00D6646C" w:rsidP="00FF7B51">
      <w:pPr>
        <w:widowControl/>
        <w:suppressAutoHyphens/>
        <w:spacing w:before="120" w:after="120" w:line="360" w:lineRule="auto"/>
        <w:ind w:left="567" w:hanging="567"/>
        <w:rPr>
          <w:rFonts w:eastAsia="Calibri"/>
          <w:b/>
          <w:szCs w:val="24"/>
        </w:rPr>
      </w:pPr>
      <w:bookmarkStart w:id="38" w:name="_Hlk129768019"/>
      <w:r w:rsidRPr="00B87DD1">
        <w:t>▌</w:t>
      </w:r>
      <w:r w:rsidRPr="00B87DD1">
        <w:rPr>
          <w:b/>
        </w:rPr>
        <w:t xml:space="preserve"> [tark. 25, 101 ja 121]</w:t>
      </w:r>
    </w:p>
    <w:bookmarkEnd w:id="38"/>
    <w:p w:rsidR="00FF7B51" w:rsidRPr="00B87DD1" w:rsidRDefault="00FF7B51" w:rsidP="00FF7B51">
      <w:pPr>
        <w:widowControl/>
        <w:suppressAutoHyphens/>
        <w:spacing w:before="120" w:after="120" w:line="360" w:lineRule="auto"/>
        <w:ind w:left="567" w:right="140" w:hanging="567"/>
        <w:rPr>
          <w:rFonts w:eastAsia="Calibri"/>
          <w:szCs w:val="22"/>
        </w:rPr>
      </w:pPr>
      <w:r w:rsidRPr="00B87DD1">
        <w:t>8.</w:t>
      </w:r>
      <w:r w:rsidRPr="00B87DD1">
        <w:tab/>
      </w:r>
      <w:bookmarkStart w:id="39" w:name="_Hlk130196760"/>
      <w:r w:rsidRPr="00B87DD1">
        <w:t xml:space="preserve">Natura 2000 -alueiden ulkopuolella 6 </w:t>
      </w:r>
      <w:r w:rsidRPr="00B87DD1">
        <w:rPr>
          <w:rFonts w:ascii="Arial" w:hAnsi="Arial"/>
          <w:snapToGrid w:val="0"/>
        </w:rPr>
        <w:t>▌</w:t>
      </w:r>
      <w:r w:rsidRPr="00B87DD1">
        <w:t xml:space="preserve"> kohdassa säädettyjen velvoitteiden täyttämättä jättäminen on perusteltua, jos se johtuu</w:t>
      </w:r>
      <w:bookmarkEnd w:id="39"/>
    </w:p>
    <w:p w:rsidR="00FF7B51" w:rsidRPr="00B87DD1" w:rsidRDefault="00FF7B51" w:rsidP="00FF7B51">
      <w:pPr>
        <w:widowControl/>
        <w:suppressAutoHyphens/>
        <w:spacing w:before="120" w:after="120" w:line="360" w:lineRule="auto"/>
        <w:ind w:left="1134" w:right="140" w:hanging="567"/>
        <w:rPr>
          <w:rFonts w:eastAsia="Calibri"/>
          <w:szCs w:val="22"/>
        </w:rPr>
      </w:pPr>
      <w:r w:rsidRPr="00B87DD1">
        <w:t>a)</w:t>
      </w:r>
      <w:r w:rsidRPr="00B87DD1">
        <w:tab/>
        <w:t>ylivoimaisesta esteestä</w:t>
      </w:r>
      <w:r w:rsidRPr="00B87DD1">
        <w:rPr>
          <w:b/>
          <w:i/>
        </w:rPr>
        <w:t>, mukaan lukien luonnonkatastrofit</w:t>
      </w:r>
      <w:r w:rsidRPr="00B87DD1">
        <w:t>;</w:t>
      </w:r>
    </w:p>
    <w:p w:rsidR="00FF7B51" w:rsidRPr="00B87DD1" w:rsidRDefault="00FF7B51" w:rsidP="00FF7B51">
      <w:pPr>
        <w:widowControl/>
        <w:suppressAutoHyphens/>
        <w:spacing w:before="120" w:after="120" w:line="360" w:lineRule="auto"/>
        <w:ind w:left="1134" w:right="140" w:hanging="567"/>
        <w:rPr>
          <w:rFonts w:eastAsia="Calibri"/>
          <w:szCs w:val="22"/>
        </w:rPr>
      </w:pPr>
      <w:r w:rsidRPr="00B87DD1">
        <w:t>b)</w:t>
      </w:r>
      <w:r w:rsidRPr="00B87DD1">
        <w:tab/>
        <w:t xml:space="preserve">elinympäristöjen väistämättömistä muutoksista, jotka johtuvat suoraan ilmastonmuutoksesta; </w:t>
      </w:r>
      <w:r w:rsidRPr="00B87DD1">
        <w:rPr>
          <w:rFonts w:ascii="Arial" w:hAnsi="Arial"/>
          <w:snapToGrid w:val="0"/>
        </w:rPr>
        <w:t>▌</w:t>
      </w:r>
    </w:p>
    <w:p w:rsidR="00FF7B51" w:rsidRPr="00B87DD1" w:rsidRDefault="00FF7B51" w:rsidP="00FF7B51">
      <w:pPr>
        <w:widowControl/>
        <w:suppressAutoHyphens/>
        <w:spacing w:before="120" w:after="120" w:line="360" w:lineRule="auto"/>
        <w:ind w:left="1134" w:right="140" w:hanging="567"/>
        <w:rPr>
          <w:u w:val="single"/>
        </w:rPr>
      </w:pPr>
      <w:r w:rsidRPr="00B87DD1">
        <w:t>c)</w:t>
      </w:r>
      <w:r w:rsidRPr="00B87DD1">
        <w:tab/>
        <w:t xml:space="preserve">erittäin tärkeän yleisen edun mukaisesta </w:t>
      </w:r>
      <w:r w:rsidRPr="00B87DD1">
        <w:rPr>
          <w:b/>
          <w:i/>
        </w:rPr>
        <w:t>suunnitelmasta tai</w:t>
      </w:r>
      <w:r w:rsidRPr="00B87DD1">
        <w:t xml:space="preserve"> hankkeesta, johon ei ole saatavilla vähemmän vahingollisia vaihtoehtoisia ratkaisuja; tämä määritetään tapauskohtaisesti</w:t>
      </w:r>
      <w:r w:rsidR="00050179" w:rsidRPr="00B87DD1">
        <w:t>;</w:t>
      </w:r>
      <w:bookmarkStart w:id="40" w:name="_Hlk135735405"/>
      <w:r w:rsidRPr="00B87DD1">
        <w:rPr>
          <w:b/>
          <w:i/>
        </w:rPr>
        <w:t xml:space="preserve"> </w:t>
      </w:r>
      <w:bookmarkEnd w:id="40"/>
    </w:p>
    <w:p w:rsidR="002E37CB" w:rsidRPr="00B87DD1" w:rsidRDefault="002E37CB" w:rsidP="00FF7B51">
      <w:pPr>
        <w:widowControl/>
        <w:suppressAutoHyphens/>
        <w:spacing w:before="120" w:after="120" w:line="360" w:lineRule="auto"/>
        <w:ind w:left="1134" w:right="140" w:hanging="567"/>
        <w:rPr>
          <w:rFonts w:eastAsia="Calibri"/>
          <w:b/>
          <w:szCs w:val="22"/>
        </w:rPr>
      </w:pPr>
      <w:r w:rsidRPr="00B87DD1">
        <w:rPr>
          <w:b/>
          <w:i/>
        </w:rPr>
        <w:t>c a)</w:t>
      </w:r>
      <w:r w:rsidRPr="00B87DD1">
        <w:tab/>
      </w:r>
      <w:r w:rsidRPr="00B87DD1">
        <w:rPr>
          <w:b/>
          <w:i/>
        </w:rPr>
        <w:t>Poikkeuksellisissa olosuhteissa, jotka liittyvät yleistä etua koskevien toimien toteuttamiseen tai jatkamiseen, 6 kohdassa säädettyjen velvoitteiden täyttämättä jättäminen on perusteltava edellyttäen, että se ei vaaranna 1, 2 ja 3 kohdassa vahvistettujen ennallistamistavoitteiden saavuttamista. Jäsenvaltioiden on viipymättä ilmoitettava komissiolle tällaisista poikkeuksellisista olosuhteista ja perusteltava ne asianmukaisesti</w:t>
      </w:r>
      <w:r w:rsidR="00050179" w:rsidRPr="00B87DD1">
        <w:rPr>
          <w:b/>
          <w:i/>
        </w:rPr>
        <w:t>; tai</w:t>
      </w:r>
      <w:r w:rsidRPr="00B87DD1">
        <w:rPr>
          <w:b/>
          <w:i/>
        </w:rPr>
        <w:t xml:space="preserve"> </w:t>
      </w:r>
      <w:r w:rsidRPr="00B87DD1">
        <w:rPr>
          <w:b/>
          <w:u w:val="single"/>
        </w:rPr>
        <w:t>[tark. 6]</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d)</w:t>
      </w:r>
      <w:r w:rsidRPr="00B87DD1">
        <w:rPr>
          <w:b/>
          <w:i/>
        </w:rPr>
        <w:tab/>
        <w:t>kolmansien maiden toimista tai toimimatta jättämisestä, joista asianomainen jäsenvaltio ei ole vastuussa.</w:t>
      </w:r>
    </w:p>
    <w:p w:rsidR="00FF7B51" w:rsidRPr="00B87DD1" w:rsidRDefault="00FF7B51" w:rsidP="00FF7B51">
      <w:pPr>
        <w:widowControl/>
        <w:suppressAutoHyphens/>
        <w:spacing w:before="120" w:after="120" w:line="360" w:lineRule="auto"/>
        <w:ind w:left="567" w:right="140" w:hanging="567"/>
        <w:rPr>
          <w:rFonts w:eastAsia="Calibri"/>
          <w:b/>
          <w:i/>
          <w:szCs w:val="22"/>
        </w:rPr>
      </w:pPr>
      <w:bookmarkStart w:id="41" w:name="_Hlk129768082"/>
      <w:r w:rsidRPr="00B87DD1">
        <w:br w:type="page"/>
      </w:r>
      <w:r w:rsidRPr="00B87DD1">
        <w:rPr>
          <w:b/>
          <w:i/>
        </w:rPr>
        <w:lastRenderedPageBreak/>
        <w:t>8 a.</w:t>
      </w:r>
      <w:r w:rsidRPr="00B87DD1">
        <w:rPr>
          <w:b/>
          <w:i/>
        </w:rPr>
        <w:tab/>
        <w:t xml:space="preserve">Natura 2000 -alueiden ulkopuolella 7 kohdassa säädettyä velvoitetta toteuttaa tarvittavat toimenpiteet heikentymisen estämiseksi ei sovelleta heikentymiseen, joka johtuu </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a)</w:t>
      </w:r>
      <w:r w:rsidRPr="00B87DD1">
        <w:rPr>
          <w:b/>
          <w:i/>
        </w:rPr>
        <w:tab/>
        <w:t>ylivoimaisesta esteestä, mukaan lukien luonnonkatastrofit;</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b)</w:t>
      </w:r>
      <w:r w:rsidRPr="00B87DD1">
        <w:rPr>
          <w:b/>
          <w:i/>
        </w:rPr>
        <w:tab/>
        <w:t xml:space="preserve">elinympäristöjen väistämättömistä muutoksista, jotka johtuvat suoraan ilmastonmuutoksesta; </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c)</w:t>
      </w:r>
      <w:r w:rsidRPr="00B87DD1">
        <w:rPr>
          <w:b/>
          <w:i/>
        </w:rPr>
        <w:tab/>
        <w:t>erittäin tärkeän yleisen edun mukaisesta suunnitelmasta tai hankkeesta,</w:t>
      </w:r>
      <w:bookmarkStart w:id="42" w:name="_Hlk129963122"/>
      <w:r w:rsidRPr="00B87DD1">
        <w:rPr>
          <w:b/>
          <w:i/>
        </w:rPr>
        <w:t xml:space="preserve"> johon ei ole saatavilla vähemmän vahingollisia vaihtoehtoisia ratkaisuja</w:t>
      </w:r>
      <w:bookmarkEnd w:id="41"/>
      <w:bookmarkEnd w:id="42"/>
      <w:r w:rsidRPr="00B87DD1">
        <w:rPr>
          <w:b/>
          <w:i/>
        </w:rPr>
        <w:t>; tai</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d)</w:t>
      </w:r>
      <w:r w:rsidRPr="00B87DD1">
        <w:rPr>
          <w:b/>
          <w:i/>
        </w:rPr>
        <w:tab/>
        <w:t>kolmansien maiden toimista tai toimimatta jättämisestä, joista asianomainen jäsenvaltio ei ole vastuussa.</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t>9.</w:t>
      </w:r>
      <w:r w:rsidRPr="00B87DD1">
        <w:tab/>
        <w:t xml:space="preserve">Natura 2000 -alueilla 6 ja 7 kohdassa säädettyjen velvoitteiden täyttämättä jättäminen on perusteltua, jos se johtuu </w:t>
      </w:r>
    </w:p>
    <w:p w:rsidR="00FF7B51" w:rsidRPr="00B87DD1" w:rsidRDefault="00FF7B51" w:rsidP="00FF7B51">
      <w:pPr>
        <w:widowControl/>
        <w:suppressAutoHyphens/>
        <w:spacing w:before="120" w:after="120" w:line="360" w:lineRule="auto"/>
        <w:ind w:left="1134" w:right="140" w:hanging="567"/>
        <w:rPr>
          <w:rFonts w:eastAsia="Calibri"/>
          <w:szCs w:val="22"/>
        </w:rPr>
      </w:pPr>
      <w:bookmarkStart w:id="43" w:name="_Hlk129703452"/>
      <w:r w:rsidRPr="00B87DD1">
        <w:t>a)</w:t>
      </w:r>
      <w:r w:rsidRPr="00B87DD1">
        <w:tab/>
        <w:t>ylivoimaisesta esteestä</w:t>
      </w:r>
      <w:r w:rsidRPr="00B87DD1">
        <w:rPr>
          <w:b/>
          <w:i/>
        </w:rPr>
        <w:t>, mukaan lukien luonnonkatastrofit</w:t>
      </w:r>
      <w:r w:rsidRPr="00B87DD1">
        <w:t>;</w:t>
      </w:r>
    </w:p>
    <w:p w:rsidR="00FF7B51" w:rsidRPr="00B87DD1" w:rsidRDefault="00FF7B51" w:rsidP="00FF7B51">
      <w:pPr>
        <w:widowControl/>
        <w:suppressAutoHyphens/>
        <w:spacing w:before="120" w:after="120" w:line="360" w:lineRule="auto"/>
        <w:ind w:left="1134" w:right="140" w:hanging="567"/>
        <w:rPr>
          <w:rFonts w:eastAsia="Calibri"/>
          <w:szCs w:val="22"/>
        </w:rPr>
      </w:pPr>
      <w:r w:rsidRPr="00B87DD1">
        <w:t>b)</w:t>
      </w:r>
      <w:r w:rsidRPr="00B87DD1">
        <w:tab/>
        <w:t>elinympäristöjen väistämättömistä muutoksista, jotka johtuvat suoraan ilmastonmuutoksesta; tai</w:t>
      </w:r>
    </w:p>
    <w:bookmarkEnd w:id="43"/>
    <w:p w:rsidR="00FF7B51" w:rsidRPr="00B87DD1" w:rsidRDefault="00FF7B51" w:rsidP="00FF7B51">
      <w:pPr>
        <w:widowControl/>
        <w:suppressAutoHyphens/>
        <w:spacing w:before="120" w:after="120" w:line="360" w:lineRule="auto"/>
        <w:ind w:left="1134" w:right="140" w:hanging="567"/>
        <w:rPr>
          <w:rFonts w:eastAsia="Calibri"/>
          <w:szCs w:val="22"/>
        </w:rPr>
      </w:pPr>
      <w:r w:rsidRPr="00B87DD1">
        <w:t>c)</w:t>
      </w:r>
      <w:r w:rsidRPr="00B87DD1">
        <w:tab/>
        <w:t>direktiivin 92/43/ETY 6 artiklan 4 kohdan mukaisesti hyväksytystä suunnitelmasta tai hankkeesta.</w:t>
      </w:r>
    </w:p>
    <w:p w:rsidR="00FF7B51" w:rsidRPr="00B87DD1" w:rsidRDefault="00FF7B51" w:rsidP="00FF7B51">
      <w:pPr>
        <w:widowControl/>
        <w:spacing w:after="200" w:line="276" w:lineRule="auto"/>
        <w:rPr>
          <w:rFonts w:eastAsia="Calibri"/>
          <w:szCs w:val="22"/>
        </w:rPr>
      </w:pPr>
      <w:r w:rsidRPr="00B87DD1">
        <w:br w:type="page"/>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lastRenderedPageBreak/>
        <w:t>10.</w:t>
      </w:r>
      <w:r w:rsidRPr="00B87DD1">
        <w:tab/>
        <w:t xml:space="preserve">Jäsenvaltioiden on varmistettava: </w:t>
      </w:r>
    </w:p>
    <w:p w:rsidR="00FF7B51" w:rsidRPr="00B87DD1" w:rsidRDefault="00FF7B51" w:rsidP="00FF7B51">
      <w:pPr>
        <w:widowControl/>
        <w:suppressAutoHyphens/>
        <w:spacing w:before="120" w:after="120" w:line="360" w:lineRule="auto"/>
        <w:ind w:left="1134" w:right="140" w:hanging="567"/>
        <w:rPr>
          <w:rFonts w:eastAsia="Calibri"/>
          <w:szCs w:val="22"/>
        </w:rPr>
      </w:pPr>
      <w:r w:rsidRPr="00B87DD1">
        <w:t>a)</w:t>
      </w:r>
      <w:r w:rsidRPr="00B87DD1">
        <w:tab/>
        <w:t xml:space="preserve">liitteessä II lueteltujen luontotyyppien osalta hyvässä tilassa olevan luontotyypin pinta-alan lisääminen, kunnes vähintään 90 prosenttia on hyvässä tilassa ja kunkin luontotyypin suotuisa viiteala kullakin </w:t>
      </w:r>
      <w:r w:rsidRPr="00B87DD1">
        <w:rPr>
          <w:b/>
          <w:i/>
        </w:rPr>
        <w:t>asianomaisen</w:t>
      </w:r>
      <w:r w:rsidRPr="00B87DD1">
        <w:t xml:space="preserve"> jäsenvaltion alueen luonnonmaantieteellisellä alueella saavutetaan;</w:t>
      </w:r>
    </w:p>
    <w:p w:rsidR="00116A2A" w:rsidRPr="00B87DD1" w:rsidRDefault="00FF7B51" w:rsidP="00FF7B51">
      <w:pPr>
        <w:widowControl/>
        <w:suppressAutoHyphens/>
        <w:spacing w:before="120" w:after="120" w:line="360" w:lineRule="auto"/>
        <w:ind w:left="1134" w:right="140" w:hanging="567"/>
      </w:pPr>
      <w:r w:rsidRPr="00B87DD1">
        <w:t>b)</w:t>
      </w:r>
      <w:r w:rsidRPr="00B87DD1">
        <w:tab/>
        <w:t>kasvava suuntaus kohti maa-, rannikko- ja makean veden alueella sijaitsevien direktiivin 92/43/ETY liitteissä II, IV ja V tarkoitettujen lajien ja direktiivin 2009/147/EY soveltamisalaan kuuluvien lajien elinympäristöjen riittävää laatua ja määrää.</w:t>
      </w:r>
    </w:p>
    <w:p w:rsidR="00FF7B51" w:rsidRPr="00B87DD1" w:rsidRDefault="00116A2A" w:rsidP="00184958">
      <w:pPr>
        <w:widowControl/>
        <w:suppressAutoHyphens/>
        <w:spacing w:before="120" w:after="120" w:line="360" w:lineRule="auto"/>
        <w:ind w:left="567" w:right="140" w:hanging="567"/>
        <w:rPr>
          <w:rFonts w:eastAsia="Calibri"/>
          <w:b/>
          <w:szCs w:val="22"/>
          <w:u w:val="single"/>
        </w:rPr>
      </w:pPr>
      <w:r w:rsidRPr="00B87DD1">
        <w:rPr>
          <w:b/>
          <w:i/>
        </w:rPr>
        <w:t>10 a.</w:t>
      </w:r>
      <w:r w:rsidRPr="00B87DD1">
        <w:tab/>
      </w:r>
      <w:r w:rsidRPr="00B87DD1">
        <w:rPr>
          <w:b/>
          <w:i/>
        </w:rPr>
        <w:t>Jäsenvaltioiden on tämän artiklan mukaisesti toteutettavissa toimenpiteissä otettava huomioon taloudelliset, sosiaaliset ja sivistykselliset vaatimukset sekä alueelliset ja paikalliset erityispiirteet direktiivin 92/43/ETY 2 artiklan 3 kohdan mukaisesti.</w:t>
      </w:r>
      <w:r w:rsidRPr="00B87DD1">
        <w:rPr>
          <w:b/>
        </w:rPr>
        <w:t xml:space="preserve"> [tark. 27]</w:t>
      </w:r>
      <w:r w:rsidR="00FF7B51" w:rsidRPr="00B87DD1">
        <w:rPr>
          <w:b/>
          <w:u w:val="single"/>
        </w:rPr>
        <w:t xml:space="preserve"> </w:t>
      </w:r>
    </w:p>
    <w:p w:rsidR="00FF7B51" w:rsidRPr="00B87DD1" w:rsidRDefault="00FF7B51" w:rsidP="00FF7B51">
      <w:pPr>
        <w:keepNext/>
        <w:widowControl/>
        <w:suppressAutoHyphens/>
        <w:spacing w:before="360" w:after="120" w:line="360" w:lineRule="auto"/>
        <w:ind w:right="140"/>
        <w:jc w:val="center"/>
        <w:outlineLvl w:val="1"/>
        <w:rPr>
          <w:b/>
          <w:bCs/>
          <w:szCs w:val="26"/>
        </w:rPr>
      </w:pPr>
      <w:bookmarkStart w:id="44" w:name="_Hlk135978410"/>
      <w:r w:rsidRPr="00B87DD1">
        <w:t>5 artikla</w:t>
      </w:r>
      <w:r w:rsidR="00DC6A88" w:rsidRPr="00B87DD1">
        <w:br/>
      </w:r>
      <w:r w:rsidRPr="00B87DD1">
        <w:rPr>
          <w:i/>
        </w:rPr>
        <w:t>Merten ekosysteemien ennallistaminen</w:t>
      </w:r>
    </w:p>
    <w:p w:rsidR="00FF7B51" w:rsidRPr="00B87DD1" w:rsidRDefault="00FF7B51" w:rsidP="00FF7B51">
      <w:pPr>
        <w:widowControl/>
        <w:suppressAutoHyphens/>
        <w:spacing w:before="120" w:after="120" w:line="360" w:lineRule="auto"/>
        <w:ind w:left="567" w:right="140" w:hanging="567"/>
        <w:rPr>
          <w:rFonts w:eastAsia="Calibri"/>
          <w:b/>
          <w:szCs w:val="22"/>
          <w:u w:val="single"/>
        </w:rPr>
      </w:pPr>
      <w:r w:rsidRPr="00B87DD1">
        <w:t>1.</w:t>
      </w:r>
      <w:r w:rsidRPr="00B87DD1">
        <w:tab/>
      </w:r>
      <w:bookmarkStart w:id="45" w:name="_Hlk132205287"/>
      <w:r w:rsidRPr="00B87DD1">
        <w:t xml:space="preserve">Jäsenvaltioiden on toteutettava ennallistamistoimenpiteet, jotka ovat tarpeen sellaisten liitteessä II lueteltujen luontotyyppien alueiden, joiden tila ei ole hyvä, parantamiseksi hyvään tilaan. </w:t>
      </w:r>
      <w:bookmarkStart w:id="46" w:name="_Hlk131583277"/>
      <w:r w:rsidRPr="00B87DD1">
        <w:t>Tällaisia toimenpiteitä on toteutettava</w:t>
      </w:r>
      <w:bookmarkEnd w:id="45"/>
      <w:bookmarkEnd w:id="46"/>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a)</w:t>
      </w:r>
      <w:r w:rsidRPr="00B87DD1">
        <w:rPr>
          <w:b/>
          <w:i/>
        </w:rPr>
        <w:tab/>
        <w:t>vuoteen 2030 mennessä vähintään 30 prosentilla liitteessä II lueteltujen luontotyyppien ryhmien 1–6 kokonaisalasta, joka ei ole hyvässä tilassa, sellaisena kuin se on ilmaistu määrällisesti 12 artiklassa tarkoitetussa kansallisessa ennallistamissuunnitelmassa;</w:t>
      </w:r>
    </w:p>
    <w:p w:rsidR="00FF7B51" w:rsidRPr="00B87DD1" w:rsidRDefault="00FF7B51" w:rsidP="00FF7B51">
      <w:pPr>
        <w:widowControl/>
        <w:suppressAutoHyphens/>
        <w:spacing w:before="120" w:after="120" w:line="360" w:lineRule="auto"/>
        <w:ind w:left="1134" w:right="140" w:hanging="567"/>
        <w:rPr>
          <w:rFonts w:eastAsia="Calibri"/>
          <w:i/>
          <w:szCs w:val="22"/>
        </w:rPr>
      </w:pPr>
      <w:r w:rsidRPr="00B87DD1">
        <w:rPr>
          <w:b/>
          <w:i/>
        </w:rPr>
        <w:t>b)</w:t>
      </w:r>
      <w:r w:rsidRPr="00B87DD1">
        <w:rPr>
          <w:b/>
          <w:i/>
        </w:rPr>
        <w:tab/>
        <w:t>vuoteen 2040 mennessä vähintään 60 prosentilla ja vuoteen 2050 mennessä vähintään 90 prosentilla kunkin liitteessä II lueteltujen luontotyyppien ryhmien 1</w:t>
      </w:r>
      <w:r w:rsidRPr="00B87DD1">
        <w:rPr>
          <w:b/>
          <w:i/>
        </w:rPr>
        <w:noBreakHyphen/>
        <w:t>6 pinta-alasta, joka ei ole hyvässä tilassa, sellaisena kuin se on ilmaistu määrällisesti 12 artiklassa tarkoitetussa kansallisessa ennallistamissuunnitelmassa;</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br w:type="page"/>
      </w:r>
      <w:r w:rsidRPr="00B87DD1">
        <w:rPr>
          <w:b/>
          <w:i/>
        </w:rPr>
        <w:lastRenderedPageBreak/>
        <w:t>c)</w:t>
      </w:r>
      <w:r w:rsidRPr="00B87DD1">
        <w:rPr>
          <w:b/>
          <w:i/>
        </w:rPr>
        <w:tab/>
        <w:t xml:space="preserve">vuoteen 2040 mennessä kahdessa kolmasosassa d alakohdassa tarkoitetusta prosenttiosuudesta </w:t>
      </w:r>
      <w:bookmarkStart w:id="47" w:name="_Hlk135990781"/>
      <w:r w:rsidRPr="00B87DD1">
        <w:rPr>
          <w:b/>
          <w:i/>
        </w:rPr>
        <w:t>liitteessä II lueteltujen luontotyyppien ryhmän 7 pinta-alasta, joka ei ole hyvässä tilassa, sellaisena kuin se on ilmaistu määrällisesti 12 artiklassa tarkoitetussa kansallisessa ennallistamissuunnitelmassa</w:t>
      </w:r>
      <w:bookmarkEnd w:id="47"/>
      <w:r w:rsidRPr="00B87DD1">
        <w:rPr>
          <w:b/>
          <w:i/>
        </w:rPr>
        <w:t>; sekä</w:t>
      </w:r>
    </w:p>
    <w:p w:rsidR="00FF7B51" w:rsidRPr="00B87DD1" w:rsidRDefault="00FF7B51" w:rsidP="00FF7B51">
      <w:pPr>
        <w:widowControl/>
        <w:suppressAutoHyphens/>
        <w:spacing w:before="120" w:after="120" w:line="360" w:lineRule="auto"/>
        <w:ind w:left="1134" w:right="140" w:hanging="567"/>
        <w:rPr>
          <w:rFonts w:eastAsia="Calibri"/>
          <w:b/>
          <w:bCs/>
          <w:i/>
          <w:szCs w:val="22"/>
        </w:rPr>
      </w:pPr>
      <w:r w:rsidRPr="00B87DD1">
        <w:rPr>
          <w:b/>
          <w:i/>
        </w:rPr>
        <w:t>d)</w:t>
      </w:r>
      <w:r w:rsidRPr="00B87DD1">
        <w:rPr>
          <w:b/>
          <w:i/>
        </w:rPr>
        <w:tab/>
        <w:t xml:space="preserve">vuoteen 2050 mennessä 11 artiklan 2 a kohdan mukaisesti vahvistetulla prosenttiosuudella liitteessä II lueteltujen luontotyyppien ryhmän 7 pinta-alasta, joka ei ole hyvässä tilassa, sellaisena kuin se on ilmaistu määrällisesti 12 artiklassa tarkoitetussa kansallisessa ennallistamissuunnitelmassa. </w:t>
      </w:r>
    </w:p>
    <w:bookmarkEnd w:id="44"/>
    <w:p w:rsidR="00FF7B51" w:rsidRPr="00B87DD1" w:rsidRDefault="00FF7B51" w:rsidP="00FF7B51">
      <w:pPr>
        <w:widowControl/>
        <w:suppressAutoHyphens/>
        <w:spacing w:before="120" w:after="120" w:line="360" w:lineRule="auto"/>
        <w:ind w:left="567" w:right="140"/>
        <w:rPr>
          <w:rFonts w:eastAsia="Calibri"/>
          <w:b/>
          <w:bCs/>
          <w:i/>
          <w:szCs w:val="22"/>
        </w:rPr>
      </w:pPr>
      <w:r w:rsidRPr="00B87DD1">
        <w:rPr>
          <w:b/>
          <w:i/>
        </w:rPr>
        <w:t>Tämän kohdan d alakohdassa tarkoitettu prosenttiosuus vahvistetaan siten, ettei se estä direktiivin 2008/56/EY 9 artiklan 1 kohdan mukaisesti määritetyn ympäristön hyvän tilan saavuttamista tai säilyttämistä.</w:t>
      </w:r>
    </w:p>
    <w:p w:rsidR="00FF7B51" w:rsidRPr="00B87DD1" w:rsidRDefault="00DC6A88" w:rsidP="00FF7B51">
      <w:pPr>
        <w:widowControl/>
        <w:suppressAutoHyphens/>
        <w:spacing w:before="120" w:after="120" w:line="360" w:lineRule="auto"/>
        <w:ind w:left="567" w:right="140"/>
        <w:rPr>
          <w:rFonts w:eastAsia="Calibri"/>
          <w:b/>
          <w:szCs w:val="22"/>
        </w:rPr>
      </w:pPr>
      <w:r w:rsidRPr="00B87DD1">
        <w:t>▌</w:t>
      </w:r>
      <w:r w:rsidRPr="00B87DD1">
        <w:rPr>
          <w:b/>
        </w:rPr>
        <w:t xml:space="preserve"> [tark. 29]</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t>3.</w:t>
      </w:r>
      <w:r w:rsidRPr="00B87DD1">
        <w:tab/>
        <w:t xml:space="preserve">Jäsenvaltioiden on toteutettava liitteessä III ja direktiivin 92/43/ETY liitteissä II, IV ja V lueteltujen lajien merellisiä elinympäristöjä sekä direktiivin 2009/147/EY soveltamisalaan kuuluvien luonnonvaraisten lintujen merellisiä elinympäristöjä koskevat ennallistamistoimenpiteet, jotka ovat </w:t>
      </w:r>
      <w:r w:rsidRPr="00B87DD1">
        <w:rPr>
          <w:b/>
          <w:i/>
        </w:rPr>
        <w:t>tämän artiklan 1 ja 2 kohdan mukaisten ennallistamistoimenpiteiden lisäksi</w:t>
      </w:r>
      <w:r w:rsidRPr="00B87DD1">
        <w:t xml:space="preserve"> tarpeen kyseisten elinympäristöjen laadun ja määrän parantamiseksi, myös palauttamalla ne, ja niiden kytkeytyneisyyden parantamiseksi, kunnes kyseisten elinympäristöjen riittävä laatu ja määrä saavutetaan.</w:t>
      </w:r>
    </w:p>
    <w:p w:rsidR="00FF7B51" w:rsidRPr="00B87DD1" w:rsidRDefault="00FF7B51" w:rsidP="00FF7B51">
      <w:pPr>
        <w:widowControl/>
        <w:suppressAutoHyphens/>
        <w:spacing w:before="120" w:after="120" w:line="360" w:lineRule="auto"/>
        <w:ind w:left="567" w:right="140" w:hanging="567"/>
        <w:rPr>
          <w:rFonts w:eastAsia="Calibri"/>
          <w:b/>
          <w:szCs w:val="22"/>
          <w:u w:val="single"/>
        </w:rPr>
      </w:pPr>
      <w:r w:rsidRPr="00B87DD1">
        <w:br w:type="page"/>
      </w:r>
      <w:r w:rsidRPr="00B87DD1">
        <w:lastRenderedPageBreak/>
        <w:t>4.</w:t>
      </w:r>
      <w:r w:rsidRPr="00B87DD1">
        <w:tab/>
        <w:t xml:space="preserve">Tämän artiklan 1, 2 ja 3 kohdan mukaisten ennallistamistoimenpiteiden kannalta sopivimpien alueiden määrittämisen on perustuttava parhaaseen saatavilla olevaan tietoon ja tuoreimpaan </w:t>
      </w:r>
      <w:r w:rsidRPr="00B87DD1">
        <w:rPr>
          <w:b/>
          <w:i/>
        </w:rPr>
        <w:t>tekniikan ja tieteen</w:t>
      </w:r>
      <w:r w:rsidRPr="00B87DD1">
        <w:t xml:space="preserve"> </w:t>
      </w:r>
      <w:r w:rsidRPr="00B87DD1">
        <w:rPr>
          <w:b/>
          <w:i/>
        </w:rPr>
        <w:t>kehitykseen</w:t>
      </w:r>
      <w:r w:rsidRPr="00B87DD1">
        <w:t xml:space="preserve"> liitteessä II lueteltujen luontotyyppien </w:t>
      </w:r>
      <w:r w:rsidRPr="00B87DD1">
        <w:rPr>
          <w:b/>
          <w:i/>
        </w:rPr>
        <w:t>tilan ja</w:t>
      </w:r>
      <w:r w:rsidRPr="00B87DD1">
        <w:t xml:space="preserve"> tämän artiklan 3 kohdassa tarkoitettujen lajien elinympäristöjen </w:t>
      </w:r>
      <w:r w:rsidRPr="00B87DD1">
        <w:rPr>
          <w:b/>
          <w:i/>
        </w:rPr>
        <w:t>laadun</w:t>
      </w:r>
      <w:r w:rsidRPr="00B87DD1">
        <w:t xml:space="preserve"> ja </w:t>
      </w:r>
      <w:r w:rsidRPr="00B87DD1">
        <w:rPr>
          <w:b/>
          <w:i/>
        </w:rPr>
        <w:t>määrän määrittämisessä käyttäen hyödyksi direktiivin 92/43/ETY 17 artiklan, direktiivin 2009/147/EY 12 artiklan ja direktiivin 2008/56/EY 17 artiklan mukaisesti raportoituja tietoja</w:t>
      </w:r>
      <w:r w:rsidRPr="00B87DD1">
        <w:t>.</w:t>
      </w:r>
    </w:p>
    <w:p w:rsidR="00FF7B51" w:rsidRPr="00B87DD1" w:rsidRDefault="00FF7B51" w:rsidP="00FF7B51">
      <w:pPr>
        <w:widowControl/>
        <w:suppressAutoHyphens/>
        <w:spacing w:before="120" w:after="120" w:line="360" w:lineRule="auto"/>
        <w:ind w:left="567" w:right="140" w:hanging="567"/>
        <w:rPr>
          <w:rFonts w:eastAsia="Calibri"/>
          <w:b/>
          <w:i/>
          <w:szCs w:val="22"/>
        </w:rPr>
      </w:pPr>
      <w:r w:rsidRPr="00B87DD1">
        <w:rPr>
          <w:b/>
          <w:i/>
        </w:rPr>
        <w:t>4 a.</w:t>
      </w:r>
      <w:r w:rsidRPr="00B87DD1">
        <w:rPr>
          <w:b/>
          <w:i/>
        </w:rPr>
        <w:tab/>
      </w:r>
      <w:bookmarkStart w:id="48" w:name="_Hlk137460418"/>
      <w:r w:rsidRPr="00B87DD1">
        <w:rPr>
          <w:b/>
          <w:i/>
        </w:rPr>
        <w:t xml:space="preserve">Jäsenvaltioiden on varmistettava viimeistään vuonna 2030, että tila on tiedossa vähintään 50 prosentille pinta-alasta, joka levittäytyy kaikille liitteessä II lueteltujen luontotyyppien ryhmien 1–6 alueille. Liitteessä II lueteltujen luontotyyppien ryhmien 1– 6 kaikkien pinta-alojen tilan on oltava tiedossa vuoteen 2040 mennessä. </w:t>
      </w:r>
      <w:bookmarkEnd w:id="48"/>
      <w:r w:rsidRPr="00B87DD1">
        <w:rPr>
          <w:b/>
          <w:i/>
        </w:rPr>
        <w:t xml:space="preserve">Lisäksi jäsenvaltioiden on varmistettava viimeistään vuonna 2040, että tila on tiedossa vähintään 50 prosentille pinta-alasta, joka levittäytyy kaikille liitteessä II lueteltujen luontotyyppien ryhmän 7 alueille. Liitteessä II lueteltujen luontotyyppien ryhmän 7 kaikkien pinta-alojen tilan on oltava tiedossa vuoteen 2050 mennessä. </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t>5.</w:t>
      </w:r>
      <w:r w:rsidRPr="00B87DD1">
        <w:tab/>
        <w:t xml:space="preserve">Edellä 1 ja 2 kohdassa tarkoitetuissa ennallistamistoimenpiteissä on tarkasteltava tarvetta parantaa liitteessä II lueteltujen luontotyyppien </w:t>
      </w:r>
      <w:r w:rsidRPr="00B87DD1">
        <w:rPr>
          <w:b/>
          <w:i/>
        </w:rPr>
        <w:t>ekologista yhtenäisyyttä ja</w:t>
      </w:r>
      <w:r w:rsidRPr="00B87DD1">
        <w:t xml:space="preserve"> kytkeytyneisyyttä sekä otettava huomioon kyseisissä luontotyypeissä esiintyvät 3 kohdassa tarkoitettujen lajien ekologiset vaatimukset.</w:t>
      </w:r>
    </w:p>
    <w:p w:rsidR="00FF7B51" w:rsidRPr="00B87DD1" w:rsidRDefault="00FF7B51" w:rsidP="00FF7B51">
      <w:pPr>
        <w:widowControl/>
        <w:shd w:val="clear" w:color="auto" w:fill="FFFFFF"/>
        <w:suppressAutoHyphens/>
        <w:spacing w:before="120" w:after="120" w:line="360" w:lineRule="auto"/>
        <w:ind w:left="567" w:right="140" w:hanging="567"/>
        <w:rPr>
          <w:rFonts w:eastAsia="Calibri"/>
          <w:b/>
          <w:szCs w:val="22"/>
        </w:rPr>
      </w:pPr>
      <w:r w:rsidRPr="00B87DD1">
        <w:t>6.</w:t>
      </w:r>
      <w:r w:rsidRPr="00B87DD1">
        <w:tab/>
        <w:t xml:space="preserve">Jäsenvaltioiden on </w:t>
      </w:r>
      <w:r w:rsidR="00DC6A88" w:rsidRPr="00B87DD1">
        <w:rPr>
          <w:b/>
          <w:bCs/>
          <w:i/>
          <w:iCs/>
        </w:rPr>
        <w:t>pyrittävä varmistamaan</w:t>
      </w:r>
      <w:r w:rsidRPr="00B87DD1">
        <w:t xml:space="preserve">, että alueilla, joihin sovelletaan 1, 2 ja 3 kohdan mukaisia ennallistamistoimenpiteitä, liitteessä II lueteltujen luontotyyppien tila paranee jatkuvasti, kunnes hyvä tila saavutetaan, ja että 3 kohdassa tarkoitettujen lajien elinympäristöjen laatu paranee jatkuvasti, kunnes kyseisten elinympäristöjen riittävä laatu saavutetaan. Jäsenvaltioiden on </w:t>
      </w:r>
      <w:r w:rsidR="00DC6A88" w:rsidRPr="00B87DD1">
        <w:rPr>
          <w:b/>
          <w:bCs/>
          <w:i/>
          <w:iCs/>
        </w:rPr>
        <w:t>pyrittävä mahdollisuuksien mukaan toteuttamaan tarvittavat toimenpiteet, joiden tavoitteena on ehkäistä se</w:t>
      </w:r>
      <w:r w:rsidRPr="00B87DD1">
        <w:t>, että alueet, joilla on saavutettu hyvä tila ja lajin elinympäristöjen riittävä laatu, eivät heikkene</w:t>
      </w:r>
      <w:r w:rsidR="00DC6A88" w:rsidRPr="00B87DD1">
        <w:t xml:space="preserve"> </w:t>
      </w:r>
      <w:r w:rsidR="00DC6A88" w:rsidRPr="00B87DD1">
        <w:rPr>
          <w:b/>
          <w:bCs/>
          <w:i/>
          <w:iCs/>
        </w:rPr>
        <w:t>merkittävästi kansallisella tasolla</w:t>
      </w:r>
      <w:r w:rsidRPr="00B87DD1">
        <w:t>.</w:t>
      </w:r>
      <w:r w:rsidR="00DC6A88" w:rsidRPr="00B87DD1">
        <w:rPr>
          <w:b/>
        </w:rPr>
        <w:t xml:space="preserve"> [tark. 125/rev1]</w:t>
      </w:r>
    </w:p>
    <w:p w:rsidR="00FF7B51" w:rsidRPr="00B87DD1" w:rsidRDefault="00FF7B51" w:rsidP="00FF7B51">
      <w:pPr>
        <w:widowControl/>
        <w:shd w:val="clear" w:color="auto" w:fill="FFFFFF"/>
        <w:suppressAutoHyphens/>
        <w:spacing w:before="120" w:after="120" w:line="360" w:lineRule="auto"/>
        <w:ind w:left="567" w:right="140" w:hanging="567"/>
        <w:rPr>
          <w:rFonts w:eastAsia="Calibri"/>
          <w:b/>
          <w:szCs w:val="22"/>
        </w:rPr>
      </w:pPr>
      <w:r w:rsidRPr="00B87DD1">
        <w:br w:type="page"/>
      </w:r>
      <w:r w:rsidR="00DC6A88" w:rsidRPr="00B87DD1">
        <w:lastRenderedPageBreak/>
        <w:t>▌</w:t>
      </w:r>
      <w:r w:rsidR="00DC6A88" w:rsidRPr="00B87DD1">
        <w:rPr>
          <w:b/>
        </w:rPr>
        <w:t xml:space="preserve"> [tark. 32, 104 ja 126/rev</w:t>
      </w:r>
      <w:r w:rsidR="00050179" w:rsidRPr="00B87DD1">
        <w:rPr>
          <w:b/>
        </w:rPr>
        <w:t>1</w:t>
      </w:r>
      <w:r w:rsidR="00DC6A88" w:rsidRPr="00B87DD1">
        <w:rPr>
          <w:b/>
        </w:rPr>
        <w:t>]</w:t>
      </w:r>
    </w:p>
    <w:p w:rsidR="00FF7B51" w:rsidRPr="00B87DD1" w:rsidRDefault="00FF7B51" w:rsidP="00FF7B51">
      <w:pPr>
        <w:widowControl/>
        <w:shd w:val="clear" w:color="auto" w:fill="FFFFFF"/>
        <w:suppressAutoHyphens/>
        <w:spacing w:before="120" w:after="120" w:line="360" w:lineRule="auto"/>
        <w:ind w:left="567" w:right="140" w:hanging="567"/>
        <w:rPr>
          <w:rFonts w:eastAsia="Calibri"/>
          <w:szCs w:val="22"/>
        </w:rPr>
      </w:pPr>
      <w:r w:rsidRPr="00B87DD1">
        <w:t>8.</w:t>
      </w:r>
      <w:r w:rsidRPr="00B87DD1">
        <w:tab/>
        <w:t xml:space="preserve">Natura 2000 -alueiden ulkopuolella 6 </w:t>
      </w:r>
      <w:r w:rsidRPr="00B87DD1">
        <w:rPr>
          <w:rFonts w:ascii="Arial" w:hAnsi="Arial"/>
          <w:snapToGrid w:val="0"/>
        </w:rPr>
        <w:t>▌</w:t>
      </w:r>
      <w:r w:rsidRPr="00B87DD1">
        <w:t xml:space="preserve"> kohdassa säädettyjen velvoitteiden täyttämättä jättäminen on perusteltua, jos se johtuu</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szCs w:val="22"/>
        </w:rPr>
      </w:pPr>
      <w:r w:rsidRPr="00B87DD1">
        <w:t>a)</w:t>
      </w:r>
      <w:r w:rsidRPr="00B87DD1">
        <w:tab/>
        <w:t>ylivoimaisesta esteestä</w:t>
      </w:r>
      <w:r w:rsidRPr="00B87DD1">
        <w:rPr>
          <w:b/>
          <w:i/>
        </w:rPr>
        <w:t>, mukaan lukien luonnonkatastrofit</w:t>
      </w:r>
      <w:r w:rsidRPr="00B87DD1">
        <w:t>;</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szCs w:val="22"/>
        </w:rPr>
      </w:pPr>
      <w:r w:rsidRPr="00B87DD1">
        <w:t>b)</w:t>
      </w:r>
      <w:r w:rsidRPr="00B87DD1">
        <w:tab/>
        <w:t xml:space="preserve">elinympäristöjen väistämättömistä muutoksista, jotka johtuvat suoraan ilmastonmuutoksesta; </w:t>
      </w:r>
      <w:r w:rsidRPr="00B87DD1">
        <w:rPr>
          <w:rFonts w:ascii="Arial" w:hAnsi="Arial"/>
          <w:snapToGrid w:val="0"/>
        </w:rPr>
        <w:t>▌</w:t>
      </w:r>
    </w:p>
    <w:p w:rsidR="00A44B5B" w:rsidRPr="00B87DD1" w:rsidRDefault="00A44B5B" w:rsidP="00FF7B51">
      <w:pPr>
        <w:widowControl/>
        <w:shd w:val="clear" w:color="auto" w:fill="FFFFFF"/>
        <w:suppressAutoHyphens/>
        <w:spacing w:before="120" w:after="120" w:line="360" w:lineRule="auto"/>
        <w:ind w:left="1134" w:right="140" w:hanging="567"/>
        <w:rPr>
          <w:b/>
        </w:rPr>
      </w:pPr>
      <w:r w:rsidRPr="00B87DD1">
        <w:t>▌</w:t>
      </w:r>
    </w:p>
    <w:p w:rsidR="00FF7B51" w:rsidRPr="00B87DD1" w:rsidRDefault="00A44B5B" w:rsidP="00FF7B51">
      <w:pPr>
        <w:widowControl/>
        <w:shd w:val="clear" w:color="auto" w:fill="FFFFFF"/>
        <w:suppressAutoHyphens/>
        <w:spacing w:before="120" w:after="120" w:line="360" w:lineRule="auto"/>
        <w:ind w:left="1134" w:right="140" w:hanging="567"/>
        <w:rPr>
          <w:rFonts w:eastAsia="Calibri"/>
          <w:b/>
          <w:szCs w:val="22"/>
        </w:rPr>
      </w:pPr>
      <w:r w:rsidRPr="00B87DD1">
        <w:rPr>
          <w:b/>
          <w:i/>
        </w:rPr>
        <w:t>c a)</w:t>
      </w:r>
      <w:r w:rsidRPr="00B87DD1">
        <w:tab/>
      </w:r>
      <w:r w:rsidRPr="00B87DD1">
        <w:rPr>
          <w:b/>
          <w:i/>
        </w:rPr>
        <w:t>Poikkeuksellisissa olosuhteissa, jotka liittyvät yleistä etua koskevien toimien toteuttamiseen tai jatkamiseen, 6 kohdassa säädettyjen velvoitteiden täyttämättä jättäminen on perusteltava edellyttäen, että se ei vaaranna 1, 2 ja 3 kohdassa vahvistettujen ennallistamistavoitteiden saavuttamista. Jäsenvaltioiden on viipymättä ilmoitettava komissiolle tällaisista poikkeuksellisista olosuhteista ja perusteltava ne asianmukaisesti</w:t>
      </w:r>
      <w:r w:rsidR="00050179" w:rsidRPr="00B87DD1">
        <w:rPr>
          <w:b/>
          <w:i/>
        </w:rPr>
        <w:t>;</w:t>
      </w:r>
      <w:r w:rsidRPr="00B87DD1">
        <w:rPr>
          <w:b/>
          <w:i/>
        </w:rPr>
        <w:t xml:space="preserve"> </w:t>
      </w:r>
      <w:r w:rsidRPr="00B87DD1">
        <w:rPr>
          <w:b/>
        </w:rPr>
        <w:t>[tark. 7]</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b/>
          <w:i/>
          <w:szCs w:val="22"/>
        </w:rPr>
      </w:pPr>
      <w:r w:rsidRPr="00B87DD1">
        <w:rPr>
          <w:b/>
          <w:i/>
        </w:rPr>
        <w:t>d)</w:t>
      </w:r>
      <w:r w:rsidRPr="00B87DD1">
        <w:rPr>
          <w:i/>
        </w:rPr>
        <w:tab/>
      </w:r>
      <w:r w:rsidRPr="00B87DD1">
        <w:rPr>
          <w:b/>
          <w:i/>
        </w:rPr>
        <w:t>kolmansien maiden toimista tai toimimatta jättämisestä, joista asianomainen jäsenvaltio ei ole vastuussa.</w:t>
      </w:r>
    </w:p>
    <w:p w:rsidR="00FF7B51" w:rsidRPr="00B87DD1" w:rsidRDefault="00FF7B51" w:rsidP="00FF7B51">
      <w:pPr>
        <w:widowControl/>
        <w:suppressAutoHyphens/>
        <w:spacing w:before="120" w:after="120" w:line="360" w:lineRule="auto"/>
        <w:ind w:left="567" w:right="140" w:hanging="567"/>
        <w:rPr>
          <w:rFonts w:eastAsia="Calibri"/>
          <w:b/>
          <w:i/>
          <w:szCs w:val="22"/>
        </w:rPr>
      </w:pPr>
      <w:r w:rsidRPr="00B87DD1">
        <w:rPr>
          <w:b/>
          <w:i/>
        </w:rPr>
        <w:t>8 a.</w:t>
      </w:r>
      <w:r w:rsidRPr="00B87DD1">
        <w:rPr>
          <w:b/>
          <w:i/>
        </w:rPr>
        <w:tab/>
        <w:t xml:space="preserve">Natura 2000 -alueiden ulkopuolella 7 kohdassa säädettyä velvoitetta toteuttaa tarvittavat toimenpiteet heikentymisen estämiseksi ei sovelleta heikentymiseen, joka johtuu </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a)</w:t>
      </w:r>
      <w:r w:rsidRPr="00B87DD1">
        <w:rPr>
          <w:b/>
          <w:i/>
        </w:rPr>
        <w:tab/>
        <w:t>ylivoimaisesta esteestä, mukaan lukien luonnonkatastrofit;</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b)</w:t>
      </w:r>
      <w:r w:rsidRPr="00B87DD1">
        <w:rPr>
          <w:b/>
          <w:i/>
        </w:rPr>
        <w:tab/>
        <w:t xml:space="preserve">elinympäristöjen väistämättömistä muutoksista, jotka johtuvat suoraan ilmastonmuutoksesta; </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c)</w:t>
      </w:r>
      <w:r w:rsidRPr="00B87DD1">
        <w:rPr>
          <w:b/>
          <w:i/>
        </w:rPr>
        <w:tab/>
        <w:t>erittäin tärkeän yleisen edun mukaisesta suunnitelmasta hankkeesta, johon ei ole saatavilla vähemmän vahingollisia vaihtoehtoisia ratkaisuja; tai</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b/>
          <w:i/>
          <w:szCs w:val="22"/>
        </w:rPr>
      </w:pPr>
      <w:r w:rsidRPr="00B87DD1">
        <w:rPr>
          <w:b/>
          <w:i/>
        </w:rPr>
        <w:t>d)</w:t>
      </w:r>
      <w:r w:rsidRPr="00B87DD1">
        <w:rPr>
          <w:b/>
          <w:i/>
        </w:rPr>
        <w:tab/>
        <w:t>kolmansien maiden toimista tai toimimatta jättämisestä, joista asianomainen jäsenvaltio ei ole vastuussa.</w:t>
      </w:r>
    </w:p>
    <w:p w:rsidR="00FF7B51" w:rsidRPr="00B87DD1" w:rsidRDefault="00FF7B51" w:rsidP="00FF7B51">
      <w:pPr>
        <w:widowControl/>
        <w:shd w:val="clear" w:color="auto" w:fill="FFFFFF"/>
        <w:suppressAutoHyphens/>
        <w:spacing w:before="120" w:after="120" w:line="360" w:lineRule="auto"/>
        <w:ind w:left="567" w:right="140" w:hanging="567"/>
        <w:rPr>
          <w:rFonts w:eastAsia="Calibri"/>
          <w:szCs w:val="22"/>
        </w:rPr>
      </w:pPr>
      <w:r w:rsidRPr="00B87DD1">
        <w:br w:type="page"/>
      </w:r>
      <w:r w:rsidRPr="00B87DD1">
        <w:lastRenderedPageBreak/>
        <w:t>9.</w:t>
      </w:r>
      <w:r w:rsidRPr="00B87DD1">
        <w:tab/>
        <w:t>Natura 2000 -alueilla 6 ja 7 kohdassa säädettyjen velvoitteiden täyttämättä jättäminen on perusteltua, jos se johtuu</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szCs w:val="22"/>
        </w:rPr>
      </w:pPr>
      <w:r w:rsidRPr="00B87DD1">
        <w:t>a)</w:t>
      </w:r>
      <w:r w:rsidRPr="00B87DD1">
        <w:tab/>
        <w:t>ylivoimaisesta esteestä</w:t>
      </w:r>
      <w:r w:rsidRPr="00B87DD1">
        <w:rPr>
          <w:b/>
          <w:i/>
        </w:rPr>
        <w:t>, mukaan lukien luonnonkatastrofit</w:t>
      </w:r>
      <w:r w:rsidRPr="00B87DD1">
        <w:t>;</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szCs w:val="22"/>
        </w:rPr>
      </w:pPr>
      <w:r w:rsidRPr="00B87DD1">
        <w:t>b)</w:t>
      </w:r>
      <w:r w:rsidRPr="00B87DD1">
        <w:tab/>
        <w:t>elinympäristöjen väistämättömistä muutoksista, jotka johtuvat suoraan ilmastonmuutoksesta; tai</w:t>
      </w:r>
    </w:p>
    <w:p w:rsidR="00FF7B51" w:rsidRPr="00B87DD1" w:rsidRDefault="00FF7B51" w:rsidP="00FF7B51">
      <w:pPr>
        <w:widowControl/>
        <w:shd w:val="clear" w:color="auto" w:fill="FFFFFF"/>
        <w:suppressAutoHyphens/>
        <w:spacing w:before="120" w:after="120" w:line="360" w:lineRule="auto"/>
        <w:ind w:left="1134" w:right="140" w:hanging="567"/>
        <w:rPr>
          <w:rFonts w:eastAsia="Calibri"/>
          <w:szCs w:val="22"/>
        </w:rPr>
      </w:pPr>
      <w:r w:rsidRPr="00B87DD1">
        <w:t>c)</w:t>
      </w:r>
      <w:r w:rsidRPr="00B87DD1">
        <w:tab/>
        <w:t>direktiivin 92/43/ETY 6 artiklan 4 kohdan mukaisesti hyväksytystä suunnitelmasta tai hankkeesta.</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t>10.</w:t>
      </w:r>
      <w:r w:rsidRPr="00B87DD1">
        <w:tab/>
        <w:t>Jäsenvaltioiden on varmistettava:</w:t>
      </w:r>
    </w:p>
    <w:p w:rsidR="00FF7B51" w:rsidRPr="00B87DD1" w:rsidRDefault="00FF7B51" w:rsidP="00FF7B51">
      <w:pPr>
        <w:widowControl/>
        <w:suppressAutoHyphens/>
        <w:spacing w:before="120" w:after="120" w:line="360" w:lineRule="auto"/>
        <w:ind w:left="1134" w:right="140" w:hanging="567"/>
        <w:rPr>
          <w:rFonts w:eastAsia="Calibri"/>
          <w:szCs w:val="22"/>
        </w:rPr>
      </w:pPr>
      <w:r w:rsidRPr="00B87DD1">
        <w:t>a)</w:t>
      </w:r>
      <w:r w:rsidRPr="00B87DD1">
        <w:tab/>
        <w:t xml:space="preserve">liitteessä II lueteltujen luontotyyppien osalta hyvässä tilassa olevan luontotyypin pinta-alan lisääminen, kunnes vähintään 90 prosenttia on hyvässä tilassa ja kunkin luontotyypin suotuisa viiteala kullakin </w:t>
      </w:r>
      <w:r w:rsidRPr="00B87DD1">
        <w:rPr>
          <w:b/>
          <w:i/>
        </w:rPr>
        <w:t>asianomaisen</w:t>
      </w:r>
      <w:r w:rsidRPr="00B87DD1">
        <w:t xml:space="preserve"> jäsenvaltion alueen luonnonmaantieteellisellä alueella saavutetaan;</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a a)</w:t>
      </w:r>
      <w:r w:rsidRPr="00B87DD1">
        <w:rPr>
          <w:b/>
          <w:i/>
        </w:rPr>
        <w:tab/>
        <w:t>liitteessä II lueteltujen luontotyyppien osalta hyvässä tilassa olevien luontotyyppien ryhmän 7 pinta-alan lisääntyminen, kunnes vähintään 1 kohdan d alakohdassa tarkoitettu prosenttiosuus on hyvässä tilassa ja saavutetaan kunkin luontotyypin suotuisa viiteala asianomaisen jäsenvaltion kullakin luonnonmaantieteellisellä alueella;</w:t>
      </w:r>
    </w:p>
    <w:p w:rsidR="00FF7B51" w:rsidRPr="00B87DD1" w:rsidRDefault="00FF7B51" w:rsidP="00FF7B51">
      <w:pPr>
        <w:widowControl/>
        <w:suppressAutoHyphens/>
        <w:spacing w:before="120" w:after="120" w:line="360" w:lineRule="auto"/>
        <w:ind w:left="1134" w:right="140" w:hanging="567"/>
        <w:rPr>
          <w:rFonts w:eastAsia="Calibri"/>
          <w:b/>
          <w:szCs w:val="22"/>
          <w:u w:val="single"/>
        </w:rPr>
      </w:pPr>
      <w:r w:rsidRPr="00B87DD1">
        <w:t>b)</w:t>
      </w:r>
      <w:r w:rsidRPr="00B87DD1">
        <w:tab/>
        <w:t>myönteinen suuntaus kohti liitteessä III lueteltujen lajien ja direktiivin 92/43/ETY liitteissä II, IV ja V tarkoitettujen lajien ja direktiivin 2009/147/EY soveltamisalaan kuuluvien lajien merellisten elinympäristöjen riittävää laatua ja määrää.</w:t>
      </w:r>
    </w:p>
    <w:p w:rsidR="00FF7B51" w:rsidRPr="00B87DD1" w:rsidRDefault="00FF7B51" w:rsidP="00FF7B51">
      <w:pPr>
        <w:keepNext/>
        <w:widowControl/>
        <w:suppressAutoHyphens/>
        <w:spacing w:before="360" w:after="120" w:line="360" w:lineRule="auto"/>
        <w:ind w:right="140"/>
        <w:jc w:val="center"/>
        <w:outlineLvl w:val="1"/>
        <w:rPr>
          <w:i/>
          <w:szCs w:val="26"/>
        </w:rPr>
      </w:pPr>
      <w:r w:rsidRPr="00B87DD1">
        <w:br w:type="page"/>
      </w:r>
      <w:r w:rsidRPr="00B87DD1">
        <w:rPr>
          <w:b/>
          <w:i/>
        </w:rPr>
        <w:lastRenderedPageBreak/>
        <w:t>5 a artikla</w:t>
      </w:r>
      <w:r w:rsidRPr="00B87DD1">
        <w:rPr>
          <w:b/>
          <w:i/>
        </w:rPr>
        <w:br/>
        <w:t xml:space="preserve">Uusiutuvista lähteistä peräisin oleva energia </w:t>
      </w:r>
    </w:p>
    <w:p w:rsidR="00FF7B51" w:rsidRPr="00B87DD1" w:rsidRDefault="00FF7B51" w:rsidP="00FF7B51">
      <w:pPr>
        <w:widowControl/>
        <w:spacing w:before="120" w:after="120" w:line="360" w:lineRule="auto"/>
        <w:rPr>
          <w:rFonts w:eastAsia="Calibri"/>
          <w:b/>
          <w:i/>
          <w:szCs w:val="22"/>
        </w:rPr>
      </w:pPr>
      <w:bookmarkStart w:id="49" w:name="_Hlk137545325"/>
      <w:r w:rsidRPr="00B87DD1">
        <w:rPr>
          <w:b/>
          <w:i/>
        </w:rPr>
        <w:t>Sovellettaessa 4 artiklan 8 ja 8 a kohtaa ja 5 artiklan 8 ja 8 a kohtaa uusiutuvista lähteistä peräisin olevan energian tuotantolaitosten suunnittelun, rakentamisen ja käytön, niiden verkkoon liittämisen ja asiaankuuluvan verkon itsensä sekä varastointimenetelmien on katsottava olevan erittäin tärkeän yleisen edun mukaisia. Jäsenvaltiot voivat vapauttaa ne velvoitteesta osoittaa, että vähemmän haitallisia vaihtoehtoisia ratkaisuja ei ole käytettävissä 4 artiklan 8 ja 8 a kohdan ja 5 artiklan 8 ja 8 a kohdan nojalla, jos niistä on tehty strateginen ympäristöarviointi direktiivissä 2001/42/EY säädettyjen edellytysten mukaisesti tai ympäristövaikutusten arviointi direktiivissä (EU) 2011/92 säädettyjen edellytysten mukaisesti. Jäsenvaltiot voivat asianmukaisesti perustelluissa ja erityisissä olosuhteissa rajoittaa näiden säännösten soveltamisen koskemaan alueensa tiettyjä osia sekä tietyn tyyppisiä teknologioita tai tiettyjä teknisiä ominaisuuksia käsittäviä hankkeita yhdennetyissä kansallisissa energia- ja ilmastosuunnitelmissaan esitettyjen painopisteiden mukaisesti asetuksen (EU) 2018/1999 nojalla. Jäsenvaltion on ilmoitettava komissiolle sovelletuista rajoituksista ja perusteltava ne.</w:t>
      </w:r>
      <w:bookmarkEnd w:id="49"/>
    </w:p>
    <w:p w:rsidR="00FF7B51" w:rsidRPr="00B87DD1" w:rsidRDefault="00FF7B51" w:rsidP="00FF7B51">
      <w:pPr>
        <w:keepNext/>
        <w:widowControl/>
        <w:suppressAutoHyphens/>
        <w:spacing w:before="360" w:after="120" w:line="360" w:lineRule="auto"/>
        <w:ind w:right="140"/>
        <w:jc w:val="center"/>
        <w:outlineLvl w:val="1"/>
        <w:rPr>
          <w:i/>
          <w:szCs w:val="26"/>
        </w:rPr>
      </w:pPr>
      <w:r w:rsidRPr="00B87DD1">
        <w:rPr>
          <w:b/>
          <w:i/>
        </w:rPr>
        <w:t>5 b artikla</w:t>
      </w:r>
      <w:r w:rsidRPr="00B87DD1">
        <w:rPr>
          <w:b/>
          <w:i/>
        </w:rPr>
        <w:br/>
        <w:t>Maanpuolustus</w:t>
      </w:r>
    </w:p>
    <w:p w:rsidR="00FF7B51" w:rsidRPr="00B87DD1" w:rsidRDefault="00FF7B51" w:rsidP="00FF7B51">
      <w:pPr>
        <w:widowControl/>
        <w:spacing w:before="120" w:after="120" w:line="360" w:lineRule="auto"/>
        <w:ind w:left="567" w:hanging="567"/>
        <w:rPr>
          <w:b/>
          <w:i/>
          <w:szCs w:val="26"/>
        </w:rPr>
      </w:pPr>
      <w:bookmarkStart w:id="50" w:name="_Hlk136767680"/>
      <w:r w:rsidRPr="00B87DD1">
        <w:rPr>
          <w:b/>
          <w:i/>
        </w:rPr>
        <w:t>1.</w:t>
      </w:r>
      <w:r w:rsidRPr="00B87DD1">
        <w:rPr>
          <w:b/>
          <w:i/>
        </w:rPr>
        <w:tab/>
        <w:t>Ottaessaan käyttöön ennallistamistoimenpiteitä 4 artiklan 1, 2 ja 3 kohdan ja 5 artiklan 1, 2 ja 3 kohdan soveltamiseksi jäsenvaltiot voivat vapauttaa niistä alueet, joita käytetään ainoastaan maanpuolustukseen liittyvään toimintaan, jos näiden toimenpiteiden ei katsota olevan yhteensopivia asianomaisten alueiden jatkuvan sotilaskäytön kanssa.</w:t>
      </w:r>
    </w:p>
    <w:p w:rsidR="00FF7B51" w:rsidRPr="00B87DD1" w:rsidRDefault="00FF7B51" w:rsidP="00FF7B51">
      <w:pPr>
        <w:widowControl/>
        <w:spacing w:before="120" w:after="120" w:line="360" w:lineRule="auto"/>
        <w:ind w:left="567" w:hanging="567"/>
        <w:rPr>
          <w:b/>
          <w:i/>
          <w:szCs w:val="26"/>
        </w:rPr>
      </w:pPr>
      <w:r w:rsidRPr="00B87DD1">
        <w:rPr>
          <w:b/>
          <w:i/>
        </w:rPr>
        <w:t>2.</w:t>
      </w:r>
      <w:r w:rsidRPr="00B87DD1">
        <w:rPr>
          <w:b/>
          <w:i/>
        </w:rPr>
        <w:tab/>
        <w:t>Sovellettaessa 4 artiklan 8 ja 8 a kohtaa ja 5 artiklan 8 ja 8 a kohtaa jäsenvaltiot voivat säätää, että suunnitelmien ja hankkeiden, joiden ainoa tarkoitus on maanpuolustus, katsotaan olevan erittäin tärkeän yleisen edun mukaisia. Sovellettaessa 4 artiklan 8 ja 8 a kohtaa ja 5 artiklan 8 ja 8 a kohtaa jäsenvaltiot voivat myös vapauttaa tällaiset suunnitelmat ja hankkeet velvoitteesta osoittaa, että vähemmän haitallisia vaihtoehtoisia ratkaisuja ei ole käytettävissä. Jos tätä poikkeusta sovelletaan, jäsenvaltioiden on kuitenkin toteutettava toimenpiteitä luontotyyppeihin kohdistuvien vaikutusten lieventämiseksi, siinä määrin kuin se on kohtuullista ja mahdollista.</w:t>
      </w:r>
      <w:bookmarkEnd w:id="50"/>
    </w:p>
    <w:p w:rsidR="00FF7B51" w:rsidRPr="00B87DD1" w:rsidRDefault="00FF7B51" w:rsidP="00FF7B51">
      <w:pPr>
        <w:keepNext/>
        <w:widowControl/>
        <w:suppressAutoHyphens/>
        <w:spacing w:before="360" w:after="120" w:line="360" w:lineRule="auto"/>
        <w:ind w:left="567" w:right="140" w:hanging="567"/>
        <w:jc w:val="center"/>
        <w:outlineLvl w:val="1"/>
        <w:rPr>
          <w:bCs/>
          <w:i/>
          <w:szCs w:val="26"/>
        </w:rPr>
      </w:pPr>
      <w:r w:rsidRPr="00B87DD1">
        <w:lastRenderedPageBreak/>
        <w:t>6 artikla</w:t>
      </w:r>
      <w:r w:rsidRPr="00B87DD1">
        <w:rPr>
          <w:b/>
        </w:rPr>
        <w:t xml:space="preserve"> </w:t>
      </w:r>
      <w:r w:rsidRPr="00B87DD1">
        <w:rPr>
          <w:b/>
        </w:rPr>
        <w:br/>
      </w:r>
      <w:r w:rsidRPr="00B87DD1">
        <w:rPr>
          <w:i/>
        </w:rPr>
        <w:t>Kaupunkien ekosysteemien ennallistaminen</w:t>
      </w:r>
    </w:p>
    <w:p w:rsidR="00FF7B51" w:rsidRPr="00B87DD1" w:rsidRDefault="00FF7B51" w:rsidP="00FF7B51">
      <w:pPr>
        <w:widowControl/>
        <w:suppressAutoHyphens/>
        <w:spacing w:before="120" w:after="120" w:line="360" w:lineRule="auto"/>
        <w:ind w:left="567" w:right="140" w:hanging="567"/>
        <w:rPr>
          <w:rFonts w:eastAsia="Calibri"/>
          <w:b/>
          <w:i/>
          <w:szCs w:val="22"/>
        </w:rPr>
      </w:pPr>
      <w:r w:rsidRPr="00B87DD1">
        <w:t>1.</w:t>
      </w:r>
      <w:r w:rsidRPr="00B87DD1">
        <w:tab/>
      </w:r>
      <w:bookmarkStart w:id="51" w:name="_Hlk135912547"/>
      <w:bookmarkStart w:id="52" w:name="_Hlk135848367"/>
      <w:bookmarkStart w:id="53" w:name="_Hlk135923333"/>
      <w:bookmarkStart w:id="54" w:name="_Hlk131595365"/>
      <w:bookmarkStart w:id="55" w:name="_Hlk131436010"/>
      <w:r w:rsidRPr="00B87DD1">
        <w:t xml:space="preserve">Jäsenvaltioiden on varmistettava, että </w:t>
      </w:r>
      <w:r w:rsidRPr="00B87DD1">
        <w:rPr>
          <w:b/>
          <w:i/>
        </w:rPr>
        <w:t>31 päivään joulukuuta</w:t>
      </w:r>
      <w:r w:rsidRPr="00B87DD1">
        <w:t xml:space="preserve"> 2030 mennessä kaupunkien </w:t>
      </w:r>
      <w:r w:rsidRPr="00B87DD1">
        <w:rPr>
          <w:b/>
          <w:i/>
        </w:rPr>
        <w:t>viheralueiden</w:t>
      </w:r>
      <w:r w:rsidRPr="00B87DD1">
        <w:t xml:space="preserve"> ja puiden </w:t>
      </w:r>
      <w:r w:rsidRPr="00B87DD1">
        <w:rPr>
          <w:b/>
          <w:i/>
        </w:rPr>
        <w:t xml:space="preserve">latvuspeittävyyden kansallista kokonaispinta-alaa </w:t>
      </w:r>
      <w:r w:rsidRPr="00B87DD1">
        <w:t xml:space="preserve">ei menetetä nettomääräisesti vuoteen </w:t>
      </w:r>
      <w:r w:rsidRPr="00B87DD1">
        <w:rPr>
          <w:b/>
          <w:i/>
        </w:rPr>
        <w:t>[tämän asetuksen voimaantulovuosi]</w:t>
      </w:r>
      <w:r w:rsidRPr="00B87DD1">
        <w:t xml:space="preserve"> verrattuna </w:t>
      </w:r>
      <w:r w:rsidRPr="00B87DD1">
        <w:rPr>
          <w:b/>
          <w:i/>
        </w:rPr>
        <w:t>11 artiklan 2 b kohdan mukaisesti määritetyillä kaupunkien ekosysteemialueilla</w:t>
      </w:r>
      <w:bookmarkEnd w:id="51"/>
      <w:r w:rsidRPr="00B87DD1">
        <w:t>.</w:t>
      </w:r>
      <w:bookmarkStart w:id="56" w:name="_Hlk131430592"/>
      <w:r w:rsidRPr="00B87DD1">
        <w:rPr>
          <w:b/>
          <w:i/>
        </w:rPr>
        <w:t xml:space="preserve"> </w:t>
      </w:r>
      <w:bookmarkEnd w:id="52"/>
      <w:r w:rsidRPr="00B87DD1">
        <w:rPr>
          <w:b/>
          <w:i/>
        </w:rPr>
        <w:t>Sovellettaessa tätä velvoitetta jäsenvaltiot voivat jättää tämän kansallisen kokonaispinta-alan ulkopuolelle</w:t>
      </w:r>
      <w:bookmarkStart w:id="57" w:name="_Hlk136519769"/>
      <w:r w:rsidRPr="00B87DD1">
        <w:rPr>
          <w:b/>
          <w:i/>
        </w:rPr>
        <w:t xml:space="preserve"> kaupunkien ekosysteemialueet, joissa kaupunkien viheralueiden osuus kaupunkikeskuksissa ja kaupunkiklustereissa ylittää 45 prosenttia ja kaupunkien latvuspeittävyys ylittää 10 prosenttia.</w:t>
      </w:r>
    </w:p>
    <w:p w:rsidR="00FF7B51" w:rsidRPr="00B87DD1" w:rsidRDefault="00FF7B51" w:rsidP="00FF7B51">
      <w:pPr>
        <w:widowControl/>
        <w:suppressAutoHyphens/>
        <w:spacing w:before="120" w:after="120" w:line="360" w:lineRule="auto"/>
        <w:ind w:left="567" w:right="140" w:hanging="567"/>
        <w:rPr>
          <w:rFonts w:eastAsia="Calibri"/>
          <w:szCs w:val="22"/>
        </w:rPr>
      </w:pPr>
      <w:bookmarkStart w:id="58" w:name="_Hlk132474340"/>
      <w:bookmarkEnd w:id="53"/>
      <w:bookmarkEnd w:id="56"/>
      <w:bookmarkEnd w:id="57"/>
      <w:r w:rsidRPr="00B87DD1">
        <w:t>2.</w:t>
      </w:r>
      <w:r w:rsidRPr="00B87DD1">
        <w:tab/>
        <w:t xml:space="preserve">Jäsenvaltioiden on </w:t>
      </w:r>
      <w:r w:rsidRPr="00B87DD1">
        <w:rPr>
          <w:b/>
          <w:i/>
        </w:rPr>
        <w:t xml:space="preserve">sen jälkeen saatava 11 artiklan 2 b kohdan mukaisesti määritetyillä kaupunkien ekosysteemialueilla </w:t>
      </w:r>
      <w:r w:rsidRPr="00B87DD1">
        <w:t xml:space="preserve">kaupunkien viheralueiden kansallinen kokonaispinta-ala </w:t>
      </w:r>
      <w:r w:rsidRPr="00B87DD1">
        <w:rPr>
          <w:b/>
          <w:i/>
        </w:rPr>
        <w:t>kasvusuuntaan, jota arvioidaan 31 päivän joulukuuta 2030 jälkeen joka kuudes vuosi, kunnes 11 artiklan 3 kohdan mukaisesti yksilöity tyydyttävä taso on saavutettu. Tämä tehdään muun muassa integroimalla kaupunkien viheralueet rakennuksiin ja infrastruktuuriin</w:t>
      </w:r>
      <w:r w:rsidRPr="00B87DD1">
        <w:t xml:space="preserve">. </w:t>
      </w:r>
    </w:p>
    <w:bookmarkEnd w:id="58"/>
    <w:p w:rsidR="00FF7B51" w:rsidRPr="00B87DD1" w:rsidRDefault="00FF7B51" w:rsidP="00FF7B51">
      <w:pPr>
        <w:widowControl/>
        <w:suppressAutoHyphens/>
        <w:spacing w:before="120" w:after="120" w:line="360" w:lineRule="auto"/>
        <w:ind w:left="567" w:right="140" w:hanging="567"/>
        <w:rPr>
          <w:rFonts w:eastAsia="Calibri"/>
          <w:szCs w:val="22"/>
        </w:rPr>
      </w:pPr>
      <w:r w:rsidRPr="00B87DD1">
        <w:rPr>
          <w:b/>
          <w:i/>
        </w:rPr>
        <w:t>3.</w:t>
      </w:r>
      <w:r w:rsidRPr="00B87DD1">
        <w:rPr>
          <w:b/>
          <w:i/>
        </w:rPr>
        <w:tab/>
        <w:t>Jäsenvaltioiden on saatava kullakin 11 artiklan 2 b kohdan mukaisesti määritetyllä kaupunkien ekosysteemialueella kaupunkien latvuspeittävyys kasvusuuntaan, jota arvioidaan 31 päivän joulukuuta 2030 jälkeen joka kuudes vuosi, kunnes 11 artiklan 3 kohdan mukaisesti yksilöity tyydyttävä taso on saavutettu.</w:t>
      </w:r>
    </w:p>
    <w:bookmarkEnd w:id="54"/>
    <w:bookmarkEnd w:id="55"/>
    <w:p w:rsidR="00FF7B51" w:rsidRPr="00B87DD1" w:rsidRDefault="00FF7B51" w:rsidP="00FF7B51">
      <w:pPr>
        <w:widowControl/>
        <w:suppressAutoHyphens/>
        <w:spacing w:before="120" w:after="120" w:line="360" w:lineRule="auto"/>
        <w:ind w:left="567" w:right="140" w:hanging="567"/>
        <w:jc w:val="both"/>
        <w:rPr>
          <w:b/>
          <w:bCs/>
          <w:szCs w:val="26"/>
        </w:rPr>
      </w:pPr>
      <w:r w:rsidRPr="00B87DD1">
        <w:br w:type="page"/>
      </w:r>
    </w:p>
    <w:p w:rsidR="00FF7B51" w:rsidRPr="00B87DD1" w:rsidRDefault="00FF7B51" w:rsidP="00FF7B51">
      <w:pPr>
        <w:keepNext/>
        <w:widowControl/>
        <w:shd w:val="clear" w:color="auto" w:fill="FFFFFF"/>
        <w:suppressAutoHyphens/>
        <w:spacing w:before="120" w:after="120" w:line="360" w:lineRule="auto"/>
        <w:ind w:right="140"/>
        <w:jc w:val="center"/>
        <w:outlineLvl w:val="1"/>
        <w:rPr>
          <w:b/>
          <w:bCs/>
          <w:szCs w:val="26"/>
        </w:rPr>
      </w:pPr>
      <w:r w:rsidRPr="00B87DD1">
        <w:lastRenderedPageBreak/>
        <w:t>7 artikla</w:t>
      </w:r>
      <w:bookmarkStart w:id="59" w:name="_Hlk136862171"/>
      <w:r w:rsidR="0033080B" w:rsidRPr="00B87DD1">
        <w:br/>
      </w:r>
      <w:r w:rsidRPr="00B87DD1">
        <w:rPr>
          <w:i/>
        </w:rPr>
        <w:t>Jokien luonnollisten yhteyksien ja niihin liittyvien tulvatasanteiden luonnollisten toimintojen ennallistaminen</w:t>
      </w:r>
      <w:r w:rsidRPr="00B87DD1">
        <w:rPr>
          <w:b/>
        </w:rPr>
        <w:t xml:space="preserve"> </w:t>
      </w:r>
      <w:bookmarkEnd w:id="59"/>
    </w:p>
    <w:p w:rsidR="00FF7B51" w:rsidRPr="00B87DD1" w:rsidRDefault="00FF7B51" w:rsidP="00FF7B51">
      <w:pPr>
        <w:widowControl/>
        <w:shd w:val="clear" w:color="auto" w:fill="FFFFFF"/>
        <w:suppressAutoHyphens/>
        <w:spacing w:before="120" w:after="120" w:line="360" w:lineRule="auto"/>
        <w:ind w:left="567" w:right="140" w:hanging="567"/>
        <w:rPr>
          <w:rFonts w:eastAsia="Calibri"/>
          <w:szCs w:val="22"/>
        </w:rPr>
      </w:pPr>
      <w:r w:rsidRPr="00B87DD1">
        <w:t>1.</w:t>
      </w:r>
      <w:r w:rsidRPr="00B87DD1">
        <w:tab/>
        <w:t xml:space="preserve">Jäsenvaltioiden on kartoitettava pintavesien </w:t>
      </w:r>
      <w:r w:rsidRPr="00B87DD1">
        <w:rPr>
          <w:rFonts w:ascii="Arial" w:hAnsi="Arial"/>
          <w:snapToGrid w:val="0"/>
        </w:rPr>
        <w:t>▌</w:t>
      </w:r>
      <w:r w:rsidRPr="00B87DD1">
        <w:t xml:space="preserve"> yhteyksien </w:t>
      </w:r>
      <w:r w:rsidRPr="00B87DD1">
        <w:rPr>
          <w:b/>
          <w:i/>
        </w:rPr>
        <w:t>keinotekoiset</w:t>
      </w:r>
      <w:r w:rsidRPr="00B87DD1">
        <w:t xml:space="preserve"> esteet ja </w:t>
      </w:r>
      <w:r w:rsidRPr="00B87DD1">
        <w:rPr>
          <w:b/>
          <w:i/>
        </w:rPr>
        <w:t>ottaen huomion niiden sosioekonomiset tehtävät</w:t>
      </w:r>
      <w:r w:rsidRPr="00B87DD1">
        <w:t xml:space="preserve"> yksilöitävä esteet, jotka on poistettava, jotta voidaan edistää tämän asetuksen 4 artiklassa vahvistettujen ennallistamistavoitteiden sekä unionin tavoitteen, jonka mukaan ennallistetaan vähintään 25 000 kilometriä jokia vapaasti virtaavia joiksi unionissa vuoteen 0 mennessä, saavuttamista, sanotun kuitenkaan rajoittamatta direktiivin 2000/60/EY ja erityisesti sen 4 artiklan 3, 5 ja 7 kohdan tai asetuksen ja erityisesti sen 15 kohdan soveltamista.</w:t>
      </w:r>
    </w:p>
    <w:p w:rsidR="00FF7B51" w:rsidRPr="00B87DD1" w:rsidRDefault="00FF7B51" w:rsidP="00FF7B51">
      <w:pPr>
        <w:widowControl/>
        <w:shd w:val="clear" w:color="auto" w:fill="FFFFFF"/>
        <w:suppressAutoHyphens/>
        <w:spacing w:before="120" w:after="120" w:line="360" w:lineRule="auto"/>
        <w:ind w:left="567" w:right="140" w:hanging="567"/>
        <w:rPr>
          <w:rFonts w:eastAsia="Calibri"/>
          <w:szCs w:val="22"/>
        </w:rPr>
      </w:pPr>
      <w:r w:rsidRPr="00B87DD1">
        <w:t>2.</w:t>
      </w:r>
      <w:r w:rsidRPr="00B87DD1">
        <w:tab/>
        <w:t xml:space="preserve">Jäsenvaltioiden on poistettava tämän artiklan 1 kohdan </w:t>
      </w:r>
      <w:r w:rsidRPr="00B87DD1">
        <w:rPr>
          <w:b/>
          <w:i/>
        </w:rPr>
        <w:t>mukaisen kartoituksen perusteella</w:t>
      </w:r>
      <w:r w:rsidRPr="00B87DD1">
        <w:t xml:space="preserve"> pintavesien </w:t>
      </w:r>
      <w:r w:rsidRPr="00B87DD1">
        <w:rPr>
          <w:rFonts w:ascii="Arial" w:hAnsi="Arial"/>
          <w:snapToGrid w:val="0"/>
        </w:rPr>
        <w:t>▌</w:t>
      </w:r>
      <w:r w:rsidRPr="00B87DD1">
        <w:t xml:space="preserve"> yhteyksien </w:t>
      </w:r>
      <w:r w:rsidRPr="00B87DD1">
        <w:rPr>
          <w:b/>
          <w:i/>
        </w:rPr>
        <w:t>keinotekoiset</w:t>
      </w:r>
      <w:r w:rsidRPr="00B87DD1">
        <w:t xml:space="preserve"> esteet 12 artiklan 2 kohdan</w:t>
      </w:r>
      <w:r w:rsidRPr="00B87DD1">
        <w:rPr>
          <w:b/>
          <w:i/>
        </w:rPr>
        <w:t xml:space="preserve"> e ja</w:t>
      </w:r>
      <w:r w:rsidRPr="00B87DD1">
        <w:t xml:space="preserve"> f alakohdassa tarkoitetun, niiden poistamista koskevan suunnitelman mukaisesti. Esteitä poistettaessa jäsenvaltioiden on ensisijaisesti puututtava vanhentuneisiin esteisiin, joita ei enää tarvita uusiutuvan energian tuotantoon, sisävesiliikenteeseen, vesihuoltoon</w:t>
      </w:r>
      <w:r w:rsidRPr="00B87DD1">
        <w:rPr>
          <w:b/>
          <w:i/>
        </w:rPr>
        <w:t>, tulvasuojeluun</w:t>
      </w:r>
      <w:r w:rsidRPr="00B87DD1">
        <w:t xml:space="preserve"> tai muuhun käyttöön.</w:t>
      </w:r>
    </w:p>
    <w:p w:rsidR="00FF7B51" w:rsidRPr="00B87DD1" w:rsidRDefault="00FF7B51" w:rsidP="00FF7B51">
      <w:pPr>
        <w:widowControl/>
        <w:shd w:val="clear" w:color="auto" w:fill="FFFFFF"/>
        <w:suppressAutoHyphens/>
        <w:spacing w:before="120" w:after="120" w:line="360" w:lineRule="auto"/>
        <w:ind w:left="567" w:right="140" w:hanging="567"/>
        <w:rPr>
          <w:rFonts w:eastAsia="Calibri"/>
          <w:szCs w:val="22"/>
        </w:rPr>
      </w:pPr>
      <w:r w:rsidRPr="00B87DD1">
        <w:t>3.</w:t>
      </w:r>
      <w:r w:rsidRPr="00B87DD1">
        <w:tab/>
        <w:t>Jäsenvaltioiden on täydennettävä 2 kohdassa tarkoitettujen esteiden poistamista toimenpiteillä, jotka ovat tarpeen asianomaisten tulvatasanteiden luonnollisten toimintojen parantamiseksi.</w:t>
      </w:r>
    </w:p>
    <w:p w:rsidR="00FF7B51" w:rsidRPr="00B87DD1" w:rsidRDefault="00FF7B51" w:rsidP="00FF7B51">
      <w:pPr>
        <w:widowControl/>
        <w:shd w:val="clear" w:color="auto" w:fill="FFFFFF"/>
        <w:suppressAutoHyphens/>
        <w:spacing w:before="120" w:after="120" w:line="360" w:lineRule="auto"/>
        <w:ind w:left="567" w:right="140" w:hanging="567"/>
        <w:rPr>
          <w:rFonts w:eastAsia="Calibri"/>
          <w:b/>
          <w:i/>
          <w:szCs w:val="22"/>
        </w:rPr>
      </w:pPr>
      <w:r w:rsidRPr="00B87DD1">
        <w:rPr>
          <w:b/>
          <w:i/>
        </w:rPr>
        <w:t>4.</w:t>
      </w:r>
      <w:r w:rsidRPr="00B87DD1">
        <w:rPr>
          <w:b/>
          <w:i/>
        </w:rPr>
        <w:tab/>
        <w:t>Jäsenvaltioiden on varmistettava, että 2 kohdan mukainen jokien luonnollisten yhteyksien ja 3 kohdan mukainen niihin liittyvien tulvatasanteiden luonnollisten toimintojen ennallistaminen säilytetään.</w:t>
      </w:r>
    </w:p>
    <w:p w:rsidR="00FF7B51" w:rsidRPr="00B87DD1" w:rsidRDefault="00FF7B51" w:rsidP="00FF7B51">
      <w:pPr>
        <w:keepNext/>
        <w:widowControl/>
        <w:suppressAutoHyphens/>
        <w:spacing w:before="120" w:after="120" w:line="360" w:lineRule="auto"/>
        <w:ind w:right="140"/>
        <w:jc w:val="center"/>
        <w:outlineLvl w:val="1"/>
        <w:rPr>
          <w:b/>
          <w:bCs/>
          <w:szCs w:val="26"/>
        </w:rPr>
      </w:pPr>
      <w:r w:rsidRPr="00B87DD1">
        <w:t>8 artikla</w:t>
      </w:r>
      <w:r w:rsidRPr="00B87DD1">
        <w:br/>
      </w:r>
      <w:r w:rsidRPr="00B87DD1">
        <w:rPr>
          <w:i/>
        </w:rPr>
        <w:t>Pölyttäjäkantojen ennallistaminen</w:t>
      </w:r>
      <w:r w:rsidRPr="00B87DD1">
        <w:rPr>
          <w:b/>
        </w:rPr>
        <w:t xml:space="preserve"> </w:t>
      </w:r>
    </w:p>
    <w:p w:rsidR="00FF7B51" w:rsidRPr="00B87DD1" w:rsidRDefault="00FF7B51" w:rsidP="00FF7B51">
      <w:pPr>
        <w:widowControl/>
        <w:suppressAutoHyphens/>
        <w:spacing w:before="120" w:after="120" w:line="360" w:lineRule="auto"/>
        <w:ind w:left="567" w:right="140" w:hanging="567"/>
        <w:rPr>
          <w:rFonts w:eastAsia="Calibri"/>
          <w:b/>
          <w:szCs w:val="22"/>
        </w:rPr>
      </w:pPr>
      <w:r w:rsidRPr="00B87DD1">
        <w:t>1.</w:t>
      </w:r>
      <w:r w:rsidRPr="00B87DD1">
        <w:tab/>
        <w:t xml:space="preserve">Jäsenvaltioiden on </w:t>
      </w:r>
      <w:r w:rsidR="0033080B" w:rsidRPr="00B87DD1">
        <w:rPr>
          <w:b/>
          <w:i/>
        </w:rPr>
        <w:t xml:space="preserve">asetuksen voimaantulon jälkeen parannettava pölyttäjien monimuotoisuutta ottamalla käyttöön asianmukaisia ja tehokkaita toimenpiteitä ja </w:t>
      </w:r>
      <w:r w:rsidRPr="00B87DD1">
        <w:t xml:space="preserve">käännettävä pölyttäjäkantojen vähenemissuuntaus </w:t>
      </w:r>
      <w:r w:rsidR="0033080B" w:rsidRPr="00B87DD1">
        <w:rPr>
          <w:b/>
          <w:i/>
        </w:rPr>
        <w:t>viimeistään</w:t>
      </w:r>
      <w:r w:rsidR="0033080B" w:rsidRPr="00B87DD1">
        <w:t xml:space="preserve"> </w:t>
      </w:r>
      <w:r w:rsidRPr="00B87DD1">
        <w:t xml:space="preserve">vuoteen 2030 mennessä ja saavutettava sen jälkeen pölyttäjäkantojen kasvava suuntaus, joka mitataan joka </w:t>
      </w:r>
      <w:r w:rsidRPr="00B87DD1">
        <w:rPr>
          <w:b/>
          <w:i/>
        </w:rPr>
        <w:t>kuudes</w:t>
      </w:r>
      <w:r w:rsidRPr="00B87DD1">
        <w:t xml:space="preserve"> vuosi vuoden 2030 jälkeen, kunnes saavutetaan tyydyttävät tasot 11 artiklan 3 kohdan mukaisesti.</w:t>
      </w:r>
      <w:r w:rsidR="0033080B" w:rsidRPr="00B87DD1">
        <w:rPr>
          <w:b/>
        </w:rPr>
        <w:t xml:space="preserve"> [tark. 88]</w:t>
      </w:r>
    </w:p>
    <w:p w:rsidR="00FF7B51" w:rsidRPr="00B87DD1" w:rsidRDefault="00FF7B51" w:rsidP="00FF7B51">
      <w:pPr>
        <w:widowControl/>
        <w:suppressAutoHyphens/>
        <w:spacing w:before="120" w:after="120" w:line="360" w:lineRule="auto"/>
        <w:ind w:left="567" w:right="140" w:hanging="567"/>
        <w:rPr>
          <w:rFonts w:eastAsia="Calibri"/>
          <w:b/>
          <w:szCs w:val="22"/>
        </w:rPr>
      </w:pPr>
      <w:bookmarkStart w:id="60" w:name="_Hlk135772528"/>
      <w:r w:rsidRPr="00B87DD1">
        <w:t>2.</w:t>
      </w:r>
      <w:r w:rsidRPr="00B87DD1">
        <w:tab/>
        <w:t xml:space="preserve">Komissio hyväksyy </w:t>
      </w:r>
      <w:r w:rsidR="0033080B" w:rsidRPr="00B87DD1">
        <w:rPr>
          <w:b/>
          <w:i/>
        </w:rPr>
        <w:t>delegoituja säädöksiä 20 artiklan mukaisesti viimeistään</w:t>
      </w:r>
      <w:r w:rsidR="0033080B" w:rsidRPr="00B87DD1">
        <w:rPr>
          <w:b/>
          <w:bCs/>
          <w:i/>
          <w:iCs/>
        </w:rPr>
        <w:t>..</w:t>
      </w:r>
      <w:r w:rsidR="0033080B" w:rsidRPr="00B87DD1">
        <w:rPr>
          <w:b/>
          <w:i/>
        </w:rPr>
        <w:t xml:space="preserve">. [yhdeksän kuukauden kuluttua tämän asetuksen voimaantulosta pölyttäjien monimuotoisuutta ja </w:t>
      </w:r>
      <w:r w:rsidR="0033080B" w:rsidRPr="00B87DD1">
        <w:rPr>
          <w:b/>
          <w:i/>
        </w:rPr>
        <w:lastRenderedPageBreak/>
        <w:t>pölyttäjäkantoja koskevan tieteeseen perustuvan</w:t>
      </w:r>
      <w:r w:rsidRPr="00B87DD1">
        <w:t xml:space="preserve"> seurantamenetelmän vahvistamiseksi. </w:t>
      </w:r>
      <w:r w:rsidR="0033080B" w:rsidRPr="00B87DD1">
        <w:t>▌</w:t>
      </w:r>
      <w:r w:rsidR="0033080B" w:rsidRPr="00B87DD1">
        <w:rPr>
          <w:b/>
        </w:rPr>
        <w:t xml:space="preserve"> [tark. 89]</w:t>
      </w:r>
    </w:p>
    <w:p w:rsidR="00FF7B51" w:rsidRPr="00B87DD1" w:rsidRDefault="00FF7B51" w:rsidP="00FF7B51">
      <w:pPr>
        <w:widowControl/>
        <w:suppressAutoHyphens/>
        <w:spacing w:before="120" w:after="120" w:line="360" w:lineRule="auto"/>
        <w:ind w:left="567" w:right="140" w:hanging="567"/>
        <w:rPr>
          <w:b/>
        </w:rPr>
      </w:pPr>
      <w:r w:rsidRPr="00B87DD1">
        <w:t>3.</w:t>
      </w:r>
      <w:r w:rsidRPr="00B87DD1">
        <w:tab/>
        <w:t xml:space="preserve">Edellä 2 kohdassa tarkoitetussa menetelmässä on </w:t>
      </w:r>
      <w:r w:rsidR="00744C30" w:rsidRPr="00B87DD1">
        <w:rPr>
          <w:b/>
          <w:i/>
        </w:rPr>
        <w:t xml:space="preserve">annettava jäsenvaltioille ohjeita tyydyttävien tasojen määrittämiseksi 11 artiklan 3 kohdan mukaisesti ja </w:t>
      </w:r>
      <w:r w:rsidRPr="00B87DD1">
        <w:t>käytettävä standardoi</w:t>
      </w:r>
      <w:r w:rsidR="00184958" w:rsidRPr="00B87DD1">
        <w:t>t</w:t>
      </w:r>
      <w:r w:rsidRPr="00B87DD1">
        <w:t xml:space="preserve">ua lähestymistapaa, jolla kerätään vuosittain tietoja pölyttäjälajien runsaudesta ja monimuotoisuudesta </w:t>
      </w:r>
      <w:r w:rsidR="00744C30" w:rsidRPr="00B87DD1">
        <w:rPr>
          <w:b/>
          <w:i/>
        </w:rPr>
        <w:t xml:space="preserve">kaikissa ekosysteemeissä </w:t>
      </w:r>
      <w:r w:rsidRPr="00B87DD1">
        <w:t>ja arvioidaan pölyttäjäkantojen kehityssuuntauksia</w:t>
      </w:r>
      <w:r w:rsidR="00744C30" w:rsidRPr="00B87DD1">
        <w:t xml:space="preserve"> </w:t>
      </w:r>
      <w:r w:rsidR="00744C30" w:rsidRPr="00B87DD1">
        <w:rPr>
          <w:b/>
          <w:i/>
        </w:rPr>
        <w:t>ja jäsenvaltioiden 1 kohdan mukaisesti hyväksymien ennallistamistoimenpiteiden vaikuttavuutta</w:t>
      </w:r>
      <w:r w:rsidRPr="00B87DD1">
        <w:t>.</w:t>
      </w:r>
      <w:r w:rsidR="0033080B" w:rsidRPr="00B87DD1">
        <w:rPr>
          <w:b/>
        </w:rPr>
        <w:t xml:space="preserve"> [tark. 90]</w:t>
      </w:r>
    </w:p>
    <w:p w:rsidR="00012FA7" w:rsidRPr="00B87DD1" w:rsidRDefault="00012FA7" w:rsidP="00FF7B51">
      <w:pPr>
        <w:widowControl/>
        <w:suppressAutoHyphens/>
        <w:spacing w:before="120" w:after="120" w:line="360" w:lineRule="auto"/>
        <w:ind w:left="567" w:right="140" w:hanging="567"/>
        <w:rPr>
          <w:b/>
        </w:rPr>
      </w:pPr>
      <w:r w:rsidRPr="00B87DD1">
        <w:rPr>
          <w:b/>
          <w:i/>
        </w:rPr>
        <w:t>3 a.</w:t>
      </w:r>
      <w:r w:rsidRPr="00B87DD1">
        <w:rPr>
          <w:b/>
          <w:i/>
        </w:rPr>
        <w:tab/>
        <w:t>Jäsenvaltioiden ja komission on varmistettava, että seurantatiedot saadaan riittävän monesta paikasta, jotta varmistetaan edustavuus koko alueella. Jäsenvaltioiden on varmistettava riittävät resurssit seurantaan ja edistettävä kansalaistiedettä.</w:t>
      </w:r>
      <w:r w:rsidRPr="00B87DD1">
        <w:rPr>
          <w:b/>
        </w:rPr>
        <w:t xml:space="preserve"> [tark. 91</w:t>
      </w:r>
    </w:p>
    <w:p w:rsidR="00012FA7" w:rsidRPr="00B87DD1" w:rsidRDefault="00012FA7" w:rsidP="00FF7B51">
      <w:pPr>
        <w:widowControl/>
        <w:suppressAutoHyphens/>
        <w:spacing w:before="120" w:after="120" w:line="360" w:lineRule="auto"/>
        <w:ind w:left="567" w:right="140" w:hanging="567"/>
        <w:rPr>
          <w:rFonts w:eastAsia="Calibri"/>
          <w:b/>
          <w:szCs w:val="22"/>
        </w:rPr>
      </w:pPr>
      <w:r w:rsidRPr="00B87DD1">
        <w:rPr>
          <w:b/>
          <w:i/>
        </w:rPr>
        <w:t>3 b.</w:t>
      </w:r>
      <w:r w:rsidRPr="00B87DD1">
        <w:rPr>
          <w:b/>
          <w:i/>
        </w:rPr>
        <w:tab/>
        <w:t>Komissio ja asianomaiset unionin virastot, erityisesti EEA, EFSA ja ECHA, käsittelevät yhdessä pölyttäjiin kohdistuvia pääasiallisia paineita ja tukevat jäsenvaltioita niiden pyynnöstä.</w:t>
      </w:r>
      <w:r w:rsidRPr="00B87DD1">
        <w:rPr>
          <w:b/>
        </w:rPr>
        <w:t xml:space="preserve"> [tark. 92]</w:t>
      </w:r>
    </w:p>
    <w:p w:rsidR="00FF7B51" w:rsidRPr="00B87DD1" w:rsidRDefault="00012FA7" w:rsidP="00184958">
      <w:pPr>
        <w:widowControl/>
        <w:suppressAutoHyphens/>
        <w:spacing w:before="120" w:after="120" w:line="360" w:lineRule="auto"/>
        <w:ind w:left="567" w:right="140" w:hanging="567"/>
        <w:rPr>
          <w:rFonts w:eastAsia="Calibri"/>
          <w:b/>
          <w:szCs w:val="22"/>
        </w:rPr>
      </w:pPr>
      <w:bookmarkStart w:id="61" w:name="_Hlk133342661"/>
      <w:bookmarkEnd w:id="60"/>
      <w:r w:rsidRPr="00B87DD1">
        <w:rPr>
          <w:b/>
          <w:i/>
        </w:rPr>
        <w:t>▌</w:t>
      </w:r>
      <w:r w:rsidRPr="00B87DD1">
        <w:rPr>
          <w:b/>
        </w:rPr>
        <w:t xml:space="preserve"> [tark. 34]</w:t>
      </w:r>
    </w:p>
    <w:bookmarkEnd w:id="61"/>
    <w:p w:rsidR="00FF7B51" w:rsidRPr="00B87DD1" w:rsidRDefault="00FF7B51" w:rsidP="00FF7B51">
      <w:pPr>
        <w:widowControl/>
        <w:spacing w:after="200" w:line="276" w:lineRule="auto"/>
        <w:rPr>
          <w:rFonts w:eastAsia="Calibri"/>
          <w:b/>
          <w:szCs w:val="22"/>
          <w:u w:val="single"/>
        </w:rPr>
      </w:pPr>
      <w:r w:rsidRPr="00B87DD1">
        <w:br w:type="page"/>
      </w:r>
    </w:p>
    <w:p w:rsidR="00FF7B51" w:rsidRPr="00B87DD1" w:rsidRDefault="00FF7B51" w:rsidP="00FF7B51">
      <w:pPr>
        <w:keepNext/>
        <w:widowControl/>
        <w:suppressAutoHyphens/>
        <w:spacing w:before="120" w:after="120" w:line="360" w:lineRule="auto"/>
        <w:ind w:right="140"/>
        <w:jc w:val="center"/>
        <w:outlineLvl w:val="1"/>
        <w:rPr>
          <w:bCs/>
          <w:i/>
          <w:szCs w:val="26"/>
        </w:rPr>
      </w:pPr>
      <w:r w:rsidRPr="00B87DD1">
        <w:lastRenderedPageBreak/>
        <w:t>10 artikla</w:t>
      </w:r>
      <w:r w:rsidR="00184958" w:rsidRPr="00B87DD1">
        <w:br/>
      </w:r>
      <w:r w:rsidRPr="00B87DD1">
        <w:rPr>
          <w:i/>
        </w:rPr>
        <w:t>Metsien ekosysteemien ennallistaminen</w:t>
      </w:r>
    </w:p>
    <w:p w:rsidR="00FF7B51" w:rsidRPr="00B87DD1" w:rsidRDefault="00FF7B51" w:rsidP="00FF7B51">
      <w:pPr>
        <w:widowControl/>
        <w:suppressAutoHyphens/>
        <w:spacing w:before="120" w:after="120" w:line="360" w:lineRule="auto"/>
        <w:ind w:left="567" w:right="140" w:hanging="567"/>
        <w:rPr>
          <w:rFonts w:eastAsia="Calibri"/>
          <w:szCs w:val="22"/>
        </w:rPr>
      </w:pPr>
      <w:r w:rsidRPr="00B87DD1">
        <w:t>1.</w:t>
      </w:r>
      <w:r w:rsidRPr="00B87DD1">
        <w:tab/>
        <w:t>Jäsenvaltioiden on toteutettava ennallistamistoimenpiteet, jotka ovat tarpeen metsien ekosysteemien luonnon monimuotoisuuden parantamiseksi niiden alueiden lisäksi, joihin sovelletaan 4 artiklan 1, 2 ja 3 kohdan mukaisia ennallistamistoimenpiteitä.</w:t>
      </w:r>
    </w:p>
    <w:p w:rsidR="00FF7B51" w:rsidRPr="00B87DD1" w:rsidRDefault="00FF7B51" w:rsidP="00FF7B51">
      <w:pPr>
        <w:widowControl/>
        <w:suppressAutoHyphens/>
        <w:spacing w:before="120" w:after="120" w:line="360" w:lineRule="auto"/>
        <w:ind w:left="567" w:right="140" w:hanging="567"/>
        <w:rPr>
          <w:szCs w:val="22"/>
        </w:rPr>
      </w:pPr>
      <w:r w:rsidRPr="00B87DD1">
        <w:t>2.</w:t>
      </w:r>
      <w:r w:rsidRPr="00B87DD1">
        <w:tab/>
        <w:t xml:space="preserve">Jäsenvaltioiden on saavutettava kansallisella tasolla metsien ekosysteemeissä kunkin jäljempänä luetellun ja liitteessä VI tarkemmin täsmennetyn indikaattorin kasvava suuntaus mitattuna tämän asetuksen voimaantulopäivän ja 31 päivän joulukuuta 2030 välisenä aikana ja sen jälkeen joka </w:t>
      </w:r>
      <w:r w:rsidRPr="00B87DD1">
        <w:rPr>
          <w:b/>
          <w:i/>
        </w:rPr>
        <w:t>kuudes</w:t>
      </w:r>
      <w:r w:rsidRPr="00B87DD1">
        <w:t xml:space="preserve"> vuosi, kunnes 11 artiklan 3 kohdan mukaisesti määritetyt tyydyttävät tasot saavutetaan:</w:t>
      </w:r>
    </w:p>
    <w:p w:rsidR="00FF7B51" w:rsidRPr="00B87DD1" w:rsidRDefault="004175A4" w:rsidP="00FF7B51">
      <w:pPr>
        <w:widowControl/>
        <w:suppressAutoHyphens/>
        <w:spacing w:before="120" w:after="120" w:line="360" w:lineRule="auto"/>
        <w:ind w:left="1134" w:right="140" w:hanging="567"/>
        <w:jc w:val="both"/>
        <w:rPr>
          <w:rFonts w:eastAsia="Calibri"/>
          <w:b/>
          <w:szCs w:val="22"/>
        </w:rPr>
      </w:pPr>
      <w:r w:rsidRPr="00B87DD1">
        <w:t>▌</w:t>
      </w:r>
      <w:r w:rsidRPr="00B87DD1">
        <w:rPr>
          <w:b/>
        </w:rPr>
        <w:t xml:space="preserve"> [tark. 129/rev1]</w:t>
      </w:r>
    </w:p>
    <w:p w:rsidR="00FF7B51" w:rsidRPr="00B87DD1" w:rsidRDefault="004175A4" w:rsidP="00FF7B51">
      <w:pPr>
        <w:widowControl/>
        <w:suppressAutoHyphens/>
        <w:spacing w:before="120" w:after="120" w:line="360" w:lineRule="auto"/>
        <w:ind w:left="1134" w:right="140" w:hanging="567"/>
        <w:jc w:val="both"/>
        <w:rPr>
          <w:rFonts w:eastAsia="Calibri"/>
          <w:b/>
          <w:szCs w:val="22"/>
        </w:rPr>
      </w:pPr>
      <w:r w:rsidRPr="00B87DD1">
        <w:t>▌</w:t>
      </w:r>
      <w:r w:rsidRPr="00B87DD1">
        <w:rPr>
          <w:b/>
        </w:rPr>
        <w:t xml:space="preserve"> [tark. 130/rev1]</w:t>
      </w:r>
    </w:p>
    <w:p w:rsidR="00FF7B51" w:rsidRPr="00B87DD1" w:rsidRDefault="00FF7B51" w:rsidP="00FF7B51">
      <w:pPr>
        <w:widowControl/>
        <w:suppressAutoHyphens/>
        <w:spacing w:before="120" w:after="120" w:line="360" w:lineRule="auto"/>
        <w:ind w:left="1134" w:right="140" w:hanging="567"/>
        <w:jc w:val="both"/>
        <w:rPr>
          <w:rFonts w:eastAsia="Calibri"/>
          <w:szCs w:val="22"/>
        </w:rPr>
      </w:pPr>
      <w:r w:rsidRPr="00B87DD1">
        <w:rPr>
          <w:rFonts w:ascii="Arial" w:hAnsi="Arial"/>
          <w:snapToGrid w:val="0"/>
        </w:rPr>
        <w:t>▌</w:t>
      </w:r>
      <w:r w:rsidRPr="00B87DD1">
        <w:t xml:space="preserve"> </w:t>
      </w:r>
    </w:p>
    <w:p w:rsidR="00FF7B51" w:rsidRPr="00B87DD1" w:rsidRDefault="00FF7B51" w:rsidP="00FF7B51">
      <w:pPr>
        <w:widowControl/>
        <w:suppressAutoHyphens/>
        <w:spacing w:before="120" w:after="120" w:line="360" w:lineRule="auto"/>
        <w:ind w:left="1134" w:right="140" w:hanging="567"/>
        <w:jc w:val="both"/>
        <w:rPr>
          <w:rFonts w:eastAsia="Calibri"/>
          <w:szCs w:val="22"/>
        </w:rPr>
      </w:pPr>
      <w:r w:rsidRPr="00B87DD1">
        <w:rPr>
          <w:rFonts w:ascii="Arial" w:hAnsi="Arial"/>
          <w:snapToGrid w:val="0"/>
        </w:rPr>
        <w:t>▌</w:t>
      </w:r>
      <w:r w:rsidRPr="00B87DD1">
        <w:t xml:space="preserve"> </w:t>
      </w:r>
    </w:p>
    <w:p w:rsidR="00FF7B51" w:rsidRPr="00B87DD1" w:rsidRDefault="00FF7B51" w:rsidP="00FF7B51">
      <w:pPr>
        <w:widowControl/>
        <w:suppressAutoHyphens/>
        <w:spacing w:before="120" w:after="120" w:line="360" w:lineRule="auto"/>
        <w:ind w:left="1134" w:right="140" w:hanging="567"/>
        <w:jc w:val="both"/>
        <w:rPr>
          <w:rFonts w:eastAsia="Calibri"/>
          <w:szCs w:val="22"/>
        </w:rPr>
      </w:pPr>
      <w:r w:rsidRPr="00B87DD1">
        <w:t>c)</w:t>
      </w:r>
      <w:r w:rsidRPr="00B87DD1">
        <w:tab/>
        <w:t>yleisten metsälintujen indeksi;</w:t>
      </w:r>
    </w:p>
    <w:p w:rsidR="00FF7B51" w:rsidRPr="00B87DD1" w:rsidRDefault="00FF7B51" w:rsidP="00FF7B51">
      <w:pPr>
        <w:widowControl/>
        <w:suppressAutoHyphens/>
        <w:spacing w:before="120" w:after="120" w:line="360" w:lineRule="auto"/>
        <w:ind w:left="1134" w:right="140" w:hanging="567"/>
        <w:jc w:val="both"/>
        <w:rPr>
          <w:rFonts w:eastAsia="Calibri"/>
          <w:szCs w:val="22"/>
        </w:rPr>
      </w:pPr>
      <w:r w:rsidRPr="00B87DD1">
        <w:rPr>
          <w:rFonts w:ascii="Arial" w:hAnsi="Arial"/>
          <w:snapToGrid w:val="0"/>
        </w:rPr>
        <w:t>▌</w:t>
      </w:r>
      <w:r w:rsidRPr="00B87DD1">
        <w:t xml:space="preserve"> </w:t>
      </w:r>
    </w:p>
    <w:p w:rsidR="00FF7B51" w:rsidRPr="00B87DD1" w:rsidRDefault="00FF7B51" w:rsidP="00FF7B51">
      <w:pPr>
        <w:widowControl/>
        <w:spacing w:after="200" w:line="276" w:lineRule="auto"/>
        <w:rPr>
          <w:rFonts w:eastAsia="Calibri"/>
          <w:szCs w:val="22"/>
        </w:rPr>
      </w:pPr>
      <w:r w:rsidRPr="00B87DD1">
        <w:br w:type="page"/>
      </w:r>
    </w:p>
    <w:p w:rsidR="00FF7B51" w:rsidRPr="00B87DD1" w:rsidRDefault="00FF7B51" w:rsidP="00FF7B51">
      <w:pPr>
        <w:widowControl/>
        <w:suppressAutoHyphens/>
        <w:spacing w:before="120" w:after="120" w:line="360" w:lineRule="auto"/>
        <w:ind w:left="567" w:right="140" w:hanging="567"/>
        <w:rPr>
          <w:b/>
          <w:i/>
          <w:szCs w:val="22"/>
        </w:rPr>
      </w:pPr>
      <w:r w:rsidRPr="00B87DD1">
        <w:rPr>
          <w:b/>
          <w:i/>
          <w:sz w:val="23"/>
        </w:rPr>
        <w:lastRenderedPageBreak/>
        <w:t>2 a.</w:t>
      </w:r>
      <w:r w:rsidRPr="00B87DD1">
        <w:rPr>
          <w:b/>
          <w:i/>
          <w:sz w:val="23"/>
        </w:rPr>
        <w:tab/>
      </w:r>
      <w:r w:rsidRPr="00B87DD1">
        <w:rPr>
          <w:b/>
          <w:i/>
        </w:rPr>
        <w:t>Jäsenvaltioiden on saavutettava kansallisella tasolla kasvava suuntaus kolmella seuraavista metsien ekosysteemejä kuvaavista indikaattoreista, jotka esitetään tarkemmin liitteessä VI ja jotka valitaan sen perusteella, miten niillä pystytään osoittamaan metsien ekosysteemien luonnon monimuotoisuuden paraneminen asianomaisessa jäsenvaltiossa. Suuntaus on mitattava tämän asetuksen voimaantulopäivän ja 31 päivän joulukuuta 2030 väliseltä ajanjaksolta alkaen ja sen jälkeen joka kuudes vuosi, kunnes 11 artiklan 3 kohdan mukaisesti määritetyt tyydyttävät tasot saavutetaan:</w:t>
      </w:r>
    </w:p>
    <w:p w:rsidR="00FF7B51" w:rsidRPr="00B87DD1" w:rsidRDefault="00FF7B51" w:rsidP="00FF7B51">
      <w:pPr>
        <w:widowControl/>
        <w:suppressAutoHyphens/>
        <w:spacing w:before="120" w:after="120" w:line="360" w:lineRule="auto"/>
        <w:ind w:left="1134" w:right="140" w:hanging="567"/>
        <w:jc w:val="both"/>
        <w:rPr>
          <w:rFonts w:eastAsia="Calibri"/>
          <w:b/>
          <w:i/>
          <w:szCs w:val="22"/>
        </w:rPr>
      </w:pPr>
      <w:bookmarkStart w:id="62" w:name="_Hlk128839216"/>
      <w:r w:rsidRPr="00B87DD1">
        <w:t>a)</w:t>
      </w:r>
      <w:r w:rsidRPr="00B87DD1">
        <w:rPr>
          <w:b/>
          <w:i/>
        </w:rPr>
        <w:tab/>
        <w:t xml:space="preserve">eri-ikäisrakenteisten metsien </w:t>
      </w:r>
      <w:r w:rsidRPr="00B87DD1">
        <w:rPr>
          <w:rFonts w:eastAsia="Calibri"/>
          <w:b/>
          <w:i/>
          <w:szCs w:val="22"/>
        </w:rPr>
        <w:t>osuus</w:t>
      </w:r>
      <w:r w:rsidRPr="00B87DD1">
        <w:rPr>
          <w:b/>
          <w:i/>
        </w:rPr>
        <w:t>;</w:t>
      </w:r>
    </w:p>
    <w:p w:rsidR="00FF7B51" w:rsidRPr="00B87DD1" w:rsidRDefault="00FF7B51" w:rsidP="00FF7B51">
      <w:pPr>
        <w:widowControl/>
        <w:suppressAutoHyphens/>
        <w:spacing w:before="120" w:after="120" w:line="360" w:lineRule="auto"/>
        <w:ind w:left="1134" w:right="140" w:hanging="567"/>
        <w:jc w:val="both"/>
        <w:rPr>
          <w:rFonts w:eastAsia="Calibri"/>
          <w:b/>
          <w:i/>
          <w:szCs w:val="22"/>
        </w:rPr>
      </w:pPr>
      <w:r w:rsidRPr="00B87DD1">
        <w:rPr>
          <w:b/>
          <w:i/>
        </w:rPr>
        <w:t>b)</w:t>
      </w:r>
      <w:r w:rsidRPr="00B87DD1">
        <w:rPr>
          <w:b/>
          <w:i/>
        </w:rPr>
        <w:tab/>
        <w:t xml:space="preserve">metsien kytkeytyneisyys; </w:t>
      </w:r>
    </w:p>
    <w:p w:rsidR="00FF7B51" w:rsidRPr="00B87DD1" w:rsidRDefault="00FF7B51" w:rsidP="00FF7B51">
      <w:pPr>
        <w:widowControl/>
        <w:suppressAutoHyphens/>
        <w:spacing w:before="120" w:after="120" w:line="360" w:lineRule="auto"/>
        <w:ind w:left="1134" w:right="140" w:hanging="567"/>
        <w:jc w:val="both"/>
        <w:rPr>
          <w:rFonts w:eastAsia="Calibri"/>
          <w:b/>
          <w:i/>
          <w:szCs w:val="22"/>
        </w:rPr>
      </w:pPr>
      <w:r w:rsidRPr="00B87DD1">
        <w:rPr>
          <w:b/>
          <w:i/>
        </w:rPr>
        <w:t>c)</w:t>
      </w:r>
      <w:r w:rsidRPr="00B87DD1">
        <w:rPr>
          <w:b/>
          <w:i/>
        </w:rPr>
        <w:tab/>
        <w:t>orgaanisen hiilen määrä;</w:t>
      </w:r>
    </w:p>
    <w:bookmarkEnd w:id="62"/>
    <w:p w:rsidR="00FF7B51" w:rsidRPr="00B87DD1" w:rsidRDefault="00FF7B51" w:rsidP="00184958">
      <w:pPr>
        <w:widowControl/>
        <w:suppressAutoHyphens/>
        <w:spacing w:before="120" w:after="120" w:line="360" w:lineRule="auto"/>
        <w:ind w:left="1134" w:right="140" w:hanging="567"/>
        <w:jc w:val="both"/>
        <w:rPr>
          <w:rFonts w:eastAsia="Calibri"/>
          <w:b/>
          <w:i/>
          <w:color w:val="000000"/>
          <w:szCs w:val="24"/>
        </w:rPr>
      </w:pPr>
      <w:r w:rsidRPr="00B87DD1">
        <w:rPr>
          <w:b/>
          <w:i/>
          <w:color w:val="000000"/>
          <w:sz w:val="23"/>
        </w:rPr>
        <w:t>d)</w:t>
      </w:r>
      <w:r w:rsidRPr="00B87DD1">
        <w:rPr>
          <w:b/>
          <w:i/>
          <w:color w:val="000000"/>
          <w:sz w:val="23"/>
        </w:rPr>
        <w:tab/>
      </w:r>
      <w:r w:rsidRPr="00B87DD1">
        <w:rPr>
          <w:b/>
          <w:i/>
          <w:color w:val="000000"/>
        </w:rPr>
        <w:t>sellaisen metsän osuus, jossa valtalajina ovat kotoperäiset puulajit;</w:t>
      </w:r>
    </w:p>
    <w:p w:rsidR="00FF7B51" w:rsidRPr="00B87DD1" w:rsidRDefault="00FF7B51" w:rsidP="00184958">
      <w:pPr>
        <w:widowControl/>
        <w:suppressAutoHyphens/>
        <w:spacing w:before="120" w:after="120" w:line="360" w:lineRule="auto"/>
        <w:ind w:left="1134" w:right="140" w:hanging="567"/>
        <w:jc w:val="both"/>
        <w:rPr>
          <w:rFonts w:eastAsia="Calibri"/>
          <w:b/>
          <w:i/>
          <w:color w:val="000000"/>
          <w:sz w:val="23"/>
          <w:szCs w:val="23"/>
        </w:rPr>
      </w:pPr>
      <w:r w:rsidRPr="00B87DD1">
        <w:rPr>
          <w:b/>
          <w:i/>
          <w:color w:val="000000"/>
          <w:sz w:val="23"/>
        </w:rPr>
        <w:t>e)</w:t>
      </w:r>
      <w:r w:rsidRPr="00B87DD1">
        <w:rPr>
          <w:b/>
          <w:i/>
          <w:color w:val="000000"/>
          <w:sz w:val="23"/>
        </w:rPr>
        <w:tab/>
        <w:t>puulajien monimuotoisuus.</w:t>
      </w:r>
    </w:p>
    <w:p w:rsidR="00FF7B51" w:rsidRPr="00B87DD1" w:rsidRDefault="00FF7B51" w:rsidP="00FF7B51">
      <w:pPr>
        <w:widowControl/>
        <w:suppressAutoHyphens/>
        <w:spacing w:before="120" w:after="120" w:line="360" w:lineRule="auto"/>
        <w:ind w:left="567" w:right="140" w:hanging="567"/>
        <w:rPr>
          <w:rFonts w:eastAsia="Calibri"/>
          <w:b/>
          <w:i/>
          <w:szCs w:val="22"/>
        </w:rPr>
      </w:pPr>
      <w:r w:rsidRPr="00B87DD1">
        <w:rPr>
          <w:b/>
          <w:i/>
        </w:rPr>
        <w:t>3.</w:t>
      </w:r>
      <w:r w:rsidRPr="00B87DD1">
        <w:rPr>
          <w:b/>
          <w:i/>
        </w:rPr>
        <w:tab/>
        <w:t>Edellä 2 ja 2 a kohdassa säädettyjen velvoitteiden täyttämättä jättäminen on perusteltua, jos se johtuu</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a)</w:t>
      </w:r>
      <w:r w:rsidRPr="00B87DD1">
        <w:rPr>
          <w:b/>
          <w:i/>
        </w:rPr>
        <w:tab/>
        <w:t>laajamittaisesta ylivoimaisesta esteestä, mukaan lukien luonnonkatastrofit, erityisesti suunnittelemattomat ja hallitsemattomat maastopalot; tai</w:t>
      </w:r>
    </w:p>
    <w:p w:rsidR="00FF7B51" w:rsidRPr="00B87DD1" w:rsidRDefault="00FF7B51" w:rsidP="00FF7B51">
      <w:pPr>
        <w:widowControl/>
        <w:suppressAutoHyphens/>
        <w:spacing w:before="120" w:after="120" w:line="360" w:lineRule="auto"/>
        <w:ind w:left="1134" w:right="140" w:hanging="567"/>
        <w:rPr>
          <w:rFonts w:eastAsia="Calibri"/>
          <w:b/>
          <w:i/>
          <w:szCs w:val="22"/>
        </w:rPr>
      </w:pPr>
      <w:r w:rsidRPr="00B87DD1">
        <w:rPr>
          <w:b/>
          <w:i/>
        </w:rPr>
        <w:t>b)</w:t>
      </w:r>
      <w:r w:rsidRPr="00B87DD1">
        <w:rPr>
          <w:b/>
          <w:i/>
        </w:rPr>
        <w:tab/>
        <w:t>elinympäristöjen väistämättömistä muutoksista, jotka johtuvat suoraan ilmastonmuutoksesta.</w:t>
      </w:r>
    </w:p>
    <w:p w:rsidR="00FF7B51" w:rsidRPr="00B87DD1" w:rsidRDefault="00FF7B51" w:rsidP="00FF7B51">
      <w:pPr>
        <w:widowControl/>
        <w:spacing w:after="200" w:line="276" w:lineRule="auto"/>
      </w:pPr>
      <w:r w:rsidRPr="00B87DD1">
        <w:br w:type="page"/>
      </w:r>
    </w:p>
    <w:p w:rsidR="004175A4" w:rsidRPr="00B87DD1" w:rsidRDefault="004175A4" w:rsidP="00184958">
      <w:pPr>
        <w:widowControl/>
        <w:spacing w:before="120" w:after="120" w:line="360" w:lineRule="auto"/>
        <w:jc w:val="center"/>
        <w:rPr>
          <w:b/>
          <w:i/>
        </w:rPr>
      </w:pPr>
      <w:r w:rsidRPr="00B87DD1">
        <w:rPr>
          <w:b/>
          <w:i/>
        </w:rPr>
        <w:lastRenderedPageBreak/>
        <w:t>10 a artikla</w:t>
      </w:r>
      <w:r w:rsidRPr="00B87DD1">
        <w:rPr>
          <w:b/>
          <w:i/>
        </w:rPr>
        <w:br/>
        <w:t>Kolmen miljardin uuden puun istuttaminen</w:t>
      </w:r>
    </w:p>
    <w:p w:rsidR="004175A4" w:rsidRPr="00B87DD1" w:rsidRDefault="004175A4" w:rsidP="00184958">
      <w:pPr>
        <w:widowControl/>
        <w:spacing w:before="120" w:after="120" w:line="360" w:lineRule="auto"/>
        <w:ind w:left="720" w:hanging="720"/>
        <w:rPr>
          <w:b/>
          <w:i/>
        </w:rPr>
      </w:pPr>
      <w:r w:rsidRPr="00B87DD1">
        <w:rPr>
          <w:b/>
          <w:i/>
        </w:rPr>
        <w:t>1.</w:t>
      </w:r>
      <w:r w:rsidRPr="00B87DD1">
        <w:rPr>
          <w:b/>
          <w:i/>
        </w:rPr>
        <w:tab/>
        <w:t>Kun jäsenvaltiot määrittävät ja toteuttavat ennallistamistoimenpiteitä 4, 6, 9 ja 10 artiklassa säädettyjen tavoitteiden ja velvoitteiden täyttämiseksi, jäsenvaltioiden on edistettävä unionin tavoitteen saavuttamista eli vähintään kolmen miljardin uuden puun istuttamista vuoteen 2030 mennessä.</w:t>
      </w:r>
    </w:p>
    <w:p w:rsidR="004175A4" w:rsidRPr="00B87DD1" w:rsidRDefault="004175A4" w:rsidP="00184958">
      <w:pPr>
        <w:widowControl/>
        <w:spacing w:before="120" w:after="120" w:line="360" w:lineRule="auto"/>
        <w:ind w:left="720" w:hanging="720"/>
        <w:rPr>
          <w:b/>
        </w:rPr>
      </w:pPr>
      <w:r w:rsidRPr="00B87DD1">
        <w:rPr>
          <w:b/>
          <w:i/>
        </w:rPr>
        <w:t>2.</w:t>
      </w:r>
      <w:r w:rsidRPr="00B87DD1">
        <w:rPr>
          <w:b/>
          <w:i/>
        </w:rPr>
        <w:tab/>
        <w:t>Jäsenvaltioiden on varmistettava, että 1 kohdassa asetettu tavoite saavutetaan noudattaen täysimääräisesti ekologisia periaatteita, varmistaen lajien monimuotoisuus ja asettaen etusijalle kotoperäiset puulajit, lukuun ottamatta hyvin erityistapauksissa ja -olosuhteissa kotoperäisiä lajeja, jotka ovat sopeutuneet paikalliseen maaperään, ilmastoon ja ekologisiin olosuhteisiin, sekä elinympäristön olosuhteita, jotka osaltaan lisäävät kykyä sietää ilmastonmuutosta. Tavoitteen saavuttamiseksi toteutettavilla toimenpiteillä on pyrittävä parantamaan yhteyksiä, ja niiden on perustuttava metsittämiseen, kestävään uudelleenmetsittämiseen ja kaupunkialueiden viherryttämiseen.</w:t>
      </w:r>
      <w:r w:rsidRPr="00B87DD1">
        <w:rPr>
          <w:b/>
        </w:rPr>
        <w:t xml:space="preserve"> </w:t>
      </w:r>
    </w:p>
    <w:p w:rsidR="004175A4" w:rsidRPr="00B87DD1" w:rsidRDefault="004175A4" w:rsidP="00184958">
      <w:pPr>
        <w:widowControl/>
        <w:spacing w:before="120" w:after="120" w:line="360" w:lineRule="auto"/>
        <w:ind w:left="720" w:hanging="720"/>
        <w:rPr>
          <w:rFonts w:eastAsia="Calibri"/>
          <w:b/>
          <w:szCs w:val="22"/>
          <w:u w:val="single"/>
        </w:rPr>
      </w:pPr>
      <w:r w:rsidRPr="00B87DD1">
        <w:rPr>
          <w:b/>
          <w:i/>
        </w:rPr>
        <w:t>3.</w:t>
      </w:r>
      <w:r w:rsidRPr="00B87DD1">
        <w:rPr>
          <w:b/>
          <w:i/>
        </w:rPr>
        <w:tab/>
        <w:t xml:space="preserve">Korjuuta varten istutettuja puita ei oteta huomioon tämän artiklan 1 kohdassa asetetun tavoitteen osalta. </w:t>
      </w:r>
      <w:r w:rsidRPr="00B87DD1">
        <w:rPr>
          <w:b/>
        </w:rPr>
        <w:t>[tark. 80]</w:t>
      </w:r>
    </w:p>
    <w:p w:rsidR="004175A4" w:rsidRPr="00B87DD1" w:rsidRDefault="004175A4" w:rsidP="00184958">
      <w:pPr>
        <w:widowControl/>
        <w:spacing w:before="120" w:after="120" w:line="360" w:lineRule="auto"/>
        <w:rPr>
          <w:b/>
        </w:rPr>
      </w:pPr>
      <w:r w:rsidRPr="00B87DD1">
        <w:br w:type="page"/>
      </w:r>
    </w:p>
    <w:p w:rsidR="00FF7B51" w:rsidRPr="00B87DD1" w:rsidRDefault="00FF7B51" w:rsidP="00FF7B51">
      <w:pPr>
        <w:widowControl/>
        <w:suppressAutoHyphens/>
        <w:spacing w:line="360" w:lineRule="auto"/>
        <w:jc w:val="center"/>
        <w:rPr>
          <w:rFonts w:eastAsia="Calibri"/>
          <w:szCs w:val="22"/>
        </w:rPr>
      </w:pPr>
      <w:r w:rsidRPr="00B87DD1">
        <w:lastRenderedPageBreak/>
        <w:t>III LUKU</w:t>
      </w:r>
      <w:r w:rsidRPr="00B87DD1">
        <w:br/>
        <w:t>KANSALLISET ENNALLISTAMISSUUNNITELMAT</w:t>
      </w:r>
    </w:p>
    <w:p w:rsidR="00FF7B51" w:rsidRPr="00B87DD1" w:rsidRDefault="00FF7B51" w:rsidP="00FF7B51">
      <w:pPr>
        <w:keepNext/>
        <w:widowControl/>
        <w:suppressAutoHyphens/>
        <w:spacing w:before="360" w:after="120" w:line="360" w:lineRule="auto"/>
        <w:ind w:right="-1"/>
        <w:jc w:val="center"/>
        <w:outlineLvl w:val="1"/>
        <w:rPr>
          <w:b/>
          <w:bCs/>
          <w:szCs w:val="26"/>
        </w:rPr>
      </w:pPr>
      <w:r w:rsidRPr="00B87DD1">
        <w:t>11 artikla</w:t>
      </w:r>
      <w:r w:rsidRPr="00B87DD1">
        <w:rPr>
          <w:b/>
        </w:rPr>
        <w:br/>
      </w:r>
      <w:r w:rsidRPr="00B87DD1">
        <w:rPr>
          <w:i/>
        </w:rPr>
        <w:t>Kansallisten ennallistamissuunnitelmien laatiminen</w:t>
      </w:r>
      <w:r w:rsidRPr="00B87DD1">
        <w:rPr>
          <w:b/>
        </w:rPr>
        <w:t xml:space="preserve"> </w:t>
      </w:r>
    </w:p>
    <w:p w:rsidR="00FF7B51" w:rsidRPr="00B87DD1" w:rsidRDefault="00FF7B51" w:rsidP="00FF7B51">
      <w:pPr>
        <w:widowControl/>
        <w:suppressAutoHyphens/>
        <w:spacing w:before="120" w:after="120" w:line="360" w:lineRule="auto"/>
        <w:ind w:left="567" w:right="-1" w:hanging="567"/>
        <w:rPr>
          <w:rFonts w:eastAsia="Calibri"/>
          <w:b/>
          <w:szCs w:val="22"/>
        </w:rPr>
      </w:pPr>
      <w:r w:rsidRPr="00B87DD1">
        <w:t>1.</w:t>
      </w:r>
      <w:r w:rsidRPr="00B87DD1">
        <w:tab/>
        <w:t>Jäsenvaltioiden on laadittava kansalliset ennallistamissuunnitelmat ja toteutettava tarvittava alustava seuranta ja tutkimus niiden ennallistamistoimenpiteiden määrittämiseksi, jotka ovat tarpeen</w:t>
      </w:r>
      <w:r w:rsidR="008A1EE3" w:rsidRPr="00B87DD1">
        <w:t xml:space="preserve"> </w:t>
      </w:r>
      <w:r w:rsidR="008A1EE3" w:rsidRPr="00B87DD1">
        <w:rPr>
          <w:b/>
          <w:i/>
        </w:rPr>
        <w:t>edistämään</w:t>
      </w:r>
      <w:r w:rsidRPr="00B87DD1">
        <w:t xml:space="preserve"> 4–10 artiklassa säädettyjen tavoitteiden ja velvoitteiden </w:t>
      </w:r>
      <w:r w:rsidR="008A1EE3" w:rsidRPr="00B87DD1">
        <w:rPr>
          <w:b/>
          <w:i/>
        </w:rPr>
        <w:t>täyttämistä</w:t>
      </w:r>
      <w:r w:rsidRPr="00B87DD1">
        <w:t>, ottaen huomioon uusin tieteellinen näyttö</w:t>
      </w:r>
      <w:r w:rsidR="008A1EE3" w:rsidRPr="00B87DD1">
        <w:rPr>
          <w:b/>
          <w:i/>
        </w:rPr>
        <w:t>, paikallisyhteisöjen tarpeet, myös kaupunkiyhteisöjen, kaikkien kustannustehokkaimmat toimenpiteet ja niiden sosioekonominen vaikutus.</w:t>
      </w:r>
      <w:r w:rsidR="008A1EE3" w:rsidRPr="00B87DD1">
        <w:t xml:space="preserve"> </w:t>
      </w:r>
      <w:r w:rsidR="008A1EE3" w:rsidRPr="00B87DD1">
        <w:rPr>
          <w:b/>
          <w:i/>
        </w:rPr>
        <w:t>Sidosryhmien, myös maanomistajien ja maankäyttäjien, asianmukainen osallistuminen prosessin kaikkiin vaiheisiin on välttämätöntä</w:t>
      </w:r>
      <w:r w:rsidRPr="00B87DD1">
        <w:t>.</w:t>
      </w:r>
      <w:r w:rsidR="008A1EE3" w:rsidRPr="00B87DD1">
        <w:rPr>
          <w:b/>
        </w:rPr>
        <w:t xml:space="preserve"> [tark. 35]</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2.</w:t>
      </w:r>
      <w:r w:rsidRPr="00B87DD1">
        <w:tab/>
        <w:t xml:space="preserve">Jäsenvaltioiden on määritettävä määrällisesti alue, joka on ennallistettava 4 ja 5 artiklassa vahvistettujen ennallistamistavoitteiden saavuttamiseksi, ottaen huomioon 4 artiklan 1 kohdassa, 4 artiklan 2 kohdassa, 5 artiklan 1 kohdassa ja 5 artiklan 2 kohdassa tarkoitettujen luontotyyppien tila sekä </w:t>
      </w:r>
      <w:r w:rsidRPr="00B87DD1">
        <w:rPr>
          <w:rFonts w:ascii="Arial" w:hAnsi="Arial"/>
          <w:snapToGrid w:val="0"/>
        </w:rPr>
        <w:t>▌</w:t>
      </w:r>
      <w:r w:rsidRPr="00B87DD1">
        <w:t xml:space="preserve"> 4 artiklan 3 kohdassa ja 5 artiklan 3 kohdassa tarkoitettujen lajien elinympäristöjen laatu ja määrä. Määrällisen määrittelyn on perustuttava muun muassa seuraaviin tietoihin:</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a)</w:t>
      </w:r>
      <w:r w:rsidRPr="00B87DD1">
        <w:tab/>
        <w:t>kunkin luontotyypin osalta:</w:t>
      </w:r>
    </w:p>
    <w:p w:rsidR="00FF7B51" w:rsidRPr="00B87DD1" w:rsidRDefault="00FF7B51" w:rsidP="00FF7B51">
      <w:pPr>
        <w:widowControl/>
        <w:suppressAutoHyphens/>
        <w:spacing w:before="120" w:after="120" w:line="360" w:lineRule="auto"/>
        <w:ind w:left="1701" w:right="-1" w:hanging="567"/>
        <w:rPr>
          <w:rFonts w:eastAsia="Calibri"/>
          <w:szCs w:val="22"/>
        </w:rPr>
      </w:pPr>
      <w:r w:rsidRPr="00B87DD1">
        <w:t>i)</w:t>
      </w:r>
      <w:r w:rsidRPr="00B87DD1">
        <w:tab/>
        <w:t>luontotyypin kokonaispinta-ala ja kartta sen nykyisestä levinneisyydestä;</w:t>
      </w:r>
    </w:p>
    <w:p w:rsidR="00FF7B51" w:rsidRPr="00B87DD1" w:rsidRDefault="00FF7B51" w:rsidP="00FF7B51">
      <w:pPr>
        <w:widowControl/>
        <w:suppressAutoHyphens/>
        <w:spacing w:before="120" w:after="120" w:line="360" w:lineRule="auto"/>
        <w:ind w:left="1701" w:right="-1" w:hanging="567"/>
        <w:rPr>
          <w:rFonts w:eastAsia="Calibri"/>
          <w:szCs w:val="22"/>
        </w:rPr>
      </w:pPr>
      <w:r w:rsidRPr="00B87DD1">
        <w:t>ii)</w:t>
      </w:r>
      <w:r w:rsidRPr="00B87DD1">
        <w:tab/>
        <w:t>luontotyyppialue, jonka tila ei ole hyvä;</w:t>
      </w:r>
    </w:p>
    <w:p w:rsidR="00FF7B51" w:rsidRPr="00B87DD1" w:rsidRDefault="00FF7B51" w:rsidP="00FF7B51">
      <w:pPr>
        <w:widowControl/>
        <w:suppressAutoHyphens/>
        <w:spacing w:before="120" w:after="120" w:line="360" w:lineRule="auto"/>
        <w:ind w:left="1701" w:right="-1" w:hanging="567"/>
        <w:rPr>
          <w:rFonts w:eastAsia="Calibri"/>
          <w:szCs w:val="24"/>
        </w:rPr>
      </w:pPr>
      <w:r w:rsidRPr="00B87DD1">
        <w:t>iii)</w:t>
      </w:r>
      <w:r w:rsidRPr="00B87DD1">
        <w:tab/>
        <w:t xml:space="preserve">suotuisa viiteala, kun otetaan huomioon </w:t>
      </w:r>
      <w:r w:rsidRPr="00B87DD1">
        <w:rPr>
          <w:b/>
          <w:i/>
        </w:rPr>
        <w:t>kirjattu historiallinen levinneisyys</w:t>
      </w:r>
      <w:r w:rsidRPr="00B87DD1">
        <w:t xml:space="preserve"> ja ilmastonmuutoksesta johtuvat ympäristöolosuhteiden ennustetut muutokset;</w:t>
      </w:r>
    </w:p>
    <w:p w:rsidR="00FF7B51" w:rsidRPr="00B87DD1" w:rsidRDefault="00ED2FB3" w:rsidP="00FF7B51">
      <w:pPr>
        <w:widowControl/>
        <w:suppressAutoHyphens/>
        <w:spacing w:before="120" w:after="120" w:line="360" w:lineRule="auto"/>
        <w:ind w:left="1701" w:right="-1" w:hanging="567"/>
        <w:rPr>
          <w:rFonts w:eastAsia="Calibri"/>
          <w:b/>
          <w:szCs w:val="24"/>
        </w:rPr>
      </w:pPr>
      <w:r w:rsidRPr="00B87DD1">
        <w:t>▌</w:t>
      </w:r>
      <w:r w:rsidRPr="00B87DD1">
        <w:rPr>
          <w:b/>
        </w:rPr>
        <w:t xml:space="preserve"> [tark. 37]</w:t>
      </w:r>
    </w:p>
    <w:p w:rsidR="00FF7B51" w:rsidRPr="00B87DD1" w:rsidRDefault="00FF7B51" w:rsidP="00FF7B51">
      <w:pPr>
        <w:widowControl/>
        <w:suppressAutoHyphens/>
        <w:spacing w:before="120" w:after="120" w:line="360" w:lineRule="auto"/>
        <w:ind w:left="1134" w:right="-1" w:hanging="567"/>
        <w:rPr>
          <w:rFonts w:eastAsia="Calibri"/>
          <w:b/>
          <w:szCs w:val="22"/>
          <w:u w:val="single"/>
        </w:rPr>
      </w:pPr>
      <w:r w:rsidRPr="00B87DD1">
        <w:br w:type="page"/>
      </w:r>
      <w:r w:rsidRPr="00B87DD1">
        <w:lastRenderedPageBreak/>
        <w:t>b)</w:t>
      </w:r>
      <w:r w:rsidRPr="00B87DD1">
        <w:tab/>
        <w:t xml:space="preserve">lajien elinympäristöjen riittävä laatu ja määrä, joita niiden suotuisan suojelun tason saavuttaminen edellyttää, ottaen huomioon kyseisten elinympäristöjen </w:t>
      </w:r>
      <w:r w:rsidR="00FD3395" w:rsidRPr="00B87DD1">
        <w:rPr>
          <w:b/>
          <w:i/>
        </w:rPr>
        <w:t>kannalta</w:t>
      </w:r>
      <w:r w:rsidR="00FD3395" w:rsidRPr="00B87DD1">
        <w:t xml:space="preserve"> </w:t>
      </w:r>
      <w:r w:rsidRPr="00B87DD1">
        <w:t xml:space="preserve">parhaiten soveltuvat alueet, </w:t>
      </w:r>
      <w:r w:rsidR="00FD3395" w:rsidRPr="00B87DD1">
        <w:rPr>
          <w:b/>
          <w:i/>
        </w:rPr>
        <w:t>ottaen huomioon ilmastonmuutoksesta johtuvat muutokset ja maan roolit elintarvikkeiden tuotannossa</w:t>
      </w:r>
      <w:r w:rsidR="00FD3395" w:rsidRPr="00B87DD1">
        <w:t xml:space="preserve">, sekä </w:t>
      </w:r>
      <w:r w:rsidR="00FD3395" w:rsidRPr="00B87DD1">
        <w:rPr>
          <w:b/>
          <w:i/>
        </w:rPr>
        <w:t>elinympäristöjen</w:t>
      </w:r>
      <w:r w:rsidR="00FD3395" w:rsidRPr="00B87DD1">
        <w:t xml:space="preserve"> ja </w:t>
      </w:r>
      <w:r w:rsidR="00FD3395" w:rsidRPr="00B87DD1">
        <w:rPr>
          <w:b/>
          <w:i/>
        </w:rPr>
        <w:t>lajien kilpailevat tarpeet</w:t>
      </w:r>
      <w:r w:rsidR="00FD3395" w:rsidRPr="00B87DD1">
        <w:t>;</w:t>
      </w:r>
      <w:r w:rsidR="002B5528" w:rsidRPr="00B87DD1">
        <w:rPr>
          <w:b/>
        </w:rPr>
        <w:t xml:space="preserve"> [tark. 38]</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rPr>
          <w:b/>
          <w:i/>
        </w:rPr>
        <w:t>b a)</w:t>
      </w:r>
      <w:r w:rsidRPr="00B87DD1">
        <w:rPr>
          <w:b/>
          <w:i/>
        </w:rPr>
        <w:tab/>
        <w:t>jotta voidaan määrittää kunkin luontotyypin pinta-ala, joka on ennallistettava 4 artiklan 1 kohdan a alakohdassa ja 5 artiklan 1 kohdan a alakohdassa vahvistettujen ennallistamistavoitteiden saavuttamiseksi, a alakohdan ii alakohdassa tarkoitettuun luontotyyppialueeseen, jonka tila ei ole hyvä, saa sisältyä ainoastaan alueita, joiden tila on tiedossa</w:t>
      </w:r>
      <w:r w:rsidR="00FD3395" w:rsidRPr="00B87DD1">
        <w:rPr>
          <w:b/>
          <w:i/>
        </w:rPr>
        <w:t>;</w:t>
      </w:r>
      <w:r w:rsidRPr="00B87DD1">
        <w:rPr>
          <w:b/>
          <w:i/>
        </w:rPr>
        <w:t xml:space="preserve"> </w:t>
      </w:r>
    </w:p>
    <w:p w:rsidR="00FF7B51" w:rsidRPr="00B87DD1" w:rsidRDefault="00FF7B51" w:rsidP="00FF7B51">
      <w:pPr>
        <w:widowControl/>
        <w:suppressAutoHyphens/>
        <w:spacing w:before="120" w:after="120" w:line="360" w:lineRule="auto"/>
        <w:ind w:left="1134" w:right="-1" w:hanging="567"/>
        <w:rPr>
          <w:b/>
          <w:i/>
        </w:rPr>
      </w:pPr>
      <w:r w:rsidRPr="00B87DD1">
        <w:rPr>
          <w:b/>
          <w:i/>
        </w:rPr>
        <w:t>b b)</w:t>
      </w:r>
      <w:r w:rsidRPr="00B87DD1">
        <w:rPr>
          <w:b/>
          <w:i/>
        </w:rPr>
        <w:tab/>
        <w:t>jotta voidaan määrittää kunkin luontotyypin pinta-ala, joka on ennallistettava 4 artiklan 1 kohdan b alakohdassa ja 5 artiklan 1 kohdan b, c ja d alakohdassa vahvistettujen ennallistamistavoitteiden saavuttamiseksi, tämän kohdan a alakohdan ii alakohdassa tarkoitettuun luontotyyppialueeseen, jonka tila ei ole hyvä, saa sisältyä ainoastaan sellaisia alueita, joiden tila on tiedossa tai tilan on määrä olla tiedossa 4 artiklan 4 a kohdan ja 5 artiklan 4 a kohdan mukaisesti</w:t>
      </w:r>
      <w:r w:rsidR="00FD3395" w:rsidRPr="00B87DD1">
        <w:rPr>
          <w:b/>
          <w:i/>
        </w:rPr>
        <w:t>;</w:t>
      </w:r>
    </w:p>
    <w:p w:rsidR="00FD3395" w:rsidRPr="00B87DD1" w:rsidRDefault="00FD3395" w:rsidP="00FF7B51">
      <w:pPr>
        <w:widowControl/>
        <w:suppressAutoHyphens/>
        <w:spacing w:before="120" w:after="120" w:line="360" w:lineRule="auto"/>
        <w:ind w:left="1134" w:right="-1" w:hanging="567"/>
        <w:rPr>
          <w:b/>
        </w:rPr>
      </w:pPr>
      <w:r w:rsidRPr="00B87DD1">
        <w:rPr>
          <w:b/>
          <w:i/>
        </w:rPr>
        <w:t xml:space="preserve">b </w:t>
      </w:r>
      <w:r w:rsidR="00050179" w:rsidRPr="00B87DD1">
        <w:rPr>
          <w:b/>
          <w:i/>
        </w:rPr>
        <w:t>c</w:t>
      </w:r>
      <w:r w:rsidRPr="00B87DD1">
        <w:rPr>
          <w:b/>
          <w:i/>
        </w:rPr>
        <w:t>)</w:t>
      </w:r>
      <w:r w:rsidRPr="00B87DD1">
        <w:tab/>
      </w:r>
      <w:r w:rsidRPr="00B87DD1">
        <w:rPr>
          <w:b/>
          <w:i/>
        </w:rPr>
        <w:t>ennallistamisen toteutettavuus, kustannustehokkuus ja ristiriitaiset sosioekonomiset edut;</w:t>
      </w:r>
      <w:r w:rsidRPr="00B87DD1">
        <w:rPr>
          <w:b/>
        </w:rPr>
        <w:t xml:space="preserve"> [tark. 39</w:t>
      </w:r>
      <w:r w:rsidR="004435AF" w:rsidRPr="00B87DD1">
        <w:rPr>
          <w:b/>
        </w:rPr>
        <w:t>]</w:t>
      </w:r>
    </w:p>
    <w:p w:rsidR="00FD3395" w:rsidRPr="00B87DD1" w:rsidRDefault="00FD3395" w:rsidP="00FF7B51">
      <w:pPr>
        <w:widowControl/>
        <w:suppressAutoHyphens/>
        <w:spacing w:before="120" w:after="120" w:line="360" w:lineRule="auto"/>
        <w:ind w:left="1134" w:right="-1" w:hanging="567"/>
        <w:rPr>
          <w:rFonts w:eastAsia="Calibri"/>
          <w:b/>
          <w:szCs w:val="22"/>
        </w:rPr>
      </w:pPr>
      <w:r w:rsidRPr="00B87DD1">
        <w:rPr>
          <w:b/>
          <w:i/>
        </w:rPr>
        <w:t xml:space="preserve">b </w:t>
      </w:r>
      <w:r w:rsidR="00050179" w:rsidRPr="00B87DD1">
        <w:rPr>
          <w:b/>
          <w:i/>
        </w:rPr>
        <w:t>d</w:t>
      </w:r>
      <w:r w:rsidRPr="00B87DD1">
        <w:rPr>
          <w:b/>
          <w:i/>
        </w:rPr>
        <w:t>)</w:t>
      </w:r>
      <w:r w:rsidRPr="00B87DD1">
        <w:tab/>
      </w:r>
      <w:r w:rsidRPr="00B87DD1">
        <w:rPr>
          <w:b/>
          <w:i/>
        </w:rPr>
        <w:t>väestötiheys ja tilanpuute jäsenvaltiossa.</w:t>
      </w:r>
      <w:r w:rsidRPr="00B87DD1">
        <w:rPr>
          <w:b/>
        </w:rPr>
        <w:t xml:space="preserve"> [tark. 40]</w:t>
      </w:r>
    </w:p>
    <w:p w:rsidR="00050179" w:rsidRPr="00B87DD1" w:rsidRDefault="00050179" w:rsidP="00050179">
      <w:pPr>
        <w:widowControl/>
        <w:suppressAutoHyphens/>
        <w:spacing w:before="120" w:after="120" w:line="360" w:lineRule="auto"/>
        <w:ind w:left="567" w:right="-1" w:hanging="567"/>
        <w:rPr>
          <w:rFonts w:eastAsia="Calibri"/>
          <w:b/>
          <w:i/>
          <w:szCs w:val="22"/>
        </w:rPr>
      </w:pPr>
      <w:r w:rsidRPr="00B87DD1">
        <w:rPr>
          <w:b/>
          <w:i/>
        </w:rPr>
        <w:t>2 a.</w:t>
      </w:r>
      <w:r w:rsidRPr="00B87DD1">
        <w:rPr>
          <w:b/>
          <w:i/>
        </w:rPr>
        <w:tab/>
        <w:t xml:space="preserve">Tämän asetuksen täytäntöönpanoon liittyvien rahoitusvajeiden rahoitus on varmistettava käyttämättä rahoitusta YMP:n, YKP:n tai muiden maatalouden ja kalastuksen rahoitusvirroista. </w:t>
      </w:r>
      <w:r w:rsidRPr="00B87DD1">
        <w:rPr>
          <w:b/>
        </w:rPr>
        <w:t>[tark. 134]</w:t>
      </w:r>
      <w:r w:rsidRPr="00B87DD1">
        <w:rPr>
          <w:b/>
          <w:i/>
        </w:rPr>
        <w:t xml:space="preserve"> </w:t>
      </w:r>
    </w:p>
    <w:p w:rsidR="00FF7B51" w:rsidRPr="00B87DD1" w:rsidRDefault="00FF7B51" w:rsidP="00FF7B51">
      <w:pPr>
        <w:widowControl/>
        <w:suppressAutoHyphens/>
        <w:spacing w:before="120" w:after="120" w:line="360" w:lineRule="auto"/>
        <w:ind w:left="567" w:right="-1" w:hanging="567"/>
        <w:rPr>
          <w:rFonts w:eastAsia="Calibri"/>
          <w:b/>
          <w:szCs w:val="22"/>
          <w:u w:val="single"/>
          <w:lang w:eastAsia="en-US"/>
        </w:rPr>
      </w:pPr>
      <w:r w:rsidRPr="00B87DD1">
        <w:rPr>
          <w:b/>
          <w:i/>
        </w:rPr>
        <w:t xml:space="preserve">2 </w:t>
      </w:r>
      <w:r w:rsidR="00050179" w:rsidRPr="00B87DD1">
        <w:rPr>
          <w:b/>
          <w:i/>
        </w:rPr>
        <w:t>b</w:t>
      </w:r>
      <w:r w:rsidRPr="00B87DD1">
        <w:rPr>
          <w:b/>
          <w:i/>
        </w:rPr>
        <w:t>.</w:t>
      </w:r>
      <w:r w:rsidRPr="00B87DD1">
        <w:rPr>
          <w:b/>
          <w:i/>
        </w:rPr>
        <w:tab/>
        <w:t xml:space="preserve">Liitteessä II lueteltujen luontotyyppien ryhmän 7 osalta jäsenvaltioiden on vahvistettava 5 artiklan 1 kohdan d alakohdassa tarkoitettu prosenttiosuus. </w:t>
      </w:r>
    </w:p>
    <w:p w:rsidR="00FF7B51" w:rsidRPr="00B87DD1" w:rsidRDefault="00FF7B51" w:rsidP="00FF7B51">
      <w:pPr>
        <w:widowControl/>
        <w:suppressAutoHyphens/>
        <w:spacing w:before="120" w:after="120" w:line="360" w:lineRule="auto"/>
        <w:ind w:left="567" w:right="-1" w:hanging="567"/>
        <w:rPr>
          <w:rFonts w:eastAsia="Calibri"/>
          <w:b/>
          <w:i/>
          <w:szCs w:val="22"/>
        </w:rPr>
      </w:pPr>
      <w:r w:rsidRPr="00B87DD1">
        <w:br w:type="page"/>
      </w:r>
      <w:r w:rsidRPr="00B87DD1">
        <w:rPr>
          <w:b/>
          <w:i/>
        </w:rPr>
        <w:lastRenderedPageBreak/>
        <w:t xml:space="preserve">2 </w:t>
      </w:r>
      <w:r w:rsidR="00050179" w:rsidRPr="00B87DD1">
        <w:rPr>
          <w:b/>
          <w:i/>
        </w:rPr>
        <w:t>c</w:t>
      </w:r>
      <w:r w:rsidRPr="00B87DD1">
        <w:rPr>
          <w:b/>
          <w:i/>
        </w:rPr>
        <w:t>.</w:t>
      </w:r>
      <w:r w:rsidRPr="00B87DD1">
        <w:rPr>
          <w:b/>
          <w:i/>
        </w:rPr>
        <w:tab/>
        <w:t>Jäsenvaltioiden on määritettävä ja kartoitettava 6 artiklassa tarkoitetut kaupunkien ekosysteemialueet kaikkien kaupunkiensa, pienempien kaupunkiensa ja esikaupunkiensa osalta.</w:t>
      </w:r>
    </w:p>
    <w:p w:rsidR="00FF7B51" w:rsidRPr="00B87DD1" w:rsidRDefault="00FF7B51" w:rsidP="00FF7B51">
      <w:pPr>
        <w:widowControl/>
        <w:suppressAutoHyphens/>
        <w:spacing w:before="120" w:after="120" w:line="360" w:lineRule="auto"/>
        <w:ind w:left="567" w:right="-1"/>
        <w:rPr>
          <w:rFonts w:eastAsia="Calibri"/>
          <w:b/>
          <w:i/>
          <w:szCs w:val="22"/>
        </w:rPr>
      </w:pPr>
      <w:r w:rsidRPr="00B87DD1">
        <w:rPr>
          <w:b/>
          <w:i/>
        </w:rPr>
        <w:t>Kaupungin tai pienemmän kaupungin ja esikaupungin kaupunkien ekosysteemialueeseen kuuluvat:</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rPr>
          <w:b/>
          <w:i/>
        </w:rPr>
        <w:t>a)</w:t>
      </w:r>
      <w:r w:rsidRPr="00B87DD1">
        <w:rPr>
          <w:b/>
          <w:i/>
        </w:rPr>
        <w:tab/>
        <w:t>koko kaupunki tai pienempi kaupunki ja esikaupunki; tai</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rPr>
          <w:b/>
          <w:i/>
        </w:rPr>
        <w:t>b)</w:t>
      </w:r>
      <w:r w:rsidRPr="00B87DD1">
        <w:rPr>
          <w:b/>
          <w:i/>
        </w:rPr>
        <w:tab/>
        <w:t>kaupungin tai pienemmän kaupungin ja esikaupungin osat, mukaan lukien vähintään sen kaupunkikeskukset, kaupunkiklusterit ja, mikäli kyseessä oleva jäsenvaltio katsoo sen asianmukaiseksi, kaupungin lähiympäristö.</w:t>
      </w:r>
    </w:p>
    <w:p w:rsidR="00FF7B51" w:rsidRPr="00B87DD1" w:rsidRDefault="00FF7B51" w:rsidP="00FF7B51">
      <w:pPr>
        <w:widowControl/>
        <w:suppressAutoHyphens/>
        <w:spacing w:before="120" w:after="120" w:line="360" w:lineRule="auto"/>
        <w:ind w:left="567"/>
        <w:rPr>
          <w:rFonts w:eastAsia="Calibri"/>
          <w:i/>
          <w:szCs w:val="22"/>
        </w:rPr>
      </w:pPr>
      <w:r w:rsidRPr="00B87DD1">
        <w:rPr>
          <w:b/>
          <w:i/>
        </w:rPr>
        <w:t>Jäsenvaltiot voivat yhdistää kahden tai useamman vierekkäisen kaupungin ja/tai pienemmän kaupungin ja esikaupungin kaupunkien ekosysteemialueet yhdeksi näille kaupungeille ja/tai pienemmille kaupungeille ja esikaupungeille yhteiseksi kaupunkiekosysteemialaksi.</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3.</w:t>
      </w:r>
      <w:r w:rsidRPr="00B87DD1">
        <w:tab/>
        <w:t>Jäsenvaltioiden on vahvistettava viimeistään vuoteen 2030 mennessä tyydyttävät tasot kullekin 8 artiklan 1 kohdassa, 9 artiklan 2 kohdassa ja 10 artiklan 2 kohdassa tarkoitetulle indikaattorille</w:t>
      </w:r>
      <w:r w:rsidRPr="00B87DD1">
        <w:rPr>
          <w:b/>
          <w:i/>
        </w:rPr>
        <w:t>, kullekin 10 artiklan 2 a kohdan mukaiselle valitulle indikaattorille sekä 6 artiklan 2 kohdassa tarkoitetulle kaupunkien viheralueelle ja 6 artiklan 3 kohdassa tarkoitetulle kaupunkien latvuspeittävyydelle</w:t>
      </w:r>
      <w:r w:rsidRPr="00B87DD1">
        <w:t xml:space="preserve"> </w:t>
      </w:r>
      <w:bookmarkStart w:id="63" w:name="_Hlk132370883"/>
      <w:r w:rsidRPr="00B87DD1">
        <w:t xml:space="preserve">avoimen ja toimivan prosessin ja arvioinnin avulla, käyttäen perusteena tuoreimpaa tieteellistä näyttöä ja </w:t>
      </w:r>
      <w:r w:rsidRPr="00B87DD1">
        <w:rPr>
          <w:rFonts w:ascii="Arial" w:hAnsi="Arial"/>
          <w:snapToGrid w:val="0"/>
        </w:rPr>
        <w:t>▌</w:t>
      </w:r>
      <w:r w:rsidRPr="00B87DD1">
        <w:t xml:space="preserve"> 17 artiklan </w:t>
      </w:r>
      <w:r w:rsidRPr="00B87DD1">
        <w:rPr>
          <w:b/>
          <w:i/>
        </w:rPr>
        <w:t>9 a</w:t>
      </w:r>
      <w:r w:rsidRPr="00B87DD1">
        <w:t xml:space="preserve"> kohdassa tarkoitettua</w:t>
      </w:r>
      <w:bookmarkEnd w:id="63"/>
      <w:r w:rsidRPr="00B87DD1">
        <w:t xml:space="preserve"> </w:t>
      </w:r>
      <w:r w:rsidRPr="00B87DD1">
        <w:rPr>
          <w:b/>
          <w:i/>
        </w:rPr>
        <w:t>ohjeellista</w:t>
      </w:r>
      <w:r w:rsidRPr="00B87DD1">
        <w:t xml:space="preserve"> kehystä</w:t>
      </w:r>
      <w:r w:rsidRPr="00B87DD1">
        <w:rPr>
          <w:b/>
          <w:i/>
          <w:color w:val="000000"/>
        </w:rPr>
        <w:t xml:space="preserve"> ja 17 artiklan 9 kohdassa tarkoitettua ohjeellista kehystä, jos se on saatavilla</w:t>
      </w:r>
      <w:r w:rsidRPr="00B87DD1">
        <w:rPr>
          <w:color w:val="000000"/>
        </w:rPr>
        <w: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Jäsenvaltioiden on yksilöitävä ja kartoitettava ennallistamisen tarpeessa olevat maatalous- ja metsäalueet, erityisesti alueet, jotka tuotannon tehostamisen tai muiden hoitoon liittyvien tekijöiden vuoksi tarvitsevat parempaa kytkeytyneisyyttä ja maiseman monimuotoisuutta.</w:t>
      </w:r>
    </w:p>
    <w:p w:rsidR="00FF7B51" w:rsidRPr="00B87DD1" w:rsidRDefault="00FF7B51" w:rsidP="00FF7B51">
      <w:pPr>
        <w:widowControl/>
        <w:suppressAutoHyphens/>
        <w:spacing w:before="120" w:after="120" w:line="360" w:lineRule="auto"/>
        <w:ind w:left="567" w:right="-1" w:hanging="567"/>
        <w:rPr>
          <w:rFonts w:eastAsia="Calibri"/>
          <w:b/>
          <w:i/>
          <w:szCs w:val="22"/>
        </w:rPr>
      </w:pPr>
      <w:bookmarkStart w:id="64" w:name="_Hlk133570615"/>
      <w:r w:rsidRPr="00B87DD1">
        <w:br w:type="page"/>
      </w:r>
      <w:r w:rsidRPr="00B87DD1">
        <w:rPr>
          <w:b/>
          <w:i/>
        </w:rPr>
        <w:lastRenderedPageBreak/>
        <w:t>4 a.</w:t>
      </w:r>
      <w:r w:rsidRPr="00B87DD1">
        <w:rPr>
          <w:b/>
          <w:i/>
        </w:rPr>
        <w:tab/>
        <w:t>Jäsenvaltio voi yhden vuoden kuluessa tämän asetuksen voimaantulosta kehittää menetelmän, jolla täydennetään liitteessä IV tarkoitettua menetelmää, jotta voidaan seurata hyvin monimuotoisia maisemapiirteitä, joita kyseisessä liitteessä oleva hyvin monimuotoisten maisemapiirteiden kuvauksessa tarkoitettu yhteinen menetelmä ei kata. Komissio antaa ohjeita tällaisten menetelmän kehittämispuitteista kuukauden kuluessa tämän asetuksen voimaantulosta.</w:t>
      </w:r>
    </w:p>
    <w:bookmarkEnd w:id="64"/>
    <w:p w:rsidR="00FF7B51" w:rsidRPr="00B87DD1" w:rsidRDefault="00FF7B51" w:rsidP="00FF7B51">
      <w:pPr>
        <w:widowControl/>
        <w:suppressAutoHyphens/>
        <w:spacing w:before="120" w:after="120" w:line="360" w:lineRule="auto"/>
        <w:ind w:left="567" w:right="-1" w:hanging="567"/>
        <w:rPr>
          <w:rFonts w:eastAsia="Calibri"/>
          <w:b/>
          <w:i/>
          <w:szCs w:val="22"/>
        </w:rPr>
      </w:pPr>
      <w:r w:rsidRPr="00B87DD1">
        <w:rPr>
          <w:b/>
          <w:i/>
        </w:rPr>
        <w:t xml:space="preserve">4 b. </w:t>
      </w:r>
      <w:r w:rsidRPr="00B87DD1">
        <w:rPr>
          <w:b/>
          <w:i/>
        </w:rPr>
        <w:tab/>
        <w:t xml:space="preserve">Jäsenvaltioiden on tapauksen mukaan määritettävä, missä määrin turvemaiden uudelleenvesittämisen laajuutta vähennetään 9 artiklan 4 kohdan viidennen alakohdan mukaisesti. </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5.</w:t>
      </w:r>
      <w:r w:rsidRPr="00B87DD1">
        <w:tab/>
        <w:t>Jäsenvaltioiden on määritettävä synergia ilmastonmuutoksen hillitsemisen, ilmastonmuutokseen sopeutumisen</w:t>
      </w:r>
      <w:r w:rsidRPr="00B87DD1">
        <w:rPr>
          <w:b/>
          <w:i/>
        </w:rPr>
        <w:t>, maaperän tuottokyvyn heikentämisen nollatason</w:t>
      </w:r>
      <w:r w:rsidRPr="00B87DD1">
        <w:t xml:space="preserve"> ja katastrofien ehkäisyn kanssa ja priorisoitava ennallistamistoimenpiteitä sen mukaisesti. Jäsenvaltioiden on otettava huomioon myös:</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a)</w:t>
      </w:r>
      <w:r w:rsidRPr="00B87DD1">
        <w:tab/>
        <w:t>asetuksen (EU) 2018/1999 3 artiklassa tarkoitettu yhdennetty kansallinen energia- ja ilmastosuunnitelmansa;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b)</w:t>
      </w:r>
      <w:r w:rsidRPr="00B87DD1">
        <w:tab/>
        <w:t>asetuksen (EU) 2018/1999 15 artiklassa tarkoitettu pitkän aikavälin strategiansa;</w:t>
      </w:r>
    </w:p>
    <w:p w:rsidR="00FF7B51" w:rsidRPr="00B87DD1" w:rsidRDefault="00FF7B51" w:rsidP="00FF7B51">
      <w:pPr>
        <w:widowControl/>
        <w:suppressAutoHyphens/>
        <w:spacing w:before="120" w:after="120" w:line="360" w:lineRule="auto"/>
        <w:ind w:left="1134" w:right="-1" w:hanging="567"/>
        <w:rPr>
          <w:rFonts w:eastAsia="Calibri"/>
          <w:b/>
          <w:szCs w:val="22"/>
          <w:u w:val="single"/>
        </w:rPr>
      </w:pPr>
      <w:r w:rsidRPr="00B87DD1">
        <w:t>c)</w:t>
      </w:r>
      <w:r w:rsidRPr="00B87DD1">
        <w:tab/>
        <w:t>Euroopan parlamentin ja neuvoston direktiivin (EU) 2018/2001 3 artiklassa asetettu unionin sitova tavoite vuodelle 2030</w:t>
      </w:r>
      <w:bookmarkStart w:id="65" w:name="_Hlk129957164"/>
      <w:r w:rsidRPr="00B87DD1">
        <w:t>.</w:t>
      </w:r>
      <w:bookmarkEnd w:id="65"/>
    </w:p>
    <w:p w:rsidR="00FF7B51" w:rsidRPr="00B87DD1" w:rsidRDefault="00FF7B51" w:rsidP="00FF7B51">
      <w:pPr>
        <w:widowControl/>
        <w:suppressAutoHyphens/>
        <w:spacing w:before="120" w:after="120" w:line="360" w:lineRule="auto"/>
        <w:ind w:left="567" w:right="-1" w:hanging="567"/>
        <w:rPr>
          <w:rFonts w:eastAsia="Calibri"/>
          <w:color w:val="000000"/>
          <w:szCs w:val="22"/>
          <w:u w:val="single"/>
          <w:lang w:eastAsia="en-US"/>
        </w:rPr>
      </w:pPr>
      <w:r w:rsidRPr="00B87DD1">
        <w:t>6.</w:t>
      </w:r>
      <w:r w:rsidRPr="00B87DD1">
        <w:tab/>
      </w:r>
      <w:r w:rsidRPr="00B87DD1">
        <w:rPr>
          <w:shd w:val="clear" w:color="auto" w:fill="FFFFFF"/>
        </w:rPr>
        <w:t xml:space="preserve">Jäsenvaltioiden on koordinoitava kansallisten ennallistamissuunnitelmien </w:t>
      </w:r>
      <w:r w:rsidRPr="00B87DD1">
        <w:rPr>
          <w:b/>
          <w:i/>
          <w:shd w:val="clear" w:color="auto" w:fill="FFFFFF"/>
        </w:rPr>
        <w:t>laatimista niiden alueiden kartoittamisen kanssa, jotka vaaditaan vuoteen 2030 asetetun uusiutuvaa energiaa koskevan tavoitteen saavuttamiseksi ja tapauksen mukaan uusiutuvan energian nopean kehittämisen alueiden ja erityisten infrastruktuurialueiden nimeämisen kanssa</w:t>
      </w:r>
      <w:r w:rsidRPr="00B87DD1">
        <w:rPr>
          <w:shd w:val="clear" w:color="auto" w:fill="FFFFFF"/>
        </w:rPr>
        <w:t xml:space="preserve">. Luonnon ennallistamissuunnitelmien valmistelun aikana jäsenvaltioiden on varmistettava synergia </w:t>
      </w:r>
      <w:r w:rsidRPr="00B87DD1">
        <w:rPr>
          <w:b/>
          <w:i/>
          <w:shd w:val="clear" w:color="auto" w:fill="FFFFFF"/>
        </w:rPr>
        <w:t>uusiutuvan energian ja energiainfrastruktuurin kehittämisen ja</w:t>
      </w:r>
      <w:r w:rsidRPr="00B87DD1">
        <w:rPr>
          <w:shd w:val="clear" w:color="auto" w:fill="FFFFFF"/>
        </w:rPr>
        <w:t xml:space="preserve"> jo nimettyjen uusiutuvan energian </w:t>
      </w:r>
      <w:r w:rsidRPr="00B87DD1">
        <w:rPr>
          <w:b/>
          <w:i/>
          <w:shd w:val="clear" w:color="auto" w:fill="FFFFFF"/>
        </w:rPr>
        <w:t>nopean kehittämisen alueiden ja erityisten infrastruktuurialueiden</w:t>
      </w:r>
      <w:r w:rsidRPr="00B87DD1">
        <w:t xml:space="preserve"> kanssa ja varmistettava, että </w:t>
      </w:r>
      <w:r w:rsidRPr="00B87DD1">
        <w:rPr>
          <w:b/>
          <w:i/>
        </w:rPr>
        <w:t xml:space="preserve">näiden uusiutuvan </w:t>
      </w:r>
      <w:r w:rsidRPr="00B87DD1">
        <w:rPr>
          <w:b/>
          <w:i/>
          <w:shd w:val="clear" w:color="auto" w:fill="FFFFFF"/>
        </w:rPr>
        <w:t xml:space="preserve">energian alueiden </w:t>
      </w:r>
      <w:r w:rsidRPr="00B87DD1">
        <w:t xml:space="preserve">toiminta, mukaan lukien direktiivissä (EU) 2018/2001 säädetyt </w:t>
      </w:r>
      <w:r w:rsidRPr="00B87DD1">
        <w:rPr>
          <w:rFonts w:ascii="Arial" w:hAnsi="Arial"/>
          <w:snapToGrid w:val="0"/>
        </w:rPr>
        <w:t>▌</w:t>
      </w:r>
      <w:r w:rsidRPr="00B87DD1">
        <w:rPr>
          <w:b/>
          <w:i/>
        </w:rPr>
        <w:t xml:space="preserve"> </w:t>
      </w:r>
      <w:r w:rsidRPr="00B87DD1">
        <w:t>lupamenettelyt</w:t>
      </w:r>
      <w:r w:rsidRPr="00B87DD1">
        <w:rPr>
          <w:b/>
          <w:i/>
        </w:rPr>
        <w:t>, sekä niiden verkkohankkeiden toiminta, joita tarvitaan uusiutuvan energian integroimiseksi sähköjärjestelmään, ja niihin liittyvät lupamenettelyt</w:t>
      </w:r>
      <w:r w:rsidRPr="00B87DD1">
        <w:rPr>
          <w:shd w:val="clear" w:color="auto" w:fill="FFFFFF"/>
        </w:rPr>
        <w:t xml:space="preserve"> eivät muutu</w:t>
      </w:r>
      <w:r w:rsidRPr="00B87DD1">
        <w:t>.</w:t>
      </w:r>
      <w:r w:rsidRPr="00B87DD1">
        <w:rPr>
          <w:shd w:val="clear" w:color="auto" w:fill="FFFFFF"/>
        </w:rPr>
        <w:t xml:space="preserve"> </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br w:type="page"/>
      </w:r>
      <w:r w:rsidRPr="00B87DD1">
        <w:lastRenderedPageBreak/>
        <w:t>7.</w:t>
      </w:r>
      <w:r w:rsidRPr="00B87DD1">
        <w:tab/>
        <w:t xml:space="preserve">Jäsenvaltioiden on kansallisia ennallistamissuunnitelmiaan laatiessaan otettava huomioon </w:t>
      </w:r>
      <w:r w:rsidRPr="00B87DD1">
        <w:rPr>
          <w:b/>
          <w:i/>
        </w:rPr>
        <w:t>erityisesti</w:t>
      </w:r>
      <w:r w:rsidRPr="00B87DD1">
        <w: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a)</w:t>
      </w:r>
      <w:r w:rsidRPr="00B87DD1">
        <w:tab/>
        <w:t>Natura 2000 -alueita varten direktiivin 92/43/ETY mukaisesti vahvistetut suojelutoimenpiteet;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b)</w:t>
      </w:r>
      <w:r w:rsidRPr="00B87DD1">
        <w:tab/>
        <w:t>direktiivin 92/43/ETY mukaisesti laaditut hankkeiden toteuttamisjärjestyksen sisältävät toimintasuunnitelmat;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c)</w:t>
      </w:r>
      <w:r w:rsidRPr="00B87DD1">
        <w:tab/>
      </w:r>
      <w:bookmarkStart w:id="66" w:name="_Hlk127344364"/>
      <w:bookmarkStart w:id="67" w:name="_Hlk127347856"/>
      <w:r w:rsidRPr="00B87DD1">
        <w:t xml:space="preserve">direktiivin 2000/60/EY mukaisesti laadittuihin </w:t>
      </w:r>
      <w:r w:rsidRPr="00B87DD1">
        <w:rPr>
          <w:b/>
          <w:i/>
        </w:rPr>
        <w:t>toimenpideohjelmiin ja</w:t>
      </w:r>
      <w:r w:rsidRPr="00B87DD1">
        <w:t xml:space="preserve"> </w:t>
      </w:r>
      <w:bookmarkStart w:id="68" w:name="_Hlk129948351"/>
      <w:r w:rsidRPr="00B87DD1">
        <w:t>vesipiirin hoitosuunnitelmiin</w:t>
      </w:r>
      <w:bookmarkEnd w:id="68"/>
      <w:r w:rsidRPr="00B87DD1">
        <w:t xml:space="preserve"> </w:t>
      </w:r>
      <w:r w:rsidRPr="00B87DD1">
        <w:rPr>
          <w:b/>
          <w:i/>
        </w:rPr>
        <w:t>sekä direktiivin 200</w:t>
      </w:r>
      <w:r w:rsidR="009211A5">
        <w:rPr>
          <w:b/>
          <w:i/>
        </w:rPr>
        <w:t>0</w:t>
      </w:r>
      <w:r w:rsidRPr="00B87DD1">
        <w:rPr>
          <w:b/>
          <w:i/>
        </w:rPr>
        <w:t>/60/EY mukaisesti laadittuihin tulvariskien hallintasuunnitelmiin</w:t>
      </w:r>
      <w:r w:rsidRPr="00B87DD1">
        <w:t xml:space="preserve"> sisältyvät toimenpiteet vesimuodostumien hyvän </w:t>
      </w:r>
      <w:r w:rsidRPr="00B87DD1">
        <w:rPr>
          <w:b/>
          <w:i/>
        </w:rPr>
        <w:t>määrällisen</w:t>
      </w:r>
      <w:bookmarkEnd w:id="66"/>
      <w:bookmarkEnd w:id="67"/>
      <w:r w:rsidRPr="00B87DD1">
        <w:rPr>
          <w:b/>
          <w:i/>
        </w:rPr>
        <w:t>,</w:t>
      </w:r>
      <w:r w:rsidRPr="00B87DD1">
        <w:t xml:space="preserve"> ekologisen ja kemiallisen tilan saavuttamiseksi;</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d)</w:t>
      </w:r>
      <w:r w:rsidRPr="00B87DD1">
        <w:tab/>
      </w:r>
      <w:r w:rsidRPr="00B87DD1">
        <w:rPr>
          <w:b/>
          <w:i/>
        </w:rPr>
        <w:t>tapauksen mukaan</w:t>
      </w:r>
      <w:r w:rsidRPr="00B87DD1">
        <w:t xml:space="preserve"> direktiivin 2008/56/EY mukaisesti laaditut meristrategiat ympäristön hyvän tilan saavuttamiseksi kaikilla unionin merialueilla;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e)</w:t>
      </w:r>
      <w:r w:rsidRPr="00B87DD1">
        <w:tab/>
        <w:t>direktiivin (EU) 2016/2284 mukaisesti laaditut kansalliset ilmansuojeluohjelmat;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f)</w:t>
      </w:r>
      <w:r w:rsidRPr="00B87DD1">
        <w:tab/>
        <w:t>biologista monimuotoisuutta koskevan yleissopimuksen 6 artiklan mukaisesti laaditut kansalliset biodiversiteettistrategiat ja toimintasuunnitelmat;</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t>g)</w:t>
      </w:r>
      <w:r w:rsidRPr="00B87DD1">
        <w:tab/>
      </w:r>
      <w:r w:rsidRPr="00B87DD1">
        <w:rPr>
          <w:b/>
          <w:i/>
        </w:rPr>
        <w:t>tapauksen mukaan</w:t>
      </w:r>
      <w:r w:rsidRPr="00B87DD1">
        <w:t xml:space="preserve"> yhteisen kalastuspolitiikan puitteissa hyväksytyt </w:t>
      </w:r>
      <w:r w:rsidRPr="00B87DD1">
        <w:rPr>
          <w:b/>
          <w:i/>
        </w:rPr>
        <w:t>säilyttämis- ja hoitotoimenpiteet;</w:t>
      </w:r>
    </w:p>
    <w:p w:rsidR="00FF7B51" w:rsidRPr="00B87DD1" w:rsidRDefault="00FF7B51" w:rsidP="00FF7B51">
      <w:pPr>
        <w:widowControl/>
        <w:suppressAutoHyphens/>
        <w:spacing w:before="120" w:after="120" w:line="360" w:lineRule="auto"/>
        <w:ind w:left="1134" w:right="-1" w:hanging="567"/>
        <w:rPr>
          <w:rFonts w:eastAsia="Calibri"/>
          <w:b/>
          <w:i/>
          <w:szCs w:val="24"/>
        </w:rPr>
      </w:pPr>
      <w:r w:rsidRPr="00B87DD1">
        <w:rPr>
          <w:b/>
          <w:i/>
        </w:rPr>
        <w:t>h)</w:t>
      </w:r>
      <w:r w:rsidRPr="00B87DD1">
        <w:rPr>
          <w:b/>
          <w:i/>
        </w:rPr>
        <w:tab/>
        <w:t>asetuksen (EU) 2021/2115 mukaisesti laaditut YMP:n strategiasuunnitelmat.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8.</w:t>
      </w:r>
      <w:r w:rsidRPr="00B87DD1">
        <w:tab/>
      </w:r>
      <w:r w:rsidRPr="00B87DD1">
        <w:rPr>
          <w:b/>
          <w:i/>
        </w:rPr>
        <w:t>Jäsenvaltiot voivat</w:t>
      </w:r>
      <w:r w:rsidRPr="00B87DD1">
        <w:t xml:space="preserve"> kansallisia ennallistamissuunnitelmia laatiessaan </w:t>
      </w:r>
      <w:r w:rsidRPr="00B87DD1">
        <w:rPr>
          <w:b/>
          <w:i/>
        </w:rPr>
        <w:t>hyödyntää</w:t>
      </w:r>
      <w:r w:rsidRPr="00B87DD1">
        <w:t xml:space="preserve"> liitteessä VII lueteltuja esimerkkejä ennallistamistoimenpiteistä erityisten kansallisten ja paikallisten olosuhteiden ja viimeisimmän tieteellisen näytön mukaan.</w:t>
      </w:r>
    </w:p>
    <w:p w:rsidR="00FF7B51" w:rsidRPr="00B87DD1" w:rsidRDefault="00FF7B51" w:rsidP="00FF7B51">
      <w:pPr>
        <w:widowControl/>
        <w:suppressAutoHyphens/>
        <w:spacing w:before="120" w:after="120" w:line="360" w:lineRule="auto"/>
        <w:ind w:left="567" w:right="-1" w:hanging="567"/>
        <w:rPr>
          <w:rFonts w:eastAsia="Calibri"/>
          <w:szCs w:val="22"/>
        </w:rPr>
      </w:pPr>
      <w:bookmarkStart w:id="69" w:name="_Hlk135687517"/>
      <w:r w:rsidRPr="00B87DD1">
        <w:br w:type="page"/>
      </w:r>
      <w:r w:rsidRPr="00B87DD1">
        <w:lastRenderedPageBreak/>
        <w:t>9.</w:t>
      </w:r>
      <w:r w:rsidRPr="00B87DD1">
        <w:tab/>
        <w:t>Jäsenvaltioiden on kansallisia ennallistamissuunnitelmia laatiessaan pyrittävä optimoimaan ekosysteemien ekologiset, taloudelliset ja sosiaaliset toiminnot sekä asianomaisten alueiden ja yhteisöjen kestävän kehityksen edistäminen.</w:t>
      </w:r>
    </w:p>
    <w:p w:rsidR="00FF7B51" w:rsidRPr="00B87DD1" w:rsidRDefault="00FF7B51" w:rsidP="00FF7B51">
      <w:pPr>
        <w:widowControl/>
        <w:suppressAutoHyphens/>
        <w:spacing w:before="120" w:after="120" w:line="360" w:lineRule="auto"/>
        <w:ind w:left="567" w:right="-1" w:hanging="567"/>
        <w:rPr>
          <w:rFonts w:eastAsia="Calibri"/>
          <w:b/>
          <w:i/>
          <w:szCs w:val="24"/>
        </w:rPr>
      </w:pPr>
      <w:bookmarkStart w:id="70" w:name="_Hlk136791496"/>
      <w:r w:rsidRPr="00B87DD1">
        <w:rPr>
          <w:b/>
          <w:i/>
        </w:rPr>
        <w:t>9 a.</w:t>
      </w:r>
      <w:r w:rsidRPr="00B87DD1">
        <w:rPr>
          <w:b/>
          <w:i/>
        </w:rPr>
        <w:tab/>
        <w:t>Jäsenvaltiot voivat kansallisia ennallistamissuunnitelmia laatiessaan ottaa huomioon eri alueiden erilaiset tilanteet, jotka liittyvät sosiaalisiin, taloudellisiin ja kulttuurillisiin vaatimuksiin, alueellisiin ja paikallisiin erityispiirteisiin ja väestötiheyteen.</w:t>
      </w:r>
      <w:r w:rsidRPr="00B87DD1">
        <w:rPr>
          <w:i/>
        </w:rPr>
        <w:t xml:space="preserve"> </w:t>
      </w:r>
      <w:r w:rsidRPr="00B87DD1">
        <w:rPr>
          <w:b/>
          <w:i/>
        </w:rPr>
        <w:t xml:space="preserve">Tapauksen mukaan olisi otettava huomioon unionin syrjäisimpien alueiden erityistilanne, kuten niiden syrjäinen sijainti, saaristoasema, pieni pinta-ala, vaikea pinnanmuodostus ja ilmasto, sekä niiden rikas luonnon monimuotoisuus ja niiden ekosysteemien suojelemiseen ja ennallistamiseen liittyvät kustannukset. </w:t>
      </w:r>
      <w:bookmarkEnd w:id="69"/>
      <w:bookmarkEnd w:id="70"/>
    </w:p>
    <w:p w:rsidR="00FF7B51" w:rsidRPr="00B87DD1" w:rsidRDefault="00FF7B51" w:rsidP="00FF7B51">
      <w:pPr>
        <w:widowControl/>
        <w:suppressAutoHyphens/>
        <w:spacing w:before="120" w:after="120" w:line="360" w:lineRule="auto"/>
        <w:ind w:left="567" w:right="-1" w:hanging="567"/>
        <w:rPr>
          <w:rFonts w:eastAsia="Calibri"/>
          <w:szCs w:val="22"/>
        </w:rPr>
      </w:pPr>
      <w:r w:rsidRPr="00B87DD1">
        <w:t>10.</w:t>
      </w:r>
      <w:r w:rsidRPr="00B87DD1">
        <w:tab/>
        <w:t>Jäsenvaltioiden on mahdollisuuksien mukaan edistettävä synergiaa muiden jäsenvaltioiden kansallisten ennallistamissuunnitelmien kanssa, erityisesti rajojen yli ulottuvien ekosysteemien osalta</w:t>
      </w:r>
      <w:r w:rsidRPr="00B87DD1">
        <w:rPr>
          <w:b/>
          <w:i/>
        </w:rPr>
        <w:t xml:space="preserve"> tai sellaisten ekosysteemien osalta, joissa jäsenvaltioilla on direktiivissä 2008/56/EY tarkoitettu yhteinen merialue tai osa-alue</w:t>
      </w:r>
      <w:r w:rsidRPr="00B87DD1">
        <w:t>.</w:t>
      </w:r>
    </w:p>
    <w:p w:rsidR="00FF7B51" w:rsidRPr="00B87DD1" w:rsidRDefault="00FF7B51" w:rsidP="00FF7B51">
      <w:pPr>
        <w:widowControl/>
        <w:tabs>
          <w:tab w:val="left" w:pos="567"/>
        </w:tabs>
        <w:suppressAutoHyphens/>
        <w:spacing w:after="140" w:line="360" w:lineRule="auto"/>
        <w:ind w:left="567" w:right="-1" w:hanging="567"/>
        <w:rPr>
          <w:rFonts w:eastAsia="Calibri"/>
          <w:b/>
          <w:i/>
          <w:szCs w:val="24"/>
        </w:rPr>
      </w:pPr>
      <w:r w:rsidRPr="00B87DD1">
        <w:rPr>
          <w:b/>
          <w:i/>
        </w:rPr>
        <w:t>10 a.</w:t>
      </w:r>
      <w:r w:rsidRPr="00B87DD1">
        <w:rPr>
          <w:b/>
          <w:i/>
        </w:rPr>
        <w:tab/>
        <w:t>Jäsenvaltiot voivat, jos se on käytännöllistä ja aiheellista, käyttää olemassa olevia alueellisia institutionaalisia yhteistyörakenteita meriekosysteemien ennallistamiseen ja palauttamiseen liittyvien kansallisten ennallistamissuunnitelmien laatimiseksi ja täytäntöönpanemiseksi.</w:t>
      </w:r>
    </w:p>
    <w:p w:rsidR="00FF7B51" w:rsidRPr="00B87DD1" w:rsidRDefault="00FF7B51" w:rsidP="00FF7B51">
      <w:pPr>
        <w:widowControl/>
        <w:suppressAutoHyphens/>
        <w:spacing w:before="120" w:after="120" w:line="360" w:lineRule="auto"/>
        <w:ind w:left="567" w:right="-1" w:hanging="567"/>
        <w:rPr>
          <w:i/>
          <w:sz w:val="16"/>
          <w:szCs w:val="16"/>
        </w:rPr>
      </w:pPr>
      <w:r w:rsidRPr="00B87DD1">
        <w:rPr>
          <w:b/>
          <w:i/>
        </w:rPr>
        <w:t>10 b.</w:t>
      </w:r>
      <w:r w:rsidRPr="00B87DD1">
        <w:rPr>
          <w:b/>
          <w:i/>
        </w:rPr>
        <w:tab/>
        <w:t xml:space="preserve">Jos jäsenvaltiot </w:t>
      </w:r>
      <w:bookmarkStart w:id="71" w:name="_Hlk133316754"/>
      <w:r w:rsidRPr="00B87DD1">
        <w:rPr>
          <w:b/>
          <w:i/>
        </w:rPr>
        <w:t>havaitsevat ongelman, joka todennäköisesti estää meriekosysteemien ennallistamista ja palauttamista koskevien velvoitteiden täyttämistä ja joka edellyttää toimenpiteitä, joihin niillä ei ole toimivaltaa, niiden on yksin tai yhdessä tapauksen mukaan käännyttävä jäsenvaltioiden, komission tai kansainvälisten järjestöjen puoleen ja kuvattava havaittu ongelma ja mahdolliset toimenpiteet niiden tarkastelua ja mahdollista hyväksymistä varten.</w:t>
      </w:r>
      <w:bookmarkEnd w:id="71"/>
    </w:p>
    <w:p w:rsidR="00FF7B51" w:rsidRPr="00B87DD1" w:rsidRDefault="00FF7B51" w:rsidP="00FF7B51">
      <w:pPr>
        <w:widowControl/>
        <w:suppressAutoHyphens/>
        <w:spacing w:before="120" w:after="120" w:line="360" w:lineRule="auto"/>
        <w:ind w:left="567" w:right="-1" w:hanging="567"/>
        <w:rPr>
          <w:rFonts w:eastAsia="Calibri"/>
          <w:b/>
          <w:szCs w:val="22"/>
        </w:rPr>
      </w:pPr>
      <w:r w:rsidRPr="00B87DD1">
        <w:t>11.</w:t>
      </w:r>
      <w:r w:rsidRPr="00B87DD1">
        <w:tab/>
        <w:t xml:space="preserve">Jäsenvaltioiden on varmistettava, että ennallistamissuunnitelman valmistelu on avointa, </w:t>
      </w:r>
      <w:r w:rsidR="00017BE9" w:rsidRPr="00B87DD1">
        <w:rPr>
          <w:b/>
          <w:i/>
        </w:rPr>
        <w:t xml:space="preserve">läpinäkyvää, </w:t>
      </w:r>
      <w:r w:rsidRPr="00B87DD1">
        <w:t xml:space="preserve">osallistavaa ja toimivaa ja että yleisölle </w:t>
      </w:r>
      <w:r w:rsidR="00017BE9" w:rsidRPr="00B87DD1">
        <w:rPr>
          <w:b/>
          <w:i/>
        </w:rPr>
        <w:t xml:space="preserve">ja erityisesti maanomistajille, maankäyttäjille, merenkulkualan sidosryhmille ja muille asiaankuuluville toimijoille, kuten neuvontapalveluille, </w:t>
      </w:r>
      <w:r w:rsidRPr="00B87DD1">
        <w:t xml:space="preserve">annetaan varhaisessa vaiheessa ja tosiasiallisesti mahdollisuus osallistua </w:t>
      </w:r>
      <w:r w:rsidR="00017BE9" w:rsidRPr="00B87DD1">
        <w:rPr>
          <w:b/>
          <w:i/>
        </w:rPr>
        <w:t>suunnitelman valmisteluun ilmoitetun ennakkosuostumuksen periaatetta noudattaen. Paikallis- ja alueviranomaiset sekä asiaankuuluvat hallintoviranomaiset on otettava asianmukaisesti mukaan suunnitelman valmisteluun</w:t>
      </w:r>
      <w:r w:rsidRPr="00B87DD1">
        <w:t xml:space="preserve">. Kuulemisten on oltava </w:t>
      </w:r>
      <w:r w:rsidR="00017BE9" w:rsidRPr="00B87DD1">
        <w:t xml:space="preserve">direktiivin 2001/42/EY 4–10 artiklassa </w:t>
      </w:r>
      <w:r w:rsidRPr="00B87DD1">
        <w:t>säädettyjen vaatimusten mukaisia.</w:t>
      </w:r>
      <w:r w:rsidR="00017BE9" w:rsidRPr="00B87DD1">
        <w:rPr>
          <w:b/>
        </w:rPr>
        <w:t xml:space="preserve"> [tark. 12]</w:t>
      </w:r>
    </w:p>
    <w:p w:rsidR="00FF7B51" w:rsidRPr="00B87DD1" w:rsidRDefault="00FF7B51" w:rsidP="00FF7B51">
      <w:pPr>
        <w:keepNext/>
        <w:widowControl/>
        <w:suppressAutoHyphens/>
        <w:spacing w:before="360" w:after="120" w:line="360" w:lineRule="auto"/>
        <w:ind w:right="-1"/>
        <w:jc w:val="center"/>
        <w:outlineLvl w:val="1"/>
        <w:rPr>
          <w:b/>
          <w:bCs/>
          <w:szCs w:val="26"/>
        </w:rPr>
      </w:pPr>
      <w:r w:rsidRPr="00B87DD1">
        <w:br w:type="page"/>
      </w:r>
      <w:r w:rsidRPr="00B87DD1">
        <w:lastRenderedPageBreak/>
        <w:t>12 artikla</w:t>
      </w:r>
      <w:r w:rsidRPr="00B87DD1">
        <w:rPr>
          <w:b/>
        </w:rPr>
        <w:br/>
      </w:r>
      <w:r w:rsidRPr="00B87DD1">
        <w:rPr>
          <w:i/>
        </w:rPr>
        <w:t>Kansallisten ennallistamissuunnitelmien sisältö</w:t>
      </w:r>
    </w:p>
    <w:p w:rsidR="00FF7B51" w:rsidRPr="00B87DD1" w:rsidRDefault="00FF7B51" w:rsidP="00FF7B51">
      <w:pPr>
        <w:widowControl/>
        <w:suppressAutoHyphens/>
        <w:spacing w:before="120" w:after="120" w:line="360" w:lineRule="auto"/>
        <w:ind w:left="567" w:right="-1" w:hanging="567"/>
        <w:rPr>
          <w:rFonts w:eastAsia="Calibri"/>
          <w:b/>
          <w:szCs w:val="22"/>
          <w:u w:val="single"/>
        </w:rPr>
      </w:pPr>
      <w:bookmarkStart w:id="72" w:name="_Hlk133481561"/>
      <w:r w:rsidRPr="00B87DD1">
        <w:t>1.</w:t>
      </w:r>
      <w:r w:rsidRPr="00B87DD1">
        <w:tab/>
      </w:r>
      <w:bookmarkStart w:id="73" w:name="_Hlk127379600"/>
      <w:r w:rsidRPr="00B87DD1">
        <w:t>Kansallisen ennallistamissuunnitelman on katettava vuoteen 2050 ulottuva ajanjakso, ja siinä on asetettava välimääräajat, jotka vastaavat 4–10 artiklassa säädettyjä tavoitteita ja velvoitteita.</w:t>
      </w:r>
      <w:r w:rsidRPr="00B87DD1">
        <w:rPr>
          <w:b/>
          <w:u w:val="single"/>
        </w:rPr>
        <w:t xml:space="preserve"> </w:t>
      </w:r>
      <w:bookmarkEnd w:id="73"/>
    </w:p>
    <w:bookmarkEnd w:id="72"/>
    <w:p w:rsidR="00FF7B51" w:rsidRPr="00B87DD1" w:rsidRDefault="00FF7B51" w:rsidP="00FF7B51">
      <w:pPr>
        <w:widowControl/>
        <w:suppressAutoHyphens/>
        <w:spacing w:before="120" w:after="120" w:line="360" w:lineRule="auto"/>
        <w:ind w:left="567" w:right="-1" w:hanging="567"/>
        <w:rPr>
          <w:rFonts w:eastAsia="Calibri"/>
          <w:b/>
          <w:i/>
          <w:szCs w:val="22"/>
        </w:rPr>
      </w:pPr>
      <w:r w:rsidRPr="00B87DD1">
        <w:rPr>
          <w:b/>
          <w:i/>
        </w:rPr>
        <w:t>1 a.</w:t>
      </w:r>
      <w:r w:rsidRPr="00B87DD1">
        <w:rPr>
          <w:b/>
          <w:i/>
        </w:rPr>
        <w:tab/>
      </w:r>
      <w:bookmarkStart w:id="74" w:name="_Hlk133481151"/>
      <w:r w:rsidRPr="00B87DD1">
        <w:rPr>
          <w:b/>
          <w:i/>
        </w:rPr>
        <w:t>Poiketen siitä, mitä 1 kohdassa säädetään, 13 artiklan ja 14 artiklan 6 kohdan mukaisesti toimitettavassa kansallisessa ennallistamissuunnitelmassa voidaan kesäkuun 2032 jälkeisen ajanjakson osalta ja 15 artiklan 1 kohdan mukaiseen uudelleentarkasteluun asti rajoittua seuraavia koskevaan strategiseen katsaukseen:</w:t>
      </w:r>
    </w:p>
    <w:p w:rsidR="00FF7B51" w:rsidRPr="00B87DD1" w:rsidRDefault="00FF7B51" w:rsidP="00FF7B51">
      <w:pPr>
        <w:widowControl/>
        <w:suppressAutoHyphens/>
        <w:spacing w:before="120" w:after="120" w:line="360" w:lineRule="auto"/>
        <w:ind w:left="567" w:right="-1"/>
        <w:rPr>
          <w:rFonts w:eastAsia="Calibri"/>
          <w:b/>
          <w:i/>
          <w:szCs w:val="22"/>
        </w:rPr>
      </w:pPr>
      <w:r w:rsidRPr="00B87DD1">
        <w:rPr>
          <w:b/>
          <w:i/>
        </w:rPr>
        <w:t>a)</w:t>
      </w:r>
      <w:r w:rsidRPr="00B87DD1">
        <w:rPr>
          <w:b/>
          <w:i/>
        </w:rPr>
        <w:tab/>
        <w:t>2 kohdassa tarkoitetut tiedot; ja</w:t>
      </w:r>
    </w:p>
    <w:p w:rsidR="00FF7B51" w:rsidRPr="00B87DD1" w:rsidRDefault="00FF7B51" w:rsidP="00FF7B51">
      <w:pPr>
        <w:widowControl/>
        <w:suppressAutoHyphens/>
        <w:spacing w:before="120" w:after="120" w:line="360" w:lineRule="auto"/>
        <w:ind w:left="567" w:firstLine="3"/>
        <w:rPr>
          <w:rFonts w:eastAsia="Calibri"/>
          <w:b/>
          <w:i/>
          <w:szCs w:val="22"/>
        </w:rPr>
      </w:pPr>
      <w:r w:rsidRPr="00B87DD1">
        <w:rPr>
          <w:b/>
          <w:i/>
        </w:rPr>
        <w:t>b)</w:t>
      </w:r>
      <w:r w:rsidRPr="00B87DD1">
        <w:rPr>
          <w:b/>
          <w:i/>
        </w:rPr>
        <w:tab/>
        <w:t>3 ja 3a kohdassa tarkoitettu sisältö.</w:t>
      </w:r>
    </w:p>
    <w:p w:rsidR="00FF7B51" w:rsidRPr="00B87DD1" w:rsidRDefault="00FF7B51" w:rsidP="00FF7B51">
      <w:pPr>
        <w:widowControl/>
        <w:suppressAutoHyphens/>
        <w:spacing w:before="120" w:after="120" w:line="360" w:lineRule="auto"/>
        <w:ind w:left="567" w:firstLine="3"/>
        <w:rPr>
          <w:rFonts w:eastAsia="Calibri"/>
          <w:b/>
          <w:i/>
          <w:szCs w:val="22"/>
        </w:rPr>
      </w:pPr>
      <w:r w:rsidRPr="00B87DD1">
        <w:rPr>
          <w:b/>
          <w:i/>
        </w:rPr>
        <w:t xml:space="preserve">Tarkistetussa kansallisessa ennallistamissuunnitelmassa, joka perustuu ennen heinäkuuta 2032 15 artiklan 1 kohdan mukaisesti suoritettavaan uudelleentarkasteluun, voidaan kesäkuun 2042 jälkeisen ajanjakson osalta ja ennen heinäkuuta 2042 15 artiklan 1 kohdan mukaisesti suoritettavaan tarkistukseen saakka rajoittua kyseisiä tietoja ja sisältöjä koskevaan strategiseen katsaukseen. </w:t>
      </w:r>
    </w:p>
    <w:bookmarkEnd w:id="74"/>
    <w:p w:rsidR="00FF7B51" w:rsidRPr="00B87DD1" w:rsidRDefault="00FF7B51" w:rsidP="00FF7B51">
      <w:pPr>
        <w:widowControl/>
        <w:suppressAutoHyphens/>
        <w:spacing w:before="120" w:after="120" w:line="360" w:lineRule="auto"/>
        <w:ind w:left="567" w:right="-1" w:hanging="567"/>
        <w:rPr>
          <w:rFonts w:eastAsia="Calibri"/>
          <w:szCs w:val="22"/>
        </w:rPr>
      </w:pPr>
      <w:r w:rsidRPr="00B87DD1">
        <w:t>2.</w:t>
      </w:r>
      <w:r w:rsidRPr="00B87DD1">
        <w:tab/>
        <w:t>Jäsenvaltioiden on sisällytettävä kansalliseen ennallistamissuunnitelmaansa tämän artiklan 4 kohdan mukaisesti vahvistettua yhdenmukaista muotoa käyttäen seuraavat tiedot: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a)</w:t>
      </w:r>
      <w:r w:rsidRPr="00B87DD1">
        <w:tab/>
      </w:r>
      <w:bookmarkStart w:id="75" w:name="_Hlk127366959"/>
      <w:r w:rsidRPr="00B87DD1">
        <w:t>niiden alueiden määrällinen määrittäminen, jotka on ennallistettava 4</w:t>
      </w:r>
      <w:r w:rsidRPr="00B87DD1">
        <w:noBreakHyphen/>
        <w:t>10</w:t>
      </w:r>
      <w:bookmarkStart w:id="76" w:name="_Hlk127366922"/>
      <w:r w:rsidRPr="00B87DD1">
        <w:t xml:space="preserve"> artiklassa vahvistettujen ennallistamistavoitteiden saavuttamiseksi 11 artiklan mukaisesti tehdyn valmistelutyön ja </w:t>
      </w:r>
      <w:r w:rsidRPr="00B87DD1">
        <w:rPr>
          <w:b/>
          <w:i/>
        </w:rPr>
        <w:t>mahdollisesti ennallistettavien</w:t>
      </w:r>
      <w:bookmarkEnd w:id="75"/>
      <w:bookmarkEnd w:id="76"/>
      <w:r w:rsidRPr="00B87DD1">
        <w:t xml:space="preserve"> alueiden </w:t>
      </w:r>
      <w:r w:rsidRPr="00B87DD1">
        <w:rPr>
          <w:b/>
          <w:i/>
        </w:rPr>
        <w:t>ohjeellisten karttojen</w:t>
      </w:r>
      <w:r w:rsidRPr="00B87DD1">
        <w:t xml:space="preserve"> perusteella;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b)</w:t>
      </w:r>
      <w:r w:rsidRPr="00B87DD1">
        <w:tab/>
        <w:t>kuvaus 4–10 artiklassa säädettyjen tavoitteiden ja velvoitteiden täyttämiseksi suunnitelluista tai käyttöön otetuista ennallistamistoimenpiteistä ja erittely siitä, mitä näistä ennallistamistoimenpiteistä suunnitellaan tai otetaan käyttöön direktiivin 92/43/ETY mukaisesti perustetussa Natura 2000 -verkostossa;</w:t>
      </w:r>
    </w:p>
    <w:p w:rsidR="00FF7B51" w:rsidRPr="00B87DD1" w:rsidRDefault="00FF7B51" w:rsidP="00FF7B51">
      <w:pPr>
        <w:widowControl/>
        <w:suppressAutoHyphens/>
        <w:spacing w:before="120" w:after="120" w:line="360" w:lineRule="auto"/>
        <w:ind w:left="1134" w:right="-1" w:hanging="567"/>
        <w:rPr>
          <w:rFonts w:eastAsia="Calibri"/>
          <w:b/>
          <w:szCs w:val="22"/>
          <w:u w:val="single"/>
        </w:rPr>
      </w:pPr>
      <w:r w:rsidRPr="00B87DD1">
        <w:br w:type="page"/>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rPr>
          <w:b/>
          <w:i/>
        </w:rPr>
        <w:lastRenderedPageBreak/>
        <w:t>b a)</w:t>
      </w:r>
      <w:r w:rsidRPr="00B87DD1">
        <w:rPr>
          <w:b/>
          <w:i/>
        </w:rPr>
        <w:tab/>
        <w:t xml:space="preserve">erillinen osio, jossa esitetään toimenpiteet 4 artiklan 4 a kohdassa ja 5 artiklan 4 a kohdassa esitettyjen velvoitteiden täyttämiseksi; </w:t>
      </w:r>
    </w:p>
    <w:p w:rsidR="00FF7B51" w:rsidRPr="00B87DD1" w:rsidRDefault="0024662D" w:rsidP="00FF7B51">
      <w:pPr>
        <w:widowControl/>
        <w:suppressAutoHyphens/>
        <w:spacing w:before="120" w:after="120" w:line="360" w:lineRule="auto"/>
        <w:ind w:left="1134" w:right="-1" w:hanging="567"/>
        <w:rPr>
          <w:rFonts w:eastAsia="Calibri"/>
          <w:b/>
          <w:szCs w:val="22"/>
        </w:rPr>
      </w:pPr>
      <w:r w:rsidRPr="00B87DD1">
        <w:rPr>
          <w:b/>
        </w:rPr>
        <w:t xml:space="preserve"> ▌</w:t>
      </w:r>
      <w:r w:rsidR="00B87DD1">
        <w:rPr>
          <w:b/>
        </w:rPr>
        <w:t xml:space="preserve"> </w:t>
      </w:r>
      <w:r w:rsidRPr="00B87DD1">
        <w:rPr>
          <w:b/>
        </w:rPr>
        <w:t>[tark. 41]</w:t>
      </w:r>
    </w:p>
    <w:p w:rsidR="00FF7B51" w:rsidRPr="00B87DD1" w:rsidRDefault="0024662D" w:rsidP="00FF7B51">
      <w:pPr>
        <w:widowControl/>
        <w:suppressAutoHyphens/>
        <w:spacing w:before="120" w:after="120" w:line="360" w:lineRule="auto"/>
        <w:ind w:left="1134" w:right="-1" w:hanging="567"/>
        <w:rPr>
          <w:rFonts w:eastAsia="Calibri"/>
          <w:b/>
          <w:szCs w:val="22"/>
        </w:rPr>
      </w:pPr>
      <w:r w:rsidRPr="00B87DD1">
        <w:t>▌</w:t>
      </w:r>
      <w:r w:rsidRPr="00B87DD1">
        <w:rPr>
          <w:b/>
        </w:rPr>
        <w:t xml:space="preserve"> [tark. 42]</w:t>
      </w:r>
    </w:p>
    <w:p w:rsidR="00FF7B51" w:rsidRPr="00B87DD1" w:rsidRDefault="00FF7B51" w:rsidP="00FF7B51">
      <w:pPr>
        <w:widowControl/>
        <w:suppressAutoHyphens/>
        <w:spacing w:before="120" w:after="120" w:line="360" w:lineRule="auto"/>
        <w:ind w:left="1134" w:right="-1" w:hanging="567"/>
        <w:rPr>
          <w:rFonts w:eastAsia="Calibri"/>
          <w:b/>
          <w:szCs w:val="22"/>
          <w:u w:val="single"/>
        </w:rPr>
      </w:pPr>
      <w:r w:rsidRPr="00B87DD1">
        <w:t>e)</w:t>
      </w:r>
      <w:r w:rsidRPr="00B87DD1">
        <w:tab/>
        <w:t>luettelo esteistä ja 7 artiklan 1 kohdan mukaisesti poistettaviksi määritetyistä esteistä, suunnitelma niiden poistamiseksi 7 artiklan 2 kohdan mukaisesti ja</w:t>
      </w:r>
      <w:r w:rsidR="00B87DD1">
        <w:t xml:space="preserve"> </w:t>
      </w:r>
      <w:r w:rsidRPr="00B87DD1">
        <w:rPr>
          <w:rFonts w:ascii="Arial" w:hAnsi="Arial"/>
          <w:snapToGrid w:val="0"/>
        </w:rPr>
        <w:t>▌</w:t>
      </w:r>
      <w:r w:rsidRPr="00B87DD1">
        <w:t xml:space="preserve">vapaasti virtaavien jokien </w:t>
      </w:r>
      <w:r w:rsidRPr="00B87DD1">
        <w:rPr>
          <w:b/>
          <w:i/>
        </w:rPr>
        <w:t>pituus</w:t>
      </w:r>
      <w:r w:rsidRPr="00B87DD1">
        <w:t xml:space="preserve">, joka saavutetaan poistamalla kyseiset esteet </w:t>
      </w:r>
      <w:r w:rsidRPr="00B87DD1">
        <w:rPr>
          <w:b/>
          <w:i/>
        </w:rPr>
        <w:t>arviolta vuodesta 2020</w:t>
      </w:r>
      <w:r w:rsidRPr="00B87DD1">
        <w:t xml:space="preserve"> vuoteen 2030 ja vuoteen 2050 mennessä, sekä mahdolliset muut toimenpiteet, joilla palautetaan tulvatasanteiden luonnollinen toiminta 7 artiklan 3 kohdan mukaisesti;</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rPr>
          <w:b/>
          <w:i/>
        </w:rPr>
        <w:t>e a)</w:t>
      </w:r>
      <w:r w:rsidRPr="00B87DD1">
        <w:rPr>
          <w:b/>
          <w:i/>
        </w:rPr>
        <w:tab/>
        <w:t xml:space="preserve">tapauksen mukaan perustelut sille, että turvemaiden uudelleenvesittäminen koskee 9 artiklan 4 kohdan ensimmäisen alakohdan a–c alakohdassa säädettyä pienempää osuutta; </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rPr>
          <w:b/>
          <w:i/>
        </w:rPr>
        <w:t>e b)</w:t>
      </w:r>
      <w:r w:rsidRPr="00B87DD1">
        <w:rPr>
          <w:b/>
          <w:i/>
        </w:rPr>
        <w:tab/>
        <w:t>selvitys 10 artiklan 2 a kohdan mukaisesti valituista metsien ekosysteemejä koskevista indikaattoreista ja niiden soveltuvuudesta metsien ekosysteemien luonnon monimuotoisuuden lisäämiseen asianomaisessa jäsenvaltiossa;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br w:type="page"/>
      </w:r>
      <w:r w:rsidRPr="00B87DD1">
        <w:lastRenderedPageBreak/>
        <w:t>f)</w:t>
      </w:r>
      <w:r w:rsidRPr="00B87DD1">
        <w:tab/>
        <w:t>4–10 artiklan mukaisten ennallistamistoimenpiteiden käyttöönoton aikataulu;</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g)</w:t>
      </w:r>
      <w:r w:rsidRPr="00B87DD1">
        <w:tab/>
        <w:t xml:space="preserve">erityinen osio, jossa </w:t>
      </w:r>
      <w:proofErr w:type="gramStart"/>
      <w:r w:rsidRPr="00B87DD1">
        <w:t>esitetään tarvittaessa jäsenvaltion syrjäisimmillä alueilla toteutettavat räätälöidyt</w:t>
      </w:r>
      <w:proofErr w:type="gramEnd"/>
      <w:r w:rsidRPr="00B87DD1">
        <w:t xml:space="preserve"> ennallistamistoimenpiteet;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h)</w:t>
      </w:r>
      <w:r w:rsidRPr="00B87DD1">
        <w:tab/>
        <w:t>4 ja 5 artiklan mukainen ennallistamisen kohteena olevien alojen seuranta, menettely 4</w:t>
      </w:r>
      <w:r w:rsidRPr="00B87DD1">
        <w:noBreakHyphen/>
        <w:t>10 artiklan mukaisesti käyttöön otettujen ennallistamistoimenpiteiden toimivuuden arvioimiseksi ja tarvittaessa kyseisten toimenpiteiden tarkistamiseksi sen varmistamiseksi, että 4–10 artiklassa säädetyt tavoitteet ja velvoitteet täyttyvät;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i)</w:t>
      </w:r>
      <w:r w:rsidRPr="00B87DD1">
        <w:tab/>
        <w:t>tiedot säännöksistä, joilla varmistetaan 4–10 artiklassa tarkoitettujen ennallistamistoimenpiteiden jatkuvat, pitkäaikaiset ja kestävät vaikutukset;</w:t>
      </w:r>
    </w:p>
    <w:p w:rsidR="00184958" w:rsidRPr="00B87DD1" w:rsidRDefault="00FF7B51" w:rsidP="00FF7B51">
      <w:pPr>
        <w:widowControl/>
        <w:suppressAutoHyphens/>
        <w:spacing w:before="120" w:after="120" w:line="360" w:lineRule="auto"/>
        <w:ind w:left="1134" w:right="-1" w:hanging="567"/>
      </w:pPr>
      <w:r w:rsidRPr="00B87DD1">
        <w:t>j)</w:t>
      </w:r>
      <w:r w:rsidRPr="00B87DD1">
        <w:tab/>
        <w:t>ennallistamistoimenpiteisiin liittyvät arvioidut sivuhyödyt ilmastonmuutoksen hillitsemiselle</w:t>
      </w:r>
      <w:r w:rsidRPr="00B87DD1">
        <w:rPr>
          <w:b/>
          <w:i/>
        </w:rPr>
        <w:t xml:space="preserve"> ja maaperän tuottokyvyn heikentämisen nollatasolle</w:t>
      </w:r>
      <w:r w:rsidRPr="00B87DD1">
        <w:t xml:space="preserve"> ajan mittaan sekä näiden toimenpiteiden laajemmat sosioekonomiset hyödyt;</w:t>
      </w:r>
    </w:p>
    <w:p w:rsidR="0024662D" w:rsidRPr="00B87DD1" w:rsidRDefault="0024662D" w:rsidP="00FF7B51">
      <w:pPr>
        <w:widowControl/>
        <w:suppressAutoHyphens/>
        <w:spacing w:before="120" w:after="120" w:line="360" w:lineRule="auto"/>
        <w:ind w:left="1134" w:right="-1" w:hanging="567"/>
        <w:rPr>
          <w:rFonts w:eastAsia="Calibri"/>
          <w:b/>
          <w:szCs w:val="22"/>
        </w:rPr>
      </w:pPr>
      <w:r w:rsidRPr="00B87DD1">
        <w:rPr>
          <w:b/>
          <w:i/>
        </w:rPr>
        <w:t>j a)</w:t>
      </w:r>
      <w:r w:rsidRPr="00B87DD1">
        <w:tab/>
      </w:r>
      <w:r w:rsidRPr="00B87DD1">
        <w:rPr>
          <w:b/>
          <w:i/>
        </w:rPr>
        <w:t>ennallistamistoimenpiteiden täytäntöönpanon arvioitu sosioekonominen vaikutus;</w:t>
      </w:r>
      <w:r w:rsidRPr="00B87DD1">
        <w:rPr>
          <w:b/>
        </w:rPr>
        <w:t xml:space="preserve"> [tark. 69]</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k)</w:t>
      </w:r>
      <w:r w:rsidRPr="00B87DD1">
        <w:tab/>
        <w:t>erityinen osio, jossa esitetään, miten kansallisessa ennallistamissuunnitelmassa otetaan huomioon:</w:t>
      </w:r>
    </w:p>
    <w:p w:rsidR="00FF7B51" w:rsidRPr="00B87DD1" w:rsidRDefault="00FF7B51" w:rsidP="00FF7B51">
      <w:pPr>
        <w:widowControl/>
        <w:suppressAutoHyphens/>
        <w:spacing w:before="120" w:after="120" w:line="360" w:lineRule="auto"/>
        <w:ind w:left="1701" w:right="-1" w:hanging="567"/>
        <w:rPr>
          <w:rFonts w:eastAsia="Calibri"/>
          <w:szCs w:val="22"/>
        </w:rPr>
      </w:pPr>
      <w:r w:rsidRPr="00B87DD1">
        <w:t>i)</w:t>
      </w:r>
      <w:r w:rsidRPr="00B87DD1">
        <w:tab/>
        <w:t>ilmastonmuutosskenaarioiden merkitys ennallistamistoimenpiteiden tyypin ja sijainnin suunnittelussa;</w:t>
      </w:r>
    </w:p>
    <w:p w:rsidR="00FF7B51" w:rsidRPr="00B87DD1" w:rsidRDefault="00FF7B51" w:rsidP="00FF7B51">
      <w:pPr>
        <w:widowControl/>
        <w:suppressAutoHyphens/>
        <w:spacing w:before="120" w:after="120" w:line="360" w:lineRule="auto"/>
        <w:ind w:left="1701" w:right="-1" w:hanging="567"/>
        <w:rPr>
          <w:rFonts w:eastAsia="Calibri"/>
          <w:szCs w:val="22"/>
        </w:rPr>
      </w:pPr>
      <w:r w:rsidRPr="00B87DD1">
        <w:t>ii)</w:t>
      </w:r>
      <w:r w:rsidRPr="00B87DD1">
        <w:tab/>
        <w:t xml:space="preserve">ennallistamistoimenpiteiden mahdollisuudet minimoida ilmastonmuutoksen vaikutukset luontoon, </w:t>
      </w:r>
      <w:bookmarkStart w:id="77" w:name="_Hlk127911096"/>
      <w:r w:rsidRPr="00B87DD1">
        <w:t xml:space="preserve">ehkäistä </w:t>
      </w:r>
      <w:r w:rsidRPr="00B87DD1">
        <w:rPr>
          <w:b/>
          <w:i/>
        </w:rPr>
        <w:t>tai hillitä luonnonkatastrofien vaikutuksia</w:t>
      </w:r>
      <w:bookmarkEnd w:id="77"/>
      <w:r w:rsidRPr="00B87DD1">
        <w:t xml:space="preserve"> ja tukea sopeutumista;</w:t>
      </w:r>
    </w:p>
    <w:p w:rsidR="00FF7B51" w:rsidRPr="00B87DD1" w:rsidRDefault="00FF7B51" w:rsidP="00FF7B51">
      <w:pPr>
        <w:widowControl/>
        <w:suppressAutoHyphens/>
        <w:spacing w:before="120" w:after="120" w:line="360" w:lineRule="auto"/>
        <w:ind w:left="1701" w:right="-1" w:hanging="567"/>
        <w:rPr>
          <w:rFonts w:eastAsia="Calibri"/>
          <w:szCs w:val="22"/>
        </w:rPr>
      </w:pPr>
      <w:r w:rsidRPr="00B87DD1">
        <w:t>iii)</w:t>
      </w:r>
      <w:r w:rsidRPr="00B87DD1">
        <w:tab/>
        <w:t>synergia kansallisten sopeutumisstrategioiden tai -suunnitelmien ja kansallisten katastrofiriskien arviointiraporttien kanssa;</w:t>
      </w:r>
    </w:p>
    <w:p w:rsidR="00FF7B51" w:rsidRPr="00B87DD1" w:rsidRDefault="00FF7B51" w:rsidP="00FF7B51">
      <w:pPr>
        <w:widowControl/>
        <w:suppressAutoHyphens/>
        <w:spacing w:before="120" w:after="120" w:line="360" w:lineRule="auto"/>
        <w:ind w:left="1701" w:right="-1" w:hanging="567"/>
        <w:rPr>
          <w:rFonts w:eastAsia="Calibri"/>
          <w:szCs w:val="22"/>
        </w:rPr>
      </w:pPr>
      <w:r w:rsidRPr="00B87DD1">
        <w:t>iv)</w:t>
      </w:r>
      <w:r w:rsidRPr="00B87DD1">
        <w:tab/>
        <w:t>yleiskatsaus kansalliseen ennallistamissuunnitelmaan sisältyvien toimenpiteiden ja kansallisen energia- ja ilmastosuunnitelman välisestä vuorovaikutuksesta;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br w:type="page"/>
      </w:r>
      <w:r w:rsidRPr="00B87DD1">
        <w:lastRenderedPageBreak/>
        <w:t>l)</w:t>
      </w:r>
      <w:r w:rsidRPr="00B87DD1">
        <w:tab/>
        <w:t>ennallistamistoimenpiteiden täytäntöönpanoa varten arvioidut rahoitustarpeet, joihin on sisällyttävä kuvaus tuesta sidosryhmille, joihin ennallistamistoimenpiteet tai muut tästä asetuksesta johtuvat uudet velvoitteet vaikuttavat, sekä aiotun julkisen tai yksityisen rahoituksen keinot, mukaan lukien (yhteis)rahoitus unionin rahoitusvälineiden kanssa;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m)</w:t>
      </w:r>
      <w:r w:rsidRPr="00B87DD1">
        <w:tab/>
        <w:t>ilmoitus tuista, jotka vaikuttavat kielteisesti tavoitteiden saavuttamiseen ja tässä asetuksessa säädettyjen velvoitteiden täyttämiseen;</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n)</w:t>
      </w:r>
      <w:r w:rsidRPr="00B87DD1">
        <w:tab/>
        <w:t>yhteenveto kansallisen ennallistamissuunnitelman valmistelu- ja laatimisprosessista, mukaan lukien tiedot yleisön osallistumisesta ja siitä, miten paikallisyhteisöjen ja sidosryhmien tarpeet on otettu huomioon;</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o)</w:t>
      </w:r>
      <w:r w:rsidRPr="00B87DD1">
        <w:tab/>
        <w:t>erityinen osio, jossa esitetään, miten komission havainnot 14 artiklan 4 kohdassa tarkoitetusta kansallisen ennallistamissuunnitelman luonnoksesta on otettu huomioon 14 artiklan 5 kohdan mukaisesti. Jos asianomainen jäsenvaltio ei käsittele komission havaintoa tai merkittävää osaa siitä, kyseisen jäsenvaltion on esitettävä perustelunsa.</w:t>
      </w:r>
    </w:p>
    <w:p w:rsidR="00FF7B51" w:rsidRPr="00B87DD1" w:rsidRDefault="00FF7B51" w:rsidP="00FF7B51">
      <w:pPr>
        <w:widowControl/>
        <w:suppressAutoHyphens/>
        <w:spacing w:before="120" w:after="120" w:line="360" w:lineRule="auto"/>
        <w:ind w:left="567" w:right="-1" w:hanging="567"/>
        <w:rPr>
          <w:rFonts w:eastAsia="Calibri"/>
          <w:b/>
          <w:szCs w:val="22"/>
          <w:u w:val="single"/>
        </w:rPr>
      </w:pPr>
      <w:r w:rsidRPr="00B87DD1">
        <w:t>3.</w:t>
      </w:r>
      <w:r w:rsidRPr="00B87DD1">
        <w:tab/>
        <w:t xml:space="preserve">Kansallisiin ennallistamissuunnitelmiin on tarvittaessa sisällytettävä </w:t>
      </w:r>
      <w:r w:rsidRPr="00B87DD1">
        <w:rPr>
          <w:b/>
          <w:i/>
        </w:rPr>
        <w:t>säilyttämis- ja hoitotoimenpiteet</w:t>
      </w:r>
      <w:r w:rsidRPr="00B87DD1">
        <w:t xml:space="preserve">, jotka jäsenvaltio aikoo hyväksyä yhteisen kalastuspolitiikan mukaisesti, mukaan lukien yhteisissä suosituksissa esitetyt säilyttämistoimenpiteet, jotka jäsenvaltio aikoo käynnistää asetuksessa (EU) </w:t>
      </w:r>
      <w:proofErr w:type="gramStart"/>
      <w:r w:rsidRPr="00B87DD1">
        <w:t>N:o</w:t>
      </w:r>
      <w:proofErr w:type="gramEnd"/>
      <w:r w:rsidRPr="00B87DD1">
        <w:t xml:space="preserve"> 1380/2013 vahvistettua menettelyä noudattaen, sekä kaikki asiaankuuluvat tiedot kyseisistä toimenpiteistä.</w:t>
      </w:r>
    </w:p>
    <w:p w:rsidR="00FF7B51" w:rsidRPr="00B87DD1" w:rsidRDefault="00FF7B51" w:rsidP="00FF7B51">
      <w:pPr>
        <w:widowControl/>
        <w:tabs>
          <w:tab w:val="left" w:pos="4536"/>
        </w:tabs>
        <w:suppressAutoHyphens/>
        <w:spacing w:before="120" w:after="120" w:line="360" w:lineRule="auto"/>
        <w:ind w:left="567" w:right="-1" w:hanging="567"/>
        <w:rPr>
          <w:rFonts w:eastAsia="Calibri"/>
          <w:b/>
          <w:i/>
          <w:szCs w:val="22"/>
        </w:rPr>
      </w:pPr>
      <w:r w:rsidRPr="00B87DD1">
        <w:rPr>
          <w:b/>
          <w:i/>
        </w:rPr>
        <w:t>3 a.</w:t>
      </w:r>
      <w:r w:rsidRPr="00B87DD1">
        <w:rPr>
          <w:b/>
          <w:i/>
        </w:rPr>
        <w:tab/>
        <w:t>Kansallisiin ennallistamissuunnitelmiin on sisällyttävä katsaus kansalliseen ennallistamissuunnitelmaan sisältyvien toimenpiteiden ja yhteisen maatalouspolitiikan mukaisen kansallisen strategiasuunnitelman välisestä vuorovaikutuksesta</w:t>
      </w:r>
      <w:bookmarkStart w:id="78" w:name="_Hlk135811882"/>
      <w:r w:rsidRPr="00B87DD1">
        <w:rPr>
          <w:b/>
          <w:i/>
        </w:rPr>
        <w:t>.</w:t>
      </w:r>
      <w:bookmarkEnd w:id="78"/>
    </w:p>
    <w:p w:rsidR="00FF7B51" w:rsidRPr="00B87DD1" w:rsidRDefault="00FF7B51" w:rsidP="00FF7B51">
      <w:pPr>
        <w:widowControl/>
        <w:tabs>
          <w:tab w:val="left" w:pos="4536"/>
        </w:tabs>
        <w:suppressAutoHyphens/>
        <w:spacing w:before="120" w:after="120" w:line="360" w:lineRule="auto"/>
        <w:ind w:left="567" w:right="-1" w:hanging="567"/>
        <w:rPr>
          <w:rFonts w:eastAsia="Calibri"/>
          <w:b/>
          <w:i/>
          <w:szCs w:val="22"/>
        </w:rPr>
      </w:pPr>
      <w:r w:rsidRPr="00B87DD1">
        <w:br w:type="page"/>
      </w:r>
      <w:r w:rsidRPr="00B87DD1">
        <w:rPr>
          <w:b/>
          <w:i/>
        </w:rPr>
        <w:lastRenderedPageBreak/>
        <w:t>3 b</w:t>
      </w:r>
      <w:r w:rsidRPr="00B87DD1">
        <w:rPr>
          <w:b/>
          <w:i/>
        </w:rPr>
        <w:tab/>
        <w:t>Kansallisiin ennallistamissuunnitelmiin on tarvittaessa sisällyttävä katsaus 11 artiklan 9 a kohdassa tarkoitetuista näkökohdista, jotka liittyvät eri alueiden erilaisiin tilanteisiin.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Komissio hyväksyy täytäntöönpanosäädöksiä yhdenmukaisen muodon vahvistamiseksi ennallistamissuunnitelmille. Nämä täytäntöönpanosäädökset hyväksytään 21 artiklan 2 kohdassa tarkoitettua tarkastelumenettelyä noudattaen. Euroopan ympäristökeskus avustaa komissiota yhdenmukaisen muodon laatimisessa.</w:t>
      </w:r>
      <w:r w:rsidRPr="00B87DD1">
        <w:rPr>
          <w:b/>
          <w:i/>
        </w:rPr>
        <w:t xml:space="preserve"> Komissio toimittaa täytäntöönpanosäädöksiä koskevat luonnokset 21 artiklan 1 kohdassa tarkoitetulle komitealle viimeistään [päivämäärä = kolmen kuukauden kuluttua tämän asetuksen voimaantulosta seuraavan kuukauden ensimmäinen päivä].</w:t>
      </w:r>
    </w:p>
    <w:p w:rsidR="00FF7B51" w:rsidRPr="00B87DD1" w:rsidRDefault="00FF7B51" w:rsidP="00FF7B51">
      <w:pPr>
        <w:keepNext/>
        <w:widowControl/>
        <w:suppressAutoHyphens/>
        <w:spacing w:before="360" w:after="120" w:line="360" w:lineRule="auto"/>
        <w:ind w:right="-1"/>
        <w:jc w:val="center"/>
        <w:outlineLvl w:val="1"/>
        <w:rPr>
          <w:b/>
          <w:bCs/>
          <w:szCs w:val="26"/>
        </w:rPr>
      </w:pPr>
      <w:r w:rsidRPr="00B87DD1">
        <w:t>13 artikla</w:t>
      </w:r>
      <w:r w:rsidR="002D1B1C" w:rsidRPr="00B87DD1">
        <w:br/>
      </w:r>
      <w:r w:rsidRPr="00B87DD1">
        <w:rPr>
          <w:i/>
        </w:rPr>
        <w:t>Kansallisen ennallistamissuunnitelman luonnoksen toimittaminen</w:t>
      </w:r>
    </w:p>
    <w:p w:rsidR="00FF7B51" w:rsidRPr="00B87DD1" w:rsidRDefault="00FF7B51" w:rsidP="00FF7B51">
      <w:pPr>
        <w:widowControl/>
        <w:suppressAutoHyphens/>
        <w:spacing w:before="120" w:after="120" w:line="360" w:lineRule="auto"/>
        <w:ind w:right="-1"/>
        <w:rPr>
          <w:rFonts w:eastAsia="Calibri"/>
          <w:i/>
          <w:szCs w:val="22"/>
        </w:rPr>
      </w:pPr>
      <w:r w:rsidRPr="00B87DD1">
        <w:t xml:space="preserve">Jäsenvaltioiden on toimitettava 11 ja 12 artiklassa tarkoitetun kansallisen ennallistamissuunnitelman luonnos komissiolle viimeistään... päivänä...kuuta... </w:t>
      </w:r>
      <w:r w:rsidRPr="00B87DD1">
        <w:rPr>
          <w:i/>
        </w:rPr>
        <w:t>[julkaisutoimisto lisää päivämäärän = seuraavan kuukauden ensimmäinen päivä sen jälkeen, kun 24 kuukautta on kulunut tämän asetuksen voimaantulosta]</w:t>
      </w:r>
      <w:r w:rsidRPr="00B87DD1">
        <w:t>.</w:t>
      </w:r>
      <w:r w:rsidRPr="00B87DD1">
        <w:rPr>
          <w:i/>
        </w:rPr>
        <w:t xml:space="preserve"> </w:t>
      </w:r>
    </w:p>
    <w:p w:rsidR="00FF7B51" w:rsidRPr="00B87DD1" w:rsidRDefault="00FF7B51" w:rsidP="00FF7B51">
      <w:pPr>
        <w:keepNext/>
        <w:widowControl/>
        <w:suppressAutoHyphens/>
        <w:spacing w:before="360" w:after="120" w:line="360" w:lineRule="auto"/>
        <w:ind w:right="-1"/>
        <w:jc w:val="center"/>
        <w:outlineLvl w:val="1"/>
        <w:rPr>
          <w:b/>
          <w:bCs/>
          <w:szCs w:val="26"/>
        </w:rPr>
      </w:pPr>
      <w:bookmarkStart w:id="79" w:name="_Hlk133532019"/>
      <w:r w:rsidRPr="00B87DD1">
        <w:t>14 artikla</w:t>
      </w:r>
      <w:r w:rsidR="002D1B1C" w:rsidRPr="00B87DD1">
        <w:br/>
      </w:r>
      <w:r w:rsidRPr="00B87DD1">
        <w:rPr>
          <w:i/>
        </w:rPr>
        <w:t>Kansallisten ennallistamissuunnitelmien arviointi</w:t>
      </w:r>
      <w:r w:rsidRPr="00B87DD1">
        <w:rPr>
          <w:b/>
        </w:rPr>
        <w:t xml:space="preserve"> </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1.</w:t>
      </w:r>
      <w:r w:rsidRPr="00B87DD1">
        <w:tab/>
        <w:t>Komissio arvioi kansallisten ennallistamissuunnitelmien luonnokset kuuden kuukauden kuluessa niiden vastaanottamisesta. Komissio toimii kyseistä arviointia tehdessään tiiviissä yhteistyössä asianomaisen jäsenvaltion kanssa.</w:t>
      </w:r>
    </w:p>
    <w:p w:rsidR="00FF7B51" w:rsidRPr="00B87DD1" w:rsidRDefault="00FF7B51" w:rsidP="00184958">
      <w:pPr>
        <w:widowControl/>
        <w:suppressAutoHyphens/>
        <w:spacing w:before="120" w:after="120" w:line="360" w:lineRule="auto"/>
        <w:ind w:left="567" w:right="-1" w:hanging="567"/>
        <w:rPr>
          <w:b/>
          <w:color w:val="000000"/>
          <w:szCs w:val="24"/>
        </w:rPr>
      </w:pPr>
      <w:r w:rsidRPr="00B87DD1">
        <w:br w:type="page"/>
      </w:r>
      <w:r w:rsidRPr="00B87DD1">
        <w:lastRenderedPageBreak/>
        <w:t>2.</w:t>
      </w:r>
      <w:r w:rsidRPr="00B87DD1">
        <w:tab/>
        <w:t xml:space="preserve">Tarkastellessaan </w:t>
      </w:r>
      <w:r w:rsidR="002D1B1C" w:rsidRPr="00B87DD1">
        <w:rPr>
          <w:b/>
          <w:i/>
        </w:rPr>
        <w:t>kansallista ennallistamissuunnitelmaa</w:t>
      </w:r>
      <w:r w:rsidRPr="00B87DD1">
        <w:t xml:space="preserve"> komissio arvioi, onko suunnitelma 12 artiklan mukainen</w:t>
      </w:r>
      <w:r w:rsidR="002D1B1C" w:rsidRPr="00B87DD1">
        <w:t xml:space="preserve"> </w:t>
      </w:r>
      <w:r w:rsidRPr="00B87DD1">
        <w:t>ja onko se riittävä 4–10 artiklassa säädettyjen tavoitteiden ja velvoitteiden kannalta</w:t>
      </w:r>
      <w:r w:rsidR="00184958" w:rsidRPr="00B87DD1">
        <w:t xml:space="preserve"> </w:t>
      </w:r>
      <w:r w:rsidR="004435AF" w:rsidRPr="00B87DD1">
        <w:rPr>
          <w:b/>
          <w:i/>
        </w:rPr>
        <w:t>ja</w:t>
      </w:r>
      <w:r w:rsidRPr="00B87DD1">
        <w:t xml:space="preserve"> 1 artiklassa tarkoitettujen </w:t>
      </w:r>
      <w:bookmarkStart w:id="80" w:name="_Hlk137452102"/>
      <w:r w:rsidRPr="00B87DD1">
        <w:t>unionin yleisten tavoitteiden</w:t>
      </w:r>
      <w:bookmarkEnd w:id="80"/>
      <w:r w:rsidRPr="00B87DD1">
        <w:t xml:space="preserve"> 1 artiklassa tarkoitettujen unionin yleisten tavoitteiden </w:t>
      </w:r>
      <w:r w:rsidR="002D1B1C" w:rsidRPr="00B87DD1">
        <w:t>noudattamisen kannalta</w:t>
      </w:r>
      <w:r w:rsidR="00184958" w:rsidRPr="00B87DD1">
        <w:t xml:space="preserve"> </w:t>
      </w:r>
      <w:r w:rsidRPr="00B87DD1">
        <w:t xml:space="preserve">sekä 7 artiklan 1 kohdassa tarkoitettujen erityisten tavoitteiden </w:t>
      </w:r>
      <w:r w:rsidR="002D1B1C" w:rsidRPr="00B87DD1">
        <w:t xml:space="preserve">saavuttamisen kannalta </w:t>
      </w:r>
      <w:r w:rsidRPr="00B87DD1">
        <w:t xml:space="preserve">eli pystytäänkö </w:t>
      </w:r>
      <w:r w:rsidRPr="00B87DD1">
        <w:rPr>
          <w:color w:val="000000"/>
          <w:shd w:val="clear" w:color="auto" w:fill="FFFFFF"/>
        </w:rPr>
        <w:t xml:space="preserve">ennallistamaan vähintään </w:t>
      </w:r>
      <w:r w:rsidR="002D1B1C" w:rsidRPr="00B87DD1">
        <w:rPr>
          <w:b/>
          <w:i/>
        </w:rPr>
        <w:t>20</w:t>
      </w:r>
      <w:r w:rsidR="002D1B1C" w:rsidRPr="00B87DD1">
        <w:t> </w:t>
      </w:r>
      <w:r w:rsidR="002D1B1C" w:rsidRPr="00B87DD1">
        <w:rPr>
          <w:b/>
          <w:bCs/>
          <w:i/>
          <w:iCs/>
        </w:rPr>
        <w:t>000</w:t>
      </w:r>
      <w:r w:rsidRPr="00B87DD1">
        <w:rPr>
          <w:color w:val="000000"/>
          <w:shd w:val="clear" w:color="auto" w:fill="FFFFFF"/>
        </w:rPr>
        <w:t xml:space="preserve"> kilometriä jokia vapaasti virtaaviksi joiksi unionissa vuoteen </w:t>
      </w:r>
      <w:r w:rsidR="002D1B1C" w:rsidRPr="00B87DD1">
        <w:rPr>
          <w:b/>
          <w:i/>
        </w:rPr>
        <w:t>2035</w:t>
      </w:r>
      <w:r w:rsidRPr="00B87DD1">
        <w:rPr>
          <w:color w:val="000000"/>
          <w:shd w:val="clear" w:color="auto" w:fill="FFFFFF"/>
        </w:rPr>
        <w:t xml:space="preserve"> mennessä</w:t>
      </w:r>
      <w:r w:rsidR="002D1B1C" w:rsidRPr="00B87DD1">
        <w:rPr>
          <w:color w:val="000000"/>
          <w:shd w:val="clear" w:color="auto" w:fill="FFFFFF"/>
        </w:rPr>
        <w:t>.</w:t>
      </w:r>
      <w:r w:rsidRPr="00B87DD1">
        <w:t xml:space="preserve"> </w:t>
      </w:r>
      <w:r w:rsidR="002D1B1C" w:rsidRPr="00B87DD1">
        <w:rPr>
          <w:b/>
          <w:i/>
        </w:rPr>
        <w:t>Komissio tarkastelee myös sosioekonomista vaikutusta erityisesti maaseutualueilla</w:t>
      </w:r>
      <w:r w:rsidR="002D1B1C" w:rsidRPr="00B87DD1">
        <w:t xml:space="preserve"> ja </w:t>
      </w:r>
      <w:r w:rsidR="002D1B1C" w:rsidRPr="00B87DD1">
        <w:rPr>
          <w:b/>
          <w:i/>
        </w:rPr>
        <w:t>kansallisen ennallistamissuunnitelman vaikutusta erityisesti maa- ja metsätaloustuotantoon, jotta voidaan varmistaa, ettei se johda tuotannon siirtymiseen unionin ulkopuolelle</w:t>
      </w:r>
      <w:r w:rsidRPr="00B87DD1">
        <w:t>.</w:t>
      </w:r>
      <w:r w:rsidR="002D1B1C" w:rsidRPr="00B87DD1">
        <w:rPr>
          <w:b/>
        </w:rPr>
        <w:t xml:space="preserve"> [tark. 43]</w:t>
      </w:r>
    </w:p>
    <w:bookmarkEnd w:id="79"/>
    <w:p w:rsidR="00FF7B51" w:rsidRPr="00B87DD1" w:rsidRDefault="00FF7B51" w:rsidP="00FF7B51">
      <w:pPr>
        <w:widowControl/>
        <w:suppressAutoHyphens/>
        <w:spacing w:before="120" w:after="120" w:line="360" w:lineRule="auto"/>
        <w:ind w:left="567" w:right="-1" w:hanging="567"/>
        <w:rPr>
          <w:rFonts w:eastAsia="Calibri"/>
          <w:szCs w:val="22"/>
        </w:rPr>
      </w:pPr>
      <w:r w:rsidRPr="00B87DD1">
        <w:t>3.</w:t>
      </w:r>
      <w:r w:rsidRPr="00B87DD1">
        <w:tab/>
        <w:t>Kansallisten ennallistamissuunnitelmien luonnosten arvioinnissa komissiota avustavat asiantuntijat tai Euroopan ympäristökeskus.</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Komissio voi esittää havaintoja jäsenvaltioille kuuden kuukauden kuluessa siitä, kun kansallisen ennallistamissuunnitelman luonnos on vastaanotettu.</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5.</w:t>
      </w:r>
      <w:r w:rsidRPr="00B87DD1">
        <w:tab/>
        <w:t xml:space="preserve">Jäsenvaltioiden on otettava komission mahdolliset havainnot </w:t>
      </w:r>
      <w:r w:rsidRPr="00B87DD1">
        <w:rPr>
          <w:rFonts w:ascii="Arial" w:hAnsi="Arial"/>
          <w:snapToGrid w:val="0"/>
        </w:rPr>
        <w:t>▌</w:t>
      </w:r>
      <w:r w:rsidRPr="00B87DD1">
        <w:t>huomioon lopullisessa kansallisessa ennallistamissuunnitelmassaan.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6.</w:t>
      </w:r>
      <w:r w:rsidRPr="00B87DD1">
        <w:tab/>
        <w:t>Jäsenvaltioiden on viimeisteltävä, julkaistava ja toimitettava komissiolle kansallinen ennallistamissuunnitelmansa kuuden kuukauden kuluessa komission havaintojen vastaanottamisesta.</w:t>
      </w:r>
    </w:p>
    <w:p w:rsidR="00D46136" w:rsidRPr="00B87DD1" w:rsidRDefault="00FF7B51" w:rsidP="00FF7B51">
      <w:pPr>
        <w:keepNext/>
        <w:widowControl/>
        <w:suppressAutoHyphens/>
        <w:spacing w:before="360" w:after="120" w:line="360" w:lineRule="auto"/>
        <w:ind w:right="-1"/>
        <w:jc w:val="center"/>
        <w:outlineLvl w:val="1"/>
      </w:pPr>
      <w:r w:rsidRPr="00B87DD1">
        <w:br w:type="page"/>
      </w:r>
    </w:p>
    <w:p w:rsidR="00D46136" w:rsidRPr="00B87DD1" w:rsidRDefault="00D46136" w:rsidP="00184958">
      <w:pPr>
        <w:keepNext/>
        <w:widowControl/>
        <w:suppressAutoHyphens/>
        <w:spacing w:before="120" w:after="120" w:line="360" w:lineRule="auto"/>
        <w:ind w:right="-1"/>
        <w:jc w:val="center"/>
        <w:outlineLvl w:val="1"/>
        <w:rPr>
          <w:b/>
          <w:i/>
        </w:rPr>
      </w:pPr>
      <w:r w:rsidRPr="00B87DD1">
        <w:rPr>
          <w:b/>
          <w:i/>
        </w:rPr>
        <w:lastRenderedPageBreak/>
        <w:t>14 a artikla</w:t>
      </w:r>
      <w:r w:rsidRPr="00B87DD1">
        <w:rPr>
          <w:b/>
          <w:i/>
        </w:rPr>
        <w:br/>
        <w:t>Meriekosysteemien ennallistamistoimenpiteiden täytäntöönpano</w:t>
      </w:r>
    </w:p>
    <w:p w:rsidR="00D46136" w:rsidRPr="00B87DD1" w:rsidRDefault="00D46136" w:rsidP="00184958">
      <w:pPr>
        <w:widowControl/>
        <w:suppressAutoHyphens/>
        <w:spacing w:before="120" w:after="120" w:line="360" w:lineRule="auto"/>
        <w:ind w:left="567" w:right="-1" w:hanging="567"/>
        <w:rPr>
          <w:b/>
          <w:i/>
        </w:rPr>
      </w:pPr>
      <w:r w:rsidRPr="00B87DD1">
        <w:rPr>
          <w:b/>
          <w:i/>
        </w:rPr>
        <w:t>1.</w:t>
      </w:r>
      <w:r w:rsidRPr="00B87DD1">
        <w:rPr>
          <w:b/>
          <w:i/>
        </w:rPr>
        <w:tab/>
        <w:t xml:space="preserve">Jäsenvaltioiden, joiden kansallisiin ennallistamissuunnitelmiin sisältyy yhteisen kalastuspolitiikan mukaisia säilyttämistoimenpiteitä, jotka edellyttävät yhteisten suositusten toimittamista, on kuultava muita jäsenvaltioita, joilla on välitön kalastuksenhoitoetu asetuksen (EU) </w:t>
      </w:r>
      <w:proofErr w:type="gramStart"/>
      <w:r w:rsidRPr="00B87DD1">
        <w:rPr>
          <w:b/>
          <w:i/>
        </w:rPr>
        <w:t>N:o</w:t>
      </w:r>
      <w:proofErr w:type="gramEnd"/>
      <w:r w:rsidRPr="00B87DD1">
        <w:rPr>
          <w:b/>
          <w:i/>
        </w:rPr>
        <w:t xml:space="preserve"> 1380/2013 11 ja 18 artiklan mukaisesti, ja toimitettava suositukset yhdessä niiden muiden jäsenvaltioiden kanssa, joilla on välitön kalastuksenhoitoetu</w:t>
      </w:r>
    </w:p>
    <w:p w:rsidR="00D46136" w:rsidRPr="00B87DD1" w:rsidRDefault="00D46136" w:rsidP="00184958">
      <w:pPr>
        <w:keepNext/>
        <w:widowControl/>
        <w:suppressAutoHyphens/>
        <w:spacing w:before="120" w:after="120" w:line="360" w:lineRule="auto"/>
        <w:ind w:left="1418" w:hanging="567"/>
        <w:outlineLvl w:val="1"/>
        <w:rPr>
          <w:b/>
          <w:i/>
        </w:rPr>
      </w:pPr>
      <w:r w:rsidRPr="00B87DD1">
        <w:rPr>
          <w:b/>
          <w:i/>
        </w:rPr>
        <w:t>a)</w:t>
      </w:r>
      <w:r w:rsidRPr="00B87DD1">
        <w:rPr>
          <w:b/>
          <w:i/>
        </w:rPr>
        <w:tab/>
        <w:t>viimeistään 12 kuukauden kuluttua siitä, kun 5 artiklan 3 kohtaan liittyviä toimenpiteitä koskeva kansallinen ennallistamissuunnitelma on toimitettu lopullisesti;</w:t>
      </w:r>
    </w:p>
    <w:p w:rsidR="00D46136" w:rsidRPr="00B87DD1" w:rsidRDefault="00D46136" w:rsidP="00184958">
      <w:pPr>
        <w:keepNext/>
        <w:widowControl/>
        <w:suppressAutoHyphens/>
        <w:spacing w:before="120" w:after="120" w:line="360" w:lineRule="auto"/>
        <w:ind w:left="1418" w:hanging="567"/>
        <w:outlineLvl w:val="1"/>
        <w:rPr>
          <w:b/>
          <w:i/>
        </w:rPr>
      </w:pPr>
      <w:r w:rsidRPr="00B87DD1">
        <w:rPr>
          <w:b/>
          <w:i/>
        </w:rPr>
        <w:t>b)</w:t>
      </w:r>
      <w:r w:rsidRPr="00B87DD1">
        <w:rPr>
          <w:b/>
          <w:i/>
        </w:rPr>
        <w:tab/>
        <w:t>viimeistään 1 päivänä tammikuuta 2028 sellaisten ennallistamistoimenpiteiden osalta, jotka ovat tarpeen vuodeksi 2030 asetettujen tavoitteiden takaamiseksi;</w:t>
      </w:r>
    </w:p>
    <w:p w:rsidR="00D46136" w:rsidRPr="00B87DD1" w:rsidRDefault="00D46136" w:rsidP="00184958">
      <w:pPr>
        <w:keepNext/>
        <w:widowControl/>
        <w:suppressAutoHyphens/>
        <w:spacing w:before="120" w:after="120" w:line="360" w:lineRule="auto"/>
        <w:ind w:left="1418" w:hanging="567"/>
        <w:outlineLvl w:val="1"/>
        <w:rPr>
          <w:b/>
          <w:i/>
        </w:rPr>
      </w:pPr>
      <w:r w:rsidRPr="00B87DD1">
        <w:rPr>
          <w:b/>
          <w:i/>
        </w:rPr>
        <w:t>c)</w:t>
      </w:r>
      <w:r w:rsidRPr="00B87DD1">
        <w:rPr>
          <w:b/>
          <w:i/>
        </w:rPr>
        <w:tab/>
        <w:t>viimeistään 1 päivänä tammikuuta 2036 sellaisten ennallistamistoimenpiteiden osalta, jotka ovat tarpeen vuodelle 2040 asetettujen tavoitteiden saavuttamiseksi;</w:t>
      </w:r>
    </w:p>
    <w:p w:rsidR="00D46136" w:rsidRPr="00B87DD1" w:rsidRDefault="00D46136" w:rsidP="00184958">
      <w:pPr>
        <w:keepNext/>
        <w:widowControl/>
        <w:suppressAutoHyphens/>
        <w:spacing w:before="120" w:after="120" w:line="360" w:lineRule="auto"/>
        <w:ind w:left="1418" w:hanging="567"/>
        <w:outlineLvl w:val="1"/>
        <w:rPr>
          <w:b/>
          <w:i/>
        </w:rPr>
      </w:pPr>
      <w:r w:rsidRPr="00B87DD1">
        <w:rPr>
          <w:b/>
          <w:i/>
        </w:rPr>
        <w:t>d)</w:t>
      </w:r>
      <w:r w:rsidRPr="00B87DD1">
        <w:rPr>
          <w:b/>
          <w:i/>
        </w:rPr>
        <w:tab/>
        <w:t>viimeistään 1 päivänä tammikuuta 2046 ennallistamistoimenpiteiden osalta, jotka ovat tarpeen vuodeksi 2050 asetettujen tavoitteiden saavuttamiseksi.</w:t>
      </w:r>
    </w:p>
    <w:p w:rsidR="00D46136" w:rsidRPr="00B87DD1" w:rsidRDefault="00D46136" w:rsidP="00184958">
      <w:pPr>
        <w:widowControl/>
        <w:suppressAutoHyphens/>
        <w:spacing w:before="120" w:after="120" w:line="360" w:lineRule="auto"/>
        <w:ind w:left="567" w:right="-1" w:hanging="567"/>
        <w:rPr>
          <w:b/>
          <w:i/>
        </w:rPr>
      </w:pPr>
      <w:r w:rsidRPr="00B87DD1">
        <w:rPr>
          <w:b/>
          <w:i/>
        </w:rPr>
        <w:t>2.</w:t>
      </w:r>
      <w:r w:rsidRPr="00B87DD1">
        <w:rPr>
          <w:b/>
          <w:i/>
        </w:rPr>
        <w:tab/>
        <w:t>Komissio seuraa yhteisen kalastuspolitiikan mukaisten yhteisten suositusten toimittamiselle asetettujen määräaikojen noudattamista.</w:t>
      </w:r>
    </w:p>
    <w:p w:rsidR="00D46136" w:rsidRPr="00B87DD1" w:rsidRDefault="00D46136" w:rsidP="00184958">
      <w:pPr>
        <w:widowControl/>
        <w:suppressAutoHyphens/>
        <w:spacing w:before="120" w:after="120" w:line="360" w:lineRule="auto"/>
        <w:ind w:left="567" w:right="-1" w:hanging="567"/>
        <w:rPr>
          <w:b/>
        </w:rPr>
      </w:pPr>
      <w:r w:rsidRPr="00B87DD1">
        <w:rPr>
          <w:b/>
          <w:i/>
        </w:rPr>
        <w:t>3.</w:t>
      </w:r>
      <w:r w:rsidRPr="00B87DD1">
        <w:rPr>
          <w:b/>
          <w:i/>
        </w:rPr>
        <w:tab/>
        <w:t xml:space="preserve">Jos jäsenvaltiot eivät toimita asetuksessa (EU) </w:t>
      </w:r>
      <w:proofErr w:type="gramStart"/>
      <w:r w:rsidRPr="00B87DD1">
        <w:rPr>
          <w:b/>
          <w:i/>
        </w:rPr>
        <w:t>N:o</w:t>
      </w:r>
      <w:proofErr w:type="gramEnd"/>
      <w:r w:rsidRPr="00B87DD1">
        <w:rPr>
          <w:b/>
          <w:i/>
        </w:rPr>
        <w:t xml:space="preserve"> 1380/2013 vahvistettuja yhteisiä suosituksia ajoissa, komissio hyväksyy toimenpiteet viimeistään 12 kuukauden kuluttua tämän artiklan 1 kohdassa yhteisen suosituksen toimittamiselle asetetusta määräajasta käyttäen asetuksen (EU) N:o 1380/2013 11 artiklan 4 kohdan mukaisesti säädettyjä välineitä yhteisen suosituksen puuttuessa.</w:t>
      </w:r>
      <w:r w:rsidRPr="00B87DD1">
        <w:rPr>
          <w:b/>
        </w:rPr>
        <w:t xml:space="preserve"> [tark. 15]</w:t>
      </w:r>
    </w:p>
    <w:p w:rsidR="00D46136" w:rsidRPr="00B87DD1" w:rsidRDefault="00D46136">
      <w:pPr>
        <w:widowControl/>
      </w:pPr>
      <w:r w:rsidRPr="00B87DD1">
        <w:br w:type="page"/>
      </w:r>
    </w:p>
    <w:p w:rsidR="00FF7B51" w:rsidRPr="00B87DD1" w:rsidRDefault="00FF7B51" w:rsidP="00FF7B51">
      <w:pPr>
        <w:keepNext/>
        <w:widowControl/>
        <w:suppressAutoHyphens/>
        <w:spacing w:before="360" w:after="120" w:line="360" w:lineRule="auto"/>
        <w:ind w:right="-1"/>
        <w:jc w:val="center"/>
        <w:outlineLvl w:val="1"/>
        <w:rPr>
          <w:b/>
          <w:bCs/>
          <w:szCs w:val="26"/>
        </w:rPr>
      </w:pPr>
      <w:r w:rsidRPr="00B87DD1">
        <w:lastRenderedPageBreak/>
        <w:t>15 artikla</w:t>
      </w:r>
      <w:r w:rsidR="00D46136" w:rsidRPr="00B87DD1">
        <w:br/>
      </w:r>
      <w:r w:rsidRPr="00B87DD1">
        <w:rPr>
          <w:i/>
        </w:rPr>
        <w:t>Kansallisten ennallistamissuunnitelmien uudelleentarkastelu</w:t>
      </w:r>
      <w:r w:rsidRPr="00B87DD1">
        <w:rPr>
          <w:b/>
        </w:rPr>
        <w:t xml:space="preserve"> </w:t>
      </w:r>
    </w:p>
    <w:p w:rsidR="00FF7B51" w:rsidRPr="00B87DD1" w:rsidRDefault="00FF7B51" w:rsidP="00FF7B51">
      <w:pPr>
        <w:widowControl/>
        <w:suppressAutoHyphens/>
        <w:spacing w:before="120" w:after="120" w:line="360" w:lineRule="auto"/>
        <w:ind w:left="567" w:right="-1" w:hanging="567"/>
        <w:rPr>
          <w:rFonts w:eastAsia="Calibri"/>
          <w:szCs w:val="22"/>
        </w:rPr>
      </w:pPr>
      <w:bookmarkStart w:id="81" w:name="_Hlk130200924"/>
      <w:r w:rsidRPr="00B87DD1">
        <w:t>1.</w:t>
      </w:r>
      <w:r w:rsidRPr="00B87DD1">
        <w:tab/>
      </w:r>
      <w:bookmarkStart w:id="82" w:name="_Hlk130121139"/>
      <w:r w:rsidRPr="00B87DD1">
        <w:t xml:space="preserve">Jäsenvaltioiden </w:t>
      </w:r>
      <w:bookmarkStart w:id="83" w:name="_Hlk129763910"/>
      <w:r w:rsidRPr="00B87DD1">
        <w:t xml:space="preserve">on tarkasteltava uudelleen </w:t>
      </w:r>
      <w:r w:rsidRPr="00B87DD1">
        <w:rPr>
          <w:b/>
          <w:i/>
        </w:rPr>
        <w:t>ja tarkistettava</w:t>
      </w:r>
      <w:r w:rsidRPr="00B87DD1">
        <w:t xml:space="preserve"> kansallista ennallistamissuunnitelmaansa</w:t>
      </w:r>
      <w:bookmarkEnd w:id="83"/>
      <w:r w:rsidRPr="00B87DD1">
        <w:rPr>
          <w:b/>
          <w:i/>
        </w:rPr>
        <w:t xml:space="preserve"> ja sisällytettävä siihen täydentäviä toimenpiteitä ennen heinäkuuta 2032 ja ennen heinäkuuta 2042. Sen jälkeen jäsenvaltioiden on tarkasteltava uudelleen kansallista ennallistamissuunnitelmaansa vähintään kerran kymmenessä vuodessa ja tarvittaessa tarkistettava sitä ja sisällytettävä siihen täydentäviä toimenpiteitä.</w:t>
      </w:r>
      <w:r w:rsidRPr="00B87DD1">
        <w:t xml:space="preserve"> </w:t>
      </w:r>
      <w:r w:rsidRPr="00B87DD1">
        <w:rPr>
          <w:b/>
          <w:i/>
        </w:rPr>
        <w:t>Uudelleentarkastelut tehdään</w:t>
      </w:r>
      <w:r w:rsidRPr="00B87DD1">
        <w:t xml:space="preserve"> 11 ja 12 artiklan mukaisesti ottaen huomioon suunnitelmien täytäntöönpanossa saavutettu edistys, paras käytettävissä oleva tieteellinen näyttö sekä saatavilla oleva tietämys ilmastonmuutoksesta johtuvista ympäristöolosuhteiden muutoksista tai odotetuista muutoksista.</w:t>
      </w:r>
      <w:r w:rsidRPr="00B87DD1">
        <w:rPr>
          <w:b/>
          <w:i/>
        </w:rPr>
        <w:t xml:space="preserve"> Jäsenvaltioiden on ennen heinäkuuta 2032 ja ennen heinäkuuta 2042 tehtävissä uudelleentarkasteluissa otettava huomioon liitteissä I ja II lueteltujen luontotyyppien tilaa koskeva tietämys, jota on kertynyt 4 artiklan 4 a kohdan ja 5 artiklan 4 a kohdan velvoitteiden osana. </w:t>
      </w:r>
      <w:bookmarkStart w:id="84" w:name="_Hlk129597487"/>
      <w:bookmarkStart w:id="85" w:name="_Hlk130122214"/>
      <w:r w:rsidRPr="00B87DD1">
        <w:rPr>
          <w:b/>
          <w:i/>
        </w:rPr>
        <w:t>Jäsenvaltioiden on julkistettava tarkistetut kansalliset ennallistamissuunnitelmansa ja annettava ne tiedoksi komissiolle</w:t>
      </w:r>
      <w:bookmarkEnd w:id="82"/>
      <w:bookmarkEnd w:id="84"/>
      <w:bookmarkEnd w:id="85"/>
      <w:r w:rsidRPr="00B87DD1">
        <w:rPr>
          <w:b/>
          <w:i/>
        </w:rPr>
        <w:t xml:space="preserve">. </w:t>
      </w:r>
    </w:p>
    <w:bookmarkEnd w:id="81"/>
    <w:p w:rsidR="00FF7B51" w:rsidRPr="00B87DD1" w:rsidRDefault="00FF7B51" w:rsidP="00FF7B51">
      <w:pPr>
        <w:widowControl/>
        <w:suppressAutoHyphens/>
        <w:spacing w:before="120" w:after="120" w:line="360" w:lineRule="auto"/>
        <w:ind w:left="567" w:right="-1" w:hanging="567"/>
        <w:rPr>
          <w:rFonts w:eastAsia="Calibri"/>
          <w:szCs w:val="22"/>
        </w:rPr>
      </w:pPr>
      <w:r w:rsidRPr="00B87DD1">
        <w:t>2.</w:t>
      </w:r>
      <w:r w:rsidRPr="00B87DD1">
        <w:tab/>
        <w:t xml:space="preserve">Jos </w:t>
      </w:r>
      <w:r w:rsidRPr="00B87DD1">
        <w:rPr>
          <w:b/>
          <w:i/>
        </w:rPr>
        <w:t>17 artiklan mukaisessa seurannassa</w:t>
      </w:r>
      <w:r w:rsidRPr="00B87DD1">
        <w:t xml:space="preserve"> ilmenee, että kansallisessa ennallistamissuunnitelmassa esitetyt toimenpiteet eivät ole riittäviä 4–10 artiklassa säädettyjen tavoitteiden ja velvoitteiden noudattamiseksi 17 artiklan mukaisen seurannan perusteella, </w:t>
      </w:r>
      <w:r w:rsidRPr="00B87DD1">
        <w:rPr>
          <w:b/>
          <w:i/>
        </w:rPr>
        <w:t>jäsenvaltion</w:t>
      </w:r>
      <w:r w:rsidRPr="00B87DD1">
        <w:t xml:space="preserve"> on </w:t>
      </w:r>
      <w:r w:rsidRPr="00B87DD1">
        <w:rPr>
          <w:b/>
          <w:i/>
        </w:rPr>
        <w:t>tarkasteltava uudelleen</w:t>
      </w:r>
      <w:r w:rsidRPr="00B87DD1">
        <w:t xml:space="preserve"> kansallista ennallistamissuunnitelmaa ja </w:t>
      </w:r>
      <w:r w:rsidRPr="00B87DD1">
        <w:rPr>
          <w:b/>
          <w:i/>
        </w:rPr>
        <w:t>tarvittaessa tarkistettava sitä ja</w:t>
      </w:r>
      <w:r w:rsidRPr="00B87DD1">
        <w:t xml:space="preserve"> sisällytettävä siihen täydentäviä toimenpiteitä.</w:t>
      </w:r>
      <w:r w:rsidRPr="00B87DD1">
        <w:rPr>
          <w:b/>
          <w:i/>
        </w:rPr>
        <w:t xml:space="preserve"> Jäsenvaltioiden on julkistettava tarkistetut kansalliset ennallistamissuunnitelmat ja annettava ne tiedoksi komissiolle.</w:t>
      </w:r>
    </w:p>
    <w:p w:rsidR="00FF7B51" w:rsidRPr="00B87DD1" w:rsidRDefault="00FF7B51" w:rsidP="00FF7B51">
      <w:pPr>
        <w:widowControl/>
        <w:suppressAutoHyphens/>
        <w:spacing w:before="120" w:after="120" w:line="360" w:lineRule="auto"/>
        <w:ind w:left="567" w:right="-1" w:hanging="567"/>
        <w:rPr>
          <w:rFonts w:eastAsia="Calibri"/>
          <w:i/>
          <w:szCs w:val="22"/>
        </w:rPr>
      </w:pPr>
      <w:r w:rsidRPr="00B87DD1">
        <w:br w:type="page"/>
      </w:r>
      <w:r w:rsidRPr="00B87DD1">
        <w:lastRenderedPageBreak/>
        <w:t>3.</w:t>
      </w:r>
      <w:r w:rsidRPr="00B87DD1">
        <w:tab/>
        <w:t>Jos komissio katsoo 18 artiklan 1 ja 2 kohdassa tarkoitettujen tietojen ja 18 artiklan 4 ja 5 kohdassa tarkoitetun arvioinnin perusteella, että jäsenvaltion edistyminen ei riitä 4</w:t>
      </w:r>
      <w:r w:rsidRPr="00B87DD1">
        <w:noBreakHyphen/>
        <w:t>10 artiklassa säädettyjen tavoitteiden ja velvoitteiden noudattamiseen, komissio voi</w:t>
      </w:r>
      <w:r w:rsidRPr="00B87DD1">
        <w:rPr>
          <w:b/>
          <w:i/>
        </w:rPr>
        <w:t xml:space="preserve"> asianomaisen jäsenvaltion kuulemisen jälkeen</w:t>
      </w:r>
      <w:r w:rsidRPr="00B87DD1">
        <w:t xml:space="preserve"> pyytää </w:t>
      </w:r>
      <w:r w:rsidRPr="00B87DD1">
        <w:rPr>
          <w:rFonts w:ascii="Arial" w:hAnsi="Arial"/>
          <w:snapToGrid w:val="0"/>
        </w:rPr>
        <w:t>▌</w:t>
      </w:r>
      <w:r w:rsidRPr="00B87DD1">
        <w:t xml:space="preserve">jäsenvaltiota toimittamaan </w:t>
      </w:r>
      <w:r w:rsidRPr="00B87DD1">
        <w:rPr>
          <w:b/>
          <w:i/>
        </w:rPr>
        <w:t>tarkistetun</w:t>
      </w:r>
      <w:r w:rsidRPr="00B87DD1">
        <w:t xml:space="preserve"> kansallisen ennallistamissuunnitelman luonnoksen täydentävine toimenpiteineen. </w:t>
      </w:r>
      <w:r w:rsidRPr="00B87DD1">
        <w:rPr>
          <w:b/>
          <w:i/>
        </w:rPr>
        <w:t>Tarkistettu</w:t>
      </w:r>
      <w:r w:rsidRPr="00B87DD1">
        <w:t xml:space="preserve"> kansallinen ennallistamissuunnitelma, johon sisältyy täydentäviä toimenpiteitä, on julkaistava ja toimitettava kuuden kuukauden kuluessa siitä, kun komission pyyntö on vastaanotettu.</w:t>
      </w:r>
      <w:r w:rsidRPr="00B87DD1">
        <w:rPr>
          <w:b/>
          <w:i/>
        </w:rPr>
        <w:t xml:space="preserve"> Asianomaisen jäsenvaltion pyynnöstä ja asianmukaisesti perustelluissa tapauksissa komissio voi pidentää mainittua määräaikaa edelleen kuudella kuukaudella.</w:t>
      </w:r>
    </w:p>
    <w:p w:rsidR="00FF7B51" w:rsidRPr="00B87DD1" w:rsidRDefault="00FF7B51" w:rsidP="00FF7B51">
      <w:pPr>
        <w:widowControl/>
        <w:suppressAutoHyphens/>
        <w:spacing w:before="120" w:after="120" w:line="360" w:lineRule="auto"/>
        <w:ind w:left="600" w:right="-1"/>
        <w:rPr>
          <w:rFonts w:eastAsia="Calibri"/>
          <w:b/>
          <w:szCs w:val="22"/>
        </w:rPr>
      </w:pPr>
      <w:r w:rsidRPr="00B87DD1">
        <w:rPr>
          <w:sz w:val="22"/>
        </w:rPr>
        <w:t>▌</w:t>
      </w:r>
      <w:r w:rsidR="00863B39" w:rsidRPr="00B87DD1">
        <w:rPr>
          <w:b/>
          <w:sz w:val="22"/>
        </w:rPr>
        <w:t xml:space="preserve"> [tark. 18cp ja 44]</w:t>
      </w:r>
    </w:p>
    <w:p w:rsidR="00FF7B51" w:rsidRPr="00B87DD1" w:rsidRDefault="00FF7B51" w:rsidP="00FF7B51">
      <w:pPr>
        <w:keepNext/>
        <w:widowControl/>
        <w:suppressAutoHyphens/>
        <w:spacing w:before="360" w:after="360" w:line="360" w:lineRule="auto"/>
        <w:jc w:val="center"/>
        <w:outlineLvl w:val="0"/>
        <w:rPr>
          <w:b/>
          <w:bCs/>
          <w:smallCaps/>
          <w:sz w:val="32"/>
          <w:szCs w:val="28"/>
        </w:rPr>
      </w:pPr>
      <w:r w:rsidRPr="00B87DD1">
        <w:rPr>
          <w:b/>
          <w:smallCaps/>
          <w:sz w:val="32"/>
        </w:rPr>
        <w:t>IV LUKU</w:t>
      </w:r>
      <w:r w:rsidRPr="00B87DD1">
        <w:rPr>
          <w:b/>
          <w:smallCaps/>
          <w:sz w:val="32"/>
        </w:rPr>
        <w:cr/>
        <w:t>SEURANTA JA RAPORTOINTI</w:t>
      </w:r>
    </w:p>
    <w:p w:rsidR="00FF7B51" w:rsidRPr="00B87DD1" w:rsidRDefault="00FF7B51" w:rsidP="00FF7B51">
      <w:pPr>
        <w:keepNext/>
        <w:widowControl/>
        <w:suppressAutoHyphens/>
        <w:spacing w:before="360" w:after="120" w:line="360" w:lineRule="auto"/>
        <w:ind w:right="-1"/>
        <w:jc w:val="center"/>
        <w:outlineLvl w:val="1"/>
        <w:rPr>
          <w:bCs/>
          <w:i/>
          <w:szCs w:val="26"/>
        </w:rPr>
      </w:pPr>
      <w:r w:rsidRPr="00B87DD1">
        <w:t>17 artikla</w:t>
      </w:r>
      <w:r w:rsidR="00F0574F">
        <w:br/>
      </w:r>
      <w:r w:rsidRPr="00B87DD1">
        <w:rPr>
          <w:i/>
        </w:rPr>
        <w:t>Seuranta</w:t>
      </w:r>
    </w:p>
    <w:p w:rsidR="00FF7B51" w:rsidRPr="00B87DD1" w:rsidRDefault="00FF7B51" w:rsidP="00FF7B51">
      <w:pPr>
        <w:widowControl/>
        <w:suppressAutoHyphens/>
        <w:spacing w:before="120" w:after="120" w:line="360" w:lineRule="auto"/>
        <w:ind w:left="567" w:right="-1" w:hanging="567"/>
        <w:jc w:val="both"/>
        <w:rPr>
          <w:rFonts w:eastAsia="Calibri"/>
          <w:szCs w:val="22"/>
        </w:rPr>
      </w:pPr>
      <w:r w:rsidRPr="00B87DD1">
        <w:t>1.</w:t>
      </w:r>
      <w:r w:rsidRPr="00B87DD1">
        <w:tab/>
        <w:t>Jäsenvaltioiden on seurattava seuraavia:</w:t>
      </w:r>
    </w:p>
    <w:p w:rsidR="00FF7B51" w:rsidRPr="00B87DD1" w:rsidRDefault="00FF7B51" w:rsidP="00FF7B51">
      <w:pPr>
        <w:widowControl/>
        <w:suppressAutoHyphens/>
        <w:spacing w:before="120" w:after="120" w:line="360" w:lineRule="auto"/>
        <w:ind w:left="1134" w:right="-1" w:hanging="567"/>
        <w:rPr>
          <w:szCs w:val="22"/>
        </w:rPr>
      </w:pPr>
      <w:r w:rsidRPr="00B87DD1">
        <w:t>a)</w:t>
      </w:r>
      <w:r w:rsidRPr="00B87DD1">
        <w:tab/>
        <w:t>luontotyyppien tila ja tilan kehityssuunta sekä 4 ja 5 artiklassa tarkoitettujen lajien elinympäristöjen laatu ja laadun kehityssuunta alueilla, joihin sovelletaan 12 artiklan 2 kohdan h alakohdassa tarkoitettuun seurantaan perustuvia ennallistamistoimenpiteitä;</w:t>
      </w:r>
    </w:p>
    <w:p w:rsidR="00FF7B51" w:rsidRPr="00B87DD1" w:rsidRDefault="00FF7B51" w:rsidP="00FF7B51">
      <w:pPr>
        <w:widowControl/>
        <w:suppressAutoHyphens/>
        <w:spacing w:before="120" w:after="120" w:line="360" w:lineRule="auto"/>
        <w:ind w:left="1134" w:right="-1" w:hanging="567"/>
        <w:rPr>
          <w:szCs w:val="22"/>
        </w:rPr>
      </w:pPr>
      <w:r w:rsidRPr="00B87DD1">
        <w:t>b)</w:t>
      </w:r>
      <w:r w:rsidRPr="00B87DD1">
        <w:tab/>
        <w:t xml:space="preserve">6 artiklassa tarkoitetut kaupunkien viheralueet ja puiden latvuspeittävyys </w:t>
      </w:r>
      <w:r w:rsidRPr="00B87DD1">
        <w:rPr>
          <w:b/>
          <w:i/>
        </w:rPr>
        <w:t>11 artiklan 2 b kohdan mukaisesti määritetyillä kaupunkien ekosysteemialueilla</w:t>
      </w:r>
      <w:r w:rsidRPr="00B87DD1">
        <w:t>;</w:t>
      </w:r>
    </w:p>
    <w:p w:rsidR="00FF7B51" w:rsidRPr="00B87DD1" w:rsidRDefault="00FF7B51" w:rsidP="00FF7B51">
      <w:pPr>
        <w:widowControl/>
        <w:suppressAutoHyphens/>
        <w:spacing w:before="120" w:after="120" w:line="360" w:lineRule="auto"/>
        <w:ind w:left="1134" w:right="-1" w:hanging="567"/>
        <w:rPr>
          <w:szCs w:val="22"/>
        </w:rPr>
      </w:pPr>
      <w:r w:rsidRPr="00B87DD1">
        <w:t>c)</w:t>
      </w:r>
      <w:r w:rsidRPr="00B87DD1">
        <w:tab/>
        <w:t>liitteessä IV luetellut maatalouden ekosysteemien biodiversiteetti-indikaattorit;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d)</w:t>
      </w:r>
      <w:r w:rsidRPr="00B87DD1">
        <w:tab/>
        <w:t>liitteessä V lueteltujen yleisten viljelymaiden lintulajien kannat;</w:t>
      </w:r>
    </w:p>
    <w:p w:rsidR="00FF7B51" w:rsidRPr="00B87DD1" w:rsidRDefault="00FF7B51" w:rsidP="00FF7B51">
      <w:pPr>
        <w:widowControl/>
        <w:suppressAutoHyphens/>
        <w:spacing w:before="120" w:after="120" w:line="360" w:lineRule="auto"/>
        <w:ind w:left="1134" w:right="-1" w:hanging="567"/>
        <w:rPr>
          <w:rFonts w:eastAsia="Calibri"/>
          <w:b/>
          <w:szCs w:val="22"/>
          <w:u w:val="single"/>
        </w:rPr>
      </w:pPr>
      <w:r w:rsidRPr="00B87DD1">
        <w:t>e)</w:t>
      </w:r>
      <w:r w:rsidRPr="00B87DD1">
        <w:tab/>
      </w:r>
      <w:r w:rsidRPr="00B87DD1">
        <w:rPr>
          <w:b/>
          <w:i/>
        </w:rPr>
        <w:t>10 artiklan 2 kohdassa</w:t>
      </w:r>
      <w:r w:rsidRPr="00B87DD1">
        <w:t xml:space="preserve"> luetellut metsien ekosysteemien </w:t>
      </w:r>
      <w:r w:rsidRPr="00B87DD1">
        <w:rPr>
          <w:b/>
          <w:i/>
        </w:rPr>
        <w:t>kolme biodiversiteetti</w:t>
      </w:r>
      <w:r w:rsidRPr="00B87DD1">
        <w:rPr>
          <w:b/>
          <w:i/>
        </w:rPr>
        <w:noBreakHyphen/>
        <w:t>indikaattoria</w:t>
      </w:r>
      <w:r w:rsidRPr="00B87DD1">
        <w:t>;</w:t>
      </w:r>
    </w:p>
    <w:p w:rsidR="00FF7B51" w:rsidRPr="00B87DD1" w:rsidRDefault="00FF7B51" w:rsidP="00FF7B51">
      <w:pPr>
        <w:widowControl/>
        <w:suppressAutoHyphens/>
        <w:spacing w:before="120" w:after="120" w:line="360" w:lineRule="auto"/>
        <w:ind w:left="1134" w:right="-1" w:hanging="567"/>
        <w:rPr>
          <w:rFonts w:eastAsia="Calibri"/>
          <w:b/>
          <w:i/>
          <w:szCs w:val="22"/>
        </w:rPr>
      </w:pPr>
      <w:r w:rsidRPr="00B87DD1">
        <w:br w:type="page"/>
      </w:r>
      <w:r w:rsidRPr="00B87DD1">
        <w:rPr>
          <w:b/>
          <w:i/>
        </w:rPr>
        <w:lastRenderedPageBreak/>
        <w:t>e a)</w:t>
      </w:r>
      <w:r w:rsidRPr="00B87DD1">
        <w:rPr>
          <w:b/>
          <w:i/>
        </w:rPr>
        <w:tab/>
        <w:t>jäsenvaltioiden valitsemat, 10 artiklan 2 a kohdassa luetellut metsien ekosysteemien kolme biodiversiteetti-indikaattoria;</w:t>
      </w:r>
    </w:p>
    <w:p w:rsidR="00FF7B51" w:rsidRPr="00B87DD1" w:rsidRDefault="00FF7B51" w:rsidP="00FF7B51">
      <w:pPr>
        <w:widowControl/>
        <w:suppressAutoHyphens/>
        <w:spacing w:before="120" w:after="120" w:line="360" w:lineRule="auto"/>
        <w:ind w:left="1134" w:right="-1" w:hanging="567"/>
        <w:rPr>
          <w:szCs w:val="22"/>
        </w:rPr>
      </w:pPr>
      <w:r w:rsidRPr="00B87DD1">
        <w:t>f)</w:t>
      </w:r>
      <w:r w:rsidRPr="00B87DD1">
        <w:tab/>
        <w:t>pölyttäjälajien runsaus ja monimuotoisuus 8 artiklan 2 kohdan mukaisesti vahvistetun menetelmän mukaisesti;</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g)</w:t>
      </w:r>
      <w:r w:rsidRPr="00B87DD1">
        <w:tab/>
        <w:t>liitteissä I ja II lueteltujen luontotyyppien kattamien alueiden pinta-ala ja tila</w:t>
      </w:r>
      <w:r w:rsidRPr="00B87DD1">
        <w:rPr>
          <w:rFonts w:ascii="Arial" w:hAnsi="Arial"/>
          <w:snapToGrid w:val="0"/>
        </w:rPr>
        <w:t>▌</w:t>
      </w:r>
      <w:r w:rsidRPr="00B87DD1">
        <w: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h)</w:t>
      </w:r>
      <w:r w:rsidRPr="00B87DD1">
        <w:tab/>
        <w:t>edellä 4 artiklan 3 kohdassa ja 5 artiklan 3 kohdassa tarkoitettujen lajien elinympäristön alue ja laatu</w:t>
      </w:r>
      <w:r w:rsidRPr="00B87DD1">
        <w:rPr>
          <w:rFonts w:ascii="Arial" w:hAnsi="Arial"/>
          <w:snapToGrid w:val="0"/>
        </w:rPr>
        <w:t>▌</w:t>
      </w:r>
      <w:r w:rsidRPr="00B87DD1">
        <w: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2.</w:t>
      </w:r>
      <w:r w:rsidRPr="00B87DD1">
        <w:tab/>
        <w:t>Edellä olevan 1 kohdan a alakohdan mukainen seuranta on aloitettava heti, kun ennallistamistoimenpiteet on otettu käyttöön.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3.</w:t>
      </w:r>
      <w:r w:rsidRPr="00B87DD1">
        <w:tab/>
        <w:t>Edellä olevan 1 kohdan b, c, d</w:t>
      </w:r>
      <w:r w:rsidRPr="00B87DD1">
        <w:rPr>
          <w:b/>
          <w:i/>
        </w:rPr>
        <w:t>,</w:t>
      </w:r>
      <w:r w:rsidRPr="00B87DD1">
        <w:t xml:space="preserve"> e </w:t>
      </w:r>
      <w:r w:rsidRPr="00B87DD1">
        <w:rPr>
          <w:b/>
          <w:i/>
        </w:rPr>
        <w:t>ja e a</w:t>
      </w:r>
      <w:r w:rsidRPr="00B87DD1">
        <w:t xml:space="preserve"> alakohdan mukainen seuranta alkaa </w:t>
      </w:r>
      <w:r w:rsidRPr="00B87DD1">
        <w:rPr>
          <w:i/>
        </w:rPr>
        <w:t>[Julkaisutoimisto: lisätään tämän asetuksen voimaantulopäivä]</w:t>
      </w:r>
      <w:r w:rsidRPr="00B87DD1">
        <w: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Tämän artiklan 1 kohdan f alakohdan mukainen seuranta aloitetaan vuoden kuluttua 8 artiklan 2 kohdassa tarkoitetun täytäntöönpanosäädöksen voimaantulosta.</w:t>
      </w:r>
    </w:p>
    <w:p w:rsidR="00FF7B51" w:rsidRPr="00B87DD1" w:rsidRDefault="00FF7B51" w:rsidP="00FF7B51">
      <w:pPr>
        <w:widowControl/>
        <w:suppressAutoHyphens/>
        <w:spacing w:before="120" w:after="120" w:line="360" w:lineRule="auto"/>
        <w:ind w:left="567" w:right="-1" w:hanging="567"/>
        <w:rPr>
          <w:rFonts w:eastAsia="Calibri"/>
          <w:b/>
          <w:bCs/>
          <w:szCs w:val="22"/>
          <w:u w:val="single"/>
        </w:rPr>
      </w:pPr>
      <w:r w:rsidRPr="00B87DD1">
        <w:br w:type="page"/>
      </w:r>
      <w:r w:rsidRPr="00B87DD1">
        <w:lastRenderedPageBreak/>
        <w:t>5.</w:t>
      </w:r>
      <w:r w:rsidRPr="00B87DD1">
        <w:tab/>
        <w:t xml:space="preserve">Tämän artiklan 1 kohdan a </w:t>
      </w:r>
      <w:r w:rsidRPr="00B87DD1">
        <w:rPr>
          <w:b/>
          <w:i/>
        </w:rPr>
        <w:t>ja</w:t>
      </w:r>
      <w:r w:rsidRPr="00B87DD1">
        <w:t xml:space="preserve"> b alakohdan mukainen seuranta </w:t>
      </w:r>
      <w:r w:rsidRPr="00B87DD1">
        <w:rPr>
          <w:b/>
          <w:i/>
        </w:rPr>
        <w:t>on toteutettava vähintään joka kuudes vuosi. Tämän artiklan 1 kohdan c alakohdan mukainen seuranta</w:t>
      </w:r>
      <w:r w:rsidRPr="00B87DD1">
        <w:t xml:space="preserve">, joka koskee orgaanisen hiilen määrää viljelymaan kivennäismaassa ja sellaisen maatalousmaan osuutta, jolla on hyvin monimuotoisia maisemapiirteitä, ja e alakohdan mukainen seuranta, joka koskee pystyyn kuolleita puita </w:t>
      </w:r>
      <w:r w:rsidRPr="00B87DD1">
        <w:rPr>
          <w:b/>
          <w:i/>
        </w:rPr>
        <w:t>ja</w:t>
      </w:r>
      <w:r w:rsidRPr="00B87DD1">
        <w:t xml:space="preserve"> maahan kaatuneita kuolleita puita</w:t>
      </w:r>
      <w:r w:rsidRPr="00B87DD1">
        <w:rPr>
          <w:b/>
          <w:i/>
        </w:rPr>
        <w:t xml:space="preserve"> ja tapauksen mukaan</w:t>
      </w:r>
      <w:r w:rsidRPr="00B87DD1">
        <w:t xml:space="preserve"> eri-ikäisrakenteisten metsien osuutta, metsien kytkeytyneisyyttä</w:t>
      </w:r>
      <w:r w:rsidRPr="00B87DD1">
        <w:rPr>
          <w:b/>
          <w:i/>
        </w:rPr>
        <w:t>, sellaisen metsän osuutta, jossa valtalajina ovat kotoperäiset puulajit, puulajien monimuotoisuutta</w:t>
      </w:r>
      <w:r w:rsidRPr="00B87DD1">
        <w:t xml:space="preserve"> ja orgaanisen hiilen varantoa, on toteutettava vähintään </w:t>
      </w:r>
      <w:r w:rsidRPr="00B87DD1">
        <w:rPr>
          <w:b/>
          <w:i/>
        </w:rPr>
        <w:t>kuuden</w:t>
      </w:r>
      <w:r w:rsidRPr="00B87DD1">
        <w:t xml:space="preserve"> vuoden välein</w:t>
      </w:r>
      <w:r w:rsidRPr="00B87DD1">
        <w:rPr>
          <w:b/>
          <w:i/>
        </w:rPr>
        <w:t xml:space="preserve"> tai lyhyemmin aikavälein, mikäli tarpeen, jotta voidaan arvioida kasvavien suuntausten saavutuksia vuoteen 2030 mennessä</w:t>
      </w:r>
      <w:r w:rsidRPr="00B87DD1">
        <w:t xml:space="preserve">[ Kyseisen kohdan c alakohdan mukainen seuranta, </w:t>
      </w:r>
      <w:bookmarkStart w:id="86" w:name="_Hlk133507155"/>
      <w:r w:rsidRPr="00B87DD1">
        <w:t>joka koskee niittyperhosindeksiä, kyseisen kohdan d ja e alakohdan mukainen seuranta, joka koskee yleisten metsälintujen indeksiä, ja kyseisen kohdan f alakohdan mukainen seuranta, joka koskee pölyttäjälajeja</w:t>
      </w:r>
      <w:bookmarkEnd w:id="86"/>
      <w:r w:rsidRPr="00B87DD1">
        <w:t xml:space="preserve">, on toteutettava vuosittain. Kyseisen kohdan g ja h alakohdan mukainen seuranta on suoritettava vähintään joka kuudes vuosi, ja se on koordinoitava direktiivin 92/43/ETY 17 artiklan mukaisen raportointisyklin </w:t>
      </w:r>
      <w:r w:rsidRPr="00B87DD1">
        <w:rPr>
          <w:b/>
          <w:i/>
        </w:rPr>
        <w:t>ja direktiivin 2008/</w:t>
      </w:r>
      <w:r w:rsidR="00F0574F">
        <w:rPr>
          <w:b/>
          <w:i/>
        </w:rPr>
        <w:t>56/</w:t>
      </w:r>
      <w:r w:rsidRPr="00B87DD1">
        <w:rPr>
          <w:b/>
          <w:i/>
        </w:rPr>
        <w:t>EY 17 artiklan mukaisen alustavan arvioinnin</w:t>
      </w:r>
      <w:r w:rsidRPr="00B87DD1">
        <w:t xml:space="preserve"> kanssa.</w:t>
      </w:r>
    </w:p>
    <w:p w:rsidR="00FF7B51" w:rsidRPr="00B87DD1" w:rsidRDefault="00FF7B51" w:rsidP="00FF7B51">
      <w:pPr>
        <w:widowControl/>
        <w:suppressAutoHyphens/>
        <w:spacing w:before="120" w:after="120" w:line="360" w:lineRule="auto"/>
        <w:ind w:left="567" w:right="-1" w:hanging="567"/>
        <w:rPr>
          <w:rFonts w:eastAsia="Calibri"/>
          <w:b/>
          <w:szCs w:val="22"/>
          <w:u w:val="single"/>
        </w:rPr>
      </w:pPr>
      <w:r w:rsidRPr="00B87DD1">
        <w:t>6.</w:t>
      </w:r>
      <w:r w:rsidRPr="00B87DD1">
        <w:tab/>
        <w:t xml:space="preserve">Jäsenvaltioiden on varmistettava, että tämän asetuksen 9 artiklan 2 kohdan b alakohdassa tarkoitettuja maatalouden ekosysteemejä koskevia indikaattoreita ja 10 artiklan 2 kohdan a </w:t>
      </w:r>
      <w:r w:rsidRPr="00B87DD1">
        <w:rPr>
          <w:b/>
          <w:i/>
        </w:rPr>
        <w:t>ja</w:t>
      </w:r>
      <w:r w:rsidRPr="00B87DD1">
        <w:t xml:space="preserve"> b alakohdassa </w:t>
      </w:r>
      <w:r w:rsidRPr="00B87DD1">
        <w:rPr>
          <w:b/>
          <w:i/>
        </w:rPr>
        <w:t>ja 10 artiklan 2 a kohdan c alakohdassa</w:t>
      </w:r>
      <w:r w:rsidRPr="00B87DD1">
        <w:t xml:space="preserve"> tarkoitettuja metsien ekosysteemejä koskevia indikaattoreita seurataan tavalla, joka on yhdenmukainen asetuksissa (EU) 2018/841 ja (EU) 2018/1999 vaaditun seurannan kanssa.</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7.</w:t>
      </w:r>
      <w:r w:rsidRPr="00B87DD1">
        <w:tab/>
        <w:t>Jäsenvaltioiden on julkistettava tämän artiklan nojalla suoritetun seurannan tuottamat tiedot Euroopan parlamentin ja neuvoston direktiivin 2007/2/EY mukaisesti ja 5 kohdassa säädettyjen seurantatiheyksien mukaisesti.</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br w:type="page"/>
      </w:r>
      <w:r w:rsidRPr="00B87DD1">
        <w:lastRenderedPageBreak/>
        <w:t>8.</w:t>
      </w:r>
      <w:r w:rsidRPr="00B87DD1">
        <w:tab/>
        <w:t>Jäsenvaltioiden seurantajärjestelmien on perustuttava sähköisiin tietokantoihin ja paikkatietojärjestelmiin, ja niissä on maksimoitava kaukokartoitustekniikoista, maan havainnoinnista (Copernicus-palvelut), in situ -sensoreista ja -laitteista tai kansalaistieteestä saatavien tietojen ja palvelujen saatavuus ja käyttö hyödyntämällä tekoälyn, kehittyneen datan analyysin ja käsittelyn tarjoamia mahdollisuuksia.</w:t>
      </w:r>
    </w:p>
    <w:p w:rsidR="00FF7B51" w:rsidRPr="00B87DD1" w:rsidRDefault="00FF7B51" w:rsidP="00FF7B51">
      <w:pPr>
        <w:widowControl/>
        <w:suppressAutoHyphens/>
        <w:spacing w:before="120" w:after="120" w:line="360" w:lineRule="auto"/>
        <w:ind w:left="567" w:right="-1" w:hanging="567"/>
        <w:jc w:val="both"/>
        <w:rPr>
          <w:rFonts w:eastAsia="Calibri"/>
          <w:szCs w:val="22"/>
        </w:rPr>
      </w:pPr>
      <w:r w:rsidRPr="00B87DD1">
        <w:t>9.</w:t>
      </w:r>
      <w:r w:rsidRPr="00B87DD1">
        <w:tab/>
        <w:t>Komissio voi antaa täytäntöönpanosäädöksiä, joilla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a)</w:t>
      </w:r>
      <w:r w:rsidRPr="00B87DD1">
        <w:tab/>
        <w:t>määritetään menetelmät liitteessä IV lueteltujen maatalouden ekosysteemejä koskevien indikaattorien seuraamiseksi;</w:t>
      </w:r>
    </w:p>
    <w:p w:rsidR="00FF7B51" w:rsidRPr="00B87DD1" w:rsidRDefault="00FF7B51" w:rsidP="00FF7B51">
      <w:pPr>
        <w:widowControl/>
        <w:suppressAutoHyphens/>
        <w:spacing w:before="120" w:after="120" w:line="360" w:lineRule="auto"/>
        <w:ind w:left="1134" w:right="-1" w:hanging="567"/>
        <w:rPr>
          <w:rFonts w:eastAsia="Calibri"/>
          <w:b/>
          <w:bCs/>
          <w:szCs w:val="22"/>
          <w:u w:val="single"/>
        </w:rPr>
      </w:pPr>
      <w:r w:rsidRPr="00B87DD1">
        <w:t>b)</w:t>
      </w:r>
      <w:r w:rsidRPr="00B87DD1">
        <w:tab/>
        <w:t>määritetään menetelmät liitteessä VI lueteltujen metsien ekosysteemejä koskevien indikaattorien seuraamiseksi;</w:t>
      </w:r>
    </w:p>
    <w:p w:rsidR="00FF7B51" w:rsidRPr="00B87DD1" w:rsidRDefault="00FF7B51" w:rsidP="00FF7B51">
      <w:pPr>
        <w:widowControl/>
        <w:suppressAutoHyphens/>
        <w:spacing w:before="120" w:after="120" w:line="360" w:lineRule="auto"/>
        <w:ind w:left="1134" w:right="-1" w:hanging="567"/>
        <w:rPr>
          <w:rFonts w:eastAsia="Calibri"/>
          <w:b/>
          <w:bCs/>
          <w:szCs w:val="22"/>
          <w:u w:val="single"/>
        </w:rPr>
      </w:pPr>
      <w:r w:rsidRPr="00B87DD1">
        <w:t>c)</w:t>
      </w:r>
      <w:r w:rsidRPr="00B87DD1">
        <w:tab/>
      </w:r>
      <w:r w:rsidRPr="00B87DD1">
        <w:rPr>
          <w:b/>
          <w:i/>
        </w:rPr>
        <w:t>laaditaan ohjeelliset</w:t>
      </w:r>
      <w:r w:rsidRPr="00B87DD1">
        <w:t xml:space="preserve"> puitteet 10 artiklan </w:t>
      </w:r>
      <w:r w:rsidRPr="00B87DD1">
        <w:rPr>
          <w:b/>
          <w:i/>
        </w:rPr>
        <w:t>2 ja 2 a</w:t>
      </w:r>
      <w:r w:rsidRPr="00B87DD1">
        <w:t xml:space="preserve"> kohdassa tarkoitettujen tyydyttävien tasojen asettamiselle.</w:t>
      </w:r>
    </w:p>
    <w:p w:rsidR="00FF7B51" w:rsidRPr="00B87DD1" w:rsidRDefault="00FF7B51" w:rsidP="00FF7B51">
      <w:pPr>
        <w:widowControl/>
        <w:suppressAutoHyphens/>
        <w:spacing w:before="120" w:after="120" w:line="360" w:lineRule="auto"/>
        <w:ind w:left="567" w:right="-1" w:hanging="567"/>
        <w:rPr>
          <w:rFonts w:eastAsia="Calibri"/>
          <w:b/>
          <w:bCs/>
          <w:i/>
          <w:szCs w:val="22"/>
        </w:rPr>
      </w:pPr>
      <w:r w:rsidRPr="00B87DD1">
        <w:rPr>
          <w:b/>
          <w:i/>
        </w:rPr>
        <w:t>9 a.</w:t>
      </w:r>
      <w:r w:rsidRPr="00B87DD1">
        <w:rPr>
          <w:b/>
          <w:i/>
        </w:rPr>
        <w:tab/>
        <w:t>Komissio hyväksyy vuoteen 2028 mennessä täytäntöönpanosäädöksiä, joilla vahvistetaan ohjeelliset puitteet 6 artiklan 2 kohdassa, 6 artiklan 3 kohdassa, 8 artiklan 1 kohdassa ja 9 artiklan 2 kohdassa tarkoitettujen tyydyttävien tasojen asettamiselle.</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rPr>
          <w:b/>
          <w:i/>
        </w:rPr>
        <w:t>9 b.</w:t>
      </w:r>
      <w:r w:rsidRPr="00B87DD1">
        <w:tab/>
      </w:r>
      <w:r w:rsidRPr="00B87DD1">
        <w:rPr>
          <w:b/>
          <w:i/>
        </w:rPr>
        <w:t>Edellä 9 ja 9 a kohdan mukaiset</w:t>
      </w:r>
      <w:r w:rsidRPr="00B87DD1">
        <w:t xml:space="preserve"> täytäntöönpanosäädökset hyväksytään 21 artiklan 2 kohdassa tarkoitettua tarkastelumenettelyä noudattaen.</w:t>
      </w:r>
    </w:p>
    <w:p w:rsidR="004435AF" w:rsidRPr="00B87DD1" w:rsidRDefault="00FF7B51" w:rsidP="00FF7B51">
      <w:pPr>
        <w:keepNext/>
        <w:widowControl/>
        <w:suppressAutoHyphens/>
        <w:spacing w:before="360" w:after="120" w:line="360" w:lineRule="auto"/>
        <w:ind w:right="-1"/>
        <w:jc w:val="center"/>
        <w:outlineLvl w:val="1"/>
      </w:pPr>
      <w:r w:rsidRPr="00B87DD1">
        <w:br w:type="page"/>
      </w:r>
      <w:r w:rsidRPr="00B87DD1">
        <w:lastRenderedPageBreak/>
        <w:t>18 artikla</w:t>
      </w:r>
    </w:p>
    <w:p w:rsidR="00FF7B51" w:rsidRPr="00B87DD1" w:rsidRDefault="00FF7B51" w:rsidP="00FF7B51">
      <w:pPr>
        <w:keepNext/>
        <w:widowControl/>
        <w:suppressAutoHyphens/>
        <w:spacing w:before="360" w:after="120" w:line="360" w:lineRule="auto"/>
        <w:ind w:right="-1"/>
        <w:jc w:val="center"/>
        <w:outlineLvl w:val="1"/>
        <w:rPr>
          <w:b/>
          <w:bCs/>
          <w:szCs w:val="26"/>
        </w:rPr>
      </w:pPr>
      <w:r w:rsidRPr="00B87DD1">
        <w:rPr>
          <w:i/>
        </w:rPr>
        <w:t>Raportointi</w:t>
      </w:r>
      <w:r w:rsidRPr="00B87DD1">
        <w:rPr>
          <w:b/>
        </w:rPr>
        <w:t xml:space="preserve"> </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1.</w:t>
      </w:r>
      <w:r w:rsidRPr="00B87DD1">
        <w:tab/>
        <w:t xml:space="preserve">Jäsenvaltioiden on ilmoitettava komissiolle sähköisesti ala, johon sovelletaan 4–10 artiklassa tarkoitettuja ennallistamistoimenpiteitä, ja 7 artiklassa tarkoitetut esteet, jotka on poistettu, </w:t>
      </w:r>
      <w:bookmarkStart w:id="87" w:name="_Hlk134702956"/>
      <w:r w:rsidRPr="00B87DD1">
        <w:rPr>
          <w:b/>
          <w:i/>
        </w:rPr>
        <w:t>vähintään joka kolmas vuosi</w:t>
      </w:r>
      <w:r w:rsidRPr="00B87DD1">
        <w:t>.</w:t>
      </w:r>
      <w:r w:rsidRPr="00B87DD1">
        <w:rPr>
          <w:b/>
          <w:i/>
        </w:rPr>
        <w:t xml:space="preserve"> Ensimmäinen raportti on toimitettava kesäkuussa 2028.</w:t>
      </w:r>
    </w:p>
    <w:bookmarkEnd w:id="87"/>
    <w:p w:rsidR="00FF7B51" w:rsidRPr="00B87DD1" w:rsidRDefault="00FF7B51" w:rsidP="00FF7B51">
      <w:pPr>
        <w:widowControl/>
        <w:suppressAutoHyphens/>
        <w:spacing w:before="120" w:after="120" w:line="360" w:lineRule="auto"/>
        <w:ind w:left="567" w:right="-1" w:hanging="567"/>
        <w:rPr>
          <w:rFonts w:eastAsia="Calibri"/>
          <w:szCs w:val="22"/>
        </w:rPr>
      </w:pPr>
      <w:r w:rsidRPr="00B87DD1">
        <w:t>2.</w:t>
      </w:r>
      <w:r w:rsidRPr="00B87DD1">
        <w:tab/>
        <w:t xml:space="preserve">Jäsenvaltioiden on toimitettava komissiolle, jota avustaa Euroopan ympäristökeskus, vähintään joka </w:t>
      </w:r>
      <w:r w:rsidRPr="00B87DD1">
        <w:rPr>
          <w:b/>
          <w:i/>
        </w:rPr>
        <w:t>kuudes</w:t>
      </w:r>
      <w:r w:rsidRPr="00B87DD1">
        <w:t xml:space="preserve"> vuosi, sähköisesti seuraavat tiedot: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a)</w:t>
      </w:r>
      <w:r w:rsidRPr="00B87DD1">
        <w:tab/>
        <w:t>edistyminen kansallisen ennallistamissuunnitelman täytäntöönpanossa, ennallistamistoimenpiteiden käyttöönotossa ja 4–10 artiklan mukaisesti asetettujen tavoitteiden ja velvoitteiden noudattamisessa;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b)</w:t>
      </w:r>
      <w:r w:rsidRPr="00B87DD1">
        <w:tab/>
        <w:t xml:space="preserve">17 artiklan mukaisesti toteutetun seurannan tulokset. Raportointi 17 artiklan 1 kohdan g ja h alakohdan mukaisesti suoritetun seurannan tuloksista </w:t>
      </w:r>
      <w:r w:rsidRPr="00B87DD1">
        <w:rPr>
          <w:b/>
          <w:i/>
        </w:rPr>
        <w:t>on</w:t>
      </w:r>
      <w:r w:rsidRPr="00B87DD1">
        <w:t xml:space="preserve"> toimitettava myös</w:t>
      </w:r>
      <w:r w:rsidRPr="00B87DD1">
        <w:rPr>
          <w:b/>
          <w:i/>
        </w:rPr>
        <w:t>, ja niiden on sisällettävä paikkatietokarttoja</w:t>
      </w:r>
      <w:r w:rsidRPr="00B87DD1">
        <w:t>;</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c)</w:t>
      </w:r>
      <w:r w:rsidRPr="00B87DD1">
        <w:tab/>
        <w:t>niiden alueiden sijainti ja laajuus, joihin sovelletaan 4 artiklassa, 5 artiklassa ja 9 artiklan 4 kohdassa tarkoitettuja ennallistamistoimenpiteitä, mukaan lukien paikkatietokartta kyseisistä alueista;</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d)</w:t>
      </w:r>
      <w:r w:rsidRPr="00B87DD1">
        <w:tab/>
        <w:t>7 artiklan 1 kohdassa tarkoitettu päivitetty luettelo esteistä;</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t>e)</w:t>
      </w:r>
      <w:r w:rsidRPr="00B87DD1">
        <w:tab/>
        <w:t>tiedot edistymisestä rahoitustarpeiden täyttämisessä 12 artiklan 2 kohdan 1 alakohdan mukaisesti, mukaan lukien tarkastelu, jossa toteutuneita investointeja verrataan alkuperäisiin investointioletuksiin.</w:t>
      </w:r>
    </w:p>
    <w:p w:rsidR="00FF7B51" w:rsidRPr="00B87DD1" w:rsidRDefault="00FF7B51" w:rsidP="00FF7B51">
      <w:pPr>
        <w:widowControl/>
        <w:suppressAutoHyphens/>
        <w:spacing w:before="120" w:after="120" w:line="360" w:lineRule="auto"/>
        <w:ind w:right="-1"/>
        <w:rPr>
          <w:rFonts w:eastAsia="Calibri"/>
          <w:szCs w:val="22"/>
        </w:rPr>
      </w:pPr>
      <w:r w:rsidRPr="00B87DD1">
        <w:t>Ensimmäiset kertomukset on toimitettava kesäkuussa 2031, ja niiden on katettava ajanjakso vuoteen 2030 saakka.</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br w:type="page"/>
      </w:r>
      <w:r w:rsidRPr="00B87DD1">
        <w:lastRenderedPageBreak/>
        <w:t>3.</w:t>
      </w:r>
      <w:r w:rsidRPr="00B87DD1">
        <w:tab/>
        <w:t>Komissio hyväksyy täytäntöönpanosäädöksiä, joissa vahvistetaan muoto, rakenne ja yksityiskohtaiset järjestelyt tämän artiklan 1 ja 2 kohdassa tarkoitettujen tietojen esittämistä varten. Nämä täytäntöönpanosäädökset hyväksytään 21 artiklan 2 kohdassa tarkoitettua tarkastelumenettelyä noudattaen. Euroopan ympäristökeskus avustaa komissiota sähköisen raportoinnin muodon, rakenteen ja yksityiskohtaisten järjestelyjen laatimisessa.</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 xml:space="preserve">Euroopan ympäristökeskus toimittaa </w:t>
      </w:r>
      <w:r w:rsidRPr="00B87DD1">
        <w:rPr>
          <w:b/>
          <w:i/>
        </w:rPr>
        <w:t>joka kolmas vuosi</w:t>
      </w:r>
      <w:r w:rsidRPr="00B87DD1">
        <w:t xml:space="preserve"> komissiolle jäsenvaltioiden tämän artiklan 1 kohdan ja 17 artiklan 7 kohdan mukaisesti saataville asettamien tietojen perusteella </w:t>
      </w:r>
      <w:r w:rsidRPr="00B87DD1">
        <w:rPr>
          <w:rFonts w:ascii="Arial" w:hAnsi="Arial"/>
          <w:snapToGrid w:val="0"/>
        </w:rPr>
        <w:t>▌</w:t>
      </w:r>
      <w:r w:rsidRPr="00B87DD1">
        <w:t>teknisen katsauksen edistymisestä tässä asetuksessa säädettyjen tavoitteiden ja velvoitteiden noudattamisessa.</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5.</w:t>
      </w:r>
      <w:r w:rsidRPr="00B87DD1">
        <w:tab/>
        <w:t xml:space="preserve">Euroopan ympäristökeskus toimittaa komissiolle jäsenvaltioiden tämän artiklan 1, 2 ja 3 kohdan mukaisesti saataville asettamien tietojen perusteella vuosittain unionin laajuisen teknisen katsauksen edistymisestä tässä asetuksessa säädettyjen tavoitteiden ja velvoitteiden noudattamisessa. Se voi myös käyttää direktiivin 92/43/ETY 17 artiklan, direktiivin 2000/60/EY 15 artiklan, direktiivin 2009/147/EY 12 artiklan ja direktiivin 2008/56/EY </w:t>
      </w:r>
      <w:r w:rsidRPr="00B87DD1">
        <w:rPr>
          <w:b/>
          <w:i/>
        </w:rPr>
        <w:t>17 </w:t>
      </w:r>
      <w:r w:rsidRPr="00B87DD1">
        <w:t>artiklan mukaisesti raportoituja tietoja. Kertomus on toimitettava kesäkuuhun 2032 mennessä ja sen jälkeen kolmen vuoden välein.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6.</w:t>
      </w:r>
      <w:r w:rsidRPr="00B87DD1">
        <w:tab/>
        <w:t xml:space="preserve">Komissio antaa </w:t>
      </w:r>
      <w:r w:rsidRPr="00B87DD1">
        <w:rPr>
          <w:b/>
          <w:i/>
        </w:rPr>
        <w:t>[neljän vuoden kuluttua tämän asetuksen voimaantulosta]</w:t>
      </w:r>
      <w:r w:rsidRPr="00B87DD1">
        <w:t xml:space="preserve"> alkaen Euroopan parlamentille ja neuvostolle joka </w:t>
      </w:r>
      <w:r w:rsidRPr="00B87DD1">
        <w:rPr>
          <w:b/>
          <w:i/>
        </w:rPr>
        <w:t>kuudes</w:t>
      </w:r>
      <w:r w:rsidRPr="00B87DD1">
        <w:t xml:space="preserve"> vuosi kertomuksen tämän asetuksen täytäntöönpanosta.</w:t>
      </w:r>
    </w:p>
    <w:p w:rsidR="00050179" w:rsidRPr="00B87DD1" w:rsidRDefault="00FF7B51">
      <w:pPr>
        <w:widowControl/>
        <w:spacing w:before="120" w:after="120" w:line="360" w:lineRule="auto"/>
        <w:ind w:left="851" w:hanging="851"/>
        <w:rPr>
          <w:b/>
          <w:i/>
        </w:rPr>
      </w:pPr>
      <w:r w:rsidRPr="00B87DD1">
        <w:br w:type="page"/>
      </w:r>
      <w:r w:rsidRPr="00B87DD1">
        <w:rPr>
          <w:b/>
          <w:i/>
        </w:rPr>
        <w:lastRenderedPageBreak/>
        <w:t>6 a.</w:t>
      </w:r>
      <w:r w:rsidRPr="00B87DD1">
        <w:rPr>
          <w:b/>
          <w:i/>
        </w:rPr>
        <w:tab/>
      </w:r>
      <w:r w:rsidR="00050179" w:rsidRPr="00B87DD1">
        <w:rPr>
          <w:b/>
          <w:i/>
        </w:rPr>
        <w:t>Komissio antaa jäsenvaltioita kuultuaan 12 kuukauden kuluessa tämän asetuksen voimaantulosta Euroopan parlamentille ja neuvostolle kertomuksen, joka sisältää seuraavat:</w:t>
      </w:r>
    </w:p>
    <w:p w:rsidR="00050179" w:rsidRPr="00B87DD1" w:rsidRDefault="00050179" w:rsidP="00050179">
      <w:pPr>
        <w:widowControl/>
        <w:spacing w:before="120" w:after="120" w:line="360" w:lineRule="auto"/>
        <w:ind w:left="851" w:hanging="851"/>
        <w:rPr>
          <w:b/>
          <w:i/>
        </w:rPr>
      </w:pPr>
      <w:r w:rsidRPr="00B87DD1">
        <w:rPr>
          <w:b/>
          <w:i/>
        </w:rPr>
        <w:t>a)</w:t>
      </w:r>
      <w:r w:rsidRPr="00B87DD1">
        <w:rPr>
          <w:b/>
          <w:i/>
        </w:rPr>
        <w:tab/>
        <w:t>yleiskatsaus unionin tasolla käytettävissä olevista taloudellisista resursseista tämän asetuksen täytäntöönpanoa varten;</w:t>
      </w:r>
    </w:p>
    <w:p w:rsidR="00050179" w:rsidRPr="00B87DD1" w:rsidRDefault="00050179" w:rsidP="00050179">
      <w:pPr>
        <w:widowControl/>
        <w:spacing w:before="120" w:after="120" w:line="360" w:lineRule="auto"/>
        <w:ind w:left="851" w:hanging="851"/>
        <w:rPr>
          <w:b/>
          <w:i/>
        </w:rPr>
      </w:pPr>
      <w:r w:rsidRPr="00B87DD1">
        <w:rPr>
          <w:b/>
          <w:i/>
        </w:rPr>
        <w:t>b)</w:t>
      </w:r>
      <w:r w:rsidRPr="00B87DD1">
        <w:rPr>
          <w:b/>
          <w:i/>
        </w:rPr>
        <w:tab/>
        <w:t>arvio rahoitustarpeesta 4–10 artiklan täytäntöönpanemiseksi ja 1 artiklan 2 kohdassa asetetun tavoitteen saavuttamiseksi;</w:t>
      </w:r>
    </w:p>
    <w:p w:rsidR="00050179" w:rsidRPr="00B87DD1" w:rsidRDefault="00050179" w:rsidP="00050179">
      <w:pPr>
        <w:widowControl/>
        <w:spacing w:before="120" w:after="120" w:line="360" w:lineRule="auto"/>
        <w:ind w:left="851" w:hanging="851"/>
        <w:rPr>
          <w:b/>
          <w:i/>
        </w:rPr>
      </w:pPr>
      <w:r w:rsidRPr="00B87DD1">
        <w:rPr>
          <w:b/>
          <w:i/>
        </w:rPr>
        <w:t>c)</w:t>
      </w:r>
      <w:r w:rsidRPr="00B87DD1">
        <w:rPr>
          <w:b/>
          <w:i/>
        </w:rPr>
        <w:tab/>
        <w:t>analyysi, jossa yksilöidään mahdolliset rahoitusvajeet asetuksessa säädettyjen velvoitteiden täytäntöönpanossa, mukaan lukien taloudellinen korvaus maanomistajille ja maankäyttäjille suoraan tämän asetuksen täytäntöönpanosta johtuvista mahdollisista tappioista;</w:t>
      </w:r>
    </w:p>
    <w:p w:rsidR="00FF7B51" w:rsidRPr="00B87DD1" w:rsidRDefault="00050179" w:rsidP="00184958">
      <w:pPr>
        <w:widowControl/>
        <w:spacing w:before="120" w:after="120" w:line="360" w:lineRule="auto"/>
        <w:ind w:left="851" w:hanging="851"/>
        <w:rPr>
          <w:rFonts w:eastAsia="Calibri"/>
          <w:b/>
          <w:bCs/>
          <w:i/>
          <w:szCs w:val="22"/>
        </w:rPr>
      </w:pPr>
      <w:r w:rsidRPr="00B87DD1">
        <w:rPr>
          <w:b/>
          <w:i/>
        </w:rPr>
        <w:t>d)</w:t>
      </w:r>
      <w:r w:rsidRPr="00B87DD1">
        <w:rPr>
          <w:b/>
          <w:i/>
        </w:rPr>
        <w:tab/>
        <w:t xml:space="preserve">tarvittaessa ehdotuksia asianmukaisiksi lisätoimenpiteiksi, rahoitustoimenpiteet mukaan lukien, havaittujen tarpeiden korjaamiseksi, kuten erityisen välineen perustaminen, ja rajoittamatta vuoden 2027 jälkeisen monivuotisen rahoituskehyksen hyväksymistä koskevia lainsäätäjien valtaoikeuksia. </w:t>
      </w:r>
      <w:r w:rsidRPr="00B87DD1">
        <w:rPr>
          <w:b/>
        </w:rPr>
        <w:t>[tark.</w:t>
      </w:r>
      <w:proofErr w:type="gramStart"/>
      <w:r w:rsidRPr="00B87DD1">
        <w:rPr>
          <w:b/>
        </w:rPr>
        <w:t>11 ]</w:t>
      </w:r>
      <w:proofErr w:type="gramEnd"/>
      <w:r w:rsidRPr="00B87DD1">
        <w:rPr>
          <w:b/>
          <w:i/>
        </w:rPr>
        <w:t xml:space="preserve"> </w:t>
      </w:r>
    </w:p>
    <w:p w:rsidR="00FF7B51" w:rsidRPr="00B87DD1" w:rsidRDefault="00FF7B51" w:rsidP="00863B39">
      <w:pPr>
        <w:widowControl/>
        <w:suppressAutoHyphens/>
        <w:spacing w:before="120" w:after="120" w:line="360" w:lineRule="auto"/>
        <w:ind w:left="567" w:right="-1" w:hanging="567"/>
        <w:rPr>
          <w:rFonts w:eastAsia="Calibri"/>
          <w:szCs w:val="22"/>
          <w:lang w:eastAsia="en-US"/>
        </w:rPr>
      </w:pPr>
      <w:r w:rsidRPr="00B87DD1">
        <w:t>7.</w:t>
      </w:r>
      <w:r w:rsidRPr="00B87DD1">
        <w:tab/>
        <w:t>Jäsenvaltioiden on varmistettava, että 1 ja 2 kohdassa tarkoitetut tiedot ovat riittäviä ja ajantasaisia ja että ne ovat yleisön saatavilla Euroopan parlamentin ja neuvoston direktiivin 2003/4/EY, Euroopan parlamentin ja neuvoston direktiivin 2007/2/EY ja Euroopan parlamentin ja neuvoston direktiivin (EU) 2019/1024 mukaisesti.</w:t>
      </w:r>
    </w:p>
    <w:p w:rsidR="00F40405" w:rsidRPr="00B87DD1" w:rsidRDefault="00FF7B51">
      <w:pPr>
        <w:widowControl/>
        <w:rPr>
          <w:b/>
        </w:rPr>
      </w:pPr>
      <w:r w:rsidRPr="00B87DD1">
        <w:br w:type="page"/>
      </w:r>
    </w:p>
    <w:p w:rsidR="00FF7B51" w:rsidRPr="00B87DD1" w:rsidRDefault="00FF7B51" w:rsidP="00FF7B51">
      <w:pPr>
        <w:keepNext/>
        <w:widowControl/>
        <w:suppressAutoHyphens/>
        <w:spacing w:before="360" w:after="360" w:line="360" w:lineRule="auto"/>
        <w:jc w:val="center"/>
        <w:outlineLvl w:val="0"/>
        <w:rPr>
          <w:b/>
          <w:bCs/>
          <w:smallCaps/>
          <w:sz w:val="32"/>
          <w:szCs w:val="28"/>
        </w:rPr>
      </w:pPr>
      <w:r w:rsidRPr="00B87DD1">
        <w:rPr>
          <w:b/>
          <w:smallCaps/>
          <w:sz w:val="32"/>
        </w:rPr>
        <w:lastRenderedPageBreak/>
        <w:t>V LUKU</w:t>
      </w:r>
      <w:r w:rsidRPr="00B87DD1">
        <w:rPr>
          <w:b/>
          <w:smallCaps/>
          <w:sz w:val="32"/>
        </w:rPr>
        <w:br/>
        <w:t xml:space="preserve">SÄÄDÖSVALLAN SIIRTÄMINEN JA KOMITEAMENETTELY </w:t>
      </w:r>
    </w:p>
    <w:p w:rsidR="00FF7B51" w:rsidRPr="00B87DD1" w:rsidRDefault="00FF7B51" w:rsidP="00FF7B51">
      <w:pPr>
        <w:keepNext/>
        <w:widowControl/>
        <w:suppressAutoHyphens/>
        <w:spacing w:before="360" w:after="120" w:line="360" w:lineRule="auto"/>
        <w:ind w:right="-1"/>
        <w:jc w:val="center"/>
        <w:outlineLvl w:val="1"/>
        <w:rPr>
          <w:bCs/>
          <w:i/>
          <w:szCs w:val="26"/>
        </w:rPr>
      </w:pPr>
      <w:r w:rsidRPr="00B87DD1">
        <w:t>19 artikla</w:t>
      </w:r>
      <w:r w:rsidR="00F40405" w:rsidRPr="00B87DD1">
        <w:br/>
      </w:r>
      <w:r w:rsidRPr="00B87DD1">
        <w:rPr>
          <w:i/>
        </w:rPr>
        <w:t>Liitteiden muuttaminen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1.</w:t>
      </w:r>
      <w:r w:rsidRPr="00B87DD1">
        <w:tab/>
        <w:t xml:space="preserve">Siirretään komissiolle valta antaa 20 artiklan mukaisesti delegoituja säädöksiä, joilla muutetaan liitettä I </w:t>
      </w:r>
      <w:r w:rsidRPr="00B87DD1">
        <w:rPr>
          <w:b/>
          <w:i/>
        </w:rPr>
        <w:t>luontotyyppien ryhmittelytavan mukauttamiseksi tekniikan ja tieteen kehitykseen ja tämän asetuksen soveltamisesta saatujen kokemusten huomioon ottamiseksi</w:t>
      </w:r>
      <w:r w:rsidRPr="00B87DD1">
        <w:t>.</w:t>
      </w:r>
    </w:p>
    <w:p w:rsidR="00FF7B51" w:rsidRPr="00B87DD1" w:rsidRDefault="00FF7B51" w:rsidP="00FF7B51">
      <w:pPr>
        <w:widowControl/>
        <w:suppressAutoHyphens/>
        <w:spacing w:before="120" w:after="120" w:line="360" w:lineRule="auto"/>
        <w:ind w:left="567" w:right="-1" w:hanging="567"/>
        <w:rPr>
          <w:rFonts w:eastAsia="Calibri"/>
          <w:b/>
          <w:szCs w:val="22"/>
          <w:u w:val="single"/>
        </w:rPr>
      </w:pPr>
      <w:r w:rsidRPr="00B87DD1">
        <w:t>2.</w:t>
      </w:r>
      <w:r w:rsidRPr="00B87DD1">
        <w:tab/>
        <w:t xml:space="preserve">Siirretään komissiolle valta antaa 20 artiklan mukaisesti delegoituja säädöksiä, joilla muutetaan liitettä II </w:t>
      </w:r>
      <w:r w:rsidRPr="00B87DD1">
        <w:rPr>
          <w:b/>
          <w:i/>
        </w:rPr>
        <w:t>seuraavien</w:t>
      </w:r>
      <w:r w:rsidRPr="00B87DD1">
        <w:t xml:space="preserve"> mukauttamiseksi</w:t>
      </w:r>
      <w:r w:rsidRPr="00B87DD1">
        <w:rPr>
          <w:b/>
          <w:i/>
        </w:rPr>
        <w:t>:</w:t>
      </w:r>
    </w:p>
    <w:p w:rsidR="00FF7B51" w:rsidRPr="00B87DD1" w:rsidRDefault="00FF7B51" w:rsidP="00FF7B51">
      <w:pPr>
        <w:widowControl/>
        <w:suppressAutoHyphens/>
        <w:spacing w:before="120" w:after="120" w:line="360" w:lineRule="auto"/>
        <w:ind w:left="1134" w:right="-1" w:hanging="567"/>
        <w:rPr>
          <w:rFonts w:eastAsia="Calibri"/>
          <w:b/>
          <w:szCs w:val="22"/>
          <w:u w:val="single"/>
        </w:rPr>
      </w:pPr>
      <w:r w:rsidRPr="00B87DD1">
        <w:rPr>
          <w:b/>
          <w:i/>
        </w:rPr>
        <w:t>a)</w:t>
      </w:r>
      <w:r w:rsidRPr="00B87DD1">
        <w:tab/>
        <w:t xml:space="preserve">luontotyyppien </w:t>
      </w:r>
      <w:r w:rsidRPr="00B87DD1">
        <w:rPr>
          <w:b/>
          <w:i/>
        </w:rPr>
        <w:t>luettelo johdonmukaisuuden varmistamiseksi Euroopan luontoa koskevan tietojärjestelmän (EUNIS) luontotyyppiluokituksen päivitysten kanssa, ja;</w:t>
      </w:r>
      <w:r w:rsidRPr="00B87DD1">
        <w:t xml:space="preserve"> </w:t>
      </w:r>
    </w:p>
    <w:p w:rsidR="00FF7B51" w:rsidRPr="00B87DD1" w:rsidRDefault="00FF7B51" w:rsidP="00FF7B51">
      <w:pPr>
        <w:widowControl/>
        <w:suppressAutoHyphens/>
        <w:spacing w:before="120" w:after="120" w:line="360" w:lineRule="auto"/>
        <w:ind w:left="1134" w:right="-1" w:hanging="567"/>
        <w:rPr>
          <w:rFonts w:eastAsia="Calibri"/>
          <w:szCs w:val="22"/>
        </w:rPr>
      </w:pPr>
      <w:r w:rsidRPr="00B87DD1">
        <w:rPr>
          <w:b/>
          <w:i/>
        </w:rPr>
        <w:t>b)</w:t>
      </w:r>
      <w:r w:rsidRPr="00B87DD1">
        <w:rPr>
          <w:b/>
          <w:i/>
        </w:rPr>
        <w:tab/>
        <w:t>luontotyyppien ryhmittelytapa tekniikan ja tieteen kehitykseen ja tämän asetuksen soveltamisesta saatujen kokemusten huomioon ottamiseksi</w:t>
      </w:r>
      <w:r w:rsidRPr="00B87DD1">
        <w: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3.</w:t>
      </w:r>
      <w:r w:rsidRPr="00B87DD1">
        <w:tab/>
        <w:t xml:space="preserve">Siirretään komissiolle valta antaa 20 artiklan mukaisesti delegoituja säädöksiä, joilla muutetaan liitettä III 5 artiklassa tarkoitettujen merellisten lajien luettelon mukauttamiseksi </w:t>
      </w:r>
      <w:r w:rsidRPr="00B87DD1">
        <w:rPr>
          <w:b/>
          <w:i/>
        </w:rPr>
        <w:t>tekniikan ja tieteen kehitykseen</w:t>
      </w:r>
      <w:r w:rsidRPr="00B87DD1">
        <w: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 xml:space="preserve">Siirretään komissiolle valta antaa 20 artiklan mukaisesti delegoituja säädöksiä, joilla muutetaan liitettä IV maatalouden ekosysteemien indikaattorien kuvauksen, yksikön ja menetelmän mukauttamiseksi </w:t>
      </w:r>
      <w:r w:rsidRPr="00B87DD1">
        <w:rPr>
          <w:b/>
          <w:i/>
        </w:rPr>
        <w:t>tekniikan ja tieteen kehitykseen</w:t>
      </w:r>
      <w:r w:rsidRPr="00B87DD1">
        <w: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br w:type="page"/>
      </w:r>
      <w:r w:rsidRPr="00B87DD1">
        <w:lastRenderedPageBreak/>
        <w:t>5.</w:t>
      </w:r>
      <w:r w:rsidRPr="00B87DD1">
        <w:tab/>
        <w:t xml:space="preserve">Siirretään komissiolle valta antaa 20 artiklan mukaisesti delegoituja säädöksiä, joilla muutetaan liitettä V, jotta voidaan </w:t>
      </w:r>
      <w:r w:rsidRPr="00B87DD1">
        <w:rPr>
          <w:b/>
          <w:i/>
        </w:rPr>
        <w:t>mukauttaa tekniikan ja tieteen kehitykseen</w:t>
      </w:r>
      <w:r w:rsidRPr="00B87DD1">
        <w:t xml:space="preserve"> lajien luetteloa, jota käytetään viljelysmaiden yhteisessä lintuindeksissä jäsenvaltioissa.</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6.</w:t>
      </w:r>
      <w:r w:rsidRPr="00B87DD1">
        <w:tab/>
        <w:t xml:space="preserve">Siirretään komissiolle valta antaa 20 artiklan mukaisesti delegoituja säädöksiä, joilla muutetaan liitettä VI metsäekosysteemien indikaattorien kuvauksen, yksikön ja menetelmän mukauttamiseksi </w:t>
      </w:r>
      <w:r w:rsidRPr="00B87DD1">
        <w:rPr>
          <w:b/>
          <w:i/>
        </w:rPr>
        <w:t>tekniikan ja tieteen kehitykseen</w:t>
      </w:r>
      <w:r w:rsidRPr="00B87DD1">
        <w:t>.</w:t>
      </w:r>
    </w:p>
    <w:p w:rsidR="00FF7B51" w:rsidRPr="00B87DD1" w:rsidRDefault="00FF7B51" w:rsidP="00F40405">
      <w:pPr>
        <w:widowControl/>
        <w:suppressAutoHyphens/>
        <w:spacing w:before="120" w:after="120" w:line="360" w:lineRule="auto"/>
        <w:ind w:left="567" w:right="-1" w:hanging="567"/>
        <w:rPr>
          <w:rFonts w:eastAsia="Calibri"/>
          <w:szCs w:val="22"/>
          <w:lang w:eastAsia="en-US"/>
        </w:rPr>
      </w:pPr>
      <w:r w:rsidRPr="00B87DD1">
        <w:t>7.</w:t>
      </w:r>
      <w:r w:rsidRPr="00B87DD1">
        <w:tab/>
        <w:t xml:space="preserve">Siirretään komissiolle valta antaa 20 artiklan mukaisesti delegoituja säädöksiä, joilla muutetaan liitettä VII ennallistamistoimenpiteiden esimerkkien luettelon mukauttamiseksi </w:t>
      </w:r>
      <w:r w:rsidRPr="00B87DD1">
        <w:rPr>
          <w:b/>
          <w:i/>
        </w:rPr>
        <w:t>tekniikan ja tieteen kehitykseen ja tämän asetuksen soveltamisesta saatujen kokemusten huomioon ottamiseksi</w:t>
      </w:r>
      <w:r w:rsidRPr="00B87DD1">
        <w:t>.</w:t>
      </w:r>
    </w:p>
    <w:p w:rsidR="00FF7B51" w:rsidRPr="00B87DD1" w:rsidRDefault="00FF7B51" w:rsidP="00FF7B51">
      <w:pPr>
        <w:keepNext/>
        <w:widowControl/>
        <w:suppressAutoHyphens/>
        <w:spacing w:before="360" w:after="120" w:line="360" w:lineRule="auto"/>
        <w:ind w:right="-1"/>
        <w:jc w:val="center"/>
        <w:outlineLvl w:val="1"/>
        <w:rPr>
          <w:bCs/>
          <w:i/>
          <w:szCs w:val="26"/>
        </w:rPr>
      </w:pPr>
      <w:r w:rsidRPr="00B87DD1">
        <w:t>20 artikla</w:t>
      </w:r>
      <w:r w:rsidR="00F40405" w:rsidRPr="00B87DD1">
        <w:br/>
      </w:r>
      <w:r w:rsidRPr="00B87DD1">
        <w:rPr>
          <w:i/>
          <w:iCs/>
        </w:rPr>
        <w:t>Siirretyn säädösvallan käyttäminen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1.</w:t>
      </w:r>
      <w:r w:rsidRPr="00B87DD1">
        <w:tab/>
        <w:t>Komissiolle siirrettyä valtaa antaa delegoituja säädöksiä koskevat tässä artiklassa säädetyt edellytykset.</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2.</w:t>
      </w:r>
      <w:r w:rsidRPr="00B87DD1">
        <w:tab/>
        <w:t>Siirretään komissiolle</w:t>
      </w:r>
      <w:r w:rsidRPr="00B87DD1">
        <w:rPr>
          <w:i/>
        </w:rPr>
        <w:t xml:space="preserve"> [Julkaisutoimisto: lisätään tämän asetuksen voimaantulopäivä]</w:t>
      </w:r>
      <w:r w:rsidRPr="00B87DD1">
        <w:t xml:space="preserve"> viiden vuoden ajaksi 19 artiklassa tarkoitettu valta antaa delegoituja säädöksiä. Komissio laatii siirrettyä säädösvaltaa koskevan kertomuksen viimeistään yhdeksän kuukautta ennen tämän viiden vuoden kauden päättymistä. Säädösvallan siirtoa jatketaan ilman eri toimenpiteitä samanpituisiksi kausiksi, jollei Euroopan parlamentti tai neuvosto vastusta tällaista jatkamista viimeistään kolme kuukautta ennen kunkin kauden päättymistä.</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br w:type="page"/>
      </w:r>
      <w:r w:rsidRPr="00B87DD1">
        <w:lastRenderedPageBreak/>
        <w:t>3.</w:t>
      </w:r>
      <w:r w:rsidRPr="00B87DD1">
        <w:tab/>
        <w:t>Euroopan parlamentti tai neuvosto voi milloin tahansa peruuttaa 19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4.</w:t>
      </w:r>
      <w:r w:rsidRPr="00B87DD1">
        <w:tab/>
        <w:t>Ennen kuin komissio hyväksyy delegoidun säädöksen, se kuulee kunkin jäsenvaltion nimeämiä asiantuntijoita paremmasta lainsäädännöstä 13 päivänä huhtikuuta 2016 tehdyssä toimielinten välisessä sopimuksessa vahvistettujen periaatteiden mukaisesti.</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5.</w:t>
      </w:r>
      <w:r w:rsidRPr="00B87DD1">
        <w:tab/>
        <w:t>Heti kun komissio on antanut delegoidun säädöksen, komissio antaa sen tiedoksi yhtäaikaisesti Euroopan parlamentille ja neuvostolle.</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6.</w:t>
      </w:r>
      <w:r w:rsidRPr="00B87DD1">
        <w:tab/>
        <w:t xml:space="preserve">Edellä 19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w:t>
      </w:r>
      <w:proofErr w:type="gramStart"/>
      <w:r w:rsidRPr="00B87DD1">
        <w:t>parlamentti</w:t>
      </w:r>
      <w:proofErr w:type="gramEnd"/>
      <w:r w:rsidRPr="00B87DD1">
        <w:t xml:space="preserve"> että neuvosto ovat ennen mainitun määräajan päättymistä ilmoittaneet komissiolle, että ne eivät vastusta säädöstä. Euroopan parlamentin tai neuvoston aloitteesta tätä määräaikaa jatketaan kahdella kuukaudella.</w:t>
      </w:r>
    </w:p>
    <w:p w:rsidR="00FF7B51" w:rsidRPr="00B87DD1" w:rsidRDefault="00FF7B51" w:rsidP="00FF7B51">
      <w:pPr>
        <w:keepNext/>
        <w:widowControl/>
        <w:suppressAutoHyphens/>
        <w:spacing w:before="360" w:after="120" w:line="360" w:lineRule="auto"/>
        <w:ind w:right="-1"/>
        <w:jc w:val="center"/>
        <w:outlineLvl w:val="1"/>
        <w:rPr>
          <w:bCs/>
          <w:szCs w:val="26"/>
        </w:rPr>
      </w:pPr>
      <w:r w:rsidRPr="00B87DD1">
        <w:br w:type="page"/>
      </w:r>
      <w:r w:rsidRPr="00B87DD1">
        <w:lastRenderedPageBreak/>
        <w:t>21 artikla</w:t>
      </w:r>
      <w:r w:rsidR="00F40405" w:rsidRPr="00B87DD1">
        <w:br/>
      </w:r>
      <w:r w:rsidRPr="00B87DD1">
        <w:rPr>
          <w:i/>
          <w:iCs/>
        </w:rPr>
        <w:t>Komiteamenettely</w:t>
      </w:r>
      <w:r w:rsidRPr="00B87DD1">
        <w:rPr>
          <w:b/>
        </w:rPr>
        <w:t xml:space="preserve"> </w:t>
      </w:r>
    </w:p>
    <w:p w:rsidR="00FF7B51" w:rsidRPr="00B87DD1" w:rsidRDefault="00FF7B51" w:rsidP="00FF7B51">
      <w:pPr>
        <w:widowControl/>
        <w:suppressAutoHyphens/>
        <w:spacing w:before="120" w:after="120" w:line="360" w:lineRule="auto"/>
        <w:ind w:left="567" w:right="-1" w:hanging="567"/>
        <w:rPr>
          <w:rFonts w:eastAsia="Calibri"/>
          <w:szCs w:val="22"/>
        </w:rPr>
      </w:pPr>
      <w:r w:rsidRPr="00B87DD1">
        <w:t>1.</w:t>
      </w:r>
      <w:r w:rsidRPr="00B87DD1">
        <w:tab/>
        <w:t xml:space="preserve">Komissiota avustaa komitea. Tämä komitea on asetuksessa (EU) </w:t>
      </w:r>
      <w:proofErr w:type="gramStart"/>
      <w:r w:rsidRPr="00B87DD1">
        <w:t>N:o</w:t>
      </w:r>
      <w:proofErr w:type="gramEnd"/>
      <w:r w:rsidRPr="00B87DD1">
        <w:t xml:space="preserve"> 182/2011 tarkoitettu komitea.</w:t>
      </w:r>
    </w:p>
    <w:p w:rsidR="00FF7B51" w:rsidRPr="00B87DD1" w:rsidRDefault="00FF7B51" w:rsidP="00F40405">
      <w:pPr>
        <w:widowControl/>
        <w:suppressAutoHyphens/>
        <w:spacing w:before="120" w:after="120" w:line="360" w:lineRule="auto"/>
        <w:ind w:left="567" w:right="-1" w:hanging="567"/>
        <w:rPr>
          <w:b/>
          <w:bCs/>
          <w:smallCaps/>
          <w:szCs w:val="24"/>
          <w:lang w:eastAsia="en-US"/>
        </w:rPr>
      </w:pPr>
      <w:r w:rsidRPr="00B87DD1">
        <w:t>2.</w:t>
      </w:r>
      <w:r w:rsidRPr="00B87DD1">
        <w:tab/>
        <w:t xml:space="preserve">Kun viitataan tähän kohtaan, sovelletaan asetuksen (EU) </w:t>
      </w:r>
      <w:proofErr w:type="gramStart"/>
      <w:r w:rsidRPr="00B87DD1">
        <w:t>N:o</w:t>
      </w:r>
      <w:proofErr w:type="gramEnd"/>
      <w:r w:rsidRPr="00B87DD1">
        <w:t xml:space="preserve"> 182/2011 5 artiklaa.</w:t>
      </w:r>
    </w:p>
    <w:p w:rsidR="00FF7B51" w:rsidRPr="00B87DD1" w:rsidRDefault="00FF7B51" w:rsidP="00FF7B51">
      <w:pPr>
        <w:keepNext/>
        <w:widowControl/>
        <w:suppressAutoHyphens/>
        <w:spacing w:before="240" w:after="240" w:line="360" w:lineRule="auto"/>
        <w:jc w:val="center"/>
        <w:outlineLvl w:val="0"/>
        <w:rPr>
          <w:b/>
          <w:bCs/>
          <w:smallCaps/>
          <w:sz w:val="32"/>
          <w:szCs w:val="28"/>
        </w:rPr>
      </w:pPr>
      <w:r w:rsidRPr="00B87DD1">
        <w:rPr>
          <w:b/>
          <w:smallCaps/>
          <w:sz w:val="32"/>
        </w:rPr>
        <w:t>VI LUKU</w:t>
      </w:r>
      <w:r w:rsidRPr="00B87DD1">
        <w:rPr>
          <w:b/>
          <w:smallCaps/>
          <w:sz w:val="32"/>
        </w:rPr>
        <w:br/>
        <w:t>LOPPUSÄÄNNÖKSET</w:t>
      </w:r>
    </w:p>
    <w:p w:rsidR="00FF7B51" w:rsidRPr="00B87DD1" w:rsidRDefault="00FF7B51" w:rsidP="00FF7B51">
      <w:pPr>
        <w:keepNext/>
        <w:widowControl/>
        <w:suppressAutoHyphens/>
        <w:spacing w:before="360" w:after="360" w:line="360" w:lineRule="auto"/>
        <w:jc w:val="center"/>
        <w:outlineLvl w:val="0"/>
        <w:rPr>
          <w:b/>
          <w:i/>
          <w:szCs w:val="26"/>
        </w:rPr>
      </w:pPr>
      <w:bookmarkStart w:id="88" w:name="_Hlk136767184"/>
      <w:r w:rsidRPr="00B87DD1">
        <w:rPr>
          <w:b/>
          <w:i/>
        </w:rPr>
        <w:t>21 a artikla</w:t>
      </w:r>
      <w:r w:rsidRPr="00B87DD1">
        <w:rPr>
          <w:b/>
          <w:i/>
        </w:rPr>
        <w:br/>
        <w:t>Asetuksen (EU) 2022/869 muuttaminen</w:t>
      </w:r>
    </w:p>
    <w:p w:rsidR="00FF7B51" w:rsidRPr="00B87DD1" w:rsidRDefault="00FF7B51" w:rsidP="00FF7B51">
      <w:pPr>
        <w:widowControl/>
        <w:spacing w:before="120" w:after="120" w:line="360" w:lineRule="auto"/>
        <w:rPr>
          <w:rFonts w:eastAsia="Calibri"/>
          <w:b/>
          <w:i/>
          <w:szCs w:val="22"/>
        </w:rPr>
      </w:pPr>
      <w:r w:rsidRPr="00B87DD1">
        <w:rPr>
          <w:b/>
          <w:i/>
        </w:rPr>
        <w:t>Korvataan asetuksen (EU) 2022/869 7 artiklan 8 kohdan ensimmäinen alakohta seuraavasti:</w:t>
      </w:r>
    </w:p>
    <w:p w:rsidR="00FF7B51" w:rsidRPr="00B87DD1" w:rsidRDefault="00FF7B51" w:rsidP="00FF7B51">
      <w:pPr>
        <w:widowControl/>
        <w:spacing w:before="120" w:after="120" w:line="360" w:lineRule="auto"/>
        <w:rPr>
          <w:rFonts w:eastAsia="Calibri"/>
          <w:b/>
          <w:i/>
          <w:szCs w:val="22"/>
        </w:rPr>
      </w:pPr>
      <w:bookmarkStart w:id="89" w:name="_Hlk135897854"/>
      <w:r w:rsidRPr="00B87DD1">
        <w:rPr>
          <w:b/>
          <w:i/>
        </w:rPr>
        <w:t>”Kun on kyse direktiivin 92/43/ETY 6 artiklan 4 kohdassa, direktiivin 2000/60/EY 4 artiklan 7 kohdassa ja [luonnon ennallistamista koskevan Euroopan parlamentin ja neuvoston asetusehdotuksen] 4 artiklan 8 ja 8 a kohdassa sekä 5 artiklan 8 ja 8 a kohdassa tarkoitetuista ympäristövaikutuksista, unionin luettelossa olevien hankkeiden katsotaan olevan energiapolitiikan kannalta yleisen edun mukaisia ja niiden voidaan katsoa olevan erittäin tärkeän yleisen edun mukaisia, edellyttäen että kaikki mainituissa direktiiveissä säädetyt edellytykset täyttyvät.”</w:t>
      </w:r>
      <w:bookmarkEnd w:id="89"/>
    </w:p>
    <w:bookmarkEnd w:id="88"/>
    <w:p w:rsidR="00FF7B51" w:rsidRPr="00B87DD1" w:rsidRDefault="00FF7B51" w:rsidP="00FF7B51">
      <w:pPr>
        <w:keepNext/>
        <w:widowControl/>
        <w:suppressAutoHyphens/>
        <w:spacing w:before="360" w:after="360" w:line="360" w:lineRule="auto"/>
        <w:jc w:val="center"/>
        <w:outlineLvl w:val="0"/>
        <w:rPr>
          <w:b/>
          <w:bCs/>
          <w:smallCaps/>
          <w:szCs w:val="24"/>
        </w:rPr>
      </w:pPr>
      <w:r w:rsidRPr="00B87DD1">
        <w:br w:type="page"/>
      </w:r>
      <w:r w:rsidRPr="00B87DD1">
        <w:lastRenderedPageBreak/>
        <w:t>22 artikla</w:t>
      </w:r>
      <w:r w:rsidRPr="00B87DD1">
        <w:br/>
      </w:r>
      <w:r w:rsidRPr="00B87DD1">
        <w:rPr>
          <w:i/>
          <w:iCs/>
        </w:rPr>
        <w:t>Uudelleentarkastel</w:t>
      </w:r>
      <w:r w:rsidRPr="00B87DD1">
        <w:rPr>
          <w:i/>
          <w:iCs/>
          <w:szCs w:val="24"/>
        </w:rPr>
        <w:t>u</w:t>
      </w:r>
    </w:p>
    <w:p w:rsidR="00FF7B51" w:rsidRPr="00B87DD1" w:rsidRDefault="00FF7B51" w:rsidP="00FF7B51">
      <w:pPr>
        <w:widowControl/>
        <w:suppressAutoHyphens/>
        <w:spacing w:before="120" w:after="120" w:line="360" w:lineRule="auto"/>
        <w:ind w:left="567" w:right="140" w:hanging="567"/>
        <w:rPr>
          <w:rFonts w:eastAsia="Calibri"/>
          <w:b/>
          <w:szCs w:val="22"/>
        </w:rPr>
      </w:pPr>
      <w:r w:rsidRPr="00B87DD1">
        <w:t>1.</w:t>
      </w:r>
      <w:r w:rsidRPr="00B87DD1">
        <w:tab/>
        <w:t xml:space="preserve">Komissio arvioi </w:t>
      </w:r>
      <w:r w:rsidR="00F40405" w:rsidRPr="00B87DD1">
        <w:rPr>
          <w:b/>
          <w:i/>
        </w:rPr>
        <w:t>tätä asetusta</w:t>
      </w:r>
      <w:r w:rsidRPr="00B87DD1">
        <w:t xml:space="preserve"> 31 päivään joulukuuta </w:t>
      </w:r>
      <w:r w:rsidR="00F40405" w:rsidRPr="00B87DD1">
        <w:rPr>
          <w:b/>
          <w:i/>
        </w:rPr>
        <w:t>2030</w:t>
      </w:r>
      <w:r w:rsidRPr="00B87DD1">
        <w:t xml:space="preserve"> mennessä</w:t>
      </w:r>
      <w:r w:rsidR="00F40405" w:rsidRPr="00B87DD1">
        <w:t xml:space="preserve"> </w:t>
      </w:r>
      <w:r w:rsidR="00F40405" w:rsidRPr="00B87DD1">
        <w:rPr>
          <w:b/>
          <w:i/>
        </w:rPr>
        <w:t>ja joka toinen vuosi sen jälkeen arvioidakseen tämän asetuksen vaikutusta erityisesti maatalousalaan sekä turvallisten elintarvikkeiden tarjontaan sekä tämän asetuksen sosioekonomisia vaikutuksia erityisesti maaseutualueilla</w:t>
      </w:r>
      <w:r w:rsidRPr="00B87DD1">
        <w:t>.</w:t>
      </w:r>
      <w:r w:rsidR="00F40405" w:rsidRPr="00B87DD1">
        <w:rPr>
          <w:b/>
        </w:rPr>
        <w:t xml:space="preserve"> [tark. 45]</w:t>
      </w:r>
    </w:p>
    <w:p w:rsidR="00FF7B51" w:rsidRPr="00B87DD1" w:rsidRDefault="00FF7B51" w:rsidP="00FF7B51">
      <w:pPr>
        <w:widowControl/>
        <w:suppressAutoHyphens/>
        <w:spacing w:before="120" w:after="120" w:line="360" w:lineRule="auto"/>
        <w:ind w:left="567" w:right="140" w:hanging="567"/>
        <w:rPr>
          <w:rFonts w:eastAsia="Calibri"/>
          <w:b/>
          <w:szCs w:val="22"/>
        </w:rPr>
      </w:pPr>
      <w:r w:rsidRPr="00B87DD1">
        <w:t>2.</w:t>
      </w:r>
      <w:r w:rsidRPr="00B87DD1">
        <w:tab/>
        <w:t>Komissio esittää kertomuksen arvioinnin keskeisistä havainnoista Euroopan parlamentille, neuvostolle, Euroopan talous- ja sosiaalikomitealle ja alueiden komitealle. Jos komissio katsoo sen aiheelliseksi, kertomukseen liitetään lainsäädäntöehdotus tämän asetuksen asiaankuuluvien säännösten muuttamiseksi;</w:t>
      </w:r>
      <w:r w:rsidR="00F40405" w:rsidRPr="00B87DD1">
        <w:t xml:space="preserve"> </w:t>
      </w:r>
      <w:r w:rsidRPr="00B87DD1">
        <w:t>tällöin otetaan huomioon tarve asettaa ennallistamista koskevia lisätavoitteita</w:t>
      </w:r>
      <w:r w:rsidR="004435AF" w:rsidRPr="00B87DD1">
        <w:rPr>
          <w:b/>
          <w:i/>
        </w:rPr>
        <w:t>,</w:t>
      </w:r>
      <w:r w:rsidRPr="00B87DD1">
        <w:rPr>
          <w:b/>
          <w:i/>
        </w:rPr>
        <w:t xml:space="preserve"> </w:t>
      </w:r>
      <w:r w:rsidR="00F40405" w:rsidRPr="00B87DD1">
        <w:rPr>
          <w:b/>
          <w:bCs/>
          <w:i/>
          <w:iCs/>
        </w:rPr>
        <w:t>myös vuoteen 2040 ja 2050 ulottuvien päivitettyjen tavoitteiden osalta</w:t>
      </w:r>
      <w:r w:rsidRPr="00B87DD1">
        <w:t xml:space="preserve"> 4 ja 5 artiklan soveltamisalaan kuulumattomien ekosysteemien </w:t>
      </w:r>
      <w:r w:rsidR="00F40405" w:rsidRPr="00B87DD1">
        <w:rPr>
          <w:b/>
          <w:bCs/>
          <w:i/>
          <w:iCs/>
        </w:rPr>
        <w:t>tilan arviointiin käytettävien yhteisten menetelmien, tämän artiklan 1 kohdassa tarkoitetun arvion sekä tuoreimman tieteellisen näytön perusteella</w:t>
      </w:r>
      <w:r w:rsidRPr="00B87DD1">
        <w:t>.</w:t>
      </w:r>
      <w:r w:rsidR="00F40405" w:rsidRPr="00B87DD1">
        <w:rPr>
          <w:b/>
        </w:rPr>
        <w:t xml:space="preserve"> [tark. 17]</w:t>
      </w:r>
    </w:p>
    <w:p w:rsidR="00484D8C" w:rsidRPr="00B87DD1" w:rsidRDefault="00484D8C">
      <w:pPr>
        <w:widowControl/>
      </w:pPr>
      <w:r w:rsidRPr="00B87DD1">
        <w:br w:type="page"/>
      </w:r>
    </w:p>
    <w:p w:rsidR="00484D8C" w:rsidRPr="00B87DD1" w:rsidRDefault="00484D8C" w:rsidP="00FF7B51">
      <w:pPr>
        <w:keepNext/>
        <w:widowControl/>
        <w:suppressAutoHyphens/>
        <w:spacing w:before="360" w:after="120" w:line="360" w:lineRule="auto"/>
        <w:ind w:right="140"/>
        <w:jc w:val="center"/>
        <w:outlineLvl w:val="1"/>
        <w:rPr>
          <w:b/>
          <w:i/>
        </w:rPr>
      </w:pPr>
      <w:r w:rsidRPr="00B87DD1">
        <w:rPr>
          <w:b/>
          <w:i/>
        </w:rPr>
        <w:lastRenderedPageBreak/>
        <w:t>22 artikla</w:t>
      </w:r>
      <w:r w:rsidRPr="00B87DD1">
        <w:rPr>
          <w:b/>
          <w:i/>
        </w:rPr>
        <w:br/>
        <w:t>Tämän asetuksen mukaisten tavoitteiden lykkääminen poikkeuksellisten sosioekonomisten seurausten vuoksi</w:t>
      </w:r>
    </w:p>
    <w:p w:rsidR="00484D8C" w:rsidRPr="00B87DD1" w:rsidRDefault="00484D8C" w:rsidP="00184958">
      <w:pPr>
        <w:widowControl/>
        <w:suppressAutoHyphens/>
        <w:spacing w:before="120" w:after="120" w:line="360" w:lineRule="auto"/>
        <w:ind w:left="851" w:hanging="851"/>
        <w:outlineLvl w:val="1"/>
        <w:rPr>
          <w:b/>
          <w:i/>
        </w:rPr>
      </w:pPr>
      <w:r w:rsidRPr="00B87DD1">
        <w:rPr>
          <w:b/>
          <w:i/>
        </w:rPr>
        <w:t>1.</w:t>
      </w:r>
      <w:r w:rsidRPr="00B87DD1">
        <w:rPr>
          <w:b/>
          <w:i/>
        </w:rPr>
        <w:tab/>
        <w:t>Komissio julkaisee viimeistään... päivänä...kuuta... [vuoden kuluttua tämän asetuksen voimaantulopäivästä] ja sen jälkeen vuosittain Euroopan unionin virallisessa lehdessä ilmoituksen siitä, täyttyykö yksi tai useampi seuraavista edellytyksistä:</w:t>
      </w:r>
    </w:p>
    <w:p w:rsidR="00484D8C" w:rsidRPr="00B87DD1" w:rsidRDefault="00484D8C" w:rsidP="00184958">
      <w:pPr>
        <w:widowControl/>
        <w:suppressAutoHyphens/>
        <w:spacing w:before="120" w:after="120" w:line="360" w:lineRule="auto"/>
        <w:ind w:left="1418" w:hanging="567"/>
        <w:outlineLvl w:val="1"/>
        <w:rPr>
          <w:b/>
          <w:i/>
        </w:rPr>
      </w:pPr>
      <w:r w:rsidRPr="00B87DD1">
        <w:rPr>
          <w:b/>
          <w:i/>
        </w:rPr>
        <w:t>a)</w:t>
      </w:r>
      <w:r w:rsidRPr="00B87DD1">
        <w:rPr>
          <w:b/>
          <w:i/>
        </w:rPr>
        <w:tab/>
        <w:t>yhden tai useamman jäsenvaltion lupamenettelyt ovat unionin luontolainsäädännöstä johtuvien rajoitteiden vuoksi jääneet jälkeen seuraavilla aloilla:</w:t>
      </w:r>
    </w:p>
    <w:p w:rsidR="00484D8C" w:rsidRPr="00B87DD1" w:rsidRDefault="00484D8C" w:rsidP="00184958">
      <w:pPr>
        <w:widowControl/>
        <w:suppressAutoHyphens/>
        <w:spacing w:before="120" w:after="120" w:line="360" w:lineRule="auto"/>
        <w:ind w:left="1985" w:hanging="567"/>
        <w:outlineLvl w:val="1"/>
        <w:rPr>
          <w:b/>
          <w:i/>
        </w:rPr>
      </w:pPr>
      <w:r w:rsidRPr="00B87DD1">
        <w:rPr>
          <w:b/>
          <w:i/>
        </w:rPr>
        <w:t>i)</w:t>
      </w:r>
      <w:r w:rsidRPr="00B87DD1">
        <w:rPr>
          <w:b/>
          <w:i/>
        </w:rPr>
        <w:tab/>
        <w:t>asuntojen rakentaminen ja remontointi, erityisesti sosiaalisen asuntotuotannon alalla;</w:t>
      </w:r>
    </w:p>
    <w:p w:rsidR="00484D8C" w:rsidRPr="00B87DD1" w:rsidRDefault="00484D8C" w:rsidP="00184958">
      <w:pPr>
        <w:widowControl/>
        <w:suppressAutoHyphens/>
        <w:spacing w:before="120" w:after="120" w:line="360" w:lineRule="auto"/>
        <w:ind w:left="1985" w:hanging="567"/>
        <w:outlineLvl w:val="1"/>
        <w:rPr>
          <w:b/>
          <w:i/>
        </w:rPr>
      </w:pPr>
      <w:r w:rsidRPr="00B87DD1">
        <w:rPr>
          <w:b/>
          <w:i/>
        </w:rPr>
        <w:t>ii)</w:t>
      </w:r>
      <w:r w:rsidRPr="00B87DD1">
        <w:rPr>
          <w:b/>
          <w:i/>
        </w:rPr>
        <w:tab/>
        <w:t>asetuksessa (EU) 2021/1119 (eurooppalainen ilmastolaki) asetettujen tavoitteiden saavuttamiseen liittyvien uusiutuvien energiahankkeiden toteuttaminen;</w:t>
      </w:r>
    </w:p>
    <w:p w:rsidR="00484D8C" w:rsidRPr="00B87DD1" w:rsidRDefault="00484D8C" w:rsidP="00184958">
      <w:pPr>
        <w:widowControl/>
        <w:suppressAutoHyphens/>
        <w:spacing w:before="120" w:after="120" w:line="360" w:lineRule="auto"/>
        <w:ind w:left="1418" w:hanging="567"/>
        <w:outlineLvl w:val="1"/>
        <w:rPr>
          <w:b/>
          <w:i/>
        </w:rPr>
      </w:pPr>
      <w:r w:rsidRPr="00B87DD1">
        <w:rPr>
          <w:b/>
          <w:i/>
        </w:rPr>
        <w:t>b)</w:t>
      </w:r>
      <w:r w:rsidRPr="00B87DD1">
        <w:rPr>
          <w:b/>
          <w:i/>
        </w:rPr>
        <w:tab/>
        <w:t>elintarvikkeiden keskihinta on noussut 10 prosenttia yhden vuoden aikana;</w:t>
      </w:r>
    </w:p>
    <w:p w:rsidR="00484D8C" w:rsidRPr="00B87DD1" w:rsidRDefault="00484D8C" w:rsidP="00184958">
      <w:pPr>
        <w:widowControl/>
        <w:suppressAutoHyphens/>
        <w:spacing w:before="120" w:after="120" w:line="360" w:lineRule="auto"/>
        <w:ind w:left="1418" w:hanging="567"/>
        <w:outlineLvl w:val="1"/>
        <w:rPr>
          <w:b/>
          <w:i/>
        </w:rPr>
      </w:pPr>
      <w:r w:rsidRPr="00B87DD1">
        <w:rPr>
          <w:b/>
          <w:i/>
        </w:rPr>
        <w:t>c)</w:t>
      </w:r>
      <w:r w:rsidRPr="00B87DD1">
        <w:rPr>
          <w:b/>
          <w:i/>
        </w:rPr>
        <w:tab/>
        <w:t>elintarvikkeiden kokonaistuotanto unionissa on vähentynyt 5 prosenttia yhden vuoden aikana.</w:t>
      </w:r>
    </w:p>
    <w:p w:rsidR="00484D8C" w:rsidRPr="00B87DD1" w:rsidRDefault="00484D8C" w:rsidP="00184958">
      <w:pPr>
        <w:widowControl/>
        <w:suppressAutoHyphens/>
        <w:spacing w:before="120" w:after="120" w:line="360" w:lineRule="auto"/>
        <w:ind w:left="851" w:hanging="851"/>
        <w:outlineLvl w:val="1"/>
        <w:rPr>
          <w:b/>
        </w:rPr>
      </w:pPr>
      <w:r w:rsidRPr="00B87DD1">
        <w:rPr>
          <w:b/>
          <w:i/>
        </w:rPr>
        <w:t>2.</w:t>
      </w:r>
      <w:r w:rsidRPr="00B87DD1">
        <w:rPr>
          <w:b/>
          <w:i/>
        </w:rPr>
        <w:tab/>
        <w:t>Jos yksi tai useampi 1 kohdassa tarkoitetuista edellytyksistä täyttyy, tämän asetuksen mukaisia tavoitteita on lykättävä, kunnes kaikki kyseisessä kohdassa tarkoitetut edellytykset eivät enää täyty.</w:t>
      </w:r>
      <w:r w:rsidRPr="00B87DD1">
        <w:rPr>
          <w:b/>
        </w:rPr>
        <w:t xml:space="preserve"> [tark. 131]</w:t>
      </w:r>
    </w:p>
    <w:p w:rsidR="00FF7B51" w:rsidRPr="00B87DD1" w:rsidRDefault="00FF7B51" w:rsidP="00FF7B51">
      <w:pPr>
        <w:keepNext/>
        <w:widowControl/>
        <w:suppressAutoHyphens/>
        <w:spacing w:before="360" w:after="120" w:line="360" w:lineRule="auto"/>
        <w:ind w:right="140"/>
        <w:jc w:val="center"/>
        <w:outlineLvl w:val="1"/>
        <w:rPr>
          <w:b/>
          <w:bCs/>
          <w:i/>
          <w:iCs/>
          <w:szCs w:val="26"/>
        </w:rPr>
      </w:pPr>
      <w:r w:rsidRPr="00B87DD1">
        <w:t>23 artikla</w:t>
      </w:r>
      <w:r w:rsidRPr="00B87DD1">
        <w:br/>
      </w:r>
      <w:r w:rsidRPr="00B87DD1">
        <w:rPr>
          <w:i/>
        </w:rPr>
        <w:t>Voimaantulo</w:t>
      </w:r>
    </w:p>
    <w:p w:rsidR="00FF7B51" w:rsidRPr="00B87DD1" w:rsidRDefault="00FF7B51" w:rsidP="00FF7B51">
      <w:pPr>
        <w:widowControl/>
        <w:suppressAutoHyphens/>
        <w:spacing w:before="120" w:after="120" w:line="360" w:lineRule="auto"/>
        <w:ind w:right="140"/>
      </w:pPr>
      <w:r w:rsidRPr="00B87DD1">
        <w:t>Tämä asetus tulee voimaan kahdentenakymmenentenä päivänä sen jälkeen, kun se on julkaistu Euroopan unionin virallisessa lehdessä.</w:t>
      </w:r>
    </w:p>
    <w:p w:rsidR="007306C6" w:rsidRPr="00B87DD1" w:rsidRDefault="007306C6" w:rsidP="00FF7B51">
      <w:pPr>
        <w:widowControl/>
        <w:suppressAutoHyphens/>
        <w:spacing w:before="120" w:after="120" w:line="360" w:lineRule="auto"/>
        <w:ind w:right="140"/>
        <w:rPr>
          <w:b/>
        </w:rPr>
      </w:pPr>
      <w:r w:rsidRPr="00B87DD1">
        <w:rPr>
          <w:b/>
          <w:i/>
        </w:rPr>
        <w:t>Sitä sovelletaan siitä päivästä alkaen, jona komissio on toimittanut Euroopan parlamentille ja neuvostolle vankkoja ja tieteellisiä tietoja edellytyksistä, joita tarvitaan elintarviketurvan takaamiseksi pitkällä aikavälillä ja joissa otetaan huomioon perinteisen ja ekologisen maatalouden peltoalojen tarve, luonnon ennallistamisen vaikutus elintarvikkeiden tuotantoon, saatavuuteen ja hintoihin. Komissio julkaisee Euroopan unionin virallisessa lehdessä ilmoituksen, jossa ilmoitetaan tämän asetuksen soveltamispäivä.</w:t>
      </w:r>
      <w:r w:rsidRPr="00B87DD1">
        <w:rPr>
          <w:b/>
        </w:rPr>
        <w:t xml:space="preserve"> [tark. 135]</w:t>
      </w:r>
    </w:p>
    <w:p w:rsidR="007306C6" w:rsidRPr="00B87DD1" w:rsidRDefault="007306C6" w:rsidP="00FF7B51">
      <w:pPr>
        <w:widowControl/>
        <w:suppressAutoHyphens/>
        <w:spacing w:before="120" w:after="120" w:line="360" w:lineRule="auto"/>
        <w:ind w:right="140"/>
        <w:rPr>
          <w:rFonts w:eastAsia="Calibri"/>
          <w:b/>
          <w:szCs w:val="24"/>
        </w:rPr>
      </w:pPr>
      <w:r w:rsidRPr="00B87DD1">
        <w:rPr>
          <w:b/>
          <w:i/>
        </w:rPr>
        <w:lastRenderedPageBreak/>
        <w:t>Sitä sovelletaan päivästä, jona 11 artiklan 2 a kohdassa säädetty edellytys täyttyy. Komissio julkaisee Euroopan unionin virallisessa lehdessä ilmoituksen, jossa ilmoitetaan tämän asetuksen soveltamispäivä.</w:t>
      </w:r>
      <w:r w:rsidRPr="00B87DD1">
        <w:rPr>
          <w:b/>
        </w:rPr>
        <w:t xml:space="preserve"> [tark. 136]</w:t>
      </w:r>
    </w:p>
    <w:p w:rsidR="00FF7B51" w:rsidRPr="00B87DD1" w:rsidRDefault="00FF7B51" w:rsidP="00FF7B51">
      <w:pPr>
        <w:widowControl/>
        <w:suppressAutoHyphens/>
        <w:spacing w:before="480" w:after="120" w:line="360" w:lineRule="auto"/>
        <w:ind w:right="140"/>
        <w:rPr>
          <w:rFonts w:eastAsia="Calibri"/>
          <w:szCs w:val="22"/>
        </w:rPr>
      </w:pPr>
      <w:r w:rsidRPr="00B87DD1">
        <w:t>Tämä asetus on kaikilta osiltaan velvoittava, ja sitä sovelletaan sellaisenaan kaikissa jäsenvaltioissa.</w:t>
      </w:r>
    </w:p>
    <w:p w:rsidR="00FF7B51" w:rsidRPr="00B87DD1" w:rsidRDefault="00FF7B51" w:rsidP="00FF7B51">
      <w:pPr>
        <w:keepNext/>
        <w:widowControl/>
        <w:suppressAutoHyphens/>
        <w:spacing w:before="120" w:line="360" w:lineRule="auto"/>
        <w:jc w:val="both"/>
        <w:rPr>
          <w:rFonts w:eastAsia="Calibri"/>
          <w:szCs w:val="22"/>
        </w:rPr>
      </w:pPr>
      <w:r w:rsidRPr="00B87DD1">
        <w:t>Tehty Brysselissä</w:t>
      </w:r>
    </w:p>
    <w:p w:rsidR="00FF7B51" w:rsidRPr="00B87DD1" w:rsidRDefault="00FF7B51" w:rsidP="00FF7B51">
      <w:pPr>
        <w:keepNext/>
        <w:widowControl/>
        <w:tabs>
          <w:tab w:val="left" w:pos="4252"/>
        </w:tabs>
        <w:suppressAutoHyphens/>
        <w:spacing w:before="720" w:line="360" w:lineRule="auto"/>
        <w:jc w:val="both"/>
        <w:rPr>
          <w:rFonts w:eastAsia="Calibri"/>
          <w:i/>
          <w:szCs w:val="22"/>
        </w:rPr>
      </w:pPr>
      <w:r w:rsidRPr="00B87DD1">
        <w:rPr>
          <w:i/>
        </w:rPr>
        <w:t>Euroopan parlamentin puolesta</w:t>
      </w:r>
      <w:r w:rsidRPr="00B87DD1">
        <w:rPr>
          <w:i/>
        </w:rPr>
        <w:tab/>
        <w:t>Neuvoston puolesta</w:t>
      </w:r>
    </w:p>
    <w:p w:rsidR="00FF7B51" w:rsidRPr="00B87DD1" w:rsidRDefault="00FF7B51" w:rsidP="00FF7B51">
      <w:pPr>
        <w:widowControl/>
        <w:tabs>
          <w:tab w:val="left" w:pos="4253"/>
        </w:tabs>
        <w:spacing w:before="120" w:after="120" w:line="360" w:lineRule="auto"/>
        <w:rPr>
          <w:rFonts w:eastAsia="Calibri"/>
          <w:szCs w:val="22"/>
        </w:rPr>
        <w:sectPr w:rsidR="00FF7B51" w:rsidRPr="00B87DD1" w:rsidSect="00FF7B51">
          <w:footnotePr>
            <w:numRestart w:val="eachSect"/>
          </w:footnotePr>
          <w:pgSz w:w="11907" w:h="16839"/>
          <w:pgMar w:top="1134" w:right="1134" w:bottom="1134" w:left="1134" w:header="567" w:footer="567" w:gutter="0"/>
          <w:cols w:space="720"/>
          <w:docGrid w:linePitch="360"/>
        </w:sectPr>
      </w:pPr>
      <w:r w:rsidRPr="00B87DD1">
        <w:rPr>
          <w:i/>
        </w:rPr>
        <w:t>Puheenjohtaja</w:t>
      </w:r>
      <w:r w:rsidRPr="00B87DD1">
        <w:rPr>
          <w:i/>
        </w:rPr>
        <w:tab/>
        <w:t>Puheenjohtaja</w:t>
      </w:r>
    </w:p>
    <w:p w:rsidR="00FF7B51" w:rsidRPr="00B87DD1" w:rsidRDefault="00FF7B51" w:rsidP="00FF7B51">
      <w:pPr>
        <w:widowControl/>
        <w:suppressAutoHyphens/>
        <w:spacing w:before="120" w:after="120" w:line="360" w:lineRule="auto"/>
        <w:jc w:val="center"/>
        <w:rPr>
          <w:rFonts w:eastAsia="Calibri"/>
          <w:i/>
          <w:szCs w:val="22"/>
        </w:rPr>
      </w:pPr>
      <w:r w:rsidRPr="00B87DD1">
        <w:rPr>
          <w:smallCaps/>
          <w:u w:val="single"/>
        </w:rPr>
        <w:lastRenderedPageBreak/>
        <w:t>LIITE I</w:t>
      </w:r>
      <w:r w:rsidRPr="00B87DD1">
        <w:rPr>
          <w:smallCaps/>
          <w:u w:val="single"/>
        </w:rPr>
        <w:br/>
        <w:t>MAA-ALUEIDEN, RANNIKOIDEN JA MAKEAN VEDEN EKOSYSTEEMIT – 4 ARTIKLAN 1 JA 2 KOHDASSA TARKOITETUT LUONTOTYYPIT JA LUONTOTYYPPIRYHMÄT</w:t>
      </w:r>
    </w:p>
    <w:p w:rsidR="00FF7B51" w:rsidRPr="00B87DD1" w:rsidRDefault="00FF7B51" w:rsidP="00FF7B51">
      <w:pPr>
        <w:widowControl/>
        <w:suppressAutoHyphens/>
        <w:spacing w:before="120" w:after="120" w:line="360" w:lineRule="auto"/>
        <w:rPr>
          <w:rFonts w:eastAsia="Calibri"/>
          <w:noProof/>
          <w:szCs w:val="24"/>
          <w:lang w:eastAsia="en-US"/>
        </w:rPr>
      </w:pPr>
    </w:p>
    <w:p w:rsidR="00FF7B51" w:rsidRPr="00B87DD1" w:rsidRDefault="00FF7B51" w:rsidP="00FF7B51">
      <w:pPr>
        <w:widowControl/>
        <w:suppressAutoHyphens/>
        <w:spacing w:before="120" w:after="120" w:line="360" w:lineRule="auto"/>
        <w:rPr>
          <w:rFonts w:eastAsia="Calibri"/>
          <w:noProof/>
          <w:szCs w:val="24"/>
        </w:rPr>
      </w:pPr>
      <w:r w:rsidRPr="00B87DD1">
        <w:t xml:space="preserve">Jäljempänä olevaan luetteloon sisältyvät kaikki 4 artiklan 1 ja 2 kohdassa tarkoitetut direktiivin 92/43/ETY liitteessä I luetellut maa-alueiden, rannikoiden ja makean veden luontotyypit sekä kuusi näiden luontotyyppien ryhmää eli 1) kosteikot (rannikko ja sisämaa), 2) niityt ja muut laidunalueet, 3) jokien, järvien sekä tulva- ja ranta-alueiden luontotyypit, 4) metsät, 5) arojen, nummien ja pensaikkojen luontotyypit sekä 6) kallioiden ja dyynien luontotyypit. </w:t>
      </w:r>
    </w:p>
    <w:p w:rsidR="00FF7B51" w:rsidRPr="00B87DD1" w:rsidRDefault="00FF7B51" w:rsidP="00B87DD1">
      <w:pPr>
        <w:keepNext/>
        <w:widowControl/>
        <w:spacing w:before="120" w:after="120"/>
        <w:ind w:left="850" w:hanging="850"/>
        <w:outlineLvl w:val="1"/>
        <w:rPr>
          <w:b/>
          <w:bCs/>
          <w:szCs w:val="26"/>
        </w:rPr>
      </w:pPr>
      <w:r w:rsidRPr="00B87DD1">
        <w:rPr>
          <w:b/>
        </w:rPr>
        <w:t>1.</w:t>
      </w:r>
      <w:r w:rsidRPr="00B87DD1">
        <w:rPr>
          <w:b/>
        </w:rPr>
        <w:tab/>
        <w:t>RYHMÄ 1: Kosteikot (rannikko ja sisämaa)</w:t>
      </w:r>
    </w:p>
    <w:tbl>
      <w:tblPr>
        <w:tblStyle w:val="TableGrid1"/>
        <w:tblW w:w="0" w:type="auto"/>
        <w:tblLook w:val="04A0" w:firstRow="1" w:lastRow="0" w:firstColumn="1" w:lastColumn="0" w:noHBand="0" w:noVBand="1"/>
      </w:tblPr>
      <w:tblGrid>
        <w:gridCol w:w="1555"/>
        <w:gridCol w:w="7508"/>
      </w:tblGrid>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t xml:space="preserve">Neuvoston direktiivin 92/43/ETY liitteessä I esitetty luontotyypin koodi </w:t>
            </w:r>
          </w:p>
        </w:tc>
        <w:tc>
          <w:tcPr>
            <w:tcW w:w="7508"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t>Neuvoston direktiivin 92/43/ETY liitteessä I esitetty luontotyypin nimi</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t>Rannikon ja suolamaiden luontotyypit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Jokisuistot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i/>
                <w:noProof/>
              </w:rPr>
            </w:pPr>
            <w:r w:rsidRPr="00B87DD1">
              <w:rPr>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Muta- ja hiekkamatalikot, joita merivesi ei peitä laskuveden aikana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Rannikon laguunit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Salicornia ja muut mudassa ja hiekassa elävät yksivuotiset kasvit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Spartina-merenrantaniityt (</w:t>
            </w:r>
            <w:r w:rsidRPr="00B87DD1">
              <w:rPr>
                <w:i/>
              </w:rPr>
              <w:t>Spartinion maritimae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1330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Atlantin alueen suolaniityt (</w:t>
            </w:r>
            <w:r w:rsidRPr="00B87DD1">
              <w:rPr>
                <w:i/>
              </w:rPr>
              <w:t>Glauco-Puccinellietalia maritimae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1340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Sisämaan suolaniityt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1410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Mediterraanisen alueen suolaniityt (</w:t>
            </w:r>
            <w:r w:rsidRPr="00B87DD1">
              <w:rPr>
                <w:i/>
              </w:rPr>
              <w:t>Juncetalia maritimi</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1420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Mediterraanisen ja termo-atlanttisen alueen suolamaan pensastot (</w:t>
            </w:r>
            <w:r w:rsidRPr="00B87DD1">
              <w:rPr>
                <w:i/>
              </w:rPr>
              <w:t>Sarcocornetea fruticosae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1530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Pannonian suola-arot ja marskimaat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1650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Itämeren boreaaliset kapeat murtovesilahdet</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Kosteat nummet ja suoniityt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lastRenderedPageBreak/>
              <w:t>4010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Pohjois-Atlantin alueen kosteat </w:t>
            </w:r>
            <w:r w:rsidRPr="00B87DD1">
              <w:rPr>
                <w:i/>
              </w:rPr>
              <w:t xml:space="preserve">Erica tetralix </w:t>
            </w:r>
            <w:r w:rsidRPr="00B87DD1">
              <w:t>-nummet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4020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Lauhkean vyöhykkeen kosteat </w:t>
            </w:r>
            <w:r w:rsidRPr="00B87DD1">
              <w:rPr>
                <w:i/>
              </w:rPr>
              <w:t>Erica ciliaris</w:t>
            </w:r>
            <w:r w:rsidRPr="00B87DD1">
              <w:t xml:space="preserve">- ja </w:t>
            </w:r>
            <w:r w:rsidRPr="00B87DD1">
              <w:rPr>
                <w:i/>
              </w:rPr>
              <w:t>Erica tetralix</w:t>
            </w:r>
            <w:r w:rsidRPr="00B87DD1">
              <w:t xml:space="preserve"> -kasvuiset nummet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6460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Troodoksen suoniityt</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7110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Keidassuot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7120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Muuttuneet ennallistamiskelpoiset keidassuot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7130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Peittosuot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7140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Vaihettumissuot ja rinnesuot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7150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 xml:space="preserve">Turvekerrosten </w:t>
            </w:r>
            <w:r w:rsidRPr="00B87DD1">
              <w:rPr>
                <w:i/>
              </w:rPr>
              <w:t>Rhynchosporion</w:t>
            </w:r>
            <w:r w:rsidRPr="00B87DD1">
              <w:t>-painaumat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Fennoskandian lähteet ja lähdesuot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Luhtaletot, joissa </w:t>
            </w:r>
            <w:r w:rsidRPr="00B87DD1">
              <w:rPr>
                <w:i/>
              </w:rPr>
              <w:t>Cladium mariscus</w:t>
            </w:r>
            <w:r w:rsidRPr="00B87DD1">
              <w:t xml:space="preserve"> -kasvillisuutta ja </w:t>
            </w:r>
            <w:r w:rsidRPr="00B87DD1">
              <w:rPr>
                <w:i/>
              </w:rPr>
              <w:t>Caricion davallianae</w:t>
            </w:r>
            <w:r w:rsidRPr="00B87DD1">
              <w:t xml:space="preserve"> -lajeja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Cratoneurion</w:t>
            </w:r>
            <w:r w:rsidRPr="00B87DD1">
              <w:t>-huurresammalähteet, joissa muodostuu kalkkiliejusaostumia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Letot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Alpiiniset </w:t>
            </w:r>
            <w:r w:rsidRPr="00B87DD1">
              <w:rPr>
                <w:i/>
              </w:rPr>
              <w:t>Caricion bicoloris-atrofuscae</w:t>
            </w:r>
            <w:r w:rsidRPr="00B87DD1">
              <w:t xml:space="preserve"> -pioneerikasvustot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7310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Aapasuot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7320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Palsasuot</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pageBreakBefore/>
              <w:widowControl/>
              <w:spacing w:before="120" w:after="120"/>
              <w:rPr>
                <w:b/>
                <w:noProof/>
              </w:rPr>
            </w:pPr>
            <w:r w:rsidRPr="00B87DD1">
              <w:rPr>
                <w:b/>
              </w:rPr>
              <w:lastRenderedPageBreak/>
              <w:t>Kosteat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9080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Fennoskandian metsäluhdat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Puustoiset suot</w:t>
            </w:r>
          </w:p>
        </w:tc>
      </w:tr>
    </w:tbl>
    <w:p w:rsidR="00FF7B51" w:rsidRPr="00B87DD1" w:rsidRDefault="00FF7B51" w:rsidP="00FF7B51">
      <w:pPr>
        <w:keepNext/>
        <w:widowControl/>
        <w:tabs>
          <w:tab w:val="left" w:pos="851"/>
        </w:tabs>
        <w:spacing w:before="120" w:after="120"/>
        <w:jc w:val="both"/>
        <w:outlineLvl w:val="1"/>
        <w:rPr>
          <w:b/>
          <w:bCs/>
          <w:noProof/>
          <w:szCs w:val="26"/>
        </w:rPr>
      </w:pPr>
      <w:r w:rsidRPr="00B87DD1">
        <w:rPr>
          <w:b/>
        </w:rPr>
        <w:t>2.</w:t>
      </w:r>
      <w:r w:rsidRPr="00B87DD1">
        <w:rPr>
          <w:b/>
        </w:rPr>
        <w:tab/>
        <w:t>RYHMÄ 2: Niityt ja muut laidunalueiden luontotyypit</w:t>
      </w:r>
    </w:p>
    <w:tbl>
      <w:tblPr>
        <w:tblStyle w:val="TableGrid1"/>
        <w:tblW w:w="9072" w:type="dxa"/>
        <w:tblInd w:w="-5" w:type="dxa"/>
        <w:tblLayout w:type="fixed"/>
        <w:tblLook w:val="04A0" w:firstRow="1" w:lastRow="0" w:firstColumn="1" w:lastColumn="0" w:noHBand="0" w:noVBand="1"/>
      </w:tblPr>
      <w:tblGrid>
        <w:gridCol w:w="1560"/>
        <w:gridCol w:w="7512"/>
      </w:tblGrid>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 xml:space="preserve">Neuvoston direktiivin 92/43/ETY liitteessä I esitetty luontotyypin koodi </w:t>
            </w:r>
          </w:p>
        </w:tc>
        <w:tc>
          <w:tcPr>
            <w:tcW w:w="7512"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Neuvoston direktiivin 92/43/ETY liitteessä I esitetty luontotyypin nimi</w:t>
            </w:r>
          </w:p>
        </w:tc>
      </w:tr>
      <w:tr w:rsidR="00FF7B51" w:rsidRPr="00B87DD1" w:rsidTr="00FF7B51">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rPr>
                <w:b/>
              </w:rPr>
              <w:t>Rannikoiden ja dyynien luontotyypit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1630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boreaaliset rantaniityt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21A0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Machairit</w:t>
            </w:r>
          </w:p>
        </w:tc>
      </w:tr>
      <w:tr w:rsidR="00FF7B51" w:rsidRPr="00B87DD1" w:rsidTr="00FF7B51">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F7B51" w:rsidRPr="00B87DD1" w:rsidRDefault="00FF7B51" w:rsidP="00FF7B51">
            <w:pPr>
              <w:widowControl/>
              <w:spacing w:before="120" w:after="120"/>
              <w:rPr>
                <w:noProof/>
              </w:rPr>
            </w:pPr>
            <w:r w:rsidRPr="00B87DD1">
              <w:rPr>
                <w:b/>
              </w:rPr>
              <w:t>Nummien ja pensaikkojen luontotyypit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4030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Eurooppalaiset kuivat nummet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4040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rPr>
                <w:i/>
              </w:rPr>
              <w:t>Erica vagans</w:t>
            </w:r>
            <w:r w:rsidRPr="00B87DD1">
              <w:t xml:space="preserve"> -kasvuiset kuivat Atlantin rannikkonummet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4090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Kotoperäiset oro-mediterraaniset piikkipensaistonummet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5130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Nummien ja kalkkipitoisten niittyjen </w:t>
            </w:r>
            <w:r w:rsidRPr="00B87DD1">
              <w:rPr>
                <w:i/>
              </w:rPr>
              <w:t>Juniperus communis</w:t>
            </w:r>
            <w:r w:rsidRPr="00B87DD1">
              <w:t xml:space="preserve"> -katajikot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8240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Paljaat kalkkikivikalliot</w:t>
            </w:r>
          </w:p>
        </w:tc>
      </w:tr>
      <w:tr w:rsidR="00FF7B51" w:rsidRPr="00B87DD1" w:rsidTr="00FF7B51">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F7B51" w:rsidRPr="00B87DD1" w:rsidRDefault="00FF7B51" w:rsidP="00FF7B51">
            <w:pPr>
              <w:widowControl/>
              <w:spacing w:before="120" w:after="120"/>
              <w:rPr>
                <w:noProof/>
              </w:rPr>
            </w:pPr>
            <w:r w:rsidRPr="00B87DD1">
              <w:rPr>
                <w:b/>
              </w:rPr>
              <w:t>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6110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 xml:space="preserve">Kivikkoiset, kalkkivaikutteiset tai emäksiset </w:t>
            </w:r>
            <w:r w:rsidRPr="00B87DD1">
              <w:rPr>
                <w:i/>
              </w:rPr>
              <w:t>Alysso-Sedion albi</w:t>
            </w:r>
            <w:r w:rsidRPr="00B87DD1">
              <w:t xml:space="preserve">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Kuivat kalkkipitoiset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Kalamiininiityt, joissa </w:t>
            </w:r>
            <w:r w:rsidRPr="00B87DD1">
              <w:rPr>
                <w:i/>
              </w:rPr>
              <w:t>Violetalia calaminariae</w:t>
            </w:r>
            <w:r w:rsidRPr="00B87DD1">
              <w:t xml:space="preserve"> -kasvillisuutta</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6140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Pyreneiden silikaattialustan </w:t>
            </w:r>
            <w:r w:rsidRPr="00B87DD1">
              <w:rPr>
                <w:i/>
              </w:rPr>
              <w:t>Festuca eskia</w:t>
            </w:r>
            <w:r w:rsidRPr="00B87DD1">
              <w:t xml:space="preserve">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6150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Alpiiniset ja boreaaliset silikaattialustan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6160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Oroiberiaaniset </w:t>
            </w:r>
            <w:r w:rsidRPr="00B87DD1">
              <w:rPr>
                <w:i/>
              </w:rPr>
              <w:t>Festuca indigesta</w:t>
            </w:r>
            <w:r w:rsidRPr="00B87DD1">
              <w:t xml:space="preserve">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6170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Alpiiniset ja subalpiiniset kalkkiniityt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6180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Makaronesian mesofiiliset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lastRenderedPageBreak/>
              <w:t>6190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Pannonian kivikkoniityt (</w:t>
            </w:r>
            <w:r w:rsidRPr="00B87DD1">
              <w:rPr>
                <w:i/>
              </w:rPr>
              <w:t>Stipo-Festucetalia pallentis</w:t>
            </w:r>
            <w:r w:rsidRPr="00B87DD1">
              <w: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Puoliluontaiset kuivat niityt ja pensaikot kalkkipitoisilla alustoilla (</w:t>
            </w:r>
            <w:r w:rsidRPr="00B87DD1">
              <w:rPr>
                <w:i/>
              </w:rPr>
              <w:t>Festuco-Brometalia</w:t>
            </w:r>
            <w:r w:rsidRPr="00B87DD1">
              <w: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Ruohoja ja yksivuotisia kasveja kasvavat </w:t>
            </w:r>
            <w:r w:rsidRPr="00B87DD1">
              <w:rPr>
                <w:i/>
              </w:rPr>
              <w:t>Thero-Brachypodietea</w:t>
            </w:r>
            <w:r w:rsidRPr="00B87DD1">
              <w:t>-pseudostepit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Runsaslajiset </w:t>
            </w:r>
            <w:r w:rsidRPr="00B87DD1">
              <w:rPr>
                <w:i/>
              </w:rPr>
              <w:t>Nardus</w:t>
            </w:r>
            <w:r w:rsidRPr="00B87DD1">
              <w:t>-niityt vuoristoalueiden silikaattialustoilla (ja Manner-Euroopan vuorten alapuolisilla alueilla)</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6240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Subpannonian aroniityt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6250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Pannonian lössimaiden aroniityt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6260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Pannonian hiekka-arot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6270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Fennoskandian runsaslajiset kuivat ja tuoreet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6280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Alvarit ja kalkkivaikutteiset kalliokedot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62A0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Itäisen submediterraanisen alueen kuivat niityt (</w:t>
            </w:r>
            <w:r w:rsidRPr="00B87DD1">
              <w:rPr>
                <w:i/>
              </w:rPr>
              <w:t>Scorzoneratalia villosae</w:t>
            </w:r>
            <w:r w:rsidRPr="00B87DD1">
              <w: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62B0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Kyproksen serpentiininiityt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62C0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Ponto-Sarmatian arot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62D0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Oro-Moesian happamat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6410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Molinia-niityt kalkki-, turve- ja savialustoilla (</w:t>
            </w:r>
            <w:r w:rsidRPr="00B87DD1">
              <w:rPr>
                <w:i/>
              </w:rPr>
              <w:t>Molinion caeruleae</w:t>
            </w:r>
            <w:r w:rsidRPr="00B87DD1">
              <w: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6420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Välimeren alueen korkeakasvuiset kosteat </w:t>
            </w:r>
            <w:r w:rsidRPr="00B87DD1">
              <w:rPr>
                <w:i/>
              </w:rPr>
              <w:t>Molinio-Holoschoenion</w:t>
            </w:r>
            <w:r w:rsidRPr="00B87DD1">
              <w:t>-niityt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6510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Alankojen niitetyt niityt (</w:t>
            </w:r>
            <w:r w:rsidRPr="00B87DD1">
              <w:rPr>
                <w:i/>
              </w:rPr>
              <w:t>Alopecurus pratensis, Sanguisorba officinalis</w:t>
            </w:r>
            <w:r w:rsidRPr="00B87DD1">
              <w: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6520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Vuoristojen niitetyt niityt</w:t>
            </w:r>
          </w:p>
        </w:tc>
      </w:tr>
      <w:tr w:rsidR="00FF7B51" w:rsidRPr="00B87DD1" w:rsidTr="00FF7B51">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F7B51" w:rsidRPr="00B87DD1" w:rsidRDefault="00FF7B51" w:rsidP="00FF7B51">
            <w:pPr>
              <w:pageBreakBefore/>
              <w:widowControl/>
              <w:spacing w:before="120" w:after="120"/>
              <w:rPr>
                <w:noProof/>
              </w:rPr>
            </w:pPr>
            <w:r w:rsidRPr="00B87DD1">
              <w:rPr>
                <w:b/>
              </w:rPr>
              <w:lastRenderedPageBreak/>
              <w:t>Dehesat ja metsittyneet 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6310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 xml:space="preserve">Dehesat, jossa ainavihantaa </w:t>
            </w:r>
            <w:r w:rsidRPr="00B87DD1">
              <w:rPr>
                <w:i/>
              </w:rPr>
              <w:t>Quercus spp</w:t>
            </w:r>
            <w:r w:rsidRPr="00B87DD1">
              <w:t>.-puustoa</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6530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Fennoskandian lehdes- ja vesaniityt</w:t>
            </w:r>
          </w:p>
        </w:tc>
      </w:tr>
      <w:tr w:rsidR="00FF7B51" w:rsidRPr="00B87DD1" w:rsidTr="00FF7B51">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9070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Fennoskandian hakamaat ja kaskilaitumet</w:t>
            </w:r>
          </w:p>
        </w:tc>
      </w:tr>
    </w:tbl>
    <w:p w:rsidR="00FF7B51" w:rsidRPr="00B87DD1" w:rsidRDefault="00FF7B51" w:rsidP="00FF7B51">
      <w:pPr>
        <w:keepNext/>
        <w:widowControl/>
        <w:spacing w:before="120" w:after="120"/>
        <w:ind w:left="850" w:hanging="850"/>
        <w:jc w:val="both"/>
        <w:outlineLvl w:val="1"/>
        <w:rPr>
          <w:b/>
          <w:bCs/>
          <w:noProof/>
          <w:szCs w:val="26"/>
        </w:rPr>
      </w:pPr>
      <w:r w:rsidRPr="00B87DD1">
        <w:rPr>
          <w:b/>
        </w:rPr>
        <w:t>3.</w:t>
      </w:r>
      <w:r w:rsidRPr="00B87DD1">
        <w:rPr>
          <w:b/>
        </w:rPr>
        <w:tab/>
        <w:t xml:space="preserve">RYHMÄ 3: Jokien, järvien sekä tulva- ja ranta-alueiden luontotyypit </w:t>
      </w:r>
    </w:p>
    <w:tbl>
      <w:tblPr>
        <w:tblStyle w:val="TableGrid1"/>
        <w:tblW w:w="0" w:type="auto"/>
        <w:tblLook w:val="04A0" w:firstRow="1" w:lastRow="0" w:firstColumn="1" w:lastColumn="0" w:noHBand="0" w:noVBand="1"/>
      </w:tblPr>
      <w:tblGrid>
        <w:gridCol w:w="1555"/>
        <w:gridCol w:w="7508"/>
      </w:tblGrid>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 xml:space="preserve">Neuvoston direktiivin 92/43/ETY liitteessä I esitetty luontotyypin koodi </w:t>
            </w:r>
          </w:p>
        </w:tc>
        <w:tc>
          <w:tcPr>
            <w:tcW w:w="7508"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Neuvoston direktiivin 92/43/ETY liitteessä I esitetty luontotyypin nimi</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Joet ja järvet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3110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Hiekkamaiden niukkamineraaliset niukkaravinteiset vedet (</w:t>
            </w:r>
            <w:r w:rsidRPr="00B87DD1">
              <w:rPr>
                <w:i/>
              </w:rPr>
              <w:t>Littorelletalia uniflorae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3120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 xml:space="preserve">Läntisen Välimeren hiekkakenttien niukkamineraaliset niukkaravinteiset vedet, joissa on </w:t>
            </w:r>
            <w:r w:rsidRPr="00B87DD1">
              <w:rPr>
                <w:i/>
              </w:rPr>
              <w:t>Isoetes</w:t>
            </w:r>
            <w:r w:rsidRPr="00B87DD1">
              <w:t xml:space="preserve"> spp. -kasvillisuutta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3130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 xml:space="preserve">Niukka-keskiravinteiset järvet, joissa Littorelletea uniflorae- ja/tai </w:t>
            </w:r>
            <w:r w:rsidRPr="00B87DD1">
              <w:rPr>
                <w:i/>
              </w:rPr>
              <w:t>Isoëto-Nanojuncetea</w:t>
            </w:r>
            <w:r w:rsidRPr="00B87DD1">
              <w:t>-kasvillisuutta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3140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 xml:space="preserve">Kovat niukka-keskiravinteiset vedet, joissa vedenalaista </w:t>
            </w:r>
            <w:r w:rsidRPr="00B87DD1">
              <w:rPr>
                <w:i/>
              </w:rPr>
              <w:t>Chara</w:t>
            </w:r>
            <w:r w:rsidRPr="00B87DD1">
              <w:t xml:space="preserve"> spp. -kasvillisuutta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3150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rPr>
                <w:i/>
              </w:rPr>
              <w:t>Magnopotamion</w:t>
            </w:r>
            <w:r w:rsidRPr="00B87DD1">
              <w:t xml:space="preserve">- tai </w:t>
            </w:r>
            <w:r w:rsidRPr="00B87DD1">
              <w:rPr>
                <w:i/>
              </w:rPr>
              <w:t>Hydrocharition</w:t>
            </w:r>
            <w:r w:rsidRPr="00B87DD1">
              <w:t>-kasvustoiset luontaisesti ravinteiset järvet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Humuspitoiset järvet ja lammet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3170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Mediterraanisen alueen tilapäiset lammikot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3180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Turloughit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3190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Kipsikarstien järvet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31A0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Transilvanian kuumien lähteiden lootuskasvustot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3210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Fennoskandian luonnontilaiset jokireitit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3220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Alpiiniset joet ja niiden penkereiden ruohokasvillisuus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3230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Alpiiniset joet ja niiden </w:t>
            </w:r>
            <w:r w:rsidRPr="00B87DD1">
              <w:rPr>
                <w:i/>
              </w:rPr>
              <w:t>Myricaria germanica</w:t>
            </w:r>
            <w:r w:rsidRPr="00B87DD1">
              <w:t xml:space="preserve"> -valtainen 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lastRenderedPageBreak/>
              <w:t>3240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Alpiiniset joet ja niiden </w:t>
            </w:r>
            <w:r w:rsidRPr="00B87DD1">
              <w:rPr>
                <w:i/>
              </w:rPr>
              <w:t>Salix elaeagnos</w:t>
            </w:r>
            <w:r w:rsidRPr="00B87DD1">
              <w:t xml:space="preserve"> -valtainen puuvartinen 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3250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Välimeren alueen läpi vuoden virtaavat joet, joissa on </w:t>
            </w:r>
            <w:r w:rsidRPr="00B87DD1">
              <w:rPr>
                <w:i/>
              </w:rPr>
              <w:t>Glaucium flavum</w:t>
            </w:r>
            <w:r w:rsidRPr="00B87DD1">
              <w:t xml:space="preserve"> -valtaista 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3260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Vuorten alapuoliset tasankojoet, joissa on </w:t>
            </w:r>
            <w:r w:rsidRPr="00B87DD1">
              <w:rPr>
                <w:i/>
              </w:rPr>
              <w:t>Ranunculion fluitantis</w:t>
            </w:r>
            <w:r w:rsidRPr="00B87DD1">
              <w:t xml:space="preserve">- ja </w:t>
            </w:r>
            <w:r w:rsidRPr="00B87DD1">
              <w:rPr>
                <w:i/>
              </w:rPr>
              <w:t>Callitricho-Batrachium</w:t>
            </w:r>
            <w:r w:rsidRPr="00B87DD1">
              <w:t>-kasvillisuutta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3270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Vuorten alapuolisten jokien </w:t>
            </w:r>
            <w:r w:rsidRPr="00B87DD1">
              <w:rPr>
                <w:i/>
              </w:rPr>
              <w:t>Chenopodion rubri</w:t>
            </w:r>
            <w:r w:rsidRPr="00B87DD1">
              <w:t xml:space="preserve"> p.p.- ja </w:t>
            </w:r>
            <w:r w:rsidRPr="00B87DD1">
              <w:rPr>
                <w:i/>
              </w:rPr>
              <w:t>Bidention</w:t>
            </w:r>
            <w:r w:rsidRPr="00B87DD1">
              <w:t xml:space="preserve"> p.p. -kasvillisuus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3280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 xml:space="preserve">Välimeren alueen läpi vuoden virtaavat Paspalo-Agrostidion-kasvustoiset joet, joissa riippuvaa </w:t>
            </w:r>
            <w:r w:rsidRPr="00B87DD1">
              <w:rPr>
                <w:i/>
              </w:rPr>
              <w:t>Salix</w:t>
            </w:r>
            <w:r w:rsidRPr="00B87DD1">
              <w:t xml:space="preserve">- ja </w:t>
            </w:r>
            <w:r w:rsidRPr="00B87DD1">
              <w:rPr>
                <w:i/>
              </w:rPr>
              <w:t>Populus alba</w:t>
            </w:r>
            <w:r w:rsidRPr="00B87DD1">
              <w:t xml:space="preserve"> -kasvustoa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3290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 xml:space="preserve">Välimeren alueen osan vuotta virtaavat joet, joissa </w:t>
            </w:r>
            <w:r w:rsidRPr="00B87DD1">
              <w:rPr>
                <w:i/>
              </w:rPr>
              <w:t>Paspalo-Agrostidion</w:t>
            </w:r>
            <w:r w:rsidRPr="00B87DD1">
              <w:t>-kasvillisuutta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32A0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Karstijokien kalkkikiviputoukset Dinaarisilla alpeilla</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Tulvaniityt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6430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Kostea suurruohokasvillisuus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6440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Jokilaaksojen </w:t>
            </w:r>
            <w:r w:rsidRPr="00B87DD1">
              <w:rPr>
                <w:i/>
              </w:rPr>
              <w:t>Cnidion dubii</w:t>
            </w:r>
            <w:r w:rsidRPr="00B87DD1">
              <w:t xml:space="preserve"> -tulvaniityt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6450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Pohjoiset, boreaaliset tulvaniityt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6540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Submediterraanisen alueen </w:t>
            </w:r>
            <w:r w:rsidRPr="00B87DD1">
              <w:rPr>
                <w:i/>
              </w:rPr>
              <w:t>Molinio-Hordeion secalini</w:t>
            </w:r>
            <w:r w:rsidRPr="00B87DD1">
              <w:t xml:space="preserve"> -niityt</w:t>
            </w:r>
          </w:p>
        </w:tc>
      </w:tr>
      <w:tr w:rsidR="00FF7B51" w:rsidRPr="00B87DD1" w:rsidTr="00FF7B51">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Cs/>
                <w:noProof/>
              </w:rPr>
            </w:pPr>
            <w:r w:rsidRPr="00B87DD1">
              <w:rPr>
                <w:b/>
              </w:rPr>
              <w:t>Tulva- ja rantametsät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9160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Subatlanttiset ja Keski-Euroopan </w:t>
            </w:r>
            <w:r w:rsidRPr="00B87DD1">
              <w:rPr>
                <w:i/>
              </w:rPr>
              <w:t>Carpinion betuli</w:t>
            </w:r>
            <w:r w:rsidRPr="00B87DD1">
              <w:t xml:space="preserve"> -tammi- tai tammi-valkopyökkimetsät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91E0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Alnus glutinosa</w:t>
            </w:r>
            <w:r w:rsidRPr="00B87DD1">
              <w:t xml:space="preserve">- ja </w:t>
            </w:r>
            <w:r w:rsidRPr="00B87DD1">
              <w:rPr>
                <w:i/>
              </w:rPr>
              <w:t>Fraxinus excelsior</w:t>
            </w:r>
            <w:r w:rsidRPr="00B87DD1">
              <w:t xml:space="preserve"> -tulvametsät (</w:t>
            </w:r>
            <w:r w:rsidRPr="00B87DD1">
              <w:rPr>
                <w:i/>
              </w:rPr>
              <w:t>Alno-Padion, Alnion incanae, Salicion albae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91F0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Sekametsät, joissa </w:t>
            </w:r>
            <w:r w:rsidRPr="00B87DD1">
              <w:rPr>
                <w:i/>
              </w:rPr>
              <w:t>Quercus robur, Ulmus laevis</w:t>
            </w:r>
            <w:r w:rsidRPr="00B87DD1">
              <w:t>,</w:t>
            </w:r>
            <w:r w:rsidRPr="00B87DD1">
              <w:rPr>
                <w:i/>
              </w:rPr>
              <w:t xml:space="preserve"> Ulmus minor</w:t>
            </w:r>
            <w:r w:rsidRPr="00B87DD1">
              <w:t>,</w:t>
            </w:r>
            <w:r w:rsidRPr="00B87DD1">
              <w:rPr>
                <w:i/>
              </w:rPr>
              <w:t xml:space="preserve"> Fraxinus excelsior</w:t>
            </w:r>
            <w:r w:rsidRPr="00B87DD1">
              <w:t xml:space="preserve"> tai </w:t>
            </w:r>
            <w:r w:rsidRPr="00B87DD1">
              <w:rPr>
                <w:i/>
              </w:rPr>
              <w:t>Fraxinus angustifolia</w:t>
            </w:r>
            <w:r w:rsidRPr="00B87DD1">
              <w:t>, suurten jokien varsilla (</w:t>
            </w:r>
            <w:r w:rsidRPr="00B87DD1">
              <w:rPr>
                <w:i/>
              </w:rPr>
              <w:t>Ulmenion minoris</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92A0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Salix alba</w:t>
            </w:r>
            <w:r w:rsidRPr="00B87DD1">
              <w:t xml:space="preserve">- ja </w:t>
            </w:r>
            <w:r w:rsidRPr="00B87DD1">
              <w:rPr>
                <w:i/>
              </w:rPr>
              <w:t>Populus alba</w:t>
            </w:r>
            <w:r w:rsidRPr="00B87DD1">
              <w:t xml:space="preserve"> -kasvuiset galleriametsät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92B0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Välimeren alueen osan vuotta kuivina olevien vesireittien rantakasvustot, joihin kuuluu </w:t>
            </w:r>
            <w:r w:rsidRPr="00B87DD1">
              <w:rPr>
                <w:i/>
              </w:rPr>
              <w:t>Rhododendron ponticum</w:t>
            </w:r>
            <w:r w:rsidRPr="00B87DD1">
              <w:t xml:space="preserve">, </w:t>
            </w:r>
            <w:r w:rsidRPr="00B87DD1">
              <w:rPr>
                <w:i/>
              </w:rPr>
              <w:t>Salix</w:t>
            </w:r>
            <w:r w:rsidRPr="00B87DD1">
              <w:t xml:space="preserve"> ym.</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92C0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Platanus orientalis- ja Liquidambar orientalis -metsät (</w:t>
            </w:r>
            <w:r w:rsidRPr="00B87DD1">
              <w:rPr>
                <w:i/>
              </w:rPr>
              <w:t>Platanion orientalis</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92D0</w:t>
            </w:r>
          </w:p>
        </w:tc>
        <w:tc>
          <w:tcPr>
            <w:tcW w:w="7508"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Eteläiset jokivarsien galleriametsät ja tiheiköt (</w:t>
            </w:r>
            <w:r w:rsidRPr="00B87DD1">
              <w:rPr>
                <w:i/>
              </w:rPr>
              <w:t>Nerio-Tamaricetea</w:t>
            </w:r>
            <w:r w:rsidRPr="00B87DD1">
              <w:t xml:space="preserve"> ja </w:t>
            </w:r>
            <w:r w:rsidRPr="00B87DD1">
              <w:rPr>
                <w:i/>
              </w:rPr>
              <w:t>Securinegion tinctoriae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lastRenderedPageBreak/>
              <w:t>9370</w:t>
            </w:r>
          </w:p>
        </w:tc>
        <w:tc>
          <w:tcPr>
            <w:tcW w:w="7508"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t>Phoenix-palmulehdot</w:t>
            </w:r>
          </w:p>
        </w:tc>
      </w:tr>
    </w:tbl>
    <w:p w:rsidR="00FF7B51" w:rsidRPr="00B87DD1" w:rsidRDefault="00FF7B51" w:rsidP="00FF7B51">
      <w:pPr>
        <w:keepNext/>
        <w:widowControl/>
        <w:spacing w:before="120" w:after="120"/>
        <w:ind w:left="850" w:hanging="850"/>
        <w:jc w:val="both"/>
        <w:outlineLvl w:val="1"/>
        <w:rPr>
          <w:b/>
          <w:bCs/>
          <w:noProof/>
          <w:szCs w:val="26"/>
        </w:rPr>
      </w:pPr>
      <w:r w:rsidRPr="00B87DD1">
        <w:rPr>
          <w:b/>
        </w:rPr>
        <w:t>4.</w:t>
      </w:r>
      <w:r w:rsidRPr="00B87DD1">
        <w:rPr>
          <w:b/>
        </w:rPr>
        <w:tab/>
        <w:t>RYHMÄ 4: Metsät</w:t>
      </w:r>
    </w:p>
    <w:tbl>
      <w:tblPr>
        <w:tblStyle w:val="TableGrid1"/>
        <w:tblW w:w="9067" w:type="dxa"/>
        <w:tblLayout w:type="fixed"/>
        <w:tblLook w:val="04A0" w:firstRow="1" w:lastRow="0" w:firstColumn="1" w:lastColumn="0" w:noHBand="0" w:noVBand="1"/>
      </w:tblPr>
      <w:tblGrid>
        <w:gridCol w:w="1555"/>
        <w:gridCol w:w="7512"/>
      </w:tblGrid>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 xml:space="preserve">Neuvoston direktiivin 92/43/ETY liitteessä I esitetty luontotyypin koodi </w:t>
            </w:r>
          </w:p>
        </w:tc>
        <w:tc>
          <w:tcPr>
            <w:tcW w:w="7512"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Neuvoston direktiivin 92/43/ETY liitteessä I esitetty luontotyypin nimi</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Boreaaliset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9010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Boreaaliset luonnonmetsät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9020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Fennoskandian hemiboreaaliset luontaiset jalopuumetsät (</w:t>
            </w:r>
            <w:r w:rsidRPr="00B87DD1">
              <w:rPr>
                <w:i/>
              </w:rPr>
              <w:t>Quercus</w:t>
            </w:r>
            <w:r w:rsidRPr="00B87DD1">
              <w:t xml:space="preserve">, </w:t>
            </w:r>
            <w:r w:rsidRPr="00B87DD1">
              <w:rPr>
                <w:i/>
              </w:rPr>
              <w:t>Tilia</w:t>
            </w:r>
            <w:r w:rsidRPr="00B87DD1">
              <w:t xml:space="preserve">, </w:t>
            </w:r>
            <w:r w:rsidRPr="00B87DD1">
              <w:rPr>
                <w:i/>
              </w:rPr>
              <w:t>Acer</w:t>
            </w:r>
            <w:r w:rsidRPr="00B87DD1">
              <w:t>,</w:t>
            </w:r>
            <w:r w:rsidRPr="00B87DD1">
              <w:rPr>
                <w:i/>
              </w:rPr>
              <w:t xml:space="preserve"> Fraxinus</w:t>
            </w:r>
            <w:r w:rsidRPr="00B87DD1">
              <w:t xml:space="preserve"> tai </w:t>
            </w:r>
            <w:r w:rsidRPr="00B87DD1">
              <w:rPr>
                <w:i/>
              </w:rPr>
              <w:t>Ulmus</w:t>
            </w:r>
            <w:r w:rsidRPr="00B87DD1">
              <w:t>), joissa paljon epifyyttejä</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9030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Maankohoamisrannikon primäärisukkessiovaiheiden luonnontilaiset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9040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Tunturikoivikot, joissa </w:t>
            </w:r>
            <w:r w:rsidRPr="00B87DD1">
              <w:rPr>
                <w:i/>
              </w:rPr>
              <w:t>Betula pubescens</w:t>
            </w:r>
            <w:r w:rsidRPr="00B87DD1">
              <w:t xml:space="preserve"> ssp. </w:t>
            </w:r>
            <w:r w:rsidRPr="00B87DD1">
              <w:rPr>
                <w:i/>
              </w:rPr>
              <w:t>czerepanovii</w:t>
            </w:r>
            <w:r w:rsidRPr="00B87DD1">
              <w:t xml:space="preserve"> -kasvillisuutta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9050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Fennoskandian boreaaliset lehdot, joissa </w:t>
            </w:r>
            <w:r w:rsidRPr="00B87DD1">
              <w:rPr>
                <w:i/>
              </w:rPr>
              <w:t>Picea abies</w:t>
            </w:r>
            <w:r w:rsidRPr="00B87DD1">
              <w:t xml:space="preserve"> -kasvillisuutta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9060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Harjumuodostumien metsäiset luontotyypit</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noProof/>
              </w:rPr>
            </w:pPr>
            <w:r w:rsidRPr="00B87DD1">
              <w:rPr>
                <w:b/>
              </w:rPr>
              <w:t>Lauhkean alueen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Luzulo-Fagetum</w:t>
            </w:r>
            <w:r w:rsidRPr="00B87DD1">
              <w:t>-pyökkimetsät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Atlanttiset happamat pyökkimetsät, joissa </w:t>
            </w:r>
            <w:r w:rsidRPr="00B87DD1">
              <w:rPr>
                <w:i/>
              </w:rPr>
              <w:t>Ilex</w:t>
            </w:r>
            <w:r w:rsidRPr="00B87DD1">
              <w:t xml:space="preserve"> ja joskus myös </w:t>
            </w:r>
            <w:r w:rsidRPr="00B87DD1">
              <w:rPr>
                <w:i/>
              </w:rPr>
              <w:t>Taxus</w:t>
            </w:r>
            <w:r w:rsidRPr="00B87DD1">
              <w:t xml:space="preserve"> pensaskerroksessa (</w:t>
            </w:r>
            <w:r w:rsidRPr="00B87DD1">
              <w:rPr>
                <w:i/>
              </w:rPr>
              <w:t>Quercion robori-petraeae</w:t>
            </w:r>
            <w:r w:rsidRPr="00B87DD1">
              <w:t xml:space="preserve"> tai </w:t>
            </w:r>
            <w:r w:rsidRPr="00B87DD1">
              <w:rPr>
                <w:i/>
              </w:rPr>
              <w:t>Ilici-Fagenion</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Asperulo-Fagetum</w:t>
            </w:r>
            <w:r w:rsidRPr="00B87DD1">
              <w:t>-pyökkimetsät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Keski-Euroopan </w:t>
            </w:r>
            <w:r w:rsidRPr="00B87DD1">
              <w:rPr>
                <w:i/>
              </w:rPr>
              <w:t>Acer</w:t>
            </w:r>
            <w:r w:rsidRPr="00B87DD1">
              <w:t xml:space="preserve"> ja </w:t>
            </w:r>
            <w:r w:rsidRPr="00B87DD1">
              <w:rPr>
                <w:i/>
              </w:rPr>
              <w:t>Rumex arifoliu</w:t>
            </w:r>
            <w:r w:rsidRPr="00B87DD1">
              <w:t>s -subalpiiniset 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Keski-Euroopan kalkkimaiden </w:t>
            </w:r>
            <w:r w:rsidRPr="00B87DD1">
              <w:rPr>
                <w:i/>
              </w:rPr>
              <w:t>Cephalanthero-Fagion</w:t>
            </w:r>
            <w:r w:rsidRPr="00B87DD1">
              <w:t>-pyökkimetsät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Galio-Carpinetum</w:t>
            </w:r>
            <w:r w:rsidRPr="00B87DD1">
              <w:t>-tammi/valkopyökkimetsät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Tilio-Acerion</w:t>
            </w:r>
            <w:r w:rsidRPr="00B87DD1">
              <w:t>-rinne-, vyörymä- ja raviinimetsät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Hiekkatasankojen vanhat happamat </w:t>
            </w:r>
            <w:r w:rsidRPr="00B87DD1">
              <w:rPr>
                <w:i/>
              </w:rPr>
              <w:t>Quercus robur</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Brittein saarten </w:t>
            </w:r>
            <w:r w:rsidRPr="00B87DD1">
              <w:rPr>
                <w:i/>
              </w:rPr>
              <w:t>Ilex</w:t>
            </w:r>
            <w:r w:rsidRPr="00B87DD1">
              <w:t xml:space="preserve">- ja </w:t>
            </w:r>
            <w:r w:rsidRPr="00B87DD1">
              <w:rPr>
                <w:i/>
              </w:rPr>
              <w:t>Blechnum</w:t>
            </w:r>
            <w:r w:rsidRPr="00B87DD1">
              <w:t>-kasvustoiset vanhat tammimetsät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91B0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Termofiiliset </w:t>
            </w:r>
            <w:r w:rsidRPr="00B87DD1">
              <w:rPr>
                <w:i/>
              </w:rPr>
              <w:t>Fraxinus angustifolia</w:t>
            </w:r>
            <w:r w:rsidRPr="00B87DD1">
              <w:t xml:space="preserve"> -kasvuiset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lastRenderedPageBreak/>
              <w:t>91G0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Pannonian metsät, joissa </w:t>
            </w:r>
            <w:r w:rsidRPr="00B87DD1">
              <w:rPr>
                <w:i/>
              </w:rPr>
              <w:t>Quercus petraea</w:t>
            </w:r>
            <w:r w:rsidRPr="00B87DD1">
              <w:t xml:space="preserve"> ja </w:t>
            </w:r>
            <w:r w:rsidRPr="00B87DD1">
              <w:rPr>
                <w:i/>
              </w:rPr>
              <w:t>Carpinus betulus</w:t>
            </w:r>
            <w:r w:rsidRPr="00B87DD1">
              <w:t xml:space="preserve"> -puustoa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91H0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Pannonian metsät, joissa </w:t>
            </w:r>
            <w:r w:rsidRPr="00B87DD1">
              <w:rPr>
                <w:i/>
              </w:rPr>
              <w:t>Quercus pubescens</w:t>
            </w:r>
            <w:r w:rsidRPr="00B87DD1">
              <w:t xml:space="preserve"> -puustoa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91I0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Eurosiperialaiset tammi-sekametsät, joissa </w:t>
            </w:r>
            <w:r w:rsidRPr="00B87DD1">
              <w:rPr>
                <w:i/>
              </w:rPr>
              <w:t>Quercus</w:t>
            </w:r>
            <w:r w:rsidRPr="00B87DD1">
              <w:t xml:space="preserve"> spp. -puustoa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91J0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Brittein saarten </w:t>
            </w:r>
            <w:r w:rsidRPr="00B87DD1">
              <w:rPr>
                <w:i/>
              </w:rPr>
              <w:t>Taxus baccata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91K0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Illyrian </w:t>
            </w:r>
            <w:r w:rsidRPr="00B87DD1">
              <w:rPr>
                <w:i/>
              </w:rPr>
              <w:t>Fagus sylvatica</w:t>
            </w:r>
            <w:r w:rsidRPr="00B87DD1">
              <w:t xml:space="preserve"> -metsät (</w:t>
            </w:r>
            <w:r w:rsidRPr="00B87DD1">
              <w:rPr>
                <w:i/>
              </w:rPr>
              <w:t>Aremonio-Fagion</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91L0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Illyrian tammi-valkopyökkimetsät (</w:t>
            </w:r>
            <w:r w:rsidRPr="00B87DD1">
              <w:rPr>
                <w:i/>
              </w:rPr>
              <w:t>Erythronio-carpinion</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91M0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Pannonian-Balkanin turkintammi- ja talvitammimetsät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91P0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Pyhän Ristin vuoriston pihtametsät (</w:t>
            </w:r>
            <w:r w:rsidRPr="00B87DD1">
              <w:rPr>
                <w:i/>
              </w:rPr>
              <w:t>Abietetum polonicum</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91Q0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Länsi-Karpaattien kalkkimaiden metsämänniköt Pinus sylvestris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91R0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Dinaarien dolomiittien metsämäntymetsät (</w:t>
            </w:r>
            <w:r w:rsidRPr="00B87DD1">
              <w:rPr>
                <w:i/>
              </w:rPr>
              <w:t>Genisto januensis-Pinetum</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91S0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Läntisen Mustanmeren alueen 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91T0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Keski-Euroopan jäkäläiset mäntymetsät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91U0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Sarmatian arojen mäntymetsät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91V0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Daakian pyökkimetsät (</w:t>
            </w:r>
            <w:r w:rsidRPr="00B87DD1">
              <w:rPr>
                <w:i/>
              </w:rPr>
              <w:t>Symphyto-Fagion</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91W0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Moesian 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91X0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Dobrogean 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91Y0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Daakian tammi-/valkopyökkimetsät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91Z0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Moesian hopealehmusmetsät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91AA</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Valkotammimetsät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91BA</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Moesian saksanpihtametsät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noProof/>
              </w:rPr>
            </w:pPr>
            <w:r w:rsidRPr="00B87DD1">
              <w:t>91CA</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Rodopien ja Balkanin vuorijonon metsämäntymetsät</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pageBreakBefore/>
              <w:widowControl/>
              <w:spacing w:before="120" w:after="120"/>
              <w:rPr>
                <w:bCs/>
                <w:noProof/>
              </w:rPr>
            </w:pPr>
            <w:r w:rsidRPr="00B87DD1">
              <w:rPr>
                <w:b/>
              </w:rPr>
              <w:lastRenderedPageBreak/>
              <w:t>Välimeren alueen ja Makaronesian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Apenniinien </w:t>
            </w:r>
            <w:r w:rsidRPr="00B87DD1">
              <w:rPr>
                <w:i/>
              </w:rPr>
              <w:t>Taxus</w:t>
            </w:r>
            <w:r w:rsidRPr="00B87DD1">
              <w:t xml:space="preserve">- ja </w:t>
            </w:r>
            <w:r w:rsidRPr="00B87DD1">
              <w:rPr>
                <w:i/>
              </w:rPr>
              <w:t>Ilex</w:t>
            </w:r>
            <w:r w:rsidRPr="00B87DD1">
              <w:t>-kasvuiset 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Apenniinien </w:t>
            </w:r>
            <w:r w:rsidRPr="00B87DD1">
              <w:rPr>
                <w:i/>
              </w:rPr>
              <w:t>Abies alba</w:t>
            </w:r>
            <w:r w:rsidRPr="00B87DD1">
              <w:t xml:space="preserve"> -kasvuiset pyökkimetsät ja </w:t>
            </w:r>
            <w:r w:rsidRPr="00B87DD1">
              <w:rPr>
                <w:i/>
              </w:rPr>
              <w:t>Abies nebrodensis</w:t>
            </w:r>
            <w:r w:rsidRPr="00B87DD1">
              <w:t xml:space="preserve"> -kasvuiset pyökkimetsät</w:t>
            </w:r>
          </w:p>
        </w:tc>
      </w:tr>
      <w:tr w:rsidR="00FF7B51" w:rsidRPr="001B2DF4"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lang w:val="pt-PT"/>
              </w:rPr>
            </w:pPr>
            <w:r w:rsidRPr="00B87DD1">
              <w:rPr>
                <w:lang w:val="pt-PT"/>
              </w:rPr>
              <w:t xml:space="preserve">Galician ja Portugalin </w:t>
            </w:r>
            <w:r w:rsidRPr="00B87DD1">
              <w:rPr>
                <w:i/>
                <w:lang w:val="pt-PT"/>
              </w:rPr>
              <w:t>Quercus robur</w:t>
            </w:r>
            <w:r w:rsidRPr="00B87DD1">
              <w:rPr>
                <w:lang w:val="pt-PT"/>
              </w:rPr>
              <w:t xml:space="preserve">- ja </w:t>
            </w:r>
            <w:r w:rsidRPr="00B87DD1">
              <w:rPr>
                <w:i/>
                <w:lang w:val="pt-PT"/>
              </w:rPr>
              <w:t>Quercus pyrenaica</w:t>
            </w:r>
            <w:r w:rsidRPr="00B87DD1">
              <w:rPr>
                <w:lang w:val="pt-PT"/>
              </w:rPr>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Pyreneitten niemimaan </w:t>
            </w:r>
            <w:r w:rsidRPr="00B87DD1">
              <w:rPr>
                <w:i/>
              </w:rPr>
              <w:t>Quercus faginea</w:t>
            </w:r>
            <w:r w:rsidRPr="00B87DD1">
              <w:t xml:space="preserve">- ja </w:t>
            </w:r>
            <w:r w:rsidRPr="00B87DD1">
              <w:rPr>
                <w:i/>
              </w:rPr>
              <w:t>Quercus canariensi</w:t>
            </w:r>
            <w:r w:rsidRPr="00B87DD1">
              <w:t>s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Quercus trojana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9260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Cs/>
                <w:noProof/>
              </w:rPr>
            </w:pPr>
            <w:r w:rsidRPr="00B87DD1">
              <w:rPr>
                <w:i/>
              </w:rPr>
              <w:t>Castanea sativa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Kreikan </w:t>
            </w:r>
            <w:r w:rsidRPr="00B87DD1">
              <w:rPr>
                <w:i/>
              </w:rPr>
              <w:t>Abies borisii</w:t>
            </w:r>
            <w:r w:rsidRPr="00B87DD1">
              <w:t>-regis-kasvuiset pyökkimetsät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Quercus frainetto</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9290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Cupressus-metsät (</w:t>
            </w:r>
            <w:r w:rsidRPr="00B87DD1">
              <w:rPr>
                <w:i/>
              </w:rPr>
              <w:t>Acero-Cupression</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Aigeian alueen </w:t>
            </w:r>
            <w:r w:rsidRPr="00B87DD1">
              <w:rPr>
                <w:i/>
              </w:rPr>
              <w:t>Quercus brachyphylla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Olea</w:t>
            </w:r>
            <w:r w:rsidRPr="00B87DD1">
              <w:t xml:space="preserve">- ja </w:t>
            </w:r>
            <w:r w:rsidRPr="00B87DD1">
              <w:rPr>
                <w:i/>
              </w:rPr>
              <w:t>Ceratonia</w:t>
            </w:r>
            <w:r w:rsidRPr="00B87DD1">
              <w:t>-metsät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Quercus suber</w:t>
            </w:r>
            <w:r w:rsidRPr="00B87DD1">
              <w:t xml:space="preserve"> -metsät</w:t>
            </w:r>
          </w:p>
        </w:tc>
      </w:tr>
      <w:tr w:rsidR="00FF7B51" w:rsidRPr="001B2DF4"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lang w:val="pt-PT"/>
              </w:rPr>
            </w:pPr>
            <w:r w:rsidRPr="00B87DD1">
              <w:rPr>
                <w:i/>
                <w:lang w:val="pt-PT"/>
              </w:rPr>
              <w:t>Quercus ilex</w:t>
            </w:r>
            <w:r w:rsidRPr="00B87DD1">
              <w:rPr>
                <w:lang w:val="pt-PT"/>
              </w:rPr>
              <w:t xml:space="preserve">- ja </w:t>
            </w:r>
            <w:r w:rsidRPr="00B87DD1">
              <w:rPr>
                <w:i/>
                <w:lang w:val="pt-PT"/>
              </w:rPr>
              <w:t>Quercus rotundifolia</w:t>
            </w:r>
            <w:r w:rsidRPr="00B87DD1">
              <w:rPr>
                <w:lang w:val="pt-PT"/>
              </w:rPr>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Quercus macrolepis</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Makaronesian laakeripuumetsät (</w:t>
            </w:r>
            <w:r w:rsidRPr="00B87DD1">
              <w:rPr>
                <w:i/>
              </w:rPr>
              <w:t>Laurus, Ocotea</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9380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rPr>
                <w:i/>
              </w:rPr>
              <w:t>Ilex aquifolium</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9390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Cs/>
                <w:noProof/>
              </w:rPr>
            </w:pPr>
            <w:r w:rsidRPr="00B87DD1">
              <w:rPr>
                <w:i/>
              </w:rPr>
              <w:t>Quercus alnifolia</w:t>
            </w:r>
            <w:r w:rsidRPr="00B87DD1">
              <w:t xml:space="preserve"> -pensaikot ja pienpuutammistot</w:t>
            </w:r>
          </w:p>
        </w:tc>
      </w:tr>
      <w:tr w:rsidR="00FF7B51" w:rsidRPr="001B2DF4"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93A0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Cs/>
                <w:noProof/>
                <w:lang w:val="pt-PT"/>
              </w:rPr>
            </w:pPr>
            <w:r w:rsidRPr="00B87DD1">
              <w:rPr>
                <w:i/>
                <w:lang w:val="pt-PT"/>
              </w:rPr>
              <w:t>Quercus infectoria</w:t>
            </w:r>
            <w:r w:rsidRPr="00B87DD1">
              <w:rPr>
                <w:lang w:val="pt-PT"/>
              </w:rPr>
              <w:t xml:space="preserve"> -tammistot (</w:t>
            </w:r>
            <w:r w:rsidRPr="00B87DD1">
              <w:rPr>
                <w:i/>
                <w:lang w:val="pt-PT"/>
              </w:rPr>
              <w:t>Anagyro foetidae-Quercetum infectoriae</w:t>
            </w:r>
            <w:r w:rsidRPr="00B87DD1">
              <w:rPr>
                <w:lang w:val="pt-PT"/>
              </w:rPr>
              <w:t>)</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bCs/>
                <w:noProof/>
              </w:rPr>
            </w:pPr>
            <w:r w:rsidRPr="00B87DD1">
              <w:rPr>
                <w:b/>
              </w:rPr>
              <w:t>Vuoristojen havumetsät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9410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Happamat vuoristojen </w:t>
            </w:r>
            <w:r w:rsidRPr="00B87DD1">
              <w:rPr>
                <w:i/>
              </w:rPr>
              <w:t>Picea</w:t>
            </w:r>
            <w:r w:rsidRPr="00B87DD1">
              <w:t>-metsät alpiiniseen vyöhykkeeseen asti (</w:t>
            </w:r>
            <w:r w:rsidRPr="00B87DD1">
              <w:rPr>
                <w:i/>
              </w:rPr>
              <w:t>Vaccinio-Piceetea</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9420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Alpiiniset </w:t>
            </w:r>
            <w:r w:rsidRPr="00B87DD1">
              <w:rPr>
                <w:i/>
              </w:rPr>
              <w:t>Larix decidua</w:t>
            </w:r>
            <w:r w:rsidRPr="00B87DD1">
              <w:t xml:space="preserve">- ja </w:t>
            </w:r>
            <w:r w:rsidRPr="00B87DD1">
              <w:rPr>
                <w:i/>
              </w:rPr>
              <w:t>Pinus cembra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9430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Vuorten ja subalpiiniset </w:t>
            </w:r>
            <w:r w:rsidRPr="00B87DD1">
              <w:rPr>
                <w:i/>
              </w:rPr>
              <w:t>Pinus uncinata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9510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Cs/>
                <w:noProof/>
              </w:rPr>
            </w:pPr>
            <w:r w:rsidRPr="00B87DD1">
              <w:t xml:space="preserve">Eteläisten Apenniinien </w:t>
            </w:r>
            <w:r w:rsidRPr="00B87DD1">
              <w:rPr>
                <w:i/>
                <w:iCs/>
              </w:rPr>
              <w:t>Abies alba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Abies pinsapo</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lastRenderedPageBreak/>
              <w:t>9530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(Sub)mediterraaniset kotoperäisiä euroopanmustamäntyjä kasvavat mäntymetsät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Mediterraanisen alueen kotoperäisiä mesogeenisiä mäntyjä kasvavat mäntymetsät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Kanarian saarten kotoperäiset mäntymetsät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Kotoperäiset </w:t>
            </w:r>
            <w:r w:rsidRPr="00B87DD1">
              <w:rPr>
                <w:i/>
              </w:rPr>
              <w:t>Juniperus</w:t>
            </w:r>
            <w:r w:rsidRPr="00B87DD1">
              <w:t xml:space="preserve"> spp.-metsät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Tetraclinis articulata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Mediterraaniset </w:t>
            </w:r>
            <w:r w:rsidRPr="00B87DD1">
              <w:rPr>
                <w:i/>
              </w:rPr>
              <w:t>Taxus baccata</w:t>
            </w:r>
            <w:r w:rsidRPr="00B87DD1">
              <w:t xml:space="preserve"> -metsät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Cedrus brevifoli</w:t>
            </w:r>
            <w:r w:rsidRPr="00B87DD1">
              <w:t>a -metsät (</w:t>
            </w:r>
            <w:r w:rsidRPr="00B87DD1">
              <w:rPr>
                <w:i/>
              </w:rPr>
              <w:t>Cedrosetum brevifoliae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95A0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Oro-mediterraaniset mäntysiemenmetsät</w:t>
            </w:r>
          </w:p>
        </w:tc>
      </w:tr>
    </w:tbl>
    <w:p w:rsidR="00FF7B51" w:rsidRPr="00B87DD1" w:rsidRDefault="00FF7B51" w:rsidP="00FF7B51">
      <w:pPr>
        <w:keepNext/>
        <w:widowControl/>
        <w:tabs>
          <w:tab w:val="left" w:pos="851"/>
        </w:tabs>
        <w:spacing w:before="120" w:after="120"/>
        <w:jc w:val="both"/>
        <w:outlineLvl w:val="1"/>
        <w:rPr>
          <w:b/>
          <w:bCs/>
          <w:noProof/>
          <w:szCs w:val="26"/>
        </w:rPr>
      </w:pPr>
      <w:r w:rsidRPr="00B87DD1">
        <w:rPr>
          <w:b/>
        </w:rPr>
        <w:t>5.</w:t>
      </w:r>
      <w:r w:rsidRPr="00B87DD1">
        <w:rPr>
          <w:b/>
        </w:rPr>
        <w:tab/>
        <w:t>RYHMÄ 5: Arojen, nummien ja pensaikkojen luontotyypit</w:t>
      </w:r>
    </w:p>
    <w:tbl>
      <w:tblPr>
        <w:tblStyle w:val="TableGrid1"/>
        <w:tblW w:w="9067" w:type="dxa"/>
        <w:tblLayout w:type="fixed"/>
        <w:tblLook w:val="04A0" w:firstRow="1" w:lastRow="0" w:firstColumn="1" w:lastColumn="0" w:noHBand="0" w:noVBand="1"/>
      </w:tblPr>
      <w:tblGrid>
        <w:gridCol w:w="1555"/>
        <w:gridCol w:w="7512"/>
      </w:tblGrid>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 xml:space="preserve">Neuvoston direktiivin 92/43/ETY liitteessä I esitetty luontotyypin koodi </w:t>
            </w:r>
          </w:p>
        </w:tc>
        <w:tc>
          <w:tcPr>
            <w:tcW w:w="7512"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Neuvoston direktiivin 92/43/ETY liitteessä I esitetty luontotyypin nimi</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rPr>
                <w:b/>
              </w:rPr>
              <w:t>Suola- ja kipsiarot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1430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Typpipitoiset suolamaan pensastot (</w:t>
            </w:r>
            <w:r w:rsidRPr="00B87DD1">
              <w:rPr>
                <w:i/>
              </w:rPr>
              <w:t>Pegano-Salsoletea</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1510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Mediterraanisen alueen suola-arot (</w:t>
            </w:r>
            <w:r w:rsidRPr="00B87DD1">
              <w:rPr>
                <w:i/>
              </w:rPr>
              <w:t>Limonietalia</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1520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Pyreneitten niemimaan alueen kipsiarot (</w:t>
            </w:r>
            <w:r w:rsidRPr="00B87DD1">
              <w:rPr>
                <w:i/>
              </w:rPr>
              <w:t>Gypsophiletalia</w:t>
            </w:r>
            <w:r w:rsidRPr="00B87DD1">
              <w:t>)</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F7B51" w:rsidRPr="00B87DD1" w:rsidRDefault="00FF7B51" w:rsidP="00FF7B51">
            <w:pPr>
              <w:widowControl/>
              <w:spacing w:before="120" w:after="120"/>
              <w:rPr>
                <w:noProof/>
              </w:rPr>
            </w:pPr>
            <w:r w:rsidRPr="00B87DD1">
              <w:rPr>
                <w:b/>
              </w:rPr>
              <w:t>Lauhkean alueen nummet ja pensaikot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4050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bCs/>
                <w:noProof/>
              </w:rPr>
            </w:pPr>
            <w:r w:rsidRPr="00B87DD1">
              <w:t>Makaronesian kotoperäiset nummet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4060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Alpiiniset ja boreaaliset tunturikankaat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4070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rPr>
                <w:i/>
              </w:rPr>
              <w:t>Pinus mugo</w:t>
            </w:r>
            <w:r w:rsidRPr="00B87DD1">
              <w:t xml:space="preserve">- ja </w:t>
            </w:r>
            <w:r w:rsidRPr="00B87DD1">
              <w:rPr>
                <w:i/>
              </w:rPr>
              <w:t>Rhododendron hirsutum</w:t>
            </w:r>
            <w:r w:rsidRPr="00B87DD1">
              <w:t xml:space="preserve"> (</w:t>
            </w:r>
            <w:r w:rsidRPr="00B87DD1">
              <w:rPr>
                <w:i/>
              </w:rPr>
              <w:t>Mugo-Rhododendretum hirsuti</w:t>
            </w:r>
            <w:r w:rsidRPr="00B87DD1">
              <w:t>) -kasvuiset pensaikot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4080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Subarktiset </w:t>
            </w:r>
            <w:r w:rsidRPr="00B87DD1">
              <w:rPr>
                <w:i/>
              </w:rPr>
              <w:t>Salix</w:t>
            </w:r>
            <w:r w:rsidRPr="00B87DD1">
              <w:t xml:space="preserve"> spp. -pensaikot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40A0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Subkontinentaaliset Pannonian pensastot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40B0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Rodopien </w:t>
            </w:r>
            <w:r w:rsidRPr="00B87DD1">
              <w:rPr>
                <w:i/>
              </w:rPr>
              <w:t>Potentilla fruticosa</w:t>
            </w:r>
            <w:r w:rsidRPr="00B87DD1">
              <w:t xml:space="preserve"> -pensaikot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lastRenderedPageBreak/>
              <w:t>40C0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Ponto-Sarmatian vuosittain varisevat pensaikot</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rsidR="00FF7B51" w:rsidRPr="00B87DD1" w:rsidRDefault="00FF7B51" w:rsidP="00FF7B51">
            <w:pPr>
              <w:pageBreakBefore/>
              <w:widowControl/>
              <w:spacing w:before="120" w:after="120"/>
              <w:rPr>
                <w:b/>
                <w:bCs/>
                <w:noProof/>
              </w:rPr>
            </w:pPr>
            <w:r w:rsidRPr="00B87DD1">
              <w:rPr>
                <w:b/>
              </w:rPr>
              <w:lastRenderedPageBreak/>
              <w:t>Sklerofyyttiset pensaikot (matorral)</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5110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Kalkkikivirinteiden vakiintuneet, kserotermofiiliset Buxus sempervirens -kasvustot (</w:t>
            </w:r>
            <w:r w:rsidRPr="00B87DD1">
              <w:rPr>
                <w:i/>
              </w:rPr>
              <w:t>Berberidion p.p.</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5120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Vuorten </w:t>
            </w:r>
            <w:r w:rsidRPr="00B87DD1">
              <w:rPr>
                <w:i/>
              </w:rPr>
              <w:t>Cytisus purgans</w:t>
            </w:r>
            <w:r w:rsidRPr="00B87DD1">
              <w:t xml:space="preserve"> -kasvustot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5140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Merellisten kosteiden nummien </w:t>
            </w:r>
            <w:r w:rsidRPr="00B87DD1">
              <w:rPr>
                <w:i/>
              </w:rPr>
              <w:t>Cistus palhinhae</w:t>
            </w:r>
            <w:r w:rsidRPr="00B87DD1">
              <w:t xml:space="preserve"> -kasvustot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bCs/>
                <w:i/>
                <w:noProof/>
              </w:rPr>
            </w:pPr>
            <w:r w:rsidRPr="00B87DD1">
              <w:rPr>
                <w:b/>
                <w:i/>
              </w:rPr>
              <w:t>5210</w:t>
            </w:r>
          </w:p>
        </w:tc>
        <w:tc>
          <w:tcPr>
            <w:tcW w:w="7512"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bCs/>
                <w:i/>
                <w:iCs/>
                <w:noProof/>
              </w:rPr>
            </w:pPr>
            <w:r w:rsidRPr="00B87DD1">
              <w:rPr>
                <w:b/>
                <w:i/>
              </w:rPr>
              <w:t>Juniperus spp. -puustoinen matorral</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5220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rPr>
                <w:i/>
              </w:rPr>
              <w:t>Zyziphus</w:t>
            </w:r>
            <w:r w:rsidRPr="00B87DD1">
              <w:t>-puustoinen matorral</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5230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rPr>
                <w:i/>
              </w:rPr>
              <w:t>Laurus nobilis</w:t>
            </w:r>
            <w:r w:rsidRPr="00B87DD1">
              <w:t xml:space="preserve"> -puustoinen matorral</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5310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rPr>
                <w:i/>
                <w:iCs/>
              </w:rPr>
              <w:t>Laurus nobilis</w:t>
            </w:r>
            <w:r w:rsidRPr="00B87DD1">
              <w:t xml:space="preserve"> -tiheiköt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5320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Lähellä kalliotörmiä kasvavat matalat </w:t>
            </w:r>
            <w:r w:rsidRPr="00B87DD1">
              <w:rPr>
                <w:i/>
              </w:rPr>
              <w:t>Euphorbia</w:t>
            </w:r>
            <w:r w:rsidRPr="00B87DD1">
              <w:t>-kasvustot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5330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Termomediterraaninen ja esiaavikko-pensasto</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5410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Läntisen Välimeren kallionpäällys-phrygana (</w:t>
            </w:r>
            <w:r w:rsidRPr="00B87DD1">
              <w:rPr>
                <w:i/>
              </w:rPr>
              <w:t>Astragalo-Plantaginetum subulatae</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5420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rPr>
                <w:i/>
              </w:rPr>
              <w:t>Sarcopoterium spinosum</w:t>
            </w:r>
            <w:r w:rsidRPr="00B87DD1">
              <w:t xml:space="preserve"> -phryganat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5430</w:t>
            </w:r>
          </w:p>
        </w:tc>
        <w:tc>
          <w:tcPr>
            <w:tcW w:w="7512"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Kotoperäiset </w:t>
            </w:r>
            <w:r w:rsidRPr="00B87DD1">
              <w:rPr>
                <w:i/>
              </w:rPr>
              <w:t>Euphorbio-Verbascion</w:t>
            </w:r>
            <w:r w:rsidRPr="00B87DD1">
              <w:t xml:space="preserve"> -phryganat</w:t>
            </w:r>
          </w:p>
        </w:tc>
      </w:tr>
    </w:tbl>
    <w:p w:rsidR="00FF7B51" w:rsidRPr="00B87DD1" w:rsidRDefault="00FF7B51" w:rsidP="00FF7B51">
      <w:pPr>
        <w:keepNext/>
        <w:widowControl/>
        <w:spacing w:before="120" w:after="120"/>
        <w:ind w:left="850" w:hanging="850"/>
        <w:jc w:val="both"/>
        <w:outlineLvl w:val="1"/>
        <w:rPr>
          <w:b/>
          <w:bCs/>
          <w:noProof/>
          <w:szCs w:val="26"/>
        </w:rPr>
      </w:pPr>
      <w:r w:rsidRPr="00B87DD1">
        <w:rPr>
          <w:b/>
        </w:rPr>
        <w:t>6.</w:t>
      </w:r>
      <w:r w:rsidRPr="00B87DD1">
        <w:rPr>
          <w:b/>
        </w:rPr>
        <w:tab/>
        <w:t>RYHMÄ 6: Kallioiden ja dyynien luontotyypit</w:t>
      </w:r>
    </w:p>
    <w:tbl>
      <w:tblPr>
        <w:tblStyle w:val="TableGrid1"/>
        <w:tblW w:w="9067" w:type="dxa"/>
        <w:tblLook w:val="04A0" w:firstRow="1" w:lastRow="0" w:firstColumn="1" w:lastColumn="0" w:noHBand="0" w:noVBand="1"/>
      </w:tblPr>
      <w:tblGrid>
        <w:gridCol w:w="1555"/>
        <w:gridCol w:w="7512"/>
      </w:tblGrid>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 xml:space="preserve">Neuvoston direktiivin 92/43/ETY liitteessä I esitetty luontotyypin koodi </w:t>
            </w:r>
          </w:p>
        </w:tc>
        <w:tc>
          <w:tcPr>
            <w:tcW w:w="7512"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Neuvoston direktiivin 92/43/ETY liitteessä I esitetty luontotyypin nimi</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b/>
              </w:rPr>
              <w:t>Rantakalliot, rannat ja luodot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Rantavallien yksivuotinen 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Kivikkoisten rantojen monivuotinen 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Atlantin ja Itämeren rannikoiden kasvipeitteiset rantakalliot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1240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Välimeren rannikoiden kasvipeitteiset rantakalliot ja -törmät kotoperäisine </w:t>
            </w:r>
            <w:r w:rsidRPr="00B87DD1">
              <w:rPr>
                <w:i/>
              </w:rPr>
              <w:t>Limonium</w:t>
            </w:r>
            <w:r w:rsidRPr="00B87DD1">
              <w:t xml:space="preserve"> spp. -lajeineen</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bCs/>
                <w:noProof/>
              </w:rPr>
            </w:pPr>
            <w:r w:rsidRPr="00B87DD1">
              <w:t>1250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b/>
                <w:bCs/>
                <w:noProof/>
              </w:rPr>
            </w:pPr>
            <w:r w:rsidRPr="00B87DD1">
              <w:t>Makaronesian rannikoiden kasvipeitteiset rantatörmät kotoperäisine kasveineen</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lastRenderedPageBreak/>
              <w:t>1610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Itämeren harjusaaret ja niiden hiekka-, kallio- ja kivikkorantojen sekä vedenalainen kasvillisuus</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1620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Itämeren boreaaliset luodot ja saaret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1640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Itämeren boreaaliset hiekkarannat, joilla on monivuotista ruohovartista kasvillisuutta</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bCs/>
                <w:noProof/>
              </w:rPr>
            </w:pPr>
            <w:r w:rsidRPr="00B87DD1">
              <w:rPr>
                <w:b/>
              </w:rPr>
              <w:t>Rannikoiden ja sisämaan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Liikkuvat alkiovaiheen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Rannikon liikkuvat </w:t>
            </w:r>
            <w:r w:rsidRPr="00B87DD1">
              <w:rPr>
                <w:i/>
              </w:rPr>
              <w:t>Ammophila arenaria</w:t>
            </w:r>
            <w:r w:rsidRPr="00B87DD1">
              <w:t xml:space="preserve"> -rantakauradyynit (”valkoiset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Rannikoiden kiinteät ruohokasvillisuuden peittämät dyynit (”harmaat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Kiinteät kalkittomat </w:t>
            </w:r>
            <w:r w:rsidRPr="00B87DD1">
              <w:rPr>
                <w:i/>
              </w:rPr>
              <w:t>Empetrum nigrum</w:t>
            </w:r>
            <w:r w:rsidRPr="00B87DD1">
              <w:t xml:space="preserve"> -variksenmarjadyynit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Atlanttiset kanervavaltaiset kalkittomat, kiinteät dyynit (</w:t>
            </w:r>
            <w:r w:rsidRPr="00B87DD1">
              <w:rPr>
                <w:i/>
              </w:rPr>
              <w:t>Calluno-Ulicetea</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Hippophaë rhamnoides</w:t>
            </w:r>
            <w:r w:rsidRPr="00B87DD1">
              <w:t xml:space="preserve"> -kasvustoiset dyynit</w:t>
            </w:r>
          </w:p>
        </w:tc>
      </w:tr>
      <w:tr w:rsidR="00FF7B51" w:rsidRPr="001B2DF4"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lang w:val="fr-FR"/>
              </w:rPr>
            </w:pPr>
            <w:r w:rsidRPr="00B87DD1">
              <w:rPr>
                <w:lang w:val="fr-FR"/>
              </w:rPr>
              <w:t xml:space="preserve">Dyynit, joissa </w:t>
            </w:r>
            <w:r w:rsidRPr="00B87DD1">
              <w:rPr>
                <w:i/>
                <w:lang w:val="fr-FR"/>
              </w:rPr>
              <w:t>Salix repens</w:t>
            </w:r>
            <w:r w:rsidRPr="00B87DD1">
              <w:rPr>
                <w:lang w:val="fr-FR"/>
              </w:rPr>
              <w:t xml:space="preserve"> ssp. argentea (</w:t>
            </w:r>
            <w:r w:rsidRPr="00B87DD1">
              <w:rPr>
                <w:i/>
                <w:lang w:val="fr-FR"/>
              </w:rPr>
              <w:t>Salicion arenariae</w:t>
            </w:r>
            <w:r w:rsidRPr="00B87DD1">
              <w:rPr>
                <w:lang w:val="fr-FR"/>
              </w:rPr>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2180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Atlanttisen, kontinentaalisen ja boreaalisen alueen metsäiset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2190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Dyynien kosteat soistuneet painanteet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Crucianellion maritimae -kasvustoiset kiinteät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Euphorbia terracina</w:t>
            </w:r>
            <w:r w:rsidRPr="00B87DD1">
              <w:t xml:space="preserve"> -kasvustoiset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Malcolmietalia</w:t>
            </w:r>
            <w:r w:rsidRPr="00B87DD1">
              <w:t>-kasvustoiset niittydyynit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t>2240</w:t>
            </w:r>
          </w:p>
        </w:tc>
        <w:tc>
          <w:tcPr>
            <w:tcW w:w="7512" w:type="dxa"/>
            <w:tcBorders>
              <w:top w:val="single" w:sz="4" w:space="0" w:color="auto"/>
              <w:left w:val="single" w:sz="4" w:space="0" w:color="auto"/>
              <w:bottom w:val="single" w:sz="4" w:space="0" w:color="auto"/>
              <w:right w:val="single" w:sz="4" w:space="0" w:color="auto"/>
            </w:tcBorders>
            <w:vAlign w:val="center"/>
          </w:tcPr>
          <w:p w:rsidR="00FF7B51" w:rsidRPr="00B87DD1" w:rsidRDefault="00FF7B51" w:rsidP="00FF7B51">
            <w:pPr>
              <w:widowControl/>
              <w:spacing w:before="120" w:after="120"/>
              <w:rPr>
                <w:noProof/>
              </w:rPr>
            </w:pPr>
            <w:r w:rsidRPr="00B87DD1">
              <w:rPr>
                <w:i/>
              </w:rPr>
              <w:t>Brachypodietalia</w:t>
            </w:r>
            <w:r w:rsidRPr="00B87DD1">
              <w:t>-kasvustoiset niittydyynit yksivuotisine kasveineen</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2250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Rannikon dyynit, joissa </w:t>
            </w:r>
            <w:r w:rsidRPr="00B87DD1">
              <w:rPr>
                <w:i/>
              </w:rPr>
              <w:t>Juniperus</w:t>
            </w:r>
            <w:r w:rsidRPr="00B87DD1">
              <w:t xml:space="preserve"> spp. -lajeja</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2260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pPr>
            <w:r w:rsidRPr="00B87DD1">
              <w:t xml:space="preserve">Sklerofyyttiset </w:t>
            </w:r>
            <w:r w:rsidRPr="00B87DD1">
              <w:rPr>
                <w:i/>
              </w:rPr>
              <w:t>Cisto-Lavenduletalia</w:t>
            </w:r>
            <w:r w:rsidRPr="00B87DD1">
              <w:t>-dyynipensaikot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2270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Mäntylajeilla </w:t>
            </w:r>
            <w:r w:rsidRPr="00B87DD1">
              <w:rPr>
                <w:i/>
              </w:rPr>
              <w:t>Pinus pinea</w:t>
            </w:r>
            <w:r w:rsidRPr="00B87DD1">
              <w:t xml:space="preserve"> ja/tai </w:t>
            </w:r>
            <w:r w:rsidRPr="00B87DD1">
              <w:rPr>
                <w:i/>
              </w:rPr>
              <w:t>Pinus pinaster</w:t>
            </w:r>
            <w:r w:rsidRPr="00B87DD1">
              <w:t xml:space="preserve"> metsittyneet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Kuivat </w:t>
            </w:r>
            <w:r w:rsidRPr="00B87DD1">
              <w:rPr>
                <w:i/>
              </w:rPr>
              <w:t>Calluna</w:t>
            </w:r>
            <w:r w:rsidRPr="00B87DD1">
              <w:t xml:space="preserve">- ja </w:t>
            </w:r>
            <w:r w:rsidRPr="00B87DD1">
              <w:rPr>
                <w:i/>
              </w:rPr>
              <w:t>Genista</w:t>
            </w:r>
            <w:r w:rsidRPr="00B87DD1">
              <w:t>-nummet/dyynit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 xml:space="preserve">Kuivat </w:t>
            </w:r>
            <w:r w:rsidRPr="00B87DD1">
              <w:rPr>
                <w:i/>
              </w:rPr>
              <w:t>Calluna</w:t>
            </w:r>
            <w:r w:rsidRPr="00B87DD1">
              <w:t xml:space="preserve">- ja </w:t>
            </w:r>
            <w:r w:rsidRPr="00B87DD1">
              <w:rPr>
                <w:i/>
              </w:rPr>
              <w:t>Empetrum nigrum</w:t>
            </w:r>
            <w:r w:rsidRPr="00B87DD1">
              <w:t xml:space="preserve"> -nummet/dyynit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2330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rPr>
                <w:i/>
              </w:rPr>
              <w:t>Corynephorus</w:t>
            </w:r>
            <w:r w:rsidRPr="00B87DD1">
              <w:t xml:space="preserve">- ja </w:t>
            </w:r>
            <w:r w:rsidRPr="00B87DD1">
              <w:rPr>
                <w:i/>
              </w:rPr>
              <w:t>Agrostis</w:t>
            </w:r>
            <w:r w:rsidRPr="00B87DD1">
              <w:t>-kasvustoiset sisämaan dyyniniityt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2340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Pannonian sisämaan dyynit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lastRenderedPageBreak/>
              <w:t>91N0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Pannonian sisämaan hiekkadyynipensaikot (</w:t>
            </w:r>
            <w:r w:rsidRPr="00B87DD1">
              <w:rPr>
                <w:i/>
              </w:rPr>
              <w:t>Junipero-Populetum albae</w:t>
            </w:r>
            <w:r w:rsidRPr="00B87DD1">
              <w:t>)</w:t>
            </w:r>
          </w:p>
        </w:tc>
      </w:tr>
      <w:tr w:rsidR="00FF7B51" w:rsidRPr="00B87DD1" w:rsidTr="00FF7B51">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bCs/>
                <w:noProof/>
              </w:rPr>
            </w:pPr>
            <w:r w:rsidRPr="00B87DD1">
              <w:rPr>
                <w:b/>
              </w:rPr>
              <w:t>Kallioiset luontotyypit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8110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Vuorten kvartsipitoiset vyörysoraikot ja -lohkareikot lumirajalla (</w:t>
            </w:r>
            <w:r w:rsidRPr="00B87DD1">
              <w:rPr>
                <w:i/>
              </w:rPr>
              <w:t>Androsacetalia alpinae</w:t>
            </w:r>
            <w:r w:rsidRPr="00B87DD1">
              <w:t xml:space="preserve"> ja </w:t>
            </w:r>
            <w:r w:rsidRPr="00B87DD1">
              <w:rPr>
                <w:i/>
              </w:rPr>
              <w:t>Galeopsietalia ladani</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8120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Kalkkipitoiset, vuorten vyörysoraikot ja -lohkareikot alpiinisessa vyöhykkeessä (</w:t>
            </w:r>
            <w:r w:rsidRPr="00B87DD1">
              <w:rPr>
                <w:i/>
              </w:rPr>
              <w:t>Thlaspietea rotundifolii</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8130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Läntisen Välimeren ja termofiiliset vyörysoraikot ja -lohkareikot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8140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Itäisen Välimeren vyörysoraikot ja -lohkareikot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8150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Itäisen Välimeren vyörysoraikot ja -lohkareikot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8160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Keski-Euroopan ylänköjen kvartsipitoiset vyörysoraikot ja -lohkareikot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8210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Kasvipeitteiset kalkkikalliot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8220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Kasvipeitteiset silikaattikalliot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8230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Kallioiden pioneerikasvillisuus (</w:t>
            </w:r>
            <w:r w:rsidRPr="00B87DD1">
              <w:rPr>
                <w:i/>
              </w:rPr>
              <w:t>Sedo-Scleranthion</w:t>
            </w:r>
            <w:r w:rsidRPr="00B87DD1">
              <w:t xml:space="preserve"> tai </w:t>
            </w:r>
            <w:r w:rsidRPr="00B87DD1">
              <w:rPr>
                <w:i/>
              </w:rPr>
              <w:t>Sedo albi-Veronicion dillenii</w:t>
            </w:r>
            <w:r w:rsidRPr="00B87DD1">
              <w: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8310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Yleisöltä suljetut luolat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8320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Laavakentät ja luonnononkalot</w:t>
            </w:r>
          </w:p>
        </w:tc>
      </w:tr>
      <w:tr w:rsidR="00FF7B51" w:rsidRPr="00B87DD1" w:rsidTr="00FF7B51">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8340</w:t>
            </w:r>
          </w:p>
        </w:tc>
        <w:tc>
          <w:tcPr>
            <w:tcW w:w="7512"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rPr>
                <w:noProof/>
              </w:rPr>
            </w:pPr>
            <w:r w:rsidRPr="00B87DD1">
              <w:t>Ikijäätiköt</w:t>
            </w:r>
          </w:p>
        </w:tc>
      </w:tr>
    </w:tbl>
    <w:p w:rsidR="00FF7B51" w:rsidRPr="00B87DD1" w:rsidRDefault="00FF7B51" w:rsidP="00FF7B51">
      <w:pPr>
        <w:widowControl/>
        <w:suppressAutoHyphens/>
        <w:spacing w:before="120" w:after="120"/>
        <w:rPr>
          <w:rFonts w:eastAsia="Calibri"/>
          <w:noProof/>
          <w:szCs w:val="22"/>
          <w:lang w:eastAsia="en-US"/>
        </w:rPr>
      </w:pPr>
    </w:p>
    <w:p w:rsidR="00FF7B51" w:rsidRPr="00B87DD1" w:rsidRDefault="00FF7B51" w:rsidP="00FF7B51">
      <w:pPr>
        <w:widowControl/>
        <w:suppressAutoHyphens/>
        <w:spacing w:before="120" w:after="120"/>
        <w:rPr>
          <w:bCs/>
          <w:smallCaps/>
          <w:noProof/>
          <w:szCs w:val="28"/>
          <w:u w:val="single"/>
        </w:rPr>
      </w:pPr>
      <w:r w:rsidRPr="00B87DD1">
        <w:br w:type="page"/>
      </w:r>
    </w:p>
    <w:p w:rsidR="00FF7B51" w:rsidRPr="00B87DD1" w:rsidRDefault="00FF7B51" w:rsidP="00B87DD1">
      <w:pPr>
        <w:widowControl/>
        <w:suppressAutoHyphens/>
        <w:spacing w:before="120" w:after="120" w:line="360" w:lineRule="auto"/>
        <w:jc w:val="center"/>
        <w:rPr>
          <w:rFonts w:eastAsia="Calibri"/>
          <w:noProof/>
          <w:szCs w:val="22"/>
          <w:lang w:eastAsia="en-US"/>
        </w:rPr>
      </w:pPr>
      <w:r w:rsidRPr="00B87DD1">
        <w:rPr>
          <w:b/>
          <w:u w:val="single"/>
        </w:rPr>
        <w:lastRenderedPageBreak/>
        <w:t>LIITE II</w:t>
      </w:r>
      <w:r w:rsidRPr="00B87DD1">
        <w:rPr>
          <w:b/>
          <w:u w:val="single"/>
        </w:rPr>
        <w:br/>
        <w:t>5 ARTIKLAN 1 JA 2 KOHDASSA TARKOITETUT LUONTOTYYPIT JA LUONTOTYYPPIRYHMÄT</w:t>
      </w:r>
    </w:p>
    <w:p w:rsidR="00FF7B51" w:rsidRPr="00B87DD1" w:rsidRDefault="00FF7B51" w:rsidP="00FF7B51">
      <w:pPr>
        <w:widowControl/>
        <w:suppressAutoHyphens/>
        <w:spacing w:before="120" w:after="120" w:line="360" w:lineRule="auto"/>
        <w:rPr>
          <w:rFonts w:eastAsia="Calibri"/>
          <w:noProof/>
          <w:szCs w:val="24"/>
        </w:rPr>
      </w:pPr>
      <w:r w:rsidRPr="00B87DD1">
        <w:t>Jäljempänä olevaan luetteloon sisältyvät 5 artiklan 1 ja 2 kohdassa tarkoitetut merten luontotyypit sekä seitsemän näiden luontotyyppien ryhmää eli 1) meriheinäpohjat, 2) makrolevämetsät, 3) simpukkapohjat, 4) leväkalkkipohjat, 5) sieni-, koralli- ja koralleja tuottavat pohjat, 6) merenalaiset lähteet ja 7) pehmeät sedimentit (alle 1 000 metrin syvyydessä). Lisäksi esitetään suhde direktiivin 92/43/ETY liitteessä I lueteltuihin luontotyyppeihin.</w:t>
      </w:r>
    </w:p>
    <w:p w:rsidR="00FF7B51" w:rsidRPr="00B87DD1" w:rsidRDefault="00FF7B51" w:rsidP="00FF7B51">
      <w:pPr>
        <w:widowControl/>
        <w:suppressAutoHyphens/>
        <w:spacing w:before="120" w:after="120" w:line="360" w:lineRule="auto"/>
        <w:rPr>
          <w:rFonts w:eastAsia="Calibri"/>
          <w:i/>
          <w:noProof/>
          <w:szCs w:val="22"/>
        </w:rPr>
      </w:pPr>
      <w:r w:rsidRPr="00B87DD1">
        <w:t>Käytetty merten luontotyyppien luokitus, joka on eriytetty merten luonnonmaantieteellisten alueiden mukaan, perustuu Euroopan luontoa koskevaan tietojärjestelmään (EUNIS), jonka Euroopan ympäristökeskus on tarkistanut vuonna 2022 merellisten luontotyyppien typologiaa varten. Tiedot yhteydestä neuvoston direktiivin 92/43/ETY liitteessä I lueteltuihin luontotyyppeihin perustuvat Euroopan ympäristökeskuksen vuonna 2021 julkaisemaan asiakirjaan</w:t>
      </w:r>
      <w:r w:rsidRPr="00B87DD1">
        <w:rPr>
          <w:rFonts w:eastAsia="Calibri"/>
          <w:noProof/>
          <w:szCs w:val="22"/>
          <w:vertAlign w:val="superscript"/>
          <w:lang w:eastAsia="en-US"/>
        </w:rPr>
        <w:footnoteReference w:id="74"/>
      </w:r>
      <w:r w:rsidRPr="00B87DD1">
        <w:t xml:space="preserve">. </w:t>
      </w:r>
    </w:p>
    <w:p w:rsidR="00FF7B51" w:rsidRPr="00B87DD1" w:rsidRDefault="00FF7B51" w:rsidP="00FF7B51">
      <w:pPr>
        <w:keepNext/>
        <w:widowControl/>
        <w:suppressAutoHyphens/>
        <w:spacing w:before="120" w:after="120"/>
        <w:ind w:left="851" w:hanging="851"/>
        <w:jc w:val="both"/>
        <w:outlineLvl w:val="1"/>
        <w:rPr>
          <w:b/>
          <w:bCs/>
          <w:noProof/>
          <w:szCs w:val="26"/>
        </w:rPr>
      </w:pPr>
      <w:r w:rsidRPr="00B87DD1">
        <w:rPr>
          <w:b/>
        </w:rPr>
        <w:t>1.</w:t>
      </w:r>
      <w:r w:rsidRPr="00B87DD1">
        <w:rPr>
          <w:b/>
        </w:rPr>
        <w:tab/>
        <w:t>Ryhmä 1: Meriheinäpohjat</w:t>
      </w:r>
    </w:p>
    <w:tbl>
      <w:tblPr>
        <w:tblStyle w:val="TableGrid1"/>
        <w:tblW w:w="0" w:type="auto"/>
        <w:tblLook w:val="04A0" w:firstRow="1" w:lastRow="0" w:firstColumn="1" w:lastColumn="0" w:noHBand="0" w:noVBand="1"/>
      </w:tblPr>
      <w:tblGrid>
        <w:gridCol w:w="1024"/>
        <w:gridCol w:w="80"/>
        <w:gridCol w:w="6101"/>
        <w:gridCol w:w="2110"/>
      </w:tblGrid>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EUNIS-koodi</w:t>
            </w:r>
          </w:p>
        </w:tc>
        <w:tc>
          <w:tcPr>
            <w:tcW w:w="6181"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Luontotyypin nimi EUNIS-luokittelussa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noProof/>
              </w:rPr>
            </w:pPr>
            <w:r w:rsidRPr="00B87DD1">
              <w:rPr>
                <w:b/>
              </w:rPr>
              <w:t xml:space="preserve">Tähän liittyvät neuvoston direktiivin 92/43/ETY liitteessä I esitetyt luontotyypin koodit </w:t>
            </w:r>
          </w:p>
        </w:tc>
      </w:tr>
      <w:tr w:rsidR="00FF7B51" w:rsidRPr="00B87DD1" w:rsidTr="00FF7B51">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bCs/>
                <w:noProof/>
              </w:rPr>
            </w:pPr>
            <w:r w:rsidRPr="00B87DD1">
              <w:rPr>
                <w:b/>
              </w:rPr>
              <w:t>Atlantin alue</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MA522</w:t>
            </w:r>
          </w:p>
        </w:tc>
        <w:tc>
          <w:tcPr>
            <w:tcW w:w="6181"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Meriheinäniityt Atlantin litoraalin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1140; 1160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MA623</w:t>
            </w:r>
          </w:p>
        </w:tc>
        <w:tc>
          <w:tcPr>
            <w:tcW w:w="6181"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Meriheinäniityt Atlantin </w:t>
            </w:r>
            <w:r w:rsidRPr="00B87DD1">
              <w:rPr>
                <w:b/>
                <w:bCs/>
                <w:i/>
                <w:iCs/>
              </w:rPr>
              <w:t>litoraalin</w:t>
            </w:r>
            <w:r w:rsidRPr="00B87DD1">
              <w:t xml:space="preserve"> liejupohjalla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1140; 1160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MB522</w:t>
            </w:r>
          </w:p>
        </w:tc>
        <w:tc>
          <w:tcPr>
            <w:tcW w:w="6181"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Meriheinäniityt Atlantin infralitoraalin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1150; 1160</w:t>
            </w:r>
          </w:p>
        </w:tc>
      </w:tr>
      <w:tr w:rsidR="00FF7B51" w:rsidRPr="00B87DD1" w:rsidTr="00FF7B51">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pageBreakBefore/>
              <w:widowControl/>
              <w:spacing w:before="120" w:after="120"/>
              <w:rPr>
                <w:b/>
                <w:noProof/>
              </w:rPr>
            </w:pPr>
            <w:r w:rsidRPr="00B87DD1">
              <w:rPr>
                <w:b/>
              </w:rPr>
              <w:lastRenderedPageBreak/>
              <w:t>Itämeri</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MA332</w:t>
            </w:r>
          </w:p>
        </w:tc>
        <w:tc>
          <w:tcPr>
            <w:tcW w:w="6181"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hydrolitoraalin karkea sedimentti, jolle on ominaista vedenalainen kasvillisuus</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1130; 1160; 1610; 1620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MA432</w:t>
            </w:r>
          </w:p>
        </w:tc>
        <w:tc>
          <w:tcPr>
            <w:tcW w:w="6181"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Itämeren hydrolitoraalin sekasedimentti, jolle on ominaista vedenalainen kasvillisuus </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1130; 1140; 1160; 1610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MA532</w:t>
            </w:r>
          </w:p>
        </w:tc>
        <w:tc>
          <w:tcPr>
            <w:tcW w:w="6181"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hydrolitoraalin hiekkapohja, jolle ovat tunnusomaisia vedenalaiset juurtuneet kasvit</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1130; 1140; 1160; 1610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MA632</w:t>
            </w:r>
          </w:p>
        </w:tc>
        <w:tc>
          <w:tcPr>
            <w:tcW w:w="6181"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hydrolitoraalin liejupohja, jolle ovat tunnusomaisia vedenalaiset juurtuneet kasvit</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1130; 1140; 1160; 1650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MB332</w:t>
            </w:r>
          </w:p>
        </w:tc>
        <w:tc>
          <w:tcPr>
            <w:tcW w:w="6181"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karkea sedimentti, jolle ovat tunnusomaisia vedenalaiset juurtuneet kasvit</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MB432</w:t>
            </w:r>
          </w:p>
        </w:tc>
        <w:tc>
          <w:tcPr>
            <w:tcW w:w="6181"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sekasedimentti, jolle ovat tunnusomaisia vedenalaiset juurtuneet kasvit</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 1650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MB532</w:t>
            </w:r>
          </w:p>
        </w:tc>
        <w:tc>
          <w:tcPr>
            <w:tcW w:w="6181"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hiekkapohja, jolle ovat tunnusomaisia vedenalaiset juurtuneet kasvit</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1150; 1160</w:t>
            </w:r>
          </w:p>
        </w:tc>
      </w:tr>
      <w:tr w:rsidR="00FF7B51" w:rsidRPr="00B87DD1" w:rsidTr="00FF7B51">
        <w:trPr>
          <w:cantSplit/>
          <w:trHeight w:val="283"/>
        </w:trPr>
        <w:tc>
          <w:tcPr>
            <w:tcW w:w="1024"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MB632</w:t>
            </w:r>
          </w:p>
        </w:tc>
        <w:tc>
          <w:tcPr>
            <w:tcW w:w="6181"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liejusedimentti, jolle ovat tunnusomaisia vedenalaiset juurtuneet kasvit</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1130; 1150; 1160; 1650</w:t>
            </w:r>
          </w:p>
        </w:tc>
      </w:tr>
      <w:tr w:rsidR="00FF7B51" w:rsidRPr="00B87DD1" w:rsidTr="00FF7B51">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Mustameri</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MB546</w:t>
            </w:r>
          </w:p>
        </w:tc>
        <w:tc>
          <w:tcPr>
            <w:tcW w:w="6101"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Meriheinän ja juurakollisen levän niityt Mustanmeren makean veden vaikutuksen alaisella infralitoraalin liejuisella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MB547</w:t>
            </w:r>
          </w:p>
        </w:tc>
        <w:tc>
          <w:tcPr>
            <w:tcW w:w="6101"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Mustanmeren meriheinäniityt kohtalaisen avoimella ylemmän infralitoraalin puhtaalla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MB548</w:t>
            </w:r>
          </w:p>
        </w:tc>
        <w:tc>
          <w:tcPr>
            <w:tcW w:w="6101"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Mustanmeren meriheinäniityt alemman infralitoraalin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Välimeri</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MB252</w:t>
            </w:r>
          </w:p>
        </w:tc>
        <w:tc>
          <w:tcPr>
            <w:tcW w:w="6101"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Lajin </w:t>
            </w:r>
            <w:r w:rsidRPr="00B87DD1">
              <w:rPr>
                <w:i/>
              </w:rPr>
              <w:t>Posidonia oceanica</w:t>
            </w:r>
            <w:r w:rsidRPr="00B87DD1">
              <w:t xml:space="preserve"> eliöyhteisö</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1120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MB2521</w:t>
            </w:r>
          </w:p>
        </w:tc>
        <w:tc>
          <w:tcPr>
            <w:tcW w:w="6101"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Raitamaisten </w:t>
            </w:r>
            <w:r w:rsidRPr="00B87DD1">
              <w:rPr>
                <w:i/>
              </w:rPr>
              <w:t>Posidonia oceanica</w:t>
            </w:r>
            <w:r w:rsidRPr="00B87DD1">
              <w:t xml:space="preserve"> -niittyjen ekomorfoosi</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1120;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MB2522</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Valliriutan </w:t>
            </w:r>
            <w:r w:rsidRPr="00B87DD1">
              <w:rPr>
                <w:i/>
              </w:rPr>
              <w:t>Posidonia oceanica</w:t>
            </w:r>
            <w:r w:rsidRPr="00B87DD1">
              <w:t xml:space="preserve"> -niittyjen ekomorfoosi</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1120;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MB2523</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Kuolleiden </w:t>
            </w:r>
            <w:r w:rsidRPr="00B87DD1">
              <w:rPr>
                <w:i/>
              </w:rPr>
              <w:t>Posidonia oceanica</w:t>
            </w:r>
            <w:r w:rsidRPr="00B87DD1">
              <w:t xml:space="preserve"> -”mattojen” fasies ilman runsasta epifloraa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1120;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MB2524</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Caulerpan prolifera</w:t>
            </w:r>
            <w:r w:rsidRPr="00B87DD1">
              <w:t xml:space="preserve"> kanssa </w:t>
            </w:r>
            <w:r w:rsidRPr="00B87DD1">
              <w:rPr>
                <w:i/>
              </w:rPr>
              <w:t>Posidonia</w:t>
            </w:r>
            <w:r w:rsidRPr="00B87DD1">
              <w:t>-pohjalla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1120;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lastRenderedPageBreak/>
              <w:t>MB5521</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Cymodocea nodosa</w:t>
            </w:r>
            <w:r w:rsidRPr="00B87DD1">
              <w:t xml:space="preserve"> kanssa tasakokoisen hienon hiekan 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MB5534</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Cymodocea nodosa</w:t>
            </w:r>
            <w:r w:rsidRPr="00B87DD1">
              <w:t xml:space="preserve"> kanssa pintakerroksen liejuisella hiekkapohjalla suojatuissa vesissä</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MB5535</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Zostera noltei</w:t>
            </w:r>
            <w:r w:rsidRPr="00B87DD1">
              <w:t xml:space="preserve"> kanssa pintakerroksen liejuisella hiekkapohjalla suojatuissa vesissä</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MB5541</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Ruppia cirrhosa</w:t>
            </w:r>
            <w:r w:rsidRPr="00B87DD1">
              <w:t xml:space="preserve"> ja/tai </w:t>
            </w:r>
            <w:r w:rsidRPr="00B87DD1">
              <w:rPr>
                <w:i/>
              </w:rPr>
              <w:t>Ruppia maritima</w:t>
            </w:r>
            <w:r w:rsidRPr="00B87DD1">
              <w:t xml:space="preserve"> kanssa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MB5544</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Zostera noltei</w:t>
            </w:r>
            <w:r w:rsidRPr="00B87DD1">
              <w:t xml:space="preserve"> kanssa euryhaliinisessa ja eurytermisessä ympäristössä hiekkapohjalla</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r w:rsidR="00FF7B51" w:rsidRPr="00B87DD1" w:rsidTr="00FF7B51">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MB5545</w:t>
            </w:r>
          </w:p>
        </w:tc>
        <w:tc>
          <w:tcPr>
            <w:tcW w:w="6101"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Zostera marina</w:t>
            </w:r>
            <w:r w:rsidRPr="00B87DD1">
              <w:t xml:space="preserve"> kanssa euryhaliinisessa ja eurytermisessä ympäristössä</w:t>
            </w:r>
          </w:p>
        </w:tc>
        <w:tc>
          <w:tcPr>
            <w:tcW w:w="211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w:t>
            </w:r>
          </w:p>
        </w:tc>
      </w:tr>
    </w:tbl>
    <w:p w:rsidR="00FF7B51" w:rsidRPr="00B87DD1" w:rsidRDefault="00FF7B51" w:rsidP="00FF7B51">
      <w:pPr>
        <w:keepNext/>
        <w:widowControl/>
        <w:tabs>
          <w:tab w:val="left" w:pos="851"/>
        </w:tabs>
        <w:suppressAutoHyphens/>
        <w:spacing w:before="120" w:after="120"/>
        <w:jc w:val="both"/>
        <w:outlineLvl w:val="1"/>
        <w:rPr>
          <w:b/>
          <w:bCs/>
          <w:noProof/>
          <w:szCs w:val="26"/>
        </w:rPr>
      </w:pPr>
      <w:r w:rsidRPr="00B87DD1">
        <w:rPr>
          <w:b/>
        </w:rPr>
        <w:t>2.</w:t>
      </w:r>
      <w:r w:rsidRPr="00B87DD1">
        <w:rPr>
          <w:b/>
        </w:rPr>
        <w:tab/>
        <w:t>Ryhmä 2: Makrolevämetsät</w:t>
      </w:r>
    </w:p>
    <w:tbl>
      <w:tblPr>
        <w:tblStyle w:val="TableGrid1"/>
        <w:tblW w:w="9634" w:type="dxa"/>
        <w:tblLook w:val="04A0" w:firstRow="1" w:lastRow="0" w:firstColumn="1" w:lastColumn="0" w:noHBand="0" w:noVBand="1"/>
      </w:tblPr>
      <w:tblGrid>
        <w:gridCol w:w="1096"/>
        <w:gridCol w:w="80"/>
        <w:gridCol w:w="6040"/>
        <w:gridCol w:w="2418"/>
      </w:tblGrid>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EUNIS-koodi</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Luontotyypin nimi EUNIS-luokittelussa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noProof/>
              </w:rPr>
            </w:pPr>
            <w:r w:rsidRPr="00B87DD1">
              <w:rPr>
                <w:b/>
              </w:rPr>
              <w:t>Tähän liittyvät luontodirektiivin liitteessä I esitetyt luontotyypin koodit</w:t>
            </w:r>
          </w:p>
        </w:tc>
      </w:tr>
      <w:tr w:rsidR="00FF7B51" w:rsidRPr="00B87DD1" w:rsidTr="00FF7B51">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bCs/>
                <w:noProof/>
              </w:rPr>
            </w:pPr>
            <w:r w:rsidRPr="00B87DD1">
              <w:rPr>
                <w:b/>
              </w:rPr>
              <w:t>Atlantin alue</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MA123</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Merileväyhteisöt Atlantin litoraalin kalliolla täydessä suolapitoisuudessa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 1130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MA125</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Fucales-lahkoon kuuluvat makrolevälajit Atlantin litoraalin kalliolla vaihtelevassa suolapitoisuudessa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1130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Merileväyhteisöt Atlantin infralitoraalin kalliolla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MB123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Merileväyhteisöt Atlantin infralitoraalin sedimentin vaikutuksen alaisella tai sen vuoksi häiriintyneellä kalliolla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MB124</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Merileväyhteisöt Atlantin infralitoraalin kalliolla vaihtelevassa suolapitoisuudessa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1130;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MB321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Merileväyhteisöt Atlantin infralitoraalin karkealla sedimentillä</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MB521</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Merileväyhteisöt Atlantin infralitoraalin hiekalla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MB621</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Kasvipeitteiset yhteisöt Atlantin infralitoraalin liejulla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pageBreakBefore/>
              <w:widowControl/>
              <w:spacing w:before="120" w:after="120"/>
              <w:rPr>
                <w:b/>
                <w:noProof/>
              </w:rPr>
            </w:pPr>
            <w:r w:rsidRPr="00B87DD1">
              <w:rPr>
                <w:b/>
              </w:rPr>
              <w:lastRenderedPageBreak/>
              <w:t>Itämeri</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MA131</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hydrolitoraalin kallio ja lohkareet, joille ovat tunnusomaisia monivuotiset levät</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 1130; 1610; 1620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MB131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Monivuotiset levät Itämeren infralitoraalin kalliolla ja lohkareilla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MB232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pohjat, joille on ominaista simpukkasora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1110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MB333</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infralitoraalin karkea sedimentti, jolle on ominaista monivuotinen levä</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MB433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sekasedimentti, jolle on ominaista monivuotinen levä</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1130; 1160; 1170</w:t>
            </w: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Mustameri</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MB144</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Mytilidia-simpukkavaltainen Mustanmeren paljas ylemmän infralitoraalin kallio, jolla rakkoleviä</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MB149</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Mytilidia-simpukkavaltainen Mustanmeren kohtuullisen avoin ylemmän infralitoraalin kallio, jolla rakkoleviä</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MB14A</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Rakkolevät ja muut levät Mustanmeren suojatulla ylemmän infralitoraalin kalliolla, hyvin valoa saava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Välimeri</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MA1548</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Assosiaatio lajin </w:t>
            </w:r>
            <w:r w:rsidRPr="00B87DD1">
              <w:rPr>
                <w:i/>
              </w:rPr>
              <w:t>Fucus virsoides</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MB1512</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Assosiaatio lajin </w:t>
            </w:r>
            <w:r w:rsidRPr="00B87DD1">
              <w:rPr>
                <w:i/>
              </w:rPr>
              <w:t>Cystoseira tamariscifolia</w:t>
            </w:r>
            <w:r w:rsidRPr="00B87DD1">
              <w:t xml:space="preserve"> ja </w:t>
            </w:r>
            <w:r w:rsidRPr="00B87DD1">
              <w:rPr>
                <w:i/>
              </w:rPr>
              <w:t>Saccorhiza polyschides</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MB1513</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amentacea</w:t>
            </w:r>
            <w:r w:rsidRPr="00B87DD1">
              <w:t xml:space="preserve"> (var. </w:t>
            </w:r>
            <w:r w:rsidRPr="00B87DD1">
              <w:rPr>
                <w:i/>
              </w:rPr>
              <w:t>amentacea</w:t>
            </w:r>
            <w:r w:rsidRPr="00B87DD1">
              <w:t xml:space="preserve">, var. </w:t>
            </w:r>
            <w:r w:rsidRPr="00B87DD1">
              <w:rPr>
                <w:i/>
              </w:rPr>
              <w:t>stricta</w:t>
            </w:r>
            <w:r w:rsidRPr="00B87DD1">
              <w:t xml:space="preserve">, var. </w:t>
            </w:r>
            <w:r w:rsidRPr="00B87DD1">
              <w:rPr>
                <w:i/>
              </w:rPr>
              <w:t>Spicata</w:t>
            </w:r>
            <w:r w:rsidRPr="00B87DD1">
              <w:t>)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MB151F</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brachycarpa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MB151G</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crinita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MB151H</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crinitophylla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MB151J</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sauvageauana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MB151K</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spinosa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MB151L</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Sargassum vulgare</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MB151M</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Dictyopteris polypodioides</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lastRenderedPageBreak/>
              <w:t>MB151W</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compressa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MB1524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barbata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zosteroides</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MC1512</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usneoides</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MC1513</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dubia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Cystoseira corniculata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Sargassum</w:t>
            </w:r>
            <w:r w:rsidRPr="00B87DD1">
              <w:t xml:space="preserve"> spp.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MC1518</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Laminaria ochroleuca</w:t>
            </w:r>
            <w:r w:rsidRPr="00B87DD1">
              <w:t xml:space="preserve"> kanssa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MC3517</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lajin </w:t>
            </w:r>
            <w:r w:rsidRPr="00B87DD1">
              <w:rPr>
                <w:i/>
              </w:rPr>
              <w:t>Laminaria rodriguezii</w:t>
            </w:r>
            <w:r w:rsidRPr="00B87DD1">
              <w:t xml:space="preserve"> kanssa detritaalisella pohjalla</w:t>
            </w:r>
          </w:p>
        </w:tc>
        <w:tc>
          <w:tcPr>
            <w:tcW w:w="2418"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bl>
    <w:p w:rsidR="00FF7B51" w:rsidRPr="00B87DD1" w:rsidRDefault="00FF7B51" w:rsidP="00FF7B51">
      <w:pPr>
        <w:keepNext/>
        <w:widowControl/>
        <w:suppressAutoHyphens/>
        <w:spacing w:before="120" w:after="120"/>
        <w:ind w:left="851" w:hanging="851"/>
        <w:jc w:val="both"/>
        <w:outlineLvl w:val="1"/>
        <w:rPr>
          <w:b/>
          <w:bCs/>
          <w:noProof/>
          <w:szCs w:val="26"/>
        </w:rPr>
      </w:pPr>
      <w:r w:rsidRPr="00B87DD1">
        <w:rPr>
          <w:b/>
        </w:rPr>
        <w:t>3.</w:t>
      </w:r>
      <w:r w:rsidRPr="00B87DD1">
        <w:rPr>
          <w:b/>
        </w:rPr>
        <w:tab/>
        <w:t>Ryhmä 3: Simpukkapohjat</w:t>
      </w:r>
    </w:p>
    <w:tbl>
      <w:tblPr>
        <w:tblStyle w:val="TableGrid1"/>
        <w:tblW w:w="0" w:type="auto"/>
        <w:tblLook w:val="04A0" w:firstRow="1" w:lastRow="0" w:firstColumn="1" w:lastColumn="0" w:noHBand="0" w:noVBand="1"/>
      </w:tblPr>
      <w:tblGrid>
        <w:gridCol w:w="1096"/>
        <w:gridCol w:w="77"/>
        <w:gridCol w:w="5873"/>
        <w:gridCol w:w="2583"/>
      </w:tblGrid>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EUNIS-koodi</w:t>
            </w:r>
          </w:p>
        </w:tc>
        <w:tc>
          <w:tcPr>
            <w:tcW w:w="595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Luontotyypin nimi EUNIS-luokittelussa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noProof/>
              </w:rPr>
            </w:pPr>
            <w:r w:rsidRPr="00B87DD1">
              <w:rPr>
                <w:b/>
              </w:rPr>
              <w:t>Tähän liittyvät luontodirektiivin liitteessä I esitetyt luontotyypin koodit</w:t>
            </w:r>
          </w:p>
        </w:tc>
      </w:tr>
      <w:tr w:rsidR="00FF7B51" w:rsidRPr="00B87DD1" w:rsidTr="00FF7B51">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bCs/>
                <w:noProof/>
              </w:rPr>
            </w:pPr>
            <w:r w:rsidRPr="00B87DD1">
              <w:rPr>
                <w:b/>
              </w:rPr>
              <w:t>Atlantin alue</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MA122</w:t>
            </w:r>
          </w:p>
        </w:tc>
        <w:tc>
          <w:tcPr>
            <w:tcW w:w="595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Lajin </w:t>
            </w:r>
            <w:r w:rsidRPr="00B87DD1">
              <w:rPr>
                <w:i/>
              </w:rPr>
              <w:t>Mytilus edulis</w:t>
            </w:r>
            <w:r w:rsidRPr="00B87DD1">
              <w:t xml:space="preserve"> ja/tai merirokon yhteisöt aallokolle alttiina olevalla Atlantin litoraalin kalliolla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MA124</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Simpukka- ja/tai merirokkoyhteisöt merilevien kanssa Atlantin litoraalin kalliolla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MA227</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Simpukkariutat Atlantin litoraalivyöhykkeellä</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1140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MB222</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Simpukkariutat Atlantin infralitoraalivyöhykkeellä</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1130;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MC223</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Simpukkariutat Atlantin circalitoraalin vyöhykkeellä</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Itämeri</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MB231</w:t>
            </w:r>
          </w:p>
        </w:tc>
        <w:tc>
          <w:tcPr>
            <w:tcW w:w="595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infralitoraalin pohjat, joilla esiintyy vallitsevana lajina epibenttiset simpukat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MC231</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circalitoraalin pohjat, joilla esiintyy vallitsevana lajina epibenttiset simpukat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 1110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MD231</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ulkomeren circalitoraaliset biogeeniset pohjat, joille ovat tunnusomaisia epibenttiset simpukat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lastRenderedPageBreak/>
              <w:t>MD232</w:t>
            </w:r>
          </w:p>
        </w:tc>
        <w:tc>
          <w:tcPr>
            <w:tcW w:w="595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ulkomeren circalitoraalin simpukkasorapohjat, joille ovat tunnusomaisia simpukat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MD431</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ulkomeren circalitoraalin sekapohjat, joille ovat tunnusomaisia makroskooppiset epibenttiset bioottiset rakenteet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MD531</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ulkomeren circalitoraalin hiekkapohjat, joille ovat tunnusomaisia makroskooppiset epibenttiset bioottiset rakenteet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MD631</w:t>
            </w:r>
          </w:p>
        </w:tc>
        <w:tc>
          <w:tcPr>
            <w:tcW w:w="595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ulkomeren circalitoraaliset liejupohjat, joille ovat tunnusomaisia epibenttiset simpukat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Mustameri</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MB141</w:t>
            </w:r>
          </w:p>
        </w:tc>
        <w:tc>
          <w:tcPr>
            <w:tcW w:w="5873"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Selkärangatonvaltainen Mustanmeren alemman infralitoraalin kallio</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MB143</w:t>
            </w:r>
          </w:p>
        </w:tc>
        <w:tc>
          <w:tcPr>
            <w:tcW w:w="5873"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Mytilidia-simpukkavaltainen Mustanmeren ylemmän infralitoraalin kallio, jolla foliose-levää (ei rakkolevää)</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MB148</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Mytilidia-simpukkavaltainen Mustanmeren kohtalaisesti paljastunut ylemmän infralitoraalin kallio, jolla foliose-levää (ei rakkolevää)</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MB242</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Simpukkapohjat Mustanmeren infralitoraalin vyöhykkeellä</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1130; 1160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MB243</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Osteririutat Mustanmeren alemman infralitoraalin kalliolla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MB642</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Mustanmeren infralitoraalin terrigeeniset liejupohjat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MC141</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Mustanmeren circalitoraalin kallio, jolla vallitsevina lajeina selkärangattomat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MC241</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Simpukkakasvustot Mustanmeren circalitoraalin terrigeenisellä liejupohjalla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MC645</w:t>
            </w: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Mustanmeren alemman circalitoraalin liejupohjat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 xml:space="preserve">Välimeri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MA1544</w:t>
            </w:r>
          </w:p>
        </w:tc>
        <w:tc>
          <w:tcPr>
            <w:tcW w:w="5873"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Fasies lajin </w:t>
            </w:r>
            <w:r w:rsidRPr="00B87DD1">
              <w:rPr>
                <w:i/>
              </w:rPr>
              <w:t>Mytilus galloprovincialis</w:t>
            </w:r>
            <w:r w:rsidRPr="00B87DD1">
              <w:t xml:space="preserve"> kanssa vedessä, jossa on runsaasti orgaanista ainesta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MB1514</w:t>
            </w:r>
          </w:p>
        </w:tc>
        <w:tc>
          <w:tcPr>
            <w:tcW w:w="5873"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Fasies lajin </w:t>
            </w:r>
            <w:r w:rsidRPr="00B87DD1">
              <w:rPr>
                <w:i/>
              </w:rPr>
              <w:t>Mytilus galloprovincialis</w:t>
            </w:r>
            <w:r w:rsidRPr="00B87DD1">
              <w:t xml:space="preserve"> kanssa</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i/>
                <w:noProof/>
              </w:rPr>
            </w:pPr>
            <w:r w:rsidRPr="00B87DD1">
              <w:rPr>
                <w:b/>
                <w:i/>
                <w:sz w:val="22"/>
              </w:rPr>
              <w:t>Välimeren infralitoraalin ostereiden kasvualustat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i/>
                <w:noProof/>
              </w:rPr>
            </w:pPr>
            <w:r w:rsidRPr="00B87DD1">
              <w:rPr>
                <w:b/>
                <w:i/>
              </w:rPr>
              <w:t>Välimeren circalitoraalin ostereiden kasvualustat</w:t>
            </w:r>
          </w:p>
        </w:tc>
        <w:tc>
          <w:tcPr>
            <w:tcW w:w="258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bl>
    <w:p w:rsidR="00FF7B51" w:rsidRPr="00B87DD1" w:rsidRDefault="00FF7B51" w:rsidP="00FF7B51">
      <w:pPr>
        <w:keepNext/>
        <w:pageBreakBefore/>
        <w:widowControl/>
        <w:suppressAutoHyphens/>
        <w:spacing w:before="120" w:after="120"/>
        <w:jc w:val="both"/>
        <w:outlineLvl w:val="1"/>
        <w:rPr>
          <w:b/>
          <w:bCs/>
          <w:noProof/>
          <w:szCs w:val="26"/>
        </w:rPr>
      </w:pPr>
      <w:r w:rsidRPr="00B87DD1">
        <w:rPr>
          <w:b/>
        </w:rPr>
        <w:lastRenderedPageBreak/>
        <w:t>4.</w:t>
      </w:r>
      <w:r w:rsidRPr="00B87DD1">
        <w:rPr>
          <w:b/>
        </w:rPr>
        <w:tab/>
        <w:t>Ryhmä 4: Leväkalkkipohjat</w:t>
      </w:r>
    </w:p>
    <w:tbl>
      <w:tblPr>
        <w:tblStyle w:val="TableGrid1"/>
        <w:tblW w:w="0" w:type="auto"/>
        <w:tblLook w:val="04A0" w:firstRow="1" w:lastRow="0" w:firstColumn="1" w:lastColumn="0" w:noHBand="0" w:noVBand="1"/>
      </w:tblPr>
      <w:tblGrid>
        <w:gridCol w:w="1096"/>
        <w:gridCol w:w="80"/>
        <w:gridCol w:w="6040"/>
        <w:gridCol w:w="2073"/>
      </w:tblGrid>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EUNIS-koodi</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Luontotyypin nimi EUNIS-luokittelussa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noProof/>
              </w:rPr>
            </w:pPr>
            <w:r w:rsidRPr="00B87DD1">
              <w:rPr>
                <w:b/>
              </w:rPr>
              <w:t>Tähän liittyvät luontodirektiivin liitteessä I esitetyt luontotyypin koodit</w:t>
            </w:r>
          </w:p>
        </w:tc>
      </w:tr>
      <w:tr w:rsidR="00FF7B51" w:rsidRPr="00B87DD1" w:rsidTr="00FF7B51">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bCs/>
                <w:noProof/>
              </w:rPr>
            </w:pPr>
            <w:r w:rsidRPr="00B87DD1">
              <w:rPr>
                <w:b/>
              </w:rPr>
              <w:t>Atlantin alue</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MB322</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Leväkalkkipohjat Atlantin infralitoraalin karkealla 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MB421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Leväkalkkipohjat Atlantin infralitoraalin sekasedimentillä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MB622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Leväkalkkipohjat Atlantin infralitoraalin liejusedimentillä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Välimeri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MB3511</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Assosiaatio aaltojen sekoittamassa karkeassa hiekassa ja hienossa sorassa olevien rhodoliittien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MB3521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Assosiaatio pohjavirtojen vaikutuksen alaisessa karkeassa hiekassa ja hienossa sorassa olevien rhodoliittien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MB3522</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leväkalkkipohjan kanssa (= assosiaatio lajien </w:t>
            </w:r>
            <w:r w:rsidRPr="00B87DD1">
              <w:rPr>
                <w:i/>
              </w:rPr>
              <w:t>Lithothamnion corallioides</w:t>
            </w:r>
            <w:r w:rsidRPr="00B87DD1">
              <w:t xml:space="preserve"> ja </w:t>
            </w:r>
            <w:r w:rsidRPr="00B87DD1">
              <w:rPr>
                <w:i/>
              </w:rPr>
              <w:t>Phymatolithon calcareum</w:t>
            </w:r>
            <w:r w:rsidRPr="00B87DD1">
              <w:t>) kanssa Välimeren karkealla hiekka- ja sorapohjalla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MC3521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Assosiaatio rhodoliittien kanssa </w:t>
            </w:r>
            <w:r w:rsidRPr="00B87DD1">
              <w:rPr>
                <w:b/>
                <w:bCs/>
                <w:i/>
                <w:iCs/>
              </w:rPr>
              <w:t>rannikon</w:t>
            </w:r>
            <w:r w:rsidRPr="00B87DD1">
              <w:t xml:space="preserve"> detritaalisella 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MC3523</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Assosiaatio leväkalkkipohjan </w:t>
            </w:r>
            <w:r w:rsidRPr="00B87DD1">
              <w:rPr>
                <w:i/>
              </w:rPr>
              <w:t>(Lithothamnion corallioides</w:t>
            </w:r>
            <w:r w:rsidRPr="00B87DD1">
              <w:t xml:space="preserve"> ja </w:t>
            </w:r>
            <w:r w:rsidRPr="00B87DD1">
              <w:rPr>
                <w:i/>
              </w:rPr>
              <w:t>Phymatolithon calcareum</w:t>
            </w:r>
            <w:r w:rsidRPr="00B87DD1">
              <w:t>) kanssa rannikon detritaalisella 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1110</w:t>
            </w:r>
          </w:p>
        </w:tc>
      </w:tr>
    </w:tbl>
    <w:p w:rsidR="00FF7B51" w:rsidRPr="00B87DD1" w:rsidRDefault="00FF7B51" w:rsidP="00FF7B51">
      <w:pPr>
        <w:keepNext/>
        <w:widowControl/>
        <w:suppressAutoHyphens/>
        <w:spacing w:before="120" w:after="120"/>
        <w:jc w:val="both"/>
        <w:outlineLvl w:val="1"/>
        <w:rPr>
          <w:b/>
          <w:bCs/>
          <w:noProof/>
          <w:szCs w:val="26"/>
        </w:rPr>
      </w:pPr>
      <w:r w:rsidRPr="00B87DD1">
        <w:rPr>
          <w:b/>
        </w:rPr>
        <w:t>5.</w:t>
      </w:r>
      <w:r w:rsidRPr="00B87DD1">
        <w:rPr>
          <w:b/>
        </w:rPr>
        <w:tab/>
        <w:t>Ryhmä 5: Sieni-, koralli- ja koralleja tuottavat pohjat</w:t>
      </w:r>
    </w:p>
    <w:tbl>
      <w:tblPr>
        <w:tblStyle w:val="TableGrid1"/>
        <w:tblW w:w="0" w:type="auto"/>
        <w:tblLook w:val="04A0" w:firstRow="1" w:lastRow="0" w:firstColumn="1" w:lastColumn="0" w:noHBand="0" w:noVBand="1"/>
      </w:tblPr>
      <w:tblGrid>
        <w:gridCol w:w="1096"/>
        <w:gridCol w:w="80"/>
        <w:gridCol w:w="6040"/>
        <w:gridCol w:w="2073"/>
      </w:tblGrid>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EUNIS-koodi</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Luontotyypin nimi EUNIS-luokittelussa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noProof/>
              </w:rPr>
            </w:pPr>
            <w:r w:rsidRPr="00B87DD1">
              <w:rPr>
                <w:b/>
              </w:rPr>
              <w:t>Tähän liittyvät luontodirektiivin liitteessä I esitetyt luontotyypin koodit</w:t>
            </w:r>
          </w:p>
        </w:tc>
      </w:tr>
      <w:tr w:rsidR="00FF7B51" w:rsidRPr="00B87DD1" w:rsidTr="00FF7B51">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bCs/>
                <w:noProof/>
              </w:rPr>
            </w:pPr>
            <w:r w:rsidRPr="00B87DD1">
              <w:rPr>
                <w:b/>
              </w:rPr>
              <w:t>Atlantin alue</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MC121</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Eläimistöyhteisöt Atlantin circalitoraalin kalliolla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MC124</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Eläinyhteisöt Atlantin circalitoraalin kalliolla vaihtelevassa suolaisuudessa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1130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lastRenderedPageBreak/>
              <w:t>MC126</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Atlantin circalitoraalin luolien ja kielekkeiden yhteisöt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8330; 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MC222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Kylmän veden koralliriutat Atlantin circalitoraalin vyöhykkeellä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MD121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Sieniyhteisöt Atlantin ulkomeren circalitoraalin kalliolla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MD221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Kylmän veden koralliriutat Atlantin ulkomeren circalitoraalin vyöhykkeellä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ME122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Sieniyhteisöt Atlantin ulkomeren batyaalin kalliolla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ME123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Sekoitetut kylmän veden koralliyhteisöt Atlantin ylemmän batyaalin kalliolla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ME221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Atlantin ylemmän batyaalin kylmän veden koralliriutta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ME322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Kylmän veden sekakoralliyhteisöt Atlantin ylemmän batyaalin kallion karkealla 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ME324</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Sienten aggregaatio Atlantin ylemmän batyaalin karkealla 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ME422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Sienten aggregaatio Atlantin ylemmän batyaalin sekasedimentillä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ME623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Sienten aggregaatio Atlantin ylemmän batyaalin liejupohjalla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ME624</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Pystysuuntainen koralliriutta Atlantin ylemmän batyaalin liejupohjalla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MF121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Kylmän veden sekakoralliyhteisöt Atlantin alemman batyaalin kalliolla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MF221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Atlantin alemman batyaalin kylmän veden koralliriutta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MF321</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Kylmän veden sekakoralliyhteisö Atlantin alemman batyaalin kallion karkealla sedimentillä</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MF622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Sienten aggregaatio Atlantin alemman batyaalin liejupohjalla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MF623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Pystysuuntainen korallikenttä Atlantin alemman batyaalin liejupohjalla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Itämeri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MB138</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infralitoraalin kallio ja lohkareet, joille ovat tunnusomaisia epibenttiset sienet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lastRenderedPageBreak/>
              <w:t>MB43A</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infralitoraalin sekasedimentti, jolle ovat tunnusomaisia epibenttiset sienet (Porifera)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MC133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circalitoraalin kallio ja lohkareet, joille ovat tunnusomaisia epibenttiset polttiaiseläimet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MC136</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Itämeren circalitoraalin kallio ja lohkareet, joille ovat tunnusomaisia epibenttiset sienet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MC433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circalitoraalin sekasedimentti, jolle ovat tunnusomaisia epibenttiset polttiaiseläimet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 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MC436</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Itämeren circalitoraalin sekasedimentti, jolle ovat tunnusomaisia epibenttiset sienet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Mustameri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MD24</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Mustanmeren ulkomeren circalitoraalin biogeeniset luontotyypit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ME14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Mustanmeren ylempi batyaalikallio</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ME24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Mustanmeren ylemmän batyaalin biogeeninen luontotyyppi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MF14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Mustanmeren alempi batyaalikallio</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noProof/>
              </w:rPr>
            </w:pPr>
            <w:r w:rsidRPr="00B87DD1">
              <w:rPr>
                <w:b/>
              </w:rPr>
              <w:t>Välimeri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MB151E</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Fasies lajin </w:t>
            </w:r>
            <w:r w:rsidRPr="00B87DD1">
              <w:rPr>
                <w:i/>
              </w:rPr>
              <w:t>Cladocora caespitosa</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MB151Q</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Astroides calycularis</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MB151α</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Koralleja tuottavan biokenoosin fasies ja assosiaatio (enklaavissa)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MC1519</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Eunicella cavolini</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MC151A</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Eunicella singularis</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MC151B</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Paramuricea clavata</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MC151E</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Leptogorgia sarmentosa</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MC151F</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Anthipatella subpinnata</w:t>
            </w:r>
            <w:r w:rsidRPr="00B87DD1">
              <w:t xml:space="preserve"> ja harvan punaisen levän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MC151G</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Fasies suurten sienten ja harvan punaisen levän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MC1522</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lang w:val="de-DE"/>
              </w:rPr>
            </w:pPr>
            <w:r w:rsidRPr="00B87DD1">
              <w:rPr>
                <w:lang w:val="de-DE"/>
              </w:rPr>
              <w:t xml:space="preserve">Fasies lajin </w:t>
            </w:r>
            <w:r w:rsidRPr="00B87DD1">
              <w:rPr>
                <w:i/>
                <w:lang w:val="de-DE"/>
              </w:rPr>
              <w:t>Corallium rubrum</w:t>
            </w:r>
            <w:r w:rsidRPr="00B87DD1">
              <w:rPr>
                <w:lang w:val="de-DE"/>
              </w:rPr>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8330; 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lastRenderedPageBreak/>
              <w:t>MC1523</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Fasies lajin </w:t>
            </w:r>
            <w:r w:rsidRPr="00B87DD1">
              <w:rPr>
                <w:i/>
              </w:rPr>
              <w:t>Leptopsammia pruvoti</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8330; 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MC251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Koralleja tuottavat alustat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MC6514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Tarttuvan liejun fasies lajin </w:t>
            </w:r>
            <w:r w:rsidRPr="00B87DD1">
              <w:rPr>
                <w:i/>
              </w:rPr>
              <w:t>Alcyonium palmatum</w:t>
            </w:r>
            <w:r w:rsidRPr="00B87DD1">
              <w:t xml:space="preserve"> ja </w:t>
            </w:r>
            <w:r w:rsidRPr="00B87DD1">
              <w:rPr>
                <w:i/>
              </w:rPr>
              <w:t>Parastichopus regalis</w:t>
            </w:r>
            <w:r w:rsidRPr="00B87DD1">
              <w:t xml:space="preserve"> kanssa circalitoraalin liejupohjalla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MD151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Välimeren jalustan reunan kallion biokenoosi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MD25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Välimeren ulkomeren circalitoraalin biogeeniset luontotyypit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MD6512</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 xml:space="preserve">Tarttuvan liejun fasies lajin </w:t>
            </w:r>
            <w:r w:rsidRPr="00B87DD1">
              <w:rPr>
                <w:i/>
              </w:rPr>
              <w:t>Alcyonium palmatum</w:t>
            </w:r>
            <w:r w:rsidRPr="00B87DD1">
              <w:t xml:space="preserve"> ja </w:t>
            </w:r>
            <w:r w:rsidRPr="00B87DD1">
              <w:rPr>
                <w:i/>
              </w:rPr>
              <w:t>Parastichopus regalis</w:t>
            </w:r>
            <w:r w:rsidRPr="00B87DD1">
              <w:t xml:space="preserve"> kanssa alemman circalitoraalin liejupohjalla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ME1511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Välimeren ylemmän batyaalin</w:t>
            </w:r>
            <w:r w:rsidRPr="00B87DD1">
              <w:rPr>
                <w:i/>
              </w:rPr>
              <w:t xml:space="preserve"> Lophelia pertusa</w:t>
            </w:r>
            <w:r w:rsidRPr="00B87DD1">
              <w:t xml:space="preserve"> -riutat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ME1512</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ylemmän batyaalin </w:t>
            </w:r>
            <w:r w:rsidRPr="00B87DD1">
              <w:rPr>
                <w:i/>
              </w:rPr>
              <w:t>Madrepora oculata</w:t>
            </w:r>
            <w:r w:rsidRPr="00B87DD1">
              <w:t xml:space="preserve"> -riutat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ME1513</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ylemmän batyaalin </w:t>
            </w:r>
            <w:r w:rsidRPr="00B87DD1">
              <w:rPr>
                <w:i/>
              </w:rPr>
              <w:t>Madrepora oculata</w:t>
            </w:r>
            <w:r w:rsidRPr="00B87DD1">
              <w:t xml:space="preserve"> ja </w:t>
            </w:r>
            <w:r w:rsidRPr="00B87DD1">
              <w:rPr>
                <w:i/>
              </w:rPr>
              <w:t>Lophelia pertusa</w:t>
            </w:r>
            <w:r w:rsidRPr="00B87DD1">
              <w:t xml:space="preserve"> -riutat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ME6514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ylemmän batyaalin fasies lajin </w:t>
            </w:r>
            <w:r w:rsidRPr="00B87DD1">
              <w:rPr>
                <w:i/>
              </w:rPr>
              <w:t>Pheronema carpenteri</w:t>
            </w:r>
            <w:r w:rsidRPr="00B87DD1">
              <w:t xml:space="preserve"> kanssa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MF1511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alemman batyaalin </w:t>
            </w:r>
            <w:r w:rsidRPr="00B87DD1">
              <w:rPr>
                <w:i/>
              </w:rPr>
              <w:t>Lophelia pertusa</w:t>
            </w:r>
            <w:r w:rsidRPr="00B87DD1">
              <w:t xml:space="preserve"> -riutat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MF1512</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alemman batyaalin </w:t>
            </w:r>
            <w:r w:rsidRPr="00B87DD1">
              <w:rPr>
                <w:i/>
              </w:rPr>
              <w:t>Madrepora oculata</w:t>
            </w:r>
            <w:r w:rsidRPr="00B87DD1">
              <w:t xml:space="preserve"> -riutat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MF1513</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alemman batyaalin </w:t>
            </w:r>
            <w:r w:rsidRPr="00B87DD1">
              <w:rPr>
                <w:i/>
              </w:rPr>
              <w:t>Madrepora oculata</w:t>
            </w:r>
            <w:r w:rsidRPr="00B87DD1">
              <w:t xml:space="preserve">- ja </w:t>
            </w:r>
            <w:r w:rsidRPr="00B87DD1">
              <w:rPr>
                <w:i/>
              </w:rPr>
              <w:t>Lophelia pertusa</w:t>
            </w:r>
            <w:r w:rsidRPr="00B87DD1">
              <w:t xml:space="preserve"> -riutat</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MF6511</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alemman batyaalin </w:t>
            </w:r>
            <w:r w:rsidRPr="00B87DD1">
              <w:rPr>
                <w:i/>
              </w:rPr>
              <w:t>Thenea muricatan</w:t>
            </w:r>
            <w:r w:rsidRPr="00B87DD1">
              <w:t xml:space="preserve"> peittämien hiekkaisten liejupohjien fasies</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MF6513</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 xml:space="preserve">Välimeren alemman batyaalin </w:t>
            </w:r>
            <w:r w:rsidRPr="00B87DD1">
              <w:rPr>
                <w:i/>
              </w:rPr>
              <w:t>Isidella elongatan</w:t>
            </w:r>
            <w:r w:rsidRPr="00B87DD1">
              <w:t xml:space="preserve"> peittämien tiiviiden liejupohjien fasies</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bl>
    <w:p w:rsidR="00FF7B51" w:rsidRPr="00B87DD1" w:rsidRDefault="00FF7B51" w:rsidP="00FF7B51">
      <w:pPr>
        <w:keepNext/>
        <w:widowControl/>
        <w:suppressAutoHyphens/>
        <w:spacing w:before="120" w:after="120"/>
        <w:jc w:val="both"/>
        <w:outlineLvl w:val="1"/>
        <w:rPr>
          <w:b/>
          <w:bCs/>
          <w:noProof/>
          <w:szCs w:val="26"/>
        </w:rPr>
      </w:pPr>
      <w:r w:rsidRPr="00B87DD1">
        <w:rPr>
          <w:b/>
        </w:rPr>
        <w:t>6.</w:t>
      </w:r>
      <w:r w:rsidRPr="00B87DD1">
        <w:rPr>
          <w:b/>
        </w:rPr>
        <w:tab/>
        <w:t>Ryhmä 6: Merenalaiset lähteet</w:t>
      </w:r>
    </w:p>
    <w:tbl>
      <w:tblPr>
        <w:tblStyle w:val="TableGrid1"/>
        <w:tblW w:w="0" w:type="auto"/>
        <w:tblLook w:val="04A0" w:firstRow="1" w:lastRow="0" w:firstColumn="1" w:lastColumn="0" w:noHBand="0" w:noVBand="1"/>
      </w:tblPr>
      <w:tblGrid>
        <w:gridCol w:w="1096"/>
        <w:gridCol w:w="6120"/>
        <w:gridCol w:w="2073"/>
      </w:tblGrid>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EUNIS-koodi</w:t>
            </w:r>
          </w:p>
        </w:tc>
        <w:tc>
          <w:tcPr>
            <w:tcW w:w="612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noProof/>
              </w:rPr>
            </w:pPr>
            <w:r w:rsidRPr="00B87DD1">
              <w:rPr>
                <w:b/>
              </w:rPr>
              <w:t>Luontotyypin nimi EUNIS-luokittelussa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noProof/>
              </w:rPr>
            </w:pPr>
            <w:r w:rsidRPr="00B87DD1">
              <w:rPr>
                <w:b/>
              </w:rPr>
              <w:t>Tähän liittyvät luontodirektiivin liitteessä I esitetyt luontotyypin koodit</w:t>
            </w:r>
          </w:p>
        </w:tc>
      </w:tr>
      <w:tr w:rsidR="00FF7B51" w:rsidRPr="00B87DD1" w:rsidTr="00FF7B51">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bCs/>
                <w:noProof/>
              </w:rPr>
            </w:pPr>
            <w:r w:rsidRPr="00B87DD1">
              <w:rPr>
                <w:b/>
              </w:rPr>
              <w:t>Atlantin alue</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MB128</w:t>
            </w:r>
          </w:p>
        </w:tc>
        <w:tc>
          <w:tcPr>
            <w:tcW w:w="612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noProof/>
              </w:rPr>
            </w:pPr>
            <w:r w:rsidRPr="00B87DD1">
              <w:t>Merenalaiset lähteet Atlantin infralitoraalin kalliopohjassa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1160; 1180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lastRenderedPageBreak/>
              <w:t>MB627</w:t>
            </w:r>
          </w:p>
        </w:tc>
        <w:tc>
          <w:tcPr>
            <w:tcW w:w="612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Merenalaiset lähteet Atlantin infralitoraalin liejupohjassa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1130;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MC127</w:t>
            </w:r>
          </w:p>
        </w:tc>
        <w:tc>
          <w:tcPr>
            <w:tcW w:w="612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Merenalaiset lähteet Atlantin circalitoraalin kalliopohjassa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 1180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MC622</w:t>
            </w:r>
          </w:p>
        </w:tc>
        <w:tc>
          <w:tcPr>
            <w:tcW w:w="612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Merenalaiset lähteet Atlantin circalitoraalin liejupohjassa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MD122</w:t>
            </w:r>
          </w:p>
        </w:tc>
        <w:tc>
          <w:tcPr>
            <w:tcW w:w="612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Merenalaiset lähteet Atlantin ulkomeren circalitoraalin kalliopohjassa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MD622</w:t>
            </w:r>
          </w:p>
        </w:tc>
        <w:tc>
          <w:tcPr>
            <w:tcW w:w="612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Merenalaiset lähteet Atlantin ulkomeren circalitoraalin liejupohjassa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bl>
    <w:p w:rsidR="00FF7B51" w:rsidRPr="00B87DD1" w:rsidRDefault="00FF7B51" w:rsidP="00FF7B51">
      <w:pPr>
        <w:keepNext/>
        <w:widowControl/>
        <w:suppressAutoHyphens/>
        <w:spacing w:before="120" w:after="120"/>
        <w:jc w:val="both"/>
        <w:outlineLvl w:val="1"/>
        <w:rPr>
          <w:b/>
          <w:szCs w:val="24"/>
        </w:rPr>
      </w:pPr>
      <w:r w:rsidRPr="00B87DD1">
        <w:rPr>
          <w:b/>
        </w:rPr>
        <w:t>7.</w:t>
      </w:r>
      <w:r w:rsidRPr="00B87DD1">
        <w:rPr>
          <w:b/>
        </w:rPr>
        <w:tab/>
        <w:t>Ryhmä 7: Pehmeät sedimentit (syvyys alle 1 000 metriä)</w:t>
      </w:r>
    </w:p>
    <w:tbl>
      <w:tblPr>
        <w:tblStyle w:val="TableGrid1"/>
        <w:tblW w:w="0" w:type="auto"/>
        <w:tblLook w:val="04A0" w:firstRow="1" w:lastRow="0" w:firstColumn="1" w:lastColumn="0" w:noHBand="0" w:noVBand="1"/>
      </w:tblPr>
      <w:tblGrid>
        <w:gridCol w:w="1096"/>
        <w:gridCol w:w="80"/>
        <w:gridCol w:w="6040"/>
        <w:gridCol w:w="2073"/>
      </w:tblGrid>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rPr>
            </w:pPr>
            <w:r w:rsidRPr="00B87DD1">
              <w:rPr>
                <w:b/>
              </w:rPr>
              <w:t>EUNIS-koodi</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rPr>
                <w:b/>
              </w:rPr>
            </w:pPr>
            <w:r w:rsidRPr="00B87DD1">
              <w:rPr>
                <w:b/>
              </w:rPr>
              <w:t>Luontotyypin nimi EUNIS-luokittelussa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b/>
              </w:rPr>
            </w:pPr>
            <w:r w:rsidRPr="00B87DD1">
              <w:rPr>
                <w:b/>
              </w:rPr>
              <w:t>Tähän liittyvät luontodirektiivin liitteessä I esitetyt luontotyypin koodit</w:t>
            </w:r>
          </w:p>
        </w:tc>
      </w:tr>
      <w:tr w:rsidR="00FF7B51" w:rsidRPr="00B87DD1" w:rsidTr="00FF7B51">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rsidR="00FF7B51" w:rsidRPr="00B87DD1" w:rsidRDefault="00FF7B51" w:rsidP="00FF7B51">
            <w:pPr>
              <w:widowControl/>
              <w:spacing w:before="120" w:after="120"/>
              <w:rPr>
                <w:b/>
              </w:rPr>
            </w:pPr>
            <w:r w:rsidRPr="00B87DD1">
              <w:rPr>
                <w:b/>
              </w:rPr>
              <w:t>Atlantin alue</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MA32</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Atlantin 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MA42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MA52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MA62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MB32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infralitoraalin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MB42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infralitoraalin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1150;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MB52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infralitoraalin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1150;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MB62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infralitoraalin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MC32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MC42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MC52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circalitoraalin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MC62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circalitoraalin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MD32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ulkomeren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MD42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ulkomeren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lastRenderedPageBreak/>
              <w:t>MD52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ulkomeren circalitoraalin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MD62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ulkomeren circalitoraalin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ME32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ylemmän batyaalin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ME42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ylemmän batyaalin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ME52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ylemmän batyaalin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ME62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ylemmän batyaalin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MF32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alemman batyaalin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MF42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alemman batyaalin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MF52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alemman batyaalin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MF62</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Atlantin alemman batyaalin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rPr>
            </w:pPr>
            <w:r w:rsidRPr="00B87DD1">
              <w:rPr>
                <w:b/>
              </w:rPr>
              <w:t>Itämeri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rPr>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MA33</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Itämeren hydrolitoraalin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1160; 1610; 1620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MA43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hydrolitoraalin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 1610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MA53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hydrolitoraalin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 1610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MA63</w:t>
            </w:r>
          </w:p>
        </w:tc>
        <w:tc>
          <w:tcPr>
            <w:tcW w:w="6120"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Itämeren hydrolitoraalin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 1650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MB33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hydrolitoraalin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1150;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MB43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hydrolitoraalin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1150; 1160; 1170; 1650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MB53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infralitoraalin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1150;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MB63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infralitoraalin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1130; 1150; 1160; 1650 </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MC33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MC43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 1170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MC53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Itämeren circalitoraalin hiekka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MC63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Itämeren circalitoraalin lieju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 1650</w:t>
            </w: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lastRenderedPageBreak/>
              <w:t>MD33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ulkomeren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MD43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Itämeren ulkomeren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MD53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Itämeren ulkomeren circalitoraalin hiekka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096"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MD63</w:t>
            </w:r>
          </w:p>
        </w:tc>
        <w:tc>
          <w:tcPr>
            <w:tcW w:w="6120"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Itämeren ulkomeren circalitoraalin lieju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rPr>
            </w:pPr>
            <w:r w:rsidRPr="00B87DD1">
              <w:rPr>
                <w:b/>
              </w:rPr>
              <w:t>Mustameri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MA34</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Mustanmeren 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MA44</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Mustanmeren 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MA54</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Mustanmeren 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MA64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MB34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infralitoraalin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MB44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infralitoraalin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1170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MB54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infralitoraalin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MB64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infralitoraalin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MC34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MC44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MC54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Mustanmeren circalitoraalin hiekka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MC64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Mustanmeren alemman circalitoraalin lieju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MD34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ulkomeren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MD44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Mustanmeren ulkomeren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MD54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Mustanmeren ulkomeren circalitoraalin hiekka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MD64</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Mustanmeren ulkomeren circalitoraalin lieju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rsidR="00FF7B51" w:rsidRPr="00B87DD1" w:rsidRDefault="00FF7B51" w:rsidP="00FF7B51">
            <w:pPr>
              <w:widowControl/>
              <w:spacing w:before="120" w:after="120"/>
              <w:rPr>
                <w:b/>
              </w:rPr>
            </w:pPr>
            <w:r w:rsidRPr="00B87DD1">
              <w:rPr>
                <w:b/>
              </w:rPr>
              <w:t>Välimeri</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rsidR="00FF7B51" w:rsidRPr="00B87DD1" w:rsidRDefault="00FF7B51" w:rsidP="00FF7B51">
            <w:pPr>
              <w:widowControl/>
              <w:spacing w:before="120" w:after="120"/>
              <w:rPr>
                <w:b/>
              </w:rPr>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MA35</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Välimeren 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1160; 1130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MA45</w:t>
            </w:r>
          </w:p>
        </w:tc>
        <w:tc>
          <w:tcPr>
            <w:tcW w:w="6040" w:type="dxa"/>
            <w:tcBorders>
              <w:top w:val="single" w:sz="4" w:space="0" w:color="auto"/>
              <w:left w:val="single" w:sz="4" w:space="0" w:color="auto"/>
              <w:bottom w:val="single" w:sz="4" w:space="0" w:color="auto"/>
              <w:right w:val="single" w:sz="4" w:space="0" w:color="auto"/>
            </w:tcBorders>
            <w:hideMark/>
          </w:tcPr>
          <w:p w:rsidR="00FF7B51" w:rsidRPr="00B87DD1" w:rsidRDefault="00FF7B51" w:rsidP="00FF7B51">
            <w:pPr>
              <w:widowControl/>
              <w:spacing w:before="120" w:after="120"/>
            </w:pPr>
            <w:r w:rsidRPr="00B87DD1">
              <w:t>Välimeren 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1140;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MA55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MA65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1140; 1150;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lastRenderedPageBreak/>
              <w:t>MB35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infralitoraalin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MB45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infralitoraalin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MB55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infralitoraalin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1130; 1150;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MB65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infralitoraalin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1150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MC35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MC45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MC55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Välimeren circalitoraalin hiekka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1110;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MC65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Välimeren circalitoraalin lieju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1130; 1160</w:t>
            </w: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MD35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ulkomeren circalitoraalin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MD45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ulkomeren circalitoraalin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MD55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Välimeren ulkomeren circalitoraalin hiekka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MD65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 xml:space="preserve">Välimeren ulkomeren circalitoraalin lieju </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ME35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ylemmän batyaalin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ME45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ylemmän batyaalin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ME55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ylemmän batyaalin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ME65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ylemmän batyaalin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MF35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alemman batyaalin karkea 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MF45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alemman batyaalin sekasedimentti</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MF55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Välimeren alemman batyaalin hiekka</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p>
        </w:tc>
      </w:tr>
      <w:tr w:rsidR="00FF7B51" w:rsidRPr="00B87DD1" w:rsidTr="00FF7B51">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pPr>
            <w:r w:rsidRPr="00B87DD1">
              <w:t>MF65</w:t>
            </w:r>
          </w:p>
        </w:tc>
        <w:tc>
          <w:tcPr>
            <w:tcW w:w="604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r w:rsidRPr="00B87DD1">
              <w:t>Välimeren alemman batyaalin lieju</w:t>
            </w:r>
          </w:p>
        </w:tc>
        <w:tc>
          <w:tcPr>
            <w:tcW w:w="2073"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noProof/>
              </w:rPr>
            </w:pPr>
          </w:p>
        </w:tc>
      </w:tr>
    </w:tbl>
    <w:p w:rsidR="00FF7B51" w:rsidRPr="00B87DD1" w:rsidRDefault="00FF7B51" w:rsidP="00FF7B51">
      <w:pPr>
        <w:widowControl/>
        <w:spacing w:before="120" w:after="120" w:line="360" w:lineRule="auto"/>
        <w:rPr>
          <w:rFonts w:eastAsia="Calibri"/>
          <w:szCs w:val="22"/>
          <w:lang w:eastAsia="en-US"/>
        </w:rPr>
      </w:pPr>
    </w:p>
    <w:p w:rsidR="00FF7B51" w:rsidRPr="00B87DD1" w:rsidRDefault="00FF7B51" w:rsidP="00FF7B51">
      <w:pPr>
        <w:widowControl/>
        <w:spacing w:before="120" w:after="120" w:line="360" w:lineRule="auto"/>
        <w:rPr>
          <w:rFonts w:eastAsia="Calibri"/>
          <w:szCs w:val="22"/>
          <w:lang w:eastAsia="en-US"/>
        </w:rPr>
        <w:sectPr w:rsidR="00FF7B51" w:rsidRPr="00B87DD1" w:rsidSect="00FF7B51">
          <w:footnotePr>
            <w:numRestart w:val="eachSect"/>
          </w:footnotePr>
          <w:pgSz w:w="11907" w:h="16839"/>
          <w:pgMar w:top="1134" w:right="1134" w:bottom="1134" w:left="1134" w:header="567" w:footer="567" w:gutter="0"/>
          <w:cols w:space="720"/>
          <w:docGrid w:linePitch="360"/>
        </w:sectPr>
      </w:pPr>
    </w:p>
    <w:p w:rsidR="00FF7B51" w:rsidRPr="00B87DD1" w:rsidRDefault="00FF7B51" w:rsidP="00FF7B51">
      <w:pPr>
        <w:widowControl/>
        <w:suppressAutoHyphens/>
        <w:spacing w:before="120" w:after="120"/>
        <w:jc w:val="center"/>
        <w:rPr>
          <w:rFonts w:eastAsia="Calibri"/>
          <w:b/>
          <w:noProof/>
          <w:szCs w:val="22"/>
          <w:u w:val="single"/>
        </w:rPr>
      </w:pPr>
      <w:r w:rsidRPr="00B87DD1">
        <w:rPr>
          <w:b/>
          <w:u w:val="single"/>
        </w:rPr>
        <w:lastRenderedPageBreak/>
        <w:t>LIITE III</w:t>
      </w:r>
      <w:r w:rsidRPr="00B87DD1">
        <w:rPr>
          <w:b/>
          <w:u w:val="single"/>
        </w:rPr>
        <w:br/>
        <w:t xml:space="preserve">5 ARTIKLAN 3 KOHDASSA TARKOITETUT MERIYMPÄRISTÖN LAJIT </w:t>
      </w:r>
    </w:p>
    <w:p w:rsidR="00FF7B51" w:rsidRPr="00B87DD1" w:rsidRDefault="00FF7B51" w:rsidP="00FF7B51">
      <w:pPr>
        <w:widowControl/>
        <w:tabs>
          <w:tab w:val="num" w:pos="1560"/>
        </w:tabs>
        <w:suppressAutoHyphens/>
        <w:spacing w:before="120" w:after="120"/>
        <w:jc w:val="both"/>
        <w:rPr>
          <w:rFonts w:eastAsia="Calibri"/>
          <w:noProof/>
          <w:szCs w:val="22"/>
        </w:rPr>
      </w:pPr>
      <w:r w:rsidRPr="00B87DD1">
        <w:rPr>
          <w:rFonts w:ascii="Arial" w:hAnsi="Arial"/>
          <w:snapToGrid w:val="0"/>
        </w:rPr>
        <w:t>▌</w:t>
      </w:r>
    </w:p>
    <w:p w:rsidR="00FF7B51" w:rsidRPr="00B87DD1" w:rsidRDefault="00FF7B51" w:rsidP="00FF7B51">
      <w:pPr>
        <w:widowControl/>
        <w:suppressAutoHyphens/>
        <w:spacing w:before="120" w:after="120"/>
        <w:ind w:left="851" w:hanging="851"/>
        <w:jc w:val="both"/>
        <w:rPr>
          <w:rFonts w:eastAsia="Calibri"/>
          <w:noProof/>
          <w:szCs w:val="22"/>
        </w:rPr>
      </w:pPr>
      <w:r w:rsidRPr="00B87DD1">
        <w:t>(2)</w:t>
      </w:r>
      <w:r w:rsidRPr="00B87DD1">
        <w:tab/>
        <w:t>pikkusaharausku (</w:t>
      </w:r>
      <w:r w:rsidRPr="00B87DD1">
        <w:rPr>
          <w:i/>
        </w:rPr>
        <w:t>Pristis clavata</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(3)</w:t>
      </w:r>
      <w:r w:rsidRPr="00B87DD1">
        <w:tab/>
        <w:t>saharausku (</w:t>
      </w:r>
      <w:r w:rsidRPr="00B87DD1">
        <w:rPr>
          <w:i/>
        </w:rPr>
        <w:t>Pristis pectinata</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(4)</w:t>
      </w:r>
      <w:r w:rsidRPr="00B87DD1">
        <w:tab/>
        <w:t>harmaasaharausku (</w:t>
      </w:r>
      <w:r w:rsidRPr="00B87DD1">
        <w:rPr>
          <w:i/>
        </w:rPr>
        <w:t>Pristis pristis</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rPr>
          <w:rFonts w:ascii="Arial" w:hAnsi="Arial"/>
          <w:snapToGrid w:val="0"/>
        </w:rPr>
        <w:t>▌</w:t>
      </w:r>
    </w:p>
    <w:p w:rsidR="00FF7B51" w:rsidRPr="00B87DD1" w:rsidRDefault="00FF7B51" w:rsidP="00FF7B51">
      <w:pPr>
        <w:widowControl/>
        <w:suppressAutoHyphens/>
        <w:spacing w:before="120" w:after="120"/>
        <w:ind w:left="850" w:hanging="850"/>
        <w:jc w:val="both"/>
        <w:rPr>
          <w:rFonts w:eastAsia="Calibri"/>
          <w:noProof/>
          <w:szCs w:val="22"/>
        </w:rPr>
      </w:pPr>
      <w:r w:rsidRPr="00B87DD1">
        <w:t>(6)</w:t>
      </w:r>
      <w:r w:rsidRPr="00B87DD1">
        <w:tab/>
        <w:t>jättiläishai (</w:t>
      </w:r>
      <w:r w:rsidRPr="00B87DD1">
        <w:rPr>
          <w:i/>
        </w:rPr>
        <w:t>Cetorhinus maximus</w:t>
      </w:r>
      <w:r w:rsidRPr="00B87DD1">
        <w:t>) ja valkohai (</w:t>
      </w:r>
      <w:r w:rsidRPr="00B87DD1">
        <w:rPr>
          <w:i/>
        </w:rPr>
        <w:t>Carcharodon carcharias</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(7)</w:t>
      </w:r>
      <w:r w:rsidRPr="00B87DD1">
        <w:tab/>
        <w:t>pehmovalohai (</w:t>
      </w:r>
      <w:r w:rsidRPr="00B87DD1">
        <w:rPr>
          <w:i/>
        </w:rPr>
        <w:t>Etmopterus pusillus</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(8)</w:t>
      </w:r>
      <w:r w:rsidRPr="00B87DD1">
        <w:tab/>
        <w:t>paholaisrausku (</w:t>
      </w:r>
      <w:r w:rsidRPr="00B87DD1">
        <w:rPr>
          <w:i/>
        </w:rPr>
        <w:t>Manta alfredi</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t>(9)</w:t>
      </w:r>
      <w:r w:rsidRPr="00B87DD1">
        <w:tab/>
        <w:t>kynsirausku (</w:t>
      </w:r>
      <w:r w:rsidRPr="00B87DD1">
        <w:rPr>
          <w:i/>
        </w:rPr>
        <w:t>Manta birostris</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t>(10)</w:t>
      </w:r>
      <w:r w:rsidRPr="00B87DD1">
        <w:tab/>
        <w:t>sarvirausku (</w:t>
      </w:r>
      <w:r w:rsidRPr="00B87DD1">
        <w:rPr>
          <w:i/>
        </w:rPr>
        <w:t>Mobula mobular</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t>(11)</w:t>
      </w:r>
      <w:r w:rsidRPr="00B87DD1">
        <w:tab/>
        <w:t>Guinean pikkupaholaisrausku (</w:t>
      </w:r>
      <w:r w:rsidRPr="00B87DD1">
        <w:rPr>
          <w:i/>
        </w:rPr>
        <w:t>Mobula rochebrunei</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(12)</w:t>
      </w:r>
      <w:r w:rsidRPr="00B87DD1">
        <w:tab/>
        <w:t>Japanin paholaisrausku (</w:t>
      </w:r>
      <w:r w:rsidRPr="00B87DD1">
        <w:rPr>
          <w:i/>
        </w:rPr>
        <w:t>Mobula japanica</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(13)</w:t>
      </w:r>
      <w:r w:rsidRPr="00B87DD1">
        <w:tab/>
        <w:t>silopaholaisrausku (</w:t>
      </w:r>
      <w:r w:rsidRPr="00B87DD1">
        <w:rPr>
          <w:i/>
        </w:rPr>
        <w:t>Mobula thurstoni</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(14)</w:t>
      </w:r>
      <w:r w:rsidRPr="00B87DD1">
        <w:tab/>
        <w:t>pikkupaholaisrausku (</w:t>
      </w:r>
      <w:r w:rsidRPr="00B87DD1">
        <w:rPr>
          <w:i/>
        </w:rPr>
        <w:t>Mobula eregoodootenkee</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rPr>
          <w:rFonts w:ascii="Arial" w:hAnsi="Arial"/>
          <w:snapToGrid w:val="0"/>
        </w:rPr>
        <w:t>▌</w:t>
      </w:r>
    </w:p>
    <w:p w:rsidR="00FF7B51" w:rsidRPr="00B87DD1" w:rsidRDefault="00FF7B51" w:rsidP="00FF7B51">
      <w:pPr>
        <w:widowControl/>
        <w:suppressAutoHyphens/>
        <w:spacing w:before="120" w:after="120"/>
        <w:ind w:left="850" w:hanging="850"/>
        <w:jc w:val="both"/>
        <w:rPr>
          <w:rFonts w:eastAsia="Calibri"/>
          <w:noProof/>
          <w:szCs w:val="22"/>
        </w:rPr>
      </w:pPr>
      <w:r w:rsidRPr="00B87DD1">
        <w:t>(16)</w:t>
      </w:r>
      <w:r w:rsidRPr="00B87DD1">
        <w:tab/>
        <w:t>tropiikinpaholaisrausku (</w:t>
      </w:r>
      <w:r w:rsidRPr="00B87DD1">
        <w:rPr>
          <w:i/>
        </w:rPr>
        <w:t>Mobula tarapacana</w:t>
      </w:r>
      <w:r w:rsidRPr="00B87DD1">
        <w:t>);</w:t>
      </w:r>
    </w:p>
    <w:p w:rsidR="00FF7B51" w:rsidRPr="00B87DD1" w:rsidRDefault="00FF7B51" w:rsidP="00FF7B51">
      <w:pPr>
        <w:widowControl/>
        <w:suppressAutoHyphens/>
        <w:spacing w:before="120" w:after="120"/>
        <w:ind w:left="850" w:hanging="850"/>
        <w:jc w:val="both"/>
        <w:rPr>
          <w:rFonts w:eastAsia="Calibri"/>
          <w:noProof/>
          <w:szCs w:val="22"/>
        </w:rPr>
      </w:pPr>
      <w:r w:rsidRPr="00B87DD1">
        <w:t>(17)</w:t>
      </w:r>
      <w:r w:rsidRPr="00B87DD1">
        <w:tab/>
        <w:t>lyhyteväpaholaisrausku (</w:t>
      </w:r>
      <w:r w:rsidRPr="00B87DD1">
        <w:rPr>
          <w:i/>
        </w:rPr>
        <w:t>Mobula kuhlii</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t>(18)</w:t>
      </w:r>
      <w:r w:rsidRPr="00B87DD1">
        <w:tab/>
        <w:t>pikkupaholaisrausku (</w:t>
      </w:r>
      <w:r w:rsidRPr="00B87DD1">
        <w:rPr>
          <w:i/>
        </w:rPr>
        <w:t>Mobula hypostoma</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t>(19)</w:t>
      </w:r>
      <w:r w:rsidRPr="00B87DD1">
        <w:tab/>
        <w:t>mustavatsarausku (</w:t>
      </w:r>
      <w:r w:rsidRPr="00B87DD1">
        <w:rPr>
          <w:i/>
        </w:rPr>
        <w:t>Raja (Dipturus) nidarosiensis</w:t>
      </w:r>
      <w:r w:rsidRPr="00B87DD1">
        <w:t>);</w:t>
      </w:r>
    </w:p>
    <w:p w:rsidR="00FF7B51" w:rsidRPr="00B87DD1" w:rsidRDefault="00FF7B51" w:rsidP="00FF7B51">
      <w:pPr>
        <w:widowControl/>
        <w:suppressAutoHyphens/>
        <w:spacing w:before="120" w:after="120"/>
        <w:ind w:left="850" w:hanging="850"/>
        <w:jc w:val="both"/>
        <w:rPr>
          <w:rFonts w:eastAsia="Calibri"/>
          <w:szCs w:val="22"/>
        </w:rPr>
      </w:pPr>
      <w:r w:rsidRPr="00B87DD1">
        <w:t>(20)</w:t>
      </w:r>
      <w:r w:rsidRPr="00B87DD1">
        <w:tab/>
        <w:t>pullonokkarausku (</w:t>
      </w:r>
      <w:r w:rsidRPr="00B87DD1">
        <w:rPr>
          <w:i/>
        </w:rPr>
        <w:t>Raja alba</w:t>
      </w:r>
      <w:r w:rsidRPr="00B87DD1">
        <w:t xml:space="preserve">); </w:t>
      </w:r>
    </w:p>
    <w:p w:rsidR="00FF7B51" w:rsidRPr="00B87DD1" w:rsidRDefault="00FF7B51" w:rsidP="00FF7B51">
      <w:pPr>
        <w:widowControl/>
        <w:suppressAutoHyphens/>
        <w:spacing w:before="120" w:after="120"/>
        <w:ind w:left="851" w:hanging="851"/>
        <w:jc w:val="both"/>
        <w:rPr>
          <w:rFonts w:eastAsia="Calibri"/>
          <w:szCs w:val="22"/>
        </w:rPr>
      </w:pPr>
      <w:r w:rsidRPr="00B87DD1">
        <w:t>(21)</w:t>
      </w:r>
      <w:r w:rsidRPr="00B87DD1">
        <w:tab/>
        <w:t>kitararausku (</w:t>
      </w:r>
      <w:r w:rsidRPr="00B87DD1">
        <w:rPr>
          <w:i/>
        </w:rPr>
        <w:t>Rhinobatidae</w:t>
      </w:r>
      <w:r w:rsidRPr="00B87DD1">
        <w:t>);</w:t>
      </w:r>
    </w:p>
    <w:p w:rsidR="00FF7B51" w:rsidRPr="00B87DD1" w:rsidRDefault="00FF7B51" w:rsidP="00FF7B51">
      <w:pPr>
        <w:widowControl/>
        <w:suppressAutoHyphens/>
        <w:spacing w:before="120" w:after="120"/>
        <w:ind w:left="850" w:hanging="850"/>
        <w:jc w:val="both"/>
        <w:rPr>
          <w:rFonts w:eastAsia="Calibri"/>
          <w:szCs w:val="22"/>
          <w:lang w:val="it-IT"/>
        </w:rPr>
      </w:pPr>
      <w:r w:rsidRPr="00B87DD1">
        <w:rPr>
          <w:lang w:val="it-IT"/>
        </w:rPr>
        <w:t>(22)</w:t>
      </w:r>
      <w:r w:rsidRPr="00B87DD1">
        <w:rPr>
          <w:lang w:val="it-IT"/>
        </w:rPr>
        <w:tab/>
        <w:t>merienkeli (</w:t>
      </w:r>
      <w:r w:rsidRPr="00B87DD1">
        <w:rPr>
          <w:i/>
          <w:lang w:val="it-IT"/>
        </w:rPr>
        <w:t>Squatina squatina</w:t>
      </w:r>
      <w:r w:rsidRPr="00B87DD1">
        <w:rPr>
          <w:lang w:val="it-IT"/>
        </w:rPr>
        <w:t>);</w:t>
      </w:r>
    </w:p>
    <w:p w:rsidR="00FF7B51" w:rsidRPr="00B87DD1" w:rsidRDefault="00FF7B51" w:rsidP="00FF7B51">
      <w:pPr>
        <w:widowControl/>
        <w:suppressAutoHyphens/>
        <w:spacing w:before="120" w:after="120"/>
        <w:ind w:left="850" w:hanging="850"/>
        <w:jc w:val="both"/>
        <w:rPr>
          <w:rFonts w:eastAsia="Calibri"/>
          <w:noProof/>
          <w:szCs w:val="22"/>
          <w:lang w:val="it-IT"/>
        </w:rPr>
      </w:pPr>
      <w:r w:rsidRPr="00B87DD1">
        <w:rPr>
          <w:lang w:val="it-IT"/>
        </w:rPr>
        <w:t>(23)</w:t>
      </w:r>
      <w:r w:rsidRPr="00B87DD1">
        <w:rPr>
          <w:lang w:val="it-IT"/>
        </w:rPr>
        <w:tab/>
        <w:t>lohi (</w:t>
      </w:r>
      <w:r w:rsidRPr="00B87DD1">
        <w:rPr>
          <w:i/>
          <w:lang w:val="it-IT"/>
        </w:rPr>
        <w:t>Salmo salar</w:t>
      </w:r>
      <w:r w:rsidRPr="00B87DD1">
        <w:rPr>
          <w:lang w:val="it-IT"/>
        </w:rPr>
        <w:t xml:space="preserve">); </w:t>
      </w:r>
    </w:p>
    <w:p w:rsidR="00FF7B51" w:rsidRPr="00B87DD1" w:rsidRDefault="00FF7B51" w:rsidP="00FF7B51">
      <w:pPr>
        <w:widowControl/>
        <w:suppressAutoHyphens/>
        <w:spacing w:before="120" w:after="120"/>
        <w:ind w:left="850" w:hanging="850"/>
        <w:jc w:val="both"/>
        <w:rPr>
          <w:rFonts w:eastAsia="Calibri"/>
          <w:noProof/>
          <w:szCs w:val="22"/>
          <w:lang w:val="it-IT"/>
        </w:rPr>
      </w:pPr>
      <w:r w:rsidRPr="00B87DD1">
        <w:rPr>
          <w:lang w:val="it-IT"/>
        </w:rPr>
        <w:t>(24)</w:t>
      </w:r>
      <w:r w:rsidRPr="00B87DD1">
        <w:rPr>
          <w:lang w:val="it-IT"/>
        </w:rPr>
        <w:tab/>
        <w:t>taimen (</w:t>
      </w:r>
      <w:r w:rsidRPr="00B87DD1">
        <w:rPr>
          <w:i/>
          <w:lang w:val="it-IT"/>
        </w:rPr>
        <w:t>Salmo trutta</w:t>
      </w:r>
      <w:r w:rsidRPr="00B87DD1">
        <w:rPr>
          <w:lang w:val="it-IT"/>
        </w:rPr>
        <w:t>)</w:t>
      </w:r>
    </w:p>
    <w:p w:rsidR="00FF7B51" w:rsidRPr="00B87DD1" w:rsidRDefault="00FF7B51" w:rsidP="00FF7B51">
      <w:pPr>
        <w:widowControl/>
        <w:spacing w:before="120" w:after="120" w:line="360" w:lineRule="auto"/>
        <w:ind w:left="851" w:hanging="851"/>
        <w:rPr>
          <w:rFonts w:eastAsia="Calibri"/>
          <w:noProof/>
          <w:szCs w:val="22"/>
          <w:lang w:val="it-IT"/>
        </w:rPr>
        <w:sectPr w:rsidR="00FF7B51" w:rsidRPr="00B87DD1" w:rsidSect="00FF7B51">
          <w:footnotePr>
            <w:numRestart w:val="eachSect"/>
          </w:footnotePr>
          <w:pgSz w:w="11907" w:h="16839"/>
          <w:pgMar w:top="1134" w:right="1134" w:bottom="1134" w:left="1134" w:header="567" w:footer="567" w:gutter="0"/>
          <w:cols w:space="720"/>
          <w:docGrid w:linePitch="360"/>
        </w:sectPr>
      </w:pPr>
      <w:r w:rsidRPr="00B87DD1">
        <w:rPr>
          <w:lang w:val="it-IT"/>
        </w:rPr>
        <w:t>(25)</w:t>
      </w:r>
      <w:r w:rsidRPr="00B87DD1">
        <w:rPr>
          <w:lang w:val="it-IT"/>
        </w:rPr>
        <w:tab/>
        <w:t>järvisiika (</w:t>
      </w:r>
      <w:r w:rsidRPr="00B87DD1">
        <w:rPr>
          <w:i/>
          <w:lang w:val="it-IT"/>
        </w:rPr>
        <w:t>Coregonus oxyrhynchus</w:t>
      </w:r>
      <w:r w:rsidRPr="00B87DD1">
        <w:rPr>
          <w:lang w:val="it-IT"/>
        </w:rPr>
        <w:t>).</w:t>
      </w:r>
    </w:p>
    <w:p w:rsidR="00FF7B51" w:rsidRPr="00B87DD1" w:rsidRDefault="007259A3" w:rsidP="00FF7B51">
      <w:pPr>
        <w:widowControl/>
        <w:spacing w:before="120" w:after="120" w:line="360" w:lineRule="auto"/>
        <w:rPr>
          <w:rFonts w:eastAsia="Calibri"/>
          <w:b/>
          <w:szCs w:val="22"/>
          <w:lang w:eastAsia="en-US"/>
        </w:rPr>
      </w:pPr>
      <w:r w:rsidRPr="00B87DD1">
        <w:rPr>
          <w:rFonts w:eastAsia="Calibri"/>
          <w:szCs w:val="22"/>
          <w:lang w:eastAsia="en-US"/>
        </w:rPr>
        <w:lastRenderedPageBreak/>
        <w:t>▌</w:t>
      </w:r>
      <w:r w:rsidRPr="00B87DD1">
        <w:rPr>
          <w:rFonts w:eastAsia="Calibri"/>
          <w:b/>
          <w:szCs w:val="22"/>
          <w:lang w:eastAsia="en-US"/>
        </w:rPr>
        <w:t xml:space="preserve"> [tark. 47]</w:t>
      </w:r>
    </w:p>
    <w:p w:rsidR="007259A3" w:rsidRPr="00B87DD1" w:rsidRDefault="007259A3" w:rsidP="00FF7B51">
      <w:pPr>
        <w:widowControl/>
        <w:spacing w:before="120" w:after="120" w:line="360" w:lineRule="auto"/>
        <w:rPr>
          <w:rFonts w:eastAsia="Calibri"/>
          <w:szCs w:val="22"/>
          <w:lang w:eastAsia="en-US"/>
        </w:rPr>
        <w:sectPr w:rsidR="007259A3" w:rsidRPr="00B87DD1" w:rsidSect="00FF7B51">
          <w:headerReference w:type="default" r:id="rId15"/>
          <w:footerReference w:type="default" r:id="rId16"/>
          <w:footnotePr>
            <w:numRestart w:val="eachSect"/>
          </w:footnotePr>
          <w:pgSz w:w="16839" w:h="11907" w:orient="landscape"/>
          <w:pgMar w:top="1134" w:right="1134" w:bottom="1134" w:left="1134" w:header="567" w:footer="567" w:gutter="0"/>
          <w:cols w:space="720"/>
          <w:docGrid w:linePitch="360"/>
        </w:sectPr>
      </w:pPr>
    </w:p>
    <w:p w:rsidR="00FF7B51" w:rsidRPr="00B87DD1" w:rsidRDefault="00FF7B51" w:rsidP="00FF7B51">
      <w:pPr>
        <w:widowControl/>
        <w:suppressAutoHyphens/>
        <w:spacing w:before="120" w:after="120"/>
        <w:jc w:val="center"/>
        <w:rPr>
          <w:rFonts w:eastAsia="Calibri"/>
          <w:b/>
          <w:noProof/>
          <w:szCs w:val="22"/>
          <w:u w:val="single"/>
        </w:rPr>
      </w:pPr>
      <w:r w:rsidRPr="00B87DD1">
        <w:rPr>
          <w:b/>
          <w:u w:val="single"/>
        </w:rPr>
        <w:lastRenderedPageBreak/>
        <w:t>LIITE V</w:t>
      </w:r>
      <w:r w:rsidRPr="00B87DD1">
        <w:rPr>
          <w:b/>
          <w:u w:val="single"/>
        </w:rPr>
        <w:br/>
        <w:t>VILJELYSMAIDEN YLEISTEN LINTUJEN INDEKSI KANSALLISELLA TASOLLA</w:t>
      </w:r>
    </w:p>
    <w:p w:rsidR="00FF7B51" w:rsidRPr="00B87DD1" w:rsidRDefault="00FF7B51" w:rsidP="00FF7B51">
      <w:pPr>
        <w:widowControl/>
        <w:suppressAutoHyphens/>
        <w:spacing w:before="120" w:after="120" w:line="360" w:lineRule="auto"/>
        <w:rPr>
          <w:rFonts w:eastAsia="Calibri"/>
          <w:b/>
          <w:bCs/>
          <w:noProof/>
          <w:szCs w:val="22"/>
        </w:rPr>
      </w:pPr>
      <w:r w:rsidRPr="00B87DD1">
        <w:rPr>
          <w:b/>
        </w:rPr>
        <w:t>Kuvaus</w:t>
      </w:r>
    </w:p>
    <w:p w:rsidR="00FF7B51" w:rsidRPr="00B87DD1" w:rsidRDefault="00FF7B51" w:rsidP="00FF7B51">
      <w:pPr>
        <w:widowControl/>
        <w:suppressAutoHyphens/>
        <w:spacing w:before="120" w:after="120" w:line="360" w:lineRule="auto"/>
        <w:rPr>
          <w:rFonts w:eastAsia="Calibri"/>
          <w:noProof/>
          <w:szCs w:val="22"/>
        </w:rPr>
      </w:pPr>
      <w:r w:rsidRPr="00B87DD1">
        <w:t xml:space="preserve">Viljelysmaiden lintujen indeksissä (FBI) esitetään yhteenveto viljelysmaiden yleisten ja laajalle levinneiden lintukantojen suuntauksista, ja sen avulla on tarkoitus arvioida Euroopan maatalouden ekosysteemien luonnon monimuotoisuuden tilaa. Kansallinen viljelysmaiden lintujen indeksi (FBI) on yhdistetty monilaji-indeksi, jolla mitataan viljelysmaiden lintulajien suhteellisen määrän muutosvauhtia valituilla tutkimusalueilla kansallisella tasolla. Indeksi perustuu erityisesti valittuihin lajeihin, jotka ovat riippuvaisia </w:t>
      </w:r>
      <w:r w:rsidRPr="00B87DD1">
        <w:rPr>
          <w:b/>
          <w:bCs/>
          <w:i/>
          <w:iCs/>
        </w:rPr>
        <w:t>viljelysmaan</w:t>
      </w:r>
      <w:r w:rsidRPr="00B87DD1">
        <w:t xml:space="preserve"> elinympäristöistä ravinnon ja pesimisen osalta. Kansalliset viljelysmaiden yleisten lintujen indeksit perustuvat kunkin jäsenvaltion kannalta merkityksellisiin lajikokonaisuuksiin. Indeksi lasketaan perusvuoden perusteella. Perusvuoden indeksin arvoksi on tavallisesti asetettu 100. Suuntausten arvot ilmentävät viljelysmaiden lintujen kannan koon kokonaismuutosta vuosien mittaan.</w:t>
      </w:r>
    </w:p>
    <w:p w:rsidR="00FF7B51" w:rsidRPr="00B87DD1" w:rsidRDefault="00FF7B51" w:rsidP="00FF7B51">
      <w:pPr>
        <w:widowControl/>
        <w:suppressAutoHyphens/>
        <w:spacing w:before="120" w:after="120" w:line="360" w:lineRule="auto"/>
        <w:rPr>
          <w:rFonts w:eastAsia="Calibri"/>
          <w:b/>
          <w:bCs/>
          <w:noProof/>
          <w:szCs w:val="22"/>
        </w:rPr>
      </w:pPr>
      <w:r w:rsidRPr="00B87DD1">
        <w:rPr>
          <w:b/>
          <w:lang w:val="en-GB"/>
        </w:rPr>
        <w:t xml:space="preserve">Menetelmä: </w:t>
      </w:r>
      <w:r w:rsidRPr="00B87DD1">
        <w:rPr>
          <w:lang w:val="en-GB"/>
        </w:rPr>
        <w:t xml:space="preserve">Brlík et al. (2021): Long-term and large-scale multispecies dataset tracking population changes of common European breeding birds. </w:t>
      </w:r>
      <w:r w:rsidRPr="00B87DD1">
        <w:t>Sci Data 8, 21. https://doi.org/10.1038/s41597-021-00804-2</w:t>
      </w:r>
    </w:p>
    <w:p w:rsidR="00FF7B51" w:rsidRPr="00B87DD1" w:rsidRDefault="00FF7B51" w:rsidP="00FF7B51">
      <w:pPr>
        <w:widowControl/>
        <w:suppressAutoHyphens/>
        <w:spacing w:before="120" w:after="120" w:line="360" w:lineRule="auto"/>
        <w:rPr>
          <w:rFonts w:eastAsia="Calibri"/>
          <w:noProof/>
          <w:szCs w:val="22"/>
        </w:rPr>
      </w:pPr>
      <w:r w:rsidRPr="00B87DD1">
        <w:rPr>
          <w:b/>
        </w:rPr>
        <w:t xml:space="preserve"> </w:t>
      </w:r>
      <w:r w:rsidRPr="00B87DD1">
        <w:t>’Jäsenvaltioilla, joissa viljelysmaiden lintujen kannat ovat historiallisesti enemmän heikentyneet’ tarkoitetaan jäsenvaltioita, joissa vähintään puolella lajeista, jotka vaikuttavat kansalliseen viljelysmaiden yleisten lintujen indeksiin, kannan suuntaus on pitkällä aikavälillä negatiivinen. Jäsenvaltioissa, joissa kantojen pitkän aikavälin kehityssuuntauksia koskevia tietoja ei ole saatavilla joidenkin lajien osalta, käytetään tietoja lajien eurooppalaisesta tilasta.</w:t>
      </w:r>
    </w:p>
    <w:p w:rsidR="00FF7B51" w:rsidRPr="00B87DD1" w:rsidRDefault="00FF7B51" w:rsidP="00FF7B51">
      <w:pPr>
        <w:widowControl/>
        <w:suppressAutoHyphens/>
        <w:spacing w:before="120" w:after="120"/>
        <w:rPr>
          <w:rFonts w:eastAsia="Calibri"/>
          <w:noProof/>
          <w:szCs w:val="22"/>
        </w:rPr>
      </w:pPr>
      <w:r w:rsidRPr="00B87DD1">
        <w:t xml:space="preserve">Nämä jäsenvaltiot ovat: </w:t>
      </w:r>
    </w:p>
    <w:p w:rsidR="00FF7B51" w:rsidRPr="00B87DD1" w:rsidRDefault="00FF7B51" w:rsidP="00FF7B51">
      <w:pPr>
        <w:widowControl/>
        <w:suppressAutoHyphens/>
        <w:spacing w:before="120" w:after="120"/>
        <w:rPr>
          <w:rFonts w:eastAsia="Calibri"/>
          <w:noProof/>
          <w:szCs w:val="22"/>
        </w:rPr>
      </w:pPr>
      <w:r w:rsidRPr="00B87DD1">
        <w:t>Tšekki</w:t>
      </w:r>
    </w:p>
    <w:p w:rsidR="00FF7B51" w:rsidRPr="00B87DD1" w:rsidRDefault="00FF7B51" w:rsidP="00FF7B51">
      <w:pPr>
        <w:widowControl/>
        <w:suppressAutoHyphens/>
        <w:spacing w:before="120" w:after="120"/>
        <w:rPr>
          <w:rFonts w:eastAsia="Calibri"/>
          <w:noProof/>
          <w:szCs w:val="22"/>
        </w:rPr>
      </w:pPr>
      <w:r w:rsidRPr="00B87DD1">
        <w:t>Tanska</w:t>
      </w:r>
    </w:p>
    <w:p w:rsidR="00FF7B51" w:rsidRPr="00B87DD1" w:rsidRDefault="00FF7B51" w:rsidP="00FF7B51">
      <w:pPr>
        <w:widowControl/>
        <w:suppressAutoHyphens/>
        <w:spacing w:before="120" w:after="120"/>
        <w:rPr>
          <w:rFonts w:eastAsia="Calibri"/>
          <w:noProof/>
          <w:szCs w:val="22"/>
        </w:rPr>
      </w:pPr>
      <w:r w:rsidRPr="00B87DD1">
        <w:t>Viro</w:t>
      </w:r>
    </w:p>
    <w:p w:rsidR="00FF7B51" w:rsidRPr="00B87DD1" w:rsidRDefault="00FF7B51" w:rsidP="00FF7B51">
      <w:pPr>
        <w:widowControl/>
        <w:suppressAutoHyphens/>
        <w:spacing w:before="120" w:after="120"/>
        <w:rPr>
          <w:rFonts w:eastAsia="Calibri"/>
          <w:noProof/>
          <w:szCs w:val="22"/>
        </w:rPr>
      </w:pPr>
      <w:r w:rsidRPr="00B87DD1">
        <w:t>Suomi</w:t>
      </w:r>
    </w:p>
    <w:p w:rsidR="00FF7B51" w:rsidRPr="00B87DD1" w:rsidRDefault="00FF7B51" w:rsidP="00FF7B51">
      <w:pPr>
        <w:widowControl/>
        <w:suppressAutoHyphens/>
        <w:spacing w:before="120" w:after="120"/>
        <w:rPr>
          <w:rFonts w:eastAsia="Calibri"/>
          <w:noProof/>
          <w:szCs w:val="22"/>
        </w:rPr>
      </w:pPr>
      <w:r w:rsidRPr="00B87DD1">
        <w:t>Ranska</w:t>
      </w:r>
    </w:p>
    <w:p w:rsidR="00FF7B51" w:rsidRPr="00B87DD1" w:rsidRDefault="00FF7B51" w:rsidP="00FF7B51">
      <w:pPr>
        <w:widowControl/>
        <w:suppressAutoHyphens/>
        <w:spacing w:before="120" w:after="120"/>
        <w:rPr>
          <w:rFonts w:eastAsia="Calibri"/>
          <w:noProof/>
          <w:szCs w:val="22"/>
        </w:rPr>
      </w:pPr>
      <w:r w:rsidRPr="00B87DD1">
        <w:t>Saksa</w:t>
      </w:r>
    </w:p>
    <w:p w:rsidR="00FF7B51" w:rsidRPr="00B87DD1" w:rsidRDefault="00FF7B51" w:rsidP="00FF7B51">
      <w:pPr>
        <w:widowControl/>
        <w:suppressAutoHyphens/>
        <w:spacing w:before="120" w:after="120"/>
        <w:rPr>
          <w:rFonts w:eastAsia="Calibri"/>
          <w:noProof/>
          <w:szCs w:val="22"/>
        </w:rPr>
      </w:pPr>
      <w:r w:rsidRPr="00B87DD1">
        <w:t>Unkari</w:t>
      </w:r>
    </w:p>
    <w:p w:rsidR="00FF7B51" w:rsidRPr="00B87DD1" w:rsidRDefault="00FF7B51" w:rsidP="00FF7B51">
      <w:pPr>
        <w:widowControl/>
        <w:suppressAutoHyphens/>
        <w:spacing w:before="120" w:after="120"/>
        <w:rPr>
          <w:rFonts w:eastAsia="Calibri"/>
          <w:noProof/>
          <w:szCs w:val="22"/>
        </w:rPr>
      </w:pPr>
      <w:r w:rsidRPr="00B87DD1">
        <w:t>Italia</w:t>
      </w:r>
    </w:p>
    <w:p w:rsidR="00FF7B51" w:rsidRPr="00B87DD1" w:rsidRDefault="00FF7B51" w:rsidP="00FF7B51">
      <w:pPr>
        <w:widowControl/>
        <w:suppressAutoHyphens/>
        <w:spacing w:before="120" w:after="120"/>
        <w:rPr>
          <w:rFonts w:eastAsia="Calibri"/>
          <w:noProof/>
          <w:szCs w:val="22"/>
        </w:rPr>
      </w:pPr>
      <w:r w:rsidRPr="00B87DD1">
        <w:t>Luxemburg</w:t>
      </w:r>
    </w:p>
    <w:p w:rsidR="00FF7B51" w:rsidRPr="00B87DD1" w:rsidRDefault="00FF7B51" w:rsidP="00FF7B51">
      <w:pPr>
        <w:widowControl/>
        <w:suppressAutoHyphens/>
        <w:spacing w:before="120" w:after="120"/>
        <w:rPr>
          <w:rFonts w:eastAsia="Calibri"/>
          <w:noProof/>
          <w:szCs w:val="22"/>
        </w:rPr>
      </w:pPr>
      <w:r w:rsidRPr="00B87DD1">
        <w:t>Alankomaat</w:t>
      </w:r>
    </w:p>
    <w:p w:rsidR="00FF7B51" w:rsidRPr="00B87DD1" w:rsidRDefault="00FF7B51" w:rsidP="00FF7B51">
      <w:pPr>
        <w:widowControl/>
        <w:suppressAutoHyphens/>
        <w:spacing w:before="120" w:after="120"/>
        <w:rPr>
          <w:rFonts w:eastAsia="Calibri"/>
          <w:noProof/>
          <w:szCs w:val="22"/>
        </w:rPr>
      </w:pPr>
      <w:r w:rsidRPr="00B87DD1">
        <w:t>Espanja</w:t>
      </w:r>
    </w:p>
    <w:p w:rsidR="00FF7B51" w:rsidRPr="00B87DD1" w:rsidRDefault="00FF7B51" w:rsidP="00FF7B51">
      <w:pPr>
        <w:widowControl/>
        <w:suppressAutoHyphens/>
        <w:spacing w:before="120" w:after="120" w:line="360" w:lineRule="auto"/>
        <w:rPr>
          <w:rFonts w:eastAsia="Calibri"/>
          <w:noProof/>
          <w:szCs w:val="22"/>
        </w:rPr>
      </w:pPr>
      <w:r w:rsidRPr="00B87DD1">
        <w:t xml:space="preserve">’Jäsenvaltioilla, joissa viljelysmaiden lintujen kannat ovat historiallisesti vähemmän heikentyneet’ tarkoitetaan jäsenvaltioita, joissa alle puolella lajeista, jotka vaikuttavat kansalliseen viljelysmaiden </w:t>
      </w:r>
      <w:r w:rsidRPr="00B87DD1">
        <w:lastRenderedPageBreak/>
        <w:t>yleisten lintujen indeksiin, kannan suuntaus on pitkällä aikavälillä negatiivinen.</w:t>
      </w:r>
      <w:r w:rsidRPr="00B87DD1">
        <w:rPr>
          <w:b/>
        </w:rPr>
        <w:t xml:space="preserve"> </w:t>
      </w:r>
      <w:r w:rsidRPr="00B87DD1">
        <w:t xml:space="preserve">Jäsenvaltioissa, joissa kantojen pitkän aikavälin kehityssuuntauksia koskevia tietoja ei ole saatavilla joidenkin lajien osalta, käytetään tietoja lajien eurooppalaisesta tilasta. </w:t>
      </w:r>
    </w:p>
    <w:p w:rsidR="00FF7B51" w:rsidRPr="00B87DD1" w:rsidRDefault="00FF7B51" w:rsidP="00FF7B51">
      <w:pPr>
        <w:widowControl/>
        <w:suppressAutoHyphens/>
        <w:spacing w:before="120" w:after="120"/>
        <w:rPr>
          <w:rFonts w:eastAsia="Calibri"/>
          <w:noProof/>
          <w:szCs w:val="22"/>
        </w:rPr>
      </w:pPr>
      <w:r w:rsidRPr="00B87DD1">
        <w:t>Nämä jäsenvaltiot ovat:</w:t>
      </w:r>
    </w:p>
    <w:p w:rsidR="00FF7B51" w:rsidRPr="00B87DD1" w:rsidRDefault="00FF7B51" w:rsidP="00FF7B51">
      <w:pPr>
        <w:widowControl/>
        <w:suppressAutoHyphens/>
        <w:spacing w:before="120" w:after="120"/>
        <w:rPr>
          <w:rFonts w:eastAsia="Calibri"/>
          <w:noProof/>
          <w:szCs w:val="22"/>
        </w:rPr>
      </w:pPr>
      <w:r w:rsidRPr="00B87DD1">
        <w:t>Itävalta</w:t>
      </w:r>
    </w:p>
    <w:p w:rsidR="00FF7B51" w:rsidRPr="00B87DD1" w:rsidRDefault="00FF7B51" w:rsidP="00FF7B51">
      <w:pPr>
        <w:widowControl/>
        <w:suppressAutoHyphens/>
        <w:spacing w:before="120" w:after="120"/>
        <w:rPr>
          <w:rFonts w:eastAsia="Calibri"/>
          <w:noProof/>
          <w:szCs w:val="22"/>
        </w:rPr>
      </w:pPr>
      <w:r w:rsidRPr="00B87DD1">
        <w:t>Belgia</w:t>
      </w:r>
    </w:p>
    <w:p w:rsidR="00FF7B51" w:rsidRPr="00B87DD1" w:rsidRDefault="00FF7B51" w:rsidP="00FF7B51">
      <w:pPr>
        <w:widowControl/>
        <w:suppressAutoHyphens/>
        <w:spacing w:before="120" w:after="120"/>
        <w:rPr>
          <w:rFonts w:eastAsia="Calibri"/>
          <w:noProof/>
          <w:szCs w:val="22"/>
        </w:rPr>
      </w:pPr>
      <w:r w:rsidRPr="00B87DD1">
        <w:t>Bulgaria</w:t>
      </w:r>
    </w:p>
    <w:p w:rsidR="00FF7B51" w:rsidRPr="00B87DD1" w:rsidRDefault="00FF7B51" w:rsidP="00FF7B51">
      <w:pPr>
        <w:widowControl/>
        <w:suppressAutoHyphens/>
        <w:spacing w:before="120" w:after="120"/>
        <w:rPr>
          <w:rFonts w:eastAsia="Calibri"/>
          <w:noProof/>
          <w:szCs w:val="22"/>
        </w:rPr>
      </w:pPr>
      <w:r w:rsidRPr="00B87DD1">
        <w:t>Kroatia</w:t>
      </w:r>
    </w:p>
    <w:p w:rsidR="00FF7B51" w:rsidRPr="00B87DD1" w:rsidRDefault="00FF7B51" w:rsidP="00FF7B51">
      <w:pPr>
        <w:widowControl/>
        <w:suppressAutoHyphens/>
        <w:spacing w:before="120" w:after="120"/>
        <w:rPr>
          <w:rFonts w:eastAsia="Calibri"/>
          <w:noProof/>
          <w:szCs w:val="22"/>
        </w:rPr>
      </w:pPr>
      <w:r w:rsidRPr="00B87DD1">
        <w:t>Kypros</w:t>
      </w:r>
    </w:p>
    <w:p w:rsidR="00FF7B51" w:rsidRPr="00B87DD1" w:rsidRDefault="00FF7B51" w:rsidP="00FF7B51">
      <w:pPr>
        <w:widowControl/>
        <w:suppressAutoHyphens/>
        <w:spacing w:before="120" w:after="120"/>
        <w:rPr>
          <w:rFonts w:eastAsia="Calibri"/>
          <w:noProof/>
          <w:szCs w:val="22"/>
        </w:rPr>
      </w:pPr>
      <w:r w:rsidRPr="00B87DD1">
        <w:t>Kreikka</w:t>
      </w:r>
    </w:p>
    <w:p w:rsidR="00FF7B51" w:rsidRPr="00B87DD1" w:rsidRDefault="00FF7B51" w:rsidP="00FF7B51">
      <w:pPr>
        <w:widowControl/>
        <w:suppressAutoHyphens/>
        <w:spacing w:before="120" w:after="120"/>
        <w:rPr>
          <w:rFonts w:eastAsia="Calibri"/>
          <w:noProof/>
          <w:szCs w:val="22"/>
        </w:rPr>
      </w:pPr>
      <w:r w:rsidRPr="00B87DD1">
        <w:t>Irlanti</w:t>
      </w:r>
    </w:p>
    <w:p w:rsidR="00FF7B51" w:rsidRPr="00B87DD1" w:rsidRDefault="00FF7B51" w:rsidP="00FF7B51">
      <w:pPr>
        <w:widowControl/>
        <w:suppressAutoHyphens/>
        <w:spacing w:before="120" w:after="120"/>
        <w:rPr>
          <w:rFonts w:eastAsia="Calibri"/>
          <w:noProof/>
          <w:szCs w:val="22"/>
        </w:rPr>
      </w:pPr>
      <w:r w:rsidRPr="00B87DD1">
        <w:t>Latvia</w:t>
      </w:r>
    </w:p>
    <w:p w:rsidR="00FF7B51" w:rsidRPr="00B87DD1" w:rsidRDefault="00FF7B51" w:rsidP="00FF7B51">
      <w:pPr>
        <w:widowControl/>
        <w:suppressAutoHyphens/>
        <w:spacing w:before="120" w:after="120"/>
        <w:rPr>
          <w:rFonts w:eastAsia="Calibri"/>
          <w:noProof/>
          <w:szCs w:val="22"/>
        </w:rPr>
      </w:pPr>
      <w:r w:rsidRPr="00B87DD1">
        <w:t>Liettua</w:t>
      </w:r>
    </w:p>
    <w:p w:rsidR="00FF7B51" w:rsidRPr="00B87DD1" w:rsidRDefault="00FF7B51" w:rsidP="00FF7B51">
      <w:pPr>
        <w:widowControl/>
        <w:suppressAutoHyphens/>
        <w:spacing w:before="120" w:after="120"/>
        <w:rPr>
          <w:rFonts w:eastAsia="Calibri"/>
          <w:noProof/>
          <w:szCs w:val="22"/>
          <w:lang w:val="it-IT"/>
        </w:rPr>
      </w:pPr>
      <w:r w:rsidRPr="00B87DD1">
        <w:rPr>
          <w:lang w:val="it-IT"/>
        </w:rPr>
        <w:t>Malta</w:t>
      </w:r>
    </w:p>
    <w:p w:rsidR="00FF7B51" w:rsidRPr="00B87DD1" w:rsidRDefault="00FF7B51" w:rsidP="00FF7B51">
      <w:pPr>
        <w:widowControl/>
        <w:suppressAutoHyphens/>
        <w:spacing w:before="120" w:after="120"/>
        <w:rPr>
          <w:rFonts w:eastAsia="Calibri"/>
          <w:noProof/>
          <w:szCs w:val="22"/>
          <w:lang w:val="it-IT"/>
        </w:rPr>
      </w:pPr>
      <w:r w:rsidRPr="00B87DD1">
        <w:rPr>
          <w:lang w:val="it-IT"/>
        </w:rPr>
        <w:t>Puola</w:t>
      </w:r>
    </w:p>
    <w:p w:rsidR="00FF7B51" w:rsidRPr="00B87DD1" w:rsidRDefault="00FF7B51" w:rsidP="00FF7B51">
      <w:pPr>
        <w:widowControl/>
        <w:suppressAutoHyphens/>
        <w:spacing w:before="120" w:after="120"/>
        <w:rPr>
          <w:rFonts w:eastAsia="Calibri"/>
          <w:noProof/>
          <w:szCs w:val="22"/>
          <w:lang w:val="it-IT"/>
        </w:rPr>
      </w:pPr>
      <w:r w:rsidRPr="00B87DD1">
        <w:rPr>
          <w:lang w:val="it-IT"/>
        </w:rPr>
        <w:t>Portugali</w:t>
      </w:r>
    </w:p>
    <w:p w:rsidR="00FF7B51" w:rsidRPr="00B87DD1" w:rsidRDefault="00FF7B51" w:rsidP="00FF7B51">
      <w:pPr>
        <w:widowControl/>
        <w:suppressAutoHyphens/>
        <w:spacing w:before="120" w:after="120"/>
        <w:rPr>
          <w:rFonts w:eastAsia="Calibri"/>
          <w:noProof/>
          <w:szCs w:val="22"/>
          <w:lang w:val="it-IT"/>
        </w:rPr>
      </w:pPr>
      <w:r w:rsidRPr="00B87DD1">
        <w:rPr>
          <w:lang w:val="it-IT"/>
        </w:rPr>
        <w:t>Romania</w:t>
      </w:r>
    </w:p>
    <w:p w:rsidR="00FF7B51" w:rsidRPr="00B87DD1" w:rsidRDefault="00FF7B51" w:rsidP="00FF7B51">
      <w:pPr>
        <w:widowControl/>
        <w:suppressAutoHyphens/>
        <w:spacing w:before="120" w:after="120"/>
        <w:rPr>
          <w:rFonts w:eastAsia="Calibri"/>
          <w:noProof/>
          <w:szCs w:val="22"/>
          <w:lang w:val="it-IT"/>
        </w:rPr>
      </w:pPr>
      <w:r w:rsidRPr="00B87DD1">
        <w:rPr>
          <w:lang w:val="it-IT"/>
        </w:rPr>
        <w:t>Slovakia</w:t>
      </w:r>
    </w:p>
    <w:p w:rsidR="00FF7B51" w:rsidRPr="00B87DD1" w:rsidRDefault="00FF7B51" w:rsidP="00FF7B51">
      <w:pPr>
        <w:widowControl/>
        <w:suppressAutoHyphens/>
        <w:spacing w:before="120" w:after="120"/>
        <w:rPr>
          <w:rFonts w:eastAsia="Calibri"/>
          <w:noProof/>
          <w:szCs w:val="22"/>
          <w:lang w:val="it-IT"/>
        </w:rPr>
      </w:pPr>
      <w:r w:rsidRPr="00B87DD1">
        <w:rPr>
          <w:lang w:val="it-IT"/>
        </w:rPr>
        <w:t>Slovenia</w:t>
      </w:r>
    </w:p>
    <w:p w:rsidR="00FF7B51" w:rsidRPr="00B87DD1" w:rsidRDefault="00FF7B51" w:rsidP="00FF7B51">
      <w:pPr>
        <w:widowControl/>
        <w:suppressAutoHyphens/>
        <w:spacing w:before="120" w:after="120"/>
        <w:rPr>
          <w:rFonts w:eastAsia="Calibri"/>
          <w:noProof/>
          <w:szCs w:val="22"/>
        </w:rPr>
      </w:pPr>
      <w:r w:rsidRPr="00B87DD1">
        <w:t>Ruotsi</w:t>
      </w:r>
    </w:p>
    <w:p w:rsidR="00B87DD1" w:rsidRPr="00B87DD1" w:rsidRDefault="00B87DD1">
      <w:pPr>
        <w:widowControl/>
        <w:rPr>
          <w:b/>
          <w:color w:val="000000"/>
        </w:rPr>
      </w:pPr>
      <w:r w:rsidRPr="00B87DD1">
        <w:rPr>
          <w:b/>
          <w:color w:val="000000"/>
        </w:rPr>
        <w:br w:type="page"/>
      </w:r>
    </w:p>
    <w:p w:rsidR="00FF7B51" w:rsidRPr="00B87DD1" w:rsidRDefault="00FF7B51" w:rsidP="00FF7B51">
      <w:pPr>
        <w:widowControl/>
        <w:suppressAutoHyphens/>
        <w:spacing w:before="120" w:after="120"/>
        <w:ind w:right="-5811"/>
        <w:rPr>
          <w:rFonts w:eastAsia="Calibri"/>
          <w:b/>
          <w:bCs/>
          <w:noProof/>
          <w:color w:val="000000"/>
          <w:szCs w:val="22"/>
        </w:rPr>
      </w:pPr>
      <w:r w:rsidRPr="00B87DD1">
        <w:rPr>
          <w:b/>
          <w:color w:val="000000"/>
        </w:rPr>
        <w:lastRenderedPageBreak/>
        <w:t>Luettelo viljelysmaiden yleisten lintujen indeksissä käytetyistä lajeista jäsenvaltioittain</w:t>
      </w:r>
    </w:p>
    <w:p w:rsidR="00FF7B51" w:rsidRPr="00B87DD1" w:rsidRDefault="00FF7B51" w:rsidP="00FF7B51">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Itävalta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Acrocephalus palustris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spinoletta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trivialis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Jynx torquilla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Lullula arborea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Oenanthe oenanthe</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Serinus citrinella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Turdus pilaris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B87DD1">
            <w:pPr>
              <w:pageBreakBefore/>
              <w:widowControl/>
              <w:suppressAutoHyphens/>
              <w:spacing w:before="120" w:after="120"/>
              <w:rPr>
                <w:b/>
                <w:bCs/>
                <w:noProof/>
                <w:sz w:val="22"/>
              </w:rPr>
            </w:pPr>
            <w:r w:rsidRPr="00B87DD1">
              <w:rPr>
                <w:b/>
                <w:sz w:val="22"/>
              </w:rPr>
              <w:lastRenderedPageBreak/>
              <w:t>Belgia – Flanderi</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color w:val="000000"/>
                <w:sz w:val="22"/>
              </w:rPr>
            </w:pPr>
            <w:r w:rsidRPr="00B87DD1">
              <w:rPr>
                <w:b/>
                <w:color w:val="000000"/>
                <w:sz w:val="22"/>
              </w:rPr>
              <w:t>Belgia – Vallonia</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r w:rsidR="00FF7B51" w:rsidRPr="00B87DD1" w:rsidTr="00FF7B51">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lang w:eastAsia="en-IE"/>
              </w:rPr>
            </w:pP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Bulgaria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Carduelis carduelis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Carduelis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Coturnix coturnix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Corvus frugilegus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hortulana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melanocephala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lastRenderedPageBreak/>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Galerida cristata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Miliaria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 xml:space="preserve">Motacilla flava </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Perdix perdix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Upupa epops</w:t>
            </w:r>
          </w:p>
        </w:tc>
      </w:tr>
    </w:tbl>
    <w:p w:rsidR="00FF7B51" w:rsidRPr="00B87DD1" w:rsidRDefault="00FF7B51" w:rsidP="00FF7B51">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Kroatia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Anthus campestris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Anthus trivialis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Emberiza cirlus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Emberiza melanocephala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Jynx torquilla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Lanius senator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lastRenderedPageBreak/>
              <w:t>Lullula arborea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Luscinia megarhynchos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Oenanthe hispanica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Oriolus oriolus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Upupa epops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Kypros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Alectoris chukar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Athene noctua </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Cisticola juncidis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Clamator glandarius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B87DD1">
            <w:pPr>
              <w:widowControl/>
              <w:suppressAutoHyphens/>
              <w:spacing w:before="120" w:after="120"/>
              <w:rPr>
                <w:i/>
                <w:noProof/>
                <w:sz w:val="22"/>
              </w:rPr>
            </w:pPr>
            <w:r w:rsidRPr="00B87DD1">
              <w:rPr>
                <w:i/>
                <w:sz w:val="22"/>
              </w:rPr>
              <w:t>Columba palumbus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Coracias garrulus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corone cornix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calandra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melanocephala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Francolinus francolinus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Chloris chloris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Iduna pallida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Linaria cannabina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Oenanthe cypriaca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Parus major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hispaniolensis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conspicillata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Sylvia melanocephala </w:t>
            </w:r>
          </w:p>
        </w:tc>
      </w:tr>
    </w:tbl>
    <w:p w:rsidR="00FF7B51" w:rsidRPr="00B87DD1" w:rsidRDefault="00FF7B51" w:rsidP="00FF7B51">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Tšekki</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Ciconia ciconia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Saxicola rubetra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Tanska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corone</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Gallinago gallinago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alba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Oenanthe oenanthe</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uppressAutoHyphens/>
              <w:spacing w:before="120" w:after="120"/>
              <w:rPr>
                <w:i/>
                <w:noProof/>
                <w:sz w:val="22"/>
              </w:rPr>
            </w:pPr>
            <w:r w:rsidRPr="00B87DD1">
              <w:rPr>
                <w:i/>
                <w:sz w:val="22"/>
              </w:rPr>
              <w:lastRenderedPageBreak/>
              <w:t>Sylvia curruca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Turdus pilaris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Viro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Linaria cannabina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lastRenderedPageBreak/>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rFonts w:ascii="Arial" w:hAnsi="Arial"/>
                <w:snapToGrid w:val="0"/>
              </w:rPr>
              <w:t>▌</w:t>
            </w:r>
          </w:p>
        </w:tc>
      </w:tr>
    </w:tbl>
    <w:p w:rsidR="00FF7B51" w:rsidRPr="00B87DD1" w:rsidRDefault="00FF7B51" w:rsidP="00FF7B51">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Suomi</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monedula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Crex crex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Delichon urbica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hortulana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Numenius arquata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rubertra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Sturnus vulgaris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Turdus pilaris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Ranska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Alectoris rufa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campestris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Buteo buteo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cirlus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hortulana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Lullula arborea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Melanocorypha calandra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Oenanthe oenanthe</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Upupa epops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Saksa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Athene noctua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Limosa limosa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Lullula arborea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Milvus milvus</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Kreikka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Apus apus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Athene noctua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Calandrella brachydactyla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Carduelis chloris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Ciconia ciconia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corone</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monedula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Delichon urbicum</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cirlus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Emberiza hortulana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melanocephala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naumanni</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daurica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minor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senator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Lullula arborea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Luscinia megarhynchos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Melanocorypha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Oenanthe hispanica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Oenanthe oenanthe</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Passer domesticus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hispaniolensis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Streptopelia decaocto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melanocephala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Upupa epops</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lastRenderedPageBreak/>
              <w:t>Unkari</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Anthus campestris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Lanius minor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Locustella naevia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Merops apiaster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nisoria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Irlanti</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Columba oenas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Columba palumbus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cornix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Corvus monedula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Fringilla coelebs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Chloris chloris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alba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domesticus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Phasianus colchicus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Italia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campestris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Calandrella brachydactyla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chloris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cornix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hortulana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Jynx torquilla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Luscinia megarhynchos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Melanocorypha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alba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Oriolus oriolus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Passer domesticus italiae</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hispaniolensis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unicolor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Upupa epops</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Latvia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Acrocephalus palustris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Carpodacus erythrinus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Ciconia ciconia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Crex crex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 xml:space="preserve">Emberiza citrinella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Locustella naevia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lastRenderedPageBreak/>
              <w:t>Liettua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Ciconia ciconia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Crex crex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 xml:space="preserve">Emberiza citrinella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 xml:space="preserve">Luxemburg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Alauda arvensis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Carduelis cannabina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 xml:space="preserve">Emberiza citrinella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Lanius collurio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Passer montanus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Sylvia communis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b/>
                <w:sz w:val="22"/>
              </w:rPr>
              <w:t>Malta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Calandrella brachydactyla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Linaria cannabina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Cettia cetti</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lastRenderedPageBreak/>
              <w:t>Cisticola juncidis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Emberiza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Lanius senator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Monticola solitarius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Passer hispaniolensis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Streptopelia decaocto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Sylvia conspicillata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tcPr>
          <w:p w:rsidR="00FF7B51" w:rsidRPr="00B87DD1" w:rsidRDefault="00FF7B51" w:rsidP="00FF7B51">
            <w:pPr>
              <w:widowControl/>
              <w:suppressAutoHyphens/>
              <w:spacing w:before="120" w:after="120"/>
              <w:rPr>
                <w:i/>
                <w:noProof/>
                <w:sz w:val="22"/>
              </w:rPr>
            </w:pPr>
            <w:r w:rsidRPr="00B87DD1">
              <w:rPr>
                <w:i/>
                <w:sz w:val="22"/>
              </w:rPr>
              <w:t>Sylvia melanocephala</w:t>
            </w:r>
          </w:p>
        </w:tc>
      </w:tr>
    </w:tbl>
    <w:p w:rsidR="00FF7B51" w:rsidRPr="00B87DD1" w:rsidRDefault="00FF7B51" w:rsidP="00FF7B51">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Alankomaat</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Athene noctua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Calidris pugnax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 xml:space="preserve">Emberiza citrinella </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Gallinago gallinago</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Haematopus ostralegus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Hippolais icterina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Limosa limosa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 ava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Numenius arquata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Perdix perdix</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Spatula clypeata</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Tringa totanus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Turdus viscivorus</w:t>
            </w:r>
          </w:p>
        </w:tc>
      </w:tr>
      <w:tr w:rsidR="00FF7B51" w:rsidRPr="00B87DD1" w:rsidTr="00FF7B51">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Puola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Ciconia ciconia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hortulana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Limosa limosa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Motacilla flava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Upupa epops</w:t>
            </w:r>
          </w:p>
        </w:tc>
      </w:tr>
      <w:tr w:rsidR="00FF7B51" w:rsidRPr="00B87DD1" w:rsidTr="00FF7B51">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Portugali</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Athene noctua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Bubulcus ibis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Chloris chloris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Ciconia ciconia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Cisticola juncidis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Delichon urbicum</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cirlus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meridionalis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Linaria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Merops apiaster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Miliaria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Milvus migrans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domesticus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unicolor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Upupa epops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Romania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Anthus campestris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Calandrella brachydactyla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Ciconia ciconia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Corvus frugilegus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citrinella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hortulana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melanocephala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Galerida cristata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Lanius minor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Linaria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Melanocorypha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Motacilla flava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Perdix perdix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lastRenderedPageBreak/>
              <w:t>Saxicola rubetra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Saxicola torquatus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Upupa epops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Vanellus vanellus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Slovakia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citrinella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Chloris chloris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Locustella naevia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flava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Passer montanus </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torquatus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Serinus serinus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nisoria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Vanellus vanellus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Slovenia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Acrocephalus palustris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Anthus trivialis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Carduelis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Carduelis carduelis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Columba oenas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Columba palumbus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cirlus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Emberiza citrinella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Jynx torquilla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Lullula arborea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Luscinia megarhynchos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Motacilla flava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Phoenicurus phoenicurus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Picus viridis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Saxicola rubetra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Saxicola torquatus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Serinus serinus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lastRenderedPageBreak/>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Upupa epops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color w:val="000000"/>
                <w:sz w:val="22"/>
              </w:rPr>
            </w:pPr>
            <w:r w:rsidRPr="00B87DD1">
              <w:rPr>
                <w:i/>
                <w:color w:val="000000"/>
                <w:sz w:val="22"/>
              </w:rPr>
              <w:t>Vanellus vanellus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Espanja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Alectoris rufa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Athene noctua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Calandrella brachydactyla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Carduelis carduelis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Cisticola juncidis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monedula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Coturnix coturnix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Galerida cristata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Linaria cannabina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Melanocorypha calandra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Merops apiaster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Oenanthe hispanica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domesticus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Pica pica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Pterocles orientalis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Streptopelia turtur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unicolor</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lastRenderedPageBreak/>
              <w:t>Tetrax tetrax</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Upupa epops</w:t>
            </w:r>
          </w:p>
        </w:tc>
      </w:tr>
    </w:tbl>
    <w:p w:rsidR="00FF7B51" w:rsidRPr="00B87DD1" w:rsidRDefault="00FF7B51" w:rsidP="00FF7B51">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b/>
                <w:bCs/>
                <w:noProof/>
                <w:sz w:val="22"/>
              </w:rPr>
            </w:pPr>
            <w:r w:rsidRPr="00B87DD1">
              <w:rPr>
                <w:b/>
                <w:sz w:val="22"/>
              </w:rPr>
              <w:t>Ruotsi</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Alauda arvensis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Anthus pratensis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 xml:space="preserve">Carduelis cannabina </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Corvus frugilegus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 xml:space="preserve">Emberiza citrinella </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Emberiza hortulana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Falco tinnunculus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Hirundo rustica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Lanius collurio</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Motacilla fl ava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Passer montanus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Saxicola rubetra</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Sturnus vulgaris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rsidR="00FF7B51" w:rsidRPr="00B87DD1" w:rsidRDefault="00FF7B51" w:rsidP="00FF7B51">
            <w:pPr>
              <w:widowControl/>
              <w:suppressAutoHyphens/>
              <w:spacing w:before="120" w:after="120"/>
              <w:rPr>
                <w:i/>
                <w:noProof/>
                <w:sz w:val="22"/>
              </w:rPr>
            </w:pPr>
            <w:r w:rsidRPr="00B87DD1">
              <w:rPr>
                <w:i/>
                <w:sz w:val="22"/>
              </w:rPr>
              <w:t>Sylvia communis</w:t>
            </w:r>
          </w:p>
        </w:tc>
      </w:tr>
      <w:tr w:rsidR="00FF7B51" w:rsidRPr="00B87DD1" w:rsidTr="00FF7B51">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rsidR="00FF7B51" w:rsidRPr="00B87DD1" w:rsidRDefault="00FF7B51" w:rsidP="00FF7B51">
            <w:pPr>
              <w:widowControl/>
              <w:suppressAutoHyphens/>
              <w:spacing w:before="120" w:after="120"/>
              <w:rPr>
                <w:i/>
                <w:noProof/>
                <w:sz w:val="22"/>
              </w:rPr>
            </w:pPr>
            <w:r w:rsidRPr="00B87DD1">
              <w:rPr>
                <w:i/>
                <w:sz w:val="22"/>
              </w:rPr>
              <w:t>Vanellus vanellus</w:t>
            </w:r>
          </w:p>
        </w:tc>
      </w:tr>
    </w:tbl>
    <w:p w:rsidR="00FF7B51" w:rsidRPr="00B87DD1" w:rsidRDefault="00FF7B51" w:rsidP="00FF7B51">
      <w:pPr>
        <w:widowControl/>
        <w:spacing w:before="120" w:after="120" w:line="360" w:lineRule="auto"/>
        <w:rPr>
          <w:rFonts w:eastAsia="Calibri"/>
          <w:szCs w:val="22"/>
          <w:lang w:eastAsia="en-US"/>
        </w:rPr>
        <w:sectPr w:rsidR="00FF7B51" w:rsidRPr="00B87DD1" w:rsidSect="00FF7B51">
          <w:headerReference w:type="default" r:id="rId17"/>
          <w:footerReference w:type="default" r:id="rId18"/>
          <w:footnotePr>
            <w:numRestart w:val="eachSect"/>
          </w:footnotePr>
          <w:pgSz w:w="11907" w:h="16839"/>
          <w:pgMar w:top="1134" w:right="1134" w:bottom="1134" w:left="1134" w:header="567" w:footer="567" w:gutter="0"/>
          <w:cols w:space="720"/>
          <w:docGrid w:linePitch="360"/>
        </w:sectPr>
      </w:pPr>
    </w:p>
    <w:p w:rsidR="00FF7B51" w:rsidRPr="00B87DD1" w:rsidRDefault="00FF7B51" w:rsidP="00FF7B51">
      <w:pPr>
        <w:widowControl/>
        <w:suppressAutoHyphens/>
        <w:spacing w:before="120" w:after="120"/>
        <w:jc w:val="center"/>
        <w:rPr>
          <w:rFonts w:eastAsia="Calibri"/>
          <w:b/>
          <w:noProof/>
          <w:szCs w:val="22"/>
          <w:u w:val="single"/>
        </w:rPr>
      </w:pPr>
      <w:r w:rsidRPr="00B87DD1">
        <w:rPr>
          <w:b/>
          <w:u w:val="single"/>
        </w:rPr>
        <w:lastRenderedPageBreak/>
        <w:t>LIITE VI</w:t>
      </w:r>
      <w:r w:rsidRPr="00B87DD1">
        <w:rPr>
          <w:b/>
          <w:u w:val="single"/>
        </w:rPr>
        <w:br/>
        <w:t>LUETTELO 10 ARTIKLAN 2 KOHDASSA TARKOITETUISTA METSIEN EKOSYSTEEMIEN BIODIVERSITEETTI-INDIKAATTOREISTA</w:t>
      </w:r>
      <w:r w:rsidRPr="00B87DD1">
        <w:rPr>
          <w:b/>
          <w:u w:val="double"/>
        </w:rPr>
        <w:t xml:space="preserve"> </w:t>
      </w:r>
    </w:p>
    <w:p w:rsidR="00FF7B51" w:rsidRPr="00B87DD1" w:rsidRDefault="00FF7B51" w:rsidP="00FF7B51">
      <w:pPr>
        <w:widowControl/>
        <w:suppressAutoHyphens/>
        <w:spacing w:before="120" w:after="120"/>
        <w:jc w:val="center"/>
        <w:rPr>
          <w:rFonts w:eastAsia="Calibri"/>
          <w:b/>
          <w:noProof/>
          <w:szCs w:val="22"/>
          <w:lang w:eastAsia="en-US"/>
        </w:rPr>
      </w:pPr>
    </w:p>
    <w:tbl>
      <w:tblPr>
        <w:tblStyle w:val="TableGrid1"/>
        <w:tblW w:w="14567" w:type="dxa"/>
        <w:tblLayout w:type="fixed"/>
        <w:tblLook w:val="04A0" w:firstRow="1" w:lastRow="0" w:firstColumn="1" w:lastColumn="0" w:noHBand="0" w:noVBand="1"/>
      </w:tblPr>
      <w:tblGrid>
        <w:gridCol w:w="2830"/>
        <w:gridCol w:w="11737"/>
      </w:tblGrid>
      <w:tr w:rsidR="00FF7B51" w:rsidRPr="00B87DD1" w:rsidTr="00FF7B51">
        <w:tc>
          <w:tcPr>
            <w:tcW w:w="2830"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jc w:val="center"/>
              <w:rPr>
                <w:rFonts w:ascii="Times New Roman" w:hAnsi="Times New Roman" w:cs="Times New Roman"/>
                <w:b/>
                <w:noProof/>
                <w:szCs w:val="24"/>
              </w:rPr>
            </w:pPr>
            <w:r w:rsidRPr="00B87DD1">
              <w:rPr>
                <w:rFonts w:ascii="Times New Roman" w:hAnsi="Times New Roman" w:cs="Times New Roman"/>
                <w:b/>
              </w:rPr>
              <w:t>Indikaattori</w:t>
            </w:r>
          </w:p>
        </w:tc>
        <w:tc>
          <w:tcPr>
            <w:tcW w:w="11737" w:type="dxa"/>
            <w:tcBorders>
              <w:top w:val="single" w:sz="4" w:space="0" w:color="auto"/>
              <w:left w:val="single" w:sz="4" w:space="0" w:color="auto"/>
              <w:bottom w:val="single" w:sz="4" w:space="0" w:color="auto"/>
              <w:right w:val="single" w:sz="4" w:space="0" w:color="auto"/>
            </w:tcBorders>
            <w:vAlign w:val="center"/>
            <w:hideMark/>
          </w:tcPr>
          <w:p w:rsidR="00FF7B51" w:rsidRPr="00B87DD1" w:rsidRDefault="00FF7B51" w:rsidP="00FF7B51">
            <w:pPr>
              <w:widowControl/>
              <w:spacing w:before="120" w:after="120"/>
              <w:jc w:val="center"/>
              <w:rPr>
                <w:rFonts w:ascii="Times New Roman" w:hAnsi="Times New Roman" w:cs="Times New Roman"/>
                <w:b/>
                <w:noProof/>
                <w:szCs w:val="24"/>
              </w:rPr>
            </w:pPr>
            <w:r w:rsidRPr="00B87DD1">
              <w:rPr>
                <w:rFonts w:ascii="Times New Roman" w:hAnsi="Times New Roman" w:cs="Times New Roman"/>
                <w:b/>
              </w:rPr>
              <w:t>Kuvaus, yksiköt ja menetelmät indikaattorin määrittämiseksi ja seuraamiseksi</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rPr>
              <w:t xml:space="preserve">Pystyyn kuolleet puut </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Kuvaus</w:t>
            </w:r>
            <w:r w:rsidRPr="00B87DD1">
              <w:rPr>
                <w:rFonts w:ascii="Times New Roman" w:hAnsi="Times New Roman" w:cs="Times New Roman"/>
              </w:rPr>
              <w:t>:</w:t>
            </w:r>
            <w:r w:rsidRPr="00B87DD1">
              <w:rPr>
                <w:rFonts w:ascii="Times New Roman" w:hAnsi="Times New Roman" w:cs="Times New Roman"/>
                <w:color w:val="000000"/>
              </w:rPr>
              <w:t xml:space="preserve"> </w:t>
            </w:r>
            <w:r w:rsidRPr="00B87DD1">
              <w:rPr>
                <w:rFonts w:ascii="Times New Roman" w:hAnsi="Times New Roman" w:cs="Times New Roman"/>
              </w:rPr>
              <w:t>Tämä indikaattori osoittaa elottomien pystyssä olevien puiden biomassan määrän metsässä ja muulla puustoisella maalla.</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rPr>
              <w:t>Yksikkö: m</w:t>
            </w:r>
            <w:r w:rsidRPr="00B87DD1">
              <w:rPr>
                <w:rFonts w:ascii="Times New Roman" w:hAnsi="Times New Roman" w:cs="Times New Roman"/>
                <w:vertAlign w:val="superscript"/>
              </w:rPr>
              <w:t>3</w:t>
            </w:r>
            <w:r w:rsidRPr="00B87DD1">
              <w:rPr>
                <w:rFonts w:ascii="Times New Roman" w:hAnsi="Times New Roman" w:cs="Times New Roman"/>
              </w:rPr>
              <w:t xml:space="preserve">/ha. </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Menetelmä: </w:t>
            </w:r>
            <w:r w:rsidRPr="00B87DD1">
              <w:rPr>
                <w:rFonts w:ascii="Times New Roman" w:hAnsi="Times New Roman" w:cs="Times New Roman"/>
              </w:rPr>
              <w:t xml:space="preserve">kuten sen on laatinut ja sitä käyttää FOREST EUROPE, State of Europe’s Forests 2020, FOREST EUROPE 2020, ja kuten esitetään kansallisten metsäinventaarioiden kuvauksessa teoksessa </w:t>
            </w:r>
            <w:r w:rsidRPr="00B87DD1">
              <w:rPr>
                <w:rFonts w:ascii="Times New Roman" w:hAnsi="Times New Roman" w:cs="Times New Roman"/>
                <w:i/>
              </w:rPr>
              <w:t>Tomppo E. et al.</w:t>
            </w:r>
            <w:r w:rsidRPr="00B87DD1">
              <w:rPr>
                <w:rFonts w:ascii="Times New Roman" w:hAnsi="Times New Roman" w:cs="Times New Roman"/>
              </w:rPr>
              <w:t xml:space="preserve">, National Forest Inventories, </w:t>
            </w:r>
            <w:r w:rsidRPr="00B87DD1">
              <w:rPr>
                <w:rFonts w:ascii="Times New Roman" w:hAnsi="Times New Roman" w:cs="Times New Roman"/>
                <w:i/>
              </w:rPr>
              <w:t>Pathways for Common Reporting</w:t>
            </w:r>
            <w:r w:rsidRPr="00B87DD1">
              <w:rPr>
                <w:rFonts w:ascii="Times New Roman" w:hAnsi="Times New Roman" w:cs="Times New Roman"/>
              </w:rPr>
              <w:t>, Springer, 2010; lisäksi otetaan huomioon menetelmät, jotka esitetään asetuksen (EU) 2018/1999 liitteessä V kansallisia kasvihuonekaasuinventaarioita koskevien IPCC:n vuoden 2006 ohjeiden mukaisesti.</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B87DD1">
            <w:pPr>
              <w:widowControl/>
              <w:spacing w:before="120" w:after="120"/>
              <w:rPr>
                <w:rFonts w:ascii="Times New Roman" w:hAnsi="Times New Roman" w:cs="Times New Roman"/>
                <w:szCs w:val="24"/>
              </w:rPr>
            </w:pPr>
            <w:r w:rsidRPr="00B87DD1">
              <w:rPr>
                <w:rFonts w:ascii="Times New Roman" w:hAnsi="Times New Roman" w:cs="Times New Roman"/>
              </w:rPr>
              <w:t>Maahan kaatuneet kuolleet puut</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Kuvaus</w:t>
            </w:r>
            <w:r w:rsidRPr="00B87DD1">
              <w:rPr>
                <w:rFonts w:ascii="Times New Roman" w:hAnsi="Times New Roman" w:cs="Times New Roman"/>
              </w:rPr>
              <w:t>:</w:t>
            </w:r>
            <w:r w:rsidRPr="00B87DD1">
              <w:rPr>
                <w:rFonts w:ascii="Times New Roman" w:hAnsi="Times New Roman" w:cs="Times New Roman"/>
                <w:color w:val="000000"/>
              </w:rPr>
              <w:t xml:space="preserve"> </w:t>
            </w:r>
            <w:r w:rsidRPr="00B87DD1">
              <w:rPr>
                <w:rFonts w:ascii="Times New Roman" w:hAnsi="Times New Roman" w:cs="Times New Roman"/>
              </w:rPr>
              <w:t>Tämä indikaattori osoittaa elottomien maahan kaatuneiden puiden biomassan määrän metsässä ja muulla puustoisella maalla.</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rPr>
              <w:t>Yksikkö: m</w:t>
            </w:r>
            <w:r w:rsidRPr="00B87DD1">
              <w:rPr>
                <w:rFonts w:ascii="Times New Roman" w:hAnsi="Times New Roman" w:cs="Times New Roman"/>
                <w:vertAlign w:val="superscript"/>
              </w:rPr>
              <w:t>3</w:t>
            </w:r>
            <w:r w:rsidRPr="00B87DD1">
              <w:rPr>
                <w:rFonts w:ascii="Times New Roman" w:hAnsi="Times New Roman" w:cs="Times New Roman"/>
              </w:rPr>
              <w:t xml:space="preserve">/ha. </w:t>
            </w:r>
          </w:p>
          <w:p w:rsidR="00FF7B51" w:rsidRPr="00B87DD1" w:rsidRDefault="00FF7B51" w:rsidP="00FF7B51">
            <w:pPr>
              <w:widowControl/>
              <w:spacing w:before="120" w:after="120"/>
              <w:rPr>
                <w:rFonts w:ascii="Times New Roman" w:hAnsi="Times New Roman" w:cs="Times New Roman"/>
                <w:b/>
                <w:noProof/>
                <w:szCs w:val="24"/>
              </w:rPr>
            </w:pPr>
            <w:r w:rsidRPr="00B87DD1">
              <w:rPr>
                <w:rFonts w:ascii="Times New Roman" w:hAnsi="Times New Roman" w:cs="Times New Roman"/>
                <w:b/>
              </w:rPr>
              <w:t xml:space="preserve">Menetelmä: </w:t>
            </w:r>
            <w:r w:rsidRPr="00B87DD1">
              <w:rPr>
                <w:rFonts w:ascii="Times New Roman" w:hAnsi="Times New Roman" w:cs="Times New Roman"/>
              </w:rPr>
              <w:t xml:space="preserve">kuten sen on laatinut ja sitä käyttää FOREST EUROPE, </w:t>
            </w:r>
            <w:r w:rsidRPr="00B87DD1">
              <w:rPr>
                <w:rFonts w:ascii="Times New Roman" w:hAnsi="Times New Roman" w:cs="Times New Roman"/>
                <w:i/>
              </w:rPr>
              <w:t>State of Europe’s Forests 2020</w:t>
            </w:r>
            <w:r w:rsidRPr="00B87DD1">
              <w:rPr>
                <w:rFonts w:ascii="Times New Roman" w:hAnsi="Times New Roman" w:cs="Times New Roman"/>
              </w:rPr>
              <w:t xml:space="preserve">, FOREST EUROPE 2020, ja kuten esitetään kansallisten metsäinventaarioiden kuvauksessa teoksessa Tomppo E. et al., National Forest Inventories, </w:t>
            </w:r>
            <w:r w:rsidRPr="00B87DD1">
              <w:rPr>
                <w:rFonts w:ascii="Times New Roman" w:hAnsi="Times New Roman" w:cs="Times New Roman"/>
                <w:i/>
              </w:rPr>
              <w:t>Pathways for Common Reporting</w:t>
            </w:r>
            <w:r w:rsidRPr="00B87DD1">
              <w:rPr>
                <w:rFonts w:ascii="Times New Roman" w:hAnsi="Times New Roman" w:cs="Times New Roman"/>
              </w:rPr>
              <w:t>, Springer, 2010; lisäksi otetaan huomioon menetelmät, jotka esitetään asetuksen (EU) 2018/1999 liitteessä V kansallisia kasvihuonekaasuinventaarioita koskevien IPCC:n vuoden 2006 ohjeiden mukaisesti.</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pageBreakBefore/>
              <w:widowControl/>
              <w:spacing w:before="120" w:after="120"/>
              <w:rPr>
                <w:rFonts w:ascii="Times New Roman" w:hAnsi="Times New Roman" w:cs="Times New Roman"/>
                <w:b/>
                <w:noProof/>
                <w:szCs w:val="24"/>
              </w:rPr>
            </w:pPr>
            <w:r w:rsidRPr="00B87DD1">
              <w:rPr>
                <w:rFonts w:ascii="Times New Roman" w:hAnsi="Times New Roman" w:cs="Times New Roman"/>
              </w:rPr>
              <w:lastRenderedPageBreak/>
              <w:t>Eri-ikäisrakenteisten metsien osuus</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Kuvaus: </w:t>
            </w:r>
            <w:r w:rsidRPr="00B87DD1">
              <w:rPr>
                <w:rFonts w:ascii="Times New Roman" w:hAnsi="Times New Roman" w:cs="Times New Roman"/>
              </w:rPr>
              <w:t xml:space="preserve">Tämä indikaattori osoittaa niiden metsien osuuden puun hankintaan käytettävissä olevista metsistä, joiden ikärakenne on vaihteleva verrattuna metsien tasaiseen ikärakenteeseen. </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Yksikkö: </w:t>
            </w:r>
            <w:r w:rsidRPr="00B87DD1">
              <w:rPr>
                <w:rFonts w:ascii="Times New Roman" w:hAnsi="Times New Roman" w:cs="Times New Roman"/>
              </w:rPr>
              <w:t>Niiden puun hankintaan käytettävissä olevien metsien prosenttiosuus, joissa on eri-ikäistä puustoa.</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Menetelmä: </w:t>
            </w:r>
            <w:r w:rsidRPr="00B87DD1">
              <w:rPr>
                <w:rFonts w:ascii="Times New Roman" w:hAnsi="Times New Roman" w:cs="Times New Roman"/>
              </w:rPr>
              <w:t xml:space="preserve">kuten sen on laatinut ja sitä käyttää FOREST EUROPE, </w:t>
            </w:r>
            <w:r w:rsidRPr="00B87DD1">
              <w:rPr>
                <w:rFonts w:ascii="Times New Roman" w:hAnsi="Times New Roman" w:cs="Times New Roman"/>
                <w:i/>
              </w:rPr>
              <w:t>State of Europe’s Forests 2020</w:t>
            </w:r>
            <w:r w:rsidRPr="00B87DD1">
              <w:rPr>
                <w:rFonts w:ascii="Times New Roman" w:hAnsi="Times New Roman" w:cs="Times New Roman"/>
              </w:rPr>
              <w:t xml:space="preserve">, FOREST EUROPE 2020, ja kuten esitetään kansallisten metsäinventaarioiden kuvauksessa teoksessa </w:t>
            </w:r>
            <w:r w:rsidRPr="00B87DD1">
              <w:rPr>
                <w:rFonts w:ascii="Times New Roman" w:hAnsi="Times New Roman" w:cs="Times New Roman"/>
                <w:i/>
              </w:rPr>
              <w:t>Tomppo E. et al.</w:t>
            </w:r>
            <w:r w:rsidRPr="00B87DD1">
              <w:rPr>
                <w:rFonts w:ascii="Times New Roman" w:hAnsi="Times New Roman" w:cs="Times New Roman"/>
              </w:rPr>
              <w:t xml:space="preserve">, National Forest Inventories, </w:t>
            </w:r>
            <w:r w:rsidRPr="00B87DD1">
              <w:rPr>
                <w:rFonts w:ascii="Times New Roman" w:hAnsi="Times New Roman" w:cs="Times New Roman"/>
                <w:i/>
              </w:rPr>
              <w:t>Pathways for Common Reporting</w:t>
            </w:r>
            <w:r w:rsidRPr="00B87DD1">
              <w:rPr>
                <w:rFonts w:ascii="Times New Roman" w:hAnsi="Times New Roman" w:cs="Times New Roman"/>
              </w:rPr>
              <w:t>, Springer, 2010.</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rPr>
              <w:t xml:space="preserve">Metsien </w:t>
            </w:r>
            <w:r w:rsidRPr="00B87DD1">
              <w:rPr>
                <w:rFonts w:ascii="Times New Roman" w:hAnsi="Times New Roman" w:cs="Times New Roman"/>
                <w:b/>
                <w:bCs/>
                <w:i/>
                <w:iCs/>
              </w:rPr>
              <w:t>kytkeytyneisyys</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Kuvaus:</w:t>
            </w:r>
            <w:r w:rsidRPr="00B87DD1">
              <w:rPr>
                <w:rFonts w:ascii="Times New Roman" w:hAnsi="Times New Roman" w:cs="Times New Roman"/>
              </w:rPr>
              <w:t xml:space="preserve"> Metsien kytkeytyneisyydellä tarkoitetaan metsän peittämien alueiden tiiviyttä. Se määritetään välillä 0–100.</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Yksikkö: </w:t>
            </w:r>
            <w:r w:rsidRPr="00B87DD1">
              <w:rPr>
                <w:rFonts w:ascii="Times New Roman" w:hAnsi="Times New Roman" w:cs="Times New Roman"/>
              </w:rPr>
              <w:t xml:space="preserve">Indeksi </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Menetelmä:</w:t>
            </w:r>
            <w:r w:rsidRPr="00B87DD1">
              <w:rPr>
                <w:rFonts w:ascii="Times New Roman" w:hAnsi="Times New Roman" w:cs="Times New Roman"/>
              </w:rPr>
              <w:t xml:space="preserve"> kuten sen on laatinut FAO, Vogt P., et al., FAO – </w:t>
            </w:r>
            <w:r w:rsidRPr="00B87DD1">
              <w:rPr>
                <w:rFonts w:ascii="Times New Roman" w:hAnsi="Times New Roman" w:cs="Times New Roman"/>
                <w:i/>
              </w:rPr>
              <w:t>State of the World’s Forests: Forest Fragmentation</w:t>
            </w:r>
            <w:r w:rsidRPr="00B87DD1">
              <w:rPr>
                <w:rFonts w:ascii="Times New Roman" w:hAnsi="Times New Roman" w:cs="Times New Roman"/>
              </w:rPr>
              <w:t>, JRC Technical Report, Euroopan unionin julkaisutoimisto, Luxemburg, 2019.</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rPr>
              <w:t xml:space="preserve">Yleisten metsälintujen indeksi </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Kuvaus: </w:t>
            </w:r>
            <w:r w:rsidRPr="00B87DD1">
              <w:rPr>
                <w:rFonts w:ascii="Times New Roman" w:hAnsi="Times New Roman" w:cs="Times New Roman"/>
              </w:rPr>
              <w:t>Metsälintuindikaattori kuvaa yleisten metsälintujen runsauden kehitystä eri puolilla Eurooppaa ajan mittaan. Kyseessä on yhdistetty indeksi, joka on luotu Euroopan metsäluontotyypeille ominaisten lintulajien havainnointitietojen perusteella. Indeksi perustuu kunkin jäsenvaltion lajiluetteloon.</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 xml:space="preserve">Yksikkö: </w:t>
            </w:r>
            <w:r w:rsidRPr="00B87DD1">
              <w:rPr>
                <w:rFonts w:ascii="Times New Roman" w:hAnsi="Times New Roman" w:cs="Times New Roman"/>
              </w:rPr>
              <w:t>Indeksi</w:t>
            </w:r>
          </w:p>
          <w:p w:rsidR="00FF7B51" w:rsidRPr="00B87DD1" w:rsidRDefault="00FF7B51" w:rsidP="00FF7B51">
            <w:pPr>
              <w:widowControl/>
              <w:spacing w:before="120" w:after="120"/>
              <w:rPr>
                <w:rFonts w:ascii="Times New Roman" w:hAnsi="Times New Roman" w:cs="Times New Roman"/>
                <w:b/>
                <w:noProof/>
                <w:szCs w:val="24"/>
              </w:rPr>
            </w:pPr>
            <w:r w:rsidRPr="00B87DD1">
              <w:rPr>
                <w:rFonts w:ascii="Times New Roman" w:hAnsi="Times New Roman" w:cs="Times New Roman"/>
                <w:b/>
              </w:rPr>
              <w:t xml:space="preserve">Menetelmä: </w:t>
            </w:r>
            <w:r w:rsidRPr="00B87DD1">
              <w:rPr>
                <w:rFonts w:ascii="Times New Roman" w:hAnsi="Times New Roman" w:cs="Times New Roman"/>
              </w:rPr>
              <w:t xml:space="preserve">Brlík et al. </w:t>
            </w:r>
            <w:r w:rsidRPr="00B87DD1">
              <w:rPr>
                <w:rFonts w:ascii="Times New Roman" w:hAnsi="Times New Roman" w:cs="Times New Roman"/>
                <w:i/>
                <w:lang w:val="en-GB"/>
              </w:rPr>
              <w:t>Long-term and large-scale multispecies dataset tracking population changes of common European breeding birds</w:t>
            </w:r>
            <w:r w:rsidRPr="00B87DD1">
              <w:rPr>
                <w:rFonts w:ascii="Times New Roman" w:hAnsi="Times New Roman" w:cs="Times New Roman"/>
                <w:lang w:val="en-GB"/>
              </w:rPr>
              <w:t xml:space="preserve">, Sci Data 8, 21. </w:t>
            </w:r>
            <w:r w:rsidRPr="00B87DD1">
              <w:rPr>
                <w:rFonts w:ascii="Times New Roman" w:hAnsi="Times New Roman" w:cs="Times New Roman"/>
              </w:rPr>
              <w:t>2021.</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B87DD1">
            <w:pPr>
              <w:pageBreakBefore/>
              <w:widowControl/>
              <w:spacing w:before="120" w:after="120"/>
              <w:rPr>
                <w:rFonts w:ascii="Times New Roman" w:hAnsi="Times New Roman" w:cs="Times New Roman"/>
                <w:noProof/>
                <w:szCs w:val="24"/>
              </w:rPr>
            </w:pPr>
            <w:r w:rsidRPr="00B87DD1">
              <w:rPr>
                <w:rFonts w:ascii="Times New Roman" w:hAnsi="Times New Roman" w:cs="Times New Roman"/>
              </w:rPr>
              <w:lastRenderedPageBreak/>
              <w:t>Orgaanisen hiilen määrä</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b/>
              </w:rPr>
              <w:t>Kuvaus</w:t>
            </w:r>
            <w:r w:rsidRPr="00B87DD1">
              <w:rPr>
                <w:rFonts w:ascii="Times New Roman" w:hAnsi="Times New Roman" w:cs="Times New Roman"/>
              </w:rPr>
              <w:t>: Indikaattori kuvaa orgaanisen hiilen määrää karikkeessa ja kivennäismaaperässä 0–30 cm:n syvyydessä metsien ekosysteemeissä.</w:t>
            </w:r>
          </w:p>
          <w:p w:rsidR="00FF7B51" w:rsidRPr="00B87DD1" w:rsidRDefault="00FF7B51" w:rsidP="00FF7B51">
            <w:pPr>
              <w:widowControl/>
              <w:spacing w:before="120" w:after="120"/>
              <w:rPr>
                <w:rFonts w:ascii="Times New Roman" w:hAnsi="Times New Roman" w:cs="Times New Roman"/>
                <w:noProof/>
                <w:szCs w:val="24"/>
              </w:rPr>
            </w:pPr>
            <w:r w:rsidRPr="00B87DD1">
              <w:rPr>
                <w:rFonts w:ascii="Times New Roman" w:hAnsi="Times New Roman" w:cs="Times New Roman"/>
              </w:rPr>
              <w:t>Yksikkö: tonnia orgaanista hiiltä/ha.</w:t>
            </w:r>
          </w:p>
          <w:p w:rsidR="00FF7B51" w:rsidRPr="00B87DD1" w:rsidRDefault="00FF7B51" w:rsidP="00FF7B51">
            <w:pPr>
              <w:widowControl/>
              <w:spacing w:before="120" w:after="120"/>
              <w:rPr>
                <w:rFonts w:ascii="Times New Roman" w:hAnsi="Times New Roman" w:cs="Times New Roman"/>
                <w:b/>
                <w:bCs/>
                <w:noProof/>
                <w:szCs w:val="24"/>
              </w:rPr>
            </w:pPr>
            <w:r w:rsidRPr="00B87DD1">
              <w:rPr>
                <w:rFonts w:ascii="Times New Roman" w:hAnsi="Times New Roman" w:cs="Times New Roman"/>
                <w:b/>
              </w:rPr>
              <w:t>Menetelmä:</w:t>
            </w:r>
            <w:r w:rsidRPr="00B87DD1">
              <w:rPr>
                <w:rFonts w:ascii="Times New Roman" w:hAnsi="Times New Roman" w:cs="Times New Roman"/>
              </w:rPr>
              <w:t xml:space="preserve"> kuten esitetään asetuksen (EU) 2018/1999 liitteessä V IPCC:n kansallisia kasvihuonekaasuinventaarioita koskevien vuoden 2006 ohjeiden mukaisesti ja tuettuna maankäytön ja maapeitteen tilastollisella pinta-alatutkimuksella Land Use and Coverage Area frame Survey (LUCAS) Soil, Jones A. et al., </w:t>
            </w:r>
            <w:r w:rsidRPr="00B87DD1">
              <w:rPr>
                <w:rFonts w:ascii="Times New Roman" w:hAnsi="Times New Roman" w:cs="Times New Roman"/>
                <w:i/>
              </w:rPr>
              <w:t>LUCAS Soil 2022</w:t>
            </w:r>
            <w:r w:rsidRPr="00B87DD1">
              <w:rPr>
                <w:rFonts w:ascii="Times New Roman" w:hAnsi="Times New Roman" w:cs="Times New Roman"/>
              </w:rPr>
              <w:t>, JRC technical report, Euroopan unionin julkaisutoimisto, 2021.</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Sellaisen metsän osuus, jossa valtalajina ovat kotoperäiset puulajit</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 xml:space="preserve">Kuvaus: Metsän ja muun puustoisen maan osuus, jossa valtalajina (peitteisyys &gt; 50 %) ovat kotoperäiset puulajit </w:t>
            </w:r>
          </w:p>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Yksikkö: %</w:t>
            </w:r>
          </w:p>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Menetelmä: kuten sen on laatinut ja sitä käyttää FOREST EUROPE, State of Europe’s Forests 2020, FOREST EUROPE 2020, ja kuten esitetään kansallisten metsäinventaarioiden kuvauksessa teoksessa Tomppo E. et al., National Forest Inventories, Pathways for Common Reporting, Springer, 2010.</w:t>
            </w:r>
          </w:p>
        </w:tc>
      </w:tr>
      <w:tr w:rsidR="00FF7B51" w:rsidRPr="00B87DD1" w:rsidTr="00FF7B51">
        <w:tc>
          <w:tcPr>
            <w:tcW w:w="2830"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Puulajien monimuotoisuus</w:t>
            </w:r>
          </w:p>
        </w:tc>
        <w:tc>
          <w:tcPr>
            <w:tcW w:w="11737" w:type="dxa"/>
            <w:tcBorders>
              <w:top w:val="single" w:sz="4" w:space="0" w:color="auto"/>
              <w:left w:val="single" w:sz="4" w:space="0" w:color="auto"/>
              <w:bottom w:val="single" w:sz="4" w:space="0" w:color="auto"/>
              <w:right w:val="single" w:sz="4" w:space="0" w:color="auto"/>
            </w:tcBorders>
          </w:tcPr>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Kuvaus: Tämä indikaattori kuvaa metsäalueilla esiintyvien puulajien keskimääräistä lukumäärää.</w:t>
            </w:r>
          </w:p>
          <w:p w:rsidR="00FF7B51" w:rsidRPr="00B87DD1" w:rsidRDefault="00FF7B51" w:rsidP="00FF7B51">
            <w:pPr>
              <w:widowControl/>
              <w:spacing w:before="120" w:after="120"/>
              <w:rPr>
                <w:rFonts w:ascii="Times New Roman" w:hAnsi="Times New Roman" w:cs="Times New Roman"/>
                <w:b/>
                <w:i/>
                <w:szCs w:val="24"/>
              </w:rPr>
            </w:pPr>
            <w:r w:rsidRPr="00B87DD1">
              <w:rPr>
                <w:rFonts w:ascii="Times New Roman" w:hAnsi="Times New Roman" w:cs="Times New Roman"/>
                <w:b/>
                <w:i/>
              </w:rPr>
              <w:t xml:space="preserve">Yksikkö: Indeksi </w:t>
            </w:r>
          </w:p>
          <w:p w:rsidR="00FF7B51" w:rsidRPr="00B87DD1" w:rsidRDefault="00FF7B51" w:rsidP="00FF7B51">
            <w:pPr>
              <w:widowControl/>
              <w:spacing w:before="120" w:after="120"/>
              <w:jc w:val="both"/>
              <w:rPr>
                <w:rFonts w:ascii="Times New Roman" w:hAnsi="Times New Roman" w:cs="Times New Roman"/>
                <w:b/>
                <w:i/>
                <w:szCs w:val="24"/>
              </w:rPr>
            </w:pPr>
            <w:r w:rsidRPr="00B87DD1">
              <w:rPr>
                <w:rFonts w:ascii="Times New Roman" w:hAnsi="Times New Roman" w:cs="Times New Roman"/>
                <w:b/>
                <w:i/>
              </w:rPr>
              <w:t>Menetelmä: perustuu seuraaviin: FOREST EUROPE, State of Europe’s Forests 2020, FOREST EUROPE 2020, ja kansallisten metsäinventaarioiden kuvaus teoksessa Tomppo E. et al., National Forest Inventories, Pathways for Common Reporting, Springer, 2010.</w:t>
            </w:r>
          </w:p>
        </w:tc>
      </w:tr>
    </w:tbl>
    <w:p w:rsidR="00FF7B51" w:rsidRPr="00B87DD1" w:rsidRDefault="00FF7B51" w:rsidP="00FF7B51">
      <w:pPr>
        <w:widowControl/>
        <w:suppressAutoHyphens/>
        <w:spacing w:before="120" w:after="120"/>
        <w:rPr>
          <w:rFonts w:eastAsia="Calibri"/>
          <w:noProof/>
          <w:szCs w:val="22"/>
          <w:lang w:eastAsia="en-US"/>
        </w:rPr>
      </w:pPr>
    </w:p>
    <w:p w:rsidR="00FF7B51" w:rsidRPr="00B87DD1" w:rsidRDefault="00FF7B51" w:rsidP="00FF7B51">
      <w:pPr>
        <w:widowControl/>
        <w:spacing w:before="120" w:after="120" w:line="360" w:lineRule="auto"/>
        <w:rPr>
          <w:rFonts w:eastAsia="Calibri"/>
          <w:szCs w:val="22"/>
          <w:lang w:eastAsia="en-US"/>
        </w:rPr>
        <w:sectPr w:rsidR="00FF7B51" w:rsidRPr="00B87DD1" w:rsidSect="00FF7B51">
          <w:headerReference w:type="default" r:id="rId19"/>
          <w:footerReference w:type="default" r:id="rId20"/>
          <w:footnotePr>
            <w:numRestart w:val="eachSect"/>
          </w:footnotePr>
          <w:pgSz w:w="16839" w:h="11907" w:orient="landscape"/>
          <w:pgMar w:top="1134" w:right="1134" w:bottom="1134" w:left="1134" w:header="567" w:footer="567" w:gutter="0"/>
          <w:cols w:space="720"/>
          <w:docGrid w:linePitch="360"/>
        </w:sectPr>
      </w:pPr>
    </w:p>
    <w:p w:rsidR="00FF7B51" w:rsidRPr="00B87DD1" w:rsidRDefault="00FF7B51" w:rsidP="00FF7B51">
      <w:pPr>
        <w:widowControl/>
        <w:suppressAutoHyphens/>
        <w:spacing w:before="120" w:after="120" w:line="360" w:lineRule="auto"/>
        <w:ind w:left="851" w:hanging="851"/>
        <w:jc w:val="center"/>
        <w:rPr>
          <w:rFonts w:eastAsia="Calibri"/>
          <w:b/>
          <w:noProof/>
          <w:szCs w:val="22"/>
          <w:u w:val="single"/>
        </w:rPr>
      </w:pPr>
      <w:r w:rsidRPr="00B87DD1">
        <w:rPr>
          <w:b/>
          <w:u w:val="single"/>
        </w:rPr>
        <w:lastRenderedPageBreak/>
        <w:t>LIITE VII</w:t>
      </w:r>
    </w:p>
    <w:p w:rsidR="00FF7B51" w:rsidRPr="00B87DD1" w:rsidRDefault="00FF7B51" w:rsidP="00FF7B51">
      <w:pPr>
        <w:widowControl/>
        <w:suppressAutoHyphens/>
        <w:spacing w:before="120" w:after="120"/>
        <w:jc w:val="center"/>
        <w:rPr>
          <w:rFonts w:eastAsia="Calibri"/>
          <w:b/>
          <w:noProof/>
          <w:szCs w:val="22"/>
          <w:u w:val="single"/>
          <w:shd w:val="clear" w:color="auto" w:fill="FFFFFF"/>
        </w:rPr>
      </w:pPr>
      <w:r w:rsidRPr="00B87DD1">
        <w:rPr>
          <w:b/>
          <w:u w:val="single"/>
          <w:shd w:val="clear" w:color="auto" w:fill="FFFFFF"/>
        </w:rPr>
        <w:t xml:space="preserve">LUETTELO 11 ARTIKLAN 8 KOHDASSA TARKOITETUISTA ENNALLISTAMISTOIMENPITEIDEN </w:t>
      </w:r>
    </w:p>
    <w:p w:rsidR="00FF7B51" w:rsidRPr="00B87DD1" w:rsidRDefault="00FF7B51" w:rsidP="00FF7B51">
      <w:pPr>
        <w:widowControl/>
        <w:suppressAutoHyphens/>
        <w:spacing w:before="120" w:after="120"/>
        <w:jc w:val="center"/>
        <w:rPr>
          <w:rFonts w:eastAsia="Calibri"/>
          <w:b/>
          <w:noProof/>
          <w:szCs w:val="22"/>
          <w:u w:val="single"/>
        </w:rPr>
      </w:pPr>
      <w:r w:rsidRPr="00B87DD1">
        <w:rPr>
          <w:b/>
          <w:u w:val="single"/>
          <w:shd w:val="clear" w:color="auto" w:fill="FFFFFF"/>
        </w:rPr>
        <w:t>ESIMERKEISTÄ</w:t>
      </w:r>
    </w:p>
    <w:p w:rsidR="00FF7B51" w:rsidRPr="00B87DD1" w:rsidRDefault="00FF7B51" w:rsidP="00FF7B51">
      <w:pPr>
        <w:widowControl/>
        <w:spacing w:before="120" w:after="120" w:line="360" w:lineRule="auto"/>
        <w:ind w:left="851" w:hanging="851"/>
        <w:rPr>
          <w:rFonts w:eastAsia="Calibri"/>
          <w:noProof/>
          <w:szCs w:val="22"/>
        </w:rPr>
      </w:pPr>
      <w:r w:rsidRPr="00B87DD1">
        <w:t>(1)</w:t>
      </w:r>
      <w:r w:rsidRPr="00B87DD1">
        <w:tab/>
        <w:t>Ennallistetaan kosteikkoja vesittämällä kuivatut turvemaat uudelleen, poistamalla turvesoiden kuivatusrakenteet, purkamalla poldereita tai lopettamalla turpeennosto.</w:t>
      </w:r>
    </w:p>
    <w:p w:rsidR="00FF7B51" w:rsidRPr="00B87DD1" w:rsidRDefault="00FF7B51" w:rsidP="00FF7B51">
      <w:pPr>
        <w:widowControl/>
        <w:spacing w:before="120" w:after="120" w:line="360" w:lineRule="auto"/>
        <w:ind w:left="851" w:hanging="851"/>
        <w:rPr>
          <w:rFonts w:eastAsia="Calibri"/>
          <w:noProof/>
          <w:szCs w:val="22"/>
        </w:rPr>
      </w:pPr>
      <w:r w:rsidRPr="00B87DD1">
        <w:t>(2)</w:t>
      </w:r>
      <w:r w:rsidRPr="00B87DD1">
        <w:tab/>
        <w:t xml:space="preserve">Parannetaan hydrologisia olosuhteita parantamalla pintavesien määrää, laatua ja dynamiikkaa sekä luonnontilaisten ja osittain luonnontilaisten ekosysteemien pohjavesitasoja. </w:t>
      </w:r>
    </w:p>
    <w:p w:rsidR="00FF7B51" w:rsidRPr="00B87DD1" w:rsidRDefault="00FF7B51" w:rsidP="00FF7B51">
      <w:pPr>
        <w:widowControl/>
        <w:spacing w:before="120" w:after="120" w:line="360" w:lineRule="auto"/>
        <w:ind w:left="851" w:hanging="851"/>
        <w:rPr>
          <w:noProof/>
          <w:szCs w:val="22"/>
        </w:rPr>
      </w:pPr>
      <w:r w:rsidRPr="00B87DD1">
        <w:t>(3)</w:t>
      </w:r>
      <w:r w:rsidRPr="00B87DD1">
        <w:tab/>
        <w:t>Poistetaan ei-toivotut pensaikot tai alkuperäiseen lajistoon kuulumattomat viljelmät niityillä, kosteikoilla, metsissä ja harvan kasvipeitteen alueella.</w:t>
      </w:r>
    </w:p>
    <w:p w:rsidR="00FF7B51" w:rsidRPr="00B87DD1" w:rsidRDefault="00FF7B51" w:rsidP="00FF7B51">
      <w:pPr>
        <w:widowControl/>
        <w:spacing w:before="120" w:after="120" w:line="360" w:lineRule="auto"/>
        <w:ind w:left="851" w:hanging="851"/>
        <w:rPr>
          <w:rFonts w:eastAsia="Calibri"/>
          <w:noProof/>
          <w:szCs w:val="22"/>
        </w:rPr>
      </w:pPr>
      <w:r w:rsidRPr="00B87DD1">
        <w:t>(4)</w:t>
      </w:r>
      <w:r w:rsidRPr="00B87DD1">
        <w:tab/>
        <w:t xml:space="preserve">Sovelletaan kosteikkoviljelyä. </w:t>
      </w:r>
    </w:p>
    <w:p w:rsidR="00FF7B51" w:rsidRPr="00B87DD1" w:rsidRDefault="00FF7B51" w:rsidP="00FF7B51">
      <w:pPr>
        <w:widowControl/>
        <w:spacing w:before="120" w:after="120" w:line="360" w:lineRule="auto"/>
        <w:ind w:left="851" w:hanging="851"/>
        <w:rPr>
          <w:noProof/>
          <w:szCs w:val="24"/>
        </w:rPr>
      </w:pPr>
      <w:r w:rsidRPr="00B87DD1">
        <w:t>(5)</w:t>
      </w:r>
      <w:r w:rsidRPr="00B87DD1">
        <w:tab/>
        <w:t xml:space="preserve">Palautetaan jokien meanderointi ja yhdistetään uudelleen keinotekoisesti leikatut meanderit tai juoluat. </w:t>
      </w:r>
    </w:p>
    <w:p w:rsidR="00FF7B51" w:rsidRPr="00B87DD1" w:rsidRDefault="00FF7B51" w:rsidP="00FF7B51">
      <w:pPr>
        <w:widowControl/>
        <w:spacing w:before="120" w:after="120" w:line="360" w:lineRule="auto"/>
        <w:ind w:left="851" w:hanging="851"/>
        <w:rPr>
          <w:rFonts w:eastAsia="Calibri"/>
          <w:noProof/>
          <w:szCs w:val="22"/>
        </w:rPr>
      </w:pPr>
      <w:r w:rsidRPr="00B87DD1">
        <w:t>(6)</w:t>
      </w:r>
      <w:r w:rsidRPr="00B87DD1">
        <w:tab/>
        <w:t>Poistetaan pitkittäis- ja sivusuuntaiset esteet (kuten padot), annetaan enemmän tilaa jokien dynamiikalle ja ennallistetaan vapaasti virtaavia jokiosuuksia.</w:t>
      </w:r>
    </w:p>
    <w:p w:rsidR="00FF7B51" w:rsidRPr="00B87DD1" w:rsidRDefault="00FF7B51" w:rsidP="00FF7B51">
      <w:pPr>
        <w:widowControl/>
        <w:spacing w:before="120" w:after="120" w:line="360" w:lineRule="auto"/>
        <w:ind w:left="851" w:hanging="851"/>
        <w:rPr>
          <w:rFonts w:eastAsia="Calibri"/>
          <w:noProof/>
          <w:szCs w:val="22"/>
        </w:rPr>
      </w:pPr>
      <w:r w:rsidRPr="00B87DD1">
        <w:t>(7)</w:t>
      </w:r>
      <w:r w:rsidRPr="00B87DD1">
        <w:tab/>
        <w:t xml:space="preserve">Luonnonmukaistetaan jokialustat, järvet ja alankojen vesiväylät esimerkiksi poistamalla pohjan keinotekoinen alusta, optimoimalla alustan koostumus sekä parantamalla tai kehittämällä keskeistä luontotyyppipeitettä. </w:t>
      </w:r>
    </w:p>
    <w:p w:rsidR="00FF7B51" w:rsidRPr="00B87DD1" w:rsidRDefault="00FF7B51" w:rsidP="00FF7B51">
      <w:pPr>
        <w:widowControl/>
        <w:spacing w:before="120" w:after="120" w:line="360" w:lineRule="auto"/>
        <w:ind w:left="851" w:hanging="851"/>
        <w:rPr>
          <w:rFonts w:eastAsia="Calibri"/>
          <w:noProof/>
          <w:szCs w:val="22"/>
        </w:rPr>
      </w:pPr>
      <w:r w:rsidRPr="00B87DD1">
        <w:t>(8)</w:t>
      </w:r>
      <w:r w:rsidRPr="00B87DD1">
        <w:tab/>
        <w:t>Palautetaan luonnolliset sedimentaatioprosessit.</w:t>
      </w:r>
    </w:p>
    <w:p w:rsidR="00FF7B51" w:rsidRPr="00B87DD1" w:rsidRDefault="00FF7B51" w:rsidP="00FF7B51">
      <w:pPr>
        <w:widowControl/>
        <w:spacing w:before="120" w:after="120" w:line="360" w:lineRule="auto"/>
        <w:ind w:left="851" w:hanging="851"/>
        <w:rPr>
          <w:rFonts w:eastAsia="Calibri"/>
          <w:noProof/>
          <w:szCs w:val="22"/>
        </w:rPr>
      </w:pPr>
      <w:r w:rsidRPr="00B87DD1">
        <w:t>(9)</w:t>
      </w:r>
      <w:r w:rsidRPr="00B87DD1">
        <w:tab/>
        <w:t xml:space="preserve">Luodaan rantojen puskurivyöhykkeitä, kuten rantametsiä, suojakaistoja, niittyjä tai laitumia. </w:t>
      </w:r>
    </w:p>
    <w:p w:rsidR="00FF7B51" w:rsidRPr="00B87DD1" w:rsidRDefault="00FF7B51" w:rsidP="00FF7B51">
      <w:pPr>
        <w:widowControl/>
        <w:spacing w:before="120" w:after="120" w:line="360" w:lineRule="auto"/>
        <w:ind w:left="851" w:hanging="851"/>
        <w:rPr>
          <w:rFonts w:eastAsia="Calibri"/>
          <w:noProof/>
          <w:szCs w:val="22"/>
        </w:rPr>
      </w:pPr>
      <w:r w:rsidRPr="00B87DD1">
        <w:t>(10)</w:t>
      </w:r>
      <w:r w:rsidRPr="00B87DD1">
        <w:tab/>
        <w:t>Lisätään metsien ekologisia ominaisuuksia, kuten isoja, vanhoja ja kuolevia puita (lahopuut) sekä maahan kaatuneiden ja pystyyn kuolleiden puiden määrät.</w:t>
      </w:r>
    </w:p>
    <w:p w:rsidR="00FF7B51" w:rsidRPr="00B87DD1" w:rsidRDefault="00FF7B51" w:rsidP="00FF7B51">
      <w:pPr>
        <w:widowControl/>
        <w:spacing w:before="120" w:after="120" w:line="360" w:lineRule="auto"/>
        <w:ind w:left="851" w:hanging="851"/>
        <w:rPr>
          <w:rFonts w:eastAsia="Calibri"/>
          <w:b/>
          <w:noProof/>
          <w:szCs w:val="22"/>
          <w:u w:val="single"/>
        </w:rPr>
      </w:pPr>
      <w:r w:rsidRPr="00B87DD1">
        <w:t>(11)</w:t>
      </w:r>
      <w:r w:rsidRPr="00B87DD1">
        <w:tab/>
        <w:t xml:space="preserve">Pyritään monipuoliseen metsärakenteeseen </w:t>
      </w:r>
      <w:r w:rsidRPr="00B87DD1">
        <w:rPr>
          <w:b/>
          <w:i/>
        </w:rPr>
        <w:t>esim. lajikoostumuksen</w:t>
      </w:r>
      <w:r w:rsidRPr="00B87DD1">
        <w:t xml:space="preserve"> ja iän osalta, mahdollistetaan puulajien luontainen uudistuminen ja seuraanto.</w:t>
      </w:r>
    </w:p>
    <w:p w:rsidR="00FF7B51" w:rsidRPr="00B87DD1" w:rsidRDefault="00FF7B51" w:rsidP="00FF7B51">
      <w:pPr>
        <w:widowControl/>
        <w:suppressAutoHyphens/>
        <w:spacing w:before="120" w:after="120" w:line="360" w:lineRule="auto"/>
        <w:ind w:left="851" w:hanging="851"/>
        <w:rPr>
          <w:rFonts w:eastAsia="Calibri"/>
          <w:b/>
          <w:i/>
          <w:szCs w:val="22"/>
        </w:rPr>
      </w:pPr>
      <w:r w:rsidRPr="00B87DD1">
        <w:rPr>
          <w:b/>
          <w:i/>
        </w:rPr>
        <w:t>(11 a)</w:t>
      </w:r>
      <w:r w:rsidRPr="00B87DD1">
        <w:rPr>
          <w:b/>
          <w:i/>
        </w:rPr>
        <w:tab/>
        <w:t>Avustetaan alkuperäisten esiintymisalueiden ja lajien migraatiota siellä, missä se saattaa olla tarpeen ilmastonmuutossyistä.</w:t>
      </w:r>
    </w:p>
    <w:p w:rsidR="00FF7B51" w:rsidRPr="00B87DD1" w:rsidRDefault="00FF7B51" w:rsidP="00FF7B51">
      <w:pPr>
        <w:widowControl/>
        <w:spacing w:before="120" w:after="120" w:line="360" w:lineRule="auto"/>
        <w:ind w:left="851" w:hanging="851"/>
        <w:rPr>
          <w:rFonts w:eastAsia="Calibri"/>
          <w:noProof/>
          <w:szCs w:val="22"/>
        </w:rPr>
      </w:pPr>
      <w:r w:rsidRPr="00B87DD1">
        <w:lastRenderedPageBreak/>
        <w:t>(12)</w:t>
      </w:r>
      <w:r w:rsidRPr="00B87DD1">
        <w:tab/>
        <w:t xml:space="preserve">Lisätään metsien moninaisuutta </w:t>
      </w:r>
      <w:r w:rsidRPr="00B87DD1">
        <w:rPr>
          <w:b/>
          <w:i/>
        </w:rPr>
        <w:t>ennallistamalla muiden kuin metsien luontotyyppien, kuten avointen laidun- tai nummialueiden, lammikoiden tai kallioalueiden muodostamaa</w:t>
      </w:r>
      <w:r w:rsidRPr="00B87DD1">
        <w:t xml:space="preserve"> mosaiikkia. </w:t>
      </w:r>
    </w:p>
    <w:p w:rsidR="00FF7B51" w:rsidRPr="00B87DD1" w:rsidRDefault="00FF7B51" w:rsidP="00FF7B51">
      <w:pPr>
        <w:widowControl/>
        <w:spacing w:before="120" w:after="120" w:line="360" w:lineRule="auto"/>
        <w:ind w:left="851" w:hanging="851"/>
        <w:rPr>
          <w:rFonts w:eastAsia="Calibri"/>
          <w:noProof/>
          <w:szCs w:val="22"/>
        </w:rPr>
      </w:pPr>
      <w:r w:rsidRPr="00B87DD1">
        <w:t>(13)</w:t>
      </w:r>
      <w:r w:rsidRPr="00B87DD1">
        <w:tab/>
        <w:t>Hyödynnetään ”luonnonläheistä metsätaloutta” tai ”jatkuvapeitteistä metsänkasvatusta”, istutetaan kotoperäisiä puulajeja.</w:t>
      </w:r>
    </w:p>
    <w:p w:rsidR="00FF7B51" w:rsidRPr="00B87DD1" w:rsidRDefault="00FF7B51" w:rsidP="00FF7B51">
      <w:pPr>
        <w:widowControl/>
        <w:spacing w:before="120" w:after="120" w:line="360" w:lineRule="auto"/>
        <w:ind w:left="851" w:hanging="851"/>
        <w:rPr>
          <w:rFonts w:eastAsia="Calibri"/>
          <w:noProof/>
          <w:szCs w:val="22"/>
        </w:rPr>
      </w:pPr>
      <w:r w:rsidRPr="00B87DD1">
        <w:t>(14)</w:t>
      </w:r>
      <w:r w:rsidRPr="00B87DD1">
        <w:tab/>
        <w:t xml:space="preserve">Edistetään vanhojen kotoperäisten metsien ja kypsien metsikköjen kehittymistä </w:t>
      </w:r>
      <w:r w:rsidRPr="00B87DD1">
        <w:rPr>
          <w:b/>
          <w:i/>
        </w:rPr>
        <w:t>(esim. luopumalla korjuusta tai aktiivisella hoidolla, joka edistää itsesääntelyn ja asianmukaisen häiriönsietokyvyn kehittymistä)</w:t>
      </w:r>
      <w:r w:rsidRPr="00B87DD1">
        <w:t>.</w:t>
      </w:r>
    </w:p>
    <w:p w:rsidR="00FF7B51" w:rsidRPr="00B87DD1" w:rsidRDefault="00FF7B51" w:rsidP="00FF7B51">
      <w:pPr>
        <w:widowControl/>
        <w:spacing w:before="120" w:after="120" w:line="360" w:lineRule="auto"/>
        <w:ind w:left="851" w:hanging="851"/>
        <w:rPr>
          <w:rFonts w:eastAsia="Calibri"/>
          <w:noProof/>
          <w:szCs w:val="22"/>
        </w:rPr>
      </w:pPr>
      <w:r w:rsidRPr="00B87DD1">
        <w:t>(15)</w:t>
      </w:r>
      <w:r w:rsidRPr="00B87DD1">
        <w:tab/>
        <w:t xml:space="preserve">Otetaan käyttöön hyvin monimuotoisia maisemapiirteitä viljelysmaalla ja intensiivisesti käytetyillä laidunmailla, kuten suojakaistat, kotoperäisiä kukkia kasvavat pientareet, pensasaidat, puut, pienet metsät, pengerseinät, lammikot sekä ekologiset käytävät ja askelkivet. </w:t>
      </w:r>
    </w:p>
    <w:p w:rsidR="00FF7B51" w:rsidRPr="00B87DD1" w:rsidRDefault="00FF7B51" w:rsidP="00FF7B51">
      <w:pPr>
        <w:widowControl/>
        <w:spacing w:before="120" w:after="120" w:line="360" w:lineRule="auto"/>
        <w:ind w:left="851" w:hanging="851"/>
        <w:rPr>
          <w:noProof/>
          <w:szCs w:val="22"/>
        </w:rPr>
      </w:pPr>
      <w:r w:rsidRPr="00B87DD1">
        <w:t>(16)</w:t>
      </w:r>
      <w:r w:rsidRPr="00B87DD1">
        <w:tab/>
        <w:t>Lisätään maatalousmaata, johon sovelletaan maatalouden ekologisia hoitokäytäntöjä, kuten luonnonmukainen maatalous tai peltometsätalous, sekaviljely ja vuoroviljely, integroitu tuhoojatorjunta ja ravinnehuolto.</w:t>
      </w:r>
    </w:p>
    <w:p w:rsidR="00FF7B51" w:rsidRPr="00B87DD1" w:rsidRDefault="00FF7B51" w:rsidP="00FF7B51">
      <w:pPr>
        <w:widowControl/>
        <w:spacing w:before="120" w:after="120" w:line="360" w:lineRule="auto"/>
        <w:ind w:left="851" w:hanging="851"/>
        <w:rPr>
          <w:rFonts w:eastAsia="Calibri"/>
          <w:noProof/>
          <w:szCs w:val="22"/>
        </w:rPr>
      </w:pPr>
      <w:r w:rsidRPr="00B87DD1">
        <w:t>(17)</w:t>
      </w:r>
      <w:r w:rsidRPr="00B87DD1">
        <w:tab/>
        <w:t xml:space="preserve">Vähennetään tarvittaessa laiduntamisintensiteettiä tai niittämistä niityillä ja otetaan uudelleen käyttöön laajaperäinen kotieläinten laiduntaminen ja laajaperäiset niittojärjestelmät siellä, missä niistä on luovuttu. </w:t>
      </w:r>
    </w:p>
    <w:p w:rsidR="00FF7B51" w:rsidRPr="00B87DD1" w:rsidRDefault="00FF7B51" w:rsidP="00FF7B51">
      <w:pPr>
        <w:widowControl/>
        <w:spacing w:before="120" w:after="120" w:line="360" w:lineRule="auto"/>
        <w:ind w:left="851" w:hanging="851"/>
        <w:rPr>
          <w:rFonts w:eastAsia="Calibri"/>
          <w:noProof/>
          <w:szCs w:val="22"/>
        </w:rPr>
      </w:pPr>
      <w:bookmarkStart w:id="90" w:name="_Hlk132894426"/>
      <w:r w:rsidRPr="00B87DD1">
        <w:t>(18)</w:t>
      </w:r>
      <w:r w:rsidRPr="00B87DD1">
        <w:tab/>
        <w:t>Lopetetaan kemiallisten torjunta-aineiden sekä kemiallisten lannoitteiden ja lannan käyttö tai vähennetään sitä.</w:t>
      </w:r>
    </w:p>
    <w:bookmarkEnd w:id="90"/>
    <w:p w:rsidR="00FF7B51" w:rsidRPr="00B87DD1" w:rsidRDefault="00FF7B51" w:rsidP="00FF7B51">
      <w:pPr>
        <w:widowControl/>
        <w:spacing w:before="120" w:after="120" w:line="360" w:lineRule="auto"/>
        <w:ind w:left="851" w:hanging="851"/>
        <w:rPr>
          <w:rFonts w:eastAsia="Calibri"/>
          <w:noProof/>
          <w:szCs w:val="22"/>
        </w:rPr>
      </w:pPr>
      <w:r w:rsidRPr="00B87DD1">
        <w:t>(19)</w:t>
      </w:r>
      <w:r w:rsidRPr="00B87DD1">
        <w:tab/>
        <w:t xml:space="preserve">Lopetetaan niittyjen kyntäminen ja nurmikasvien siementen kylväminen. </w:t>
      </w:r>
    </w:p>
    <w:p w:rsidR="00FF7B51" w:rsidRPr="00B87DD1" w:rsidRDefault="00FF7B51" w:rsidP="00FF7B51">
      <w:pPr>
        <w:widowControl/>
        <w:spacing w:before="120" w:after="120" w:line="360" w:lineRule="auto"/>
        <w:ind w:left="851" w:hanging="851"/>
        <w:rPr>
          <w:rFonts w:eastAsia="Calibri"/>
          <w:noProof/>
          <w:szCs w:val="22"/>
        </w:rPr>
      </w:pPr>
      <w:r w:rsidRPr="00B87DD1">
        <w:t>(20)</w:t>
      </w:r>
      <w:r w:rsidRPr="00B87DD1">
        <w:tab/>
        <w:t>Poistetaan viljelmät aiemmista dynaamisista sisämaan dyynijärjestelmistä, jotta luonnon tuulidynamiikka voidaan palauttaa avoimien luontotyyppien hyväksi.</w:t>
      </w:r>
    </w:p>
    <w:p w:rsidR="00FF7B51" w:rsidRPr="00B87DD1" w:rsidRDefault="00FF7B51" w:rsidP="00FF7B51">
      <w:pPr>
        <w:widowControl/>
        <w:spacing w:before="120" w:after="120" w:line="360" w:lineRule="auto"/>
        <w:ind w:left="851" w:hanging="851"/>
        <w:rPr>
          <w:rFonts w:eastAsia="Calibri"/>
          <w:noProof/>
          <w:szCs w:val="22"/>
        </w:rPr>
      </w:pPr>
      <w:r w:rsidRPr="00B87DD1">
        <w:t>(21)</w:t>
      </w:r>
      <w:r w:rsidRPr="00B87DD1">
        <w:tab/>
        <w:t xml:space="preserve">Parannetaan elinympäristöjen välisiä yhteyksiä, jotta mahdollistetaan lajien kantojen kehittyminen ja riittävä yksilöllinen tai geneettinen vaihdanta sekä lajien muutto ja sopeutuminen ilmastonmuutokseen. </w:t>
      </w:r>
    </w:p>
    <w:p w:rsidR="00FF7B51" w:rsidRPr="00B87DD1" w:rsidRDefault="00FF7B51" w:rsidP="00FF7B51">
      <w:pPr>
        <w:widowControl/>
        <w:spacing w:before="120" w:after="120" w:line="360" w:lineRule="auto"/>
        <w:ind w:left="851" w:hanging="851"/>
        <w:rPr>
          <w:rFonts w:eastAsia="Calibri"/>
          <w:noProof/>
          <w:szCs w:val="22"/>
        </w:rPr>
      </w:pPr>
      <w:r w:rsidRPr="00B87DD1">
        <w:t>(22)</w:t>
      </w:r>
      <w:r w:rsidRPr="00B87DD1">
        <w:tab/>
        <w:t xml:space="preserve">Annetaan ekosysteemeille mahdollisuus kehittää omaa luonnollista dynamiikkaansa esimerkiksi siten, että luovutaan korjuusta ja edistetään luonnonoloja ja erämaa-alueita. </w:t>
      </w:r>
    </w:p>
    <w:p w:rsidR="00FF7B51" w:rsidRPr="00B87DD1" w:rsidRDefault="00FF7B51" w:rsidP="00FF7B51">
      <w:pPr>
        <w:widowControl/>
        <w:spacing w:before="120" w:after="120" w:line="360" w:lineRule="auto"/>
        <w:ind w:left="851" w:hanging="851"/>
        <w:rPr>
          <w:rFonts w:eastAsia="Calibri"/>
          <w:noProof/>
          <w:szCs w:val="22"/>
        </w:rPr>
      </w:pPr>
      <w:r w:rsidRPr="00B87DD1">
        <w:br w:type="page"/>
      </w:r>
      <w:r w:rsidRPr="00B87DD1">
        <w:lastRenderedPageBreak/>
        <w:t>(23)</w:t>
      </w:r>
      <w:r w:rsidRPr="00B87DD1">
        <w:tab/>
        <w:t xml:space="preserve">Poistetaan haitalliset vieraslajit ja valvotaan niitä sekä estetään tai minimoidaan uusien haitallisten vieraslajien tuonti. </w:t>
      </w:r>
    </w:p>
    <w:p w:rsidR="00FF7B51" w:rsidRPr="00B87DD1" w:rsidRDefault="00FF7B51" w:rsidP="00FF7B51">
      <w:pPr>
        <w:widowControl/>
        <w:spacing w:before="120" w:after="120" w:line="360" w:lineRule="auto"/>
        <w:ind w:left="851" w:hanging="851"/>
        <w:rPr>
          <w:rFonts w:eastAsia="Calibri"/>
          <w:noProof/>
          <w:szCs w:val="22"/>
        </w:rPr>
      </w:pPr>
      <w:r w:rsidRPr="00B87DD1">
        <w:t>(24)</w:t>
      </w:r>
      <w:r w:rsidRPr="00B87DD1">
        <w:tab/>
        <w:t>Minimoidaan kalastustoiminnan kielteiset vaikutukset meriekosysteemiin esimerkiksi käyttämällä pyydyksiä, joilla on vähemmän vaikutusta merenpohjaan.</w:t>
      </w:r>
    </w:p>
    <w:p w:rsidR="00FF7B51" w:rsidRPr="00B87DD1" w:rsidRDefault="00FF7B51" w:rsidP="00FF7B51">
      <w:pPr>
        <w:widowControl/>
        <w:spacing w:before="120" w:after="120" w:line="360" w:lineRule="auto"/>
        <w:ind w:left="851" w:hanging="851"/>
        <w:rPr>
          <w:rFonts w:eastAsia="Calibri"/>
          <w:noProof/>
          <w:szCs w:val="22"/>
        </w:rPr>
      </w:pPr>
      <w:r w:rsidRPr="00B87DD1">
        <w:t>(25)</w:t>
      </w:r>
      <w:r w:rsidRPr="00B87DD1">
        <w:tab/>
        <w:t>Ennallistetaan tärkeät kalojen kutu- ja kasvualueet.</w:t>
      </w:r>
    </w:p>
    <w:p w:rsidR="00FF7B51" w:rsidRPr="00B87DD1" w:rsidRDefault="00FF7B51" w:rsidP="00FF7B51">
      <w:pPr>
        <w:widowControl/>
        <w:spacing w:before="120" w:after="120" w:line="360" w:lineRule="auto"/>
        <w:ind w:left="851" w:hanging="851"/>
        <w:rPr>
          <w:rFonts w:eastAsia="Calibri"/>
          <w:noProof/>
          <w:szCs w:val="22"/>
        </w:rPr>
      </w:pPr>
      <w:r w:rsidRPr="00B87DD1">
        <w:t>(26)</w:t>
      </w:r>
      <w:r w:rsidRPr="00B87DD1">
        <w:tab/>
        <w:t xml:space="preserve">Järjestetään rakenteet tai alustat, joilla edistetään meren eliöstön paluuta, esimerkiksi koralli-/öljyriuttoja/lohkareriuttoja. </w:t>
      </w:r>
    </w:p>
    <w:p w:rsidR="00FF7B51" w:rsidRPr="00B87DD1" w:rsidRDefault="00FF7B51" w:rsidP="00FF7B51">
      <w:pPr>
        <w:widowControl/>
        <w:spacing w:before="120" w:after="120" w:line="360" w:lineRule="auto"/>
        <w:ind w:left="851" w:hanging="851"/>
        <w:rPr>
          <w:rFonts w:eastAsia="Calibri"/>
          <w:noProof/>
          <w:szCs w:val="22"/>
        </w:rPr>
      </w:pPr>
      <w:r w:rsidRPr="00B87DD1">
        <w:t>(27)</w:t>
      </w:r>
      <w:r w:rsidRPr="00B87DD1">
        <w:tab/>
        <w:t>Ennallistetaan meriheinäniittyjä ja merilevämetsiä vakauttamalla aktiivisesti merenpohjaa, vähentämällä ja mahdollisuuksien mukaan poistamalla paineita tai harjoittamalla aktiivista lisäystä ja istutusta.</w:t>
      </w:r>
    </w:p>
    <w:p w:rsidR="00FF7B51" w:rsidRPr="00B87DD1" w:rsidRDefault="00FF7B51" w:rsidP="00FF7B51">
      <w:pPr>
        <w:widowControl/>
        <w:suppressAutoHyphens/>
        <w:spacing w:before="120" w:after="120" w:line="360" w:lineRule="auto"/>
        <w:ind w:left="851" w:hanging="851"/>
        <w:rPr>
          <w:rFonts w:eastAsia="Calibri"/>
          <w:b/>
          <w:bCs/>
          <w:i/>
          <w:noProof/>
          <w:szCs w:val="22"/>
        </w:rPr>
      </w:pPr>
      <w:r w:rsidRPr="00B87DD1">
        <w:rPr>
          <w:b/>
          <w:i/>
        </w:rPr>
        <w:t>(27 a)</w:t>
      </w:r>
      <w:r w:rsidRPr="00B87DD1">
        <w:rPr>
          <w:b/>
          <w:i/>
        </w:rPr>
        <w:tab/>
        <w:t>Ennallistetaan tai parannetaan merellisten luontotyyppien ekologian kannalta elintärkeitä, kotoperäisille lajeille ominaisia kantoja passiivisilla tai aktiivisilla ennallistamistoimenpiteillä, esimerkiksi istuttamalla nuoria yksilöitä.</w:t>
      </w:r>
    </w:p>
    <w:p w:rsidR="00FF7B51" w:rsidRPr="00B87DD1" w:rsidRDefault="00FF7B51" w:rsidP="00FF7B51">
      <w:pPr>
        <w:widowControl/>
        <w:spacing w:before="120" w:after="120" w:line="360" w:lineRule="auto"/>
        <w:ind w:left="851" w:hanging="851"/>
        <w:rPr>
          <w:rFonts w:eastAsia="Calibri"/>
          <w:noProof/>
          <w:szCs w:val="22"/>
        </w:rPr>
      </w:pPr>
      <w:r w:rsidRPr="00B87DD1">
        <w:t>(28)</w:t>
      </w:r>
      <w:r w:rsidRPr="00B87DD1">
        <w:tab/>
        <w:t xml:space="preserve">Vähennetään erilaisia meren pilaantumisen muotoja, kuten ravinnekuormitusta, melusaastetta ja muovijätettä. </w:t>
      </w:r>
    </w:p>
    <w:p w:rsidR="00FF7B51" w:rsidRPr="00B87DD1" w:rsidRDefault="00FF7B51" w:rsidP="00FF7B51">
      <w:pPr>
        <w:widowControl/>
        <w:spacing w:before="120" w:after="120" w:line="360" w:lineRule="auto"/>
        <w:ind w:left="851" w:hanging="851"/>
        <w:rPr>
          <w:rFonts w:eastAsia="Calibri"/>
          <w:noProof/>
          <w:szCs w:val="22"/>
        </w:rPr>
      </w:pPr>
      <w:r w:rsidRPr="00B87DD1">
        <w:t>(29)</w:t>
      </w:r>
      <w:r w:rsidRPr="00B87DD1">
        <w:tab/>
        <w:t xml:space="preserve">Lisätään kaupunkien viheralueita, joilla on ekologisia piirteitä, kuten puistoja, puita ja metsämaa-alueita, </w:t>
      </w:r>
      <w:r w:rsidRPr="00B87DD1">
        <w:rPr>
          <w:rFonts w:ascii="Arial" w:hAnsi="Arial"/>
          <w:snapToGrid w:val="0"/>
        </w:rPr>
        <w:t>▌</w:t>
      </w:r>
      <w:r w:rsidRPr="00B87DD1">
        <w:t>viherkattoja, luonnonvaraisia kukkaniittyjä, puutarhoja, puutarhaviljelyä, puistokatuja, kaupunkiniittyjä ja pensasaitoja, lammikoita ja vesistöjä</w:t>
      </w:r>
      <w:r w:rsidRPr="00B87DD1">
        <w:rPr>
          <w:b/>
          <w:i/>
        </w:rPr>
        <w:t xml:space="preserve">, </w:t>
      </w:r>
      <w:bookmarkStart w:id="91" w:name="_Hlk133182370"/>
      <w:r w:rsidRPr="00B87DD1">
        <w:rPr>
          <w:b/>
          <w:i/>
        </w:rPr>
        <w:t>ottaen huomioon mm. lajimonimuotoisuus, kotoperäiset lajit, paikalliset olosuhteet ja resilienssi ilmastonmuutoksen suhteen</w:t>
      </w:r>
      <w:bookmarkEnd w:id="91"/>
      <w:r w:rsidRPr="00B87DD1">
        <w:t>.</w:t>
      </w:r>
    </w:p>
    <w:p w:rsidR="00FF7B51" w:rsidRPr="00B87DD1" w:rsidRDefault="00FF7B51" w:rsidP="00FF7B51">
      <w:pPr>
        <w:widowControl/>
        <w:spacing w:before="120" w:after="120" w:line="360" w:lineRule="auto"/>
        <w:ind w:left="851" w:hanging="851"/>
        <w:rPr>
          <w:rFonts w:eastAsia="Calibri"/>
          <w:noProof/>
          <w:szCs w:val="22"/>
        </w:rPr>
      </w:pPr>
      <w:r w:rsidRPr="00B87DD1">
        <w:t>(30)</w:t>
      </w:r>
      <w:r w:rsidRPr="00B87DD1">
        <w:tab/>
        <w:t xml:space="preserve">Lopetetaan, vähennetään tai korjataan lääkeaineista, vaarallisista kemikaaleista, yhdyskunta- ja teollisuusjätevedestä ja muusta jätteestä, mukaan lukien roskaantuminen ja muovit, sekä valosta aiheutuvaa pilaantumista kaikissa ekosysteemeissä. </w:t>
      </w:r>
    </w:p>
    <w:p w:rsidR="00FF7B51" w:rsidRPr="00FF7B51" w:rsidRDefault="00FF7B51" w:rsidP="00FF7B51">
      <w:pPr>
        <w:widowControl/>
        <w:spacing w:before="120" w:after="120" w:line="360" w:lineRule="auto"/>
        <w:ind w:left="851" w:hanging="851"/>
        <w:rPr>
          <w:rFonts w:eastAsia="Calibri"/>
          <w:szCs w:val="22"/>
        </w:rPr>
      </w:pPr>
      <w:r w:rsidRPr="00B87DD1">
        <w:t>(31)</w:t>
      </w:r>
      <w:r w:rsidRPr="00B87DD1">
        <w:tab/>
        <w:t>Muutetaan ympäristövaurioalueita, entisiä teollisuusalueita ja louhoksia luonnonalueiksi.</w:t>
      </w:r>
    </w:p>
    <w:p w:rsidR="00FF7B51" w:rsidRPr="00FF7B51" w:rsidRDefault="00FF7B51" w:rsidP="00FF7B51">
      <w:pPr>
        <w:widowControl/>
        <w:pBdr>
          <w:bottom w:val="single" w:sz="4" w:space="0" w:color="000000"/>
        </w:pBdr>
        <w:spacing w:before="360" w:after="120" w:line="360" w:lineRule="auto"/>
        <w:ind w:left="3400" w:right="3400"/>
        <w:jc w:val="center"/>
        <w:rPr>
          <w:rFonts w:eastAsia="Calibri"/>
          <w:b/>
          <w:szCs w:val="22"/>
          <w:lang w:eastAsia="en-US"/>
        </w:rPr>
      </w:pPr>
    </w:p>
    <w:p w:rsidR="00FF7B51" w:rsidRPr="00FF7B51" w:rsidRDefault="00FF7B51" w:rsidP="00FF7B51">
      <w:pPr>
        <w:widowControl/>
        <w:spacing w:before="120" w:after="120" w:line="360" w:lineRule="auto"/>
        <w:rPr>
          <w:rFonts w:eastAsia="Calibri"/>
          <w:szCs w:val="22"/>
          <w:lang w:eastAsia="en-US"/>
        </w:rPr>
      </w:pPr>
    </w:p>
    <w:p w:rsidR="00E365E1" w:rsidRPr="00B3349B" w:rsidRDefault="00E365E1" w:rsidP="00566308">
      <w:bookmarkStart w:id="92" w:name="TextBodyEnd"/>
      <w:bookmarkEnd w:id="92"/>
    </w:p>
    <w:sectPr w:rsidR="00E365E1" w:rsidRPr="00B3349B" w:rsidSect="00B3349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4958" w:rsidRPr="00B3349B" w:rsidRDefault="00184958">
      <w:r w:rsidRPr="00B3349B">
        <w:separator/>
      </w:r>
    </w:p>
  </w:endnote>
  <w:endnote w:type="continuationSeparator" w:id="0">
    <w:p w:rsidR="00184958" w:rsidRPr="00B3349B" w:rsidRDefault="00184958">
      <w:r w:rsidRPr="00B334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958" w:rsidRPr="007259A3" w:rsidRDefault="00184958" w:rsidP="007259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958" w:rsidRPr="00184958" w:rsidRDefault="00184958" w:rsidP="001849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958" w:rsidRPr="00FF7B51" w:rsidRDefault="00184958" w:rsidP="00FF7B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4958" w:rsidRPr="00B3349B" w:rsidRDefault="00184958">
      <w:r w:rsidRPr="00B3349B">
        <w:separator/>
      </w:r>
    </w:p>
  </w:footnote>
  <w:footnote w:type="continuationSeparator" w:id="0">
    <w:p w:rsidR="00184958" w:rsidRPr="00B3349B" w:rsidRDefault="00184958">
      <w:r w:rsidRPr="00B3349B">
        <w:continuationSeparator/>
      </w:r>
    </w:p>
  </w:footnote>
  <w:footnote w:id="1">
    <w:p w:rsidR="00184958" w:rsidRPr="00B87DD1" w:rsidRDefault="00184958" w:rsidP="00184958">
      <w:pPr>
        <w:pStyle w:val="FootnoteText"/>
        <w:ind w:left="567" w:hanging="567"/>
        <w:rPr>
          <w:sz w:val="24"/>
          <w:szCs w:val="24"/>
          <w:lang w:val="fi-FI"/>
        </w:rPr>
      </w:pPr>
      <w:r w:rsidRPr="00B87DD1">
        <w:rPr>
          <w:rStyle w:val="FootnoteReference"/>
          <w:sz w:val="24"/>
          <w:szCs w:val="24"/>
          <w:lang w:val="fi-FI"/>
        </w:rPr>
        <w:t>*</w:t>
      </w:r>
      <w:r w:rsidRPr="00B87DD1">
        <w:rPr>
          <w:sz w:val="24"/>
          <w:szCs w:val="24"/>
          <w:lang w:val="fi-FI"/>
        </w:rPr>
        <w:t xml:space="preserve"> </w:t>
      </w:r>
      <w:r w:rsidRPr="00B87DD1">
        <w:rPr>
          <w:sz w:val="24"/>
          <w:szCs w:val="24"/>
          <w:lang w:val="fi-FI"/>
        </w:rPr>
        <w:tab/>
        <w:t>Merkinnällä ’cp’ hyväksyttyjen tarkistusten otsikoissa tarkoitetaan kyseisten tarkistusten vastaavaa tekstinosaa.</w:t>
      </w:r>
    </w:p>
  </w:footnote>
  <w:footnote w:id="2">
    <w:p w:rsidR="00184958" w:rsidRPr="00B87DD1" w:rsidRDefault="00184958" w:rsidP="00184958">
      <w:pPr>
        <w:pStyle w:val="FootnoteText"/>
        <w:ind w:left="567" w:hanging="567"/>
        <w:rPr>
          <w:sz w:val="24"/>
          <w:szCs w:val="24"/>
          <w:lang w:val="fi-FI"/>
        </w:rPr>
      </w:pPr>
      <w:r w:rsidRPr="00B87DD1">
        <w:rPr>
          <w:rStyle w:val="FootnoteReference"/>
          <w:sz w:val="24"/>
          <w:szCs w:val="24"/>
        </w:rPr>
        <w:footnoteRef/>
      </w:r>
      <w:r w:rsidRPr="00B87DD1">
        <w:rPr>
          <w:sz w:val="24"/>
          <w:szCs w:val="24"/>
          <w:lang w:val="fi-FI"/>
        </w:rPr>
        <w:tab/>
        <w:t xml:space="preserve">Asia päätettiin palauttaa asiasta vastaavaan valiokuntaan toimielinten välisiä neuvotteluja varten työjärjestyksen 59 artiklan 4 kohdan neljännen alakohdan mukaisesti (A9-0220/2023). </w:t>
      </w:r>
    </w:p>
  </w:footnote>
  <w:footnote w:id="3">
    <w:p w:rsidR="00184958" w:rsidRPr="00B87DD1" w:rsidRDefault="00184958" w:rsidP="00FF7B51">
      <w:pPr>
        <w:pStyle w:val="FootnoteText"/>
        <w:ind w:left="567" w:hanging="567"/>
        <w:rPr>
          <w:sz w:val="24"/>
          <w:szCs w:val="24"/>
          <w:lang w:val="fi-FI"/>
        </w:rPr>
      </w:pPr>
      <w:r w:rsidRPr="00B87DD1">
        <w:rPr>
          <w:rStyle w:val="FootnoteReference"/>
          <w:sz w:val="24"/>
          <w:szCs w:val="24"/>
          <w:lang w:val="fi-FI"/>
        </w:rPr>
        <w:t>*</w:t>
      </w:r>
      <w:r w:rsidRPr="00B87DD1">
        <w:rPr>
          <w:sz w:val="24"/>
          <w:szCs w:val="24"/>
          <w:lang w:val="fi-FI"/>
        </w:rPr>
        <w:tab/>
      </w:r>
      <w:r w:rsidRPr="00B87DD1">
        <w:rPr>
          <w:noProof/>
          <w:sz w:val="24"/>
          <w:szCs w:val="24"/>
          <w:lang w:val="fi-FI"/>
        </w:rPr>
        <w:t>Tarkistukset: uusi tai muutettu teksti merkitään lihavoidulla kursiivilla, poistot symbolilla ▌.</w:t>
      </w:r>
    </w:p>
  </w:footnote>
  <w:footnote w:id="4">
    <w:p w:rsidR="00184958" w:rsidRPr="00B87DD1" w:rsidRDefault="00184958" w:rsidP="00FF7B51">
      <w:pPr>
        <w:pStyle w:val="FootnoteText"/>
        <w:ind w:left="567" w:hanging="567"/>
        <w:rPr>
          <w:sz w:val="24"/>
          <w:szCs w:val="24"/>
          <w:lang w:val="fi-FI"/>
        </w:rPr>
      </w:pPr>
      <w:r w:rsidRPr="00B87DD1">
        <w:rPr>
          <w:rStyle w:val="FootnoteReference"/>
          <w:sz w:val="24"/>
          <w:szCs w:val="24"/>
          <w:lang w:val="fi-FI"/>
        </w:rPr>
        <w:footnoteRef/>
      </w:r>
      <w:r w:rsidRPr="00B87DD1">
        <w:rPr>
          <w:sz w:val="24"/>
          <w:szCs w:val="24"/>
          <w:lang w:val="fi-FI"/>
        </w:rPr>
        <w:tab/>
        <w:t xml:space="preserve">EUVL </w:t>
      </w:r>
      <w:proofErr w:type="gramStart"/>
      <w:r w:rsidRPr="00B87DD1">
        <w:rPr>
          <w:sz w:val="24"/>
          <w:szCs w:val="24"/>
          <w:lang w:val="fi-FI"/>
        </w:rPr>
        <w:t>C ,</w:t>
      </w:r>
      <w:proofErr w:type="gramEnd"/>
      <w:r w:rsidRPr="00B87DD1">
        <w:rPr>
          <w:sz w:val="24"/>
          <w:szCs w:val="24"/>
          <w:lang w:val="fi-FI"/>
        </w:rPr>
        <w:t xml:space="preserve"> , s. .</w:t>
      </w:r>
    </w:p>
  </w:footnote>
  <w:footnote w:id="5">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Komission tiedonanto Euroopan parlamentille, Eurooppa-neuvostolle, neuvostolle, Euroopan talous- ja sosiaalikomitealle ja alueiden komitealle, ”Euroopan vihreän kehityksen ohjelma”, 11.12.2019 (COM (2019) 640 final).</w:t>
      </w:r>
    </w:p>
  </w:footnote>
  <w:footnote w:id="6">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Komission tiedonanto Euroopan parlamentille, neuvostolle, Euroopan talous- ja sosiaalikomitealle ja alueiden komitealle – Vuoteen 2030 ulottuva EU:n biodiversiteettistrategia – Luonto takaisin osaksi elämäämme 20.5.2020, </w:t>
      </w:r>
      <w:proofErr w:type="gramStart"/>
      <w:r w:rsidRPr="00B87DD1">
        <w:rPr>
          <w:sz w:val="24"/>
          <w:szCs w:val="24"/>
          <w:lang w:val="fi-FI"/>
        </w:rPr>
        <w:t>COM(</w:t>
      </w:r>
      <w:proofErr w:type="gramEnd"/>
      <w:r w:rsidRPr="00B87DD1">
        <w:rPr>
          <w:sz w:val="24"/>
          <w:szCs w:val="24"/>
          <w:lang w:val="fi-FI"/>
        </w:rPr>
        <w:t>2020) 380 final.</w:t>
      </w:r>
    </w:p>
  </w:footnote>
  <w:footnote w:id="7">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Neuvoston päätös 93/626/ETY, tehty 25 päivänä lokakuuta 1993, biologista monimuotoisuutta koskevan yleissopimuksen tekemisestä (EYVL L 309, 13.12.1993, s. 1).</w:t>
      </w:r>
    </w:p>
  </w:footnote>
  <w:footnote w:id="8">
    <w:p w:rsidR="00184958" w:rsidRPr="00B87DD1" w:rsidRDefault="00184958" w:rsidP="00FF7B51">
      <w:pPr>
        <w:pStyle w:val="FootnoteText"/>
        <w:ind w:left="567" w:hanging="567"/>
        <w:rPr>
          <w:sz w:val="24"/>
          <w:szCs w:val="24"/>
          <w:lang w:val="fi-FI"/>
        </w:rPr>
      </w:pPr>
      <w:r w:rsidRPr="00B87DD1">
        <w:rPr>
          <w:rStyle w:val="FootnoteReference"/>
        </w:rPr>
        <w:footnoteRef/>
      </w:r>
      <w:hyperlink r:id="rId1">
        <w:r w:rsidRPr="00B87DD1">
          <w:rPr>
            <w:rStyle w:val="Internetlnk"/>
            <w:sz w:val="24"/>
            <w:szCs w:val="24"/>
            <w:lang w:val="fi-FI"/>
          </w:rPr>
          <w:tab/>
          <w:t>https://www.cbd.int/decision/cop/?id=12268</w:t>
        </w:r>
      </w:hyperlink>
      <w:r w:rsidRPr="00B87DD1">
        <w:rPr>
          <w:sz w:val="24"/>
          <w:szCs w:val="24"/>
          <w:lang w:val="fi-FI"/>
        </w:rPr>
        <w:t>.</w:t>
      </w:r>
    </w:p>
  </w:footnote>
  <w:footnote w:id="9">
    <w:p w:rsidR="00184958" w:rsidRPr="00B87DD1" w:rsidRDefault="00184958" w:rsidP="00FF7B51">
      <w:pPr>
        <w:pStyle w:val="FootnoteText"/>
        <w:ind w:left="567" w:hanging="567"/>
        <w:rPr>
          <w:rStyle w:val="FootnoteCharacters"/>
          <w:sz w:val="24"/>
          <w:szCs w:val="24"/>
          <w:lang w:val="fi-FI"/>
        </w:rPr>
      </w:pPr>
      <w:r w:rsidRPr="00B87DD1">
        <w:rPr>
          <w:rStyle w:val="FootnoteReference"/>
        </w:rPr>
        <w:footnoteRef/>
      </w:r>
      <w:r w:rsidRPr="00B87DD1">
        <w:rPr>
          <w:rStyle w:val="FootnoteCharacters"/>
          <w:sz w:val="24"/>
          <w:szCs w:val="24"/>
          <w:lang w:val="fi-FI"/>
        </w:rPr>
        <w:t xml:space="preserve"> </w:t>
      </w:r>
      <w:r w:rsidRPr="00B87DD1">
        <w:rPr>
          <w:rStyle w:val="FootnoteCharacters"/>
          <w:sz w:val="24"/>
          <w:szCs w:val="24"/>
          <w:lang w:val="fi-FI"/>
        </w:rPr>
        <w:tab/>
        <w:t xml:space="preserve">Vuoden 2020 jälkeinen maailmanlaajuinen biodiversiteettikehys. Puheenjohtajan esittämä päätösluonnos, CBD/COP/DEC/15/4, 19. joulukuuta 2022. </w:t>
      </w:r>
    </w:p>
  </w:footnote>
  <w:footnote w:id="10">
    <w:p w:rsidR="00184958" w:rsidRPr="00B87DD1" w:rsidRDefault="00184958" w:rsidP="00FF7B51">
      <w:pPr>
        <w:pStyle w:val="FootnoteText"/>
        <w:ind w:left="567" w:hanging="567"/>
        <w:rPr>
          <w:sz w:val="24"/>
          <w:szCs w:val="24"/>
          <w:lang w:val="en-GB"/>
        </w:rPr>
      </w:pPr>
      <w:r w:rsidRPr="00B87DD1">
        <w:rPr>
          <w:rStyle w:val="FootnoteReference"/>
        </w:rPr>
        <w:footnoteRef/>
      </w:r>
      <w:hyperlink r:id="rId2">
        <w:r w:rsidRPr="00B87DD1">
          <w:rPr>
            <w:rStyle w:val="Internetlnk"/>
            <w:sz w:val="24"/>
            <w:szCs w:val="24"/>
            <w:lang w:val="en-GB"/>
          </w:rPr>
          <w:tab/>
          <w:t>United Nations Sustainable Development – 17 Goals to Transform Our World</w:t>
        </w:r>
      </w:hyperlink>
      <w:r w:rsidRPr="00B87DD1">
        <w:rPr>
          <w:sz w:val="24"/>
          <w:szCs w:val="24"/>
          <w:lang w:val="en-GB"/>
        </w:rPr>
        <w:t>.</w:t>
      </w:r>
    </w:p>
  </w:footnote>
  <w:footnote w:id="11">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Päätöslauselma 73/284, annettu 1 päivänä maaliskuuta 2019, Yhdistyneiden kansakuntien ekosysteemien ennallistamisen vuosikymmenestä (2021–2030).</w:t>
      </w:r>
    </w:p>
  </w:footnote>
  <w:footnote w:id="12">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9 päivänä kesäkuuta 2021 antama päätöslauselma vuoteen 2030 ulottuvasta EU:n biodiversiteettistrategiasta: Luonto takaisin osaksi elämäämme (2020/2273(INI))</w:t>
      </w:r>
    </w:p>
  </w:footnote>
  <w:footnote w:id="13">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Neuvoston päätelmät ”Luonnon monimuotoisuus – kiireellisten toimien tarve”, 12210/20.</w:t>
      </w:r>
    </w:p>
  </w:footnote>
  <w:footnote w:id="14">
    <w:p w:rsidR="00184958" w:rsidRPr="00B87DD1" w:rsidRDefault="00184958" w:rsidP="00FF7B51">
      <w:pPr>
        <w:pStyle w:val="FootnoteText"/>
        <w:ind w:left="567" w:hanging="567"/>
        <w:rPr>
          <w:sz w:val="24"/>
          <w:szCs w:val="24"/>
          <w:lang w:val="en-GB"/>
        </w:rPr>
      </w:pPr>
      <w:r w:rsidRPr="00B87DD1">
        <w:rPr>
          <w:rStyle w:val="FootnoteReference"/>
        </w:rPr>
        <w:footnoteRef/>
      </w:r>
      <w:r w:rsidRPr="00B87DD1">
        <w:rPr>
          <w:sz w:val="24"/>
          <w:szCs w:val="24"/>
          <w:lang w:val="en-GB"/>
        </w:rPr>
        <w:tab/>
        <w:t>Commission Staff Working Document Criteria and guidance for protected areas designations (</w:t>
      </w:r>
      <w:proofErr w:type="gramStart"/>
      <w:r w:rsidRPr="00B87DD1">
        <w:rPr>
          <w:sz w:val="24"/>
          <w:szCs w:val="24"/>
          <w:lang w:val="en-GB"/>
        </w:rPr>
        <w:t>SWD(</w:t>
      </w:r>
      <w:proofErr w:type="gramEnd"/>
      <w:r w:rsidRPr="00B87DD1">
        <w:rPr>
          <w:sz w:val="24"/>
          <w:szCs w:val="24"/>
          <w:lang w:val="en-GB"/>
        </w:rPr>
        <w:t>2022) 23 final).</w:t>
      </w:r>
    </w:p>
  </w:footnote>
  <w:footnote w:id="15">
    <w:p w:rsidR="00184958" w:rsidRPr="00B87DD1" w:rsidRDefault="00184958" w:rsidP="00FF7B51">
      <w:pPr>
        <w:pStyle w:val="FootnoteText"/>
        <w:ind w:left="567" w:hanging="567"/>
        <w:rPr>
          <w:sz w:val="24"/>
          <w:szCs w:val="24"/>
          <w:lang w:val="en-GB"/>
        </w:rPr>
      </w:pPr>
      <w:r w:rsidRPr="00B87DD1">
        <w:rPr>
          <w:rStyle w:val="FootnoteReference"/>
          <w:sz w:val="24"/>
          <w:szCs w:val="24"/>
        </w:rPr>
        <w:footnoteRef/>
      </w:r>
      <w:r w:rsidRPr="00B87DD1">
        <w:rPr>
          <w:sz w:val="24"/>
          <w:szCs w:val="24"/>
          <w:lang w:val="en-GB"/>
        </w:rPr>
        <w:tab/>
        <w:t xml:space="preserve">Osoitteessa </w:t>
      </w:r>
      <w:hyperlink r:id="rId3">
        <w:r w:rsidRPr="00B87DD1">
          <w:rPr>
            <w:rStyle w:val="Internetlnk"/>
            <w:sz w:val="24"/>
            <w:szCs w:val="24"/>
            <w:lang w:val="en-GB"/>
          </w:rPr>
          <w:t>Circabc (europa.eu)</w:t>
        </w:r>
      </w:hyperlink>
      <w:r w:rsidRPr="00B87DD1">
        <w:rPr>
          <w:sz w:val="24"/>
          <w:szCs w:val="24"/>
          <w:lang w:val="en-GB"/>
        </w:rPr>
        <w:t xml:space="preserve"> [Reference to be completed]</w:t>
      </w:r>
    </w:p>
  </w:footnote>
  <w:footnote w:id="16">
    <w:p w:rsidR="00184958" w:rsidRPr="00B87DD1" w:rsidRDefault="00184958" w:rsidP="00FF7B51">
      <w:pPr>
        <w:pStyle w:val="FootnoteText"/>
        <w:ind w:left="567" w:hanging="567"/>
        <w:rPr>
          <w:sz w:val="24"/>
          <w:szCs w:val="24"/>
          <w:lang w:val="fi-FI"/>
        </w:rPr>
      </w:pPr>
      <w:r w:rsidRPr="00B87DD1">
        <w:rPr>
          <w:rStyle w:val="FootnoteReference"/>
          <w:sz w:val="24"/>
          <w:szCs w:val="24"/>
        </w:rPr>
        <w:footnoteRef/>
      </w:r>
      <w:r w:rsidRPr="00B87DD1">
        <w:rPr>
          <w:sz w:val="24"/>
          <w:szCs w:val="24"/>
          <w:lang w:val="fi-FI"/>
        </w:rPr>
        <w:tab/>
        <w:t>Komission kertomus Euroopan parlamentille, neuvostolle ja Euroopan talous- ja sosiaalikomitealle – Luonnon tila Euroopan unionissa: Kertomus lintu- ja luontotyyppidirektiivin kattamien lajien ja luontotyyppien suojelutasosta ja kehityssuunnista vuosina 2013–2018 (COM/2020/635 final).</w:t>
      </w:r>
    </w:p>
  </w:footnote>
  <w:footnote w:id="17">
    <w:p w:rsidR="00184958" w:rsidRPr="00B87DD1" w:rsidRDefault="00184958" w:rsidP="00184958">
      <w:pPr>
        <w:pStyle w:val="FootnoteText"/>
        <w:ind w:left="567" w:hanging="567"/>
        <w:rPr>
          <w:b/>
          <w:i/>
          <w:sz w:val="24"/>
          <w:szCs w:val="24"/>
          <w:lang w:val="fi-FI"/>
        </w:rPr>
      </w:pPr>
      <w:r w:rsidRPr="00B87DD1">
        <w:rPr>
          <w:rStyle w:val="FootnoteReference"/>
          <w:b/>
          <w:i/>
          <w:sz w:val="24"/>
          <w:szCs w:val="24"/>
        </w:rPr>
        <w:footnoteRef/>
      </w:r>
      <w:r w:rsidRPr="00B87DD1">
        <w:rPr>
          <w:b/>
          <w:i/>
          <w:sz w:val="24"/>
          <w:szCs w:val="24"/>
          <w:lang w:val="fi-FI"/>
        </w:rPr>
        <w:tab/>
        <w:t xml:space="preserve">Komission tiedonanto Euroopan parlamentille, neuvostolle, Euroopan talous-ja sosiaalikomitealle ja alueiden komitealle Kauppapolitiikan uudelleentarkastelu – Avoin, kestävä ja määrätietoinen kauppapolitiikka </w:t>
      </w:r>
      <w:r w:rsidRPr="00B87DD1">
        <w:rPr>
          <w:b/>
          <w:bCs/>
          <w:i/>
          <w:iCs/>
          <w:sz w:val="24"/>
          <w:szCs w:val="24"/>
          <w:lang w:val="fi-FI"/>
        </w:rPr>
        <w:t xml:space="preserve">Bryssel, 18.2.2021 </w:t>
      </w:r>
      <w:proofErr w:type="gramStart"/>
      <w:r w:rsidRPr="00B87DD1">
        <w:rPr>
          <w:b/>
          <w:bCs/>
          <w:i/>
          <w:iCs/>
          <w:sz w:val="24"/>
          <w:szCs w:val="24"/>
          <w:lang w:val="fi-FI"/>
        </w:rPr>
        <w:t>COM(</w:t>
      </w:r>
      <w:proofErr w:type="gramEnd"/>
      <w:r w:rsidRPr="00B87DD1">
        <w:rPr>
          <w:b/>
          <w:bCs/>
          <w:i/>
          <w:iCs/>
          <w:sz w:val="24"/>
          <w:szCs w:val="24"/>
          <w:lang w:val="fi-FI"/>
        </w:rPr>
        <w:t>2021)0066 final.</w:t>
      </w:r>
    </w:p>
  </w:footnote>
  <w:footnote w:id="18">
    <w:p w:rsidR="00184958" w:rsidRPr="00B87DD1" w:rsidRDefault="00184958" w:rsidP="00FF7B51">
      <w:pPr>
        <w:pStyle w:val="FootnoteText"/>
        <w:ind w:left="567" w:hanging="567"/>
        <w:rPr>
          <w:sz w:val="24"/>
          <w:szCs w:val="24"/>
          <w:lang w:val="fi-FI"/>
        </w:rPr>
      </w:pPr>
      <w:r w:rsidRPr="00B87DD1">
        <w:rPr>
          <w:rStyle w:val="FootnoteReference"/>
        </w:rPr>
        <w:footnoteRef/>
      </w:r>
      <w:hyperlink r:id="rId4">
        <w:r w:rsidRPr="00B87DD1">
          <w:rPr>
            <w:rStyle w:val="Internetlnk"/>
            <w:sz w:val="24"/>
            <w:szCs w:val="24"/>
            <w:lang w:val="fi-FI"/>
          </w:rPr>
          <w:tab/>
          <w:t>https://seea.un.org/sites/seea.un.org/files/documents/EA/seea_ea_white_cover_final.pdf</w:t>
        </w:r>
      </w:hyperlink>
      <w:r w:rsidRPr="00B87DD1">
        <w:rPr>
          <w:sz w:val="24"/>
          <w:szCs w:val="24"/>
          <w:lang w:val="fi-FI"/>
        </w:rPr>
        <w:t>.</w:t>
      </w:r>
    </w:p>
  </w:footnote>
  <w:footnote w:id="19">
    <w:p w:rsidR="00184958" w:rsidRPr="00B87DD1" w:rsidRDefault="00184958" w:rsidP="00FF7B51">
      <w:pPr>
        <w:pStyle w:val="FootnoteText"/>
        <w:ind w:left="567" w:hanging="567"/>
        <w:rPr>
          <w:sz w:val="24"/>
          <w:szCs w:val="24"/>
          <w:lang w:val="en-GB"/>
        </w:rPr>
      </w:pPr>
      <w:r w:rsidRPr="00B87DD1">
        <w:rPr>
          <w:rStyle w:val="FootnoteReference"/>
        </w:rPr>
        <w:footnoteRef/>
      </w:r>
      <w:r w:rsidRPr="00B87DD1">
        <w:rPr>
          <w:sz w:val="24"/>
          <w:szCs w:val="24"/>
          <w:lang w:val="fi-FI"/>
        </w:rPr>
        <w:tab/>
        <w:t xml:space="preserve">Intergovernmental Panel on Climate Change (IPCC): Special Report on the impacts of global warming of 1.5°C and related global greenhouse gas emission pathways, in the context of strengthening the global response to the threat of climate change, sustainable development, and efforts to eradicate poverty [Masson-Delmotte, V., P. Zhai, H.-O. Pörtner, D. Roberts, J. Skea, P.R. Shukla, A. Pirani, W. Moufouma-Okia, C. Péan, R. Pidcock, S. Connors, J.B.R. Matthews, Y. Chen, X. Zhou, M.I. Gomis, E. Lonnoy, T. Maycock, M. Tignor, and T. Waterfield (eds.)] </w:t>
      </w:r>
      <w:hyperlink r:id="rId5">
        <w:r w:rsidRPr="00B87DD1">
          <w:rPr>
            <w:rStyle w:val="Internetlnk"/>
            <w:sz w:val="24"/>
            <w:szCs w:val="24"/>
            <w:lang w:val="en-GB"/>
          </w:rPr>
          <w:t>https://www.ipcc.ch/sr15/</w:t>
        </w:r>
      </w:hyperlink>
      <w:r w:rsidRPr="00B87DD1">
        <w:rPr>
          <w:rStyle w:val="Internetlnk"/>
          <w:sz w:val="24"/>
          <w:szCs w:val="24"/>
          <w:lang w:val="en-GB"/>
        </w:rPr>
        <w:t xml:space="preserve"> </w:t>
      </w:r>
    </w:p>
  </w:footnote>
  <w:footnote w:id="20">
    <w:p w:rsidR="00184958" w:rsidRPr="00B87DD1" w:rsidRDefault="00184958" w:rsidP="00FF7B51">
      <w:pPr>
        <w:pStyle w:val="FootnoteText"/>
        <w:ind w:left="567" w:hanging="567"/>
        <w:rPr>
          <w:sz w:val="24"/>
          <w:szCs w:val="24"/>
          <w:lang w:val="en-GB"/>
        </w:rPr>
      </w:pPr>
      <w:r w:rsidRPr="00B87DD1">
        <w:rPr>
          <w:rStyle w:val="FootnoteReference"/>
        </w:rPr>
        <w:footnoteRef/>
      </w:r>
      <w:hyperlink r:id="rId6">
        <w:r w:rsidRPr="00B87DD1">
          <w:rPr>
            <w:rStyle w:val="Internetlnk"/>
            <w:sz w:val="24"/>
            <w:szCs w:val="24"/>
            <w:lang w:val="en-GB"/>
          </w:rPr>
          <w:tab/>
          <w:t>Climate Change 2022:</w:t>
        </w:r>
      </w:hyperlink>
      <w:hyperlink r:id="rId7">
        <w:r w:rsidRPr="00B87DD1">
          <w:rPr>
            <w:rStyle w:val="Internetlnk"/>
            <w:sz w:val="24"/>
            <w:szCs w:val="24"/>
            <w:lang w:val="en-GB"/>
          </w:rPr>
          <w:t xml:space="preserve"> Impacts, Adaptation and Vulnerability | Climate Change 2022:</w:t>
        </w:r>
      </w:hyperlink>
      <w:hyperlink r:id="rId8">
        <w:r w:rsidRPr="00B87DD1">
          <w:rPr>
            <w:rStyle w:val="Internetlnk"/>
            <w:sz w:val="24"/>
            <w:szCs w:val="24"/>
            <w:lang w:val="en-GB"/>
          </w:rPr>
          <w:t xml:space="preserve"> Impacts, Adaptation and Vulnerability (ipcc.ch)</w:t>
        </w:r>
      </w:hyperlink>
      <w:r w:rsidRPr="00B87DD1">
        <w:rPr>
          <w:sz w:val="24"/>
          <w:szCs w:val="24"/>
          <w:lang w:val="en-GB"/>
        </w:rPr>
        <w:t>.</w:t>
      </w:r>
    </w:p>
  </w:footnote>
  <w:footnote w:id="21">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shd w:val="clear" w:color="auto" w:fill="FFFFFF"/>
          <w:lang w:val="en-GB"/>
        </w:rPr>
        <w:tab/>
        <w:t xml:space="preserve">IPBES (2019): Global assessment report on biodiversity and ecosystem services of the Intergovernmental Science-Policy Platform on Biodiversity and Ecosystem Services. </w:t>
      </w:r>
      <w:r w:rsidRPr="00B87DD1">
        <w:rPr>
          <w:sz w:val="24"/>
          <w:szCs w:val="24"/>
          <w:shd w:val="clear" w:color="auto" w:fill="FFFFFF"/>
          <w:lang w:val="it-IT"/>
        </w:rPr>
        <w:t xml:space="preserve">E. S. Brondizio, J. Settele, S. Díaz, and H. T. Ngo (editors). </w:t>
      </w:r>
      <w:r w:rsidRPr="00B87DD1">
        <w:rPr>
          <w:sz w:val="24"/>
          <w:szCs w:val="24"/>
          <w:shd w:val="clear" w:color="auto" w:fill="FFFFFF"/>
          <w:lang w:val="fi-FI"/>
        </w:rPr>
        <w:t>IPBES secretariat, Bonn, Germany. 1148 sivua. </w:t>
      </w:r>
      <w:hyperlink r:id="rId9" w:tgtFrame="_blank">
        <w:r w:rsidRPr="00B87DD1">
          <w:rPr>
            <w:rStyle w:val="Internetlnk"/>
            <w:color w:val="000000"/>
            <w:sz w:val="24"/>
            <w:szCs w:val="24"/>
            <w:shd w:val="clear" w:color="auto" w:fill="FFFFFF"/>
            <w:lang w:val="fi-FI"/>
          </w:rPr>
          <w:t>https://doi.org/10.5281/zenodo.3831673</w:t>
        </w:r>
      </w:hyperlink>
      <w:r w:rsidRPr="00B87DD1">
        <w:rPr>
          <w:sz w:val="24"/>
          <w:szCs w:val="24"/>
          <w:lang w:val="fi-FI"/>
        </w:rPr>
        <w:t>.</w:t>
      </w:r>
    </w:p>
  </w:footnote>
  <w:footnote w:id="22">
    <w:p w:rsidR="00184958" w:rsidRPr="00B87DD1" w:rsidRDefault="00184958" w:rsidP="00FF7B51">
      <w:pPr>
        <w:pStyle w:val="NormalWeb"/>
        <w:shd w:val="clear" w:color="auto" w:fill="FFFFFF"/>
        <w:ind w:left="567" w:hanging="567"/>
        <w:rPr>
          <w:color w:val="444444"/>
        </w:rPr>
      </w:pPr>
      <w:r w:rsidRPr="00B13DA6">
        <w:rPr>
          <w:rStyle w:val="FootnoteReference"/>
          <w:sz w:val="22"/>
          <w:szCs w:val="20"/>
          <w:lang w:val="fr-FR" w:eastAsia="fr-FR"/>
        </w:rPr>
        <w:footnoteRef/>
      </w:r>
      <w:r w:rsidRPr="00B87DD1">
        <w:tab/>
        <w:t xml:space="preserve">Euroopan parlamentin ja neuvoston asetus (EU) 2021/1119, annettu 30 päivänä kesäkuuta 2021, puitteiden vahvistamisesta ilmastoneutraaliuden saavuttamiseksi sekä asetusten (EY) </w:t>
      </w:r>
      <w:proofErr w:type="gramStart"/>
      <w:r w:rsidRPr="00B87DD1">
        <w:t>N:o</w:t>
      </w:r>
      <w:proofErr w:type="gramEnd"/>
      <w:r w:rsidRPr="00B87DD1">
        <w:t> 401/2009 ja (EU) 2018/1999 muuttamisesta (eurooppalainen ilmastolaki) (EUVL L 243, 9.7.2021, s. 1).</w:t>
      </w:r>
    </w:p>
  </w:footnote>
  <w:footnote w:id="23">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Luontoon perustuvat ratkaisut ovat luonnon innoittamia ja luontopohjaisia ratkaisuja, jotka ovat kustannustehokkaita ja tuottavat yhtä aikaa ympäristöön liittyviä, sosiaalisia ja taloudellisia hyötyjä ja auttavat parantamaan selviytymiskykyä. Tällaiset ratkaisut tuovat enemmän ja monimuotoisemmin luontoa ja luonnonmukaisia piirteitä ja prosesseja kaupunkeihin, maisemiin ja merimaisemiin paikallisten, resurssitehokkaiden ja järjestelmään kohdistuvien toimien avulla. Näin ollen luontoon perustuvat ratkaisut hyödyttävät biologista monimuotoisuutta ja tukevat erilaisten ekosysteemipalvelujen tarjoamista.</w:t>
      </w:r>
    </w:p>
  </w:footnote>
  <w:footnote w:id="24">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Komission tiedonanto Euroopan parlamentille, neuvostolle, Euroopan talous- ja sosiaalikomitealle ja alueiden komitealle, Ilmastokestävä Eurooppa – Uusi EU:n strategia ilmastonmuutokseen sopeutumiseksi (</w:t>
      </w:r>
      <w:proofErr w:type="gramStart"/>
      <w:r w:rsidRPr="00B87DD1">
        <w:t>COM(</w:t>
      </w:r>
      <w:proofErr w:type="gramEnd"/>
      <w:r w:rsidRPr="00B87DD1">
        <w:t>2021) 82 final).</w:t>
      </w:r>
    </w:p>
  </w:footnote>
  <w:footnote w:id="25">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Ehdotus Euroopan parlamentin ja neuvoston asetukseksi asetuksen (EU) 2018/841 muuttamisesta siltä osin kuin on kyse soveltamisalasta, vaatimusten noudattamista koskevien sääntöjen yksinkertaistamisesta, jäsenvaltioiden tavoitteiden asettamisesta vuodelle 2030 ja sitoutumisesta ilmastoneutraaliuden saavuttamiseen yhteisesti vuoteen 2035 mennessä maankäytön, metsätalouden ja maatalouden sektorilla sekä asetuksen (EU) 2018/1999 muuttamisesta seurannan, raportoinnin, edistymisen seurannan ja uudelleentarkastelun osalta (COM/2021/554 final).</w:t>
      </w:r>
    </w:p>
  </w:footnote>
  <w:footnote w:id="26">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 xml:space="preserve">Komission tiedonanto Euroopan parlamentille, neuvostolle, Euroopan talous- ja sosiaalikomitealle ja alueiden komitealle elintarviketurvan varmistamisesta ja elintarvikejärjestelmien häiriönsietokyvyn vahvistamisesta (COM (2022) 133 final). </w:t>
      </w:r>
    </w:p>
  </w:footnote>
  <w:footnote w:id="27">
    <w:p w:rsidR="00184958" w:rsidRPr="00B87DD1" w:rsidRDefault="00184958" w:rsidP="00FF7B51">
      <w:pPr>
        <w:pStyle w:val="NormalWeb"/>
        <w:shd w:val="clear" w:color="auto" w:fill="FFFFFF"/>
        <w:ind w:left="567" w:hanging="567"/>
        <w:rPr>
          <w:lang w:val="en-GB"/>
        </w:rPr>
      </w:pPr>
      <w:r w:rsidRPr="00B13DA6">
        <w:rPr>
          <w:rStyle w:val="FootnoteReference"/>
          <w:sz w:val="22"/>
          <w:szCs w:val="20"/>
          <w:lang w:val="fr-FR" w:eastAsia="fr-FR"/>
        </w:rPr>
        <w:footnoteRef/>
      </w:r>
      <w:r w:rsidRPr="00B87DD1">
        <w:rPr>
          <w:i/>
          <w:lang w:val="en-GB"/>
        </w:rPr>
        <w:tab/>
        <w:t>Conference on the Future of Europe – Report on the Final Outcome</w:t>
      </w:r>
      <w:r w:rsidRPr="00B87DD1">
        <w:rPr>
          <w:lang w:val="en-GB"/>
        </w:rPr>
        <w:t>, toukokuu 2022, Ehdotus 2 (1, 4, 5) s. 44, Ehdotus 6 (6) s. 48.</w:t>
      </w:r>
    </w:p>
  </w:footnote>
  <w:footnote w:id="28">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Komission tiedonanto Euroopan parlamentille, neuvostolle, Euroopan talous- ja sosiaalikomitealle ja alueiden komitealle – Vuoteen 2030 ulottuva EU:n maaperästrategia – Terveestä maaperästä hyötyä ihmisille, elintarvikkeille, luonnolle ja ilmastolle (COM/2021/699 final).</w:t>
      </w:r>
    </w:p>
  </w:footnote>
  <w:footnote w:id="29">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Neuvoston direktiivi 92/43/ETY, annettu 21 päivänä toukokuuta 1992, luontotyyppien sekä luonnonvaraisen eläimistön ja kasviston suojelusta (EYVL L 206, 22.7.1992, s. 7).</w:t>
      </w:r>
    </w:p>
  </w:footnote>
  <w:footnote w:id="30">
    <w:p w:rsidR="00184958" w:rsidRPr="00B87DD1" w:rsidRDefault="00184958" w:rsidP="00FF7B51">
      <w:pPr>
        <w:pStyle w:val="NormalWeb"/>
        <w:shd w:val="clear" w:color="auto" w:fill="FFFFFF"/>
        <w:ind w:left="567" w:hanging="567"/>
      </w:pPr>
      <w:r w:rsidRPr="00B13DA6">
        <w:rPr>
          <w:rStyle w:val="FootnoteReference"/>
          <w:sz w:val="22"/>
          <w:szCs w:val="20"/>
          <w:lang w:val="fr-FR" w:eastAsia="fr-FR"/>
        </w:rPr>
        <w:footnoteRef/>
      </w:r>
      <w:r w:rsidRPr="00B87DD1">
        <w:tab/>
        <w:t>Euroopan parlamentin ja neuvoston direktiivi 2009/147/EY, annettu 30 päivänä marraskuuta 2009, luonnonvaraisten lintujen suojelusta (EUVL L 20, 26.1.2010, s. 7).</w:t>
      </w:r>
    </w:p>
  </w:footnote>
  <w:footnote w:id="31">
    <w:p w:rsidR="00184958" w:rsidRPr="00B87DD1" w:rsidRDefault="00184958" w:rsidP="00FF7B51">
      <w:pPr>
        <w:pStyle w:val="NormalWeb"/>
        <w:shd w:val="clear" w:color="auto" w:fill="FFFFFF"/>
        <w:ind w:left="567" w:hanging="567"/>
        <w:rPr>
          <w:lang w:val="en-GB"/>
        </w:rPr>
      </w:pPr>
      <w:r w:rsidRPr="00B13DA6">
        <w:rPr>
          <w:rStyle w:val="FootnoteReference"/>
          <w:sz w:val="22"/>
          <w:szCs w:val="20"/>
          <w:lang w:val="fr-FR" w:eastAsia="fr-FR"/>
        </w:rPr>
        <w:footnoteRef/>
      </w:r>
      <w:r w:rsidRPr="00B87DD1">
        <w:rPr>
          <w:lang w:val="en-GB"/>
        </w:rPr>
        <w:tab/>
        <w:t xml:space="preserve">DG Environment. </w:t>
      </w:r>
      <w:proofErr w:type="gramStart"/>
      <w:r w:rsidRPr="00B87DD1">
        <w:rPr>
          <w:lang w:val="en-GB"/>
        </w:rPr>
        <w:t>2017</w:t>
      </w:r>
      <w:proofErr w:type="gramEnd"/>
      <w:r w:rsidRPr="00B87DD1">
        <w:rPr>
          <w:lang w:val="en-GB"/>
        </w:rPr>
        <w:t>, “Reporting under Article 17 of the Habitats Directive: Explanatory notes and guidelines for the period 2013-2018” and DG Environment 2013, “Interpretation manual of European Union habitats Eur 28”.</w:t>
      </w:r>
    </w:p>
  </w:footnote>
  <w:footnote w:id="32">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Euroopan parlamentin ja neuvoston asetus (EU) </w:t>
      </w:r>
      <w:proofErr w:type="gramStart"/>
      <w:r w:rsidRPr="00B87DD1">
        <w:rPr>
          <w:sz w:val="24"/>
          <w:szCs w:val="24"/>
          <w:lang w:val="fi-FI"/>
        </w:rPr>
        <w:t>N:o</w:t>
      </w:r>
      <w:proofErr w:type="gramEnd"/>
      <w:r w:rsidRPr="00B87DD1">
        <w:rPr>
          <w:sz w:val="24"/>
          <w:szCs w:val="24"/>
          <w:lang w:val="fi-FI"/>
        </w:rPr>
        <w:t> 1380/2013, annettu 11 päivänä joulukuuta 2013, yhteisestä kalastuspolitiikasta, neuvoston asetusten (EY) N:o 1954/2003 ja (EY) N:o 1224/2009 muuttamisesta sekä neuvoston asetusten (EY) N:o 2371/2002 ja (EY) N:o 639/2004 ja neuvoston päätöksen 2004/585/EY kumoamisesta (EUVL L 354, 28.12.2013, s. 22).</w:t>
      </w:r>
    </w:p>
  </w:footnote>
  <w:footnote w:id="33">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Koillis-Atlantin meriympäristön suojelusta vuonna 1992 tehty yleissopimus – OSPAR</w:t>
      </w:r>
      <w:r w:rsidRPr="00B87DD1">
        <w:rPr>
          <w:sz w:val="24"/>
          <w:szCs w:val="24"/>
          <w:lang w:val="fi-FI"/>
        </w:rPr>
        <w:noBreakHyphen/>
        <w:t>yleissopimus (OSPAR), Itämeren alueen merellisen ympäristön suojelusta vuonna 1992 tehty yleissopimus – Helsingin yleissopimus (HELCOM), Välimeren merellisen ympäristön ja rannikkoalueiden suojelusta vuonna 1995 tehty yleissopimus – Barcelonan yleissopimus (UNEP-MAP) ja Mustanmeren suojelemisesta vuonna 1992 tehty yleissopimus – Bukarestin yleissopimus.</w:t>
      </w:r>
    </w:p>
  </w:footnote>
  <w:footnote w:id="34">
    <w:p w:rsidR="00184958" w:rsidRPr="00B87DD1" w:rsidRDefault="00184958" w:rsidP="00FF7B51">
      <w:pPr>
        <w:pStyle w:val="FootnoteText"/>
        <w:ind w:left="567" w:hanging="567"/>
        <w:rPr>
          <w:color w:val="000000"/>
          <w:sz w:val="24"/>
          <w:szCs w:val="24"/>
          <w:lang w:val="fi-FI"/>
        </w:rPr>
      </w:pPr>
      <w:r w:rsidRPr="00B13DA6">
        <w:rPr>
          <w:rStyle w:val="FootnoteReference"/>
        </w:rPr>
        <w:footnoteRef/>
      </w:r>
      <w:r w:rsidRPr="00B87DD1">
        <w:rPr>
          <w:sz w:val="24"/>
          <w:szCs w:val="24"/>
          <w:lang w:val="fi-FI"/>
        </w:rPr>
        <w:tab/>
        <w:t>Vysna, V., Maes, J., Petersen, J.E., La Notte, A., Vallecillo, S., Aizpurua, N., Ivits, E., Teller, A., Accounting for ecosystems and their services in the European Union (INCA). INCA</w:t>
      </w:r>
      <w:r w:rsidRPr="00B87DD1">
        <w:rPr>
          <w:sz w:val="24"/>
          <w:szCs w:val="24"/>
          <w:lang w:val="fi-FI"/>
        </w:rPr>
        <w:noBreakHyphen/>
        <w:t>hankkeen toisen vaiheen loppuraportti, jonka tavoitteena on kehittää EU:n ekosysteemitilinpitojärjestelmää koskeva pilottihanke.</w:t>
      </w:r>
      <w:r w:rsidRPr="00B87DD1">
        <w:rPr>
          <w:color w:val="000000"/>
          <w:sz w:val="24"/>
          <w:szCs w:val="24"/>
          <w:lang w:val="fi-FI"/>
        </w:rPr>
        <w:t xml:space="preserve"> Statistical report. Publications office of the European Union, Luxembourg, 2021.</w:t>
      </w:r>
    </w:p>
  </w:footnote>
  <w:footnote w:id="35">
    <w:p w:rsidR="00184958" w:rsidRPr="00B87DD1" w:rsidRDefault="00184958" w:rsidP="00FF7B51">
      <w:pPr>
        <w:pStyle w:val="FootnoteText"/>
        <w:ind w:left="567" w:hanging="567"/>
        <w:rPr>
          <w:color w:val="000000"/>
          <w:sz w:val="24"/>
          <w:szCs w:val="24"/>
          <w:lang w:val="fi-FI"/>
        </w:rPr>
      </w:pPr>
      <w:r w:rsidRPr="00B13DA6">
        <w:rPr>
          <w:rStyle w:val="FootnoteReference"/>
        </w:rPr>
        <w:footnoteRef/>
      </w:r>
      <w:r w:rsidRPr="00B87DD1">
        <w:rPr>
          <w:color w:val="000000"/>
          <w:sz w:val="24"/>
          <w:szCs w:val="24"/>
          <w:shd w:val="clear" w:color="auto" w:fill="FFFFFF"/>
          <w:lang w:val="fi-FI"/>
        </w:rPr>
        <w:tab/>
        <w:t>Komission tiedonanto Euroopan parlamentille, neuvostolle, Euroopan talous- ja sosiaalikomitealle ja alueiden komitealle: Pölyttäjiä koskeva EU:n aloite</w:t>
      </w:r>
      <w:r w:rsidRPr="00B87DD1">
        <w:rPr>
          <w:color w:val="000000"/>
          <w:sz w:val="24"/>
          <w:szCs w:val="24"/>
          <w:lang w:val="fi-FI"/>
        </w:rPr>
        <w:t xml:space="preserve"> (</w:t>
      </w:r>
      <w:proofErr w:type="gramStart"/>
      <w:r w:rsidRPr="00B87DD1">
        <w:rPr>
          <w:color w:val="000000"/>
          <w:sz w:val="24"/>
          <w:szCs w:val="24"/>
          <w:lang w:val="fi-FI"/>
        </w:rPr>
        <w:t>COM(</w:t>
      </w:r>
      <w:proofErr w:type="gramEnd"/>
      <w:r w:rsidRPr="00B87DD1">
        <w:rPr>
          <w:color w:val="000000"/>
          <w:sz w:val="24"/>
          <w:szCs w:val="24"/>
          <w:lang w:val="fi-FI"/>
        </w:rPr>
        <w:t>2018) 395 final).</w:t>
      </w:r>
    </w:p>
  </w:footnote>
  <w:footnote w:id="36">
    <w:p w:rsidR="00184958" w:rsidRPr="00B87DD1" w:rsidRDefault="00184958" w:rsidP="00FF7B51">
      <w:pPr>
        <w:pStyle w:val="FootnoteText"/>
        <w:ind w:left="567" w:hanging="567"/>
        <w:rPr>
          <w:color w:val="000000"/>
          <w:sz w:val="24"/>
          <w:szCs w:val="24"/>
          <w:lang w:val="fi-FI"/>
        </w:rPr>
      </w:pPr>
      <w:r w:rsidRPr="00B13DA6">
        <w:rPr>
          <w:rStyle w:val="FootnoteReference"/>
        </w:rPr>
        <w:footnoteRef/>
      </w:r>
      <w:r w:rsidRPr="00B87DD1">
        <w:rPr>
          <w:color w:val="000000"/>
          <w:sz w:val="24"/>
          <w:szCs w:val="24"/>
          <w:lang w:val="fi-FI"/>
        </w:rPr>
        <w:tab/>
        <w:t>Komission tiedonanto Euroopan parlamentille, neuvostolle, Euroopan talous- ja sosiaalikomitealle ja alueiden komitealle Pölyttäjiä koskevan EU:n aloitteen täytäntöönpanon edistyminen (</w:t>
      </w:r>
      <w:proofErr w:type="gramStart"/>
      <w:r w:rsidRPr="00B87DD1">
        <w:rPr>
          <w:color w:val="000000"/>
          <w:sz w:val="24"/>
          <w:szCs w:val="24"/>
          <w:lang w:val="fi-FI"/>
        </w:rPr>
        <w:t>COM(</w:t>
      </w:r>
      <w:proofErr w:type="gramEnd"/>
      <w:r w:rsidRPr="00B87DD1">
        <w:rPr>
          <w:color w:val="000000"/>
          <w:sz w:val="24"/>
          <w:szCs w:val="24"/>
          <w:lang w:val="fi-FI"/>
        </w:rPr>
        <w:t>2021) 261 final).</w:t>
      </w:r>
    </w:p>
  </w:footnote>
  <w:footnote w:id="37">
    <w:p w:rsidR="00184958" w:rsidRPr="00B87DD1" w:rsidRDefault="00184958" w:rsidP="00FF7B51">
      <w:pPr>
        <w:pStyle w:val="FootnoteText"/>
        <w:ind w:left="567" w:hanging="567"/>
        <w:rPr>
          <w:color w:val="000000"/>
          <w:sz w:val="24"/>
          <w:szCs w:val="24"/>
          <w:lang w:val="fi-FI"/>
        </w:rPr>
      </w:pPr>
      <w:r w:rsidRPr="00B13DA6">
        <w:rPr>
          <w:rStyle w:val="FootnoteReference"/>
        </w:rPr>
        <w:footnoteRef/>
      </w:r>
      <w:r w:rsidRPr="00B87DD1">
        <w:rPr>
          <w:color w:val="000000"/>
          <w:sz w:val="24"/>
          <w:szCs w:val="24"/>
          <w:lang w:val="fi-FI"/>
        </w:rPr>
        <w:tab/>
        <w:t>Euroopan parlamentin 9 päivänä kesäkuuta 2021 antama päätöslauselma vuoteen 2030 ulottuvasta EU:n biodiversiteettistrategiasta: Luonto takaisin osaksi elämäämme (2020/2273(INI)), osoitteessa https://www.europarl.europa.eu/doceo/document/TA</w:t>
      </w:r>
      <w:r w:rsidRPr="00B87DD1">
        <w:rPr>
          <w:color w:val="000000"/>
          <w:sz w:val="24"/>
          <w:szCs w:val="24"/>
          <w:lang w:val="fi-FI"/>
        </w:rPr>
        <w:noBreakHyphen/>
        <w:t>9</w:t>
      </w:r>
      <w:r w:rsidRPr="00B87DD1">
        <w:rPr>
          <w:color w:val="000000"/>
          <w:sz w:val="24"/>
          <w:szCs w:val="24"/>
          <w:lang w:val="fi-FI"/>
        </w:rPr>
        <w:noBreakHyphen/>
        <w:t>2021</w:t>
      </w:r>
      <w:r w:rsidRPr="00B87DD1">
        <w:rPr>
          <w:color w:val="000000"/>
          <w:sz w:val="24"/>
          <w:szCs w:val="24"/>
          <w:lang w:val="fi-FI"/>
        </w:rPr>
        <w:noBreakHyphen/>
        <w:t>0277_FI.pdf.</w:t>
      </w:r>
    </w:p>
  </w:footnote>
  <w:footnote w:id="38">
    <w:p w:rsidR="00184958" w:rsidRPr="00B87DD1" w:rsidRDefault="00184958" w:rsidP="00FF7B51">
      <w:pPr>
        <w:pStyle w:val="FootnoteText"/>
        <w:ind w:left="567" w:hanging="567"/>
        <w:rPr>
          <w:color w:val="000000"/>
          <w:sz w:val="24"/>
          <w:szCs w:val="24"/>
          <w:lang w:val="fi-FI"/>
        </w:rPr>
      </w:pPr>
      <w:r w:rsidRPr="00B13DA6">
        <w:rPr>
          <w:rStyle w:val="FootnoteReference"/>
        </w:rPr>
        <w:footnoteRef/>
      </w:r>
      <w:r w:rsidRPr="00B87DD1">
        <w:rPr>
          <w:color w:val="000000"/>
          <w:sz w:val="24"/>
          <w:szCs w:val="24"/>
          <w:lang w:val="fi-FI"/>
        </w:rPr>
        <w:tab/>
        <w:t>Neuvoston 17 päivänä joulukuuta 2020 antamat päätelmät Euroopan tilintarkastustuomioistuimen erityiskertomuksesta 15/2020 ”Luonnonvaraisten pölyttäjien suojelu EU:ssa: komission aloitteet eivät ole kantaneet hedelmää (14168/20).</w:t>
      </w:r>
    </w:p>
  </w:footnote>
  <w:footnote w:id="39">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 xml:space="preserve">Erityiskertomus 15/2020, </w:t>
      </w:r>
      <w:hyperlink r:id="rId10">
        <w:r w:rsidRPr="00B87DD1">
          <w:rPr>
            <w:rStyle w:val="Internetlnk"/>
            <w:sz w:val="24"/>
            <w:szCs w:val="24"/>
            <w:lang w:val="fi-FI"/>
          </w:rPr>
          <w:t>https://www.eca.europa.eu/Lists/ECADocuments/SR20_15/SR_Pollinators_EN.pdf</w:t>
        </w:r>
      </w:hyperlink>
      <w:r w:rsidRPr="00B87DD1">
        <w:rPr>
          <w:sz w:val="24"/>
          <w:szCs w:val="24"/>
          <w:lang w:val="fi-FI"/>
        </w:rPr>
        <w:t> </w:t>
      </w:r>
    </w:p>
  </w:footnote>
  <w:footnote w:id="40">
    <w:p w:rsidR="00184958" w:rsidRPr="00B87DD1" w:rsidRDefault="00184958" w:rsidP="00FF7B51">
      <w:pPr>
        <w:pStyle w:val="FootnoteText"/>
        <w:ind w:left="567" w:hanging="567"/>
        <w:rPr>
          <w:b/>
          <w:i/>
          <w:sz w:val="24"/>
          <w:szCs w:val="24"/>
          <w:lang w:val="fi-FI"/>
        </w:rPr>
      </w:pPr>
      <w:r w:rsidRPr="00B87DD1">
        <w:rPr>
          <w:rStyle w:val="FootnoteReference"/>
          <w:bCs/>
          <w:i/>
          <w:sz w:val="24"/>
          <w:szCs w:val="24"/>
        </w:rPr>
        <w:footnoteRef/>
      </w:r>
      <w:r w:rsidRPr="00B87DD1">
        <w:rPr>
          <w:b/>
          <w:i/>
          <w:sz w:val="24"/>
          <w:szCs w:val="24"/>
          <w:lang w:val="fi-FI"/>
        </w:rPr>
        <w:tab/>
        <w:t>Komission tiedonanto Euroopan parlamentille, neuvostolle, Euroopan talous- ja sosiaalikomitealle ja alueiden komitealle: Pölyttäjiä koskevan EU:n aloitteen tarkistaminen. Pölyttäjien olosuhteiden parantaminen (COM (2023) 35 final).</w:t>
      </w:r>
    </w:p>
  </w:footnote>
  <w:footnote w:id="41">
    <w:p w:rsidR="00184958" w:rsidRPr="00B87DD1" w:rsidRDefault="00184958" w:rsidP="00FF7B51">
      <w:pPr>
        <w:pStyle w:val="FootnoteText"/>
        <w:ind w:left="567" w:hanging="567"/>
        <w:rPr>
          <w:sz w:val="24"/>
          <w:szCs w:val="24"/>
          <w:lang w:val="fi-FI"/>
        </w:rPr>
      </w:pPr>
      <w:r w:rsidRPr="00B13DA6">
        <w:rPr>
          <w:rStyle w:val="FootnoteReference"/>
        </w:rPr>
        <w:footnoteRef/>
      </w:r>
      <w:hyperlink r:id="rId11">
        <w:r w:rsidRPr="00B87DD1">
          <w:rPr>
            <w:rStyle w:val="Internetlnk"/>
            <w:sz w:val="24"/>
            <w:szCs w:val="24"/>
            <w:lang w:val="fi-FI"/>
          </w:rPr>
          <w:tab/>
          <w:t>European Redlist - Environment - European Commission (europa.eu)</w:t>
        </w:r>
      </w:hyperlink>
    </w:p>
  </w:footnote>
  <w:footnote w:id="42">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 xml:space="preserve">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w:t>
      </w:r>
      <w:proofErr w:type="gramStart"/>
      <w:r w:rsidRPr="00B87DD1">
        <w:rPr>
          <w:sz w:val="24"/>
          <w:szCs w:val="24"/>
          <w:lang w:val="fi-FI"/>
        </w:rPr>
        <w:t>N:o</w:t>
      </w:r>
      <w:proofErr w:type="gramEnd"/>
      <w:r w:rsidRPr="00B87DD1">
        <w:rPr>
          <w:sz w:val="24"/>
          <w:szCs w:val="24"/>
          <w:lang w:val="fi-FI"/>
        </w:rPr>
        <w:t> 1305/2013 ja (EU) N:o 1307/2013 kumoamisesta (EUVL L 435, 6.12.2021, s. 1).</w:t>
      </w:r>
    </w:p>
  </w:footnote>
  <w:footnote w:id="43">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Jos viljelijä sitoutuu pitämään vähintään seitsemän prosenttia peltoalastaan muuna kuin tuottavana alana tai piirteenä, kesantoala mukaan lukien, tehostetussa ekojärjestelmässä, tai jos vähintään seitsemässä prosentissa maatilan peltoalasta on kerääjäkasveja tai typpeä sitovia kasveja, joita viljellään ilman kasvinsuojeluaineita.</w:t>
      </w:r>
    </w:p>
  </w:footnote>
  <w:footnote w:id="44">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Uudelleenvesittäminen on prosessi, jossa kuivatettu maa muutetaan kosteaksi maaperäksi. Chapter 1 of IPCC 2014, 2013 and Supplement to the 2006 IPCC Guidelines for National Greenhouse Gas Inventories: Wetlands, Hiraishi, T., Krug, T., Tanabe, K., Srivastava, N., Baasansuren, J., Fukuda, M. and Troxler, T.G. (eds).</w:t>
      </w:r>
    </w:p>
  </w:footnote>
  <w:footnote w:id="45">
    <w:p w:rsidR="00184958" w:rsidRPr="00B87DD1" w:rsidRDefault="00184958" w:rsidP="00FF7B51">
      <w:pPr>
        <w:pStyle w:val="FootnoteText"/>
        <w:ind w:left="567" w:hanging="567"/>
        <w:rPr>
          <w:sz w:val="24"/>
          <w:szCs w:val="24"/>
          <w:lang w:val="fi-FI"/>
        </w:rPr>
      </w:pPr>
      <w:r w:rsidRPr="00B13DA6">
        <w:rPr>
          <w:rStyle w:val="FootnoteReference"/>
        </w:rPr>
        <w:footnoteRef/>
      </w:r>
      <w:r w:rsidRPr="00B87DD1">
        <w:rPr>
          <w:sz w:val="24"/>
          <w:szCs w:val="24"/>
          <w:lang w:val="fi-FI"/>
        </w:rPr>
        <w:tab/>
        <w:t>Termi ’orgaaninen maaperä’ määritellään IPCC:n vuoden 2006 ohjeissa kansallisista kasvihuonekaasuinventaarioista (National Greenhouse Gas Inventories Programme, Eggleston H.S., Buendia L., Miwa K., Ngara T. and Tanabe K. (eds)).</w:t>
      </w:r>
    </w:p>
  </w:footnote>
  <w:footnote w:id="46">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Komission tiedonanto Euroopan parlamentille, neuvostolle, Euroopan talous- ja sosiaalikomitealle ja alueiden komitealle: Uusi EU:n metsästrategia 2030 (</w:t>
      </w:r>
      <w:proofErr w:type="gramStart"/>
      <w:r w:rsidRPr="00B87DD1">
        <w:rPr>
          <w:sz w:val="24"/>
          <w:szCs w:val="24"/>
          <w:lang w:val="fi-FI"/>
        </w:rPr>
        <w:t>COM(</w:t>
      </w:r>
      <w:proofErr w:type="gramEnd"/>
      <w:r w:rsidRPr="00B87DD1">
        <w:rPr>
          <w:sz w:val="24"/>
          <w:szCs w:val="24"/>
          <w:lang w:val="fi-FI"/>
        </w:rPr>
        <w:t>2021) 572 final).</w:t>
      </w:r>
    </w:p>
  </w:footnote>
  <w:footnote w:id="47">
    <w:p w:rsidR="00184958" w:rsidRPr="00B87DD1" w:rsidRDefault="00184958" w:rsidP="00FF7B51">
      <w:pPr>
        <w:pStyle w:val="FootnoteText"/>
        <w:ind w:left="567" w:hanging="567"/>
        <w:rPr>
          <w:color w:val="000000"/>
          <w:sz w:val="24"/>
          <w:szCs w:val="24"/>
          <w:lang w:val="fi-FI"/>
        </w:rPr>
      </w:pPr>
      <w:r w:rsidRPr="00B87DD1">
        <w:rPr>
          <w:rStyle w:val="FootnoteReference"/>
        </w:rPr>
        <w:footnoteRef/>
      </w:r>
      <w:r w:rsidRPr="00B87DD1">
        <w:rPr>
          <w:sz w:val="24"/>
          <w:szCs w:val="24"/>
          <w:lang w:val="fi-FI"/>
        </w:rPr>
        <w:tab/>
        <w:t>Euroopan parlamentin ja neuvoston asetus (EU) 2019/1241, annettu 20 päivänä kesäkuuta 2019, kalavarojen säilyttämisestä ja meriekosysteemien suojelemisesta teknisten toimenpiteiden avulla, neuvoston asetusten (EY) N:o 1967/2006, (EY) N:o 1224/2009 ja Euroopan parlamentin ja neuvoston asetusten (EU) N:o 1380/2013, (EU) 2016/1139, (EU) 2018/973, (EU) 2019/472 ja (EU) 2019/1022 muuttamisesta sekä neuvoston asetusten (EY) N:o 894/97, (EY) N:o 850/98, (EY) N:o 2549/2000, (EY) N:o 254/2002, (EY) N:o 812/2004 ja (EY) N:o 2187/2005 kumoamisesta (EUVL L 198, 25.7.2019, s. 105).</w:t>
      </w:r>
    </w:p>
  </w:footnote>
  <w:footnote w:id="48">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color w:val="000000"/>
          <w:sz w:val="24"/>
          <w:szCs w:val="24"/>
          <w:lang w:val="fi-FI"/>
        </w:rPr>
        <w:tab/>
        <w:t>Euroopan parlamentin ja neuvoston direktiivi (EU) 2018/2001, annettu 11 päivänä joulukuuta 2018, uusiutuvista lähteistä peräisin olevan energian käytön edistämisestä (EUVL L 328, 21.12.2018, s. 82).</w:t>
      </w:r>
    </w:p>
  </w:footnote>
  <w:footnote w:id="49">
    <w:p w:rsidR="00184958" w:rsidRPr="00B87DD1" w:rsidRDefault="00184958" w:rsidP="00FF7B51">
      <w:pPr>
        <w:pStyle w:val="FootnoteText"/>
        <w:ind w:left="567" w:hanging="567"/>
        <w:rPr>
          <w:color w:val="000000"/>
          <w:sz w:val="24"/>
          <w:szCs w:val="24"/>
          <w:lang w:val="fi-FI"/>
        </w:rPr>
      </w:pPr>
      <w:r w:rsidRPr="00B87DD1">
        <w:rPr>
          <w:rStyle w:val="FootnoteReference"/>
        </w:rPr>
        <w:footnoteRef/>
      </w:r>
      <w:r w:rsidRPr="00B87DD1">
        <w:rPr>
          <w:color w:val="000000"/>
          <w:sz w:val="24"/>
          <w:szCs w:val="24"/>
          <w:lang w:val="fi-FI"/>
        </w:rPr>
        <w:tab/>
        <w:t>Euroopan parlamentin ja neuvoston asetus (EU) 2018/1999, annettu 11 päivänä joulukuuta 2018, energiaunionin ja ilmastotoimien hallinnosta, Euroopan parlamentin ja neuvoston asetusten (EY) N:o 663/2009 ja (EY) N:o 715/2009, Euroopan parlamentin ja neuvoston direktiivien 94/22/EY, 98/70/EY, 2009/31/EY, 2009/73/EY, 2010/31/EU, 2012/27/EU ja 2013/30/EU, neuvoston direktiivien 2009/119/EY ja (EU) 2015/652 muuttamisesta sekä Euroopan parlamentin ja neuvoston asetuksen (EU) N:o 525/2013 kumoamisesta (EUVL L 328, 21.12.2018, s. 1).</w:t>
      </w:r>
    </w:p>
  </w:footnote>
  <w:footnote w:id="50">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color w:val="000000"/>
          <w:sz w:val="24"/>
          <w:szCs w:val="24"/>
          <w:lang w:val="fi-FI"/>
        </w:rPr>
        <w:tab/>
        <w:t>Euroopan parlamentin ja neuvoston direktiivi 98/70/EY, annettu 13 päivänä lokakuuta 1998, bensiinin ja dieselpolttoaineiden laadusta ja neuvoston direktiivin 93/12/ETY muuttamisesta (EYVL L 350, 28.12.1998, s. 58).</w:t>
      </w:r>
      <w:r w:rsidRPr="00B87DD1">
        <w:rPr>
          <w:sz w:val="24"/>
          <w:szCs w:val="24"/>
          <w:lang w:val="fi-FI"/>
        </w:rPr>
        <w:t xml:space="preserve"> </w:t>
      </w:r>
    </w:p>
    <w:p w:rsidR="00184958" w:rsidRPr="00B87DD1" w:rsidRDefault="00184958" w:rsidP="00FF7B51">
      <w:pPr>
        <w:pStyle w:val="FootnoteText"/>
        <w:ind w:left="567" w:hanging="567"/>
        <w:rPr>
          <w:color w:val="000000"/>
          <w:sz w:val="24"/>
          <w:szCs w:val="24"/>
          <w:lang w:val="fi-FI"/>
        </w:rPr>
      </w:pPr>
      <w:r w:rsidRPr="00B87DD1">
        <w:rPr>
          <w:snapToGrid w:val="0"/>
          <w:sz w:val="24"/>
          <w:szCs w:val="24"/>
          <w:lang w:val="fi-FI"/>
        </w:rPr>
        <w:t>▌</w:t>
      </w:r>
    </w:p>
  </w:footnote>
  <w:footnote w:id="51">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Neuvoston direktiivi 92/43/ETY, annettu 21 päivänä toukokuuta 1992, luontotyyppien sekä luonnonvaraisen eläimistön ja kasviston suojelusta (EYVL L 206, 22.7.1992, s. 7).</w:t>
      </w:r>
    </w:p>
  </w:footnote>
  <w:footnote w:id="52">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Komission tiedonanto Euroopan parlamentille, neuvostolle, Euroopan talous- ja sosiaalikomitealle ja alueiden komitealle: Euroopan unionin missiot (</w:t>
      </w:r>
      <w:proofErr w:type="gramStart"/>
      <w:r w:rsidRPr="00B87DD1">
        <w:rPr>
          <w:sz w:val="24"/>
          <w:szCs w:val="24"/>
          <w:lang w:val="fi-FI"/>
        </w:rPr>
        <w:t>COM(</w:t>
      </w:r>
      <w:proofErr w:type="gramEnd"/>
      <w:r w:rsidRPr="00B87DD1">
        <w:rPr>
          <w:sz w:val="24"/>
          <w:szCs w:val="24"/>
          <w:lang w:val="fi-FI"/>
        </w:rPr>
        <w:t>2021) 609 final).</w:t>
      </w:r>
    </w:p>
  </w:footnote>
  <w:footnote w:id="53">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direktiivi 2003/4/EY, annettu 28 päivänä tammikuuta 2003, ympäristötiedon julkisesta saatavuudesta ja neuvoston direktiivin 90/313/ETY kumoamisesta (EUVL L 41, 14.2.2003, s. 26).</w:t>
      </w:r>
    </w:p>
  </w:footnote>
  <w:footnote w:id="54">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direktiivi 2007/2/EY, annettu 14 päivänä maaliskuuta 2007, Euroopan yhteisön paikkatietoinfrastruktuurin (INSPIRE) perustamisesta (EUVL L 108, 25.4.2007, s. 1).</w:t>
      </w:r>
    </w:p>
  </w:footnote>
  <w:footnote w:id="55">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direktiivi (EU) 2019/1024, annettu 20 päivänä kesäkuuta 2019, avoimesta datasta ja julkisen sektorin hallussa olevien tietojen uudelleenkäytöstä (EUVL L 172, 26.6.2019, s. 56).</w:t>
      </w:r>
    </w:p>
  </w:footnote>
  <w:footnote w:id="56">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Euroopan parlamentin ja neuvoston asetus (EU) 2021/240, annettu </w:t>
      </w:r>
      <w:r w:rsidRPr="00B87DD1">
        <w:rPr>
          <w:sz w:val="24"/>
          <w:szCs w:val="24"/>
          <w:shd w:val="clear" w:color="auto" w:fill="FFFFFF"/>
          <w:lang w:val="fi-FI"/>
        </w:rPr>
        <w:t>10 päivänä helmikuuta 2021, teknisen tuen välineen perustamisesta (</w:t>
      </w:r>
      <w:r w:rsidRPr="00B87DD1">
        <w:rPr>
          <w:rStyle w:val="Betonad"/>
          <w:color w:val="444444"/>
          <w:sz w:val="24"/>
          <w:szCs w:val="24"/>
          <w:shd w:val="clear" w:color="auto" w:fill="FFFFFF"/>
          <w:lang w:val="fi-FI"/>
        </w:rPr>
        <w:t>EUVL L 57, 18.2.2021, s. 1</w:t>
      </w:r>
      <w:r w:rsidRPr="00B87DD1">
        <w:rPr>
          <w:sz w:val="24"/>
          <w:szCs w:val="24"/>
          <w:shd w:val="clear" w:color="auto" w:fill="FFFFFF"/>
          <w:lang w:val="fi-FI"/>
        </w:rPr>
        <w:t>).</w:t>
      </w:r>
    </w:p>
  </w:footnote>
  <w:footnote w:id="57">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Euroopan parlamentin ja neuvoston asetus (EU) 2021/783, annettu 29 päivänä huhtikuuta 2021, ympäristön ja ilmastotoimien ohjelman (Life) perustamisesta ja asetuksen (EU) </w:t>
      </w:r>
      <w:proofErr w:type="gramStart"/>
      <w:r w:rsidRPr="00B87DD1">
        <w:rPr>
          <w:sz w:val="24"/>
          <w:szCs w:val="24"/>
          <w:lang w:val="fi-FI"/>
        </w:rPr>
        <w:t>N:o</w:t>
      </w:r>
      <w:proofErr w:type="gramEnd"/>
      <w:r w:rsidRPr="00B87DD1">
        <w:rPr>
          <w:sz w:val="24"/>
          <w:szCs w:val="24"/>
          <w:lang w:val="fi-FI"/>
        </w:rPr>
        <w:t> 1293/2013 kumoamisesta (EUVL L 172, 17.5.2021, s. 53).</w:t>
      </w:r>
    </w:p>
  </w:footnote>
  <w:footnote w:id="58">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asetus (EU) 2021/1139, annettu 7 päivänä heinäkuuta 2021, Euroopan meri-, kalatalous- ja vesiviljelyrahaston perustamisesta ja asetuksen (EU) 2017/1004 muuttamisesta (EUVL L 247, 13.7.2021, s. 1).</w:t>
      </w:r>
    </w:p>
  </w:footnote>
  <w:footnote w:id="59">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asetus (EU) 2020/2220, annettu 23 päivänä joulukuuta 2020, tiettyjen siirtymäsäännösten vahvistamisesta Euroopan maaseudun kehittämisen maatalousrahaston (maaseuturahasto) ja Euroopan maatalouden tukirahaston (maataloustukirahasto) tukea varten vuosina 2021 ja 2022 sekä asetusten (EU) N:o 1305/2013, (EU) N:o 1306/2013 ja (EU) N:o 1307/2013 muuttamisesta varojen ja soveltamisen osalta vuosina 2021 ja 2022 ja asetuksen (EU) N:o 1308/2013 muuttamisesta varojen ja tällaisen tuen jakamisen osalta vuosina 2021 ja 2022 (EUVL L 437, 28.12.2020, s. 1).</w:t>
      </w:r>
    </w:p>
  </w:footnote>
  <w:footnote w:id="60">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asetus (EU) 2021/1058, annettu 24 päivänä kesäkuuta 2021, Euroopan aluekehitysrahastosta ja koheesiorahastosta (EUVL L 231, 30.6.2021, s. 60).</w:t>
      </w:r>
    </w:p>
  </w:footnote>
  <w:footnote w:id="61">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Euroopan parlamentin ja neuvoston asetus (EU) 2021/1056, annettu 24 päivänä kesäkuuta 2021, oikeudenmukaisen siirtymän rahaston perustamisesta (EUVL L 231, 30.6.2021, s. 1).</w:t>
      </w:r>
    </w:p>
  </w:footnote>
  <w:footnote w:id="62">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Euroopan parlamentin ja neuvoston asetus (EU) 2021/695, annettu 28 päivänä huhtikuuta 2021, tutkimuksen ja innovoinnin puiteohjelmasta ”Horisontti Eurooppa”, sen osallistumista ja tulosten levittämistä koskevista säännöistä sekä asetusten (EU) </w:t>
      </w:r>
      <w:proofErr w:type="gramStart"/>
      <w:r w:rsidRPr="00B87DD1">
        <w:rPr>
          <w:sz w:val="24"/>
          <w:szCs w:val="24"/>
          <w:lang w:val="fi-FI"/>
        </w:rPr>
        <w:t>N:o</w:t>
      </w:r>
      <w:proofErr w:type="gramEnd"/>
      <w:r w:rsidRPr="00B87DD1">
        <w:rPr>
          <w:sz w:val="24"/>
          <w:szCs w:val="24"/>
          <w:lang w:val="fi-FI"/>
        </w:rPr>
        <w:t> 1290/2013 ja (EU) N:o 1291/2013 kumoamisesta (EUVL L 170, 12.5.2021, s. 1).</w:t>
      </w:r>
    </w:p>
  </w:footnote>
  <w:footnote w:id="63">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Neuvoston asetus (EU, Euratom) 2020/2093, annettu 17 päivänä joulukuuta 2020, vuosia 2021–2027 koskevan monivuotisen rahoituskehyksen vahvistamisesta (EUVL L 433I, 22.12.2020, s. 11).</w:t>
      </w:r>
    </w:p>
  </w:footnote>
  <w:footnote w:id="64">
    <w:p w:rsidR="00184958" w:rsidRPr="00B87DD1" w:rsidRDefault="00184958" w:rsidP="00FF7B51">
      <w:pPr>
        <w:pStyle w:val="FootnoteText"/>
        <w:ind w:left="567" w:hanging="567"/>
        <w:rPr>
          <w:sz w:val="24"/>
          <w:szCs w:val="24"/>
          <w:lang w:val="fi-FI"/>
        </w:rPr>
      </w:pPr>
      <w:r w:rsidRPr="00B87DD1">
        <w:rPr>
          <w:rStyle w:val="FootnoteCharacters"/>
          <w:sz w:val="24"/>
          <w:szCs w:val="24"/>
        </w:rPr>
        <w:footnoteRef/>
      </w:r>
      <w:r w:rsidRPr="00B87DD1">
        <w:rPr>
          <w:sz w:val="24"/>
          <w:szCs w:val="24"/>
          <w:lang w:val="fi-FI"/>
        </w:rPr>
        <w:tab/>
        <w:t>Euroopan parlamentin ja neuvoston asetus (EU) 2021/241, annettu 12 päivänä helmikuuta 2021, elpymis- ja palautumistukivälineen perustamisesta (EUVL L 57, 18.2.2021, s. 17).</w:t>
      </w:r>
    </w:p>
  </w:footnote>
  <w:footnote w:id="65">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color w:val="444444"/>
          <w:sz w:val="24"/>
          <w:szCs w:val="24"/>
          <w:shd w:val="clear" w:color="auto" w:fill="FFFFFF"/>
          <w:lang w:val="fi-FI"/>
        </w:rPr>
        <w:tab/>
      </w:r>
      <w:r w:rsidRPr="00B87DD1">
        <w:rPr>
          <w:sz w:val="24"/>
          <w:szCs w:val="24"/>
          <w:lang w:val="fi-FI"/>
        </w:rPr>
        <w:t>Euroopan parlamentin ja neuvoston asetus (EU) 2021/523, annettu 24 päivänä maaliskuuta 2021, InvestEU-ohjelman perustamisesta ja asetuksen (EU) 2015/1017 muuttamisesta (</w:t>
      </w:r>
      <w:r w:rsidRPr="00B87DD1">
        <w:rPr>
          <w:iCs/>
          <w:sz w:val="24"/>
          <w:szCs w:val="24"/>
          <w:lang w:val="fi-FI"/>
        </w:rPr>
        <w:t>EUVL L 107, 26.3.2021, s. 30</w:t>
      </w:r>
      <w:r w:rsidRPr="00B87DD1">
        <w:rPr>
          <w:sz w:val="24"/>
          <w:szCs w:val="24"/>
          <w:lang w:val="fi-FI"/>
        </w:rPr>
        <w:t>).</w:t>
      </w:r>
    </w:p>
  </w:footnote>
  <w:footnote w:id="66">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Komission tiedonanto Euroopan parlamentille ja neuvostolle – Kestävä hiilikierto (</w:t>
      </w:r>
      <w:proofErr w:type="gramStart"/>
      <w:r w:rsidRPr="00B87DD1">
        <w:rPr>
          <w:sz w:val="24"/>
          <w:szCs w:val="24"/>
          <w:lang w:val="fi-FI"/>
        </w:rPr>
        <w:t>COM(</w:t>
      </w:r>
      <w:proofErr w:type="gramEnd"/>
      <w:r w:rsidRPr="00B87DD1">
        <w:rPr>
          <w:sz w:val="24"/>
          <w:szCs w:val="24"/>
          <w:lang w:val="fi-FI"/>
        </w:rPr>
        <w:t>2021) 800 final).</w:t>
      </w:r>
    </w:p>
  </w:footnote>
  <w:footnote w:id="67">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Euroopan parlamentin ja neuvoston asetus (EU) 2021/2115, annettu 2 päivänä joulukuuta 2021, jäsenvaltioiden yhteisen maatalouspolitiikan nojalla laadittavien, Euroopan maatalouden tukirahastosta (maataloustukirahasto) ja Euroopan maaseudun kehittämisen maatalousrahastosta (maaseuturahasto) rahoitettavien strategiasuunnitelmien (YMP:n strategiasuunnitelmat) tukea koskevista säännöistä sekä asetusten (EU) </w:t>
      </w:r>
      <w:proofErr w:type="gramStart"/>
      <w:r w:rsidRPr="00B87DD1">
        <w:rPr>
          <w:sz w:val="24"/>
          <w:szCs w:val="24"/>
          <w:lang w:val="fi-FI"/>
        </w:rPr>
        <w:t>N:o</w:t>
      </w:r>
      <w:proofErr w:type="gramEnd"/>
      <w:r w:rsidRPr="00B87DD1">
        <w:rPr>
          <w:sz w:val="24"/>
          <w:szCs w:val="24"/>
          <w:lang w:val="fi-FI"/>
        </w:rPr>
        <w:t> 1305/2013 ja (EU) N:o 1307/2013 kumoamisesta</w:t>
      </w:r>
      <w:r w:rsidR="009211A5">
        <w:rPr>
          <w:sz w:val="24"/>
          <w:szCs w:val="24"/>
          <w:lang w:val="fi-FI"/>
        </w:rPr>
        <w:t xml:space="preserve"> </w:t>
      </w:r>
      <w:r w:rsidR="009211A5" w:rsidRPr="009211A5">
        <w:rPr>
          <w:sz w:val="24"/>
          <w:szCs w:val="24"/>
          <w:lang w:val="fi-FI"/>
        </w:rPr>
        <w:t>(</w:t>
      </w:r>
      <w:r w:rsidR="009211A5">
        <w:rPr>
          <w:sz w:val="24"/>
          <w:szCs w:val="24"/>
          <w:lang w:val="fi-FI"/>
        </w:rPr>
        <w:t>EUVL</w:t>
      </w:r>
      <w:r w:rsidR="009211A5" w:rsidRPr="009211A5">
        <w:rPr>
          <w:sz w:val="24"/>
          <w:szCs w:val="24"/>
          <w:lang w:val="fi-FI"/>
        </w:rPr>
        <w:t xml:space="preserve"> L 435, 6.12.2021, </w:t>
      </w:r>
      <w:r w:rsidR="009211A5">
        <w:rPr>
          <w:sz w:val="24"/>
          <w:szCs w:val="24"/>
          <w:lang w:val="fi-FI"/>
        </w:rPr>
        <w:t>s</w:t>
      </w:r>
      <w:r w:rsidR="009211A5" w:rsidRPr="009211A5">
        <w:rPr>
          <w:sz w:val="24"/>
          <w:szCs w:val="24"/>
          <w:lang w:val="fi-FI"/>
        </w:rPr>
        <w:t>. 1)</w:t>
      </w:r>
      <w:r w:rsidRPr="00B87DD1">
        <w:rPr>
          <w:sz w:val="24"/>
          <w:szCs w:val="24"/>
          <w:lang w:val="fi-FI"/>
        </w:rPr>
        <w:t>.</w:t>
      </w:r>
    </w:p>
  </w:footnote>
  <w:footnote w:id="68">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[Viittaus lisätään, kun kahdeksas ympäristöohjelma on julkaistu].</w:t>
      </w:r>
    </w:p>
  </w:footnote>
  <w:footnote w:id="69">
    <w:p w:rsidR="009211A5" w:rsidRPr="009211A5" w:rsidRDefault="009211A5" w:rsidP="009211A5">
      <w:pPr>
        <w:pStyle w:val="FootnoteText"/>
        <w:rPr>
          <w:lang w:val="fi-FI"/>
        </w:rPr>
      </w:pPr>
      <w:r>
        <w:rPr>
          <w:rStyle w:val="FootnoteReference"/>
        </w:rPr>
        <w:footnoteRef/>
      </w:r>
      <w:r w:rsidRPr="009211A5">
        <w:rPr>
          <w:lang w:val="fi-FI"/>
        </w:rPr>
        <w:tab/>
        <w:t xml:space="preserve">Euroopan parlamentin, Euroopan unionin neuvoston ja Euroopan komission välinen toimielinten sopimus paremmasta lainsäädännöstä </w:t>
      </w:r>
      <w:r>
        <w:rPr>
          <w:lang w:val="fi-FI"/>
        </w:rPr>
        <w:t>(</w:t>
      </w:r>
      <w:r w:rsidRPr="009211A5">
        <w:rPr>
          <w:lang w:val="fi-FI"/>
        </w:rPr>
        <w:t>EUVL L 123, 12.5.2016, s. 1</w:t>
      </w:r>
      <w:r>
        <w:rPr>
          <w:lang w:val="fi-FI"/>
        </w:rPr>
        <w:t>).</w:t>
      </w:r>
    </w:p>
  </w:footnote>
  <w:footnote w:id="70">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Euroopan parlamentin ja neuvoston asetus (EU) </w:t>
      </w:r>
      <w:proofErr w:type="gramStart"/>
      <w:r w:rsidRPr="00B87DD1">
        <w:rPr>
          <w:sz w:val="24"/>
          <w:szCs w:val="24"/>
          <w:lang w:val="fi-FI"/>
        </w:rPr>
        <w:t>N:o</w:t>
      </w:r>
      <w:proofErr w:type="gramEnd"/>
      <w:r w:rsidRPr="00B87DD1">
        <w:rPr>
          <w:sz w:val="24"/>
          <w:szCs w:val="24"/>
          <w:lang w:val="fi-FI"/>
        </w:rPr>
        <w:t> 182/2011, annettu 16 päivänä helmikuuta 2011, yleisistä säännöistä ja periaatteista, joiden mukaisesti jäsenvaltiot valvovat komission täytäntöönpanovallan käyttöä (EUVL L 55, 28.2.2011, s. 13).</w:t>
      </w:r>
    </w:p>
  </w:footnote>
  <w:footnote w:id="71">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color w:val="000000"/>
          <w:sz w:val="24"/>
          <w:szCs w:val="24"/>
          <w:shd w:val="clear" w:color="auto" w:fill="FFFFFF"/>
          <w:lang w:val="fi-FI"/>
        </w:rPr>
        <w:tab/>
      </w:r>
      <w:r w:rsidRPr="00B87DD1">
        <w:rPr>
          <w:sz w:val="24"/>
          <w:szCs w:val="24"/>
          <w:shd w:val="clear" w:color="auto" w:fill="FFFFFF"/>
          <w:lang w:val="fi-FI"/>
        </w:rPr>
        <w:t xml:space="preserve">Euroopan parlamentin ja neuvoston asetus (EY) </w:t>
      </w:r>
      <w:proofErr w:type="gramStart"/>
      <w:r w:rsidRPr="00B87DD1">
        <w:rPr>
          <w:sz w:val="24"/>
          <w:szCs w:val="24"/>
          <w:shd w:val="clear" w:color="auto" w:fill="FFFFFF"/>
          <w:lang w:val="fi-FI"/>
        </w:rPr>
        <w:t>N:o</w:t>
      </w:r>
      <w:proofErr w:type="gramEnd"/>
      <w:r w:rsidRPr="00B87DD1">
        <w:rPr>
          <w:sz w:val="24"/>
          <w:szCs w:val="24"/>
          <w:shd w:val="clear" w:color="auto" w:fill="FFFFFF"/>
          <w:lang w:val="fi-FI"/>
        </w:rPr>
        <w:t xml:space="preserve"> 1059/2003, annettu 26 päivänä toukokuuta 2003, yhteisestä tilastollisten alueyksiköiden nimikkeistöstä (NUTS) </w:t>
      </w:r>
      <w:r w:rsidRPr="001B2DF4">
        <w:rPr>
          <w:sz w:val="24"/>
          <w:szCs w:val="24"/>
          <w:shd w:val="clear" w:color="auto" w:fill="FFFFFF"/>
          <w:lang w:val="fi-FI"/>
        </w:rPr>
        <w:t>(</w:t>
      </w:r>
      <w:r w:rsidRPr="001B2DF4">
        <w:rPr>
          <w:rStyle w:val="Betonad"/>
          <w:i w:val="0"/>
          <w:sz w:val="24"/>
          <w:szCs w:val="24"/>
          <w:shd w:val="clear" w:color="auto" w:fill="FFFFFF"/>
          <w:lang w:val="fi-FI"/>
        </w:rPr>
        <w:t>EUVL L 154, 2</w:t>
      </w:r>
      <w:r w:rsidR="001B2DF4">
        <w:rPr>
          <w:rStyle w:val="Betonad"/>
          <w:i w:val="0"/>
          <w:sz w:val="24"/>
          <w:szCs w:val="24"/>
          <w:shd w:val="clear" w:color="auto" w:fill="FFFFFF"/>
          <w:lang w:val="fi-FI"/>
        </w:rPr>
        <w:t>1.6</w:t>
      </w:r>
      <w:r w:rsidRPr="001B2DF4">
        <w:rPr>
          <w:rStyle w:val="Betonad"/>
          <w:i w:val="0"/>
          <w:sz w:val="24"/>
          <w:szCs w:val="24"/>
          <w:shd w:val="clear" w:color="auto" w:fill="FFFFFF"/>
          <w:lang w:val="fi-FI"/>
        </w:rPr>
        <w:t>.200</w:t>
      </w:r>
      <w:r w:rsidR="001B2DF4">
        <w:rPr>
          <w:rStyle w:val="Betonad"/>
          <w:i w:val="0"/>
          <w:sz w:val="24"/>
          <w:szCs w:val="24"/>
          <w:shd w:val="clear" w:color="auto" w:fill="FFFFFF"/>
          <w:lang w:val="fi-FI"/>
        </w:rPr>
        <w:t>3</w:t>
      </w:r>
      <w:r w:rsidRPr="001B2DF4">
        <w:rPr>
          <w:rStyle w:val="Betonad"/>
          <w:i w:val="0"/>
          <w:sz w:val="24"/>
          <w:szCs w:val="24"/>
          <w:shd w:val="clear" w:color="auto" w:fill="FFFFFF"/>
          <w:lang w:val="fi-FI"/>
        </w:rPr>
        <w:t>, s. 1).</w:t>
      </w:r>
    </w:p>
  </w:footnote>
  <w:footnote w:id="72">
    <w:p w:rsidR="00184958" w:rsidRPr="00B87DD1" w:rsidRDefault="00184958" w:rsidP="00FF7B51">
      <w:pPr>
        <w:pStyle w:val="FootnoteText"/>
        <w:ind w:left="567" w:hanging="567"/>
        <w:rPr>
          <w:sz w:val="24"/>
          <w:szCs w:val="24"/>
          <w:lang w:val="fi-FI"/>
        </w:rPr>
      </w:pPr>
      <w:r w:rsidRPr="00B87DD1">
        <w:rPr>
          <w:rStyle w:val="FootnoteReference"/>
        </w:rPr>
        <w:footnoteRef/>
      </w:r>
      <w:r w:rsidRPr="00B87DD1">
        <w:rPr>
          <w:sz w:val="24"/>
          <w:szCs w:val="24"/>
          <w:lang w:val="fi-FI"/>
        </w:rPr>
        <w:tab/>
        <w:t xml:space="preserve">Euroopan parlamentin ja neuvoston asetus (EU) 2021/696, annettu 28 päivänä huhtikuuta 2021, unionin avaruusohjelman ja Euroopan unionin avaruusohjelmaviraston perustamisesta sekä asetusten (EU) </w:t>
      </w:r>
      <w:proofErr w:type="gramStart"/>
      <w:r w:rsidRPr="00B87DD1">
        <w:rPr>
          <w:sz w:val="24"/>
          <w:szCs w:val="24"/>
          <w:lang w:val="fi-FI"/>
        </w:rPr>
        <w:t>N:o</w:t>
      </w:r>
      <w:proofErr w:type="gramEnd"/>
      <w:r w:rsidRPr="00B87DD1">
        <w:rPr>
          <w:sz w:val="24"/>
          <w:szCs w:val="24"/>
          <w:lang w:val="fi-FI"/>
        </w:rPr>
        <w:t> 912/2010, (EU) N:o 1285/2013 ja (EU) N:o 377/2014 ja päätöksen N:o 541/2014/EU kumoamisesta (EUVL L 170, 12.5.2021, s. 69).</w:t>
      </w:r>
    </w:p>
  </w:footnote>
  <w:footnote w:id="73">
    <w:p w:rsidR="00184958" w:rsidRPr="00B87DD1" w:rsidRDefault="00184958" w:rsidP="00461FF2">
      <w:pPr>
        <w:pStyle w:val="Point0number"/>
        <w:tabs>
          <w:tab w:val="clear" w:pos="850"/>
        </w:tabs>
        <w:suppressAutoHyphens w:val="0"/>
        <w:spacing w:before="0" w:after="0"/>
        <w:ind w:left="567" w:hanging="567"/>
        <w:jc w:val="left"/>
        <w:rPr>
          <w:szCs w:val="24"/>
        </w:rPr>
      </w:pPr>
      <w:r w:rsidRPr="00B87DD1">
        <w:rPr>
          <w:rStyle w:val="FootnoteReference"/>
          <w:rFonts w:eastAsia="Times New Roman"/>
          <w:sz w:val="22"/>
          <w:szCs w:val="20"/>
          <w:lang w:val="fr-FR" w:eastAsia="fr-FR"/>
        </w:rPr>
        <w:footnoteRef/>
      </w:r>
      <w:r w:rsidRPr="00B87DD1">
        <w:rPr>
          <w:szCs w:val="24"/>
        </w:rPr>
        <w:tab/>
        <w:t>Ehdotus Euroopan parlamentin ja neuvoston direktiiviksi uusiutuvista lähteistä peräisin olevan energian käytön edistämisestä annetun direktiivin (EU) 2018/2001, rakennusten energiatehokkuudesta annetun direktiivin 2010/31/EU ja energiatehokkuudesta annetun direktiivin 2012/27/EU muuttamisesta (COM/2022/222 final).</w:t>
      </w:r>
    </w:p>
  </w:footnote>
  <w:footnote w:id="74">
    <w:p w:rsidR="00184958" w:rsidRPr="00B87DD1" w:rsidRDefault="00184958" w:rsidP="00FF7B51">
      <w:pPr>
        <w:pStyle w:val="FootnoteText"/>
        <w:ind w:left="567" w:hanging="567"/>
        <w:rPr>
          <w:sz w:val="24"/>
          <w:szCs w:val="24"/>
        </w:rPr>
      </w:pPr>
      <w:r w:rsidRPr="00B87DD1">
        <w:rPr>
          <w:rStyle w:val="FootnoteReference"/>
          <w:sz w:val="24"/>
          <w:szCs w:val="24"/>
        </w:rPr>
        <w:footnoteRef/>
      </w:r>
      <w:r w:rsidRPr="00B87DD1">
        <w:rPr>
          <w:sz w:val="24"/>
          <w:szCs w:val="24"/>
        </w:rPr>
        <w:tab/>
      </w:r>
      <w:hyperlink r:id="rId12" w:history="1">
        <w:r w:rsidRPr="00B87DD1">
          <w:rPr>
            <w:rStyle w:val="Hyperlink"/>
            <w:sz w:val="24"/>
            <w:szCs w:val="24"/>
          </w:rPr>
          <w:t>EUNIS marine habitat classification 2022.</w:t>
        </w:r>
      </w:hyperlink>
      <w:hyperlink r:id="rId13" w:history="1">
        <w:r w:rsidRPr="00B87DD1">
          <w:rPr>
            <w:rStyle w:val="Hyperlink"/>
            <w:sz w:val="24"/>
            <w:szCs w:val="24"/>
          </w:rPr>
          <w:t xml:space="preserve"> European Environment Agency.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958" w:rsidRPr="006840D6" w:rsidRDefault="00184958" w:rsidP="00FF7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958" w:rsidRPr="006840D6" w:rsidRDefault="00184958" w:rsidP="00FF7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958" w:rsidRPr="006840D6" w:rsidRDefault="00184958" w:rsidP="00FF7B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48651073"/>
    <w:multiLevelType w:val="multilevel"/>
    <w:tmpl w:val="617A23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4B8A3A2B"/>
    <w:multiLevelType w:val="hybridMultilevel"/>
    <w:tmpl w:val="299C9EA4"/>
    <w:lvl w:ilvl="0" w:tplc="84B459D0">
      <w:start w:val="1"/>
      <w:numFmt w:val="lowerLetter"/>
      <w:lvlText w:val="%1)"/>
      <w:lvlJc w:val="left"/>
      <w:pPr>
        <w:ind w:left="720" w:hanging="360"/>
      </w:pPr>
      <w:rPr>
        <w:rFonts w:ascii="Times New Roman" w:hAnsi="Times New Roman" w:cs="Times New Roman" w:hint="default"/>
        <w:sz w:val="2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9"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0"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3"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4"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4A12FA4"/>
    <w:multiLevelType w:val="multilevel"/>
    <w:tmpl w:val="428ECF3E"/>
    <w:name w:val="Heading"/>
    <w:styleLink w:val="Aktuelllista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9"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2"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4"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8"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40"/>
  </w:num>
  <w:num w:numId="4">
    <w:abstractNumId w:val="2"/>
  </w:num>
  <w:num w:numId="5">
    <w:abstractNumId w:val="41"/>
  </w:num>
  <w:num w:numId="6">
    <w:abstractNumId w:val="33"/>
  </w:num>
  <w:num w:numId="7">
    <w:abstractNumId w:val="5"/>
  </w:num>
  <w:num w:numId="8">
    <w:abstractNumId w:val="45"/>
  </w:num>
  <w:num w:numId="9">
    <w:abstractNumId w:val="47"/>
  </w:num>
  <w:num w:numId="10">
    <w:abstractNumId w:val="29"/>
  </w:num>
  <w:num w:numId="11">
    <w:abstractNumId w:val="43"/>
  </w:num>
  <w:num w:numId="12">
    <w:abstractNumId w:val="37"/>
  </w:num>
  <w:num w:numId="13">
    <w:abstractNumId w:val="26"/>
  </w:num>
  <w:num w:numId="14">
    <w:abstractNumId w:val="13"/>
  </w:num>
  <w:num w:numId="15">
    <w:abstractNumId w:val="11"/>
  </w:num>
  <w:num w:numId="16">
    <w:abstractNumId w:val="38"/>
  </w:num>
  <w:num w:numId="17">
    <w:abstractNumId w:val="46"/>
  </w:num>
  <w:num w:numId="18">
    <w:abstractNumId w:val="1"/>
  </w:num>
  <w:num w:numId="19">
    <w:abstractNumId w:val="15"/>
  </w:num>
  <w:num w:numId="20">
    <w:abstractNumId w:val="10"/>
  </w:num>
  <w:num w:numId="21">
    <w:abstractNumId w:val="16"/>
  </w:num>
  <w:num w:numId="22">
    <w:abstractNumId w:val="31"/>
  </w:num>
  <w:num w:numId="23">
    <w:abstractNumId w:val="7"/>
  </w:num>
  <w:num w:numId="24">
    <w:abstractNumId w:val="19"/>
  </w:num>
  <w:num w:numId="25">
    <w:abstractNumId w:val="24"/>
  </w:num>
  <w:num w:numId="26">
    <w:abstractNumId w:val="44"/>
  </w:num>
  <w:num w:numId="27">
    <w:abstractNumId w:val="17"/>
  </w:num>
  <w:num w:numId="28">
    <w:abstractNumId w:val="36"/>
  </w:num>
  <w:num w:numId="29">
    <w:abstractNumId w:val="34"/>
  </w:num>
  <w:num w:numId="30">
    <w:abstractNumId w:val="6"/>
  </w:num>
  <w:num w:numId="31">
    <w:abstractNumId w:val="39"/>
  </w:num>
  <w:num w:numId="32">
    <w:abstractNumId w:val="9"/>
  </w:num>
  <w:num w:numId="33">
    <w:abstractNumId w:val="30"/>
  </w:num>
  <w:num w:numId="34">
    <w:abstractNumId w:val="14"/>
  </w:num>
  <w:num w:numId="35">
    <w:abstractNumId w:val="0"/>
  </w:num>
  <w:num w:numId="36">
    <w:abstractNumId w:val="49"/>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2"/>
  </w:num>
  <w:num w:numId="44">
    <w:abstractNumId w:val="42"/>
  </w:num>
  <w:num w:numId="45">
    <w:abstractNumId w:val="48"/>
  </w:num>
  <w:num w:numId="4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num>
  <w:num w:numId="49">
    <w:abstractNumId w:val="25"/>
  </w:num>
  <w:num w:numId="50">
    <w:abstractNumId w:val="12"/>
  </w:num>
  <w:num w:numId="51">
    <w:abstractNumId w:val="27"/>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proofState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FI"/>
    <w:docVar w:name="dvnumam" w:val="1"/>
    <w:docVar w:name="dvpe" w:val="737.282"/>
    <w:docVar w:name="dvrapporteur" w:val="Esittelijä: "/>
    <w:docVar w:name="dvstar" w:val="***I"/>
    <w:docVar w:name="dvtitre" w:val="Euroopan parlamentin lainsäädäntöpäätöslauselma xx. heinäkuuta 2023 ehdotuksesta Euroopan parlamentin ja neuvoston asetukseksi luonnon ennallistamisesta(COM(2022)0304 – C9-0208/2022 – 2022/0195(COD))"/>
  </w:docVars>
  <w:rsids>
    <w:rsidRoot w:val="00566308"/>
    <w:rsid w:val="00002272"/>
    <w:rsid w:val="00012FA7"/>
    <w:rsid w:val="00017BE9"/>
    <w:rsid w:val="00050179"/>
    <w:rsid w:val="00064002"/>
    <w:rsid w:val="000677B9"/>
    <w:rsid w:val="000831BA"/>
    <w:rsid w:val="000A42CC"/>
    <w:rsid w:val="000E7DD9"/>
    <w:rsid w:val="0010095E"/>
    <w:rsid w:val="00110629"/>
    <w:rsid w:val="00116A2A"/>
    <w:rsid w:val="00125B37"/>
    <w:rsid w:val="00176693"/>
    <w:rsid w:val="00184958"/>
    <w:rsid w:val="00187494"/>
    <w:rsid w:val="001B2DF4"/>
    <w:rsid w:val="001F32AE"/>
    <w:rsid w:val="0022286E"/>
    <w:rsid w:val="0024662D"/>
    <w:rsid w:val="002767FF"/>
    <w:rsid w:val="002B18FE"/>
    <w:rsid w:val="002B5493"/>
    <w:rsid w:val="002B5528"/>
    <w:rsid w:val="002D1B1C"/>
    <w:rsid w:val="002E37CB"/>
    <w:rsid w:val="0033080B"/>
    <w:rsid w:val="00343214"/>
    <w:rsid w:val="00361C00"/>
    <w:rsid w:val="00395FA1"/>
    <w:rsid w:val="003E15D4"/>
    <w:rsid w:val="00411CCE"/>
    <w:rsid w:val="0041666E"/>
    <w:rsid w:val="004175A4"/>
    <w:rsid w:val="00421060"/>
    <w:rsid w:val="004435AF"/>
    <w:rsid w:val="00461FF2"/>
    <w:rsid w:val="00471C19"/>
    <w:rsid w:val="00484D8C"/>
    <w:rsid w:val="004867E3"/>
    <w:rsid w:val="00494A28"/>
    <w:rsid w:val="004A61CF"/>
    <w:rsid w:val="004B4807"/>
    <w:rsid w:val="004C0004"/>
    <w:rsid w:val="004C5D52"/>
    <w:rsid w:val="0050519A"/>
    <w:rsid w:val="005072A1"/>
    <w:rsid w:val="00514517"/>
    <w:rsid w:val="00545827"/>
    <w:rsid w:val="00560270"/>
    <w:rsid w:val="00566308"/>
    <w:rsid w:val="005C2568"/>
    <w:rsid w:val="006037C0"/>
    <w:rsid w:val="006631B6"/>
    <w:rsid w:val="00680577"/>
    <w:rsid w:val="006825B9"/>
    <w:rsid w:val="006F74FA"/>
    <w:rsid w:val="007259A3"/>
    <w:rsid w:val="007306C6"/>
    <w:rsid w:val="00731ADD"/>
    <w:rsid w:val="00734777"/>
    <w:rsid w:val="00744C30"/>
    <w:rsid w:val="00747932"/>
    <w:rsid w:val="00751A4A"/>
    <w:rsid w:val="00756632"/>
    <w:rsid w:val="00762C74"/>
    <w:rsid w:val="00786EC0"/>
    <w:rsid w:val="007D1690"/>
    <w:rsid w:val="007E22AD"/>
    <w:rsid w:val="00817416"/>
    <w:rsid w:val="00842779"/>
    <w:rsid w:val="00863B39"/>
    <w:rsid w:val="00865F67"/>
    <w:rsid w:val="00881A7B"/>
    <w:rsid w:val="008840E5"/>
    <w:rsid w:val="00887B3E"/>
    <w:rsid w:val="008A1EE3"/>
    <w:rsid w:val="008C2AC6"/>
    <w:rsid w:val="009211A5"/>
    <w:rsid w:val="00930C23"/>
    <w:rsid w:val="0093193B"/>
    <w:rsid w:val="009509D8"/>
    <w:rsid w:val="00950B64"/>
    <w:rsid w:val="00981893"/>
    <w:rsid w:val="00A1687D"/>
    <w:rsid w:val="00A43E52"/>
    <w:rsid w:val="00A44B5B"/>
    <w:rsid w:val="00A4678D"/>
    <w:rsid w:val="00A778C7"/>
    <w:rsid w:val="00AB441E"/>
    <w:rsid w:val="00AB6293"/>
    <w:rsid w:val="00AE0928"/>
    <w:rsid w:val="00AF3B82"/>
    <w:rsid w:val="00B12E95"/>
    <w:rsid w:val="00B13DA6"/>
    <w:rsid w:val="00B22876"/>
    <w:rsid w:val="00B3349B"/>
    <w:rsid w:val="00B5008A"/>
    <w:rsid w:val="00B558F0"/>
    <w:rsid w:val="00B87DD1"/>
    <w:rsid w:val="00BD48FE"/>
    <w:rsid w:val="00BD7BD8"/>
    <w:rsid w:val="00BE6ADC"/>
    <w:rsid w:val="00BF312C"/>
    <w:rsid w:val="00C05BFE"/>
    <w:rsid w:val="00C23CD4"/>
    <w:rsid w:val="00C61C0C"/>
    <w:rsid w:val="00C941CB"/>
    <w:rsid w:val="00CB7853"/>
    <w:rsid w:val="00CC2357"/>
    <w:rsid w:val="00CF071A"/>
    <w:rsid w:val="00D058B8"/>
    <w:rsid w:val="00D46136"/>
    <w:rsid w:val="00D56C11"/>
    <w:rsid w:val="00D6646C"/>
    <w:rsid w:val="00D834A0"/>
    <w:rsid w:val="00D872DF"/>
    <w:rsid w:val="00D91E21"/>
    <w:rsid w:val="00DA065E"/>
    <w:rsid w:val="00DA7FCD"/>
    <w:rsid w:val="00DC00CC"/>
    <w:rsid w:val="00DC6A88"/>
    <w:rsid w:val="00DF0385"/>
    <w:rsid w:val="00E02FC0"/>
    <w:rsid w:val="00E21FBD"/>
    <w:rsid w:val="00E365E1"/>
    <w:rsid w:val="00E73C1C"/>
    <w:rsid w:val="00E820A4"/>
    <w:rsid w:val="00EB006A"/>
    <w:rsid w:val="00EB4772"/>
    <w:rsid w:val="00ED169E"/>
    <w:rsid w:val="00ED2FB3"/>
    <w:rsid w:val="00ED4235"/>
    <w:rsid w:val="00F04346"/>
    <w:rsid w:val="00F0574F"/>
    <w:rsid w:val="00F075DC"/>
    <w:rsid w:val="00F149E9"/>
    <w:rsid w:val="00F40405"/>
    <w:rsid w:val="00F5134D"/>
    <w:rsid w:val="00F74202"/>
    <w:rsid w:val="00F87713"/>
    <w:rsid w:val="00FB4360"/>
    <w:rsid w:val="00FD0C70"/>
    <w:rsid w:val="00FD3395"/>
    <w:rsid w:val="00FF7B5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42B8D40"/>
  <w15:chartTrackingRefBased/>
  <w15:docId w15:val="{B2FD4B7A-F1A7-4038-8585-732B6E6F6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99"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00CC"/>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uiPriority w:val="99"/>
    <w:rsid w:val="00395FA1"/>
    <w:rPr>
      <w:b w:val="0"/>
      <w:vertAlign w:val="superscript"/>
    </w:rPr>
  </w:style>
  <w:style w:type="paragraph" w:styleId="FootnoteText">
    <w:name w:val="footnote text"/>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A065E"/>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DA065E"/>
    <w:pPr>
      <w:spacing w:after="120"/>
    </w:pPr>
  </w:style>
  <w:style w:type="paragraph" w:customStyle="1" w:styleId="PageHeading">
    <w:name w:val="PageHeading"/>
    <w:basedOn w:val="Normal"/>
    <w:rsid w:val="00DA065E"/>
    <w:pPr>
      <w:keepNext/>
      <w:spacing w:after="480"/>
      <w:jc w:val="center"/>
    </w:pPr>
    <w:rPr>
      <w:rFonts w:ascii="Arial" w:hAnsi="Arial" w:cs="Arial"/>
      <w:b/>
    </w:rPr>
  </w:style>
  <w:style w:type="paragraph" w:customStyle="1" w:styleId="NormalBold">
    <w:name w:val="NormalBold"/>
    <w:basedOn w:val="Normal"/>
    <w:link w:val="NormalBoldChar"/>
    <w:rsid w:val="00DA065E"/>
    <w:rPr>
      <w:b/>
    </w:rPr>
  </w:style>
  <w:style w:type="paragraph" w:customStyle="1" w:styleId="NormalHanging12a">
    <w:name w:val="NormalHanging12a"/>
    <w:basedOn w:val="Normal"/>
    <w:rsid w:val="00DA065E"/>
    <w:pPr>
      <w:spacing w:after="240"/>
      <w:ind w:left="567" w:hanging="567"/>
    </w:pPr>
  </w:style>
  <w:style w:type="paragraph" w:styleId="Header">
    <w:name w:val="header"/>
    <w:basedOn w:val="Normal"/>
    <w:link w:val="HeaderChar"/>
    <w:uiPriority w:val="99"/>
    <w:qFormat/>
    <w:rsid w:val="00DA065E"/>
    <w:pPr>
      <w:tabs>
        <w:tab w:val="center" w:pos="4513"/>
        <w:tab w:val="right" w:pos="9026"/>
      </w:tabs>
    </w:pPr>
  </w:style>
  <w:style w:type="character" w:customStyle="1" w:styleId="HeaderChar">
    <w:name w:val="Header Char"/>
    <w:basedOn w:val="DefaultParagraphFont"/>
    <w:link w:val="Header"/>
    <w:uiPriority w:val="99"/>
    <w:qFormat/>
    <w:rsid w:val="00DA065E"/>
    <w:rPr>
      <w:sz w:val="24"/>
      <w:lang w:val="fi-FI"/>
    </w:rPr>
  </w:style>
  <w:style w:type="paragraph" w:customStyle="1" w:styleId="AmColumnHeading">
    <w:name w:val="AmColumnHeading"/>
    <w:basedOn w:val="Normal"/>
    <w:rsid w:val="00DA065E"/>
    <w:pPr>
      <w:spacing w:after="240"/>
      <w:jc w:val="center"/>
    </w:pPr>
    <w:rPr>
      <w:i/>
    </w:rPr>
  </w:style>
  <w:style w:type="paragraph" w:customStyle="1" w:styleId="AmNumberTabs">
    <w:name w:val="AmNumberTabs"/>
    <w:basedOn w:val="Normal"/>
    <w:rsid w:val="00DA06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DA065E"/>
    <w:pPr>
      <w:spacing w:before="240"/>
    </w:pPr>
    <w:rPr>
      <w:b/>
    </w:rPr>
  </w:style>
  <w:style w:type="paragraph" w:customStyle="1" w:styleId="EPFooter">
    <w:name w:val="EPFooter"/>
    <w:basedOn w:val="Normal"/>
    <w:rsid w:val="00DA065E"/>
    <w:pPr>
      <w:tabs>
        <w:tab w:val="center" w:pos="4535"/>
        <w:tab w:val="right" w:pos="9071"/>
      </w:tabs>
      <w:spacing w:before="240" w:after="240"/>
    </w:pPr>
    <w:rPr>
      <w:color w:val="010000"/>
      <w:sz w:val="22"/>
    </w:rPr>
  </w:style>
  <w:style w:type="paragraph" w:customStyle="1" w:styleId="EPComma">
    <w:name w:val="EPComma"/>
    <w:basedOn w:val="Normal"/>
    <w:rsid w:val="00DA065E"/>
    <w:pPr>
      <w:spacing w:before="480" w:after="240"/>
    </w:pPr>
  </w:style>
  <w:style w:type="paragraph" w:customStyle="1" w:styleId="Normal24a">
    <w:name w:val="Normal24a"/>
    <w:basedOn w:val="Normal"/>
    <w:rsid w:val="00DA065E"/>
    <w:pPr>
      <w:spacing w:after="480"/>
    </w:pPr>
  </w:style>
  <w:style w:type="character" w:customStyle="1" w:styleId="NormalBoldChar">
    <w:name w:val="NormalBold Char"/>
    <w:link w:val="NormalBold"/>
    <w:locked/>
    <w:rsid w:val="00DA065E"/>
    <w:rPr>
      <w:b/>
      <w:sz w:val="24"/>
      <w:lang w:val="fi-FI"/>
    </w:rPr>
  </w:style>
  <w:style w:type="paragraph" w:customStyle="1" w:styleId="AMNumberTabs0">
    <w:name w:val="AMNumberTabs"/>
    <w:basedOn w:val="Normal"/>
    <w:rsid w:val="00DA065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12a">
    <w:name w:val="Normal12a"/>
    <w:basedOn w:val="Normal"/>
    <w:rsid w:val="00DA065E"/>
    <w:pPr>
      <w:spacing w:after="240"/>
    </w:pPr>
  </w:style>
  <w:style w:type="paragraph" w:customStyle="1" w:styleId="RollCallSymbols14pt">
    <w:name w:val="RollCallSymbols14pt"/>
    <w:basedOn w:val="Normal"/>
    <w:rsid w:val="00DA065E"/>
    <w:pPr>
      <w:snapToGrid w:val="0"/>
      <w:spacing w:before="120" w:after="120"/>
      <w:jc w:val="center"/>
    </w:pPr>
    <w:rPr>
      <w:rFonts w:ascii="Arial" w:hAnsi="Arial"/>
      <w:b/>
      <w:bCs/>
      <w:sz w:val="28"/>
      <w:lang w:eastAsia="en-US"/>
    </w:rPr>
  </w:style>
  <w:style w:type="paragraph" w:customStyle="1" w:styleId="RollCallTabs">
    <w:name w:val="RollCallTabs"/>
    <w:basedOn w:val="Normal"/>
    <w:qFormat/>
    <w:rsid w:val="00DA065E"/>
    <w:pPr>
      <w:tabs>
        <w:tab w:val="center" w:pos="284"/>
        <w:tab w:val="left" w:pos="426"/>
      </w:tabs>
      <w:snapToGrid w:val="0"/>
    </w:pPr>
    <w:rPr>
      <w:lang w:eastAsia="en-US"/>
    </w:rPr>
  </w:style>
  <w:style w:type="paragraph" w:customStyle="1" w:styleId="RollCallVotes">
    <w:name w:val="RollCallVotes"/>
    <w:basedOn w:val="Normal"/>
    <w:rsid w:val="00DA065E"/>
    <w:pPr>
      <w:snapToGrid w:val="0"/>
      <w:spacing w:before="120" w:after="120"/>
      <w:jc w:val="center"/>
    </w:pPr>
    <w:rPr>
      <w:b/>
      <w:bCs/>
      <w:sz w:val="16"/>
      <w:lang w:eastAsia="en-US"/>
    </w:rPr>
  </w:style>
  <w:style w:type="paragraph" w:customStyle="1" w:styleId="RollCallTable">
    <w:name w:val="RollCallTable"/>
    <w:basedOn w:val="Normal"/>
    <w:rsid w:val="00DA065E"/>
    <w:pPr>
      <w:snapToGrid w:val="0"/>
      <w:spacing w:before="120" w:after="120"/>
    </w:pPr>
    <w:rPr>
      <w:sz w:val="16"/>
      <w:lang w:eastAsia="en-US"/>
    </w:rPr>
  </w:style>
  <w:style w:type="paragraph" w:customStyle="1" w:styleId="PageHeadingNotTOC">
    <w:name w:val="PageHeadingNotTOC"/>
    <w:basedOn w:val="Normal"/>
    <w:rsid w:val="00DA065E"/>
    <w:pPr>
      <w:keepNext/>
      <w:spacing w:after="480"/>
      <w:jc w:val="center"/>
    </w:pPr>
    <w:rPr>
      <w:rFonts w:ascii="Arial" w:hAnsi="Arial" w:cs="Arial"/>
      <w:b/>
    </w:rPr>
  </w:style>
  <w:style w:type="paragraph" w:customStyle="1" w:styleId="AmHeadingPA">
    <w:name w:val="AmHeadingPA"/>
    <w:basedOn w:val="Normal"/>
    <w:next w:val="Normal"/>
    <w:rsid w:val="00DA065E"/>
    <w:pPr>
      <w:spacing w:before="480" w:after="240"/>
      <w:jc w:val="center"/>
    </w:pPr>
    <w:rPr>
      <w:rFonts w:ascii="Arial" w:hAnsi="Arial"/>
      <w:b/>
      <w:caps/>
      <w:snapToGrid w:val="0"/>
      <w:szCs w:val="24"/>
      <w:lang w:eastAsia="en-US"/>
    </w:rPr>
  </w:style>
  <w:style w:type="paragraph" w:styleId="Footer">
    <w:name w:val="footer"/>
    <w:basedOn w:val="Normal"/>
    <w:link w:val="FooterChar"/>
    <w:uiPriority w:val="99"/>
    <w:qFormat/>
    <w:rsid w:val="00BF312C"/>
    <w:pPr>
      <w:tabs>
        <w:tab w:val="center" w:pos="4513"/>
        <w:tab w:val="right" w:pos="9026"/>
      </w:tabs>
    </w:pPr>
  </w:style>
  <w:style w:type="character" w:customStyle="1" w:styleId="FooterChar">
    <w:name w:val="Footer Char"/>
    <w:basedOn w:val="DefaultParagraphFont"/>
    <w:link w:val="Footer"/>
    <w:uiPriority w:val="99"/>
    <w:qFormat/>
    <w:rsid w:val="00BF312C"/>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CB7853"/>
    <w:pPr>
      <w:widowControl/>
      <w:spacing w:after="160" w:line="240" w:lineRule="exact"/>
    </w:pPr>
    <w:rPr>
      <w:sz w:val="20"/>
      <w:vertAlign w:val="superscript"/>
      <w:lang w:val="en-GB"/>
    </w:rPr>
  </w:style>
  <w:style w:type="character" w:customStyle="1" w:styleId="FootnoteCharacters">
    <w:name w:val="Footnote Characters"/>
    <w:qFormat/>
    <w:rsid w:val="00FF7B51"/>
  </w:style>
  <w:style w:type="paragraph" w:styleId="NormalWeb">
    <w:name w:val="Normal (Web)"/>
    <w:basedOn w:val="Normal"/>
    <w:uiPriority w:val="99"/>
    <w:qFormat/>
    <w:rsid w:val="00FF7B51"/>
    <w:rPr>
      <w:szCs w:val="24"/>
    </w:rPr>
  </w:style>
  <w:style w:type="character" w:customStyle="1" w:styleId="Internetlnk">
    <w:name w:val="Internetlänk"/>
    <w:uiPriority w:val="99"/>
    <w:qFormat/>
    <w:rsid w:val="00FF7B51"/>
    <w:rPr>
      <w:color w:val="0000FF"/>
      <w:u w:val="single"/>
    </w:rPr>
  </w:style>
  <w:style w:type="character" w:customStyle="1" w:styleId="Betonad">
    <w:name w:val="Betonad"/>
    <w:basedOn w:val="DefaultParagraphFont"/>
    <w:uiPriority w:val="20"/>
    <w:qFormat/>
    <w:rsid w:val="00FF7B51"/>
    <w:rPr>
      <w:i/>
      <w:iCs/>
    </w:rPr>
  </w:style>
  <w:style w:type="paragraph" w:customStyle="1" w:styleId="Point0number">
    <w:name w:val="Point 0 (number)"/>
    <w:basedOn w:val="Normal"/>
    <w:qFormat/>
    <w:rsid w:val="00FF7B51"/>
    <w:pPr>
      <w:widowControl/>
      <w:tabs>
        <w:tab w:val="num" w:pos="850"/>
      </w:tabs>
      <w:suppressAutoHyphens/>
      <w:spacing w:before="120" w:after="120"/>
      <w:ind w:left="850" w:hanging="850"/>
      <w:jc w:val="both"/>
    </w:pPr>
    <w:rPr>
      <w:rFonts w:eastAsia="Calibri"/>
      <w:szCs w:val="22"/>
      <w:lang w:eastAsia="en-US"/>
    </w:rPr>
  </w:style>
  <w:style w:type="paragraph" w:customStyle="1" w:styleId="AmDocTypeTab">
    <w:name w:val="AmDocTypeTab"/>
    <w:basedOn w:val="Normal"/>
    <w:rsid w:val="00FF7B51"/>
    <w:pPr>
      <w:tabs>
        <w:tab w:val="right" w:pos="9072"/>
      </w:tabs>
    </w:pPr>
    <w:rPr>
      <w:b/>
    </w:rPr>
  </w:style>
  <w:style w:type="paragraph" w:customStyle="1" w:styleId="AmOrLang">
    <w:name w:val="AmOrLang"/>
    <w:basedOn w:val="Normal"/>
    <w:rsid w:val="00FF7B51"/>
    <w:pPr>
      <w:spacing w:before="240" w:after="240"/>
      <w:jc w:val="right"/>
    </w:pPr>
  </w:style>
  <w:style w:type="paragraph" w:customStyle="1" w:styleId="AmCrossRef">
    <w:name w:val="AmCrossRef"/>
    <w:basedOn w:val="Normal"/>
    <w:rsid w:val="00FF7B51"/>
    <w:pPr>
      <w:spacing w:before="240" w:after="240"/>
      <w:jc w:val="center"/>
    </w:pPr>
    <w:rPr>
      <w:i/>
    </w:rPr>
  </w:style>
  <w:style w:type="paragraph" w:customStyle="1" w:styleId="AmJustTitle">
    <w:name w:val="AmJustTitle"/>
    <w:basedOn w:val="Normal"/>
    <w:next w:val="AmJustText"/>
    <w:rsid w:val="00FF7B51"/>
    <w:pPr>
      <w:keepNext/>
      <w:spacing w:before="240" w:after="240"/>
      <w:jc w:val="center"/>
    </w:pPr>
    <w:rPr>
      <w:i/>
    </w:rPr>
  </w:style>
  <w:style w:type="paragraph" w:customStyle="1" w:styleId="AmDateTab">
    <w:name w:val="AmDateTab"/>
    <w:basedOn w:val="Normal"/>
    <w:rsid w:val="00FF7B51"/>
    <w:pPr>
      <w:tabs>
        <w:tab w:val="right" w:pos="9072"/>
      </w:tabs>
    </w:pPr>
  </w:style>
  <w:style w:type="paragraph" w:customStyle="1" w:styleId="AmJustText">
    <w:name w:val="AmJustText"/>
    <w:basedOn w:val="Normal"/>
    <w:rsid w:val="00FF7B51"/>
    <w:pPr>
      <w:spacing w:after="240"/>
    </w:pPr>
    <w:rPr>
      <w:i/>
    </w:rPr>
  </w:style>
  <w:style w:type="paragraph" w:styleId="TOCHeading">
    <w:name w:val="TOC Heading"/>
    <w:basedOn w:val="Normal"/>
    <w:next w:val="Normal"/>
    <w:uiPriority w:val="39"/>
    <w:unhideWhenUsed/>
    <w:qFormat/>
    <w:rsid w:val="00FF7B51"/>
    <w:pPr>
      <w:keepLines/>
      <w:spacing w:after="240"/>
    </w:pPr>
    <w:rPr>
      <w:rFonts w:asciiTheme="majorHAnsi" w:eastAsiaTheme="majorEastAsia" w:hAnsiTheme="majorHAnsi" w:cstheme="majorBidi"/>
      <w:b/>
      <w:color w:val="2E74B5" w:themeColor="accent1" w:themeShade="BF"/>
      <w:sz w:val="32"/>
      <w:szCs w:val="32"/>
    </w:rPr>
  </w:style>
  <w:style w:type="paragraph" w:customStyle="1" w:styleId="NormalCenter12a">
    <w:name w:val="NormalCenter12a"/>
    <w:basedOn w:val="Normal"/>
    <w:rsid w:val="00FF7B51"/>
    <w:pPr>
      <w:spacing w:after="240"/>
      <w:jc w:val="center"/>
    </w:pPr>
  </w:style>
  <w:style w:type="paragraph" w:customStyle="1" w:styleId="AmHeadingConsam">
    <w:name w:val="AmHeadingConsam"/>
    <w:basedOn w:val="Normal"/>
    <w:next w:val="NormalCenter12a"/>
    <w:rsid w:val="00FF7B51"/>
    <w:pPr>
      <w:spacing w:before="720" w:after="240"/>
      <w:jc w:val="center"/>
    </w:pPr>
  </w:style>
  <w:style w:type="numbering" w:customStyle="1" w:styleId="NoList1">
    <w:name w:val="No List1"/>
    <w:next w:val="NoList"/>
    <w:uiPriority w:val="99"/>
    <w:semiHidden/>
    <w:unhideWhenUsed/>
    <w:rsid w:val="00FF7B51"/>
  </w:style>
  <w:style w:type="paragraph" w:customStyle="1" w:styleId="NormalCentered">
    <w:name w:val="Normal Centered"/>
    <w:basedOn w:val="Normal"/>
    <w:qFormat/>
    <w:rsid w:val="00FF7B51"/>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FF7B51"/>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FF7B51"/>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FF7B51"/>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FF7B51"/>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FF7B51"/>
    <w:pPr>
      <w:widowControl/>
    </w:pPr>
    <w:rPr>
      <w:rFonts w:eastAsia="Calibri"/>
      <w:sz w:val="2"/>
      <w:szCs w:val="22"/>
      <w:lang w:eastAsia="en-US"/>
    </w:rPr>
  </w:style>
  <w:style w:type="paragraph" w:customStyle="1" w:styleId="FooterCouncil">
    <w:name w:val="Footer Council"/>
    <w:basedOn w:val="Normal"/>
    <w:link w:val="FooterCouncilChar"/>
    <w:qFormat/>
    <w:rsid w:val="00FF7B51"/>
    <w:pPr>
      <w:widowControl/>
    </w:pPr>
    <w:rPr>
      <w:rFonts w:eastAsia="Calibri"/>
      <w:sz w:val="2"/>
      <w:szCs w:val="22"/>
      <w:lang w:eastAsia="en-US"/>
    </w:rPr>
  </w:style>
  <w:style w:type="paragraph" w:customStyle="1" w:styleId="TechnicalBlock">
    <w:name w:val="Technical Block"/>
    <w:basedOn w:val="Normal"/>
    <w:next w:val="Normal"/>
    <w:link w:val="TechnicalBlockChar"/>
    <w:rsid w:val="00FF7B51"/>
    <w:pPr>
      <w:widowControl/>
      <w:spacing w:after="240"/>
      <w:jc w:val="center"/>
    </w:pPr>
    <w:rPr>
      <w:rFonts w:eastAsia="Calibri"/>
      <w:szCs w:val="22"/>
      <w:lang w:eastAsia="en-US"/>
    </w:rPr>
  </w:style>
  <w:style w:type="paragraph" w:customStyle="1" w:styleId="FinalLine">
    <w:name w:val="Final Line"/>
    <w:basedOn w:val="Normal"/>
    <w:next w:val="Normal"/>
    <w:qFormat/>
    <w:rsid w:val="00FF7B51"/>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FF7B51"/>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FF7B51"/>
    <w:pPr>
      <w:widowControl/>
      <w:spacing w:before="120" w:after="120" w:line="360" w:lineRule="auto"/>
      <w:ind w:left="567"/>
    </w:pPr>
    <w:rPr>
      <w:rFonts w:eastAsia="Calibri"/>
      <w:szCs w:val="22"/>
      <w:lang w:eastAsia="en-US"/>
    </w:rPr>
  </w:style>
  <w:style w:type="paragraph" w:customStyle="1" w:styleId="Text2">
    <w:name w:val="Text 2"/>
    <w:basedOn w:val="Normal"/>
    <w:qFormat/>
    <w:rsid w:val="00FF7B51"/>
    <w:pPr>
      <w:widowControl/>
      <w:spacing w:before="120" w:after="120" w:line="360" w:lineRule="auto"/>
      <w:ind w:left="1134"/>
    </w:pPr>
    <w:rPr>
      <w:rFonts w:eastAsia="Calibri"/>
      <w:szCs w:val="22"/>
      <w:lang w:eastAsia="en-US"/>
    </w:rPr>
  </w:style>
  <w:style w:type="paragraph" w:customStyle="1" w:styleId="Text3">
    <w:name w:val="Text 3"/>
    <w:basedOn w:val="Normal"/>
    <w:qFormat/>
    <w:rsid w:val="00FF7B51"/>
    <w:pPr>
      <w:widowControl/>
      <w:spacing w:before="120" w:after="120" w:line="360" w:lineRule="auto"/>
      <w:ind w:left="1701"/>
    </w:pPr>
    <w:rPr>
      <w:rFonts w:eastAsia="Calibri"/>
      <w:szCs w:val="22"/>
      <w:lang w:eastAsia="en-US"/>
    </w:rPr>
  </w:style>
  <w:style w:type="paragraph" w:customStyle="1" w:styleId="Text4">
    <w:name w:val="Text 4"/>
    <w:basedOn w:val="Normal"/>
    <w:qFormat/>
    <w:rsid w:val="00FF7B51"/>
    <w:pPr>
      <w:widowControl/>
      <w:spacing w:before="120" w:after="120" w:line="360" w:lineRule="auto"/>
      <w:ind w:left="2268"/>
    </w:pPr>
    <w:rPr>
      <w:rFonts w:eastAsia="Calibri"/>
      <w:szCs w:val="22"/>
      <w:lang w:eastAsia="en-US"/>
    </w:rPr>
  </w:style>
  <w:style w:type="paragraph" w:customStyle="1" w:styleId="Text5">
    <w:name w:val="Text 5"/>
    <w:basedOn w:val="Normal"/>
    <w:qFormat/>
    <w:rsid w:val="00FF7B51"/>
    <w:pPr>
      <w:widowControl/>
      <w:spacing w:before="120" w:after="120" w:line="360" w:lineRule="auto"/>
      <w:ind w:left="2835"/>
    </w:pPr>
    <w:rPr>
      <w:rFonts w:eastAsia="Calibri"/>
      <w:szCs w:val="22"/>
      <w:lang w:eastAsia="en-US"/>
    </w:rPr>
  </w:style>
  <w:style w:type="paragraph" w:customStyle="1" w:styleId="Text6">
    <w:name w:val="Text 6"/>
    <w:basedOn w:val="Normal"/>
    <w:qFormat/>
    <w:rsid w:val="00FF7B51"/>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FF7B51"/>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FF7B51"/>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FF7B51"/>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FF7B51"/>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FF7B51"/>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FF7B51"/>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FF7B51"/>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FF7B51"/>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FF7B51"/>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FF7B51"/>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FF7B51"/>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FF7B51"/>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FF7B51"/>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FF7B51"/>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FF7B51"/>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FF7B51"/>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FF7B51"/>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FF7B51"/>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FF7B51"/>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FF7B51"/>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FF7B51"/>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FF7B51"/>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FF7B51"/>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FF7B51"/>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FF7B51"/>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FF7B51"/>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FF7B51"/>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FF7B51"/>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FF7B51"/>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FF7B51"/>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FF7B51"/>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FF7B51"/>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FF7B51"/>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FF7B51"/>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FF7B51"/>
    <w:pPr>
      <w:numPr>
        <w:numId w:val="8"/>
      </w:numPr>
      <w:tabs>
        <w:tab w:val="clear" w:pos="567"/>
        <w:tab w:val="num" w:pos="1080"/>
      </w:tabs>
      <w:ind w:left="1080" w:hanging="360"/>
    </w:pPr>
  </w:style>
  <w:style w:type="paragraph" w:customStyle="1" w:styleId="DashEqual1">
    <w:name w:val="Dash Equal 1"/>
    <w:basedOn w:val="Dash1"/>
    <w:qFormat/>
    <w:rsid w:val="00FF7B51"/>
    <w:pPr>
      <w:numPr>
        <w:numId w:val="9"/>
      </w:numPr>
      <w:tabs>
        <w:tab w:val="clear" w:pos="1134"/>
        <w:tab w:val="num" w:pos="1440"/>
      </w:tabs>
      <w:ind w:left="1440" w:hanging="360"/>
    </w:pPr>
  </w:style>
  <w:style w:type="paragraph" w:customStyle="1" w:styleId="DashEqual2">
    <w:name w:val="Dash Equal 2"/>
    <w:basedOn w:val="Dash2"/>
    <w:qFormat/>
    <w:rsid w:val="00FF7B51"/>
    <w:pPr>
      <w:numPr>
        <w:numId w:val="10"/>
      </w:numPr>
      <w:tabs>
        <w:tab w:val="clear" w:pos="1701"/>
        <w:tab w:val="num" w:pos="1440"/>
      </w:tabs>
      <w:ind w:left="1440" w:hanging="360"/>
    </w:pPr>
  </w:style>
  <w:style w:type="paragraph" w:customStyle="1" w:styleId="DashEqual3">
    <w:name w:val="Dash Equal 3"/>
    <w:basedOn w:val="Dash3"/>
    <w:qFormat/>
    <w:rsid w:val="00FF7B51"/>
    <w:pPr>
      <w:numPr>
        <w:numId w:val="11"/>
      </w:numPr>
      <w:tabs>
        <w:tab w:val="clear" w:pos="2268"/>
        <w:tab w:val="num" w:pos="1800"/>
      </w:tabs>
      <w:ind w:left="1800" w:hanging="360"/>
    </w:pPr>
  </w:style>
  <w:style w:type="paragraph" w:customStyle="1" w:styleId="DashEqual4">
    <w:name w:val="Dash Equal 4"/>
    <w:basedOn w:val="Dash4"/>
    <w:qFormat/>
    <w:rsid w:val="00FF7B51"/>
    <w:pPr>
      <w:numPr>
        <w:numId w:val="12"/>
      </w:numPr>
      <w:tabs>
        <w:tab w:val="clear" w:pos="2835"/>
        <w:tab w:val="num" w:pos="1800"/>
      </w:tabs>
      <w:ind w:left="1800" w:hanging="360"/>
    </w:pPr>
  </w:style>
  <w:style w:type="character" w:customStyle="1" w:styleId="Marker">
    <w:name w:val="Marker"/>
    <w:basedOn w:val="DefaultParagraphFont"/>
    <w:qFormat/>
    <w:rsid w:val="00FF7B51"/>
    <w:rPr>
      <w:color w:val="0000FF"/>
      <w:shd w:val="clear" w:color="auto" w:fill="auto"/>
    </w:rPr>
  </w:style>
  <w:style w:type="character" w:customStyle="1" w:styleId="Marker1">
    <w:name w:val="Marker1"/>
    <w:basedOn w:val="DefaultParagraphFont"/>
    <w:qFormat/>
    <w:rsid w:val="00FF7B51"/>
    <w:rPr>
      <w:color w:val="008000"/>
      <w:shd w:val="clear" w:color="auto" w:fill="auto"/>
    </w:rPr>
  </w:style>
  <w:style w:type="paragraph" w:customStyle="1" w:styleId="HeadingLeft">
    <w:name w:val="Heading Left"/>
    <w:basedOn w:val="Normal"/>
    <w:next w:val="Normal"/>
    <w:qFormat/>
    <w:rsid w:val="00FF7B51"/>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FF7B51"/>
    <w:pPr>
      <w:numPr>
        <w:numId w:val="22"/>
      </w:numPr>
      <w:tabs>
        <w:tab w:val="clear" w:pos="567"/>
        <w:tab w:val="num" w:pos="1800"/>
      </w:tabs>
      <w:ind w:left="1800" w:hanging="360"/>
    </w:pPr>
  </w:style>
  <w:style w:type="paragraph" w:customStyle="1" w:styleId="Heading123">
    <w:name w:val="Heading 123"/>
    <w:basedOn w:val="HeadingLeft"/>
    <w:next w:val="Normal"/>
    <w:qFormat/>
    <w:rsid w:val="00FF7B51"/>
    <w:pPr>
      <w:numPr>
        <w:numId w:val="21"/>
      </w:numPr>
      <w:tabs>
        <w:tab w:val="clear" w:pos="567"/>
        <w:tab w:val="num" w:pos="1800"/>
      </w:tabs>
      <w:ind w:left="1800" w:hanging="360"/>
    </w:pPr>
  </w:style>
  <w:style w:type="paragraph" w:customStyle="1" w:styleId="HeadingABC">
    <w:name w:val="Heading ABC"/>
    <w:basedOn w:val="HeadingLeft"/>
    <w:next w:val="Normal"/>
    <w:qFormat/>
    <w:rsid w:val="00FF7B51"/>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FF7B51"/>
    <w:pPr>
      <w:jc w:val="center"/>
    </w:pPr>
  </w:style>
  <w:style w:type="paragraph" w:customStyle="1" w:styleId="Jardin">
    <w:name w:val="Jardin"/>
    <w:basedOn w:val="Normal"/>
    <w:qFormat/>
    <w:rsid w:val="00FF7B51"/>
    <w:pPr>
      <w:widowControl/>
      <w:spacing w:before="200"/>
      <w:jc w:val="center"/>
    </w:pPr>
    <w:rPr>
      <w:rFonts w:eastAsia="Calibri"/>
      <w:szCs w:val="22"/>
      <w:lang w:eastAsia="en-US"/>
    </w:rPr>
  </w:style>
  <w:style w:type="paragraph" w:customStyle="1" w:styleId="Amendment">
    <w:name w:val="Amendment"/>
    <w:basedOn w:val="Normal"/>
    <w:next w:val="Normal"/>
    <w:qFormat/>
    <w:rsid w:val="00FF7B51"/>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FF7B51"/>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FF7B51"/>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FF7B51"/>
    <w:rPr>
      <w:b/>
    </w:rPr>
  </w:style>
  <w:style w:type="paragraph" w:customStyle="1" w:styleId="Annex">
    <w:name w:val="Annex"/>
    <w:basedOn w:val="Normal"/>
    <w:next w:val="Normal"/>
    <w:qFormat/>
    <w:rsid w:val="00FF7B51"/>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FF7B51"/>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FF7B51"/>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FF7B51"/>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FF7B51"/>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FF7B51"/>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FF7B51"/>
    <w:rPr>
      <w:rFonts w:eastAsia="Calibri"/>
      <w:lang w:val="fi-FI" w:eastAsia="en-US"/>
    </w:rPr>
  </w:style>
  <w:style w:type="character" w:styleId="EndnoteReference">
    <w:name w:val="endnote reference"/>
    <w:basedOn w:val="DefaultParagraphFont"/>
    <w:uiPriority w:val="99"/>
    <w:unhideWhenUsed/>
    <w:rsid w:val="00FF7B51"/>
    <w:rPr>
      <w:vertAlign w:val="superscript"/>
    </w:rPr>
  </w:style>
  <w:style w:type="paragraph" w:customStyle="1" w:styleId="HeaderCouncilLarge">
    <w:name w:val="Header Council Large"/>
    <w:basedOn w:val="Normal"/>
    <w:link w:val="HeaderCouncilLargeChar"/>
    <w:qFormat/>
    <w:rsid w:val="00FF7B51"/>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FF7B51"/>
    <w:rPr>
      <w:rFonts w:eastAsia="Calibri"/>
      <w:sz w:val="24"/>
      <w:szCs w:val="22"/>
      <w:lang w:val="fi-FI" w:eastAsia="en-US"/>
    </w:rPr>
  </w:style>
  <w:style w:type="character" w:customStyle="1" w:styleId="HeaderCouncilLargeChar">
    <w:name w:val="Header Council Large Char"/>
    <w:basedOn w:val="TechnicalBlockChar"/>
    <w:link w:val="HeaderCouncilLarge"/>
    <w:qFormat/>
    <w:rsid w:val="00FF7B51"/>
    <w:rPr>
      <w:rFonts w:eastAsia="Calibri"/>
      <w:sz w:val="2"/>
      <w:szCs w:val="22"/>
      <w:lang w:val="fi-FI" w:eastAsia="en-US"/>
    </w:rPr>
  </w:style>
  <w:style w:type="paragraph" w:customStyle="1" w:styleId="FooterText">
    <w:name w:val="Footer Text"/>
    <w:basedOn w:val="Normal"/>
    <w:qFormat/>
    <w:rsid w:val="00FF7B51"/>
    <w:pPr>
      <w:widowControl/>
    </w:pPr>
    <w:rPr>
      <w:szCs w:val="24"/>
      <w:lang w:eastAsia="en-US"/>
    </w:rPr>
  </w:style>
  <w:style w:type="character" w:styleId="PlaceholderText">
    <w:name w:val="Placeholder Text"/>
    <w:basedOn w:val="DefaultParagraphFont"/>
    <w:uiPriority w:val="99"/>
    <w:semiHidden/>
    <w:qFormat/>
    <w:rsid w:val="00FF7B51"/>
    <w:rPr>
      <w:color w:val="808080"/>
    </w:rPr>
  </w:style>
  <w:style w:type="numbering" w:customStyle="1" w:styleId="RKPunktlista">
    <w:name w:val="RK Punktlista"/>
    <w:uiPriority w:val="99"/>
    <w:rsid w:val="00FF7B51"/>
    <w:pPr>
      <w:numPr>
        <w:numId w:val="23"/>
      </w:numPr>
    </w:pPr>
  </w:style>
  <w:style w:type="paragraph" w:customStyle="1" w:styleId="ListBullet10">
    <w:name w:val="List Bullet1"/>
    <w:basedOn w:val="Normal"/>
    <w:next w:val="ListBullet"/>
    <w:uiPriority w:val="99"/>
    <w:qFormat/>
    <w:rsid w:val="00FF7B51"/>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Bullet21">
    <w:name w:val="List Bullet 21"/>
    <w:basedOn w:val="Normal"/>
    <w:next w:val="ListBullet2"/>
    <w:uiPriority w:val="99"/>
    <w:qFormat/>
    <w:rsid w:val="00FF7B51"/>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eastAsia="en-US"/>
    </w:rPr>
  </w:style>
  <w:style w:type="paragraph" w:customStyle="1" w:styleId="ListBullet31">
    <w:name w:val="List Bullet 31"/>
    <w:basedOn w:val="Normal"/>
    <w:next w:val="ListBullet3"/>
    <w:uiPriority w:val="99"/>
    <w:qFormat/>
    <w:rsid w:val="00FF7B51"/>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eastAsia="en-US"/>
    </w:rPr>
  </w:style>
  <w:style w:type="paragraph" w:customStyle="1" w:styleId="ListParagraphCharCharChar1">
    <w:name w:val="List Paragraph Char Char Char1"/>
    <w:basedOn w:val="Normal"/>
    <w:next w:val="ListParagraph"/>
    <w:link w:val="ListParagraphChar"/>
    <w:uiPriority w:val="34"/>
    <w:qFormat/>
    <w:rsid w:val="00FF7B51"/>
    <w:pPr>
      <w:widowControl/>
      <w:spacing w:after="280" w:line="276" w:lineRule="auto"/>
      <w:ind w:left="720"/>
      <w:contextualSpacing/>
    </w:pPr>
    <w:rPr>
      <w:rFonts w:ascii="Calibri" w:eastAsia="Calibri" w:hAnsi="Calibri" w:cs="Arial"/>
      <w:sz w:val="25"/>
      <w:szCs w:val="25"/>
      <w:lang w:eastAsia="en-US"/>
    </w:rPr>
  </w:style>
  <w:style w:type="character" w:customStyle="1" w:styleId="Heading1Char">
    <w:name w:val="Heading 1 Char"/>
    <w:basedOn w:val="DefaultParagraphFont"/>
    <w:link w:val="Heading1"/>
    <w:uiPriority w:val="9"/>
    <w:qFormat/>
    <w:rsid w:val="00FF7B51"/>
    <w:rPr>
      <w:b/>
      <w:kern w:val="28"/>
      <w:sz w:val="28"/>
      <w:lang w:val="fr-FR" w:eastAsia="fr-FR"/>
    </w:rPr>
  </w:style>
  <w:style w:type="character" w:customStyle="1" w:styleId="Heading2Char">
    <w:name w:val="Heading 2 Char"/>
    <w:basedOn w:val="DefaultParagraphFont"/>
    <w:link w:val="Heading2"/>
    <w:uiPriority w:val="9"/>
    <w:qFormat/>
    <w:rsid w:val="00FF7B51"/>
    <w:rPr>
      <w:sz w:val="24"/>
      <w:lang w:val="fr-FR" w:eastAsia="fr-FR"/>
    </w:rPr>
  </w:style>
  <w:style w:type="character" w:customStyle="1" w:styleId="Heading3Char">
    <w:name w:val="Heading 3 Char"/>
    <w:basedOn w:val="DefaultParagraphFont"/>
    <w:link w:val="Heading3"/>
    <w:uiPriority w:val="9"/>
    <w:qFormat/>
    <w:rsid w:val="00FF7B51"/>
    <w:rPr>
      <w:rFonts w:ascii="Arial" w:hAnsi="Arial"/>
      <w:sz w:val="24"/>
      <w:lang w:val="fr-FR" w:eastAsia="fr-FR"/>
    </w:rPr>
  </w:style>
  <w:style w:type="character" w:customStyle="1" w:styleId="Heading4Char">
    <w:name w:val="Heading 4 Char"/>
    <w:basedOn w:val="DefaultParagraphFont"/>
    <w:link w:val="Heading4"/>
    <w:uiPriority w:val="9"/>
    <w:semiHidden/>
    <w:qFormat/>
    <w:rsid w:val="00FF7B51"/>
    <w:rPr>
      <w:sz w:val="24"/>
      <w:lang w:val="en-US" w:eastAsia="fr-FR"/>
    </w:rPr>
  </w:style>
  <w:style w:type="character" w:customStyle="1" w:styleId="Heading5Char">
    <w:name w:val="Heading 5 Char"/>
    <w:basedOn w:val="DefaultParagraphFont"/>
    <w:link w:val="Heading5"/>
    <w:uiPriority w:val="9"/>
    <w:semiHidden/>
    <w:qFormat/>
    <w:rsid w:val="00FF7B51"/>
    <w:rPr>
      <w:sz w:val="24"/>
      <w:lang w:val="en-US" w:eastAsia="fr-FR"/>
    </w:rPr>
  </w:style>
  <w:style w:type="character" w:customStyle="1" w:styleId="Heading6Char">
    <w:name w:val="Heading 6 Char"/>
    <w:basedOn w:val="DefaultParagraphFont"/>
    <w:link w:val="Heading6"/>
    <w:uiPriority w:val="9"/>
    <w:semiHidden/>
    <w:qFormat/>
    <w:rsid w:val="00FF7B51"/>
    <w:rPr>
      <w:i/>
      <w:sz w:val="22"/>
      <w:lang w:val="fi-FI"/>
    </w:rPr>
  </w:style>
  <w:style w:type="character" w:customStyle="1" w:styleId="Heading7Char">
    <w:name w:val="Heading 7 Char"/>
    <w:basedOn w:val="DefaultParagraphFont"/>
    <w:link w:val="Heading7"/>
    <w:uiPriority w:val="9"/>
    <w:semiHidden/>
    <w:qFormat/>
    <w:rsid w:val="00FF7B51"/>
    <w:rPr>
      <w:rFonts w:ascii="Arial" w:hAnsi="Arial"/>
      <w:sz w:val="24"/>
      <w:lang w:val="fi-FI"/>
    </w:rPr>
  </w:style>
  <w:style w:type="paragraph" w:styleId="NoSpacing">
    <w:name w:val="No Spacing"/>
    <w:uiPriority w:val="1"/>
    <w:qFormat/>
    <w:rsid w:val="00FF7B51"/>
    <w:pPr>
      <w:jc w:val="both"/>
    </w:pPr>
    <w:rPr>
      <w:rFonts w:eastAsia="Calibri" w:cs="Arial"/>
      <w:sz w:val="24"/>
      <w:lang w:val="fi-FI" w:eastAsia="sv-SE"/>
    </w:rPr>
  </w:style>
  <w:style w:type="paragraph" w:customStyle="1" w:styleId="CM1">
    <w:name w:val="CM1"/>
    <w:basedOn w:val="Default"/>
    <w:next w:val="Default"/>
    <w:uiPriority w:val="99"/>
    <w:rsid w:val="00FF7B51"/>
    <w:pPr>
      <w:suppressAutoHyphens w:val="0"/>
      <w:autoSpaceDE w:val="0"/>
      <w:autoSpaceDN w:val="0"/>
      <w:adjustRightInd w:val="0"/>
    </w:pPr>
    <w:rPr>
      <w:color w:val="auto"/>
    </w:rPr>
  </w:style>
  <w:style w:type="character" w:customStyle="1" w:styleId="Fotnotstecken">
    <w:name w:val="Fotnotstecken"/>
    <w:basedOn w:val="DefaultParagraphFont"/>
    <w:uiPriority w:val="99"/>
    <w:unhideWhenUsed/>
    <w:qFormat/>
    <w:rsid w:val="00FF7B51"/>
    <w:rPr>
      <w:b/>
      <w:shd w:val="clear" w:color="auto" w:fill="auto"/>
      <w:vertAlign w:val="superscript"/>
    </w:rPr>
  </w:style>
  <w:style w:type="character" w:customStyle="1" w:styleId="Fotnotsankare">
    <w:name w:val="Fotnotsankare"/>
    <w:qFormat/>
    <w:rsid w:val="00FF7B51"/>
    <w:rPr>
      <w:vertAlign w:val="superscript"/>
    </w:rPr>
  </w:style>
  <w:style w:type="character" w:customStyle="1" w:styleId="Slutnotstecken">
    <w:name w:val="Slutnotstecken"/>
    <w:basedOn w:val="DefaultParagraphFont"/>
    <w:uiPriority w:val="99"/>
    <w:semiHidden/>
    <w:unhideWhenUsed/>
    <w:qFormat/>
    <w:rsid w:val="00FF7B51"/>
    <w:rPr>
      <w:vertAlign w:val="superscript"/>
    </w:rPr>
  </w:style>
  <w:style w:type="character" w:customStyle="1" w:styleId="Slutnotsankare">
    <w:name w:val="Slutnotsankare"/>
    <w:qFormat/>
    <w:rsid w:val="00FF7B51"/>
    <w:rPr>
      <w:vertAlign w:val="superscript"/>
    </w:rPr>
  </w:style>
  <w:style w:type="character" w:customStyle="1" w:styleId="TOCHeadingChar">
    <w:name w:val="TOC Heading Char"/>
    <w:uiPriority w:val="39"/>
    <w:qFormat/>
    <w:rsid w:val="00FF7B51"/>
    <w:rPr>
      <w:rFonts w:ascii="Times New Roman" w:hAnsi="Times New Roman" w:cs="Times New Roman"/>
      <w:b/>
      <w:sz w:val="28"/>
      <w:lang w:val="fi-FI"/>
    </w:rPr>
  </w:style>
  <w:style w:type="character" w:styleId="CommentReference">
    <w:name w:val="annotation reference"/>
    <w:uiPriority w:val="99"/>
    <w:qFormat/>
    <w:rsid w:val="00FF7B51"/>
    <w:rPr>
      <w:rFonts w:cs="Times New Roman"/>
      <w:sz w:val="16"/>
      <w:szCs w:val="16"/>
    </w:rPr>
  </w:style>
  <w:style w:type="character" w:customStyle="1" w:styleId="CommentTextChar">
    <w:name w:val="Comment Text Char"/>
    <w:basedOn w:val="DefaultParagraphFont"/>
    <w:link w:val="CommentText"/>
    <w:uiPriority w:val="99"/>
    <w:qFormat/>
    <w:rsid w:val="00FF7B51"/>
  </w:style>
  <w:style w:type="character" w:customStyle="1" w:styleId="CommentSubjectChar">
    <w:name w:val="Comment Subject Char"/>
    <w:basedOn w:val="CommentTextChar"/>
    <w:link w:val="CommentSubject"/>
    <w:uiPriority w:val="99"/>
    <w:qFormat/>
    <w:rsid w:val="00FF7B51"/>
    <w:rPr>
      <w:b/>
      <w:bCs/>
    </w:rPr>
  </w:style>
  <w:style w:type="character" w:customStyle="1" w:styleId="BalloonTextChar">
    <w:name w:val="Balloon Text Char"/>
    <w:basedOn w:val="DefaultParagraphFont"/>
    <w:link w:val="BalloonText"/>
    <w:uiPriority w:val="99"/>
    <w:qFormat/>
    <w:rsid w:val="00FF7B51"/>
    <w:rPr>
      <w:rFonts w:ascii="Tahoma" w:hAnsi="Tahoma" w:cs="Tahoma"/>
      <w:sz w:val="16"/>
      <w:szCs w:val="16"/>
      <w:lang w:val="fi-FI"/>
    </w:rPr>
  </w:style>
  <w:style w:type="character" w:customStyle="1" w:styleId="tw4winMark">
    <w:name w:val="tw4winMark"/>
    <w:qFormat/>
    <w:rsid w:val="00FF7B51"/>
    <w:rPr>
      <w:vanish/>
      <w:color w:val="800080"/>
      <w:vertAlign w:val="subscript"/>
    </w:rPr>
  </w:style>
  <w:style w:type="character" w:customStyle="1" w:styleId="AnvndInternetlnk">
    <w:name w:val="Använd Internetlänk"/>
    <w:qFormat/>
    <w:rsid w:val="00FF7B51"/>
    <w:rPr>
      <w:color w:val="800080"/>
      <w:u w:val="single"/>
    </w:rPr>
  </w:style>
  <w:style w:type="character" w:customStyle="1" w:styleId="FooterCoverPageChar">
    <w:name w:val="Footer Cover Page Char"/>
    <w:link w:val="FooterCoverPage"/>
    <w:qFormat/>
    <w:rsid w:val="00FF7B51"/>
    <w:rPr>
      <w:rFonts w:eastAsia="Calibri"/>
      <w:sz w:val="24"/>
    </w:rPr>
  </w:style>
  <w:style w:type="character" w:customStyle="1" w:styleId="HeaderCoverPageChar">
    <w:name w:val="Header Cover Page Char"/>
    <w:link w:val="HeaderCoverPage"/>
    <w:qFormat/>
    <w:rsid w:val="00FF7B51"/>
    <w:rPr>
      <w:rFonts w:eastAsia="Calibri"/>
      <w:sz w:val="24"/>
    </w:rPr>
  </w:style>
  <w:style w:type="character" w:customStyle="1" w:styleId="ListParagraphChar">
    <w:name w:val="List Paragraph Char"/>
    <w:aliases w:val="List Paragraph1 Char,Numbered Para 1 Char,Dot pt Char,No Spacing1 Char,Indicator Text Char,Bullet Points Char,MAIN CONTENT Char,List Paragraph12 Char,F5 List Paragraph Char,Heading 2_sj Char,1st level - Bullet List Paragraph Char"/>
    <w:basedOn w:val="DefaultParagraphFont"/>
    <w:link w:val="ListParagraphCharCharChar1"/>
    <w:uiPriority w:val="34"/>
    <w:qFormat/>
    <w:locked/>
    <w:rsid w:val="00FF7B51"/>
    <w:rPr>
      <w:rFonts w:ascii="Calibri" w:eastAsia="Calibri" w:hAnsi="Calibri" w:cs="Arial"/>
      <w:sz w:val="25"/>
      <w:szCs w:val="25"/>
      <w:lang w:val="fi-FI" w:eastAsia="en-US"/>
    </w:rPr>
  </w:style>
  <w:style w:type="character" w:customStyle="1" w:styleId="normaltextrun">
    <w:name w:val="normaltextrun"/>
    <w:basedOn w:val="DefaultParagraphFont"/>
    <w:qFormat/>
    <w:rsid w:val="00FF7B51"/>
  </w:style>
  <w:style w:type="character" w:customStyle="1" w:styleId="eop">
    <w:name w:val="eop"/>
    <w:basedOn w:val="DefaultParagraphFont"/>
    <w:qFormat/>
    <w:rsid w:val="00FF7B51"/>
  </w:style>
  <w:style w:type="character" w:customStyle="1" w:styleId="bold">
    <w:name w:val="bold"/>
    <w:basedOn w:val="DefaultParagraphFont"/>
    <w:qFormat/>
    <w:rsid w:val="00FF7B51"/>
  </w:style>
  <w:style w:type="character" w:customStyle="1" w:styleId="oj-italic">
    <w:name w:val="oj-italic"/>
    <w:basedOn w:val="DefaultParagraphFont"/>
    <w:qFormat/>
    <w:rsid w:val="00FF7B51"/>
  </w:style>
  <w:style w:type="character" w:customStyle="1" w:styleId="Bodytext2">
    <w:name w:val="Body text|2"/>
    <w:basedOn w:val="DefaultParagraphFont"/>
    <w:qFormat/>
    <w:rsid w:val="00FF7B51"/>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styleId="Strong">
    <w:name w:val="Strong"/>
    <w:basedOn w:val="DefaultParagraphFont"/>
    <w:uiPriority w:val="22"/>
    <w:qFormat/>
    <w:rsid w:val="00FF7B51"/>
    <w:rPr>
      <w:b/>
      <w:bCs/>
    </w:rPr>
  </w:style>
  <w:style w:type="character" w:customStyle="1" w:styleId="highlight">
    <w:name w:val="highlight"/>
    <w:basedOn w:val="DefaultParagraphFont"/>
    <w:qFormat/>
    <w:rsid w:val="00FF7B51"/>
  </w:style>
  <w:style w:type="character" w:customStyle="1" w:styleId="oj-super">
    <w:name w:val="oj-super"/>
    <w:basedOn w:val="DefaultParagraphFont"/>
    <w:qFormat/>
    <w:rsid w:val="00FF7B51"/>
  </w:style>
  <w:style w:type="character" w:customStyle="1" w:styleId="findhit">
    <w:name w:val="findhit"/>
    <w:basedOn w:val="DefaultParagraphFont"/>
    <w:qFormat/>
    <w:rsid w:val="00FF7B51"/>
  </w:style>
  <w:style w:type="character" w:customStyle="1" w:styleId="Marker2">
    <w:name w:val="Marker2"/>
    <w:basedOn w:val="DefaultParagraphFont"/>
    <w:qFormat/>
    <w:rsid w:val="00FF7B51"/>
    <w:rPr>
      <w:color w:val="FF0000"/>
      <w:shd w:val="clear" w:color="auto" w:fill="auto"/>
    </w:rPr>
  </w:style>
  <w:style w:type="character" w:customStyle="1" w:styleId="Added">
    <w:name w:val="Added"/>
    <w:basedOn w:val="DefaultParagraphFont"/>
    <w:qFormat/>
    <w:rsid w:val="00FF7B51"/>
    <w:rPr>
      <w:b/>
      <w:u w:val="single"/>
      <w:shd w:val="clear" w:color="auto" w:fill="auto"/>
    </w:rPr>
  </w:style>
  <w:style w:type="character" w:customStyle="1" w:styleId="Deleted">
    <w:name w:val="Deleted"/>
    <w:basedOn w:val="DefaultParagraphFont"/>
    <w:qFormat/>
    <w:rsid w:val="00FF7B51"/>
    <w:rPr>
      <w:strike w:val="0"/>
      <w:dstrike w:val="0"/>
      <w:shd w:val="clear" w:color="auto" w:fill="auto"/>
    </w:rPr>
  </w:style>
  <w:style w:type="character" w:customStyle="1" w:styleId="pjChar">
    <w:name w:val="p.j. Char"/>
    <w:basedOn w:val="TechnicalBlockChar"/>
    <w:link w:val="pj"/>
    <w:qFormat/>
    <w:rsid w:val="00FF7B51"/>
    <w:rPr>
      <w:rFonts w:eastAsia="Calibri"/>
      <w:sz w:val="24"/>
      <w:szCs w:val="22"/>
      <w:lang w:val="fi-FI" w:eastAsia="en-US"/>
    </w:rPr>
  </w:style>
  <w:style w:type="character" w:customStyle="1" w:styleId="nbborderedChar">
    <w:name w:val="nb bordered Char"/>
    <w:basedOn w:val="TechnicalBlockChar"/>
    <w:link w:val="nbbordered"/>
    <w:qFormat/>
    <w:rsid w:val="00FF7B51"/>
    <w:rPr>
      <w:rFonts w:eastAsia="Calibri"/>
      <w:b/>
      <w:sz w:val="24"/>
      <w:szCs w:val="22"/>
      <w:lang w:val="fi-FI" w:eastAsia="en-US"/>
    </w:rPr>
  </w:style>
  <w:style w:type="character" w:customStyle="1" w:styleId="HeaderCouncilChar">
    <w:name w:val="Header Council Char"/>
    <w:basedOn w:val="DefaultParagraphFont"/>
    <w:link w:val="HeaderCouncil"/>
    <w:qFormat/>
    <w:rsid w:val="00FF7B51"/>
    <w:rPr>
      <w:rFonts w:eastAsia="Calibri"/>
      <w:sz w:val="2"/>
      <w:szCs w:val="22"/>
      <w:lang w:val="fi-FI" w:eastAsia="en-US"/>
    </w:rPr>
  </w:style>
  <w:style w:type="character" w:customStyle="1" w:styleId="FooterCouncilChar">
    <w:name w:val="Footer Council Char"/>
    <w:basedOn w:val="DefaultParagraphFont"/>
    <w:link w:val="FooterCouncil"/>
    <w:qFormat/>
    <w:rsid w:val="00FF7B51"/>
    <w:rPr>
      <w:rFonts w:eastAsia="Calibri"/>
      <w:sz w:val="2"/>
      <w:szCs w:val="22"/>
      <w:lang w:val="fi-FI" w:eastAsia="en-US"/>
    </w:rPr>
  </w:style>
  <w:style w:type="character" w:customStyle="1" w:styleId="ArticleNRLChar">
    <w:name w:val="Article NRL Char"/>
    <w:basedOn w:val="Heading2Char"/>
    <w:link w:val="ArticleNRL"/>
    <w:qFormat/>
    <w:rsid w:val="00FF7B51"/>
    <w:rPr>
      <w:sz w:val="24"/>
      <w:lang w:val="fr-FR" w:eastAsia="fr-FR"/>
    </w:rPr>
  </w:style>
  <w:style w:type="character" w:customStyle="1" w:styleId="TypedudocumentChar">
    <w:name w:val="Type du document Char"/>
    <w:basedOn w:val="DefaultParagraphFont"/>
    <w:link w:val="Typedudocument"/>
    <w:qFormat/>
    <w:rsid w:val="00FF7B51"/>
    <w:rPr>
      <w:b/>
      <w:sz w:val="24"/>
    </w:rPr>
  </w:style>
  <w:style w:type="character" w:customStyle="1" w:styleId="Rubrik1Char">
    <w:name w:val="Rubrik1 Char"/>
    <w:basedOn w:val="TypedudocumentChar"/>
    <w:link w:val="Rubrik1"/>
    <w:qFormat/>
    <w:rsid w:val="00FF7B51"/>
    <w:rPr>
      <w:b/>
      <w:sz w:val="24"/>
    </w:rPr>
  </w:style>
  <w:style w:type="character" w:customStyle="1" w:styleId="ChapterTitleChar">
    <w:name w:val="ChapterTitle Char"/>
    <w:basedOn w:val="DefaultParagraphFont"/>
    <w:link w:val="ChapterTitle"/>
    <w:qFormat/>
    <w:rsid w:val="00FF7B51"/>
    <w:rPr>
      <w:b/>
      <w:bCs/>
      <w:smallCaps/>
      <w:sz w:val="32"/>
      <w:szCs w:val="28"/>
    </w:rPr>
  </w:style>
  <w:style w:type="character" w:customStyle="1" w:styleId="Point0Char">
    <w:name w:val="Point 0 Char"/>
    <w:basedOn w:val="DefaultParagraphFont"/>
    <w:link w:val="Point0"/>
    <w:qFormat/>
    <w:rsid w:val="00FF7B51"/>
    <w:rPr>
      <w:sz w:val="24"/>
    </w:rPr>
  </w:style>
  <w:style w:type="character" w:customStyle="1" w:styleId="additionChar">
    <w:name w:val="addition Char"/>
    <w:basedOn w:val="Point0Char"/>
    <w:link w:val="addition"/>
    <w:qFormat/>
    <w:rsid w:val="00FF7B51"/>
    <w:rPr>
      <w:b/>
      <w:sz w:val="24"/>
      <w:u w:val="single"/>
    </w:rPr>
  </w:style>
  <w:style w:type="character" w:customStyle="1" w:styleId="ManualNumPar1Char">
    <w:name w:val="Manual NumPar 1 Char"/>
    <w:basedOn w:val="DefaultParagraphFont"/>
    <w:link w:val="ManualNumPar1"/>
    <w:qFormat/>
    <w:rsid w:val="00FF7B51"/>
    <w:rPr>
      <w:sz w:val="24"/>
    </w:rPr>
  </w:style>
  <w:style w:type="character" w:customStyle="1" w:styleId="deletionChar">
    <w:name w:val="deletion Char"/>
    <w:basedOn w:val="ManualNumPar1Char"/>
    <w:link w:val="deletion"/>
    <w:qFormat/>
    <w:rsid w:val="00FF7B51"/>
    <w:rPr>
      <w:strike/>
      <w:sz w:val="24"/>
    </w:rPr>
  </w:style>
  <w:style w:type="character" w:styleId="Hyperlink">
    <w:name w:val="Hyperlink"/>
    <w:uiPriority w:val="99"/>
    <w:rsid w:val="00FF7B51"/>
    <w:rPr>
      <w:color w:val="000080"/>
      <w:u w:val="single"/>
    </w:rPr>
  </w:style>
  <w:style w:type="character" w:customStyle="1" w:styleId="FootnoteAnchor">
    <w:name w:val="Footnote Anchor"/>
    <w:rsid w:val="00FF7B51"/>
    <w:rPr>
      <w:vertAlign w:val="superscript"/>
    </w:rPr>
  </w:style>
  <w:style w:type="character" w:customStyle="1" w:styleId="EndnoteAnchor">
    <w:name w:val="Endnote Anchor"/>
    <w:rsid w:val="00FF7B51"/>
    <w:rPr>
      <w:vertAlign w:val="superscript"/>
    </w:rPr>
  </w:style>
  <w:style w:type="character" w:customStyle="1" w:styleId="EndnoteCharacters">
    <w:name w:val="Endnote Characters"/>
    <w:qFormat/>
    <w:rsid w:val="00FF7B51"/>
  </w:style>
  <w:style w:type="paragraph" w:customStyle="1" w:styleId="Heading">
    <w:name w:val="Heading"/>
    <w:basedOn w:val="Normal"/>
    <w:next w:val="BodyText"/>
    <w:qFormat/>
    <w:rsid w:val="00FF7B51"/>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FF7B51"/>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FF7B51"/>
    <w:rPr>
      <w:rFonts w:eastAsia="Calibri"/>
      <w:sz w:val="24"/>
      <w:szCs w:val="22"/>
      <w:lang w:val="fi-FI" w:eastAsia="en-US"/>
    </w:rPr>
  </w:style>
  <w:style w:type="paragraph" w:styleId="List">
    <w:name w:val="List"/>
    <w:basedOn w:val="Normal"/>
    <w:uiPriority w:val="99"/>
    <w:unhideWhenUsed/>
    <w:rsid w:val="00FF7B51"/>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FF7B51"/>
    <w:pPr>
      <w:widowControl/>
      <w:suppressAutoHyphens/>
      <w:spacing w:before="120" w:after="120"/>
      <w:jc w:val="both"/>
    </w:pPr>
    <w:rPr>
      <w:b/>
      <w:bCs/>
      <w:sz w:val="20"/>
    </w:rPr>
  </w:style>
  <w:style w:type="paragraph" w:customStyle="1" w:styleId="Index">
    <w:name w:val="Index"/>
    <w:basedOn w:val="Normal"/>
    <w:qFormat/>
    <w:rsid w:val="00FF7B51"/>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FF7B51"/>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FF7B51"/>
    <w:rPr>
      <w:rFonts w:ascii="Carlito" w:eastAsia="Noto Sans SC Regular" w:hAnsi="Carlito" w:cs="Noto Sans Devanagari"/>
      <w:sz w:val="28"/>
      <w:szCs w:val="28"/>
      <w:lang w:val="fi-FI" w:eastAsia="en-US"/>
    </w:rPr>
  </w:style>
  <w:style w:type="paragraph" w:customStyle="1" w:styleId="Frteckning">
    <w:name w:val="Förteckning"/>
    <w:basedOn w:val="Normal"/>
    <w:qFormat/>
    <w:rsid w:val="00FF7B51"/>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FF7B51"/>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FF7B51"/>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FF7B51"/>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FF7B51"/>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FF7B51"/>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FF7B51"/>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FF7B51"/>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FF7B51"/>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FF7B51"/>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FF7B51"/>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FF7B51"/>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FF7B51"/>
    <w:pPr>
      <w:widowControl/>
      <w:numPr>
        <w:numId w:val="34"/>
      </w:numPr>
      <w:suppressAutoHyphens/>
      <w:spacing w:before="120" w:after="120"/>
      <w:jc w:val="both"/>
    </w:pPr>
    <w:rPr>
      <w:szCs w:val="22"/>
    </w:rPr>
  </w:style>
  <w:style w:type="paragraph" w:styleId="ListNumber3">
    <w:name w:val="List Number 3"/>
    <w:basedOn w:val="Normal"/>
    <w:uiPriority w:val="99"/>
    <w:qFormat/>
    <w:rsid w:val="00FF7B51"/>
    <w:pPr>
      <w:widowControl/>
      <w:numPr>
        <w:numId w:val="35"/>
      </w:numPr>
      <w:suppressAutoHyphens/>
      <w:spacing w:before="120" w:after="120"/>
      <w:jc w:val="both"/>
    </w:pPr>
    <w:rPr>
      <w:szCs w:val="22"/>
    </w:rPr>
  </w:style>
  <w:style w:type="paragraph" w:styleId="ListNumber4">
    <w:name w:val="List Number 4"/>
    <w:basedOn w:val="Normal"/>
    <w:uiPriority w:val="99"/>
    <w:qFormat/>
    <w:rsid w:val="00FF7B51"/>
    <w:pPr>
      <w:widowControl/>
      <w:tabs>
        <w:tab w:val="num" w:pos="1560"/>
      </w:tabs>
      <w:suppressAutoHyphens/>
      <w:spacing w:before="120" w:after="120"/>
      <w:ind w:left="1560" w:hanging="709"/>
      <w:jc w:val="both"/>
    </w:pPr>
    <w:rPr>
      <w:szCs w:val="22"/>
    </w:rPr>
  </w:style>
  <w:style w:type="paragraph" w:customStyle="1" w:styleId="ListDash3">
    <w:name w:val="List Dash 3"/>
    <w:basedOn w:val="Normal"/>
    <w:qFormat/>
    <w:rsid w:val="00FF7B51"/>
    <w:pPr>
      <w:widowControl/>
      <w:numPr>
        <w:numId w:val="31"/>
      </w:numPr>
      <w:suppressAutoHyphens/>
      <w:spacing w:before="120" w:after="120"/>
      <w:jc w:val="both"/>
    </w:pPr>
    <w:rPr>
      <w:szCs w:val="22"/>
    </w:rPr>
  </w:style>
  <w:style w:type="paragraph" w:customStyle="1" w:styleId="ListDash4">
    <w:name w:val="List Dash 4"/>
    <w:basedOn w:val="Normal"/>
    <w:qFormat/>
    <w:rsid w:val="00FF7B51"/>
    <w:pPr>
      <w:widowControl/>
      <w:numPr>
        <w:numId w:val="32"/>
      </w:numPr>
      <w:suppressAutoHyphens/>
      <w:spacing w:before="120" w:after="120"/>
      <w:jc w:val="both"/>
    </w:pPr>
    <w:rPr>
      <w:szCs w:val="22"/>
    </w:rPr>
  </w:style>
  <w:style w:type="paragraph" w:customStyle="1" w:styleId="ListNumber1">
    <w:name w:val="List Number 1"/>
    <w:basedOn w:val="Text1"/>
    <w:qFormat/>
    <w:rsid w:val="00FF7B51"/>
    <w:pPr>
      <w:numPr>
        <w:numId w:val="33"/>
      </w:numPr>
      <w:tabs>
        <w:tab w:val="clear" w:pos="1560"/>
      </w:tabs>
      <w:ind w:left="567" w:firstLine="0"/>
    </w:pPr>
  </w:style>
  <w:style w:type="paragraph" w:customStyle="1" w:styleId="ListNumber1Level2">
    <w:name w:val="List Number 1 (Level 2)"/>
    <w:basedOn w:val="Text1"/>
    <w:qFormat/>
    <w:rsid w:val="00FF7B51"/>
    <w:pPr>
      <w:numPr>
        <w:ilvl w:val="1"/>
        <w:numId w:val="33"/>
      </w:numPr>
      <w:tabs>
        <w:tab w:val="clear" w:pos="2268"/>
      </w:tabs>
      <w:ind w:left="567" w:firstLine="0"/>
    </w:pPr>
  </w:style>
  <w:style w:type="paragraph" w:customStyle="1" w:styleId="ListNumber2Level2">
    <w:name w:val="List Number 2 (Level 2)"/>
    <w:basedOn w:val="Text2"/>
    <w:qFormat/>
    <w:rsid w:val="00FF7B51"/>
    <w:pPr>
      <w:numPr>
        <w:ilvl w:val="1"/>
        <w:numId w:val="34"/>
      </w:numPr>
      <w:tabs>
        <w:tab w:val="clear" w:pos="2268"/>
      </w:tabs>
      <w:ind w:left="1134" w:firstLine="0"/>
    </w:pPr>
  </w:style>
  <w:style w:type="paragraph" w:customStyle="1" w:styleId="ListNumber3Level2">
    <w:name w:val="List Number 3 (Level 2)"/>
    <w:basedOn w:val="Text3"/>
    <w:qFormat/>
    <w:rsid w:val="00FF7B51"/>
    <w:pPr>
      <w:numPr>
        <w:ilvl w:val="1"/>
        <w:numId w:val="35"/>
      </w:numPr>
      <w:tabs>
        <w:tab w:val="clear" w:pos="2268"/>
      </w:tabs>
      <w:ind w:left="1701" w:firstLine="0"/>
    </w:pPr>
  </w:style>
  <w:style w:type="paragraph" w:customStyle="1" w:styleId="ListNumber4Level2">
    <w:name w:val="List Number 4 (Level 2)"/>
    <w:basedOn w:val="Text4"/>
    <w:qFormat/>
    <w:rsid w:val="00FF7B51"/>
  </w:style>
  <w:style w:type="paragraph" w:customStyle="1" w:styleId="ListNumber1Level3">
    <w:name w:val="List Number 1 (Level 3)"/>
    <w:basedOn w:val="Text1"/>
    <w:qFormat/>
    <w:rsid w:val="00FF7B51"/>
  </w:style>
  <w:style w:type="paragraph" w:customStyle="1" w:styleId="ListNumber2Level3">
    <w:name w:val="List Number 2 (Level 3)"/>
    <w:basedOn w:val="Text2"/>
    <w:qFormat/>
    <w:rsid w:val="00FF7B51"/>
    <w:pPr>
      <w:numPr>
        <w:ilvl w:val="2"/>
        <w:numId w:val="34"/>
      </w:numPr>
      <w:tabs>
        <w:tab w:val="clear" w:pos="2977"/>
      </w:tabs>
      <w:ind w:left="1134" w:firstLine="0"/>
    </w:pPr>
  </w:style>
  <w:style w:type="paragraph" w:customStyle="1" w:styleId="ListNumber3Level3">
    <w:name w:val="List Number 3 (Level 3)"/>
    <w:basedOn w:val="Text3"/>
    <w:qFormat/>
    <w:rsid w:val="00FF7B51"/>
    <w:pPr>
      <w:numPr>
        <w:ilvl w:val="2"/>
        <w:numId w:val="35"/>
      </w:numPr>
      <w:tabs>
        <w:tab w:val="clear" w:pos="2977"/>
      </w:tabs>
      <w:ind w:left="1701" w:firstLine="0"/>
    </w:pPr>
  </w:style>
  <w:style w:type="paragraph" w:customStyle="1" w:styleId="ListNumber4Level3">
    <w:name w:val="List Number 4 (Level 3)"/>
    <w:basedOn w:val="Text4"/>
    <w:qFormat/>
    <w:rsid w:val="00FF7B51"/>
  </w:style>
  <w:style w:type="paragraph" w:customStyle="1" w:styleId="ListNumber1Level4">
    <w:name w:val="List Number 1 (Level 4)"/>
    <w:basedOn w:val="Text1"/>
    <w:qFormat/>
    <w:rsid w:val="00FF7B51"/>
    <w:pPr>
      <w:numPr>
        <w:ilvl w:val="3"/>
        <w:numId w:val="33"/>
      </w:numPr>
      <w:tabs>
        <w:tab w:val="clear" w:pos="3686"/>
      </w:tabs>
      <w:ind w:left="567" w:firstLine="0"/>
    </w:pPr>
  </w:style>
  <w:style w:type="paragraph" w:customStyle="1" w:styleId="ListNumber2Level4">
    <w:name w:val="List Number 2 (Level 4)"/>
    <w:basedOn w:val="Text2"/>
    <w:qFormat/>
    <w:rsid w:val="00FF7B51"/>
    <w:pPr>
      <w:numPr>
        <w:ilvl w:val="3"/>
        <w:numId w:val="34"/>
      </w:numPr>
      <w:tabs>
        <w:tab w:val="clear" w:pos="3686"/>
      </w:tabs>
      <w:ind w:left="1134" w:firstLine="0"/>
    </w:pPr>
  </w:style>
  <w:style w:type="paragraph" w:customStyle="1" w:styleId="ListNumber3Level4">
    <w:name w:val="List Number 3 (Level 4)"/>
    <w:basedOn w:val="Text3"/>
    <w:qFormat/>
    <w:rsid w:val="00FF7B51"/>
    <w:pPr>
      <w:numPr>
        <w:ilvl w:val="3"/>
        <w:numId w:val="35"/>
      </w:numPr>
      <w:tabs>
        <w:tab w:val="clear" w:pos="3686"/>
      </w:tabs>
      <w:ind w:left="1701" w:firstLine="0"/>
    </w:pPr>
  </w:style>
  <w:style w:type="paragraph" w:customStyle="1" w:styleId="ListNumber4Level4">
    <w:name w:val="List Number 4 (Level 4)"/>
    <w:basedOn w:val="Text4"/>
    <w:qFormat/>
    <w:rsid w:val="00FF7B51"/>
  </w:style>
  <w:style w:type="paragraph" w:customStyle="1" w:styleId="Annexetitreacte">
    <w:name w:val="Annexe titre (acte)"/>
    <w:basedOn w:val="Normal"/>
    <w:next w:val="Normal"/>
    <w:qFormat/>
    <w:rsid w:val="00FF7B51"/>
    <w:pPr>
      <w:widowControl/>
      <w:suppressAutoHyphens/>
      <w:spacing w:before="120" w:after="120"/>
      <w:jc w:val="center"/>
    </w:pPr>
    <w:rPr>
      <w:b/>
      <w:szCs w:val="22"/>
      <w:u w:val="single"/>
    </w:rPr>
  </w:style>
  <w:style w:type="paragraph" w:customStyle="1" w:styleId="Annexetitreexposglobal">
    <w:name w:val="Annexe titre (exposé global)"/>
    <w:basedOn w:val="Normal"/>
    <w:next w:val="Normal"/>
    <w:qFormat/>
    <w:rsid w:val="00FF7B51"/>
    <w:pPr>
      <w:widowControl/>
      <w:suppressAutoHyphens/>
      <w:spacing w:before="120" w:after="120"/>
      <w:jc w:val="center"/>
    </w:pPr>
    <w:rPr>
      <w:b/>
      <w:szCs w:val="22"/>
      <w:u w:val="single"/>
    </w:rPr>
  </w:style>
  <w:style w:type="paragraph" w:customStyle="1" w:styleId="Annexetitrefichefinacte">
    <w:name w:val="Annexe titre (fiche fin. acte)"/>
    <w:basedOn w:val="Normal"/>
    <w:next w:val="Normal"/>
    <w:qFormat/>
    <w:rsid w:val="00FF7B51"/>
    <w:pPr>
      <w:widowControl/>
      <w:suppressAutoHyphens/>
      <w:spacing w:before="120" w:after="120"/>
      <w:jc w:val="center"/>
    </w:pPr>
    <w:rPr>
      <w:b/>
      <w:szCs w:val="22"/>
      <w:u w:val="single"/>
    </w:rPr>
  </w:style>
  <w:style w:type="paragraph" w:customStyle="1" w:styleId="Annexetitrefichefinglobale">
    <w:name w:val="Annexe titre (fiche fin. globale)"/>
    <w:basedOn w:val="Normal"/>
    <w:next w:val="Normal"/>
    <w:qFormat/>
    <w:rsid w:val="00FF7B51"/>
    <w:pPr>
      <w:widowControl/>
      <w:suppressAutoHyphens/>
      <w:spacing w:before="120" w:after="120"/>
      <w:jc w:val="center"/>
    </w:pPr>
    <w:rPr>
      <w:b/>
      <w:szCs w:val="22"/>
      <w:u w:val="single"/>
    </w:rPr>
  </w:style>
  <w:style w:type="paragraph" w:customStyle="1" w:styleId="Annexetitreglobale">
    <w:name w:val="Annexe titre (globale)"/>
    <w:basedOn w:val="Normal"/>
    <w:next w:val="Normal"/>
    <w:qFormat/>
    <w:rsid w:val="00FF7B51"/>
    <w:pPr>
      <w:widowControl/>
      <w:suppressAutoHyphens/>
      <w:spacing w:before="120" w:after="120"/>
      <w:jc w:val="center"/>
    </w:pPr>
    <w:rPr>
      <w:b/>
      <w:szCs w:val="22"/>
      <w:u w:val="single"/>
    </w:rPr>
  </w:style>
  <w:style w:type="paragraph" w:customStyle="1" w:styleId="Exposdesmotifstitreglobal">
    <w:name w:val="Exposé des motifs titre (global)"/>
    <w:basedOn w:val="Normal"/>
    <w:next w:val="Normal"/>
    <w:qFormat/>
    <w:rsid w:val="00FF7B51"/>
    <w:pPr>
      <w:widowControl/>
      <w:suppressAutoHyphens/>
      <w:spacing w:before="120" w:after="120"/>
      <w:jc w:val="center"/>
    </w:pPr>
    <w:rPr>
      <w:b/>
      <w:szCs w:val="22"/>
      <w:u w:val="single"/>
    </w:rPr>
  </w:style>
  <w:style w:type="paragraph" w:customStyle="1" w:styleId="Langueoriginale">
    <w:name w:val="Langue originale"/>
    <w:basedOn w:val="Normal"/>
    <w:qFormat/>
    <w:rsid w:val="00FF7B51"/>
    <w:pPr>
      <w:widowControl/>
      <w:suppressAutoHyphens/>
      <w:spacing w:before="360" w:after="120"/>
      <w:jc w:val="center"/>
    </w:pPr>
    <w:rPr>
      <w:caps/>
      <w:szCs w:val="22"/>
    </w:rPr>
  </w:style>
  <w:style w:type="paragraph" w:customStyle="1" w:styleId="Phrasefinale">
    <w:name w:val="Phrase finale"/>
    <w:basedOn w:val="Normal"/>
    <w:next w:val="Normal"/>
    <w:qFormat/>
    <w:rsid w:val="00FF7B51"/>
    <w:pPr>
      <w:widowControl/>
      <w:suppressAutoHyphens/>
      <w:spacing w:before="360"/>
      <w:jc w:val="center"/>
    </w:pPr>
    <w:rPr>
      <w:szCs w:val="22"/>
    </w:rPr>
  </w:style>
  <w:style w:type="paragraph" w:customStyle="1" w:styleId="Prliminairetitre">
    <w:name w:val="Préliminaire titre"/>
    <w:basedOn w:val="Normal"/>
    <w:next w:val="Normal"/>
    <w:qFormat/>
    <w:rsid w:val="00FF7B51"/>
    <w:pPr>
      <w:widowControl/>
      <w:suppressAutoHyphens/>
      <w:spacing w:before="360" w:after="360"/>
      <w:jc w:val="center"/>
    </w:pPr>
    <w:rPr>
      <w:b/>
      <w:szCs w:val="22"/>
    </w:rPr>
  </w:style>
  <w:style w:type="paragraph" w:customStyle="1" w:styleId="Prliminairetype">
    <w:name w:val="Préliminaire type"/>
    <w:basedOn w:val="Normal"/>
    <w:next w:val="Normal"/>
    <w:qFormat/>
    <w:rsid w:val="00FF7B51"/>
    <w:pPr>
      <w:widowControl/>
      <w:suppressAutoHyphens/>
      <w:spacing w:before="360"/>
      <w:jc w:val="center"/>
    </w:pPr>
    <w:rPr>
      <w:b/>
      <w:szCs w:val="22"/>
    </w:rPr>
  </w:style>
  <w:style w:type="paragraph" w:customStyle="1" w:styleId="Rfrenceinstitutionelle">
    <w:name w:val="Référence institutionelle"/>
    <w:basedOn w:val="Normal"/>
    <w:next w:val="Statut"/>
    <w:qFormat/>
    <w:rsid w:val="00FF7B51"/>
    <w:pPr>
      <w:widowControl/>
      <w:suppressAutoHyphens/>
      <w:spacing w:after="240"/>
      <w:ind w:left="5103"/>
    </w:pPr>
    <w:rPr>
      <w:szCs w:val="22"/>
    </w:rPr>
  </w:style>
  <w:style w:type="paragraph" w:customStyle="1" w:styleId="Rfrenceinterinstitutionelle">
    <w:name w:val="Référence interinstitutionelle"/>
    <w:basedOn w:val="Normal"/>
    <w:next w:val="Statut"/>
    <w:qFormat/>
    <w:rsid w:val="00FF7B51"/>
    <w:pPr>
      <w:widowControl/>
      <w:suppressAutoHyphens/>
      <w:ind w:left="5103"/>
    </w:pPr>
    <w:rPr>
      <w:szCs w:val="22"/>
    </w:rPr>
  </w:style>
  <w:style w:type="paragraph" w:customStyle="1" w:styleId="Rfrenceinterinstitutionelleprliminaire">
    <w:name w:val="Référence interinstitutionelle (préliminaire)"/>
    <w:basedOn w:val="Normal"/>
    <w:next w:val="Normal"/>
    <w:qFormat/>
    <w:rsid w:val="00FF7B51"/>
    <w:pPr>
      <w:widowControl/>
      <w:suppressAutoHyphens/>
      <w:ind w:left="5103"/>
    </w:pPr>
    <w:rPr>
      <w:szCs w:val="22"/>
    </w:rPr>
  </w:style>
  <w:style w:type="paragraph" w:customStyle="1" w:styleId="Sous-titreobjetprliminaire">
    <w:name w:val="Sous-titre objet (préliminaire)"/>
    <w:basedOn w:val="Normal"/>
    <w:qFormat/>
    <w:rsid w:val="00FF7B51"/>
    <w:pPr>
      <w:widowControl/>
      <w:suppressAutoHyphens/>
      <w:jc w:val="center"/>
    </w:pPr>
    <w:rPr>
      <w:b/>
      <w:szCs w:val="22"/>
    </w:rPr>
  </w:style>
  <w:style w:type="paragraph" w:customStyle="1" w:styleId="Statutprliminaire">
    <w:name w:val="Statut (préliminaire)"/>
    <w:basedOn w:val="Normal"/>
    <w:next w:val="Normal"/>
    <w:qFormat/>
    <w:rsid w:val="00FF7B51"/>
    <w:pPr>
      <w:widowControl/>
      <w:suppressAutoHyphens/>
      <w:spacing w:before="360"/>
      <w:jc w:val="center"/>
    </w:pPr>
    <w:rPr>
      <w:szCs w:val="22"/>
    </w:rPr>
  </w:style>
  <w:style w:type="paragraph" w:customStyle="1" w:styleId="Titreobjetprliminaire">
    <w:name w:val="Titre objet (préliminaire)"/>
    <w:basedOn w:val="Normal"/>
    <w:next w:val="Normal"/>
    <w:qFormat/>
    <w:rsid w:val="00FF7B51"/>
    <w:pPr>
      <w:widowControl/>
      <w:suppressAutoHyphens/>
      <w:spacing w:before="360" w:after="360"/>
      <w:jc w:val="center"/>
    </w:pPr>
    <w:rPr>
      <w:b/>
      <w:szCs w:val="22"/>
    </w:rPr>
  </w:style>
  <w:style w:type="paragraph" w:customStyle="1" w:styleId="Typedudocumentprliminaire">
    <w:name w:val="Type du document (préliminaire)"/>
    <w:basedOn w:val="Normal"/>
    <w:next w:val="Normal"/>
    <w:qFormat/>
    <w:rsid w:val="00FF7B51"/>
    <w:pPr>
      <w:widowControl/>
      <w:suppressAutoHyphens/>
      <w:spacing w:before="360"/>
      <w:jc w:val="center"/>
    </w:pPr>
    <w:rPr>
      <w:b/>
      <w:szCs w:val="22"/>
    </w:rPr>
  </w:style>
  <w:style w:type="paragraph" w:customStyle="1" w:styleId="Fichefinancirestandardtitre">
    <w:name w:val="Fiche financière (standard) titre"/>
    <w:basedOn w:val="Normal"/>
    <w:next w:val="Normal"/>
    <w:qFormat/>
    <w:rsid w:val="00FF7B51"/>
    <w:pPr>
      <w:widowControl/>
      <w:suppressAutoHyphens/>
      <w:spacing w:before="120" w:after="120"/>
      <w:jc w:val="center"/>
    </w:pPr>
    <w:rPr>
      <w:b/>
      <w:szCs w:val="22"/>
      <w:u w:val="single"/>
    </w:rPr>
  </w:style>
  <w:style w:type="paragraph" w:customStyle="1" w:styleId="Fichefinancirestandardtitreacte">
    <w:name w:val="Fiche financière (standard) titre (acte)"/>
    <w:basedOn w:val="Normal"/>
    <w:next w:val="Normal"/>
    <w:qFormat/>
    <w:rsid w:val="00FF7B51"/>
    <w:pPr>
      <w:widowControl/>
      <w:suppressAutoHyphens/>
      <w:spacing w:before="120" w:after="120"/>
      <w:jc w:val="center"/>
    </w:pPr>
    <w:rPr>
      <w:b/>
      <w:szCs w:val="22"/>
      <w:u w:val="single"/>
    </w:rPr>
  </w:style>
  <w:style w:type="paragraph" w:customStyle="1" w:styleId="Fichefinanciretravailtitre">
    <w:name w:val="Fiche financière (travail) titre"/>
    <w:basedOn w:val="Normal"/>
    <w:next w:val="Normal"/>
    <w:qFormat/>
    <w:rsid w:val="00FF7B51"/>
    <w:pPr>
      <w:widowControl/>
      <w:suppressAutoHyphens/>
      <w:spacing w:before="120" w:after="120"/>
      <w:jc w:val="center"/>
    </w:pPr>
    <w:rPr>
      <w:b/>
      <w:szCs w:val="22"/>
      <w:u w:val="single"/>
    </w:rPr>
  </w:style>
  <w:style w:type="paragraph" w:customStyle="1" w:styleId="Fichefinanciretravailtitreacte">
    <w:name w:val="Fiche financière (travail) titre (acte)"/>
    <w:basedOn w:val="Normal"/>
    <w:next w:val="Normal"/>
    <w:qFormat/>
    <w:rsid w:val="00FF7B51"/>
    <w:pPr>
      <w:widowControl/>
      <w:suppressAutoHyphens/>
      <w:spacing w:before="120" w:after="120"/>
      <w:jc w:val="center"/>
    </w:pPr>
    <w:rPr>
      <w:b/>
      <w:szCs w:val="22"/>
      <w:u w:val="single"/>
    </w:rPr>
  </w:style>
  <w:style w:type="paragraph" w:customStyle="1" w:styleId="Fichefinancireattributiontitre">
    <w:name w:val="Fiche financière (attribution) titre"/>
    <w:basedOn w:val="Normal"/>
    <w:next w:val="Normal"/>
    <w:qFormat/>
    <w:rsid w:val="00FF7B51"/>
    <w:pPr>
      <w:widowControl/>
      <w:suppressAutoHyphens/>
      <w:spacing w:before="120" w:after="120"/>
      <w:jc w:val="center"/>
    </w:pPr>
    <w:rPr>
      <w:b/>
      <w:szCs w:val="22"/>
      <w:u w:val="single"/>
    </w:rPr>
  </w:style>
  <w:style w:type="paragraph" w:customStyle="1" w:styleId="Fichefinancireattributiontitreacte">
    <w:name w:val="Fiche financière (attribution) titre (acte)"/>
    <w:basedOn w:val="Normal"/>
    <w:next w:val="Normal"/>
    <w:qFormat/>
    <w:rsid w:val="00FF7B51"/>
    <w:pPr>
      <w:widowControl/>
      <w:suppressAutoHyphens/>
      <w:spacing w:before="120" w:after="120"/>
      <w:jc w:val="center"/>
    </w:pPr>
    <w:rPr>
      <w:b/>
      <w:szCs w:val="22"/>
      <w:u w:val="single"/>
    </w:rPr>
  </w:style>
  <w:style w:type="paragraph" w:styleId="CommentText">
    <w:name w:val="annotation text"/>
    <w:basedOn w:val="Normal"/>
    <w:link w:val="CommentTextChar"/>
    <w:uiPriority w:val="99"/>
    <w:qFormat/>
    <w:rsid w:val="00FF7B51"/>
    <w:pPr>
      <w:widowControl/>
      <w:suppressAutoHyphens/>
      <w:spacing w:before="120" w:after="120"/>
      <w:jc w:val="both"/>
    </w:pPr>
    <w:rPr>
      <w:sz w:val="20"/>
      <w:lang w:val="en-GB"/>
    </w:rPr>
  </w:style>
  <w:style w:type="character" w:customStyle="1" w:styleId="CommentTextChar1">
    <w:name w:val="Comment Text Char1"/>
    <w:basedOn w:val="DefaultParagraphFont"/>
    <w:uiPriority w:val="99"/>
    <w:rsid w:val="00FF7B51"/>
    <w:rPr>
      <w:lang w:val="fi-FI"/>
    </w:rPr>
  </w:style>
  <w:style w:type="paragraph" w:styleId="CommentSubject">
    <w:name w:val="annotation subject"/>
    <w:basedOn w:val="CommentText"/>
    <w:next w:val="CommentText"/>
    <w:link w:val="CommentSubjectChar"/>
    <w:uiPriority w:val="99"/>
    <w:qFormat/>
    <w:rsid w:val="00FF7B51"/>
    <w:rPr>
      <w:b/>
      <w:bCs/>
    </w:rPr>
  </w:style>
  <w:style w:type="character" w:customStyle="1" w:styleId="CommentSubjectChar1">
    <w:name w:val="Comment Subject Char1"/>
    <w:basedOn w:val="CommentTextChar1"/>
    <w:uiPriority w:val="99"/>
    <w:rsid w:val="00FF7B51"/>
    <w:rPr>
      <w:b/>
      <w:bCs/>
      <w:lang w:val="fi-FI"/>
    </w:rPr>
  </w:style>
  <w:style w:type="paragraph" w:styleId="BalloonText">
    <w:name w:val="Balloon Text"/>
    <w:basedOn w:val="Normal"/>
    <w:link w:val="BalloonTextChar"/>
    <w:uiPriority w:val="99"/>
    <w:qFormat/>
    <w:rsid w:val="00FF7B51"/>
    <w:pPr>
      <w:widowControl/>
      <w:suppressAutoHyphens/>
      <w:spacing w:before="120" w:after="120"/>
      <w:jc w:val="both"/>
    </w:pPr>
    <w:rPr>
      <w:rFonts w:ascii="Tahoma" w:hAnsi="Tahoma" w:cs="Tahoma"/>
      <w:sz w:val="16"/>
      <w:szCs w:val="16"/>
    </w:rPr>
  </w:style>
  <w:style w:type="character" w:customStyle="1" w:styleId="BalloonTextChar1">
    <w:name w:val="Balloon Text Char1"/>
    <w:basedOn w:val="DefaultParagraphFont"/>
    <w:uiPriority w:val="99"/>
    <w:rsid w:val="00FF7B51"/>
    <w:rPr>
      <w:rFonts w:ascii="Segoe UI" w:hAnsi="Segoe UI" w:cs="Segoe UI"/>
      <w:sz w:val="18"/>
      <w:szCs w:val="18"/>
      <w:lang w:val="fi-FI"/>
    </w:rPr>
  </w:style>
  <w:style w:type="paragraph" w:styleId="TableofFigures">
    <w:name w:val="table of figures"/>
    <w:basedOn w:val="Normal"/>
    <w:next w:val="Normal"/>
    <w:uiPriority w:val="99"/>
    <w:qFormat/>
    <w:rsid w:val="00FF7B51"/>
    <w:pPr>
      <w:widowControl/>
      <w:suppressAutoHyphens/>
      <w:spacing w:before="120" w:after="120"/>
      <w:jc w:val="both"/>
    </w:pPr>
    <w:rPr>
      <w:szCs w:val="22"/>
    </w:rPr>
  </w:style>
  <w:style w:type="paragraph" w:customStyle="1" w:styleId="Sous-titreobjet">
    <w:name w:val="Sous-titre objet"/>
    <w:basedOn w:val="Normal"/>
    <w:qFormat/>
    <w:rsid w:val="00FF7B51"/>
    <w:pPr>
      <w:widowControl/>
      <w:suppressAutoHyphens/>
      <w:jc w:val="center"/>
    </w:pPr>
    <w:rPr>
      <w:b/>
      <w:szCs w:val="22"/>
    </w:rPr>
  </w:style>
  <w:style w:type="paragraph" w:customStyle="1" w:styleId="Sous-titreobjetPagedecouverture">
    <w:name w:val="Sous-titre objet (Page de couverture)"/>
    <w:basedOn w:val="Sous-titreobjet"/>
    <w:qFormat/>
    <w:rsid w:val="00FF7B51"/>
  </w:style>
  <w:style w:type="paragraph" w:customStyle="1" w:styleId="FooterCoverPage">
    <w:name w:val="Footer Cover Page"/>
    <w:basedOn w:val="Normal"/>
    <w:link w:val="FooterCoverPageChar"/>
    <w:qFormat/>
    <w:rsid w:val="00FF7B51"/>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FF7B51"/>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FF7B51"/>
    <w:pPr>
      <w:widowControl/>
      <w:suppressAutoHyphens/>
      <w:spacing w:before="120" w:beforeAutospacing="1" w:after="120" w:afterAutospacing="1"/>
    </w:pPr>
    <w:rPr>
      <w:szCs w:val="24"/>
    </w:rPr>
  </w:style>
  <w:style w:type="paragraph" w:customStyle="1" w:styleId="titreobjetcp">
    <w:name w:val="titreobjet_cp"/>
    <w:basedOn w:val="Normal"/>
    <w:qFormat/>
    <w:rsid w:val="00FF7B51"/>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FF7B51"/>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FF7B51"/>
    <w:pPr>
      <w:widowControl/>
      <w:suppressAutoHyphens/>
      <w:spacing w:after="240"/>
      <w:ind w:left="5103"/>
    </w:pPr>
    <w:rPr>
      <w:rFonts w:eastAsia="Calibri"/>
      <w:szCs w:val="22"/>
      <w:lang w:eastAsia="en-US"/>
    </w:rPr>
  </w:style>
  <w:style w:type="paragraph" w:customStyle="1" w:styleId="Article">
    <w:name w:val="Article"/>
    <w:basedOn w:val="Normal"/>
    <w:qFormat/>
    <w:rsid w:val="00FF7B51"/>
    <w:pPr>
      <w:widowControl/>
      <w:suppressAutoHyphens/>
      <w:spacing w:before="120" w:after="120"/>
      <w:jc w:val="center"/>
    </w:pPr>
    <w:rPr>
      <w:rFonts w:eastAsia="Calibri"/>
      <w:szCs w:val="22"/>
      <w:lang w:eastAsia="en-US"/>
    </w:rPr>
  </w:style>
  <w:style w:type="paragraph" w:customStyle="1" w:styleId="ti-art">
    <w:name w:val="ti-art"/>
    <w:basedOn w:val="Normal"/>
    <w:qFormat/>
    <w:rsid w:val="00FF7B51"/>
    <w:pPr>
      <w:widowControl/>
      <w:suppressAutoHyphens/>
      <w:spacing w:before="120" w:beforeAutospacing="1" w:after="120" w:afterAutospacing="1"/>
    </w:pPr>
    <w:rPr>
      <w:szCs w:val="24"/>
    </w:rPr>
  </w:style>
  <w:style w:type="paragraph" w:customStyle="1" w:styleId="sti-art">
    <w:name w:val="sti-art"/>
    <w:basedOn w:val="Normal"/>
    <w:qFormat/>
    <w:rsid w:val="00FF7B51"/>
    <w:pPr>
      <w:widowControl/>
      <w:suppressAutoHyphens/>
      <w:spacing w:before="120" w:beforeAutospacing="1" w:after="120" w:afterAutospacing="1"/>
    </w:pPr>
    <w:rPr>
      <w:szCs w:val="24"/>
    </w:rPr>
  </w:style>
  <w:style w:type="paragraph" w:customStyle="1" w:styleId="Normal1">
    <w:name w:val="Normal1"/>
    <w:basedOn w:val="Normal"/>
    <w:qFormat/>
    <w:rsid w:val="00FF7B51"/>
    <w:pPr>
      <w:widowControl/>
      <w:suppressAutoHyphens/>
      <w:spacing w:before="120" w:beforeAutospacing="1" w:after="120" w:afterAutospacing="1"/>
    </w:pPr>
    <w:rPr>
      <w:szCs w:val="24"/>
    </w:rPr>
  </w:style>
  <w:style w:type="paragraph" w:customStyle="1" w:styleId="ti-section-1">
    <w:name w:val="ti-section-1"/>
    <w:basedOn w:val="Normal"/>
    <w:qFormat/>
    <w:rsid w:val="00FF7B51"/>
    <w:pPr>
      <w:widowControl/>
      <w:suppressAutoHyphens/>
      <w:spacing w:before="120" w:beforeAutospacing="1" w:after="120" w:afterAutospacing="1"/>
    </w:pPr>
    <w:rPr>
      <w:szCs w:val="24"/>
    </w:rPr>
  </w:style>
  <w:style w:type="paragraph" w:customStyle="1" w:styleId="ti-section-2">
    <w:name w:val="ti-section-2"/>
    <w:basedOn w:val="Normal"/>
    <w:qFormat/>
    <w:rsid w:val="00FF7B51"/>
    <w:pPr>
      <w:widowControl/>
      <w:suppressAutoHyphens/>
      <w:spacing w:before="120" w:beforeAutospacing="1" w:after="120" w:afterAutospacing="1"/>
    </w:pPr>
    <w:rPr>
      <w:szCs w:val="24"/>
    </w:rPr>
  </w:style>
  <w:style w:type="paragraph" w:customStyle="1" w:styleId="oj-ti-section-1">
    <w:name w:val="oj-ti-section-1"/>
    <w:basedOn w:val="Normal"/>
    <w:qFormat/>
    <w:rsid w:val="00FF7B51"/>
    <w:pPr>
      <w:widowControl/>
      <w:suppressAutoHyphens/>
      <w:spacing w:before="120" w:beforeAutospacing="1" w:after="120" w:afterAutospacing="1"/>
    </w:pPr>
    <w:rPr>
      <w:szCs w:val="24"/>
    </w:rPr>
  </w:style>
  <w:style w:type="paragraph" w:customStyle="1" w:styleId="oj-ti-section-2">
    <w:name w:val="oj-ti-section-2"/>
    <w:basedOn w:val="Normal"/>
    <w:qFormat/>
    <w:rsid w:val="00FF7B51"/>
    <w:pPr>
      <w:widowControl/>
      <w:suppressAutoHyphens/>
      <w:spacing w:before="120" w:beforeAutospacing="1" w:after="120" w:afterAutospacing="1"/>
    </w:pPr>
    <w:rPr>
      <w:szCs w:val="24"/>
    </w:rPr>
  </w:style>
  <w:style w:type="paragraph" w:styleId="Revision">
    <w:name w:val="Revision"/>
    <w:uiPriority w:val="99"/>
    <w:semiHidden/>
    <w:qFormat/>
    <w:rsid w:val="00FF7B51"/>
    <w:pPr>
      <w:suppressAutoHyphens/>
    </w:pPr>
    <w:rPr>
      <w:rFonts w:eastAsia="Calibri"/>
      <w:sz w:val="24"/>
      <w:szCs w:val="22"/>
      <w:lang w:val="fi-FI" w:eastAsia="en-US"/>
    </w:rPr>
  </w:style>
  <w:style w:type="paragraph" w:customStyle="1" w:styleId="Revis">
    <w:name w:val="Revis"/>
    <w:basedOn w:val="Normal"/>
    <w:qFormat/>
    <w:rsid w:val="00FF7B51"/>
    <w:pPr>
      <w:widowControl/>
      <w:tabs>
        <w:tab w:val="num" w:pos="0"/>
      </w:tabs>
      <w:suppressAutoHyphens/>
      <w:spacing w:after="160" w:line="259" w:lineRule="auto"/>
      <w:ind w:left="600" w:hanging="360"/>
      <w:contextualSpacing/>
      <w:jc w:val="both"/>
    </w:pPr>
    <w:rPr>
      <w:rFonts w:eastAsia="Calibri"/>
      <w:szCs w:val="24"/>
      <w:lang w:eastAsia="en-US"/>
    </w:rPr>
  </w:style>
  <w:style w:type="paragraph" w:customStyle="1" w:styleId="Revise">
    <w:name w:val="Revise"/>
    <w:basedOn w:val="Revis"/>
    <w:qFormat/>
    <w:rsid w:val="00FF7B51"/>
  </w:style>
  <w:style w:type="paragraph" w:customStyle="1" w:styleId="oj-normal">
    <w:name w:val="oj-normal"/>
    <w:basedOn w:val="Normal"/>
    <w:qFormat/>
    <w:rsid w:val="00FF7B51"/>
    <w:pPr>
      <w:widowControl/>
      <w:suppressAutoHyphens/>
      <w:spacing w:before="120" w:beforeAutospacing="1" w:after="120" w:afterAutospacing="1"/>
    </w:pPr>
    <w:rPr>
      <w:szCs w:val="24"/>
    </w:rPr>
  </w:style>
  <w:style w:type="paragraph" w:customStyle="1" w:styleId="paragraph">
    <w:name w:val="paragraph"/>
    <w:basedOn w:val="Normal"/>
    <w:qFormat/>
    <w:rsid w:val="00FF7B51"/>
    <w:pPr>
      <w:widowControl/>
      <w:suppressAutoHyphens/>
      <w:spacing w:before="120" w:beforeAutospacing="1" w:after="120" w:afterAutospacing="1"/>
    </w:pPr>
    <w:rPr>
      <w:szCs w:val="24"/>
    </w:rPr>
  </w:style>
  <w:style w:type="paragraph" w:customStyle="1" w:styleId="ListPoint">
    <w:name w:val="List Point"/>
    <w:basedOn w:val="Tiret0"/>
    <w:qFormat/>
    <w:rsid w:val="00FF7B51"/>
    <w:pPr>
      <w:numPr>
        <w:numId w:val="0"/>
      </w:numPr>
      <w:tabs>
        <w:tab w:val="clear" w:pos="850"/>
        <w:tab w:val="num" w:pos="567"/>
      </w:tabs>
      <w:ind w:left="1417" w:hanging="567"/>
    </w:pPr>
  </w:style>
  <w:style w:type="paragraph" w:customStyle="1" w:styleId="Pointlist">
    <w:name w:val="Point list"/>
    <w:basedOn w:val="Point0letter"/>
    <w:qFormat/>
    <w:rsid w:val="00FF7B51"/>
  </w:style>
  <w:style w:type="paragraph" w:customStyle="1" w:styleId="Rfrenceinstitutionnelle00">
    <w:name w:val="Référence institutionnelle0"/>
    <w:basedOn w:val="Normal"/>
    <w:next w:val="Confidentialit"/>
    <w:qFormat/>
    <w:rsid w:val="00FF7B51"/>
    <w:pPr>
      <w:widowControl/>
      <w:suppressAutoHyphens/>
      <w:spacing w:after="240"/>
      <w:ind w:left="5103"/>
    </w:pPr>
    <w:rPr>
      <w:rFonts w:eastAsia="Calibri"/>
      <w:szCs w:val="22"/>
      <w:lang w:eastAsia="en-US"/>
    </w:rPr>
  </w:style>
  <w:style w:type="paragraph" w:customStyle="1" w:styleId="Norm">
    <w:name w:val="Norm"/>
    <w:basedOn w:val="Normal"/>
    <w:qFormat/>
    <w:rsid w:val="00FF7B51"/>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FF7B51"/>
    <w:pPr>
      <w:widowControl/>
      <w:suppressAutoHyphens/>
      <w:spacing w:after="240"/>
      <w:ind w:left="5103"/>
    </w:pPr>
    <w:rPr>
      <w:rFonts w:eastAsia="Calibri"/>
      <w:szCs w:val="22"/>
      <w:lang w:eastAsia="en-US"/>
    </w:rPr>
  </w:style>
  <w:style w:type="paragraph" w:customStyle="1" w:styleId="ncroise">
    <w:name w:val="n croisée"/>
    <w:basedOn w:val="Rfrencecroise"/>
    <w:qFormat/>
    <w:rsid w:val="00FF7B51"/>
    <w:pPr>
      <w:jc w:val="both"/>
    </w:pPr>
  </w:style>
  <w:style w:type="paragraph" w:customStyle="1" w:styleId="NumPar10">
    <w:name w:val="NumPar 10"/>
    <w:basedOn w:val="Normal"/>
    <w:qFormat/>
    <w:rsid w:val="00FF7B51"/>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FF7B51"/>
    <w:pPr>
      <w:widowControl/>
      <w:suppressAutoHyphens/>
      <w:spacing w:after="240"/>
      <w:ind w:left="5103"/>
    </w:pPr>
    <w:rPr>
      <w:rFonts w:eastAsia="Calibri"/>
      <w:szCs w:val="22"/>
      <w:lang w:eastAsia="en-US"/>
    </w:rPr>
  </w:style>
  <w:style w:type="paragraph" w:customStyle="1" w:styleId="Normal2">
    <w:name w:val="Normal2"/>
    <w:basedOn w:val="Normal"/>
    <w:qFormat/>
    <w:rsid w:val="00FF7B51"/>
    <w:pPr>
      <w:widowControl/>
      <w:suppressAutoHyphens/>
      <w:spacing w:before="120" w:beforeAutospacing="1" w:after="120" w:afterAutospacing="1"/>
    </w:pPr>
    <w:rPr>
      <w:szCs w:val="24"/>
    </w:rPr>
  </w:style>
  <w:style w:type="paragraph" w:customStyle="1" w:styleId="Default">
    <w:name w:val="Default"/>
    <w:qFormat/>
    <w:rsid w:val="00FF7B51"/>
    <w:pPr>
      <w:suppressAutoHyphens/>
    </w:pPr>
    <w:rPr>
      <w:rFonts w:eastAsia="Calibri"/>
      <w:color w:val="000000"/>
      <w:sz w:val="24"/>
      <w:szCs w:val="24"/>
      <w:lang w:val="fi-FI" w:eastAsia="en-US"/>
    </w:rPr>
  </w:style>
  <w:style w:type="paragraph" w:customStyle="1" w:styleId="Rfrenceinstitutionnelle41">
    <w:name w:val="Référence institutionnelle41"/>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FF7B51"/>
    <w:pPr>
      <w:widowControl/>
      <w:suppressAutoHyphens/>
      <w:spacing w:after="240"/>
      <w:ind w:left="5103"/>
    </w:pPr>
    <w:rPr>
      <w:rFonts w:eastAsia="Calibri"/>
      <w:szCs w:val="22"/>
      <w:lang w:eastAsia="en-US"/>
    </w:rPr>
  </w:style>
  <w:style w:type="paragraph" w:customStyle="1" w:styleId="Normal3">
    <w:name w:val="Normal3"/>
    <w:basedOn w:val="Normal"/>
    <w:qFormat/>
    <w:rsid w:val="00FF7B51"/>
    <w:pPr>
      <w:widowControl/>
      <w:suppressAutoHyphens/>
      <w:spacing w:before="120" w:beforeAutospacing="1" w:after="120" w:afterAutospacing="1"/>
    </w:pPr>
    <w:rPr>
      <w:szCs w:val="24"/>
    </w:rPr>
  </w:style>
  <w:style w:type="paragraph" w:customStyle="1" w:styleId="Point1letter">
    <w:name w:val="Point 1(letter)"/>
    <w:basedOn w:val="Point1"/>
    <w:qFormat/>
    <w:rsid w:val="00FF7B51"/>
  </w:style>
  <w:style w:type="paragraph" w:customStyle="1" w:styleId="Poin1">
    <w:name w:val="Poin 1"/>
    <w:basedOn w:val="Point1letter0"/>
    <w:qFormat/>
    <w:rsid w:val="00FF7B51"/>
  </w:style>
  <w:style w:type="paragraph" w:customStyle="1" w:styleId="Rfrenceinstitutionnelle18">
    <w:name w:val="Référence institutionnelle18"/>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FF7B51"/>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FF7B51"/>
    <w:rPr>
      <w:rFonts w:eastAsia="Arial Unicode MS"/>
      <w:u w:color="000000"/>
      <w:lang w:eastAsia="en-GB"/>
    </w:rPr>
  </w:style>
  <w:style w:type="paragraph" w:customStyle="1" w:styleId="Rfrenceinstitutionnelle34">
    <w:name w:val="Référence institutionnelle34"/>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FF7B51"/>
    <w:pPr>
      <w:widowControl/>
      <w:suppressAutoHyphens/>
      <w:spacing w:after="240"/>
      <w:ind w:left="5103"/>
    </w:pPr>
    <w:rPr>
      <w:rFonts w:eastAsia="Calibri"/>
      <w:szCs w:val="22"/>
      <w:lang w:eastAsia="en-US"/>
    </w:rPr>
  </w:style>
  <w:style w:type="paragraph" w:customStyle="1" w:styleId="heading30">
    <w:name w:val="heading 30"/>
    <w:basedOn w:val="Point0number"/>
    <w:qFormat/>
    <w:rsid w:val="00FF7B51"/>
  </w:style>
  <w:style w:type="paragraph" w:customStyle="1" w:styleId="Rfrenceinstitutionnelle31">
    <w:name w:val="Référence institutionnelle31"/>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FF7B51"/>
    <w:pPr>
      <w:widowControl/>
      <w:suppressAutoHyphens/>
      <w:spacing w:after="240"/>
      <w:ind w:left="5103"/>
    </w:pPr>
    <w:rPr>
      <w:rFonts w:eastAsia="Calibri"/>
      <w:szCs w:val="22"/>
      <w:lang w:eastAsia="en-US"/>
    </w:rPr>
  </w:style>
  <w:style w:type="paragraph" w:customStyle="1" w:styleId="title-bold">
    <w:name w:val="title-bold"/>
    <w:basedOn w:val="Normal"/>
    <w:qFormat/>
    <w:rsid w:val="00FF7B51"/>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FF7B51"/>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FF7B51"/>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FF7B51"/>
    <w:pPr>
      <w:widowControl/>
      <w:ind w:left="240" w:hanging="240"/>
    </w:pPr>
    <w:rPr>
      <w:rFonts w:eastAsia="Calibri"/>
      <w:szCs w:val="22"/>
      <w:lang w:eastAsia="en-US"/>
    </w:rPr>
  </w:style>
  <w:style w:type="paragraph" w:styleId="IndexHeading">
    <w:name w:val="index heading"/>
    <w:basedOn w:val="Title"/>
    <w:rsid w:val="00FF7B51"/>
  </w:style>
  <w:style w:type="paragraph" w:styleId="TOC4">
    <w:name w:val="toc 4"/>
    <w:basedOn w:val="Normal"/>
    <w:next w:val="Normal"/>
    <w:uiPriority w:val="39"/>
    <w:unhideWhenUsed/>
    <w:qFormat/>
    <w:rsid w:val="00FF7B51"/>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FF7B51"/>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FF7B51"/>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FF7B51"/>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FF7B51"/>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FF7B51"/>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FF7B51"/>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FF7B51"/>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FF7B51"/>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FF7B51"/>
    <w:pPr>
      <w:widowControl/>
      <w:suppressAutoHyphens/>
      <w:spacing w:before="120" w:after="120"/>
    </w:pPr>
    <w:rPr>
      <w:rFonts w:eastAsia="Calibri"/>
      <w:szCs w:val="22"/>
      <w:lang w:eastAsia="en-US"/>
    </w:rPr>
  </w:style>
  <w:style w:type="paragraph" w:customStyle="1" w:styleId="QuotedText">
    <w:name w:val="Quoted Text"/>
    <w:basedOn w:val="Normal"/>
    <w:qFormat/>
    <w:rsid w:val="00FF7B51"/>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FF7B51"/>
    <w:pPr>
      <w:widowControl/>
      <w:suppressAutoHyphens/>
      <w:spacing w:before="120" w:after="120"/>
      <w:ind w:left="850" w:hanging="850"/>
      <w:jc w:val="both"/>
    </w:pPr>
    <w:rPr>
      <w:lang w:val="en-GB"/>
    </w:rPr>
  </w:style>
  <w:style w:type="paragraph" w:customStyle="1" w:styleId="Point1">
    <w:name w:val="Point 1"/>
    <w:basedOn w:val="Normal"/>
    <w:qFormat/>
    <w:rsid w:val="00FF7B51"/>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FF7B51"/>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FF7B51"/>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FF7B51"/>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FF7B51"/>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FF7B51"/>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FF7B51"/>
    <w:pPr>
      <w:numPr>
        <w:numId w:val="37"/>
      </w:numPr>
      <w:tabs>
        <w:tab w:val="clear" w:pos="1417"/>
        <w:tab w:val="num" w:pos="567"/>
      </w:tabs>
      <w:ind w:left="567"/>
    </w:pPr>
  </w:style>
  <w:style w:type="paragraph" w:customStyle="1" w:styleId="Tiret2">
    <w:name w:val="Tiret 2"/>
    <w:basedOn w:val="Point2"/>
    <w:qFormat/>
    <w:rsid w:val="00FF7B51"/>
    <w:pPr>
      <w:numPr>
        <w:numId w:val="38"/>
      </w:numPr>
      <w:tabs>
        <w:tab w:val="clear" w:pos="1984"/>
        <w:tab w:val="num" w:pos="567"/>
      </w:tabs>
      <w:ind w:left="567"/>
    </w:pPr>
  </w:style>
  <w:style w:type="paragraph" w:customStyle="1" w:styleId="Tiret3">
    <w:name w:val="Tiret 3"/>
    <w:basedOn w:val="Point3"/>
    <w:qFormat/>
    <w:rsid w:val="00FF7B51"/>
    <w:pPr>
      <w:numPr>
        <w:numId w:val="39"/>
      </w:numPr>
      <w:tabs>
        <w:tab w:val="clear" w:pos="2551"/>
        <w:tab w:val="num" w:pos="567"/>
      </w:tabs>
      <w:ind w:left="567"/>
    </w:pPr>
  </w:style>
  <w:style w:type="paragraph" w:customStyle="1" w:styleId="Tiret4">
    <w:name w:val="Tiret 4"/>
    <w:basedOn w:val="Point4"/>
    <w:qFormat/>
    <w:rsid w:val="00FF7B51"/>
    <w:pPr>
      <w:numPr>
        <w:numId w:val="40"/>
      </w:numPr>
      <w:tabs>
        <w:tab w:val="clear" w:pos="3118"/>
        <w:tab w:val="num" w:pos="567"/>
      </w:tabs>
      <w:ind w:left="567"/>
    </w:pPr>
  </w:style>
  <w:style w:type="paragraph" w:customStyle="1" w:styleId="Tiret5">
    <w:name w:val="Tiret 5"/>
    <w:basedOn w:val="Point5"/>
    <w:qFormat/>
    <w:rsid w:val="00FF7B51"/>
    <w:pPr>
      <w:numPr>
        <w:numId w:val="41"/>
      </w:numPr>
      <w:tabs>
        <w:tab w:val="clear" w:pos="3685"/>
        <w:tab w:val="num" w:pos="425"/>
      </w:tabs>
      <w:ind w:left="425" w:hanging="425"/>
    </w:pPr>
  </w:style>
  <w:style w:type="paragraph" w:customStyle="1" w:styleId="PointDouble0">
    <w:name w:val="PointDouble 0"/>
    <w:basedOn w:val="Normal"/>
    <w:qFormat/>
    <w:rsid w:val="00FF7B51"/>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FF7B51"/>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FF7B51"/>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FF7B51"/>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FF7B51"/>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FF7B51"/>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FF7B51"/>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FF7B51"/>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FF7B51"/>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FF7B51"/>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FF7B51"/>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FF7B51"/>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FF7B51"/>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FF7B51"/>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FF7B51"/>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FF7B51"/>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FF7B51"/>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FF7B51"/>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FF7B51"/>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FF7B51"/>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FF7B51"/>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FF7B51"/>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FF7B51"/>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FF7B51"/>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FF7B51"/>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FF7B51"/>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FF7B51"/>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FF7B51"/>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FF7B51"/>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FF7B51"/>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FF7B51"/>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FF7B51"/>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FF7B51"/>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FF7B51"/>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FF7B51"/>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FF7B51"/>
    <w:pPr>
      <w:widowControl/>
      <w:suppressAutoHyphens/>
      <w:spacing w:before="120" w:after="120"/>
      <w:jc w:val="center"/>
    </w:pPr>
    <w:rPr>
      <w:rFonts w:eastAsia="Calibri"/>
      <w:b/>
      <w:szCs w:val="22"/>
      <w:lang w:eastAsia="en-US"/>
    </w:rPr>
  </w:style>
  <w:style w:type="paragraph" w:customStyle="1" w:styleId="Point1number">
    <w:name w:val="Point 1 (number)"/>
    <w:basedOn w:val="Normal"/>
    <w:qFormat/>
    <w:rsid w:val="00FF7B51"/>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FF7B51"/>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FF7B51"/>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FF7B51"/>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FF7B51"/>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FF7B51"/>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FF7B51"/>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FF7B51"/>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FF7B51"/>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FF7B51"/>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FF7B51"/>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FF7B51"/>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FF7B51"/>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FF7B51"/>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FF7B51"/>
    <w:pPr>
      <w:widowControl/>
      <w:suppressAutoHyphens/>
      <w:jc w:val="both"/>
    </w:pPr>
    <w:rPr>
      <w:rFonts w:eastAsia="Calibri"/>
      <w:szCs w:val="22"/>
      <w:lang w:eastAsia="en-US"/>
    </w:rPr>
  </w:style>
  <w:style w:type="paragraph" w:customStyle="1" w:styleId="Disclaimer">
    <w:name w:val="Disclaimer"/>
    <w:basedOn w:val="Normal"/>
    <w:qFormat/>
    <w:rsid w:val="00FF7B51"/>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FF7B51"/>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FF7B51"/>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FF7B51"/>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FF7B51"/>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FF7B51"/>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FF7B51"/>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FF7B51"/>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FF7B51"/>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FF7B51"/>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FF7B51"/>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FF7B51"/>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FF7B51"/>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FF7B51"/>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FF7B51"/>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FF7B51"/>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FF7B51"/>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FF7B51"/>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FF7B51"/>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FF7B51"/>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FF7B51"/>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FF7B51"/>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FF7B51"/>
    <w:pPr>
      <w:widowControl/>
      <w:suppressAutoHyphens/>
      <w:ind w:left="5103"/>
    </w:pPr>
    <w:rPr>
      <w:rFonts w:eastAsia="Calibri"/>
      <w:szCs w:val="22"/>
      <w:lang w:eastAsia="en-US"/>
    </w:rPr>
  </w:style>
  <w:style w:type="paragraph" w:customStyle="1" w:styleId="Statut">
    <w:name w:val="Statut"/>
    <w:basedOn w:val="Normal"/>
    <w:next w:val="Typedudocument"/>
    <w:qFormat/>
    <w:rsid w:val="00FF7B51"/>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FF7B51"/>
    <w:pPr>
      <w:numPr>
        <w:ilvl w:val="0"/>
        <w:numId w:val="0"/>
      </w:numPr>
      <w:suppressAutoHyphens/>
      <w:spacing w:before="360" w:after="120"/>
      <w:jc w:val="center"/>
    </w:pPr>
  </w:style>
  <w:style w:type="paragraph" w:customStyle="1" w:styleId="Titreobjet">
    <w:name w:val="Titre objet"/>
    <w:basedOn w:val="Normal"/>
    <w:next w:val="IntrtEEE"/>
    <w:qFormat/>
    <w:rsid w:val="00FF7B51"/>
    <w:pPr>
      <w:widowControl/>
      <w:suppressAutoHyphens/>
      <w:spacing w:before="360" w:after="360"/>
      <w:jc w:val="center"/>
    </w:pPr>
    <w:rPr>
      <w:rFonts w:eastAsia="Calibri"/>
      <w:b/>
      <w:szCs w:val="22"/>
      <w:lang w:eastAsia="en-US"/>
    </w:rPr>
  </w:style>
  <w:style w:type="paragraph" w:customStyle="1" w:styleId="Typedudocument">
    <w:name w:val="Type du document"/>
    <w:basedOn w:val="Normal"/>
    <w:next w:val="Titreobjet"/>
    <w:link w:val="TypedudocumentChar"/>
    <w:qFormat/>
    <w:rsid w:val="00FF7B51"/>
    <w:pPr>
      <w:widowControl/>
      <w:suppressAutoHyphens/>
      <w:spacing w:before="360"/>
      <w:jc w:val="center"/>
    </w:pPr>
    <w:rPr>
      <w:b/>
      <w:lang w:val="en-GB"/>
    </w:rPr>
  </w:style>
  <w:style w:type="paragraph" w:customStyle="1" w:styleId="Address">
    <w:name w:val="Address"/>
    <w:basedOn w:val="Normal"/>
    <w:next w:val="Normal"/>
    <w:qFormat/>
    <w:rsid w:val="00FF7B51"/>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FF7B51"/>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FF7B51"/>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FF7B51"/>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FF7B51"/>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FF7B51"/>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FF7B51"/>
  </w:style>
  <w:style w:type="paragraph" w:customStyle="1" w:styleId="RfrenceinterinstitutionnellePagedecouverture">
    <w:name w:val="Référence interinstitutionnelle (Page de couverture)"/>
    <w:basedOn w:val="Rfrenceinterinstitutionnelle"/>
    <w:next w:val="Confidentialit"/>
    <w:qFormat/>
    <w:rsid w:val="00FF7B51"/>
  </w:style>
  <w:style w:type="paragraph" w:customStyle="1" w:styleId="StatutPagedecouverture">
    <w:name w:val="Statut (Page de couverture)"/>
    <w:basedOn w:val="Statut"/>
    <w:next w:val="TypedudocumentPagedecouverture"/>
    <w:qFormat/>
    <w:rsid w:val="00FF7B51"/>
  </w:style>
  <w:style w:type="paragraph" w:customStyle="1" w:styleId="TitreobjetPagedecouverture">
    <w:name w:val="Titre objet (Page de couverture)"/>
    <w:basedOn w:val="Titreobjet"/>
    <w:next w:val="IntrtEEEPagedecouverture"/>
    <w:qFormat/>
    <w:rsid w:val="00FF7B51"/>
  </w:style>
  <w:style w:type="paragraph" w:customStyle="1" w:styleId="TypedudocumentPagedecouverture">
    <w:name w:val="Type du document (Page de couverture)"/>
    <w:basedOn w:val="Typedudocument"/>
    <w:next w:val="TitreobjetPagedecouverture"/>
    <w:qFormat/>
    <w:rsid w:val="00FF7B51"/>
    <w:rPr>
      <w:rFonts w:eastAsia="Calibri"/>
    </w:rPr>
  </w:style>
  <w:style w:type="paragraph" w:customStyle="1" w:styleId="Volume">
    <w:name w:val="Volume"/>
    <w:basedOn w:val="Normal"/>
    <w:next w:val="Confidentialit"/>
    <w:qFormat/>
    <w:rsid w:val="00FF7B51"/>
    <w:pPr>
      <w:widowControl/>
      <w:suppressAutoHyphens/>
      <w:spacing w:after="240"/>
      <w:ind w:left="5103"/>
    </w:pPr>
    <w:rPr>
      <w:rFonts w:eastAsia="Calibri"/>
      <w:szCs w:val="22"/>
      <w:lang w:eastAsia="en-US"/>
    </w:rPr>
  </w:style>
  <w:style w:type="paragraph" w:customStyle="1" w:styleId="IntrtEEE">
    <w:name w:val="Intérêt EEE"/>
    <w:basedOn w:val="Languesfaisantfoi"/>
    <w:next w:val="Normal"/>
    <w:qFormat/>
    <w:rsid w:val="00FF7B51"/>
    <w:pPr>
      <w:spacing w:after="240"/>
    </w:pPr>
  </w:style>
  <w:style w:type="paragraph" w:customStyle="1" w:styleId="Accompagnant">
    <w:name w:val="Accompagnant"/>
    <w:basedOn w:val="Normal"/>
    <w:next w:val="Typeacteprincipal"/>
    <w:qFormat/>
    <w:rsid w:val="00FF7B51"/>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FF7B51"/>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FF7B51"/>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FF7B51"/>
  </w:style>
  <w:style w:type="paragraph" w:customStyle="1" w:styleId="AccompagnantPagedecouverture">
    <w:name w:val="Accompagnant (Page de couverture)"/>
    <w:basedOn w:val="Accompagnant"/>
    <w:next w:val="TypeacteprincipalPagedecouverture"/>
    <w:qFormat/>
    <w:rsid w:val="00FF7B51"/>
  </w:style>
  <w:style w:type="paragraph" w:customStyle="1" w:styleId="TypeacteprincipalPagedecouverture">
    <w:name w:val="Type acte principal (Page de couverture)"/>
    <w:basedOn w:val="Typeacteprincipal"/>
    <w:next w:val="ObjetacteprincipalPagedecouverture"/>
    <w:qFormat/>
    <w:rsid w:val="00FF7B51"/>
  </w:style>
  <w:style w:type="paragraph" w:customStyle="1" w:styleId="ObjetacteprincipalPagedecouverture">
    <w:name w:val="Objet acte principal (Page de couverture)"/>
    <w:basedOn w:val="Objetacteprincipal"/>
    <w:next w:val="Rfrencecroise"/>
    <w:qFormat/>
    <w:rsid w:val="00FF7B51"/>
  </w:style>
  <w:style w:type="paragraph" w:customStyle="1" w:styleId="LanguesfaisantfoiPagedecouverture">
    <w:name w:val="Langues faisant foi (Page de couverture)"/>
    <w:basedOn w:val="Normal"/>
    <w:next w:val="Normal"/>
    <w:qFormat/>
    <w:rsid w:val="00FF7B51"/>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FF7B51"/>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FF7B51"/>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FF7B51"/>
  </w:style>
  <w:style w:type="paragraph" w:customStyle="1" w:styleId="nbbordered">
    <w:name w:val="nb bordered"/>
    <w:basedOn w:val="TechnicalBlock"/>
    <w:link w:val="nbborderedChar"/>
    <w:qFormat/>
    <w:rsid w:val="00FF7B51"/>
    <w:rPr>
      <w:b/>
    </w:rPr>
  </w:style>
  <w:style w:type="paragraph" w:customStyle="1" w:styleId="Rubrik1">
    <w:name w:val="Rubrik1"/>
    <w:basedOn w:val="Typedudocument"/>
    <w:link w:val="Rubrik1Char"/>
    <w:qFormat/>
    <w:rsid w:val="00FF7B51"/>
  </w:style>
  <w:style w:type="paragraph" w:customStyle="1" w:styleId="addition">
    <w:name w:val="addition"/>
    <w:basedOn w:val="Point0"/>
    <w:link w:val="additionChar"/>
    <w:qFormat/>
    <w:rsid w:val="00FF7B51"/>
    <w:pPr>
      <w:ind w:left="567" w:hanging="567"/>
      <w:jc w:val="left"/>
    </w:pPr>
    <w:rPr>
      <w:b/>
      <w:u w:val="single"/>
    </w:rPr>
  </w:style>
  <w:style w:type="paragraph" w:customStyle="1" w:styleId="deletion">
    <w:name w:val="deletion"/>
    <w:basedOn w:val="ManualNumPar1"/>
    <w:link w:val="deletionChar"/>
    <w:qFormat/>
    <w:rsid w:val="00FF7B51"/>
    <w:pPr>
      <w:ind w:left="567" w:hanging="567"/>
      <w:jc w:val="left"/>
    </w:pPr>
    <w:rPr>
      <w:strike/>
    </w:rPr>
  </w:style>
  <w:style w:type="table" w:customStyle="1" w:styleId="TableGrid1">
    <w:name w:val="Table Grid1"/>
    <w:basedOn w:val="TableNormal"/>
    <w:next w:val="TableGrid"/>
    <w:uiPriority w:val="39"/>
    <w:rsid w:val="00FF7B51"/>
    <w:pPr>
      <w:suppressAutoHyphens/>
    </w:pPr>
    <w:rPr>
      <w:rFonts w:ascii="Calibri" w:eastAsia="Calibri" w:hAnsi="Calibri" w:cs="Arial"/>
      <w:sz w:val="22"/>
      <w:szCs w:val="22"/>
      <w:lang w:val="fi-FI"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FF7B51"/>
    <w:rPr>
      <w:rFonts w:ascii="TimesNewRomanPS-BoldMT" w:hAnsi="TimesNewRomanPS-BoldMT" w:cs="0" w:hint="default"/>
      <w:b/>
      <w:bCs/>
      <w:i w:val="0"/>
      <w:iCs w:val="0"/>
      <w:color w:val="000000"/>
      <w:sz w:val="24"/>
      <w:szCs w:val="24"/>
    </w:rPr>
  </w:style>
  <w:style w:type="paragraph" w:customStyle="1" w:styleId="H2">
    <w:name w:val="H2"/>
    <w:basedOn w:val="Normal"/>
    <w:qFormat/>
    <w:rsid w:val="00FF7B51"/>
    <w:pPr>
      <w:widowControl/>
      <w:contextualSpacing/>
    </w:pPr>
    <w:rPr>
      <w:rFonts w:ascii="Roboto Black" w:hAnsi="Roboto Black"/>
      <w:b/>
      <w:bCs/>
      <w:color w:val="003863"/>
      <w:spacing w:val="-10"/>
      <w:kern w:val="28"/>
      <w:sz w:val="30"/>
      <w:szCs w:val="30"/>
      <w:lang w:eastAsia="en-US"/>
    </w:rPr>
  </w:style>
  <w:style w:type="paragraph" w:customStyle="1" w:styleId="H1">
    <w:name w:val="H1"/>
    <w:basedOn w:val="Normal"/>
    <w:qFormat/>
    <w:rsid w:val="00FF7B51"/>
    <w:pPr>
      <w:widowControl/>
      <w:contextualSpacing/>
    </w:pPr>
    <w:rPr>
      <w:rFonts w:ascii="Roboto Black" w:hAnsi="Roboto Black"/>
      <w:b/>
      <w:bCs/>
      <w:color w:val="003863"/>
      <w:spacing w:val="-10"/>
      <w:kern w:val="28"/>
      <w:sz w:val="60"/>
      <w:szCs w:val="60"/>
      <w:lang w:eastAsia="en-US"/>
    </w:rPr>
  </w:style>
  <w:style w:type="character" w:customStyle="1" w:styleId="FollowedHyperlink1">
    <w:name w:val="FollowedHyperlink1"/>
    <w:basedOn w:val="DefaultParagraphFont"/>
    <w:uiPriority w:val="99"/>
    <w:semiHidden/>
    <w:unhideWhenUsed/>
    <w:rsid w:val="00FF7B51"/>
    <w:rPr>
      <w:color w:val="800080"/>
      <w:u w:val="single"/>
    </w:rPr>
  </w:style>
  <w:style w:type="paragraph" w:customStyle="1" w:styleId="Strecklista">
    <w:name w:val="Strecklista"/>
    <w:basedOn w:val="ListBullet"/>
    <w:uiPriority w:val="6"/>
    <w:qFormat/>
    <w:rsid w:val="00FF7B51"/>
    <w:pPr>
      <w:widowControl/>
      <w:tabs>
        <w:tab w:val="clear" w:pos="360"/>
        <w:tab w:val="num" w:pos="709"/>
      </w:tabs>
      <w:spacing w:after="100" w:line="276" w:lineRule="auto"/>
      <w:ind w:left="709" w:hanging="709"/>
    </w:pPr>
    <w:rPr>
      <w:rFonts w:ascii="Calibri" w:eastAsia="Calibri" w:hAnsi="Calibri" w:cs="Arial"/>
      <w:sz w:val="25"/>
      <w:szCs w:val="25"/>
      <w:lang w:eastAsia="en-US"/>
    </w:rPr>
  </w:style>
  <w:style w:type="paragraph" w:customStyle="1" w:styleId="Strecklista2">
    <w:name w:val="Strecklista 2"/>
    <w:basedOn w:val="Strecklista"/>
    <w:uiPriority w:val="6"/>
    <w:semiHidden/>
    <w:qFormat/>
    <w:rsid w:val="00FF7B51"/>
    <w:pPr>
      <w:tabs>
        <w:tab w:val="clear" w:pos="709"/>
        <w:tab w:val="num" w:pos="1080"/>
      </w:tabs>
      <w:ind w:left="1080" w:hanging="360"/>
    </w:pPr>
  </w:style>
  <w:style w:type="numbering" w:customStyle="1" w:styleId="Strecklistan">
    <w:name w:val="Strecklistan"/>
    <w:uiPriority w:val="99"/>
    <w:rsid w:val="00FF7B51"/>
    <w:pPr>
      <w:numPr>
        <w:numId w:val="45"/>
      </w:numPr>
    </w:pPr>
  </w:style>
  <w:style w:type="paragraph" w:customStyle="1" w:styleId="Strecklista3">
    <w:name w:val="Strecklista 3"/>
    <w:basedOn w:val="BodyText"/>
    <w:uiPriority w:val="6"/>
    <w:semiHidden/>
    <w:qFormat/>
    <w:rsid w:val="00FF7B51"/>
    <w:pPr>
      <w:tabs>
        <w:tab w:val="num" w:pos="1440"/>
        <w:tab w:val="left" w:pos="1701"/>
        <w:tab w:val="left" w:pos="3600"/>
        <w:tab w:val="left" w:pos="5387"/>
      </w:tabs>
      <w:suppressAutoHyphens w:val="0"/>
      <w:spacing w:after="100"/>
      <w:ind w:left="1440" w:hanging="360"/>
    </w:pPr>
    <w:rPr>
      <w:rFonts w:ascii="Calibri" w:hAnsi="Calibri" w:cs="Arial"/>
      <w:sz w:val="25"/>
      <w:szCs w:val="25"/>
    </w:rPr>
  </w:style>
  <w:style w:type="table" w:customStyle="1" w:styleId="ListTable5Dark-Accent51">
    <w:name w:val="List Table 5 Dark - Accent 51"/>
    <w:basedOn w:val="TableNormal"/>
    <w:next w:val="ListTable5Dark-Accent5"/>
    <w:uiPriority w:val="50"/>
    <w:rsid w:val="00FF7B51"/>
    <w:rPr>
      <w:rFonts w:ascii="Calibri" w:eastAsia="Calibri" w:hAnsi="Calibri" w:cs="Arial"/>
      <w:color w:val="FFFFFF"/>
      <w:sz w:val="25"/>
      <w:szCs w:val="25"/>
      <w:lang w:val="fi-FI"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FF7B51"/>
  </w:style>
  <w:style w:type="paragraph" w:customStyle="1" w:styleId="Annext">
    <w:name w:val="Annex t"/>
    <w:basedOn w:val="Normal"/>
    <w:qFormat/>
    <w:rsid w:val="00FF7B51"/>
    <w:pPr>
      <w:widowControl/>
      <w:spacing w:before="120" w:after="120"/>
      <w:jc w:val="both"/>
    </w:pPr>
    <w:rPr>
      <w:rFonts w:eastAsia="Calibri"/>
      <w:b/>
      <w:szCs w:val="22"/>
      <w:lang w:eastAsia="en-US"/>
    </w:rPr>
  </w:style>
  <w:style w:type="paragraph" w:customStyle="1" w:styleId="Annextit">
    <w:name w:val="Annex tit"/>
    <w:basedOn w:val="Normal"/>
    <w:qFormat/>
    <w:rsid w:val="00FF7B51"/>
    <w:pPr>
      <w:widowControl/>
      <w:spacing w:before="120" w:after="120"/>
      <w:jc w:val="both"/>
    </w:pPr>
    <w:rPr>
      <w:rFonts w:eastAsia="Calibri"/>
      <w:b/>
      <w:szCs w:val="24"/>
      <w:shd w:val="clear" w:color="auto" w:fill="FFFFFF"/>
      <w:lang w:eastAsia="en-US"/>
    </w:rPr>
  </w:style>
  <w:style w:type="paragraph" w:customStyle="1" w:styleId="Annextitre">
    <w:name w:val="Annex titre"/>
    <w:basedOn w:val="Annexetitre"/>
    <w:rsid w:val="00FF7B51"/>
    <w:pPr>
      <w:suppressAutoHyphens w:val="0"/>
      <w:jc w:val="both"/>
    </w:pPr>
  </w:style>
  <w:style w:type="character" w:customStyle="1" w:styleId="Olstomnmnande1">
    <w:name w:val="Olöst omnämnande1"/>
    <w:basedOn w:val="DefaultParagraphFont"/>
    <w:uiPriority w:val="99"/>
    <w:semiHidden/>
    <w:unhideWhenUsed/>
    <w:rsid w:val="00FF7B51"/>
    <w:rPr>
      <w:color w:val="605E5C"/>
      <w:shd w:val="clear" w:color="auto" w:fill="E1DFDD"/>
    </w:rPr>
  </w:style>
  <w:style w:type="paragraph" w:customStyle="1" w:styleId="Titrearticle">
    <w:name w:val="Titre article"/>
    <w:basedOn w:val="Normal"/>
    <w:next w:val="Normal"/>
    <w:qFormat/>
    <w:rsid w:val="00FF7B51"/>
    <w:pPr>
      <w:keepNext/>
      <w:widowControl/>
      <w:spacing w:before="360" w:after="120"/>
      <w:jc w:val="center"/>
    </w:pPr>
    <w:rPr>
      <w:rFonts w:eastAsia="Calibri"/>
      <w:i/>
      <w:szCs w:val="22"/>
      <w:lang w:eastAsia="en-US"/>
    </w:rPr>
  </w:style>
  <w:style w:type="numbering" w:customStyle="1" w:styleId="Aktuelllista1">
    <w:name w:val="Aktuell lista1"/>
    <w:uiPriority w:val="99"/>
    <w:rsid w:val="00FF7B51"/>
    <w:pPr>
      <w:numPr>
        <w:numId w:val="50"/>
      </w:numPr>
    </w:pPr>
  </w:style>
  <w:style w:type="numbering" w:customStyle="1" w:styleId="Aktuelllista2">
    <w:name w:val="Aktuell lista2"/>
    <w:uiPriority w:val="99"/>
    <w:rsid w:val="00FF7B51"/>
    <w:pPr>
      <w:numPr>
        <w:numId w:val="48"/>
      </w:numPr>
    </w:pPr>
  </w:style>
  <w:style w:type="paragraph" w:styleId="PlainText">
    <w:name w:val="Plain Text"/>
    <w:basedOn w:val="Normal"/>
    <w:link w:val="PlainTextChar"/>
    <w:uiPriority w:val="99"/>
    <w:unhideWhenUsed/>
    <w:rsid w:val="00FF7B51"/>
    <w:pPr>
      <w:widowControl/>
    </w:pPr>
    <w:rPr>
      <w:rFonts w:ascii="Calibri" w:hAnsi="Calibri" w:cs="Calibri"/>
      <w:sz w:val="22"/>
      <w:szCs w:val="21"/>
      <w:lang w:eastAsia="sv-SE"/>
    </w:rPr>
  </w:style>
  <w:style w:type="character" w:customStyle="1" w:styleId="PlainTextChar">
    <w:name w:val="Plain Text Char"/>
    <w:basedOn w:val="DefaultParagraphFont"/>
    <w:link w:val="PlainText"/>
    <w:uiPriority w:val="99"/>
    <w:rsid w:val="00FF7B51"/>
    <w:rPr>
      <w:rFonts w:ascii="Calibri" w:hAnsi="Calibri" w:cs="Calibri"/>
      <w:sz w:val="22"/>
      <w:szCs w:val="21"/>
      <w:lang w:val="fi-FI" w:eastAsia="sv-SE"/>
    </w:rPr>
  </w:style>
  <w:style w:type="paragraph" w:customStyle="1" w:styleId="msonormal0">
    <w:name w:val="msonormal"/>
    <w:basedOn w:val="Normal"/>
    <w:uiPriority w:val="99"/>
    <w:qFormat/>
    <w:rsid w:val="00FF7B51"/>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FF7B51"/>
    <w:rPr>
      <w:rFonts w:ascii="Calibri" w:eastAsia="Calibri" w:hAnsi="Calibri" w:cs="Arial"/>
      <w:color w:val="31849B"/>
      <w:sz w:val="25"/>
      <w:szCs w:val="25"/>
      <w:lang w:val="fi-FI"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FF7B51"/>
    <w:pPr>
      <w:suppressAutoHyphens w:val="0"/>
      <w:autoSpaceDE w:val="0"/>
      <w:autoSpaceDN w:val="0"/>
      <w:adjustRightInd w:val="0"/>
    </w:pPr>
    <w:rPr>
      <w:color w:val="auto"/>
    </w:rPr>
  </w:style>
  <w:style w:type="character" w:customStyle="1" w:styleId="Bodytext1">
    <w:name w:val="Body text|1_"/>
    <w:basedOn w:val="DefaultParagraphFont"/>
    <w:link w:val="Bodytext10"/>
    <w:rsid w:val="00FF7B51"/>
    <w:rPr>
      <w:rFonts w:ascii="Arial" w:eastAsia="Arial" w:hAnsi="Arial" w:cs="Arial"/>
      <w:sz w:val="19"/>
    </w:rPr>
  </w:style>
  <w:style w:type="paragraph" w:customStyle="1" w:styleId="Bodytext10">
    <w:name w:val="Body text|1"/>
    <w:basedOn w:val="Normal"/>
    <w:link w:val="Bodytext1"/>
    <w:rsid w:val="00FF7B51"/>
    <w:pPr>
      <w:spacing w:after="160" w:line="348" w:lineRule="auto"/>
    </w:pPr>
    <w:rPr>
      <w:rFonts w:ascii="Arial" w:eastAsia="Arial" w:hAnsi="Arial" w:cs="Arial"/>
      <w:sz w:val="19"/>
      <w:lang w:val="en-GB"/>
    </w:rPr>
  </w:style>
  <w:style w:type="numbering" w:customStyle="1" w:styleId="RKNumreraderubriker">
    <w:name w:val="RK Numrerade rubriker"/>
    <w:uiPriority w:val="99"/>
    <w:rsid w:val="00FF7B51"/>
    <w:pPr>
      <w:numPr>
        <w:numId w:val="49"/>
      </w:numPr>
    </w:pPr>
  </w:style>
  <w:style w:type="numbering" w:customStyle="1" w:styleId="Strecklistan3">
    <w:name w:val="Strecklistan3"/>
    <w:uiPriority w:val="99"/>
    <w:rsid w:val="00FF7B51"/>
    <w:pPr>
      <w:numPr>
        <w:numId w:val="25"/>
      </w:numPr>
    </w:pPr>
  </w:style>
  <w:style w:type="numbering" w:customStyle="1" w:styleId="Aktuelllista14">
    <w:name w:val="Aktuell lista14"/>
    <w:uiPriority w:val="99"/>
    <w:rsid w:val="00FF7B51"/>
    <w:pPr>
      <w:numPr>
        <w:numId w:val="30"/>
      </w:numPr>
    </w:pPr>
  </w:style>
  <w:style w:type="numbering" w:customStyle="1" w:styleId="Aktuelllista23">
    <w:name w:val="Aktuell lista23"/>
    <w:uiPriority w:val="99"/>
    <w:rsid w:val="00FF7B51"/>
    <w:pPr>
      <w:numPr>
        <w:numId w:val="29"/>
      </w:numPr>
    </w:pPr>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FF7B51"/>
    <w:rPr>
      <w:rFonts w:ascii="Arial" w:hAnsi="Arial" w:cs="Arial"/>
    </w:rPr>
  </w:style>
  <w:style w:type="paragraph" w:customStyle="1" w:styleId="NormalRight0">
    <w:name w:val="NormalRight"/>
    <w:basedOn w:val="Normal"/>
    <w:rsid w:val="00FF7B51"/>
    <w:pPr>
      <w:widowControl/>
      <w:jc w:val="right"/>
    </w:pPr>
    <w:rPr>
      <w:snapToGrid w:val="0"/>
    </w:rPr>
  </w:style>
  <w:style w:type="paragraph" w:customStyle="1" w:styleId="NormalBoldRight">
    <w:name w:val="NormalBoldRight"/>
    <w:basedOn w:val="NormalBold"/>
    <w:rsid w:val="00FF7B51"/>
    <w:pPr>
      <w:jc w:val="right"/>
    </w:pPr>
    <w:rPr>
      <w:bCs/>
      <w:snapToGrid w:val="0"/>
    </w:rPr>
  </w:style>
  <w:style w:type="paragraph" w:customStyle="1" w:styleId="Normal24">
    <w:name w:val="Normal24"/>
    <w:basedOn w:val="Normal"/>
    <w:rsid w:val="00FF7B51"/>
    <w:pPr>
      <w:spacing w:after="480"/>
    </w:pPr>
    <w:rPr>
      <w:snapToGrid w:val="0"/>
    </w:rPr>
  </w:style>
  <w:style w:type="paragraph" w:styleId="ListBullet">
    <w:name w:val="List Bullet"/>
    <w:basedOn w:val="Normal"/>
    <w:rsid w:val="00FF7B51"/>
    <w:pPr>
      <w:tabs>
        <w:tab w:val="num" w:pos="360"/>
      </w:tabs>
      <w:ind w:left="360" w:hanging="360"/>
      <w:contextualSpacing/>
    </w:pPr>
  </w:style>
  <w:style w:type="paragraph" w:styleId="ListBullet2">
    <w:name w:val="List Bullet 2"/>
    <w:basedOn w:val="Normal"/>
    <w:rsid w:val="00FF7B51"/>
    <w:pPr>
      <w:tabs>
        <w:tab w:val="num" w:pos="720"/>
      </w:tabs>
      <w:ind w:left="720" w:hanging="360"/>
      <w:contextualSpacing/>
    </w:pPr>
  </w:style>
  <w:style w:type="paragraph" w:styleId="ListBullet3">
    <w:name w:val="List Bullet 3"/>
    <w:basedOn w:val="Normal"/>
    <w:rsid w:val="00FF7B51"/>
    <w:pPr>
      <w:tabs>
        <w:tab w:val="num" w:pos="1080"/>
      </w:tabs>
      <w:ind w:left="1080" w:hanging="360"/>
      <w:contextualSpacing/>
    </w:pPr>
  </w:style>
  <w:style w:type="paragraph" w:styleId="ListParagraph">
    <w:name w:val="List Paragraph"/>
    <w:basedOn w:val="Normal"/>
    <w:uiPriority w:val="34"/>
    <w:qFormat/>
    <w:rsid w:val="00FF7B51"/>
    <w:pPr>
      <w:ind w:left="720"/>
      <w:contextualSpacing/>
    </w:pPr>
  </w:style>
  <w:style w:type="character" w:styleId="FollowedHyperlink">
    <w:name w:val="FollowedHyperlink"/>
    <w:basedOn w:val="DefaultParagraphFont"/>
    <w:rsid w:val="00FF7B51"/>
    <w:rPr>
      <w:color w:val="954F72" w:themeColor="followedHyperlink"/>
      <w:u w:val="single"/>
    </w:rPr>
  </w:style>
  <w:style w:type="table" w:styleId="ListTable5Dark-Accent5">
    <w:name w:val="List Table 5 Dark Accent 5"/>
    <w:basedOn w:val="TableNormal"/>
    <w:uiPriority w:val="50"/>
    <w:rsid w:val="00FF7B51"/>
    <w:rPr>
      <w:color w:val="FFFFFF" w:themeColor="background1"/>
      <w:lang w:val="fi-FI"/>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FF7B51"/>
    <w:rPr>
      <w:color w:val="2F5496" w:themeColor="accent5" w:themeShade="BF"/>
      <w:lang w:val="fi-FI"/>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235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info/food-farming-fisheries/key-policies/common-agricultural-policy/financing-cap/cap-funds_en"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ec.europa.eu/info/food-farming-fisheries/key-policies/common-agricultural-policy/rural-development_en"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european-maritime-fisheries-and-aquaculture-fund_en" TargetMode="External"/><Relationship Id="rId14" Type="http://schemas.openxmlformats.org/officeDocument/2006/relationships/hyperlink" Target="https://ec.europa.eu/info/business-economy-euro/recovery-coronavirus/recovery-and-resilience-facility_en"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ipcc.ch/report/ar6/wg2/" TargetMode="External"/><Relationship Id="rId13" Type="http://schemas.openxmlformats.org/officeDocument/2006/relationships/hyperlink" Target="https://www.eea.europa.eu/data-and-maps/data/eunis-habitat-classification-1"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www.ipcc.ch/report/ar6/wg2/" TargetMode="External"/><Relationship Id="rId12" Type="http://schemas.openxmlformats.org/officeDocument/2006/relationships/hyperlink" Target="https://www.eea.europa.eu/data-and-maps/data/eunis-habitat-classification-1"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ec.europa.eu/environment/nature/conservation/species/redlist/index_en.htm" TargetMode="External"/><Relationship Id="rId5" Type="http://schemas.openxmlformats.org/officeDocument/2006/relationships/hyperlink" Target="https://www.ipcc.ch/sr15/" TargetMode="External"/><Relationship Id="rId10" Type="http://schemas.openxmlformats.org/officeDocument/2006/relationships/hyperlink" Target="https://www.eca.europa.eu/Lists/ECADocuments/SR20_15/SR_Pollinators_EN.pdf"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doi.org/10.5281/zenodo.3831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2C7207-5CF0-4C0A-B3A1-0B2ED96F5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154</Pages>
  <Words>22189</Words>
  <Characters>188013</Characters>
  <Application>Microsoft Office Word</Application>
  <DocSecurity>0</DocSecurity>
  <Lines>1566</Lines>
  <Paragraphs>419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SEMEDO Teresa</cp:lastModifiedBy>
  <cp:revision>5</cp:revision>
  <cp:lastPrinted>2004-11-19T15:42:00Z</cp:lastPrinted>
  <dcterms:created xsi:type="dcterms:W3CDTF">2023-07-12T18:18:00Z</dcterms:created>
  <dcterms:modified xsi:type="dcterms:W3CDTF">2024-04-29T13:09:00Z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A9-0220/2023</vt:lpwstr>
  </property>
  <property fmtid="{D5CDD505-2E9C-101B-9397-08002B2CF9AE}" pid="4" name="&lt;Type&gt;">
    <vt:lpwstr>RR</vt:lpwstr>
  </property>
  <property fmtid="{D5CDD505-2E9C-101B-9397-08002B2CF9AE}" pid="5" name="&lt;Model&gt;">
    <vt:lpwstr/>
  </property>
</Properties>
</file>