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61250" w:rsidTr="0010095E">
        <w:trPr>
          <w:trHeight w:hRule="exact" w:val="1418"/>
        </w:trPr>
        <w:tc>
          <w:tcPr>
            <w:tcW w:w="6804" w:type="dxa"/>
            <w:shd w:val="clear" w:color="auto" w:fill="auto"/>
            <w:vAlign w:val="center"/>
          </w:tcPr>
          <w:p w:rsidR="00751A4A" w:rsidRPr="00661250" w:rsidRDefault="00AB7B55" w:rsidP="0010095E">
            <w:pPr>
              <w:pStyle w:val="EPName"/>
            </w:pPr>
            <w:r w:rsidRPr="00661250">
              <w:t>Europski parlament</w:t>
            </w:r>
          </w:p>
          <w:p w:rsidR="00751A4A" w:rsidRPr="00661250" w:rsidRDefault="00817416" w:rsidP="00756632">
            <w:pPr>
              <w:pStyle w:val="EPTerm"/>
              <w:rPr>
                <w:rStyle w:val="HideTWBExt"/>
                <w:noProof w:val="0"/>
                <w:vanish w:val="0"/>
                <w:color w:val="auto"/>
              </w:rPr>
            </w:pPr>
            <w:r w:rsidRPr="00661250">
              <w:t>2019-2024</w:t>
            </w:r>
          </w:p>
        </w:tc>
        <w:tc>
          <w:tcPr>
            <w:tcW w:w="2268" w:type="dxa"/>
            <w:shd w:val="clear" w:color="auto" w:fill="auto"/>
          </w:tcPr>
          <w:p w:rsidR="00751A4A" w:rsidRPr="00661250" w:rsidRDefault="00187494" w:rsidP="0010095E">
            <w:pPr>
              <w:pStyle w:val="EPLogo"/>
            </w:pPr>
            <w:r w:rsidRPr="0066125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61250" w:rsidRDefault="00D058B8" w:rsidP="004C5D52">
      <w:pPr>
        <w:pStyle w:val="LineTop"/>
      </w:pPr>
    </w:p>
    <w:p w:rsidR="00680577" w:rsidRPr="00661250" w:rsidRDefault="00AB7B55" w:rsidP="00680577">
      <w:pPr>
        <w:pStyle w:val="EPBodyTA1"/>
      </w:pPr>
      <w:r w:rsidRPr="00661250">
        <w:t>USVOJENI TEKSTOVI</w:t>
      </w:r>
    </w:p>
    <w:p w:rsidR="00D058B8" w:rsidRPr="00661250" w:rsidRDefault="00D058B8" w:rsidP="00D058B8">
      <w:pPr>
        <w:pStyle w:val="LineBottom"/>
      </w:pPr>
    </w:p>
    <w:p w:rsidR="00AB7B55" w:rsidRPr="00661250" w:rsidRDefault="00AB7B55" w:rsidP="00AB7B55">
      <w:pPr>
        <w:pStyle w:val="ATHeading1"/>
      </w:pPr>
      <w:bookmarkStart w:id="0" w:name="TANumber"/>
      <w:r w:rsidRPr="00661250">
        <w:t>P9_TA(2023)0</w:t>
      </w:r>
      <w:r w:rsidR="00243AAE" w:rsidRPr="00661250">
        <w:t>277</w:t>
      </w:r>
      <w:bookmarkEnd w:id="0"/>
    </w:p>
    <w:p w:rsidR="00AB7B55" w:rsidRPr="00661250" w:rsidRDefault="003E3F9A" w:rsidP="00AB7B55">
      <w:pPr>
        <w:pStyle w:val="ATHeading2"/>
      </w:pPr>
      <w:bookmarkStart w:id="1" w:name="title"/>
      <w:r w:rsidRPr="00661250">
        <w:t>Obnova prirode</w:t>
      </w:r>
      <w:bookmarkEnd w:id="1"/>
    </w:p>
    <w:p w:rsidR="00AB7B55" w:rsidRPr="00661250" w:rsidRDefault="00AB7B55" w:rsidP="00AB7B55">
      <w:pPr>
        <w:rPr>
          <w:i/>
          <w:vanish/>
        </w:rPr>
      </w:pPr>
      <w:r w:rsidRPr="00661250">
        <w:rPr>
          <w:i/>
        </w:rPr>
        <w:fldChar w:fldCharType="begin"/>
      </w:r>
      <w:r w:rsidRPr="00661250">
        <w:rPr>
          <w:i/>
        </w:rPr>
        <w:instrText xml:space="preserve"> TC"(</w:instrText>
      </w:r>
      <w:bookmarkStart w:id="2" w:name="DocNumber"/>
      <w:r w:rsidRPr="00661250">
        <w:rPr>
          <w:i/>
        </w:rPr>
        <w:instrText>A9-0220/2023</w:instrText>
      </w:r>
      <w:bookmarkEnd w:id="2"/>
      <w:r w:rsidRPr="00661250">
        <w:rPr>
          <w:i/>
        </w:rPr>
        <w:instrText xml:space="preserve"> - Izvjestitelj: César Luena)"\l3 \n&gt; \* MERGEFORMAT </w:instrText>
      </w:r>
      <w:r w:rsidRPr="00661250">
        <w:rPr>
          <w:i/>
        </w:rPr>
        <w:fldChar w:fldCharType="end"/>
      </w:r>
    </w:p>
    <w:p w:rsidR="00AB7B55" w:rsidRPr="00661250" w:rsidRDefault="00AB7B55" w:rsidP="00AB7B55">
      <w:pPr>
        <w:rPr>
          <w:vanish/>
        </w:rPr>
      </w:pPr>
      <w:bookmarkStart w:id="3" w:name="Commission"/>
      <w:r w:rsidRPr="00661250">
        <w:rPr>
          <w:vanish/>
        </w:rPr>
        <w:t>Odbor za okoliš, javno zdravlje i sigurnost hrane</w:t>
      </w:r>
      <w:bookmarkEnd w:id="3"/>
    </w:p>
    <w:p w:rsidR="00AB7B55" w:rsidRPr="00661250" w:rsidRDefault="00AB7B55" w:rsidP="00AB7B55">
      <w:pPr>
        <w:rPr>
          <w:vanish/>
        </w:rPr>
      </w:pPr>
      <w:bookmarkStart w:id="4" w:name="PE"/>
      <w:r w:rsidRPr="00661250">
        <w:rPr>
          <w:vanish/>
        </w:rPr>
        <w:t>PE737.282</w:t>
      </w:r>
      <w:bookmarkEnd w:id="4"/>
    </w:p>
    <w:p w:rsidR="00AB7B55" w:rsidRPr="00661250" w:rsidRDefault="00C66208" w:rsidP="00AB7B55">
      <w:pPr>
        <w:pStyle w:val="ATHeading3"/>
      </w:pPr>
      <w:bookmarkStart w:id="5" w:name="Sujet"/>
      <w:r w:rsidRPr="00661250">
        <w:t>Amandmani</w:t>
      </w:r>
      <w:r w:rsidRPr="00661250">
        <w:rPr>
          <w:rStyle w:val="FootnoteReference"/>
        </w:rPr>
        <w:footnoteReference w:customMarkFollows="1" w:id="1"/>
        <w:sym w:font="Symbol" w:char="F02A"/>
      </w:r>
      <w:r w:rsidRPr="00661250">
        <w:t xml:space="preserve"> koje je donio </w:t>
      </w:r>
      <w:r w:rsidR="00434382" w:rsidRPr="00661250">
        <w:t>Europsk</w:t>
      </w:r>
      <w:r w:rsidRPr="00661250">
        <w:t>i</w:t>
      </w:r>
      <w:r w:rsidR="00434382" w:rsidRPr="00661250">
        <w:t xml:space="preserve"> parlament</w:t>
      </w:r>
      <w:r w:rsidR="00D845EF">
        <w:t xml:space="preserve"> 12</w:t>
      </w:r>
      <w:r w:rsidR="003E3F9A" w:rsidRPr="00661250">
        <w:t>.</w:t>
      </w:r>
      <w:r w:rsidR="00434382" w:rsidRPr="00661250">
        <w:t xml:space="preserve"> srpnja</w:t>
      </w:r>
      <w:r w:rsidR="00AB7B55" w:rsidRPr="00661250">
        <w:t xml:space="preserve"> 2023. o Prijedlogu uredbe Europskog parlamenta i Vijeća o obnovi prirode</w:t>
      </w:r>
      <w:bookmarkEnd w:id="5"/>
      <w:r w:rsidR="00AB7B55" w:rsidRPr="00661250">
        <w:t xml:space="preserve"> </w:t>
      </w:r>
      <w:bookmarkStart w:id="6" w:name="References"/>
      <w:r w:rsidR="00AB7B55" w:rsidRPr="00661250">
        <w:t>(COM(2022)0304 – C9-0208/2022 – 2022/0195(COD))</w:t>
      </w:r>
      <w:bookmarkEnd w:id="6"/>
      <w:r w:rsidRPr="00661250">
        <w:rPr>
          <w:rStyle w:val="FootnoteReference"/>
        </w:rPr>
        <w:footnoteReference w:id="2"/>
      </w:r>
    </w:p>
    <w:p w:rsidR="00AB7B55" w:rsidRPr="00661250" w:rsidRDefault="00AB7B55" w:rsidP="00AB7B55"/>
    <w:p w:rsidR="004B2622" w:rsidRPr="00661250" w:rsidRDefault="004B2622" w:rsidP="004B2622">
      <w:pPr>
        <w:pStyle w:val="NormalBold"/>
      </w:pPr>
      <w:bookmarkStart w:id="7" w:name="TextBodyBegin"/>
      <w:bookmarkEnd w:id="7"/>
      <w:r w:rsidRPr="00661250">
        <w:t>(Redovni zakonodavni postupak</w:t>
      </w:r>
      <w:r w:rsidR="000232EC" w:rsidRPr="00661250">
        <w:t>:</w:t>
      </w:r>
      <w:r w:rsidRPr="00661250">
        <w:t xml:space="preserve"> prvo čitanje)</w:t>
      </w:r>
    </w:p>
    <w:p w:rsidR="004B2622" w:rsidRPr="00661250" w:rsidRDefault="004B2622" w:rsidP="004B2622">
      <w:pPr>
        <w:pStyle w:val="NormalHanging12a"/>
      </w:pPr>
    </w:p>
    <w:p w:rsidR="004B2622" w:rsidRPr="00661250" w:rsidRDefault="004B2622" w:rsidP="004B2622">
      <w:pPr>
        <w:pStyle w:val="NormalHanging12a"/>
      </w:pPr>
    </w:p>
    <w:p w:rsidR="008D1BE3" w:rsidRPr="00661250" w:rsidRDefault="008D1BE3" w:rsidP="00434382">
      <w:pPr>
        <w:pStyle w:val="Normal24a"/>
      </w:pPr>
      <w:r w:rsidRPr="00661250">
        <w:br w:type="page"/>
      </w:r>
    </w:p>
    <w:p w:rsidR="008D1BE3" w:rsidRPr="00661250" w:rsidRDefault="008D1BE3" w:rsidP="008D1BE3">
      <w:pPr>
        <w:spacing w:before="720" w:after="240"/>
        <w:rPr>
          <w:b/>
        </w:rPr>
      </w:pPr>
      <w:r w:rsidRPr="00661250">
        <w:rPr>
          <w:b/>
        </w:rPr>
        <w:lastRenderedPageBreak/>
        <w:t>[Amandman 18,</w:t>
      </w:r>
      <w:r w:rsidR="00C8370D" w:rsidRPr="00661250">
        <w:rPr>
          <w:b/>
        </w:rPr>
        <w:t xml:space="preserve"> osim ako je drukčije navedeno</w:t>
      </w:r>
      <w:r w:rsidRPr="00661250">
        <w:rPr>
          <w:b/>
        </w:rPr>
        <w:t>]</w:t>
      </w:r>
    </w:p>
    <w:p w:rsidR="008D1BE3" w:rsidRPr="00661250" w:rsidRDefault="008D1BE3" w:rsidP="008D1BE3">
      <w:pPr>
        <w:pStyle w:val="AmHeadingConsam"/>
      </w:pPr>
      <w:r w:rsidRPr="00661250">
        <w:t>AMANDMANI EUROPSKOG PARLAMENTA</w:t>
      </w:r>
      <w:r w:rsidRPr="00661250">
        <w:rPr>
          <w:rStyle w:val="FootnoteReference"/>
        </w:rPr>
        <w:footnoteReference w:customMarkFollows="1" w:id="3"/>
        <w:t>*</w:t>
      </w:r>
    </w:p>
    <w:p w:rsidR="008D1BE3" w:rsidRPr="00661250" w:rsidRDefault="008D1BE3" w:rsidP="008D1BE3">
      <w:pPr>
        <w:pStyle w:val="NormalCenter12a"/>
      </w:pPr>
      <w:r w:rsidRPr="00661250">
        <w:t>na Prijedlog Komisije</w:t>
      </w:r>
    </w:p>
    <w:p w:rsidR="008D1BE3" w:rsidRPr="00661250" w:rsidRDefault="008D1BE3" w:rsidP="008D1BE3">
      <w:pPr>
        <w:pStyle w:val="NormalCenter12a"/>
      </w:pPr>
      <w:r w:rsidRPr="00661250">
        <w:t>---------------------------------------------------------</w:t>
      </w:r>
    </w:p>
    <w:p w:rsidR="008D1BE3" w:rsidRPr="00661250" w:rsidRDefault="008D1BE3" w:rsidP="008D1BE3">
      <w:pPr>
        <w:suppressAutoHyphens/>
        <w:spacing w:before="360"/>
        <w:jc w:val="center"/>
        <w:rPr>
          <w:rFonts w:eastAsia="Calibri"/>
          <w:b/>
          <w:szCs w:val="24"/>
        </w:rPr>
      </w:pPr>
      <w:r w:rsidRPr="00661250">
        <w:rPr>
          <w:b/>
        </w:rPr>
        <w:t>UREDBA EUROPSKOG PARLAMENTA I VIJEĆA</w:t>
      </w:r>
    </w:p>
    <w:p w:rsidR="008D1BE3" w:rsidRPr="00661250" w:rsidRDefault="008D1BE3" w:rsidP="008D1BE3">
      <w:pPr>
        <w:widowControl/>
        <w:suppressAutoHyphens/>
        <w:spacing w:before="360" w:line="360" w:lineRule="auto"/>
        <w:jc w:val="center"/>
        <w:rPr>
          <w:rFonts w:eastAsia="Calibri"/>
          <w:b/>
          <w:szCs w:val="24"/>
        </w:rPr>
      </w:pPr>
      <w:r w:rsidRPr="00661250">
        <w:rPr>
          <w:b/>
        </w:rPr>
        <w:t>o obnovi prirode</w:t>
      </w:r>
    </w:p>
    <w:p w:rsidR="008D1BE3" w:rsidRPr="00661250" w:rsidRDefault="008D1BE3" w:rsidP="008D1BE3">
      <w:pPr>
        <w:widowControl/>
        <w:suppressAutoHyphens/>
        <w:spacing w:before="360" w:after="240" w:line="360" w:lineRule="auto"/>
        <w:jc w:val="center"/>
        <w:rPr>
          <w:rFonts w:eastAsia="Calibri"/>
          <w:szCs w:val="24"/>
        </w:rPr>
      </w:pPr>
      <w:r w:rsidRPr="00661250">
        <w:t>(Tekst značajan za EGP)</w:t>
      </w:r>
    </w:p>
    <w:p w:rsidR="008D1BE3" w:rsidRPr="00661250" w:rsidRDefault="008D1BE3" w:rsidP="008D1BE3">
      <w:pPr>
        <w:keepNext/>
        <w:widowControl/>
        <w:suppressAutoHyphens/>
        <w:spacing w:line="360" w:lineRule="auto"/>
        <w:jc w:val="both"/>
        <w:rPr>
          <w:rFonts w:eastAsia="Calibri"/>
          <w:szCs w:val="24"/>
        </w:rPr>
      </w:pPr>
      <w:r w:rsidRPr="00661250">
        <w:t>EUROPSKI PARLAMENT I VIJEĆE EUROPSKE UNIJE,</w:t>
      </w:r>
    </w:p>
    <w:p w:rsidR="008D1BE3" w:rsidRPr="00661250" w:rsidRDefault="008D1BE3" w:rsidP="008D1BE3">
      <w:pPr>
        <w:widowControl/>
        <w:suppressAutoHyphens/>
        <w:spacing w:line="360" w:lineRule="auto"/>
        <w:rPr>
          <w:rFonts w:eastAsia="Calibri"/>
          <w:szCs w:val="24"/>
        </w:rPr>
      </w:pPr>
      <w:r w:rsidRPr="00661250">
        <w:t>uzimajući u obzir Ugovor o funkcioniranju Europske unije, a posebno njegov članak 192. stavak 1.,</w:t>
      </w:r>
    </w:p>
    <w:p w:rsidR="008D1BE3" w:rsidRPr="00661250" w:rsidRDefault="008D1BE3" w:rsidP="008D1BE3">
      <w:pPr>
        <w:widowControl/>
        <w:suppressAutoHyphens/>
        <w:spacing w:line="360" w:lineRule="auto"/>
        <w:rPr>
          <w:rFonts w:eastAsia="Calibri"/>
          <w:szCs w:val="24"/>
        </w:rPr>
      </w:pPr>
      <w:r w:rsidRPr="00661250">
        <w:t>uzimajući u obzir prijedlog Europske komisije,</w:t>
      </w:r>
    </w:p>
    <w:p w:rsidR="008D1BE3" w:rsidRPr="00661250" w:rsidRDefault="008D1BE3" w:rsidP="008D1BE3">
      <w:pPr>
        <w:widowControl/>
        <w:suppressAutoHyphens/>
        <w:spacing w:line="360" w:lineRule="auto"/>
        <w:rPr>
          <w:rFonts w:eastAsia="Calibri"/>
          <w:szCs w:val="24"/>
        </w:rPr>
      </w:pPr>
      <w:r w:rsidRPr="00661250">
        <w:t>nakon prosljeđivanja nacrta zakonodavnog akta nacionalnim parlamentima,</w:t>
      </w:r>
    </w:p>
    <w:p w:rsidR="008D1BE3" w:rsidRPr="00661250" w:rsidRDefault="008D1BE3" w:rsidP="008D1BE3">
      <w:pPr>
        <w:widowControl/>
        <w:suppressAutoHyphens/>
        <w:spacing w:line="360" w:lineRule="auto"/>
        <w:rPr>
          <w:rFonts w:eastAsia="Calibri"/>
          <w:szCs w:val="24"/>
        </w:rPr>
      </w:pPr>
      <w:r w:rsidRPr="00661250">
        <w:t>uzimajući u obzir mišljenje Europskoga gospodarskog i socijalnog odbora</w:t>
      </w:r>
      <w:r w:rsidRPr="00661250">
        <w:rPr>
          <w:rFonts w:eastAsia="Calibri"/>
          <w:bCs/>
          <w:szCs w:val="24"/>
          <w:vertAlign w:val="superscript"/>
          <w:lang w:eastAsia="en-US"/>
        </w:rPr>
        <w:footnoteReference w:id="4"/>
      </w:r>
      <w:r w:rsidRPr="00661250">
        <w:t>,</w:t>
      </w:r>
    </w:p>
    <w:p w:rsidR="008D1BE3" w:rsidRPr="00661250" w:rsidRDefault="008D1BE3" w:rsidP="008D1BE3">
      <w:pPr>
        <w:widowControl/>
        <w:suppressAutoHyphens/>
        <w:spacing w:line="360" w:lineRule="auto"/>
        <w:rPr>
          <w:rFonts w:eastAsia="Calibri"/>
          <w:szCs w:val="24"/>
        </w:rPr>
      </w:pPr>
      <w:r w:rsidRPr="00661250">
        <w:t>uzimajući u obzir mišljenje Odbora regija,</w:t>
      </w:r>
    </w:p>
    <w:p w:rsidR="008D1BE3" w:rsidRPr="00661250" w:rsidRDefault="008D1BE3" w:rsidP="008D1BE3">
      <w:pPr>
        <w:widowControl/>
        <w:suppressAutoHyphens/>
        <w:spacing w:line="360" w:lineRule="auto"/>
        <w:rPr>
          <w:rFonts w:eastAsia="Calibri"/>
          <w:szCs w:val="24"/>
        </w:rPr>
      </w:pPr>
      <w:r w:rsidRPr="00661250">
        <w:t>u skladu s redovnim zakonodavnim postupkom,</w:t>
      </w:r>
    </w:p>
    <w:p w:rsidR="008D1BE3" w:rsidRPr="00661250" w:rsidRDefault="008D1BE3" w:rsidP="008D1BE3">
      <w:pPr>
        <w:widowControl/>
        <w:suppressAutoHyphens/>
        <w:spacing w:line="360" w:lineRule="auto"/>
        <w:rPr>
          <w:rFonts w:eastAsia="Calibri"/>
          <w:szCs w:val="24"/>
        </w:rPr>
      </w:pPr>
      <w:r w:rsidRPr="00661250">
        <w:t>budući da:</w:t>
      </w:r>
    </w:p>
    <w:p w:rsidR="008D1BE3" w:rsidRPr="00661250" w:rsidRDefault="008D1BE3" w:rsidP="00325B91">
      <w:pPr>
        <w:widowControl/>
        <w:suppressAutoHyphens/>
        <w:spacing w:before="120" w:after="120" w:line="360" w:lineRule="auto"/>
        <w:ind w:left="851" w:hanging="851"/>
        <w:rPr>
          <w:rFonts w:eastAsia="Calibri"/>
          <w:szCs w:val="24"/>
        </w:rPr>
      </w:pPr>
      <w:r w:rsidRPr="00661250">
        <w:t>(1)</w:t>
      </w:r>
      <w:r w:rsidRPr="00661250">
        <w:tab/>
        <w:t xml:space="preserve">Potrebno je utvrditi pravila na razini Unije za obnovu ekosustavâ kako bi se osigurao oporavak bioraznolike i otporne prirode na cijelom području Unije. Obnova ekosustavâ doprinosi i Unijinim ciljevima za ublažavanje klimatskih promjena i prilagodbu tim promjenama. </w:t>
      </w:r>
    </w:p>
    <w:p w:rsidR="008D1BE3" w:rsidRPr="00661250" w:rsidRDefault="008D1BE3" w:rsidP="008D1BE3">
      <w:pPr>
        <w:widowControl/>
        <w:suppressAutoHyphens/>
        <w:spacing w:before="120" w:after="120" w:line="360" w:lineRule="auto"/>
        <w:ind w:left="567" w:right="-1" w:hanging="567"/>
        <w:rPr>
          <w:rFonts w:eastAsia="Calibri"/>
          <w:szCs w:val="24"/>
        </w:rPr>
      </w:pPr>
      <w:r w:rsidRPr="00661250">
        <w:br w:type="page"/>
      </w:r>
    </w:p>
    <w:p w:rsidR="008D1BE3" w:rsidRPr="00661250" w:rsidRDefault="008D1BE3" w:rsidP="00325B91">
      <w:pPr>
        <w:widowControl/>
        <w:suppressAutoHyphens/>
        <w:spacing w:before="120" w:after="120" w:line="360" w:lineRule="auto"/>
        <w:ind w:left="851" w:hanging="851"/>
        <w:rPr>
          <w:rFonts w:eastAsia="Calibri"/>
          <w:szCs w:val="24"/>
        </w:rPr>
      </w:pPr>
      <w:r w:rsidRPr="00661250">
        <w:lastRenderedPageBreak/>
        <w:t>(2)</w:t>
      </w:r>
      <w:r w:rsidRPr="00661250">
        <w:tab/>
        <w:t>Europskim zelenim planom</w:t>
      </w:r>
      <w:r w:rsidRPr="00661250">
        <w:rPr>
          <w:rFonts w:eastAsia="Calibri"/>
          <w:szCs w:val="24"/>
          <w:vertAlign w:val="superscript"/>
          <w:lang w:eastAsia="en-US"/>
        </w:rPr>
        <w:footnoteReference w:id="5"/>
      </w:r>
      <w:r w:rsidRPr="00661250">
        <w:t xml:space="preserve"> uspostavljen je ambiciozan plan djelovanja za preobrazbu Unije u pravedno i prosperitetno društvo s modernim, resursno učinkovitim i konkurentnim gospodarstvom te se njime nastoji zaštititi, očuvati i povećati prirodni kapital Unije te zaštititi zdravlje i dobrobit građana od rizika povezanih s okolišem i utjecaja okoliša na njih. Komisija je u sklopu europskog zelenog plana donijela Strategiju EU-a za bioraznolikost do 2030.</w:t>
      </w:r>
      <w:r w:rsidRPr="00661250">
        <w:rPr>
          <w:rFonts w:eastAsia="Calibri"/>
          <w:szCs w:val="24"/>
          <w:vertAlign w:val="superscript"/>
          <w:lang w:eastAsia="en-US"/>
        </w:rPr>
        <w:footnoteReference w:id="6"/>
      </w:r>
    </w:p>
    <w:p w:rsidR="008D1BE3" w:rsidRPr="00661250" w:rsidRDefault="008D1BE3" w:rsidP="00325B91">
      <w:pPr>
        <w:widowControl/>
        <w:suppressAutoHyphens/>
        <w:spacing w:before="120" w:after="120" w:line="360" w:lineRule="auto"/>
        <w:ind w:left="851" w:hanging="851"/>
        <w:rPr>
          <w:rFonts w:eastAsia="Calibri"/>
          <w:szCs w:val="24"/>
        </w:rPr>
      </w:pPr>
      <w:r w:rsidRPr="00661250">
        <w:t>(3)</w:t>
      </w:r>
      <w:r w:rsidRPr="00661250">
        <w:tab/>
        <w:t>Unija i njezine države članice, kao stranke Konvencije o biološkoj raznolikosti, odobrene Odlukom Vijeća 93/626/EEZ</w:t>
      </w:r>
      <w:r w:rsidRPr="00661250">
        <w:rPr>
          <w:rFonts w:eastAsia="Calibri"/>
          <w:szCs w:val="24"/>
          <w:vertAlign w:val="superscript"/>
          <w:lang w:eastAsia="en-US"/>
        </w:rPr>
        <w:footnoteReference w:id="7"/>
      </w:r>
      <w:r w:rsidRPr="00661250">
        <w:t>, posvećene su dugoročnoj strateškoj viziji koju je Konferencija stranaka donijela 2010. Odlukom X/2 pod nazivom „Strateški plan za bioraznolikost za razdoblje 2011. – 2020.”</w:t>
      </w:r>
      <w:r w:rsidRPr="00661250">
        <w:rPr>
          <w:rFonts w:eastAsia="Calibri"/>
          <w:szCs w:val="24"/>
          <w:vertAlign w:val="superscript"/>
          <w:lang w:eastAsia="en-US"/>
        </w:rPr>
        <w:footnoteReference w:id="8"/>
      </w:r>
      <w:r w:rsidRPr="00661250">
        <w:t xml:space="preserve"> prema kojoj se do 2050. bioraznolikost treba vrednovati, čuvati, obnavljati i mudro upotrebljavati, uz istodobno održavanje usluga ekosustava i zdravog planeta te omogućavanje pogodnosti koje su od ključne važnosti za sve ljude.</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(4)</w:t>
      </w:r>
      <w:r w:rsidRPr="00661250">
        <w:tab/>
      </w:r>
      <w:r w:rsidRPr="00661250">
        <w:rPr>
          <w:b/>
          <w:i/>
        </w:rPr>
        <w:t>U okviru Konvencije o biološkoj raznolikosti na konferenciji COP 15 održanoj u prosincu 2022.</w:t>
      </w:r>
      <w:r w:rsidRPr="00661250">
        <w:rPr>
          <w:rFonts w:eastAsia="Calibri"/>
          <w:b/>
          <w:i/>
          <w:szCs w:val="24"/>
          <w:vertAlign w:val="superscript"/>
          <w:lang w:eastAsia="en-US"/>
        </w:rPr>
        <w:footnoteReference w:id="9"/>
      </w:r>
      <w:r w:rsidRPr="00661250">
        <w:rPr>
          <w:b/>
          <w:i/>
        </w:rPr>
        <w:t xml:space="preserve"> dogovoren je </w:t>
      </w:r>
      <w:bookmarkStart w:id="8" w:name="_Hlk129711629"/>
      <w:r w:rsidRPr="00661250">
        <w:rPr>
          <w:b/>
          <w:i/>
        </w:rPr>
        <w:t xml:space="preserve">globalni okvir za bioraznolikost kojim se utvrđuju globalni ciljevi usmjereni na hitno djelovanje tijekom desetljeća do 2030. kako bi se </w:t>
      </w:r>
      <w:r w:rsidRPr="00661250">
        <w:rPr>
          <w:b/>
          <w:i/>
          <w:shd w:val="clear" w:color="auto" w:fill="FFFFFF"/>
        </w:rPr>
        <w:t>osiguralo da su sva područja obuhvaćena</w:t>
      </w:r>
      <w:r w:rsidRPr="00661250">
        <w:rPr>
          <w:b/>
          <w:i/>
        </w:rPr>
        <w:t xml:space="preserve"> </w:t>
      </w:r>
      <w:r w:rsidRPr="00661250">
        <w:rPr>
          <w:b/>
          <w:i/>
          <w:shd w:val="clear" w:color="auto" w:fill="FFFFFF"/>
        </w:rPr>
        <w:t>participativnim i integriranim prostornim planiranjem koje uključuje bioraznolikost i/ili</w:t>
      </w:r>
      <w:r w:rsidRPr="00661250">
        <w:rPr>
          <w:b/>
          <w:i/>
        </w:rPr>
        <w:t xml:space="preserve"> djelotvornim procesima upravljanja koji se odnose na promjenu korištenja zemljišta i mora;</w:t>
      </w:r>
      <w:r w:rsidRPr="00661250">
        <w:rPr>
          <w:b/>
          <w:i/>
          <w:shd w:val="clear" w:color="auto" w:fill="FFFFFF"/>
        </w:rPr>
        <w:t xml:space="preserve"> </w:t>
      </w:r>
      <w:r w:rsidRPr="00661250">
        <w:rPr>
          <w:b/>
          <w:i/>
        </w:rPr>
        <w:t xml:space="preserve">kako bi se gubitak područja od velike važnosti za bioraznolikost, uključujući ekosustave visoke razine ekološke cjelovitosti, do 2030. </w:t>
      </w:r>
      <w:r w:rsidRPr="00661250">
        <w:rPr>
          <w:b/>
          <w:i/>
          <w:shd w:val="clear" w:color="auto" w:fill="FFFFFF"/>
        </w:rPr>
        <w:t>sveo gotovo na nulu, poštujući pritom prava autohtonih naroda i lokalnih zajednica</w:t>
      </w:r>
      <w:r w:rsidRPr="00661250">
        <w:rPr>
          <w:b/>
          <w:i/>
        </w:rPr>
        <w:t xml:space="preserve"> kako su utvrđena u Deklaraciji Ujedinjenih naroda o pravima autohtonih naroda (UNDRIP)</w:t>
      </w:r>
      <w:r w:rsidRPr="00661250">
        <w:rPr>
          <w:b/>
          <w:i/>
          <w:shd w:val="clear" w:color="auto" w:fill="FFFFFF"/>
        </w:rPr>
        <w:t xml:space="preserve">; </w:t>
      </w:r>
      <w:r w:rsidRPr="00661250">
        <w:rPr>
          <w:b/>
          <w:i/>
        </w:rPr>
        <w:t>kako bi se osigurala djelotvorna obnova najmanje 30 % područja narušenih kopnenih ekosustava i ekosustava kopnenih voda te morskih i obalnih ekosustava do 2030. radi poboljšanja bioraznolikosti te funkcija i usluga ekosustava, ekološke cjelovitosti i povezivosti;</w:t>
      </w:r>
      <w:r w:rsidRPr="00661250">
        <w:rPr>
          <w:b/>
          <w:i/>
          <w:shd w:val="clear" w:color="auto" w:fill="FFFFFF"/>
        </w:rPr>
        <w:t xml:space="preserve"> kako bi se ponovno uspostavili, održali i poboljšali doprinosi prirode ljudima, uključujući funkcije i usluge ekosustava, kao što su regulacija zraka, vode i klime, zdravlje tla, oprašivanje i smanjenje rizika od bolesti, kao i zaštita od prirodnih opasnosti i katastrofa, s pomoću prirodnih rješenja i/ili pristupa utemeljenih na ekosustavu u korist svih ljudi i prirode. Globalni</w:t>
      </w:r>
      <w:r w:rsidRPr="00661250">
        <w:rPr>
          <w:b/>
          <w:i/>
        </w:rPr>
        <w:t xml:space="preserve"> okvir za </w:t>
      </w:r>
      <w:r w:rsidRPr="00661250">
        <w:rPr>
          <w:b/>
          <w:i/>
          <w:shd w:val="clear" w:color="auto" w:fill="FFFFFF"/>
        </w:rPr>
        <w:t>bioraznolikost omogućit će napredak prema postizanju ciljeva za 2050. usmjerenih na rezultate.</w:t>
      </w:r>
      <w:bookmarkEnd w:id="8"/>
    </w:p>
    <w:p w:rsidR="008D1BE3" w:rsidRPr="00661250" w:rsidRDefault="008D1BE3" w:rsidP="00325B91">
      <w:pPr>
        <w:widowControl/>
        <w:suppressAutoHyphens/>
        <w:spacing w:before="120" w:after="120" w:line="360" w:lineRule="auto"/>
        <w:ind w:left="851" w:hanging="851"/>
        <w:rPr>
          <w:rFonts w:eastAsia="Calibri"/>
          <w:szCs w:val="24"/>
        </w:rPr>
      </w:pPr>
      <w:r w:rsidRPr="00661250">
        <w:t>(5)</w:t>
      </w:r>
      <w:r w:rsidRPr="00661250">
        <w:tab/>
        <w:t>UN-ovi ciljevi održivog razvoja</w:t>
      </w:r>
      <w:r w:rsidRPr="00661250">
        <w:rPr>
          <w:rFonts w:eastAsia="Calibri"/>
          <w:szCs w:val="24"/>
          <w:vertAlign w:val="superscript"/>
          <w:lang w:eastAsia="en-US"/>
        </w:rPr>
        <w:footnoteReference w:id="10"/>
      </w:r>
      <w:r w:rsidRPr="00661250">
        <w:t>, osobito ciljevi 14.2., 15.1., 15.2. i 15.3., odnose se na potrebu da se osigura očuvanje, obnova i održiva uporaba kopnenih ekosustava i kopnenih slatkovodnih ekosustava i njihovih usluga, posebice šuma, močvarnih područja, planina i sušnih područja.</w:t>
      </w:r>
    </w:p>
    <w:p w:rsidR="008D1BE3" w:rsidRPr="00661250" w:rsidRDefault="008D1BE3" w:rsidP="00325B91">
      <w:pPr>
        <w:widowControl/>
        <w:suppressAutoHyphens/>
        <w:spacing w:before="120" w:after="120" w:line="360" w:lineRule="auto"/>
        <w:ind w:left="851" w:hanging="851"/>
        <w:rPr>
          <w:rFonts w:eastAsia="Calibri"/>
          <w:szCs w:val="24"/>
        </w:rPr>
      </w:pPr>
      <w:r w:rsidRPr="00661250">
        <w:t>(6)</w:t>
      </w:r>
      <w:r w:rsidRPr="00661250">
        <w:tab/>
        <w:t>Opća skupština Ujedinjenih naroda u svojoj je rezoluciji od 1. ožujka 2019.</w:t>
      </w:r>
      <w:r w:rsidRPr="00661250">
        <w:rPr>
          <w:rFonts w:eastAsia="Calibri"/>
          <w:szCs w:val="24"/>
          <w:vertAlign w:val="superscript"/>
          <w:lang w:eastAsia="en-US"/>
        </w:rPr>
        <w:footnoteReference w:id="11"/>
      </w:r>
      <w:r w:rsidRPr="00661250">
        <w:t xml:space="preserve"> proglasila razdoblje 2021.–2030. Desetljećem UN-a za obnovu ekosustava s ciljem podupiranja i jačanja nastojanja da se spriječi, zaustavi i preokrene propadanje ekosustava u cijelom svijetu i podigne razina osviještenosti o važnosti obnove ekosustava.</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p>
    <w:p w:rsidR="008D1BE3" w:rsidRPr="00661250" w:rsidRDefault="008D1BE3" w:rsidP="00325B91">
      <w:pPr>
        <w:widowControl/>
        <w:suppressAutoHyphens/>
        <w:spacing w:before="120" w:after="120" w:line="360" w:lineRule="auto"/>
        <w:ind w:left="851" w:hanging="851"/>
        <w:rPr>
          <w:rFonts w:eastAsia="Calibri"/>
          <w:szCs w:val="24"/>
        </w:rPr>
      </w:pPr>
      <w:r w:rsidRPr="00661250">
        <w:lastRenderedPageBreak/>
        <w:t>(7)</w:t>
      </w:r>
      <w:r w:rsidRPr="00661250">
        <w:tab/>
        <w:t>Strategijom EU-a za bioraznolikost do 2030. nastoji se osigurati da će se do 2030. bioraznolikost u Europi usmjeriti prema oporavku, od čega će korist imati ljudi, naš planet, klima i gospodarstvo. Njome se utvrđuje ambiciozan plan EU-a za obnovu prirode s nizom ključnih obveza, uključujući obvezu da se iznese prijedlog pravno obvezujućih ciljeva EU-a za obnovu prirode kako bi se obnovili narušeni ekosustavi, posebno oni koji imaju najveći potencijal za hvatanje i skladištenje ugljika, te za sprečavanje i ublažavanje utjecaja prirodnih katastrofa.</w:t>
      </w:r>
    </w:p>
    <w:p w:rsidR="008D1BE3" w:rsidRPr="00661250" w:rsidRDefault="008D1BE3" w:rsidP="00325B91">
      <w:pPr>
        <w:widowControl/>
        <w:suppressAutoHyphens/>
        <w:spacing w:before="120" w:after="120" w:line="360" w:lineRule="auto"/>
        <w:ind w:left="851" w:hanging="851"/>
        <w:rPr>
          <w:rFonts w:eastAsia="Calibri"/>
          <w:szCs w:val="24"/>
        </w:rPr>
      </w:pPr>
      <w:r w:rsidRPr="00661250">
        <w:t>(8)</w:t>
      </w:r>
      <w:r w:rsidRPr="00661250">
        <w:tab/>
        <w:t>U svojoj rezoluciji od 9. lipnja 2021.</w:t>
      </w:r>
      <w:r w:rsidRPr="00661250">
        <w:rPr>
          <w:rFonts w:eastAsia="Calibri"/>
          <w:szCs w:val="24"/>
          <w:vertAlign w:val="superscript"/>
          <w:lang w:eastAsia="en-US"/>
        </w:rPr>
        <w:footnoteReference w:id="12"/>
      </w:r>
      <w:r w:rsidRPr="00661250">
        <w:t xml:space="preserve"> Europski parlament snažno je pozdravio posvećenost izradi zakonodavnog prijedloga s obvezujućim ciljevima za obnovu prirode te je osim toga zaključio da bi uz opći cilj obnove trebalo uključiti ciljeve obnove usmjerene na ekosustave, staništa i vrste, čime bi se obuhvatile šume, travnjaci, močvarna područja, tresetišta, oprašivači, rijeke slobodnog toka, obalna područja i morski ekosustavi.</w:t>
      </w:r>
    </w:p>
    <w:p w:rsidR="008D1BE3" w:rsidRPr="00661250" w:rsidRDefault="008D1BE3" w:rsidP="00325B91">
      <w:pPr>
        <w:widowControl/>
        <w:suppressAutoHyphens/>
        <w:spacing w:before="120" w:after="120" w:line="360" w:lineRule="auto"/>
        <w:ind w:left="851" w:hanging="851"/>
        <w:rPr>
          <w:rFonts w:eastAsia="Calibri"/>
          <w:szCs w:val="24"/>
        </w:rPr>
      </w:pPr>
      <w:r w:rsidRPr="00661250">
        <w:t>(9)</w:t>
      </w:r>
      <w:r w:rsidRPr="00661250">
        <w:tab/>
        <w:t>U svojim zaključcima od 23. listopada 2020.</w:t>
      </w:r>
      <w:r w:rsidRPr="00661250">
        <w:rPr>
          <w:rFonts w:eastAsia="Calibri"/>
          <w:szCs w:val="24"/>
          <w:vertAlign w:val="superscript"/>
          <w:lang w:eastAsia="en-US"/>
        </w:rPr>
        <w:footnoteReference w:id="13"/>
      </w:r>
      <w:r w:rsidRPr="00661250">
        <w:t xml:space="preserve"> Vijeće je potvrdilo da će sprečavanje daljnjeg pogoršanja trenutačnog stanja bioraznolikosti i prirode biti ključno, ali ne i dostatno za vraćanje prirode u naš život. Vijeće je ponovno potvrdilo da je u vezi s obnovom prirode potrebna veća ambicioznost, kako se predlaže u novom Planu EU-a za obnovu prirode, koji uključuje mjere za zaštitu i obnovu bioraznolikosti i izvan zaštićenih područja. Vijeće je navelo i da očekuje prijedlog pravno obvezujućih ciljeva u području obnove prirode, za koji treba izraditi procjenu učinka.</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(10)</w:t>
      </w:r>
      <w:r w:rsidRPr="00661250">
        <w:tab/>
        <w:t>Strategijom EU-a za bioraznolikost do 2030. utvrđena je obveza da se zakonski zaštiti najmanje 30 % kopnenih područja, uključujući unutarnje vode, i 30 % morskih područja u Uniji, od čega bi najmanje trećina trebala biti pod strogom zaštitom, uključujući sve preostale prašume i stare šume. U kriterijima i smjernicama namijenjenima državama članicama za proglašenje dodatnih zaštićenih područja</w:t>
      </w:r>
      <w:r w:rsidRPr="00661250">
        <w:rPr>
          <w:rFonts w:eastAsia="Calibri"/>
          <w:szCs w:val="24"/>
          <w:vertAlign w:val="superscript"/>
          <w:lang w:eastAsia="en-US"/>
        </w:rPr>
        <w:footnoteReference w:id="14"/>
      </w:r>
      <w:r w:rsidRPr="00661250">
        <w:t xml:space="preserve"> („Kriteriji i smjernice”), koje je Komisija razvila u suradnji s državama članicama i dionicima, naglašava se da ako obnovljena područja ispunjavaju kriterije za zaštićena područja ili se očekuje da će ih ispunjavati nakon što obnova poluči svoj potpuni učinak, i ta bi obnovljena područja trebala pridonijeti ciljevima Unije za zaštićena područja. U Kriterijima i smjernicama naglašava se i da zaštićena područja mogu pružiti važan doprinos ciljevima obnove iz Strategije EU-a za bioraznolikost do 2030. stvaranjem uvjeta u kojima će rad na obnovi biti uspješan. To posebno vrijedi za područja koja se mogu prirodno oporaviti zaustavljanjem ili ograničavanjem nekih pritisaka koje uzrokuju ljudske aktivnosti. Stavljanje takvih područja pod strogu zaštitu, među ostalim u morskom okolišu, u nekim će slučajevima biti dovoljno da dovede do oporavka prirodnih vrijednosti u njima. Nadalje, u Kriterijima i smjernicama ističe se i da se očekuje da sve države članice pridonesu postizanju ciljeva Unije za zaštićena područja iz Strategije EU-a za bioraznolikost do 2030. u mjeri koja je razmjerna prirodnim vrijednostima u njima i njihovu potencijalu za obnovu prirode.</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(11)</w:t>
      </w:r>
      <w:r w:rsidRPr="00661250">
        <w:tab/>
        <w:t>Strategijom EU-a za bioraznolikost do 2030. utvrđen je cilj da se do 2030. osigura da ne dođe do pogoršanja trendova ili stanja očuvanosti zaštićenih staništa i vrsta te da će najmanje 30 % vrsta i staništa koji trenutačno nisu u povoljnom stanju potpasti pod tu kategoriju ili pokazati snažan pozitivan trend da će potpasti pod tu kategoriju. U smjernicama</w:t>
      </w:r>
      <w:r w:rsidRPr="00661250">
        <w:rPr>
          <w:rFonts w:eastAsia="Calibri"/>
          <w:szCs w:val="24"/>
          <w:vertAlign w:val="superscript"/>
          <w:lang w:eastAsia="en-US"/>
        </w:rPr>
        <w:footnoteReference w:id="15"/>
      </w:r>
      <w:r w:rsidRPr="00661250">
        <w:t xml:space="preserve"> koje je Komisija izradila u suradnji s državama članicama i dionicima kako bi pomogla da se postignu ti ciljevi naglašava se da će za većinu tih staništa i vrsta vjerojatno biti potreban rad na održavanju i obnovi tako da se do 2030. zaustave njihovi trenutačni negativni trendovi ili održe trenutačni stabilni ili pozitivni trendovi, ili tako da se spriječi pogoršanje stanja staništa i vrsta s povoljnim stanjem očuvanosti. U smjernicama se dodatno ističe da se taj rad na obnovi prije svega treba planirati, provoditi i koordinirati na nacionalnoj ili regionalnoj razini te da pri odabiru vrsta i staništa koje je potrebno poboljšati do 2030. i određivanju prioriteta za te vrste i staništa treba nastojati uspostaviti sinergiju s drugim ciljevima Unije i međunarodnim ciljevima, posebno onima u području okolišne i klimatske politike.</w:t>
      </w:r>
    </w:p>
    <w:p w:rsidR="008D1BE3" w:rsidRPr="00661250" w:rsidRDefault="008D1BE3" w:rsidP="00325B91">
      <w:pPr>
        <w:widowControl/>
        <w:suppressAutoHyphens/>
        <w:spacing w:before="120" w:after="120" w:line="360" w:lineRule="auto"/>
        <w:ind w:left="851" w:hanging="851"/>
      </w:pPr>
      <w:r w:rsidRPr="00661250">
        <w:t>(12)</w:t>
      </w:r>
      <w:r w:rsidRPr="00661250">
        <w:tab/>
        <w:t>U izvješću Komisije o stanju prirode iz 2020.</w:t>
      </w:r>
      <w:r w:rsidRPr="00661250">
        <w:rPr>
          <w:rFonts w:eastAsia="Calibri"/>
          <w:szCs w:val="24"/>
          <w:vertAlign w:val="superscript"/>
          <w:lang w:eastAsia="en-US"/>
        </w:rPr>
        <w:footnoteReference w:id="16"/>
      </w:r>
      <w:r w:rsidRPr="00661250">
        <w:t xml:space="preserve"> navedeno je da Unija još nije uspjela spriječiti pogoršanje stanja zaštićenih stanišnih tipova i vrsta koje su predmet očuvanja u Uniji. To pogoršanje uglavnom je posljedica odustajanja od ekstenzivne poljoprivrede, intenziviranja praksi gospodarenja, izmjene hidroloških režima, urbanizacije i onečišćenja te neodrživih šumarskih aktivnosti i iskorištavanja vrsta. Osim toga, invazivne strane vrste i klimatske promjene predstavljaju glavnu i sve veću prijetnju zavičajnoj flori i fauni u Uniji.</w:t>
      </w:r>
    </w:p>
    <w:p w:rsidR="00EA3F39" w:rsidRPr="00661250" w:rsidRDefault="00325B91" w:rsidP="00325B91">
      <w:pPr>
        <w:widowControl/>
        <w:suppressAutoHyphens/>
        <w:spacing w:before="120" w:after="120" w:line="360" w:lineRule="auto"/>
        <w:ind w:left="851" w:hanging="851"/>
        <w:rPr>
          <w:rFonts w:eastAsia="Calibri"/>
          <w:b/>
          <w:color w:val="111111"/>
          <w:szCs w:val="24"/>
        </w:rPr>
      </w:pPr>
      <w:r>
        <w:rPr>
          <w:rFonts w:eastAsia="Calibri"/>
          <w:b/>
          <w:i/>
          <w:color w:val="111111"/>
          <w:szCs w:val="24"/>
          <w:lang w:eastAsia="en-US"/>
        </w:rPr>
        <w:t>(12a)</w:t>
      </w:r>
      <w:r>
        <w:rPr>
          <w:rFonts w:eastAsia="Calibri"/>
          <w:b/>
          <w:i/>
          <w:color w:val="111111"/>
          <w:szCs w:val="24"/>
          <w:lang w:eastAsia="en-US"/>
        </w:rPr>
        <w:tab/>
      </w:r>
      <w:r w:rsidR="00EA3F39" w:rsidRPr="00661250">
        <w:rPr>
          <w:rFonts w:eastAsia="Calibri"/>
          <w:b/>
          <w:i/>
          <w:color w:val="111111"/>
          <w:szCs w:val="24"/>
          <w:lang w:eastAsia="en-US"/>
        </w:rPr>
        <w:t>U Komisijinoj reviziji t</w:t>
      </w:r>
      <w:r>
        <w:rPr>
          <w:rFonts w:eastAsia="Calibri"/>
          <w:b/>
          <w:i/>
          <w:color w:val="111111"/>
          <w:szCs w:val="24"/>
          <w:lang w:eastAsia="en-US"/>
        </w:rPr>
        <w:t>rgovinske politike naslovljenoj „</w:t>
      </w:r>
      <w:r w:rsidR="00EA3F39" w:rsidRPr="00661250">
        <w:rPr>
          <w:rFonts w:eastAsia="Calibri"/>
          <w:b/>
          <w:i/>
          <w:color w:val="111111"/>
          <w:szCs w:val="24"/>
          <w:lang w:eastAsia="en-US"/>
        </w:rPr>
        <w:t>Otvorena, održiva i odlučna trgovinska politika</w:t>
      </w:r>
      <w:r w:rsidR="00135AB1" w:rsidRPr="00661250">
        <w:rPr>
          <w:rStyle w:val="FootnoteReference"/>
          <w:rFonts w:eastAsia="Calibri"/>
          <w:b/>
          <w:i/>
          <w:color w:val="111111"/>
          <w:szCs w:val="24"/>
          <w:lang w:eastAsia="en-US"/>
        </w:rPr>
        <w:footnoteReference w:id="17"/>
      </w:r>
      <w:r w:rsidR="00EA3F39" w:rsidRPr="00661250">
        <w:rPr>
          <w:rFonts w:eastAsia="Calibri"/>
          <w:b/>
          <w:i/>
          <w:color w:val="111111"/>
          <w:szCs w:val="24"/>
          <w:lang w:eastAsia="en-US"/>
        </w:rPr>
        <w:t>” navodi se da je Europski zeleni plan nova strategija rasta EU-a koja će biti pokretač naše konkurentnosti i doprinijeti postupnoj, ali korjenitoj preobrazbi naših gospodarstava, čime će snažno utjecati i na trgovinske tokove, pri čemu</w:t>
      </w:r>
      <w:r w:rsidR="00EA3F39" w:rsidRPr="00661250">
        <w:rPr>
          <w:rFonts w:eastAsia="Calibri"/>
          <w:b/>
          <w:i/>
          <w:szCs w:val="24"/>
          <w:lang w:eastAsia="en-US"/>
        </w:rPr>
        <w:t xml:space="preserve"> je </w:t>
      </w:r>
      <w:r w:rsidR="00EA3F39" w:rsidRPr="00661250">
        <w:rPr>
          <w:rFonts w:eastAsia="Calibri"/>
          <w:b/>
          <w:i/>
          <w:color w:val="111111"/>
          <w:szCs w:val="24"/>
          <w:lang w:eastAsia="en-US"/>
        </w:rPr>
        <w:t>EU-ova velika mreža bilateralnih trgovinskih sporazuma ključna platforma za odnose s našim partnerima o klimatskim promjenama i bioraznolikosti te stoga iziskuje uvođenje odgovarajućih mjera, u skladu s pravilima STO-a.</w:t>
      </w:r>
      <w:r w:rsidR="00C8370D" w:rsidRPr="00661250">
        <w:rPr>
          <w:rFonts w:eastAsia="Calibri"/>
          <w:b/>
          <w:color w:val="111111"/>
          <w:szCs w:val="24"/>
          <w:lang w:eastAsia="en-US"/>
        </w:rPr>
        <w:t xml:space="preserve"> [Usmeni amandman]</w:t>
      </w:r>
    </w:p>
    <w:p w:rsidR="00EA3F39" w:rsidRPr="00661250" w:rsidRDefault="00EA3F39" w:rsidP="00325B91">
      <w:pPr>
        <w:widowControl/>
        <w:suppressAutoHyphens/>
        <w:spacing w:before="120" w:after="120" w:line="360" w:lineRule="auto"/>
        <w:ind w:left="851" w:hanging="851"/>
        <w:rPr>
          <w:rFonts w:eastAsia="Calibri"/>
          <w:szCs w:val="24"/>
        </w:rPr>
      </w:pPr>
    </w:p>
    <w:p w:rsidR="008D1BE3" w:rsidRPr="00661250" w:rsidRDefault="008D1BE3" w:rsidP="00325B91">
      <w:pPr>
        <w:widowControl/>
        <w:suppressAutoHyphens/>
        <w:spacing w:before="120" w:after="120" w:line="360" w:lineRule="auto"/>
        <w:ind w:left="851" w:hanging="851"/>
        <w:rPr>
          <w:rFonts w:eastAsia="Calibri"/>
          <w:szCs w:val="24"/>
        </w:rPr>
      </w:pPr>
      <w:r w:rsidRPr="00661250">
        <w:t>(13)</w:t>
      </w:r>
      <w:r w:rsidRPr="00661250">
        <w:tab/>
        <w:t>Primjereno je utvrditi sveobuhvatni cilj za obnovu ekosustava kako bi se potaknula gospodarska i društvena preobrazba, otvaranje kvalitetnih radnih mjesta i održivi rast. Ako su u dobrom stanju, bioraznoliki ekosustavi kao što su močvarna područja, slatke vode, šume te poljoprivredni, morski, obalni i urbani ekosustavi te ekosustavi koji su slabo obrasli vegetacijom pružaju niz ključnih usluga ekosustava, a koristi obnove narušenih ekosustava dok se ne postigne dobro stanje na svim kopnenim i morskim područjima uvelike nadmašuju troškove obnove. Te usluge donose brojne društveno-gospodarske koristi, ovisno o gospodarskim, društvenim, kulturnim, regionalnim i lokalnim značajkama.</w:t>
      </w:r>
    </w:p>
    <w:p w:rsidR="008D1BE3" w:rsidRPr="00661250" w:rsidRDefault="008D1BE3" w:rsidP="00325B91">
      <w:pPr>
        <w:widowControl/>
        <w:suppressAutoHyphens/>
        <w:spacing w:before="120" w:after="120" w:line="360" w:lineRule="auto"/>
        <w:ind w:left="851" w:hanging="851"/>
        <w:rPr>
          <w:rFonts w:eastAsia="Calibri"/>
          <w:szCs w:val="24"/>
        </w:rPr>
      </w:pPr>
      <w:r w:rsidRPr="00661250">
        <w:t>(14)</w:t>
      </w:r>
      <w:r w:rsidRPr="00661250">
        <w:tab/>
        <w:t>Statistička komisija Ujedinjenih naroda na svojoj 52. sjednici u ožujku 2021. uvela je računovodstvo ekosustava kao dio sustava ekonomskog računovodstva okoliša (SEEA EA)</w:t>
      </w:r>
      <w:r w:rsidRPr="00661250">
        <w:rPr>
          <w:rFonts w:eastAsia="Calibri"/>
          <w:szCs w:val="24"/>
          <w:vertAlign w:val="superscript"/>
          <w:lang w:eastAsia="en-US"/>
        </w:rPr>
        <w:footnoteReference w:id="18"/>
      </w:r>
      <w:r w:rsidRPr="00661250">
        <w:t xml:space="preserve">. SEEA EA integrirani je i sveobuhvatni statistički okvir za organiziranje podataka o staništima i krajobrazima, mjerenje opsega, stanja i usluga ekosustava, praćenje promjena u kapitalu ekosustava i povezivanje tih informacija s gospodarskim i drugim ljudskim djelatnostima. </w:t>
      </w:r>
    </w:p>
    <w:p w:rsidR="008D1BE3" w:rsidRPr="00661250" w:rsidRDefault="008D1BE3" w:rsidP="00325B91">
      <w:pPr>
        <w:widowControl/>
        <w:suppressAutoHyphens/>
        <w:spacing w:before="120" w:after="120" w:line="360" w:lineRule="auto"/>
        <w:ind w:left="851" w:hanging="851"/>
        <w:rPr>
          <w:rFonts w:eastAsia="Calibri"/>
          <w:szCs w:val="24"/>
        </w:rPr>
      </w:pPr>
      <w:r w:rsidRPr="00661250">
        <w:t>(15)</w:t>
      </w:r>
      <w:r w:rsidRPr="00661250">
        <w:tab/>
        <w:t>Osiguravanje bioraznolikih ekosustava i borba protiv klimatskih promjena neodvojivo su povezani. Priroda i rješenja utemeljena na prirodi, uključujući prirodne zalihe i ponore ugljika, ključni su za borbu protiv klimatske krize. Istodobno je klimatska kriza već uzrok promjena u kopnenim i morskim ekosustavima te se Unija mora pripremiti za povećani intenzitet, učestalost i raširenost njezinih učinaka. U Posebnom izvješću Međuvladinog panela o klimatskim promjenama (IPCC)</w:t>
      </w:r>
      <w:r w:rsidRPr="00661250">
        <w:rPr>
          <w:rFonts w:eastAsia="Calibri"/>
          <w:szCs w:val="24"/>
          <w:vertAlign w:val="superscript"/>
          <w:lang w:eastAsia="en-US"/>
        </w:rPr>
        <w:footnoteReference w:id="19"/>
      </w:r>
      <w:r w:rsidRPr="00661250">
        <w:t xml:space="preserve"> o učincima globalnog zagrijavanja od 1,5 °C istaknuto je da neki učinci mogu biti dugotrajni ili nepovratni. U Šestom izvješću o procjeni IPCC-a</w:t>
      </w:r>
      <w:r w:rsidRPr="00661250">
        <w:rPr>
          <w:rFonts w:eastAsia="Calibri"/>
          <w:szCs w:val="24"/>
          <w:vertAlign w:val="superscript"/>
          <w:lang w:eastAsia="en-US"/>
        </w:rPr>
        <w:footnoteReference w:id="20"/>
      </w:r>
      <w:r w:rsidRPr="00661250">
        <w:t xml:space="preserve"> navodi se da će obnova ekosustavâ biti ključna za pomoć u borbi protiv klimatskih promjena i smanjenje rizika povezanih sa sigurnošću opskrbe hranom. Međuvladina znanstveno-politička platforma o bioraznolikosti i uslugama ekosustava </w:t>
      </w:r>
      <w:r w:rsidRPr="00661250">
        <w:lastRenderedPageBreak/>
        <w:t>(IPBES) u svojem je izvješću o globalnoj procjeni bioraznolikosti i usluga ekosustava</w:t>
      </w:r>
      <w:r w:rsidRPr="00661250">
        <w:rPr>
          <w:rFonts w:eastAsia="Calibri"/>
          <w:szCs w:val="24"/>
          <w:vertAlign w:val="superscript"/>
          <w:lang w:eastAsia="en-US"/>
        </w:rPr>
        <w:footnoteReference w:id="21"/>
      </w:r>
      <w:r w:rsidRPr="00661250">
        <w:t xml:space="preserve"> iz 2019. navela da smatra da su klimatske promjene ključni uzrok promjena u prirodi te da očekuje da će se njihov utjecaj povećati u narednim desetljećima i u nekim slučajevima nadmašiti utjecaj drugih uzroka promjena ekosustava, kao što su promjene u korištenju zemljišta i mora.</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(16)</w:t>
      </w:r>
      <w:r w:rsidRPr="00661250">
        <w:tab/>
        <w:t>Uredbom (EU) 2021/1119 Europskog parlamenta i Vijeća</w:t>
      </w:r>
      <w:r w:rsidRPr="00661250">
        <w:rPr>
          <w:rFonts w:eastAsia="Calibri"/>
          <w:szCs w:val="24"/>
          <w:vertAlign w:val="superscript"/>
          <w:lang w:eastAsia="en-US"/>
        </w:rPr>
        <w:footnoteReference w:id="22"/>
      </w:r>
      <w:r w:rsidRPr="00661250">
        <w:t xml:space="preserve"> utvrđuje se obvezujući cilj klimatske neutralnosti u Uniji do 2050. i ostvarenja negativnih emisija nakon toga, kao i davanje prednosti brzim i predvidljivim smanjenjima emisija te istodobno poboljšanje uklanjanja prirodnim ponorima. Obnova ekosustava mogla bi znatno pridonijeti ne samo borbi protiv klimatskih promjena, nego i održavanju prirodnih ponora, upravljanju njima i njihovu poboljšanju te povećanju bioraznolikosti. Uredbom (EU) 2021/1119 od relevantnih institucija Unije i država članica zahtijeva se i da osiguravaju neprekinuti napredak u poboljšavanju kapaciteta za prilagodbu, jačanju otpornosti i smanjenju osjetljivosti na klimatske promjene. Zahtijeva se i da države članice uključe pitanja prilagodbe u sva područja politike i da promiču rješenja utemeljena na prirodi</w:t>
      </w:r>
      <w:r w:rsidRPr="00661250">
        <w:rPr>
          <w:rFonts w:eastAsia="Calibri"/>
          <w:szCs w:val="24"/>
          <w:vertAlign w:val="superscript"/>
          <w:lang w:eastAsia="en-US"/>
        </w:rPr>
        <w:footnoteReference w:id="23"/>
      </w:r>
      <w:r w:rsidRPr="00661250">
        <w:t xml:space="preserve"> i prilagodbu utemeljenu na ekosustavu. </w:t>
      </w:r>
    </w:p>
    <w:p w:rsidR="008D1BE3" w:rsidRPr="00661250" w:rsidRDefault="008D1BE3" w:rsidP="00325B91">
      <w:pPr>
        <w:widowControl/>
        <w:suppressAutoHyphens/>
        <w:spacing w:before="120" w:after="120" w:line="360" w:lineRule="auto"/>
        <w:ind w:left="851" w:hanging="851"/>
        <w:rPr>
          <w:rFonts w:eastAsia="Calibri"/>
          <w:szCs w:val="24"/>
        </w:rPr>
      </w:pPr>
      <w:r w:rsidRPr="00661250">
        <w:t>(17)</w:t>
      </w:r>
      <w:r w:rsidRPr="00661250">
        <w:tab/>
        <w:t>U Komunikaciji Komisije o prilagodbi klimatskim promjenama iz 2021.</w:t>
      </w:r>
      <w:r w:rsidRPr="00661250">
        <w:rPr>
          <w:rFonts w:eastAsia="Calibri"/>
          <w:szCs w:val="24"/>
          <w:vertAlign w:val="superscript"/>
          <w:lang w:eastAsia="en-US"/>
        </w:rPr>
        <w:footnoteReference w:id="24"/>
      </w:r>
      <w:r w:rsidRPr="00661250">
        <w:t xml:space="preserve"> naglašava se potreba za promicanjem prirodnih rješenja i prepoznaje se da se troškovno učinkovita prilagodba klimatskim promjenama može postići zaštitom i obnovom močvarnih područja i tresetišta te obalnih i morskih ekosustava, razvojem gradskih zelenih površina i postavljanjem zelenih krovova i zidova te održivim gospodarenjem šumama i poljoprivrednim zemljištem te njihovim promicanjem. Veći broj bioraznolikih ekosustava vodi do veće otpornosti na klimatske promjene i omogućuje djelotvornije oblike smanjivanja i sprečavanja katastrofa.</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(18)</w:t>
      </w:r>
      <w:r w:rsidRPr="00661250">
        <w:tab/>
        <w:t>U tijeku je revizija klimatske politike Unije kako bi slijedila putanju predloženu u Uredbi (EU) 2021/1119 za smanjenje neto emisija do 2030. za najmanje 55 % u odnosu na razine iz 1990. Prijedlogom uredbe Europskog parlamenta i Vijeća o izmjeni uredaba (EU) 2018/841 i (EU) 2018/1999</w:t>
      </w:r>
      <w:r w:rsidRPr="00661250">
        <w:rPr>
          <w:rFonts w:eastAsia="Calibri"/>
          <w:szCs w:val="24"/>
          <w:vertAlign w:val="superscript"/>
          <w:lang w:eastAsia="en-US"/>
        </w:rPr>
        <w:footnoteReference w:id="25"/>
      </w:r>
      <w:r w:rsidRPr="00661250">
        <w:t xml:space="preserve"> nastoji se ojačati doprinos zemljišnog sektora općoj klimatskoj ambiciji za 2030. te se ciljevi u pogledu obračuna emisija i uklanjanja iz sektora korištenja zemljišta, prenamjene zemljišta i šumarstva („LULUCF”) usklađuju s povezanim političkim inicijativama u području bioraznolikosti. Tim se prijedlogom naglašava potreba za zaštitom i poboljšanjem uklanjanja ugljika na temelju prirodnih postupaka, poboljšanjem otpornosti ekosustava na klimatske promjene, obnavljanjem degradiranog zemljišta i ekosustava te ponovnim natapanjem tresetišta. Osim toga, nastoji se poboljšati praćenje i izvješćivanje o emisijama i uklanjanjima stakleničkih plinova na zemljištu koje podliježe zaštiti i obnovi. U tom kontekstu važno je da su ekosustavi u svim kategorijama zemljišta, uključujući šume, travnjake, zemljišta pod usjevima i močvarna zemljišta, u dobrom stanju radi učinkovitog hvatanja i skladištenja ugljika.</w:t>
      </w:r>
    </w:p>
    <w:p w:rsidR="008D1BE3" w:rsidRPr="00661250" w:rsidRDefault="008D1BE3" w:rsidP="00325B91">
      <w:pPr>
        <w:widowControl/>
        <w:suppressAutoHyphens/>
        <w:spacing w:before="120" w:after="120" w:line="360" w:lineRule="auto"/>
        <w:ind w:left="851" w:hanging="851"/>
        <w:rPr>
          <w:rFonts w:eastAsia="Calibri"/>
          <w:szCs w:val="24"/>
        </w:rPr>
      </w:pPr>
      <w:r w:rsidRPr="00661250">
        <w:t>(19)</w:t>
      </w:r>
      <w:r w:rsidRPr="00661250">
        <w:tab/>
        <w:t>Geopolitički događaji dodatno su naglasili potrebu za očuvanjem otpornosti prehrambenih sustava</w:t>
      </w:r>
      <w:r w:rsidRPr="00661250">
        <w:rPr>
          <w:rFonts w:eastAsia="Calibri"/>
          <w:szCs w:val="24"/>
          <w:vertAlign w:val="superscript"/>
          <w:lang w:eastAsia="en-US"/>
        </w:rPr>
        <w:footnoteReference w:id="26"/>
      </w:r>
      <w:r w:rsidRPr="00661250">
        <w:t>.</w:t>
      </w:r>
      <w:r w:rsidRPr="00661250">
        <w:rPr>
          <w:vertAlign w:val="superscript"/>
        </w:rPr>
        <w:t xml:space="preserve"> </w:t>
      </w:r>
      <w:r w:rsidRPr="00661250">
        <w:t>Dokazano je da obnova agroekoloških sustava dugoročno pozitivno utječe na proizvodnju hrane, a obnova prirode osigurava dugoročnu održivost i otpornost EU-a.</w:t>
      </w:r>
    </w:p>
    <w:p w:rsidR="008D1BE3" w:rsidRPr="00661250" w:rsidRDefault="008D1BE3" w:rsidP="00325B91">
      <w:pPr>
        <w:widowControl/>
        <w:suppressAutoHyphens/>
        <w:spacing w:before="120" w:after="120" w:line="360" w:lineRule="auto"/>
        <w:ind w:left="851" w:hanging="851"/>
        <w:rPr>
          <w:rFonts w:eastAsia="Calibri"/>
          <w:szCs w:val="24"/>
          <w:shd w:val="clear" w:color="auto" w:fill="FFFFFF"/>
        </w:rPr>
      </w:pPr>
      <w:r w:rsidRPr="00661250">
        <w:t>(20)</w:t>
      </w:r>
      <w:r w:rsidRPr="00661250">
        <w:tab/>
        <w:t xml:space="preserve">U završnom izvješću s </w:t>
      </w:r>
      <w:r w:rsidRPr="00661250">
        <w:rPr>
          <w:shd w:val="clear" w:color="auto" w:fill="FFFFFF"/>
        </w:rPr>
        <w:t>konferencije o budućnosti Europe</w:t>
      </w:r>
      <w:r w:rsidRPr="00661250">
        <w:t xml:space="preserve"> građani pozivaju Uniju da zaštiti i obnovi bioraznolikost, krajolik i oceane, ukloni onečišćenje te potakne znanje, informiranje, obrazovanje i dijalog o okolišu, klimatskim promjenama, uporabi energije i održivosti</w:t>
      </w:r>
      <w:r w:rsidRPr="00661250">
        <w:rPr>
          <w:rFonts w:eastAsia="Calibri"/>
          <w:szCs w:val="24"/>
          <w:vertAlign w:val="superscript"/>
          <w:lang w:eastAsia="en-US"/>
        </w:rPr>
        <w:footnoteReference w:id="27"/>
      </w:r>
      <w:r w:rsidRPr="00661250">
        <w:rPr>
          <w:shd w:val="clear" w:color="auto" w:fill="FFFFFF"/>
        </w:rPr>
        <w:t>.</w:t>
      </w:r>
    </w:p>
    <w:p w:rsidR="008D1BE3" w:rsidRPr="00661250" w:rsidRDefault="008D1BE3" w:rsidP="00325B91">
      <w:pPr>
        <w:widowControl/>
        <w:suppressAutoHyphens/>
        <w:spacing w:before="120" w:after="120" w:line="360" w:lineRule="auto"/>
        <w:ind w:left="851" w:hanging="851"/>
        <w:rPr>
          <w:rFonts w:eastAsia="Calibri"/>
          <w:szCs w:val="24"/>
          <w:shd w:val="clear" w:color="auto" w:fill="FFFFFF"/>
        </w:rPr>
      </w:pPr>
      <w:r w:rsidRPr="00661250">
        <w:br w:type="page"/>
      </w:r>
    </w:p>
    <w:p w:rsidR="008D1BE3" w:rsidRPr="00661250" w:rsidRDefault="008D1BE3" w:rsidP="00325B91">
      <w:pPr>
        <w:widowControl/>
        <w:suppressAutoHyphens/>
        <w:spacing w:before="120" w:after="120" w:line="360" w:lineRule="auto"/>
        <w:ind w:left="851" w:hanging="851"/>
        <w:rPr>
          <w:rFonts w:eastAsia="Calibri"/>
          <w:szCs w:val="24"/>
        </w:rPr>
      </w:pPr>
      <w:r w:rsidRPr="00661250">
        <w:lastRenderedPageBreak/>
        <w:t>(21)</w:t>
      </w:r>
      <w:r w:rsidRPr="00661250">
        <w:tab/>
        <w:t>Obnova ekosustava, zajedno s naporima uloženima u smanjenje trgovine divljom faunom i florom i njezine potrošnje, pomoći će i u sprečavanju te izgradnji otpornosti na moguće buduće zarazne bolesti sa zoonotskim potencijalom, čime će se smanjiti rizik od izbijanja bolesti i pandemija te pridonijeti nastojanjima EU-a i globalnim nastojanjima u primjeni pristupa „jedno zdravlje”, kojim se prepoznaje suštinska povezanost zdravlja ljudi, zdravlja životinja i zdrave, otporne prirode.</w:t>
      </w:r>
    </w:p>
    <w:p w:rsidR="008D1BE3" w:rsidRPr="00661250" w:rsidRDefault="008D1BE3" w:rsidP="00325B91">
      <w:pPr>
        <w:widowControl/>
        <w:suppressAutoHyphens/>
        <w:spacing w:before="120" w:after="120" w:line="360" w:lineRule="auto"/>
        <w:ind w:left="851" w:hanging="851"/>
        <w:rPr>
          <w:rFonts w:eastAsia="Calibri"/>
          <w:szCs w:val="24"/>
        </w:rPr>
      </w:pPr>
      <w:r w:rsidRPr="00661250">
        <w:t>(22)</w:t>
      </w:r>
      <w:r w:rsidRPr="00661250">
        <w:tab/>
        <w:t>Tla su sastavni dio kopnenih ekosustava. U Komunikaciji Komisije iz 2021. pod nazivom „Strategija EU-a za tlo do 2030.”</w:t>
      </w:r>
      <w:r w:rsidRPr="00661250">
        <w:rPr>
          <w:rFonts w:eastAsia="Calibri"/>
          <w:szCs w:val="24"/>
          <w:vertAlign w:val="superscript"/>
          <w:lang w:eastAsia="en-US"/>
        </w:rPr>
        <w:footnoteReference w:id="28"/>
      </w:r>
      <w:r w:rsidRPr="00661250">
        <w:t xml:space="preserve"> ističe se potreba za obnovom degradiranog tla i povećanjem bioraznolikosti tla.</w:t>
      </w:r>
      <w:r w:rsidRPr="00661250">
        <w:rPr>
          <w:b/>
          <w:i/>
        </w:rPr>
        <w:t xml:space="preserve"> Globalni mehanizam i tajništvo Konvencije Ujedinjenih naroda o suzbijanju dezertifikacije (UNCCD) uspostavili su Program za utvrđivanje cilja neutralnosti degradacije zemljišta kako bi se zemljama pomoglo da postignu neutralnost degradacije zemljišta do 2030.</w:t>
      </w:r>
    </w:p>
    <w:p w:rsidR="008D1BE3" w:rsidRPr="00661250" w:rsidRDefault="008D1BE3" w:rsidP="00325B91">
      <w:pPr>
        <w:widowControl/>
        <w:suppressAutoHyphens/>
        <w:spacing w:before="120" w:after="120" w:line="360" w:lineRule="auto"/>
        <w:ind w:left="851" w:hanging="851"/>
        <w:rPr>
          <w:rFonts w:eastAsia="Calibri"/>
          <w:b/>
          <w:szCs w:val="24"/>
          <w:u w:val="single"/>
        </w:rPr>
      </w:pPr>
      <w:r w:rsidRPr="00661250">
        <w:t>(23)</w:t>
      </w:r>
      <w:r w:rsidRPr="00661250">
        <w:tab/>
        <w:t>Direktivom Vijeća 92/43/EEZ</w:t>
      </w:r>
      <w:r w:rsidRPr="00661250">
        <w:rPr>
          <w:rFonts w:eastAsia="Calibri"/>
          <w:szCs w:val="24"/>
          <w:vertAlign w:val="superscript"/>
          <w:lang w:eastAsia="en-US"/>
        </w:rPr>
        <w:footnoteReference w:id="29"/>
      </w:r>
      <w:r w:rsidRPr="00661250">
        <w:t xml:space="preserve"> i Direktivom 2009/147/EZ Europskog parlamenta i Vijeća</w:t>
      </w:r>
      <w:r w:rsidRPr="00661250">
        <w:rPr>
          <w:rFonts w:eastAsia="Calibri"/>
          <w:szCs w:val="24"/>
          <w:vertAlign w:val="superscript"/>
          <w:lang w:eastAsia="en-US"/>
        </w:rPr>
        <w:footnoteReference w:id="30"/>
      </w:r>
      <w:r w:rsidRPr="00661250">
        <w:t xml:space="preserve"> nastoji se postići dugoročna zaštita, očuvanje i opstanak najvrjednijih i najugroženijih vrsta i staništa u Europi, kao i ekosustava čiji su oni dio. Mreža Natura 2000, koja je uspostavljena 1992. i najveća je koordinirana mreža zaštićenih područja na svijetu, ključan je instrument za provedbu ciljeva tih dviju direktiva. </w:t>
      </w:r>
      <w:r w:rsidRPr="00661250">
        <w:rPr>
          <w:b/>
          <w:i/>
        </w:rPr>
        <w:t>Ova bi se Uredba, kao i te dvije direktive, trebala primjenjivati na europsko državno područje država članica na koje se primjenjuju Ugovori te se time ujedno uskladiti s Direktivom 2008/56/EZ.</w:t>
      </w:r>
    </w:p>
    <w:p w:rsidR="008D1BE3" w:rsidRPr="00661250" w:rsidRDefault="008D1BE3" w:rsidP="00325B91">
      <w:pPr>
        <w:widowControl/>
        <w:suppressAutoHyphens/>
        <w:spacing w:before="120" w:after="120" w:line="360" w:lineRule="auto"/>
        <w:ind w:left="851" w:hanging="851"/>
        <w:rPr>
          <w:szCs w:val="24"/>
        </w:rPr>
      </w:pPr>
      <w:r w:rsidRPr="00661250">
        <w:br w:type="page"/>
      </w:r>
    </w:p>
    <w:p w:rsidR="008D1BE3" w:rsidRPr="00661250" w:rsidRDefault="008D1BE3" w:rsidP="00325B91">
      <w:pPr>
        <w:widowControl/>
        <w:suppressAutoHyphens/>
        <w:spacing w:before="120" w:after="120" w:line="360" w:lineRule="auto"/>
        <w:ind w:left="851" w:hanging="851"/>
        <w:rPr>
          <w:rFonts w:eastAsia="Calibri"/>
          <w:szCs w:val="24"/>
        </w:rPr>
      </w:pPr>
      <w:r w:rsidRPr="00661250">
        <w:lastRenderedPageBreak/>
        <w:t>(24)</w:t>
      </w:r>
      <w:r w:rsidRPr="00661250">
        <w:tab/>
        <w:t>Već postoje okvir i smjernice</w:t>
      </w:r>
      <w:r w:rsidRPr="00661250">
        <w:rPr>
          <w:szCs w:val="24"/>
          <w:vertAlign w:val="superscript"/>
          <w:lang w:eastAsia="en-US"/>
        </w:rPr>
        <w:footnoteReference w:id="31"/>
      </w:r>
      <w:r w:rsidRPr="00661250">
        <w:t xml:space="preserve"> za utvrđivanje dobrog stanja stanišnih tipova zaštićenih na temelju Direktive 92/43/EEZ i za utvrđivanje dostatne kvalitete i količine staništa vrsta koja su obuhvaćena područjem primjene te direktive. Na temelju tog okvira i smjernica mogu se odrediti ciljevi obnove za te stanišne tipove i staništa vrsta. Međutim, takva obnova neće biti dovoljna za preokretanje procesa gubitka bioraznolikosti i oporavak svih ekosustava. Stoga bi trebalo utvrditi dodatne obveze na temelju posebnih pokazatelja kako bi se povećala bioraznolikost na razini širih ekosustava.</w:t>
      </w:r>
    </w:p>
    <w:p w:rsidR="008D1BE3" w:rsidRPr="00661250" w:rsidRDefault="008D1BE3" w:rsidP="00325B91">
      <w:pPr>
        <w:widowControl/>
        <w:suppressAutoHyphens/>
        <w:spacing w:before="120" w:after="120" w:line="360" w:lineRule="auto"/>
        <w:ind w:left="851" w:hanging="851"/>
        <w:rPr>
          <w:szCs w:val="24"/>
        </w:rPr>
      </w:pPr>
      <w:r w:rsidRPr="00661250">
        <w:t>(25)</w:t>
      </w:r>
      <w:r w:rsidRPr="00661250">
        <w:tab/>
        <w:t xml:space="preserve">Nadovezujući se na direktive 92/43/EEZ i 2009/147/EZ i kako bi podržale postizanje ciljeva utvrđenih u tim direktivama, države članice trebale bi uspostaviti mjere obnove kako bi omogućile oporavak zaštićenih staništa i vrsta, uključujući divlje ptice, na svim područjima u Uniji, pa i područjima izvan mreže Natura 2000. </w:t>
      </w:r>
    </w:p>
    <w:p w:rsidR="008D1BE3" w:rsidRPr="00661250" w:rsidRDefault="008D1BE3" w:rsidP="00325B91">
      <w:pPr>
        <w:widowControl/>
        <w:suppressAutoHyphens/>
        <w:spacing w:before="120" w:after="120" w:line="360" w:lineRule="auto"/>
        <w:ind w:left="851" w:hanging="851"/>
        <w:rPr>
          <w:rFonts w:eastAsia="Calibri"/>
          <w:szCs w:val="24"/>
        </w:rPr>
      </w:pPr>
      <w:r w:rsidRPr="00661250">
        <w:t>(26)</w:t>
      </w:r>
      <w:r w:rsidRPr="00661250">
        <w:tab/>
        <w:t>Direktivom 92/43/EEZ nastoje se u povoljno stanje očuvanosti vratiti i u tom stanju održavati prirodna staništa i vrste divlje faune i flore koji su od interesa za Uniju. Međutim, njome se ne utvrđuje rok za postizanje tog cilja. Slično tomu, Direktivom 2009/147/EZ ne utvrđuje se rok za obnovu populacija ptica u Uniji.</w:t>
      </w:r>
    </w:p>
    <w:p w:rsidR="008D1BE3" w:rsidRPr="00661250" w:rsidRDefault="008D1BE3" w:rsidP="00325B91">
      <w:pPr>
        <w:widowControl/>
        <w:suppressAutoHyphens/>
        <w:spacing w:before="120" w:after="120" w:line="360" w:lineRule="auto"/>
        <w:ind w:left="851" w:hanging="851"/>
        <w:rPr>
          <w:rFonts w:eastAsia="Calibri"/>
          <w:szCs w:val="24"/>
        </w:rPr>
      </w:pPr>
      <w:r w:rsidRPr="00661250">
        <w:t>(27)</w:t>
      </w:r>
      <w:r w:rsidRPr="00661250">
        <w:tab/>
        <w:t>Stoga bi trebalo utvrditi rokove za uspostavljanje mjera obnove na područjima mreže Natura 2000 i izvan njih radi postupnog poboljšanja stanja zaštićenih stanišnih tipova u cijeloj Uniji te radi njihove ponovne uspostave dok se ne postigne povoljno referentno područje koje je potrebno za ostvarivanje povoljnog stanja očuvanosti tih stanišnih tipova u Uniji. Kako bi se državama članicama omogućila potrebna fleksibilnost pri provedbi opsežnog rada na obnovi, primjereno je izdvojiti stanišne tipove u skupine prema ekosustavu kojem pripadaju i utvrditi za te skupine stanišnih tipova vremenski ograničene i kvantificirane ciljeve za pojedina područja. To će omogućiti državama članicama da odaberu koja će staništa unutar skupine najprije obnoviti.</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p>
    <w:p w:rsidR="008D1BE3" w:rsidRPr="00661250" w:rsidRDefault="008D1BE3" w:rsidP="00325B91">
      <w:pPr>
        <w:widowControl/>
        <w:suppressAutoHyphens/>
        <w:spacing w:before="120" w:after="120" w:line="360" w:lineRule="auto"/>
        <w:ind w:left="851" w:hanging="851"/>
        <w:rPr>
          <w:rFonts w:eastAsia="Calibri"/>
          <w:szCs w:val="24"/>
        </w:rPr>
      </w:pPr>
      <w:r w:rsidRPr="00661250">
        <w:lastRenderedPageBreak/>
        <w:t>(28)</w:t>
      </w:r>
      <w:r w:rsidRPr="00661250">
        <w:tab/>
        <w:t>Slične zahtjeve trebalo bi utvrditi za staništa vrsta koja su obuhvaćena područjem primjene Direktive 92/43/EEZ i staništa divljih ptica koja su obuhvaćena područjem primjene Direktive 2009/147/EZ, pri čemu posebnu pozornost treba obratiti na povezanost koja je potrebna između tih dvaju staništa kako bi populacije vrsta mogle napredovati.</w:t>
      </w:r>
    </w:p>
    <w:p w:rsidR="008D1BE3" w:rsidRPr="00661250" w:rsidRDefault="008D1BE3" w:rsidP="00325B91">
      <w:pPr>
        <w:widowControl/>
        <w:suppressAutoHyphens/>
        <w:spacing w:before="120" w:after="120" w:line="360" w:lineRule="auto"/>
        <w:ind w:left="851" w:hanging="851"/>
        <w:rPr>
          <w:rFonts w:eastAsia="Calibri"/>
          <w:szCs w:val="24"/>
        </w:rPr>
      </w:pPr>
      <w:r w:rsidRPr="00661250">
        <w:t>(29)</w:t>
      </w:r>
      <w:r w:rsidRPr="00661250">
        <w:tab/>
        <w:t>Nužno je da su mjere obnove za stanišne tipove odgovarajuće i prikladne za što brže postizanje dobrog stanja i povoljnih referentnih područja kako bi se ostvarilo njihovo povoljno stanje očuvanosti. Važno je da su mjere obnove one koje su potrebne za postizanje vremenski ograničenih i kvantificiranih ciljeva za pojedina područja. Nužno je i da su mjere obnove za staništa vrsta odgovarajuće i prikladne za što brže postizanje njihove dostatne kvalitete i količine kako bi se ostvarilo povoljno stanje očuvanosti vrsta.</w:t>
      </w:r>
    </w:p>
    <w:p w:rsidR="008D1BE3" w:rsidRPr="00661250" w:rsidRDefault="008D1BE3" w:rsidP="00325B91">
      <w:pPr>
        <w:widowControl/>
        <w:suppressAutoHyphens/>
        <w:spacing w:before="120" w:after="120" w:line="360" w:lineRule="auto"/>
        <w:ind w:left="851" w:hanging="851"/>
        <w:rPr>
          <w:rFonts w:eastAsia="Calibri"/>
          <w:b/>
          <w:i/>
          <w:szCs w:val="24"/>
        </w:rPr>
      </w:pPr>
      <w:bookmarkStart w:id="9" w:name="_Hlk136798909"/>
      <w:r w:rsidRPr="00661250">
        <w:rPr>
          <w:b/>
          <w:i/>
        </w:rPr>
        <w:t>(29.a)</w:t>
      </w:r>
      <w:r w:rsidRPr="00661250">
        <w:rPr>
          <w:b/>
          <w:i/>
        </w:rPr>
        <w:tab/>
        <w:t>Mjere obnove na temelju ove Uredbe radi obnove ili održavanja određenih stanišnih tipova navedenih u Prilogu I., kao što su travnjaci, vrištine ili močvarni stanišni tipovi, u određenim slučajevima mogu zahtijevati uklanjanje šuma kako bi se ponovno uspostavilo upravljanje utemeljeno na očuvanju, što može uključivati aktivnosti kao što su košnja ili ispaša. Obnova prirode i zaustavljanje deforestacije važni su okolišni ciljevi koji se međusobno osnažuju. Komisija će izraditi smjernice, kako je navedeno u uvodnoj izjavi 36. Uredbe Europskog parlamenta i Vijeća (EU) br. [XXXX/2023] o stavljanju na raspolaganje na tržištu Unije i izvozu iz Unije određene robe i proizvoda povezanih s deforestacijom i degradacijom šuma te o stavljanju izvan snage Uredbe (EU) br. 995/2010, kako bi se pojasnilo tumačenje definicije „upotrebe u poljoprivredne svrhe” iz članka 2. te uredbe, posebno u pogledu prenamjene šuma u zemljište čija svrha nije poljoprivredna.</w:t>
      </w:r>
    </w:p>
    <w:bookmarkEnd w:id="9"/>
    <w:p w:rsidR="008D1BE3" w:rsidRPr="00661250" w:rsidRDefault="008D1BE3" w:rsidP="00325B91">
      <w:pPr>
        <w:widowControl/>
        <w:suppressAutoHyphens/>
        <w:spacing w:before="120" w:after="120" w:line="360" w:lineRule="auto"/>
        <w:ind w:left="851" w:hanging="851"/>
        <w:rPr>
          <w:rFonts w:eastAsia="Calibri"/>
          <w:szCs w:val="24"/>
        </w:rPr>
      </w:pPr>
      <w:r w:rsidRPr="00661250">
        <w:t>(30)</w:t>
      </w:r>
      <w:r w:rsidRPr="00661250">
        <w:tab/>
        <w:t>Važno je osigurati da mjere obnove uspostavljene na temelju ove Uredbe dovedu do konkretnog i mjerljivog poboljšanja stanja ekosustavâ na razini pojedinačnih područja koja podliježu obnovi, kao i na nacionalnoj razini i razini Unije.</w:t>
      </w:r>
    </w:p>
    <w:p w:rsidR="008D1BE3" w:rsidRPr="00661250" w:rsidRDefault="008D1BE3" w:rsidP="00325B91">
      <w:pPr>
        <w:widowControl/>
        <w:suppressAutoHyphens/>
        <w:spacing w:before="120" w:after="120" w:line="360" w:lineRule="auto"/>
        <w:ind w:left="851" w:hanging="851"/>
        <w:rPr>
          <w:szCs w:val="24"/>
        </w:rPr>
      </w:pPr>
      <w:r w:rsidRPr="00661250">
        <w:br w:type="page"/>
      </w:r>
    </w:p>
    <w:p w:rsidR="008D1BE3" w:rsidRPr="00661250" w:rsidRDefault="008D1BE3" w:rsidP="00325B91">
      <w:pPr>
        <w:widowControl/>
        <w:suppressAutoHyphens/>
        <w:spacing w:before="120" w:after="120" w:line="360" w:lineRule="auto"/>
        <w:ind w:left="851" w:hanging="851"/>
        <w:rPr>
          <w:szCs w:val="24"/>
        </w:rPr>
      </w:pPr>
      <w:r w:rsidRPr="00661250">
        <w:lastRenderedPageBreak/>
        <w:t>(31)</w:t>
      </w:r>
      <w:r w:rsidRPr="00661250">
        <w:tab/>
        <w:t>Kako bi mjere obnove bile učinkovite i kako bi se njihovi rezultati mogli mjeriti tijekom vremena, ključno je da područja koja podliježu takvim mjerama obnove usmjerenima na poboljšanje stanja staništa koja su obuhvaćena područjem primjene Priloga I. Direktivi 92/43/EEZ, ponovnu uspostavu tih staništa i poboljšanje njihove povezanosti pokazuju stalno poboljšanje dok se ne postigne dobro stanje.</w:t>
      </w:r>
    </w:p>
    <w:p w:rsidR="008D1BE3" w:rsidRPr="00661250" w:rsidRDefault="008D1BE3" w:rsidP="00325B91">
      <w:pPr>
        <w:widowControl/>
        <w:suppressAutoHyphens/>
        <w:spacing w:before="120" w:after="120" w:line="360" w:lineRule="auto"/>
        <w:ind w:left="851" w:hanging="851"/>
        <w:rPr>
          <w:szCs w:val="24"/>
        </w:rPr>
      </w:pPr>
      <w:r w:rsidRPr="00661250">
        <w:t>(32)</w:t>
      </w:r>
      <w:r w:rsidRPr="00661250">
        <w:tab/>
        <w:t>Ključno je i da područja koja podliježu mjerama obnove usmjerenima na poboljšanje kvalitete i količine staništa vrsta koja su obuhvaćena područjem primjene Direktive 92/43/EEZ i staništa divljih ptica koja su obuhvaćena područjem primjene Direktive 2009/147/EZ pokazuju stalno poboljšanje kako bi se doprinijelo postizanju dostatne količine i kvalitete staništa tih vrsta.</w:t>
      </w:r>
    </w:p>
    <w:p w:rsidR="008D1BE3" w:rsidRPr="00661250" w:rsidRDefault="008D1BE3" w:rsidP="00325B91">
      <w:pPr>
        <w:widowControl/>
        <w:suppressAutoHyphens/>
        <w:spacing w:before="120" w:after="120" w:line="360" w:lineRule="auto"/>
        <w:ind w:left="851" w:hanging="851"/>
        <w:rPr>
          <w:rFonts w:eastAsia="Calibri"/>
          <w:b/>
          <w:szCs w:val="24"/>
          <w:u w:val="single"/>
        </w:rPr>
      </w:pPr>
      <w:r w:rsidRPr="00661250">
        <w:t>(33)</w:t>
      </w:r>
      <w:r w:rsidRPr="00661250">
        <w:tab/>
        <w:t>Važno je osigurati postupno povećanje područja u dobrom stanju koja su pokrivena stanišnim tipovima obuhvaćenima područjem primjene Direktive 92/43/EEZ na cijelom području država članica i Unije dok se ne postigne povoljno referentno područje za svaki stanišni tip i dok najmanje 90 % tog područja na razini država članica ne bude u dobrom stanju kako bi se omogućilo ostvarivanje povoljnog stanja očuvanosti tih stanišnih tipova u Uniji.</w:t>
      </w:r>
    </w:p>
    <w:p w:rsidR="008D1BE3" w:rsidRPr="00661250" w:rsidRDefault="008D1BE3" w:rsidP="00325B91">
      <w:pPr>
        <w:widowControl/>
        <w:suppressAutoHyphens/>
        <w:spacing w:before="120" w:after="120" w:line="360" w:lineRule="auto"/>
        <w:ind w:left="851" w:hanging="851"/>
        <w:rPr>
          <w:szCs w:val="24"/>
        </w:rPr>
      </w:pPr>
      <w:r w:rsidRPr="00661250">
        <w:t>(34)</w:t>
      </w:r>
      <w:r w:rsidRPr="00661250">
        <w:tab/>
        <w:t>Važno je osigurati postupno povećanje kvalitete i količine staništa vrsta koja su obuhvaćena područjem primjene Direktive 92/43/EEZ i staništa divljih ptica koja su obuhvaćena područjem primjene Direktive 2009/147/EZ na cijelom području država članica i Unije dok se ne povećaju dovoljno da osiguravaju dugoročni opstanak tih vrsta.</w:t>
      </w:r>
    </w:p>
    <w:p w:rsidR="008D1BE3" w:rsidRPr="00661250" w:rsidRDefault="008D1BE3" w:rsidP="00325B91">
      <w:pPr>
        <w:widowControl/>
        <w:suppressAutoHyphens/>
        <w:spacing w:before="120" w:after="120" w:line="360" w:lineRule="auto"/>
        <w:ind w:left="851" w:hanging="851"/>
        <w:rPr>
          <w:szCs w:val="24"/>
        </w:rPr>
      </w:pPr>
      <w:r w:rsidRPr="00661250">
        <w:br w:type="page"/>
      </w:r>
      <w:r w:rsidRPr="00661250">
        <w:lastRenderedPageBreak/>
        <w:t>(35)</w:t>
      </w:r>
      <w:r w:rsidRPr="00661250">
        <w:tab/>
        <w:t>Važno je da se stanje</w:t>
      </w:r>
      <w:r w:rsidRPr="00661250">
        <w:rPr>
          <w:rFonts w:ascii="Arial" w:hAnsi="Arial"/>
          <w:snapToGrid w:val="0"/>
        </w:rPr>
        <w:t>▌</w:t>
      </w:r>
      <w:r w:rsidRPr="00661250">
        <w:t xml:space="preserve">područja koja su pokrivena stanišnim tipovima obuhvaćenima područjem primjene ove Uredbe </w:t>
      </w:r>
      <w:r w:rsidRPr="00661250">
        <w:rPr>
          <w:b/>
          <w:i/>
        </w:rPr>
        <w:t>na koja se primjenjuju mjere obnove stalno poboljšava dok se ne postigne dobro stanje te da se nakon toga znatno ne pogorša kako se ne bi ugrozilo dugoročno održavanje ili postizanje dobrog stanja</w:t>
      </w:r>
      <w:r w:rsidRPr="00661250">
        <w:t>.</w:t>
      </w:r>
      <w:r w:rsidRPr="00661250">
        <w:rPr>
          <w:b/>
          <w:i/>
        </w:rPr>
        <w:t xml:space="preserve"> Važno je i da države članice nastoje ulagati napore u sprečavanje znatnog pogoršanja područja koja su pokrivena takvim stanišnim tipovima koja su već u dobrom stanju ili nisu u dobrom stanju i još ne podliježu mjerama obnove. Takve su mjere važne kako bi se izbjeglo povećanje</w:t>
      </w:r>
      <w:r w:rsidRPr="00661250">
        <w:t xml:space="preserve"> potreba za obnovom u budućnosti </w:t>
      </w:r>
      <w:r w:rsidRPr="00661250">
        <w:rPr>
          <w:b/>
          <w:i/>
        </w:rPr>
        <w:t>i trebale bi biti usmjerene na područja stanišnih tipova, kako su ih utvrdile države članice u svojim nacionalnim planovima obnove, koje treba obnoviti kako bi se postigli ciljevi obnove.</w:t>
      </w:r>
      <w:r w:rsidRPr="00661250">
        <w:t xml:space="preserve"> </w:t>
      </w:r>
      <w:r w:rsidRPr="00661250">
        <w:rPr>
          <w:rFonts w:ascii="Arial" w:hAnsi="Arial"/>
          <w:snapToGrid w:val="0"/>
        </w:rPr>
        <w:t>▌</w:t>
      </w:r>
      <w:r w:rsidRPr="00661250">
        <w:t>Primjereno je razmotriti mogućnost više sile</w:t>
      </w:r>
      <w:r w:rsidRPr="00661250">
        <w:rPr>
          <w:b/>
          <w:i/>
        </w:rPr>
        <w:t>, kao što su prirodne katastrofe</w:t>
      </w:r>
      <w:r w:rsidRPr="00661250">
        <w:t>, koja može dovesti do pogoršanja stanja na područjima pokrivenima tim stanišnim tipovima, kao i neizbježnih preobrazbi staništa koje su izravno uzrokovane klimatskim promjenama.</w:t>
      </w:r>
      <w:r w:rsidRPr="00661250">
        <w:rPr>
          <w:b/>
          <w:i/>
        </w:rPr>
        <w:t xml:space="preserve"> Izvan područja mreže Natura 2000 primjereno je razmotriti i</w:t>
      </w:r>
      <w:r w:rsidRPr="00661250">
        <w:t xml:space="preserve"> rezultat plana ili projekta od prevladavajućeg javnog interesa za koji nisu dostupna manje štetna alternativna rješenja.</w:t>
      </w:r>
      <w:r w:rsidRPr="00661250">
        <w:rPr>
          <w:i/>
        </w:rPr>
        <w:t xml:space="preserve"> </w:t>
      </w:r>
      <w:r w:rsidRPr="00661250">
        <w:rPr>
          <w:b/>
          <w:i/>
        </w:rPr>
        <w:t>Za područja koja podliježu obnovi to bi trebalo</w:t>
      </w:r>
      <w:r w:rsidRPr="00661250">
        <w:t xml:space="preserve"> utvrditi u svakom pojedinom slučaju.</w:t>
      </w:r>
      <w:r w:rsidRPr="00661250">
        <w:rPr>
          <w:b/>
          <w:i/>
        </w:rPr>
        <w:t xml:space="preserve"> Za područja mreže Natura 2000, planovi i projekti</w:t>
      </w:r>
      <w:r w:rsidRPr="00661250">
        <w:t xml:space="preserve"> odobreni su u skladu s člankom 6. stavkom 4. Direktive 92/43/EEZ.</w:t>
      </w:r>
      <w:r w:rsidRPr="00661250">
        <w:rPr>
          <w:b/>
          <w:i/>
        </w:rPr>
        <w:t xml:space="preserve"> </w:t>
      </w:r>
      <w:bookmarkStart w:id="10" w:name="_Hlk129720012"/>
      <w:r w:rsidRPr="00661250">
        <w:rPr>
          <w:b/>
          <w:i/>
        </w:rPr>
        <w:t>Ako se područje preoblikuje iz jednog stanišnog tipa u drugi koji je obuhvaćen područjem primjene ove Uredbe kao željeni rezultat mjere obnove, ne bi trebalo smatrati da se stanje tog područja pogoršava.</w:t>
      </w:r>
    </w:p>
    <w:p w:rsidR="008D1BE3" w:rsidRPr="00661250" w:rsidRDefault="008D1BE3" w:rsidP="00325B91">
      <w:pPr>
        <w:widowControl/>
        <w:suppressAutoHyphens/>
        <w:spacing w:before="120" w:after="120" w:line="360" w:lineRule="auto"/>
        <w:ind w:left="851" w:hanging="851"/>
        <w:rPr>
          <w:rFonts w:eastAsia="Calibri"/>
          <w:i/>
          <w:szCs w:val="22"/>
        </w:rPr>
      </w:pPr>
      <w:bookmarkStart w:id="11" w:name="_Hlk136602132"/>
      <w:bookmarkStart w:id="12" w:name="_Hlk136878792"/>
      <w:bookmarkEnd w:id="10"/>
      <w:r w:rsidRPr="00661250">
        <w:br w:type="page"/>
      </w:r>
      <w:r w:rsidRPr="00661250">
        <w:rPr>
          <w:b/>
          <w:i/>
        </w:rPr>
        <w:lastRenderedPageBreak/>
        <w:t>(35.a)</w:t>
      </w:r>
      <w:r w:rsidRPr="00661250">
        <w:rPr>
          <w:b/>
          <w:i/>
        </w:rPr>
        <w:tab/>
        <w:t xml:space="preserve">Za potrebe odstupanja od obveza stalnog poboljšanja stanja i sprečavanja </w:t>
      </w:r>
      <w:bookmarkStart w:id="13" w:name="_Hlk136854307"/>
      <w:r w:rsidRPr="00661250">
        <w:rPr>
          <w:b/>
          <w:i/>
        </w:rPr>
        <w:t>pogoršanja stanja izvan područja mreže Natura 2000</w:t>
      </w:r>
      <w:bookmarkEnd w:id="13"/>
      <w:r w:rsidRPr="00661250">
        <w:rPr>
          <w:b/>
          <w:i/>
        </w:rPr>
        <w:t xml:space="preserve"> predviđenih u ovoj Uredbi, države članice trebale bi pretpostavljati da su postrojenja za proizvodnju energije iz obnovljivih izvora, njihovo priključenje na mrežu, sama ta mreža i sredstva za skladištenje od prevladavajućeg javnog interesa. Države članice mogu odlučiti ograničiti primjenu te pretpostavke u opravdanim i posebnim okolnostima, kao što su razlozi povezani s nacionalnom obranom. </w:t>
      </w:r>
      <w:bookmarkStart w:id="14" w:name="_Hlk137545403"/>
      <w:r w:rsidRPr="00661250">
        <w:rPr>
          <w:b/>
          <w:i/>
        </w:rPr>
        <w:t xml:space="preserve">Osim toga, države članice mogu </w:t>
      </w:r>
      <w:bookmarkStart w:id="15" w:name="_Hlk136525305"/>
      <w:r w:rsidRPr="00661250">
        <w:rPr>
          <w:b/>
          <w:i/>
        </w:rPr>
        <w:t>izuzeti te projekte od obveze dokazivanja da za potrebe primjene tih odstupanja nisu dostupna manje štetna alternativna rješenja, pod uvjetom da su ti projekti</w:t>
      </w:r>
      <w:bookmarkEnd w:id="15"/>
      <w:r w:rsidRPr="00661250">
        <w:rPr>
          <w:b/>
          <w:i/>
        </w:rPr>
        <w:t xml:space="preserve"> podvrgnuti strateškoj procjeni utjecaja na okoliš ili procjeni utjecaja na okoliš. </w:t>
      </w:r>
      <w:bookmarkEnd w:id="14"/>
      <w:r w:rsidRPr="00661250">
        <w:rPr>
          <w:b/>
          <w:i/>
        </w:rPr>
        <w:t>Smatranjem tih postrojenja postrojenjima od prevladavajućeg javnog interesa i, prema potrebi, ograničavanjem zahtjeva za procjenu manje štetnih alternativnih rješenja omogućilo bi se da takvi projekti imaju koristi od pojednostavnjene procjene u pogledu odstupanja od procjene prevladavajućeg javnog interesa na temelju ove Uredbe.</w:t>
      </w:r>
      <w:bookmarkEnd w:id="11"/>
    </w:p>
    <w:p w:rsidR="008D1BE3" w:rsidRPr="00661250" w:rsidRDefault="008D1BE3" w:rsidP="00325B91">
      <w:pPr>
        <w:widowControl/>
        <w:suppressAutoHyphens/>
        <w:spacing w:before="120" w:after="120" w:line="360" w:lineRule="auto"/>
        <w:ind w:left="851" w:hanging="851"/>
        <w:rPr>
          <w:rFonts w:eastAsia="Calibri"/>
          <w:b/>
          <w:bCs/>
          <w:i/>
          <w:szCs w:val="22"/>
        </w:rPr>
      </w:pPr>
      <w:r w:rsidRPr="00661250">
        <w:rPr>
          <w:b/>
          <w:i/>
        </w:rPr>
        <w:t xml:space="preserve">(35.b) Aktivnostima čija je isključiva svrha obrana ili nacionalna sigurnost trebalo bi dati najveći prioritet. Stoga države članice pri uspostavi mjera obnove mogu izuzeti područja koja se koriste za aktivnosti čija je isključiva svrha nacionalna obrana ako se smatra da su te mjere neuskladive s daljnjim korištenjem navedenih područja u vojne svrhe. </w:t>
      </w:r>
      <w:r w:rsidRPr="00661250">
        <w:rPr>
          <w:b/>
          <w:bCs/>
          <w:i/>
        </w:rPr>
        <w:t>Osim za potrebe primjene odredaba o odstupanjima od obveza stalnog poboljšanja stanja i sprečavanja pogoršanja stanja izvan područja mreže Natura 2000 predviđenih u ovoj Uredbi, državama članicama trebalo bi dopustiti da pretpostavljaju da su planovi i projekti koji se odnose na takve aktivnosti od prevladavajućeg javnog interesa.</w:t>
      </w:r>
      <w:r w:rsidRPr="00661250">
        <w:rPr>
          <w:b/>
          <w:i/>
        </w:rPr>
        <w:t xml:space="preserve"> Države članice ujedno mogu izuzeti te projekte od obveze dokazivanja da nisu dostupna manje štetna alternativna rješenja, ali bi trebale uvesti mjere, koliko je to razumno i izvedivo, kojima se nastoji ublažiti utjecaj na stanišne tipove na područjima na kojima primijene to izuzeće.</w:t>
      </w:r>
    </w:p>
    <w:bookmarkEnd w:id="12"/>
    <w:p w:rsidR="008D1BE3" w:rsidRPr="00661250" w:rsidRDefault="008D1BE3" w:rsidP="00325B91">
      <w:pPr>
        <w:widowControl/>
        <w:suppressAutoHyphens/>
        <w:spacing w:before="120" w:after="120" w:line="360" w:lineRule="auto"/>
        <w:ind w:left="851" w:hanging="851"/>
        <w:rPr>
          <w:rFonts w:eastAsia="Calibri"/>
          <w:szCs w:val="24"/>
        </w:rPr>
      </w:pPr>
      <w:r w:rsidRPr="00661250">
        <w:t>(36)</w:t>
      </w:r>
      <w:r w:rsidRPr="00661250">
        <w:tab/>
        <w:t>Strategijom EU-a za bioraznolikost do 2030. naglašava se potreba za strožim mjerama kako bi se obnovili narušeni morski ekosustavi, uključujući ekosustave bogate ugljikom te važna mrijestilišta i uzgajališta. Strategijom se najavljuje i da će Komisija predložiti novi akcijski plan za očuvanje ribolovnih resursa i zaštitu morskih ekosustava.</w:t>
      </w:r>
    </w:p>
    <w:p w:rsidR="008D1BE3" w:rsidRPr="00661250" w:rsidRDefault="008D1BE3" w:rsidP="00325B91">
      <w:pPr>
        <w:widowControl/>
        <w:suppressAutoHyphens/>
        <w:spacing w:before="120" w:after="120" w:line="360" w:lineRule="auto"/>
        <w:ind w:left="851" w:hanging="851"/>
        <w:rPr>
          <w:b/>
          <w:szCs w:val="24"/>
          <w:u w:val="single"/>
        </w:rPr>
      </w:pPr>
      <w:r w:rsidRPr="00661250">
        <w:br w:type="page"/>
      </w:r>
      <w:r w:rsidRPr="00661250">
        <w:lastRenderedPageBreak/>
        <w:t>(37)</w:t>
      </w:r>
      <w:r w:rsidRPr="00661250">
        <w:tab/>
        <w:t>Morski stanišni tipovi navedeni u Prilogu I. Direktivi 92/43/EEZ široko su definirani i uključuju mnogo ekološki različitih podtipova s različitim potencijalom obnove, što državama članicama otežava uspostavu odgovarajućih mjera obnove na razini tih stanišnih tipova. Stoga bi morske stanišne tipove trebalo dodatno odrediti primjenom relevantnih razina klasifikacije morskih staništa prema europskom informacijskom sustavu o prirodi (EUNIS). Države članice trebale bi uspostaviti povoljna referentna područja za ostvarivanje povoljnog stanja očuvanosti svakog od tih stanišnih tipova ako ta referentna područja već nisu obuhvaćena nekim drugim propisom Unije.</w:t>
      </w:r>
      <w:r w:rsidRPr="00661250">
        <w:rPr>
          <w:b/>
          <w:i/>
        </w:rPr>
        <w:t xml:space="preserve"> </w:t>
      </w:r>
      <w:bookmarkStart w:id="16" w:name="_Hlk132553514"/>
      <w:r w:rsidRPr="00661250">
        <w:rPr>
          <w:b/>
          <w:i/>
        </w:rPr>
        <w:t>Skupina stanišnih tipova morskih mekih sedimenata, koja odgovara nekima od širokih bentoskih stanišnih tipova navedenih u Direktivi 2008/56/EZ, široko je zastupljena u morskim vodama nekoliko država članica. Stoga bi državama članicama trebalo dopustiti da mjere obnove, koje se postupno uspostavljaju, ograniče na manji dio površine tih stanišnih tipova koji nisu u dobrom stanju, pod uvjetom da to ne sprečava postizanje ili održavanje dobrog stanja okoliša, kako je utvrđeno na temelju članka 9. stavka 1. Direktive 2008/56/EZ, osobito uzimajući u obzir granične vrijednosti za deskriptore 1. i 6., utvrđene u skladu s člankom 9. stavkom 3. te direktive, opseg gubitka tih stanišnih tipova, negativne učinke na stanje tih stanišnih tipova i najveći dopušteni opseg tih štetnih utjecaja.</w:t>
      </w:r>
    </w:p>
    <w:bookmarkEnd w:id="16"/>
    <w:p w:rsidR="008D1BE3" w:rsidRPr="00661250" w:rsidRDefault="008D1BE3" w:rsidP="00325B91">
      <w:pPr>
        <w:widowControl/>
        <w:suppressAutoHyphens/>
        <w:spacing w:before="120" w:after="120" w:line="360" w:lineRule="auto"/>
        <w:ind w:left="851" w:hanging="851"/>
        <w:rPr>
          <w:rFonts w:eastAsia="Calibri"/>
          <w:color w:val="000000"/>
          <w:szCs w:val="24"/>
          <w:shd w:val="clear" w:color="auto" w:fill="FFFFFF"/>
        </w:rPr>
      </w:pPr>
      <w:r w:rsidRPr="00661250">
        <w:br w:type="page"/>
      </w:r>
      <w:r w:rsidRPr="00661250">
        <w:lastRenderedPageBreak/>
        <w:t>(38)</w:t>
      </w:r>
      <w:r w:rsidRPr="00661250">
        <w:tab/>
        <w:t>Ako je za zaštitu obalnih i morskih staništa potrebno regulirati aktivnosti ribarstva i akvakulture, primjenjuje se zajednička ribarstvena politika. Uredbom (EU) br. 1380/2013 Europskog parlamenta i Vijeća</w:t>
      </w:r>
      <w:r w:rsidRPr="00661250">
        <w:rPr>
          <w:rFonts w:eastAsia="Calibri"/>
          <w:szCs w:val="24"/>
          <w:vertAlign w:val="superscript"/>
          <w:lang w:eastAsia="en-US"/>
        </w:rPr>
        <w:footnoteReference w:id="32"/>
      </w:r>
      <w:r w:rsidRPr="00661250">
        <w:t xml:space="preserve"> osobito se predviđa da se u okviru zajedničke ribarstvene politike treba </w:t>
      </w:r>
      <w:r w:rsidRPr="00661250">
        <w:rPr>
          <w:color w:val="000000"/>
          <w:shd w:val="clear" w:color="auto" w:fill="FFFFFF"/>
        </w:rPr>
        <w:t>provoditi pristup upravljanja ribarstvom utemeljen na ekosustavu kako bi se osiguralo da negativni učinci ribolovnih aktivnosti na morski ekosustav budu što manji. Tom se uredbom propisuje i da u okviru te politike treba nastojati da se aktivnostima akvakulture i ribarstva izbjegava degradacija morskog okoliša.</w:t>
      </w:r>
    </w:p>
    <w:p w:rsidR="008D1BE3" w:rsidRPr="00661250" w:rsidRDefault="008D1BE3" w:rsidP="00325B91">
      <w:pPr>
        <w:widowControl/>
        <w:suppressAutoHyphens/>
        <w:spacing w:before="120" w:after="120" w:line="360" w:lineRule="auto"/>
        <w:ind w:left="851" w:hanging="851"/>
        <w:rPr>
          <w:rFonts w:eastAsia="Calibri"/>
          <w:szCs w:val="24"/>
        </w:rPr>
      </w:pPr>
      <w:r w:rsidRPr="00661250">
        <w:t>(39)</w:t>
      </w:r>
      <w:r w:rsidRPr="00661250">
        <w:tab/>
      </w:r>
      <w:r w:rsidRPr="00661250">
        <w:rPr>
          <w:shd w:val="clear" w:color="auto" w:fill="FFFFFF"/>
        </w:rPr>
        <w:t>Kako bi se postigao cilj neprekidnog, dugoročnog i održivog oporavka bioraznolike i otporne prirode, države članice trebale bi u potpunosti iskoristiti mogućnosti pružene u okviru zajedničke ribarstvene politike. U okviru isključive nadležnosti Unije kad je riječ o očuvanju morskih bioloških resursa države članice mogu poduzeti nediskriminirajuće mjere za upravljanje ribljim stokovima i njihovo očuvanje te održavanje ili poboljšanje stanja očuvanosti morskih ekosustava unutar 12 nautičkih milja. Osim toga, države članice koje imaju izravan upravljački interes mogu se dogovoriti da podnesu zajedničke preporuke za mjere očuvanja potrebne za ispunjavanje obveza koje proizlaze iz prava Unije u području okoliša. Te će se mjere ocijeniti i donijeti u skladu s pravilima i postupcima propisanima zajedničkom ribarstvenom politikom.</w:t>
      </w:r>
    </w:p>
    <w:p w:rsidR="008D1BE3" w:rsidRPr="00661250" w:rsidRDefault="008D1BE3" w:rsidP="00325B91">
      <w:pPr>
        <w:widowControl/>
        <w:suppressAutoHyphens/>
        <w:spacing w:before="120" w:after="120" w:line="360" w:lineRule="auto"/>
        <w:ind w:left="851" w:hanging="851"/>
        <w:rPr>
          <w:rFonts w:eastAsia="Calibri"/>
          <w:szCs w:val="24"/>
        </w:rPr>
      </w:pPr>
      <w:r w:rsidRPr="00661250">
        <w:t>(40)</w:t>
      </w:r>
      <w:r w:rsidRPr="00661250">
        <w:tab/>
        <w:t>Direktivom 2008/56/EZ zahtijeva se od država članica da surađuju bilateralno i u okviru regionalnih i podregionalnih mehanizama suradnje, uključujući regionalne konvencije o moru</w:t>
      </w:r>
      <w:r w:rsidRPr="00661250">
        <w:rPr>
          <w:szCs w:val="24"/>
          <w:vertAlign w:val="superscript"/>
          <w:lang w:eastAsia="en-US"/>
        </w:rPr>
        <w:footnoteReference w:id="33"/>
      </w:r>
      <w:r w:rsidRPr="00661250">
        <w:t>, te preko regionalnih skupina osnovanih u okviru zajedničke ribarstvene politike kad je riječ o mjerama u području ribarstva.</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p>
    <w:p w:rsidR="008D1BE3" w:rsidRPr="00661250" w:rsidRDefault="008D1BE3" w:rsidP="00325B91">
      <w:pPr>
        <w:widowControl/>
        <w:suppressAutoHyphens/>
        <w:spacing w:before="120" w:after="120" w:line="360" w:lineRule="auto"/>
        <w:ind w:left="851" w:hanging="851"/>
        <w:rPr>
          <w:rFonts w:eastAsia="Calibri"/>
          <w:szCs w:val="24"/>
        </w:rPr>
      </w:pPr>
      <w:r w:rsidRPr="00661250">
        <w:lastRenderedPageBreak/>
        <w:t>(41)</w:t>
      </w:r>
      <w:r w:rsidRPr="00661250">
        <w:tab/>
        <w:t xml:space="preserve">Važno je da se uspostave i mjere obnove za staništa određenih morskih vrsta, kao što su morski psi i raže, koja su </w:t>
      </w:r>
      <w:r w:rsidRPr="00661250">
        <w:rPr>
          <w:b/>
          <w:i/>
        </w:rPr>
        <w:t>primjerice</w:t>
      </w:r>
      <w:r w:rsidRPr="00661250">
        <w:t xml:space="preserve"> obuhvaćena područjem primjene Konvencije o zaštiti migratornih vrsta divljih životinja </w:t>
      </w:r>
      <w:r w:rsidRPr="00661250">
        <w:rPr>
          <w:b/>
          <w:i/>
        </w:rPr>
        <w:t>ili popisa ugroženih i pogođenih vrsta europskih regionalnih konvencija o moru</w:t>
      </w:r>
      <w:r w:rsidRPr="00661250">
        <w:t>, ali su izvan područja primjene Direktive 92/43/EEZ, jer ona imaju važnu funkciju u ekosustavu.</w:t>
      </w:r>
    </w:p>
    <w:p w:rsidR="008D1BE3" w:rsidRPr="00661250" w:rsidRDefault="008D1BE3" w:rsidP="00325B91">
      <w:pPr>
        <w:widowControl/>
        <w:suppressAutoHyphens/>
        <w:spacing w:before="120" w:after="120" w:line="360" w:lineRule="auto"/>
        <w:ind w:left="851" w:hanging="851"/>
        <w:rPr>
          <w:rFonts w:eastAsia="Calibri"/>
          <w:szCs w:val="24"/>
        </w:rPr>
      </w:pPr>
      <w:r w:rsidRPr="00661250">
        <w:t>(42)</w:t>
      </w:r>
      <w:r w:rsidRPr="00661250">
        <w:tab/>
        <w:t>Kao pomoć u obnovi i sprečavanju pogoršanja stanja kopnenih, slatkovodnih, obalnih i morskih staništa države članice imaju mogućnost odrediti dodatna područja kao „zaštićena područja” ili „strogo zaštićena područja”, provesti druge djelotvorne mjere očuvanja za pojedina područja i promicati mjere očuvanja privatnog zemljišta.</w:t>
      </w:r>
    </w:p>
    <w:p w:rsidR="008D1BE3" w:rsidRPr="00661250" w:rsidRDefault="008D1BE3" w:rsidP="00325B91">
      <w:pPr>
        <w:widowControl/>
        <w:suppressAutoHyphens/>
        <w:spacing w:before="120" w:after="120" w:line="360" w:lineRule="auto"/>
        <w:ind w:left="851" w:hanging="851"/>
        <w:rPr>
          <w:rFonts w:eastAsia="Calibri"/>
          <w:b/>
          <w:i/>
          <w:szCs w:val="24"/>
        </w:rPr>
      </w:pPr>
      <w:bookmarkStart w:id="17" w:name="_Hlk128428834"/>
      <w:r w:rsidRPr="00661250">
        <w:t>(43)</w:t>
      </w:r>
      <w:r w:rsidRPr="00661250">
        <w:tab/>
        <w:t>Urbani ekosustavi čine otprilike 22 % kopnene površine u Uniji i na tom području živi većina građana Unije. Gradske zelene površine uključuju</w:t>
      </w:r>
      <w:r w:rsidRPr="00661250">
        <w:rPr>
          <w:b/>
          <w:i/>
        </w:rPr>
        <w:t>, među ostalim,</w:t>
      </w:r>
      <w:r w:rsidRPr="00661250">
        <w:t xml:space="preserve"> gradske šume, parkove i vrtove, urbane farme, drvorede uz ceste, gradske livade i gradske živice.</w:t>
      </w:r>
      <w:r w:rsidRPr="00661250">
        <w:rPr>
          <w:b/>
          <w:i/>
        </w:rPr>
        <w:t xml:space="preserve"> Kao i drugi ekosustavi obuhvaćeni ovom Uredbom, urbani ekosustavi</w:t>
      </w:r>
      <w:r w:rsidRPr="00661250">
        <w:t xml:space="preserve"> važna su staništa za bioraznolikost, posebno biljaka, ptica i kukaca, uključujući oprašivače. Izvor su i </w:t>
      </w:r>
      <w:r w:rsidRPr="00661250">
        <w:rPr>
          <w:b/>
          <w:i/>
        </w:rPr>
        <w:t>mnogih drugih</w:t>
      </w:r>
      <w:r w:rsidRPr="00661250">
        <w:t xml:space="preserve"> važnih usluga ekosustava, uključujući smanjenje rizika od prirodnih katastrofa (npr. poplave, učinci toplinskog otoka) i njihovu kontrolu, hlađenje, rekreaciju, pročišćavanje vode i zraka te ublažavanje klimatskih promjena i prilagodbu tim promjenama.</w:t>
      </w:r>
      <w:r w:rsidRPr="00661250">
        <w:rPr>
          <w:b/>
          <w:i/>
        </w:rPr>
        <w:t xml:space="preserve"> Povećanje gradske zelene površine važan je parametar za povećanje sposobnosti urbanih ekosustava da pružaju te važne usluge. Povećanjem zelenog pokrova na određenom gradskom području usporava se otjecanje vode (te smanjuje rizik od onečišćenja rijeka zbog prelijevanja oborinskih voda) i pomaže u smanjenju ljetnih temperatura, izgradnji otpornosti na klimatske promjene i stvaranju dodatnog prostora za napredovanje prirode. Povećanjem razine gradskih zelenih površina u mnogim će se slučajevima poboljšati zdravlje urbanog ekosustava. S druge strane, zdravi urbani ekosustavi ključni su za podupiranje zdravlja drugih ključnih europskih ekosustava – povezivanje prirodnih područja u okolnim ruralnim područjima, poboljšanje zdravlja rijeka daleko od grada, osiguravanje utočišta i područja za razmnožavanje vrsta ptica i oprašivača povezanih s poljoprivrednim i šumskim staništima, kao i osiguravanje važnih staništa za migraciju ptica.</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p>
    <w:p w:rsidR="008D1BE3" w:rsidRPr="00661250" w:rsidRDefault="008D1BE3" w:rsidP="00325B91">
      <w:pPr>
        <w:widowControl/>
        <w:suppressAutoHyphens/>
        <w:spacing w:before="120" w:after="120" w:line="360" w:lineRule="auto"/>
        <w:ind w:left="851" w:hanging="851"/>
        <w:rPr>
          <w:b/>
          <w:i/>
        </w:rPr>
      </w:pPr>
      <w:r w:rsidRPr="00661250">
        <w:lastRenderedPageBreak/>
        <w:t>(44)</w:t>
      </w:r>
      <w:bookmarkStart w:id="18" w:name="_Hlk131428298"/>
      <w:r w:rsidRPr="00661250">
        <w:tab/>
      </w:r>
      <w:bookmarkStart w:id="19" w:name="_Hlk131080068"/>
      <w:r w:rsidRPr="00661250">
        <w:t xml:space="preserve">Potrebno je naročito pojačati mjere kojima će se osigurati da </w:t>
      </w:r>
      <w:r w:rsidRPr="00661250">
        <w:rPr>
          <w:b/>
          <w:i/>
        </w:rPr>
        <w:t>pokrivenost</w:t>
      </w:r>
      <w:r w:rsidRPr="00661250">
        <w:t xml:space="preserve"> gradskim zelenim površinama</w:t>
      </w:r>
      <w:r w:rsidRPr="00661250">
        <w:rPr>
          <w:b/>
          <w:i/>
        </w:rPr>
        <w:t>, osobito drvećem,</w:t>
      </w:r>
      <w:r w:rsidRPr="00661250">
        <w:t xml:space="preserve"> više ne bude u opasnosti od </w:t>
      </w:r>
      <w:r w:rsidRPr="00661250">
        <w:rPr>
          <w:b/>
          <w:i/>
        </w:rPr>
        <w:t>smanjenja</w:t>
      </w:r>
      <w:r w:rsidRPr="00661250">
        <w:t xml:space="preserve">. Kako bi se osiguralo da gradske zelene površine nastave pružati potrebne usluge ekosustava, potrebno je zaustaviti njihov gubitak te ih obnoviti i povećati, među ostalim </w:t>
      </w:r>
      <w:r w:rsidRPr="00661250">
        <w:rPr>
          <w:b/>
          <w:i/>
        </w:rPr>
        <w:t>integracijom</w:t>
      </w:r>
      <w:r w:rsidRPr="00661250">
        <w:t xml:space="preserve"> zelene infrastrukture i prirodnih rješenja </w:t>
      </w:r>
      <w:r w:rsidRPr="00661250">
        <w:rPr>
          <w:rFonts w:ascii="Arial" w:hAnsi="Arial"/>
          <w:snapToGrid w:val="0"/>
        </w:rPr>
        <w:t>▌</w:t>
      </w:r>
      <w:r w:rsidRPr="00661250">
        <w:t>, kao što su zeleni krovovi i zidovi, u projektiranje zgrada.</w:t>
      </w:r>
      <w:r w:rsidRPr="00661250">
        <w:rPr>
          <w:b/>
          <w:i/>
        </w:rPr>
        <w:t xml:space="preserve"> Takva integracija može doprinijeti ne samo području gradske zelene površine već i, ako uključuje drveće, području prekrivenosti gradova krošnjama stabala.</w:t>
      </w:r>
      <w:bookmarkEnd w:id="18"/>
    </w:p>
    <w:p w:rsidR="00F909BB" w:rsidRPr="00661250" w:rsidRDefault="00F909BB" w:rsidP="00325B91">
      <w:pPr>
        <w:widowControl/>
        <w:suppressAutoHyphens/>
        <w:spacing w:before="120" w:after="120" w:line="360" w:lineRule="auto"/>
        <w:ind w:left="851" w:hanging="851"/>
        <w:rPr>
          <w:rFonts w:eastAsia="Calibri"/>
          <w:b/>
          <w:szCs w:val="24"/>
        </w:rPr>
      </w:pPr>
      <w:r w:rsidRPr="00661250">
        <w:rPr>
          <w:b/>
          <w:i/>
          <w:szCs w:val="24"/>
          <w:lang w:eastAsia="en-US"/>
        </w:rPr>
        <w:t>(44a)</w:t>
      </w:r>
      <w:r w:rsidRPr="00661250">
        <w:rPr>
          <w:szCs w:val="24"/>
          <w:lang w:eastAsia="en-US"/>
        </w:rPr>
        <w:tab/>
      </w:r>
      <w:r w:rsidRPr="00661250">
        <w:rPr>
          <w:b/>
          <w:i/>
          <w:szCs w:val="24"/>
          <w:lang w:eastAsia="en-US"/>
        </w:rPr>
        <w:t>S obzirom na to da se upotreba umjetnog svjetla povećava, svjetlosno onečišćenje postalo je značajan problem. Njegovi izvori uključuju vanjsku i unutarnju rasvjetu zgrada, oglašavanje, komercijalne nekretnine, urede, tvornice, uličnu rasvjetu i osvijetljene sportske prostore. Svjetlosno onečišćenje čimbenik je koji pridonosi opadanju broja kukaca. Mnoge kukce privlači svjetlo, ali u slučaju umjetnih izvora svjetlosti, to za njih može biti kobno. Smanjenje populacija kukaca negativno utječe na sve vrste koje za hranu ili oprašivanje ovise o kukcima. Neki grabežljivci iskorištavaju tu privlačnost u svoju korist, utječući na prehrambene mreže na neočekivane načine.</w:t>
      </w:r>
      <w:r w:rsidRPr="00661250">
        <w:rPr>
          <w:b/>
          <w:szCs w:val="24"/>
          <w:lang w:eastAsia="en-US"/>
        </w:rPr>
        <w:t xml:space="preserve"> [Am. 2]</w:t>
      </w:r>
    </w:p>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bookmarkStart w:id="20" w:name="_Hlk133324641"/>
      <w:bookmarkEnd w:id="17"/>
      <w:bookmarkEnd w:id="19"/>
      <w:r w:rsidRPr="00661250">
        <w:t>(45)</w:t>
      </w:r>
      <w:r w:rsidRPr="00661250">
        <w:tab/>
        <w:t xml:space="preserve">Kako je navedeno u Strategiji EU-a za bioraznolikost do 2030., potrebno je učiniti više za obnovu slatkovodnih ekosustava i prirodnih funkcija rijeka. Obnova slatkovodnih ekosustava trebala bi uključivati rad na obnovi prirodne </w:t>
      </w:r>
      <w:r w:rsidRPr="00661250">
        <w:rPr>
          <w:rFonts w:ascii="Arial" w:hAnsi="Arial"/>
          <w:snapToGrid w:val="0"/>
        </w:rPr>
        <w:t>▌</w:t>
      </w:r>
      <w:r w:rsidRPr="00661250">
        <w:t xml:space="preserve">povezanosti rijeka te njihovih obalnih i poplavnih područja, među ostalim uklanjanjem </w:t>
      </w:r>
      <w:r w:rsidRPr="00661250">
        <w:rPr>
          <w:b/>
          <w:i/>
        </w:rPr>
        <w:t>umjetnih</w:t>
      </w:r>
      <w:r w:rsidRPr="00661250">
        <w:t xml:space="preserve"> prepreka kako bi se poduprlo ostvarivanje povoljnog stanja očuvanosti rijeka, jezera, aluvijalnih staništa i vrsta koje žive u tim staništima zaštićenih direktivama 92/43/EEZ i 2009/147/EZ te ispunjavanje jednog od ključnih ciljeva Strategije EU-a za bioraznolikost do 2030., odnosno da se najmanje 25 000 km rijeka</w:t>
      </w:r>
      <w:r w:rsidRPr="00661250">
        <w:rPr>
          <w:b/>
          <w:i/>
        </w:rPr>
        <w:t>, procijenjeno u usporedbi s 2020. kada je ta strategija priopćena,</w:t>
      </w:r>
      <w:r w:rsidRPr="00661250">
        <w:t xml:space="preserve"> ponovno pretvori u rijeke slobodnog toka. Pri uklanjanju prepreka države članice trebale bi prvenstveno ukloniti zastarjele prepreke koje više nisu potrebne za proizvodnju energije iz obnovljivih izvora, unutarnju plovidbu, opskrbu vodom ili druge namjene.</w:t>
      </w:r>
    </w:p>
    <w:bookmarkEnd w:id="20"/>
    <w:p w:rsidR="008D1BE3" w:rsidRPr="00661250" w:rsidRDefault="008D1BE3" w:rsidP="00325B91">
      <w:pPr>
        <w:widowControl/>
        <w:suppressAutoHyphens/>
        <w:spacing w:before="120" w:after="120" w:line="360" w:lineRule="auto"/>
        <w:ind w:left="851" w:hanging="851"/>
        <w:rPr>
          <w:rFonts w:eastAsia="Calibri"/>
          <w:szCs w:val="24"/>
        </w:rPr>
      </w:pPr>
      <w:r w:rsidRPr="00661250">
        <w:t>(46)</w:t>
      </w:r>
      <w:r w:rsidRPr="00661250">
        <w:tab/>
        <w:t xml:space="preserve">Broj oprašivača u Uniji drastično se smanjio posljednjih desetljeća te se populacija svake treće vrste pčela i leptira smanjuje, a svaka deseta vrsta na rubu je izumiranja. Zbog oprašivanja divljih i uzgojenih biljaka oprašivači su neophodni za funkcioniranje kopnenih ekosustava, dobrobit ljudi i sigurnost opskrbe hranom. Gotovo 5 000 000 000 EUR </w:t>
      </w:r>
      <w:r w:rsidRPr="00661250">
        <w:lastRenderedPageBreak/>
        <w:t>godišnje poljoprivredne proizvodnje u EU-u može se izravno pripisati kukcima oprašivačima</w:t>
      </w:r>
      <w:r w:rsidRPr="00661250">
        <w:rPr>
          <w:rFonts w:eastAsia="Calibri"/>
          <w:szCs w:val="24"/>
          <w:vertAlign w:val="superscript"/>
          <w:lang w:eastAsia="en-US"/>
        </w:rPr>
        <w:footnoteReference w:id="34"/>
      </w:r>
      <w:r w:rsidRPr="00661250">
        <w:t>.</w:t>
      </w:r>
    </w:p>
    <w:p w:rsidR="008D1BE3" w:rsidRPr="00661250" w:rsidRDefault="008D1BE3" w:rsidP="00325B91">
      <w:pPr>
        <w:widowControl/>
        <w:shd w:val="clear" w:color="auto" w:fill="FFFFFF"/>
        <w:suppressAutoHyphens/>
        <w:spacing w:before="120" w:after="120" w:line="360" w:lineRule="auto"/>
        <w:ind w:left="851" w:hanging="851"/>
        <w:rPr>
          <w:b/>
          <w:szCs w:val="24"/>
          <w:u w:val="single"/>
        </w:rPr>
      </w:pPr>
      <w:r w:rsidRPr="00661250">
        <w:t>(47)</w:t>
      </w:r>
      <w:r w:rsidRPr="00661250">
        <w:tab/>
        <w:t>Na pozive Europskog parlamenta i Vijeća na rješavanje problema pogoršanja stanja oprašivača Komisija je 1. lipnja 2018. pokrenula inicijativu EU-a za oprašivače</w:t>
      </w:r>
      <w:r w:rsidRPr="00661250">
        <w:rPr>
          <w:rFonts w:eastAsia="Calibri"/>
          <w:szCs w:val="24"/>
          <w:vertAlign w:val="superscript"/>
          <w:lang w:eastAsia="en-US"/>
        </w:rPr>
        <w:footnoteReference w:id="35"/>
      </w:r>
      <w:r w:rsidRPr="00661250">
        <w:t>. Izvješće o napretku u provedbi inicijative</w:t>
      </w:r>
      <w:r w:rsidRPr="00661250">
        <w:rPr>
          <w:rFonts w:eastAsia="Calibri"/>
          <w:szCs w:val="24"/>
          <w:vertAlign w:val="superscript"/>
          <w:lang w:eastAsia="en-US"/>
        </w:rPr>
        <w:footnoteReference w:id="36"/>
      </w:r>
      <w:r w:rsidRPr="00661250">
        <w:t xml:space="preserve"> pokazalo je da su i dalje prisutne znatne poteškoće u otklanjanju uzroka pogoršanja stanja oprašivača, uključujući uporabu pesticida. Europski parlament</w:t>
      </w:r>
      <w:r w:rsidRPr="00661250">
        <w:rPr>
          <w:rFonts w:eastAsia="Calibri"/>
          <w:szCs w:val="24"/>
          <w:vertAlign w:val="superscript"/>
          <w:lang w:eastAsia="en-US"/>
        </w:rPr>
        <w:footnoteReference w:id="37"/>
      </w:r>
      <w:r w:rsidRPr="00661250">
        <w:t xml:space="preserve"> i Vijeće</w:t>
      </w:r>
      <w:r w:rsidRPr="00661250">
        <w:rPr>
          <w:rFonts w:eastAsia="Calibri"/>
          <w:szCs w:val="24"/>
          <w:vertAlign w:val="superscript"/>
          <w:lang w:eastAsia="en-US"/>
        </w:rPr>
        <w:footnoteReference w:id="38"/>
      </w:r>
      <w:r w:rsidRPr="00661250">
        <w:t xml:space="preserve"> pozvali su na jačanje mjera za rješavanje problema pogoršanja stanja oprašivača i na uspostavu okvira za praćenje oprašivača na razini Unije te definiranje jasnih ciljeva i pokazatelja u pogledu obveze da se zaustavi trend pogoršanja njihova stanja. Europski revizorski sud preporučio je da Komisija uspostavi odgovarajuće mehanizme upravljanja i praćenja za mjere usmjerene na otklanjanje prijetnji oprašivačima</w:t>
      </w:r>
      <w:r w:rsidRPr="00661250">
        <w:rPr>
          <w:rFonts w:eastAsia="Calibri"/>
          <w:szCs w:val="24"/>
          <w:vertAlign w:val="superscript"/>
          <w:lang w:eastAsia="en-US"/>
        </w:rPr>
        <w:footnoteReference w:id="39"/>
      </w:r>
      <w:r w:rsidRPr="00661250">
        <w:t>.</w:t>
      </w:r>
      <w:r w:rsidRPr="00661250">
        <w:rPr>
          <w:b/>
          <w:i/>
        </w:rPr>
        <w:t xml:space="preserve"> Komisija je 24. siječnja 2023. predstavila revidiranu Inicijativu EU-a za oprašivače</w:t>
      </w:r>
      <w:r w:rsidRPr="00661250">
        <w:rPr>
          <w:b/>
          <w:bCs/>
          <w:i/>
          <w:szCs w:val="24"/>
          <w:vertAlign w:val="superscript"/>
        </w:rPr>
        <w:footnoteReference w:id="40"/>
      </w:r>
      <w:r w:rsidRPr="00661250">
        <w:rPr>
          <w:b/>
          <w:i/>
        </w:rPr>
        <w:t>. Revizijom se utvrđuju mjere koje EU i njegove države članice trebaju poduzeti kako bi zaustavili smanjenje broja oprašivača do 2030.</w:t>
      </w:r>
    </w:p>
    <w:p w:rsidR="008D1BE3" w:rsidRPr="00661250" w:rsidRDefault="008D1BE3" w:rsidP="00325B91">
      <w:pPr>
        <w:widowControl/>
        <w:suppressAutoHyphens/>
        <w:spacing w:before="120" w:after="120" w:line="360" w:lineRule="auto"/>
        <w:ind w:left="851" w:hanging="851"/>
        <w:rPr>
          <w:rFonts w:eastAsia="Calibri"/>
          <w:szCs w:val="22"/>
        </w:rPr>
      </w:pPr>
      <w:r w:rsidRPr="00661250">
        <w:t>(48)</w:t>
      </w:r>
      <w:r w:rsidRPr="00661250">
        <w:tab/>
        <w:t xml:space="preserve">Prijedlogom uredbe Europskog parlamenta i Vijeća o održivoj uporabi sredstava za zaštitu bilja </w:t>
      </w:r>
      <w:r w:rsidRPr="00661250">
        <w:rPr>
          <w:i/>
          <w:iCs/>
        </w:rPr>
        <w:t>[donošenje je predviđeno 22. lipnja 2022., navesti naslov i broj donesenog akta kad budu dostupan]</w:t>
      </w:r>
      <w:r w:rsidRPr="00661250">
        <w:t xml:space="preserve"> nastoji se regulirati jedan od uzroka smanjenja broja oprašivača zabranom uporabe pesticida na ekološki osjetljivim područjima, od kojih su mnoga obuhvaćena </w:t>
      </w:r>
      <w:r w:rsidRPr="00661250">
        <w:lastRenderedPageBreak/>
        <w:t>ovom Uredbom, primjerice na područjima na kojima žive vrste oprašivača koje su na europskim crvenim popisima</w:t>
      </w:r>
      <w:r w:rsidRPr="00661250">
        <w:rPr>
          <w:rFonts w:eastAsia="Calibri"/>
          <w:szCs w:val="22"/>
          <w:vertAlign w:val="superscript"/>
          <w:lang w:eastAsia="en-US"/>
        </w:rPr>
        <w:footnoteReference w:id="41"/>
      </w:r>
      <w:r w:rsidRPr="00661250">
        <w:t xml:space="preserve"> svrstane među one kojima prijeti izumiranje.</w:t>
      </w:r>
    </w:p>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r w:rsidRPr="00661250">
        <w:t>(49)</w:t>
      </w:r>
      <w:r w:rsidRPr="00661250">
        <w:tab/>
        <w:t>Održivi, otporni i bioraznoliki poljoprivredni ekosustavi potrebni su kao izvor sigurne, održive, hranjive i povoljne hrane. Poljoprivredni ekosustavi velike bioraznolikosti povećavaju i otpornost poljoprivrede na klimatske promjene i rizike za okoliš te istodobno jamče sigurnost hrane i sigurnost opskrbe hranom te otvaranje novih radnih mjesta na ruralnim područjima, posebno radnih mjesta povezanih s ekološkom poljoprivredom, ruralnim turizmom i rekreacijom. Stoga Unija treba poboljšati bioraznolikost na svojim poljoprivrednim zemljištima brojnim postojećim praksama kojima se može postići bioraznolikost ili koje su korisne za povećanje bioraznolikosti, uključujući ekstenzivnu poljoprivredu. Ekstenzivna poljoprivreda ključna je za održavanje mnogih vrsta i staništa na područjima velike bioraznolikosti. Postoje brojne prakse ekstenzivne poljoprivrede koje imaju višestruke i znatne koristi za zaštitu bioraznolikosti, usluga ekosustava i obilježja krajobraza, kao što su precizna poljoprivreda, ekološka poljoprivreda, agroekologija, agrošumarstvo i trajni travnjaci niskog intenziteta.</w:t>
      </w:r>
    </w:p>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r w:rsidRPr="00661250">
        <w:t>(50)</w:t>
      </w:r>
      <w:r w:rsidRPr="00661250">
        <w:tab/>
        <w:t>Potrebno je uspostaviti mjere obnove kako bi se povećala bioraznolikost poljoprivrednih ekosustava u cijeloj Uniji, među ostalim na područjima koja nisu pokrivena stanišnim tipovima obuhvaćenima područjem primjene Direktive 92/43/EEZ. Budući da ne postoji zajednička metoda za procjenu stanja poljoprivrednih ekosustava koja bi omogućila utvrđivanje posebnih ciljeva obnove za poljoprivredne ekosustave, primjereno je utvrditi opću obvezu za povećanje bioraznolikosti poljoprivrednih ekosustava i mjeriti ispunjenje te obveze na temelju postojećih pokazatelja.</w:t>
      </w:r>
      <w:bookmarkStart w:id="21" w:name="_Hlk135935549"/>
    </w:p>
    <w:bookmarkEnd w:id="21"/>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r w:rsidRPr="00661250">
        <w:t>(51)</w:t>
      </w:r>
      <w:r w:rsidRPr="00661250">
        <w:tab/>
        <w:t>S obzirom na to da su ptice poljoprivrednih staništa dobro poznat i prihvaćen ključni pokazatelj zdravlja poljoprivrednih ekosustava, primjereno je odrediti ciljeve za obnovu njihovih populacija. Postizanje tih ciljeva bila bi obveza država članica, a ne pojedinačnih poljoprivrednika. Države članice trebale bi ostvariti te ciljeve uspostavom djelotvornih mjera obnove poljoprivrednog zemljišta, suradnjom s poljoprivrednicima i drugim dionicima te pružanjem potpore poljoprivrednicima i drugim dionicima u njihovoj izradi i provedbi.</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p>
    <w:p w:rsidR="008D1BE3" w:rsidRPr="00661250" w:rsidRDefault="008D1BE3" w:rsidP="00325B91">
      <w:pPr>
        <w:widowControl/>
        <w:shd w:val="clear" w:color="auto" w:fill="FFFFFF"/>
        <w:suppressAutoHyphens/>
        <w:spacing w:before="120" w:after="120" w:line="360" w:lineRule="auto"/>
        <w:ind w:left="851" w:hanging="851"/>
        <w:rPr>
          <w:rFonts w:eastAsia="Calibri"/>
          <w:b/>
          <w:szCs w:val="24"/>
        </w:rPr>
      </w:pPr>
      <w:r w:rsidRPr="00661250">
        <w:lastRenderedPageBreak/>
        <w:t>(52)</w:t>
      </w:r>
      <w:r w:rsidRPr="00661250">
        <w:tab/>
        <w:t xml:space="preserve">Obilježja krajobraza velike raznolikosti na poljoprivrednom zemljištu, uključujući granične pojaseve, zemljišta na ugaru s rotacijom ili bez rotacije, živice, pojedinačna stabla ili skupine stabala, drvorede, granična područja polja, manje površine, kanale, rječice, manja močvarna područja, terase, kamene strukture, kamene zidove, jezerca i kulturna obilježja, prostor su za divlje biljke i životinje, uključujući oprašivače, sprečavaju eroziju i iscrpljivanje tla, pročišćavaju zrak i vodu, podupiru ublažavanje klimatskih promjena i prilagodbu tim promjenama te podupiru produktivnost u poljoprivredi usjeva koji ovise o oprašivanju. Plodonosna stabla koja su dio poljoprivredno-šumarskih sustava za obradiva zemljišta i produktivni elementi neplodonosnih živica isto se tako mogu smatrati obilježjima krajobraza velike raznolikosti ako se ne tretiraju gnojivom ili pesticidima i ako se žetva obavlja samo kad to ne bi ugrozilo visoke razine bioraznolikosti. Stoga bi trebalo postaviti zahtjev za postizanje trenda povećanja udjela poljoprivrednog zemljišta s obilježjima krajobraza velike raznolikosti. . Trendovi povećanja trebali bi se postići i za druge postojeće pokazatelje, kao što su indeks populacije travnjačkih leptira i zalihe organskog ugljika u mineralnim tlima zemljišta pod usjevima. </w:t>
      </w:r>
      <w:r w:rsidR="00081C34" w:rsidRPr="00661250">
        <w:rPr>
          <w:b/>
        </w:rPr>
        <w:t>[Am. 14]</w:t>
      </w:r>
    </w:p>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r w:rsidRPr="00661250">
        <w:br w:type="page"/>
      </w:r>
      <w:r w:rsidRPr="00661250">
        <w:lastRenderedPageBreak/>
        <w:t>(53)</w:t>
      </w:r>
      <w:r w:rsidRPr="00661250">
        <w:tab/>
        <w:t>Cilj je zajedničke poljoprivredne politike (ZPP) podupiranje i jačanje zaštite okoliša, uključujući bioraznolikost. Jedan je od posebnih ciljeva te politike doprinijeti zaustavljanju gubitka bioraznolikosti i pokretanju njezina oporavka, poboljšati usluge ekosustava te očuvati staništa i krajobraze. Novim standardom uvjetovanosti ZPP-a br. 8 o dobrim poljoprivrednim i okolišnim uvjetima (GAEC 8)</w:t>
      </w:r>
      <w:r w:rsidRPr="00661250">
        <w:rPr>
          <w:rFonts w:eastAsia="Calibri"/>
          <w:szCs w:val="24"/>
          <w:vertAlign w:val="superscript"/>
          <w:lang w:eastAsia="en-US"/>
        </w:rPr>
        <w:footnoteReference w:id="42"/>
      </w:r>
      <w:r w:rsidRPr="00661250">
        <w:t xml:space="preserve"> propisano je da korisnici plaćanja povezanih s površinom moraju namijeniti najmanje 4 % obradivog zemljišta na razini poljoprivrednog gospodarstva neproduktivnim površinama i obilježjima, uključujući zemljište ostavljeno na ugaru, te očuvati postojeća obilježja krajobraza. Udio od 4 % za usklađenost s tim standardom GAEC može se smanjiti na 3 % ako su ispunjeni određeni preduvjeti</w:t>
      </w:r>
      <w:r w:rsidRPr="00661250">
        <w:rPr>
          <w:rFonts w:eastAsia="Calibri"/>
          <w:szCs w:val="24"/>
          <w:vertAlign w:val="superscript"/>
          <w:lang w:eastAsia="en-US"/>
        </w:rPr>
        <w:footnoteReference w:id="43"/>
      </w:r>
      <w:r w:rsidRPr="00661250">
        <w:t>. Ispunjavanjem te obveze države članice doprinijet će ostvarivanju pozitivnog trenda u pogledu obilježja krajobraza velike raznolikosti na poljoprivrednom zemljištu. Osim toga, u okviru ZPP-a države članice imaju mogućnost uspostaviti ekosheme za poljoprivredne prakse koje poljoprivrednici provode na poljoprivrednim zemljištima, koje mogu uključivati održavanje i stvaranje obilježja krajobraza ili neproduktivnih površina. Slično tome, države članice u svoje strateške planove u okviru ZPP-a mogu uključiti i obveze u području poljoprivrede, okoliša i klime, među ostalim poboljšano upravljanje obilježjima krajobraza koje nadilazi uvjete GAEC 8 i/ili ekosheme. Projektima u području prirode i bioraznolikosti u okviru programa LIFE pomoći će se i u usmjeravanju bioraznolikosti na poljoprivrednom zemljištu Europe prema oporavku do 2030. podupiranjem provedbe Direktive 92/43/EEZ i Direktive 2009/147/EZ, kao i Strategije EU-a za bioraznolikost do 2030.</w:t>
      </w:r>
    </w:p>
    <w:p w:rsidR="008D1BE3" w:rsidRPr="00661250" w:rsidRDefault="008D1BE3" w:rsidP="00325B91">
      <w:pPr>
        <w:widowControl/>
        <w:shd w:val="clear" w:color="auto" w:fill="FFFFFF"/>
        <w:suppressAutoHyphens/>
        <w:spacing w:before="120" w:after="120" w:line="360" w:lineRule="auto"/>
        <w:ind w:left="851" w:hanging="851"/>
        <w:rPr>
          <w:b/>
          <w:i/>
        </w:rPr>
      </w:pPr>
      <w:r w:rsidRPr="00661250">
        <w:br w:type="page"/>
      </w:r>
      <w:r w:rsidRPr="00661250">
        <w:lastRenderedPageBreak/>
        <w:t>(54)</w:t>
      </w:r>
      <w:r w:rsidRPr="00661250">
        <w:tab/>
        <w:t>Obnova i ponovno natapanje</w:t>
      </w:r>
      <w:r w:rsidRPr="00661250">
        <w:rPr>
          <w:rFonts w:eastAsia="Calibri"/>
          <w:szCs w:val="24"/>
          <w:vertAlign w:val="superscript"/>
          <w:lang w:eastAsia="en-US"/>
        </w:rPr>
        <w:footnoteReference w:id="44"/>
      </w:r>
      <w:r w:rsidRPr="00661250">
        <w:t xml:space="preserve"> organskih tla</w:t>
      </w:r>
      <w:r w:rsidRPr="00661250">
        <w:rPr>
          <w:rFonts w:eastAsia="Calibri"/>
          <w:szCs w:val="24"/>
          <w:vertAlign w:val="superscript"/>
          <w:lang w:eastAsia="en-US"/>
        </w:rPr>
        <w:footnoteReference w:id="45"/>
      </w:r>
      <w:r w:rsidRPr="00661250">
        <w:t xml:space="preserve"> koja čine isušena tresetišta i upotrebljavaju se u poljoprivredne svrhe (tj. travnjaci i zemljište pod usjevima) pomažu u postizanju znatnih koristi od bioraznolikosti, znatnog smanjenja emisija stakleničkih plinova i drugih koristi za okoliš te istodobno pridonose raznolikosti poljoprivrednog krajobraza. </w:t>
      </w:r>
      <w:bookmarkStart w:id="22" w:name="_Hlk136867766"/>
      <w:r w:rsidRPr="00661250">
        <w:t>Državama članicama na raspolaganju su brojne mjere obnove isušenih tresetišta koja se upotrebljavaju u poljoprivredne svrhe, od prenamjene zemljišta pod usjevima u trajni travnjak i mjera ekstenzifikacije praćenih smanjenim isušivanjem do potpunog ponovnog natapanja uz mogućnost paludikulturne uporabe ili uspostave vegetacije od koje nastaje treset.</w:t>
      </w:r>
      <w:bookmarkEnd w:id="22"/>
      <w:r w:rsidRPr="00661250">
        <w:t xml:space="preserve"> Najznačajnije klimatske koristi nastaju obnovom i ponovnim natapanjem poljoprivrednih zemljišta, nakon čega slijedi obnova intenzivnih travnjaka. Kako bi se omogućila fleksibilna provedba cilja obnove isušenih tresetišta koja se upotrebljavaju u poljoprivredne svrhe, države članice mogu mjere obnove i ponovno natapanje isušenih tresetišta u područjima na kojima se vadi treset te, u određenoj mjeri, obnovu i ponovno natapanje isušenih tresetišta koja se upotrebljavaju u druge svrhe (na primjer šume) smatrati doprinosom postizanju ciljeva za isušena tresetišta koja se upotrebljavaju u poljoprivredne svrhe.</w:t>
      </w:r>
      <w:r w:rsidRPr="00661250">
        <w:rPr>
          <w:b/>
          <w:i/>
        </w:rPr>
        <w:t xml:space="preserve"> Ako je to opravdano i ako se ponovno natapanje isušenih tresetišta koja se upotrebljavaju u poljoprivredne svrhe ne može provesti zbog znatnih negativnih učinaka na zgrade, infrastrukturu, prilagodbu klimatskim promjenama ili druge javne interese i ako nije moguće ponovno natopiti tresetišta koja se upotrebljavaju u druge svrhe, države članice mogu odrediti manji opseg tresetišta koja će se ponovno natopiti.</w:t>
      </w:r>
    </w:p>
    <w:p w:rsidR="008D1BE3" w:rsidRPr="00661250" w:rsidRDefault="008D1BE3" w:rsidP="00325B91">
      <w:pPr>
        <w:widowControl/>
        <w:suppressAutoHyphens/>
        <w:spacing w:before="120" w:after="120" w:line="360" w:lineRule="auto"/>
        <w:ind w:left="851" w:hanging="851"/>
        <w:rPr>
          <w:b/>
          <w:i/>
        </w:rPr>
      </w:pPr>
      <w:r w:rsidRPr="00661250">
        <w:rPr>
          <w:b/>
          <w:i/>
        </w:rPr>
        <w:br w:type="page"/>
      </w:r>
    </w:p>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r w:rsidRPr="00661250">
        <w:lastRenderedPageBreak/>
        <w:t>(55)</w:t>
      </w:r>
      <w:r w:rsidRPr="00661250">
        <w:tab/>
        <w:t>Kako bi se u potpunosti iskoristile koristi od bioraznolikosti, obnovu i ponovno natapanje područja isušenih tresetišta trebalo bi provoditi i izvan područja močvarnih stanišnih tipova navedenih u Prilogu I. Direktivi 92/43/EEZ koje je potrebno obnoviti i ponovno uspostaviti. Podaci o opsegu organskih tla te njihovim emisijama i uklanjanjima stakleničkih plinova prate se i stavljaju na raspolaganje u sklopu izvješćivanja o sektoru LULUCF u nacionalnim inventarima stakleničkih plinova koje države članice vode i podnose UNFCCC-u. Obnovljena i ponovno natopljena tresetišta mogu se nastaviti produktivno upotrebljavati na druge načine. Na primjer, paludikultura, praksa poljoprivrede na vlažnim tresetištima, može uključivati uzgoj različitih vrsta trski, određenih vrsta drveća, borovnica i brusnica te maha tresetara, kao i ispašu s vodenim bivolima. Takve prakse trebale bi se temeljiti na načelima održivog upravljanja i biti usmjerene na povećanje bioraznolikosti kako bi mogle imati veliku financijsku i ekološku vrijednost. Paludikultura može biti korisna i za nekoliko vrsta koje su ugrožene u Uniji te može olakšati povezanost močvarnih područja i povezanih populacija vrsta u Uniji. Sredstva za financiranje mjera za obnovu i ponovno natapanje isušenih tresetišta te za nadoknadu mogućeg gubitka prihoda mogu doći iz različitih izvora, uključujući rashode u okviru proračuna Unije i Unijine programe financiranja.</w:t>
      </w:r>
    </w:p>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r w:rsidRPr="00661250">
        <w:t>(56)</w:t>
      </w:r>
      <w:r w:rsidRPr="00661250">
        <w:tab/>
        <w:t>U novoj strategiji EU-a za šume do 2030.</w:t>
      </w:r>
      <w:r w:rsidRPr="00661250">
        <w:rPr>
          <w:rFonts w:eastAsia="Calibri"/>
          <w:szCs w:val="24"/>
          <w:vertAlign w:val="superscript"/>
          <w:lang w:eastAsia="en-US"/>
        </w:rPr>
        <w:footnoteReference w:id="46"/>
      </w:r>
      <w:r w:rsidRPr="00661250">
        <w:t xml:space="preserve"> navedena je potreba za obnovom bioraznolikosti šuma. Šume i druga šumovita zemlja pokrivaju više od 43,5 % kopnene površine EU-a. Šumski ekosustavi koji se odlikuju velikom bioraznolikošću osjetljivi su na klimatske promjene, ali su isto tako </w:t>
      </w:r>
      <w:r w:rsidRPr="00661250">
        <w:rPr>
          <w:shd w:val="clear" w:color="auto" w:fill="FFFFFF"/>
        </w:rPr>
        <w:t>prirodni saveznik u prilagodbi na klimatske promjene i rizike povezane s klimom te borbi protiv njih, među ostalim zahvaljujući svojim funkcijama zaliha ugljika i ponora ugljika, a pružaju i</w:t>
      </w:r>
      <w:r w:rsidRPr="00661250">
        <w:t xml:space="preserve"> brojne druge ključne usluge ekosustava i koristi, na primjer time što su izvor drvne sirovine i drva, hrane i drugih nedrvnih proizvoda te omogućuju regulaciju klime, stabilizaciju tla i kontrolu erozije te pročišćavanje zraka i vode.</w:t>
      </w:r>
    </w:p>
    <w:p w:rsidR="00325B91" w:rsidRDefault="008D1BE3" w:rsidP="00325B91">
      <w:pPr>
        <w:widowControl/>
        <w:shd w:val="clear" w:color="auto" w:fill="FFFFFF"/>
        <w:suppressAutoHyphens/>
        <w:spacing w:before="120" w:after="120" w:line="360" w:lineRule="auto"/>
        <w:ind w:left="851" w:hanging="851"/>
      </w:pPr>
      <w:r w:rsidRPr="00661250">
        <w:br w:type="page"/>
      </w:r>
      <w:r w:rsidR="00081C34" w:rsidRPr="00661250">
        <w:rPr>
          <w:b/>
        </w:rPr>
        <w:lastRenderedPageBreak/>
        <w:t xml:space="preserve"> [Am. 112</w:t>
      </w:r>
      <w:r w:rsidR="00410A60" w:rsidRPr="00661250">
        <w:rPr>
          <w:b/>
        </w:rPr>
        <w:t xml:space="preserve"> rev1</w:t>
      </w:r>
      <w:r w:rsidR="00081C34" w:rsidRPr="00661250">
        <w:rPr>
          <w:b/>
        </w:rPr>
        <w:t>]</w:t>
      </w:r>
      <w:r w:rsidRPr="00661250">
        <w:br w:type="page"/>
      </w:r>
    </w:p>
    <w:p w:rsidR="008D1BE3" w:rsidRPr="00661250" w:rsidRDefault="008D1BE3" w:rsidP="00325B91">
      <w:pPr>
        <w:widowControl/>
        <w:shd w:val="clear" w:color="auto" w:fill="FFFFFF"/>
        <w:suppressAutoHyphens/>
        <w:spacing w:before="120" w:after="120" w:line="360" w:lineRule="auto"/>
        <w:ind w:left="851" w:hanging="851"/>
        <w:rPr>
          <w:rFonts w:eastAsia="Calibri"/>
          <w:szCs w:val="24"/>
        </w:rPr>
      </w:pPr>
      <w:r w:rsidRPr="00661250">
        <w:lastRenderedPageBreak/>
        <w:t>(58)</w:t>
      </w:r>
      <w:r w:rsidRPr="00661250">
        <w:tab/>
        <w:t xml:space="preserve">Ciljevi obnove i obveze za staništa i vrste zaštićene na temelju direktiva 92/43/EEZ i 2009/147/EZ za oprašivače te za slatkovodne, urbane, poljoprivredne i šumske ekosustave trebali bi biti komplementarni i djelovati u sinergiji kako bi se postigao sveobuhvatni cilj obnove ekosustava kopnenih i morskih područja </w:t>
      </w:r>
      <w:r w:rsidRPr="00661250">
        <w:rPr>
          <w:b/>
          <w:i/>
        </w:rPr>
        <w:t>država članica</w:t>
      </w:r>
      <w:r w:rsidRPr="00661250">
        <w:t>. Mjere obnove koje su potrebne za postizanje jednog posebnog cilja u mnogim će slučajevima pridonijeti postizanju drugih ciljeva ili obveza. Stoga bi države članice trebale strateški planirati mjere obnove kako bi što učinkovitije pridonijele oporavku prirode diljem Unije. Mjere obnove ujedno bi trebalo planirati tako da doprinesu ublažavanju klimatskih promjena i prilagodbi tim promjenama te sprečavanju i kontroli posljedica prirodnih katastrofa</w:t>
      </w:r>
      <w:r w:rsidRPr="00661250">
        <w:rPr>
          <w:b/>
          <w:i/>
        </w:rPr>
        <w:t>, kao i degradacije zemljišta</w:t>
      </w:r>
      <w:r w:rsidRPr="00661250">
        <w:t xml:space="preserve">. Njima bi se trebalo nastojati optimirati ekološke, gospodarske i socijalne funkcije ekosustava, uključujući njihov potencijal produktivnosti, uzimajući u obzir njihov doprinos održivom razvoju relevantnih regija i zajednica. Važno je da države članice pripreme detaljne nacionalne planove obnove na temelju najboljih dostupnih znanstvenih dokaza. </w:t>
      </w:r>
      <w:r w:rsidRPr="00661250">
        <w:rPr>
          <w:b/>
          <w:i/>
        </w:rPr>
        <w:t xml:space="preserve">Dokumentirani zapisi o povijesnoj rasprostranjenosti i području, kao i o predviđenim promjenama okolišnih uvjeta zbog klimatskih promjena, trebali bi poslužiti kao temelj za prosudbu o povoljnom referentnom području stanišnih tipova. </w:t>
      </w:r>
      <w:r w:rsidRPr="00661250">
        <w:rPr>
          <w:b/>
          <w:bCs/>
          <w:i/>
        </w:rPr>
        <w:t>Nadalje, važno je</w:t>
      </w:r>
      <w:r w:rsidRPr="00661250">
        <w:t xml:space="preserve"> da se javnosti omogući pravodobno i djelotvorno sudjelovanje u izradi planova. Države članice trebale bi uzeti u obzir posebne uvjete i potrebe na svojem državnom području kako bi planovima mogle odgovoriti na relevantne pritiske, prijetnje i uzroke gubitka bioraznolikosti te bi trebale surađivati radi ostvarivanja prekogranične obnove i povezanosti.</w:t>
      </w:r>
    </w:p>
    <w:p w:rsidR="008D1BE3" w:rsidRPr="00661250" w:rsidRDefault="008D1BE3" w:rsidP="00325B91">
      <w:pPr>
        <w:widowControl/>
        <w:suppressAutoHyphens/>
        <w:spacing w:before="120" w:after="120" w:line="360" w:lineRule="auto"/>
        <w:ind w:left="851" w:hanging="851"/>
        <w:rPr>
          <w:rFonts w:eastAsia="Calibri"/>
          <w:szCs w:val="24"/>
          <w:shd w:val="clear" w:color="auto" w:fill="FFFFFF"/>
        </w:rPr>
      </w:pPr>
      <w:r w:rsidRPr="00661250">
        <w:br w:type="page"/>
      </w:r>
      <w:r w:rsidRPr="00661250">
        <w:lastRenderedPageBreak/>
        <w:t>(59)</w:t>
      </w:r>
      <w:r w:rsidRPr="00661250">
        <w:tab/>
        <w:t xml:space="preserve">Kako bi se ostvarile sinergije među različitim mjerama koje su već uspostavljene ili će tek biti uspostavljene radi zaštite, očuvanja i obnove prirode u Uniji, države članice trebale bi uzeti u obzir sljedeće pri izradi svojih nacionalnih planova obnove: mjere očuvanja uspostavljene za područja mreže Natura 2000 i prioritetne akcijske okvire razvijene u skladu s direktivama 92/43/EEZ i 2009/147/EZ, mjere za postizanje dobrog ekološkog i kemijskog stanja vodnih tijela uključene u planove upravljanja riječnim slivovima izrađene u skladu s Direktivom 2000/60/EZ, morske strategije za postizanje dobrog stanja okoliša u svim morskim regijama u Uniji razvijene u skladu s Direktivom 2008/56/EZ, nacionalne programe kontrole onečišćenja zraka razvijene u skladu s Direktivom (EU) 2016/2284, nacionalne strategije i akcijske planove za bioraznolikost razvijene u skladu s člankom 6. Konvencije o biološkoj raznolikosti, kao i mjere očuvanja donesene u skladu s Uredbom br. 1380/2013 i tehničke mjere donesene u skladu s </w:t>
      </w:r>
      <w:r w:rsidRPr="00661250">
        <w:rPr>
          <w:shd w:val="clear" w:color="auto" w:fill="FFFFFF"/>
        </w:rPr>
        <w:t>Uredbom (EU) 2019/1241 Europskog parlamenta i Vijeća</w:t>
      </w:r>
      <w:r w:rsidRPr="00661250">
        <w:rPr>
          <w:rFonts w:eastAsia="Calibri"/>
          <w:szCs w:val="24"/>
          <w:vertAlign w:val="superscript"/>
          <w:lang w:eastAsia="en-US"/>
        </w:rPr>
        <w:footnoteReference w:id="47"/>
      </w:r>
      <w:r w:rsidRPr="00661250">
        <w:rPr>
          <w:shd w:val="clear" w:color="auto" w:fill="FFFFFF"/>
        </w:rPr>
        <w:t>.</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(60)</w:t>
      </w:r>
      <w:r w:rsidRPr="00661250">
        <w:tab/>
        <w:t>Radi dosljednosti između ciljeva ove Uredbe i Direktive (EU) 2018/2001</w:t>
      </w:r>
      <w:r w:rsidRPr="00661250">
        <w:rPr>
          <w:rFonts w:eastAsia="Calibri"/>
          <w:szCs w:val="24"/>
          <w:vertAlign w:val="superscript"/>
          <w:lang w:eastAsia="en-US"/>
        </w:rPr>
        <w:footnoteReference w:id="48"/>
      </w:r>
      <w:r w:rsidRPr="00661250">
        <w:t>, Uredbe (EU) 2018/1999</w:t>
      </w:r>
      <w:r w:rsidRPr="00661250">
        <w:rPr>
          <w:rFonts w:eastAsia="Calibri"/>
          <w:szCs w:val="24"/>
          <w:vertAlign w:val="superscript"/>
          <w:lang w:eastAsia="en-US"/>
        </w:rPr>
        <w:footnoteReference w:id="49"/>
      </w:r>
      <w:r w:rsidRPr="00661250">
        <w:t xml:space="preserve"> i Direktive 98/70/EZ Europskog parlamenta i Vijeća kad je riječ o promicanju energije iz obnovljivih izvora</w:t>
      </w:r>
      <w:r w:rsidRPr="00661250">
        <w:rPr>
          <w:rFonts w:eastAsia="Calibri"/>
          <w:szCs w:val="24"/>
          <w:vertAlign w:val="superscript"/>
          <w:lang w:eastAsia="en-US"/>
        </w:rPr>
        <w:footnoteReference w:id="50"/>
      </w:r>
      <w:r w:rsidRPr="00661250">
        <w:t>, posebno tijekom izrade nacionalnih planova obnove, države članice trebale bi razmotriti potencijal doprinosa projekata u području energije iz obnovljivih izvora ispunjavanju ciljeva obnove prirode.</w:t>
      </w:r>
    </w:p>
    <w:p w:rsidR="008D1BE3" w:rsidRPr="00661250" w:rsidRDefault="008D1BE3" w:rsidP="00325B91">
      <w:pPr>
        <w:widowControl/>
        <w:suppressAutoHyphens/>
        <w:spacing w:before="120" w:after="120" w:line="360" w:lineRule="auto"/>
        <w:ind w:left="851" w:hanging="851"/>
        <w:rPr>
          <w:rFonts w:eastAsia="Calibri"/>
          <w:szCs w:val="24"/>
          <w:shd w:val="clear" w:color="auto" w:fill="FFFFFF"/>
        </w:rPr>
      </w:pPr>
      <w:r w:rsidRPr="00661250">
        <w:t>(61)</w:t>
      </w:r>
      <w:r w:rsidRPr="00661250">
        <w:tab/>
      </w:r>
      <w:r w:rsidRPr="00661250">
        <w:rPr>
          <w:shd w:val="clear" w:color="auto" w:fill="FFFFFF"/>
        </w:rPr>
        <w:t xml:space="preserve">S obzirom na važnost dosljednog rješavanja dvostrukog izazova koji predstavljaju gubitak bioraznolikosti i klimatske promjene, pri obnovi bioraznolikosti trebalo bi uzeti u obzir uvođenje energije iz obnovljivih izvora i obrnuto. </w:t>
      </w:r>
      <w:r w:rsidRPr="00661250">
        <w:rPr>
          <w:b/>
          <w:i/>
          <w:shd w:val="clear" w:color="auto" w:fill="FFFFFF"/>
        </w:rPr>
        <w:t>Mjere obnove i provedba projekata u području energije iz obnovljivih izvora mogu se kombinirati, kad god je to moguće, među ostalim u ubrzavanju obnovljivih izvora energije i namjenskim mrežnim područjima.</w:t>
      </w:r>
      <w:r w:rsidRPr="00661250">
        <w:rPr>
          <w:shd w:val="clear" w:color="auto" w:fill="FFFFFF"/>
        </w:rPr>
        <w:t xml:space="preserve"> </w:t>
      </w:r>
      <w:r w:rsidRPr="00661250">
        <w:rPr>
          <w:b/>
          <w:bCs/>
          <w:i/>
          <w:iCs/>
          <w:shd w:val="clear" w:color="auto" w:fill="FFFFFF"/>
        </w:rPr>
        <w:t>Direktiva (EU) 2018/2001 zahtijeva od država članica da provode koordinirano kartiranje za uvođenje energije iz obnovljivih izvora na svojem državnom području kako bi utvrdile domaći potencijal i dostupne kopnene površine, podzemne, morske ili kopnene vode koje su potrebne za postavljanje postrojenja za proizvodnju energije iz obnovljivih izvora te s njima povezanu infrastrukturu, kao što su mrežni objekti i objekti za skladištenje, uključujući skladištenje toplinske energije, koji su potrebni kako bi ostvarile barem svoje nacionalne doprinose revidiranom cilju za 2030. u pogledu energije iz obnovljivih izvora.</w:t>
      </w:r>
      <w:r w:rsidRPr="00661250">
        <w:rPr>
          <w:b/>
          <w:i/>
          <w:shd w:val="clear" w:color="auto" w:fill="FFFFFF"/>
        </w:rPr>
        <w:t xml:space="preserve"> </w:t>
      </w:r>
      <w:r w:rsidRPr="00661250">
        <w:rPr>
          <w:b/>
          <w:bCs/>
          <w:i/>
          <w:shd w:val="clear" w:color="auto" w:fill="FFFFFF"/>
        </w:rPr>
        <w:t>Takva područja, uključujući postojeća postrojenja i mehanizme suradnje, moraju biti razmjerna procijenjenim putanjama i ukupnom predviđenom instaliranom kapacitetu tehnologije za proizvodnju energije iz obnovljivih izvora utvrđenima u</w:t>
      </w:r>
      <w:r w:rsidRPr="00661250">
        <w:rPr>
          <w:shd w:val="clear" w:color="auto" w:fill="FFFFFF"/>
        </w:rPr>
        <w:t xml:space="preserve"> nacionalnim energetskim i klimatskim planovima. </w:t>
      </w:r>
      <w:r w:rsidRPr="00661250">
        <w:rPr>
          <w:b/>
          <w:i/>
          <w:shd w:val="clear" w:color="auto" w:fill="FFFFFF"/>
        </w:rPr>
        <w:t>Države članice trebale bi odrediti podskup takvih područja kao što su</w:t>
      </w:r>
      <w:r w:rsidRPr="00661250">
        <w:rPr>
          <w:shd w:val="clear" w:color="auto" w:fill="FFFFFF"/>
        </w:rPr>
        <w:t xml:space="preserve"> područja </w:t>
      </w:r>
      <w:r w:rsidRPr="00661250">
        <w:rPr>
          <w:b/>
          <w:i/>
          <w:shd w:val="clear" w:color="auto" w:fill="FFFFFF"/>
        </w:rPr>
        <w:t>ubrzane</w:t>
      </w:r>
      <w:r w:rsidRPr="00661250">
        <w:rPr>
          <w:shd w:val="clear" w:color="auto" w:fill="FFFFFF"/>
        </w:rPr>
        <w:t xml:space="preserve"> proizvodnje energije iz obnovljivih izvora. </w:t>
      </w:r>
      <w:r w:rsidRPr="00661250">
        <w:t>To su posebne lokacije na kopnu ili moru koje su osobito prikladne za postavljanje postrojenja za proizvodnju energije iz obnovljivih izvora, ▌ na kojima se ne očekuje da će uvođenje određene vrste energije iz obnovljivih izvora imati znatan utjecaj na okoliš s obzirom na posebnosti odabranog područja.</w:t>
      </w:r>
      <w:r w:rsidRPr="00661250">
        <w:rPr>
          <w:shd w:val="clear" w:color="auto" w:fill="FFFFFF"/>
        </w:rPr>
        <w:t xml:space="preserve"> </w:t>
      </w:r>
      <w:r w:rsidRPr="00661250">
        <w:t xml:space="preserve">Države članice </w:t>
      </w:r>
      <w:r w:rsidRPr="00661250">
        <w:lastRenderedPageBreak/>
        <w:t xml:space="preserve">trebale bi dati prednost umjetnim i izgrađenim površinama, kao što su krovovi </w:t>
      </w:r>
      <w:r w:rsidRPr="00661250">
        <w:rPr>
          <w:b/>
          <w:i/>
        </w:rPr>
        <w:t>i pročelja zgrada</w:t>
      </w:r>
      <w:r w:rsidRPr="00661250">
        <w:t xml:space="preserve">, prometna infrastruktura </w:t>
      </w:r>
      <w:r w:rsidRPr="00661250">
        <w:rPr>
          <w:b/>
          <w:bCs/>
          <w:i/>
          <w:iCs/>
        </w:rPr>
        <w:t>i njezino izravno okruženje</w:t>
      </w:r>
      <w:r w:rsidRPr="00661250">
        <w:t xml:space="preserve">, parkirališta, </w:t>
      </w:r>
      <w:r w:rsidRPr="00661250">
        <w:rPr>
          <w:b/>
          <w:i/>
        </w:rPr>
        <w:t>poljoprivredna gospodarstva,</w:t>
      </w:r>
      <w:r w:rsidRPr="00661250">
        <w:t xml:space="preserve"> odlagališta otpada, industrijska područja, rudnici, umjetna kopnena vodna tijela, jezera ili akumulacije te, prema potrebi, mjesta za pročišćavanje komunalnih otpadnih voda, kao i degradirana zemljišta koja se ne mogu koristiti za poljoprivredu. </w:t>
      </w:r>
      <w:r w:rsidRPr="00661250">
        <w:rPr>
          <w:b/>
          <w:i/>
        </w:rPr>
        <w:t>Direktivom (EU) 2018/2001 također se utvrđuje da države članice mogu donijeti plan ili planove za određivanje namjenskih infrastrukturnih područja za razvoj projekata povezanih s mrežom i skladištenjem koji su potrebni za integraciju energije iz obnovljivih izvora u elektroenergetski sustav ako se ne očekuje da će to imati znatne učinke na okoliš ili ako se ti učinci mogu propisno ublažiti ili, ako to nije moguće, kompenzirati. Cilj je takvih područja podržati i dopuniti područja ubrzane proizvodnje energije iz obnovljivih izvora.</w:t>
      </w:r>
      <w:r w:rsidRPr="00661250">
        <w:rPr>
          <w:b/>
          <w:i/>
          <w:shd w:val="clear" w:color="auto" w:fill="FFFFFF"/>
        </w:rPr>
        <w:t xml:space="preserve"> </w:t>
      </w:r>
      <w:r w:rsidRPr="00661250">
        <w:rPr>
          <w:shd w:val="clear" w:color="auto" w:fill="FFFFFF"/>
        </w:rPr>
        <w:t xml:space="preserve">Pri određivanju područja </w:t>
      </w:r>
      <w:r w:rsidRPr="00661250">
        <w:rPr>
          <w:b/>
          <w:i/>
          <w:shd w:val="clear" w:color="auto" w:fill="FFFFFF"/>
        </w:rPr>
        <w:t>ubrzane</w:t>
      </w:r>
      <w:r w:rsidRPr="00661250">
        <w:rPr>
          <w:shd w:val="clear" w:color="auto" w:fill="FFFFFF"/>
        </w:rPr>
        <w:t xml:space="preserve"> proizvodnje energije iz obnovljivih izvora </w:t>
      </w:r>
      <w:r w:rsidRPr="00661250">
        <w:rPr>
          <w:b/>
          <w:i/>
          <w:shd w:val="clear" w:color="auto" w:fill="FFFFFF"/>
        </w:rPr>
        <w:t>i namjenskih infrastrukturnih područja</w:t>
      </w:r>
      <w:r w:rsidRPr="00661250">
        <w:rPr>
          <w:shd w:val="clear" w:color="auto" w:fill="FFFFFF"/>
        </w:rPr>
        <w:t xml:space="preserve"> države članice trebale bi izbjegavati zaštićena područja i uzeti u obzir nacionalne planove obnove prirode. Države članice trebale bi uskladiti razvoj nacionalnih planova obnove s </w:t>
      </w:r>
      <w:r w:rsidRPr="00661250">
        <w:rPr>
          <w:b/>
          <w:bCs/>
          <w:i/>
          <w:iCs/>
          <w:shd w:val="clear" w:color="auto" w:fill="FFFFFF"/>
        </w:rPr>
        <w:t>izradom karata područja potrebnih za nacionalni doprinos revidiranom cilju za energiju iz obnovljivih izvora do 2030. kao i, prema potrebi, s</w:t>
      </w:r>
      <w:r w:rsidRPr="00661250">
        <w:rPr>
          <w:shd w:val="clear" w:color="auto" w:fill="FFFFFF"/>
        </w:rPr>
        <w:t xml:space="preserve"> određivanjem područja </w:t>
      </w:r>
      <w:r w:rsidRPr="00661250">
        <w:rPr>
          <w:b/>
          <w:i/>
          <w:shd w:val="clear" w:color="auto" w:fill="FFFFFF"/>
        </w:rPr>
        <w:t>ubrzane</w:t>
      </w:r>
      <w:r w:rsidRPr="00661250">
        <w:rPr>
          <w:shd w:val="clear" w:color="auto" w:fill="FFFFFF"/>
        </w:rPr>
        <w:t xml:space="preserve"> proizvodnje energije iz obnovljivih izvora </w:t>
      </w:r>
      <w:r w:rsidRPr="00661250">
        <w:rPr>
          <w:b/>
          <w:i/>
          <w:shd w:val="clear" w:color="auto" w:fill="FFFFFF"/>
        </w:rPr>
        <w:t>i namjenskih mrežnih područja</w:t>
      </w:r>
      <w:r w:rsidRPr="00661250">
        <w:rPr>
          <w:shd w:val="clear" w:color="auto" w:fill="FFFFFF"/>
        </w:rPr>
        <w:t xml:space="preserve">. </w:t>
      </w:r>
      <w:r w:rsidRPr="00661250">
        <w:t xml:space="preserve">Tijekom izrade planova za obnovu prirode države članice trebale bi osigurati sinergiju </w:t>
      </w:r>
      <w:r w:rsidRPr="00661250">
        <w:rPr>
          <w:b/>
          <w:bCs/>
          <w:i/>
        </w:rPr>
        <w:t>s izgradnjom infrastrukture za energiju iz obnovljivih izvora i energetske infrastrukture te</w:t>
      </w:r>
      <w:r w:rsidRPr="00661250">
        <w:t xml:space="preserve"> s već određenim </w:t>
      </w:r>
      <w:r w:rsidRPr="00661250">
        <w:rPr>
          <w:b/>
          <w:i/>
        </w:rPr>
        <w:t>područjima ubrzane</w:t>
      </w:r>
      <w:r w:rsidRPr="00661250">
        <w:t xml:space="preserve"> proizvodnje energije iz obnovljivih izvora </w:t>
      </w:r>
      <w:r w:rsidRPr="00661250">
        <w:rPr>
          <w:b/>
          <w:i/>
        </w:rPr>
        <w:t>i namjenskim mrežnim</w:t>
      </w:r>
      <w:r w:rsidRPr="00661250">
        <w:t xml:space="preserve"> područjima, kao i to da funkcioniranje </w:t>
      </w:r>
      <w:r w:rsidRPr="00661250">
        <w:rPr>
          <w:b/>
          <w:i/>
        </w:rPr>
        <w:t>tih</w:t>
      </w:r>
      <w:r w:rsidRPr="00661250">
        <w:t xml:space="preserve"> područja za proizvodnju energije iz obnovljivih izvora, uključujući postupke izdavanja dozvola primjenjive u </w:t>
      </w:r>
      <w:r w:rsidRPr="00661250">
        <w:rPr>
          <w:b/>
          <w:bCs/>
          <w:i/>
          <w:iCs/>
        </w:rPr>
        <w:t>tim</w:t>
      </w:r>
      <w:r w:rsidRPr="00661250">
        <w:t xml:space="preserve"> područjima za proizvodnju energije iz obnovljivih izvora predviđene Direktivom (EU) 2018/2001, ostane nepromijenjeno.</w:t>
      </w:r>
    </w:p>
    <w:p w:rsidR="008D1BE3" w:rsidRPr="00661250" w:rsidRDefault="008D1BE3" w:rsidP="00325B91">
      <w:pPr>
        <w:widowControl/>
        <w:suppressAutoHyphens/>
        <w:spacing w:before="120" w:after="120" w:line="360" w:lineRule="auto"/>
        <w:ind w:left="851" w:hanging="851"/>
        <w:rPr>
          <w:szCs w:val="24"/>
        </w:rPr>
      </w:pPr>
      <w:r w:rsidRPr="00661250">
        <w:t>(62)</w:t>
      </w:r>
      <w:r w:rsidRPr="00661250">
        <w:tab/>
        <w:t>Kako bi se postigle sinergije s mjerama obnove koje su već planirane ili uspostavljene u državama članicama, te mjere obnove prepoznaju se i uzimaju u obzir u nacionalnim planovima obnove. S obzirom na hitnost na koju se ukazalo u izvješću IPCC-a iz 2022. o poduzimanju djelovanja za obnovu narušenih ekosustava, države članice trebale bi provesti te mjere istodobno s izradom planova obnove.</w:t>
      </w:r>
    </w:p>
    <w:p w:rsidR="008D1BE3" w:rsidRPr="00661250" w:rsidRDefault="008D1BE3" w:rsidP="00325B91">
      <w:pPr>
        <w:widowControl/>
        <w:suppressAutoHyphens/>
        <w:spacing w:before="120" w:after="120" w:line="360" w:lineRule="auto"/>
        <w:ind w:left="851" w:hanging="851"/>
        <w:rPr>
          <w:rFonts w:eastAsia="Calibri"/>
          <w:szCs w:val="24"/>
        </w:rPr>
      </w:pPr>
      <w:bookmarkStart w:id="23" w:name="_Hlk136778969"/>
      <w:r w:rsidRPr="00661250">
        <w:t>(63)</w:t>
      </w:r>
      <w:r w:rsidRPr="00661250">
        <w:tab/>
        <w:t xml:space="preserve">U nacionalnim planovima obnove </w:t>
      </w:r>
      <w:r w:rsidRPr="00661250">
        <w:rPr>
          <w:b/>
          <w:i/>
        </w:rPr>
        <w:t>i mjerama za obnovu staništa te mjerama za sprečavanje pogoršanja stanja staništa</w:t>
      </w:r>
      <w:r w:rsidRPr="00661250">
        <w:t xml:space="preserve"> trebalo bi uzeti u obzir i rezultate istraživačkih projekata relevantnih za procjenu stanja ekosustavâ, utvrđivanje i uspostavu mjera obnove i praćenje te</w:t>
      </w:r>
      <w:r w:rsidRPr="00661250">
        <w:rPr>
          <w:b/>
          <w:i/>
        </w:rPr>
        <w:t xml:space="preserve">, prema potrebi, uzeti u obzir raznolikost situacija u različitim regijama </w:t>
      </w:r>
      <w:r w:rsidRPr="00661250">
        <w:rPr>
          <w:b/>
          <w:i/>
        </w:rPr>
        <w:lastRenderedPageBreak/>
        <w:t>Unije, u skladu s člankom 191. stavkom 2. Ugovora o funkcioniranju Europske unije (UFEU), kao što su socijalni, gospodarski i kulturni zahtjevi te regionalne i lokalne značajke, uključujući gustoću naseljenosti</w:t>
      </w:r>
      <w:r w:rsidRPr="00661250">
        <w:t xml:space="preserve">. </w:t>
      </w:r>
    </w:p>
    <w:p w:rsidR="008D1BE3" w:rsidRPr="00661250" w:rsidRDefault="008D1BE3" w:rsidP="00325B91">
      <w:pPr>
        <w:widowControl/>
        <w:suppressAutoHyphens/>
        <w:spacing w:before="120" w:after="120" w:line="360" w:lineRule="auto"/>
        <w:ind w:left="851" w:hanging="851"/>
        <w:rPr>
          <w:rFonts w:eastAsia="Calibri"/>
          <w:szCs w:val="24"/>
        </w:rPr>
      </w:pPr>
      <w:bookmarkStart w:id="24" w:name="_Hlk136800230"/>
      <w:bookmarkEnd w:id="23"/>
      <w:r w:rsidRPr="00661250">
        <w:t>(64)</w:t>
      </w:r>
      <w:r w:rsidRPr="00661250">
        <w:tab/>
        <w:t>Primjereno je uzeti u obzir posebnu situaciju u najudaljenijim regijama Unije, navedenima u članku 349. Ugovora o funkcioniranju Europske unije (UFEU), u kojem su propisane posebne mjere za potporu tim regijama. Kako je predviđeno u Strategiji EU-a za bioraznolikost do 2030., posebna pozornost trebala bi se posvetiti zaštiti i obnovi ekosustava u najudaljenijim regijama zbog iznimno velike vrijednosti bioraznolikosti.</w:t>
      </w:r>
      <w:r w:rsidRPr="00661250">
        <w:rPr>
          <w:b/>
          <w:i/>
        </w:rPr>
        <w:t xml:space="preserve"> Istodobno bi, osobito pri izradi nacionalnih planova obnove, trebalo uzeti u obzir povezane troškove zaštite i obnove tih ekosustava te udaljenost, izoliranost, malu površinu, nepovoljnu topografiju i klimu najudaljenijih područja.</w:t>
      </w:r>
      <w:r w:rsidRPr="00661250">
        <w:rPr>
          <w:i/>
        </w:rPr>
        <w:t xml:space="preserve"> </w:t>
      </w:r>
      <w:r w:rsidRPr="00661250">
        <w:rPr>
          <w:b/>
          <w:i/>
        </w:rPr>
        <w:t>Države članice potiču se da na dobrovoljnoj osnovi uključe posebne mjere obnove u najudaljenijim regijama koje nisu obuhvaćene područjem primjene ove Uredbe.</w:t>
      </w:r>
      <w:r w:rsidRPr="00661250">
        <w:t xml:space="preserve"> </w:t>
      </w:r>
    </w:p>
    <w:bookmarkEnd w:id="24"/>
    <w:p w:rsidR="008D1BE3" w:rsidRPr="00661250" w:rsidRDefault="008D1BE3" w:rsidP="00325B91">
      <w:pPr>
        <w:widowControl/>
        <w:suppressAutoHyphens/>
        <w:spacing w:before="120" w:after="120" w:line="360" w:lineRule="auto"/>
        <w:ind w:left="851" w:hanging="851"/>
        <w:rPr>
          <w:rFonts w:eastAsia="Calibri"/>
          <w:szCs w:val="24"/>
        </w:rPr>
      </w:pPr>
      <w:r w:rsidRPr="00661250">
        <w:t>(65)</w:t>
      </w:r>
      <w:r w:rsidRPr="00661250">
        <w:tab/>
        <w:t>Europska agencija za okoliš (EEA) trebala bi pomoći državama članicama u izradi nacionalnih planova obnove te u praćenju napretka prema postizanju ciljeva i ispunjavanju obveza u pogledu obnove. Komisija bi trebala procijeniti jesu li nacionalni planovi obnove primjereni za postizanje tih ciljeva i ispunjavanje tih obveza.</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(66)</w:t>
      </w:r>
      <w:r w:rsidRPr="00661250">
        <w:tab/>
        <w:t>Izvješće Komisije o stanju prirode iz 2020. pokazalo je da znatan dio informacija o kojima države članice izvješćuju u skladu s člankom 17. Direktive Vijeća 92/43/EEZ</w:t>
      </w:r>
      <w:r w:rsidRPr="00661250">
        <w:rPr>
          <w:rFonts w:eastAsia="Calibri"/>
          <w:szCs w:val="24"/>
          <w:vertAlign w:val="superscript"/>
          <w:lang w:eastAsia="en-US"/>
        </w:rPr>
        <w:footnoteReference w:id="51"/>
      </w:r>
      <w:r w:rsidRPr="00661250">
        <w:t xml:space="preserve"> i člankom 12. Direktive 2009/147/EZ, osobito o stanju očuvanosti i trendovima staništa i vrsta zaštićenih tim direktivama, potječe iz djelomičnih istraživanja ili se temelji samo na mišljenju stručnjaka. To je izvješće pokazalo i da stanje nekoliko stanišnih tipova i vrsta zaštićenih na temelju Direktive 92/43/EEZ još uvijek nije poznato. Kako bi se podržali pouzdani i znanstveno utemeljeni nacionalni planovi obnove, potrebno je doznati podatke koji nedostaju i uložiti u praćenje i nadzor. Kako bi se povećala pravodobnost, djelotvornost i usklađenost različitih metoda praćenja, pri praćenju i nadzoru trebalo bi se u najvećoj mogućoj mjeri koristiti rezultatima istraživačkih i inovacijskih projekata koje financira Unija i novim tehnologijama, kao što su </w:t>
      </w:r>
      <w:r w:rsidRPr="00661250">
        <w:rPr>
          <w:i/>
          <w:iCs/>
        </w:rPr>
        <w:t>in situ</w:t>
      </w:r>
      <w:r w:rsidRPr="00661250">
        <w:t xml:space="preserve"> praćenje i daljinsko istraživanje s pomoću svemirskih podataka i usluga u okviru Svemirskog programa Unije (EGNOS/Galileo i Copernicus). Misijama EU-a „Obnova naših oceana i voda”, „Prilagodba klimatskim promjenama” i „Plan za tlo za Europu” podržat će se provedba ciljeva obnove</w:t>
      </w:r>
      <w:r w:rsidRPr="00661250">
        <w:rPr>
          <w:rFonts w:eastAsia="Calibri"/>
          <w:szCs w:val="24"/>
          <w:vertAlign w:val="superscript"/>
          <w:lang w:eastAsia="en-US"/>
        </w:rPr>
        <w:footnoteReference w:id="52"/>
      </w:r>
      <w:r w:rsidRPr="00661250">
        <w:t>.</w:t>
      </w:r>
    </w:p>
    <w:p w:rsidR="008D1BE3" w:rsidRPr="00661250" w:rsidRDefault="008D1BE3" w:rsidP="00325B91">
      <w:pPr>
        <w:widowControl/>
        <w:suppressAutoHyphens/>
        <w:spacing w:before="120" w:after="120" w:line="360" w:lineRule="auto"/>
        <w:ind w:left="851" w:hanging="851"/>
        <w:rPr>
          <w:rFonts w:eastAsia="Calibri"/>
          <w:b/>
          <w:i/>
          <w:szCs w:val="24"/>
        </w:rPr>
      </w:pPr>
      <w:r w:rsidRPr="00661250">
        <w:rPr>
          <w:b/>
          <w:i/>
        </w:rPr>
        <w:t>(66.a) S obzirom na posebne tehničke i financijske izazove povezane s izradom karata i praćenjem morskog okoliša, države članice mogu, kao dopunu informacijama dostavljenima u skladu s člankom 17. Direktive 92/43/EEZ i u skladu s člankom 17. Direktive 2008/56/EZ, upotrebljavati informacije o pritiscima i prijetnjama ili druge relevantne informacije kao temelj za ekstrapolaciju pri procjeni stanja morskih staništa navedenih u Prilogu II. Takav se pristup stoga može upotrijebiti i kao temelj za planiranje mjera obnove morskih staništa u skladu s ovom Uredbom. Ukupna procjena stanja morskih staništa navedenih u Prilogu II. trebala bi se temeljiti na najboljim dostupnim spoznajama te najnovijem tehničkom i znanstvenom napretku.</w:t>
      </w:r>
    </w:p>
    <w:p w:rsidR="008D1BE3" w:rsidRPr="00661250" w:rsidRDefault="008D1BE3" w:rsidP="00325B91">
      <w:pPr>
        <w:widowControl/>
        <w:suppressAutoHyphens/>
        <w:spacing w:before="120" w:after="120" w:line="360" w:lineRule="auto"/>
        <w:ind w:left="851" w:hanging="851"/>
        <w:rPr>
          <w:rFonts w:eastAsia="Calibri"/>
          <w:b/>
          <w:szCs w:val="24"/>
          <w:u w:val="single"/>
        </w:rPr>
      </w:pPr>
      <w:r w:rsidRPr="00661250">
        <w:br w:type="page"/>
      </w:r>
    </w:p>
    <w:p w:rsidR="008D1BE3" w:rsidRPr="00661250" w:rsidRDefault="008D1BE3" w:rsidP="00325B91">
      <w:pPr>
        <w:widowControl/>
        <w:suppressAutoHyphens/>
        <w:spacing w:before="120" w:after="120" w:line="360" w:lineRule="auto"/>
        <w:ind w:left="851" w:hanging="851"/>
        <w:rPr>
          <w:rFonts w:eastAsia="Calibri"/>
          <w:szCs w:val="24"/>
        </w:rPr>
      </w:pPr>
      <w:r w:rsidRPr="00661250">
        <w:lastRenderedPageBreak/>
        <w:t>(67)</w:t>
      </w:r>
      <w:r w:rsidRPr="00661250">
        <w:tab/>
        <w:t>Radi praćenja napretka u provedbi nacionalnih planova obnove, uspostavljenih mjera obnove, područja koja podliježu mjerama obnove i podataka o inventaru prepreka kontinuitetu rijeka trebalo bi uvesti sustav kojim se od država članica traži da uspostave, ažuriraju i stave na raspolaganje relevantne podatke o rezultatima takvog praćenja. Pri slanju podataka Komisiji elektroničkim putem trebalo bi upotrebljavati sustav Reportnet Europske agencije za okoliš i nastojati što više smanjiti administrativno opterećenje za sve subjekte. Kako bi se osigurala odgovarajuća infrastruktura za javni pristup, izvješćivanje i razmjenu podataka među javnim tijelima, države članice bi specifikacije podataka prema potrebi trebale temeljiti na onima iz Direktive 2003/4/EZ Europskog parlamenta i Vijeća</w:t>
      </w:r>
      <w:r w:rsidRPr="00661250">
        <w:rPr>
          <w:rFonts w:eastAsia="Calibri"/>
          <w:szCs w:val="24"/>
          <w:vertAlign w:val="superscript"/>
          <w:lang w:eastAsia="en-US"/>
        </w:rPr>
        <w:footnoteReference w:id="53"/>
      </w:r>
      <w:r w:rsidRPr="00661250">
        <w:t>, Direktive 2007/2/EZ Europskog parlamenta i Vijeća</w:t>
      </w:r>
      <w:r w:rsidRPr="00661250">
        <w:rPr>
          <w:rFonts w:eastAsia="Calibri"/>
          <w:szCs w:val="24"/>
          <w:vertAlign w:val="superscript"/>
          <w:lang w:eastAsia="en-US"/>
        </w:rPr>
        <w:footnoteReference w:id="54"/>
      </w:r>
      <w:r w:rsidRPr="00661250">
        <w:t xml:space="preserve"> i Direktive (EU) 2019/1024 Europskog parlamenta i Vijeća</w:t>
      </w:r>
      <w:r w:rsidRPr="00661250">
        <w:rPr>
          <w:rFonts w:eastAsia="Calibri"/>
          <w:szCs w:val="24"/>
          <w:vertAlign w:val="superscript"/>
          <w:lang w:eastAsia="en-US"/>
        </w:rPr>
        <w:footnoteReference w:id="55"/>
      </w:r>
      <w:r w:rsidRPr="00661250">
        <w:t>.</w:t>
      </w:r>
    </w:p>
    <w:p w:rsidR="008D1BE3" w:rsidRPr="00661250" w:rsidRDefault="008D1BE3" w:rsidP="00325B91">
      <w:pPr>
        <w:widowControl/>
        <w:suppressAutoHyphens/>
        <w:spacing w:before="120" w:after="120" w:line="360" w:lineRule="auto"/>
        <w:ind w:left="851" w:hanging="851"/>
        <w:rPr>
          <w:rFonts w:eastAsia="Calibri"/>
          <w:color w:val="000000"/>
          <w:szCs w:val="24"/>
        </w:rPr>
      </w:pPr>
      <w:r w:rsidRPr="00661250">
        <w:t>(68)</w:t>
      </w:r>
      <w:r w:rsidRPr="00661250">
        <w:tab/>
        <w:t>Kako bi se zajamčila djelotvorna provedba ove Uredbe, Komisija bi trebala pružiti potporu državama članicama na njihov zahtjev putem Instrumenta za tehničku potporu</w:t>
      </w:r>
      <w:r w:rsidRPr="00661250">
        <w:rPr>
          <w:rFonts w:eastAsia="Calibri"/>
          <w:szCs w:val="24"/>
          <w:vertAlign w:val="superscript"/>
          <w:lang w:eastAsia="en-US"/>
        </w:rPr>
        <w:footnoteReference w:id="56"/>
      </w:r>
      <w:r w:rsidRPr="00661250">
        <w:t>, kojim se pruža korisniku prilagođena tehnička potpora za osmišljavanje i provedbu reformi. Tehnička potpora uključuje, na primjer, jačanje administrativnih kapaciteta, usklađivanje zakonodavnih okvira i razmjenu relevantnih primjera najbolje prakse.</w:t>
      </w:r>
    </w:p>
    <w:p w:rsidR="008D1BE3" w:rsidRPr="00661250" w:rsidRDefault="008D1BE3" w:rsidP="00325B91">
      <w:pPr>
        <w:widowControl/>
        <w:suppressAutoHyphens/>
        <w:spacing w:before="120" w:after="120" w:line="360" w:lineRule="auto"/>
        <w:ind w:left="851" w:hanging="851"/>
        <w:rPr>
          <w:rFonts w:eastAsia="Calibri"/>
          <w:szCs w:val="24"/>
        </w:rPr>
      </w:pPr>
      <w:r w:rsidRPr="00661250">
        <w:t>(69)</w:t>
      </w:r>
      <w:r w:rsidRPr="00661250">
        <w:tab/>
        <w:t>Komisija bi trebala izvijestiti o napretku država članica u ispunjavanju ciljeva i obveza u pogledu obnove iz ove Uredbe na temelju izvješća o napretku na razini Unije koje sastavlja EEA te drugih analiza i izvješća koje države članice stave na raspolaganje u relevantnim područjima politike, kao što su priroda, pomorstvo i vode.</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r w:rsidRPr="00661250">
        <w:lastRenderedPageBreak/>
        <w:t>(70)</w:t>
      </w:r>
      <w:r w:rsidRPr="00661250">
        <w:tab/>
        <w:t>Kako bi se postigli ciljevi i obveze utvrđeni u ovoj Uredbi, iznimno je važno da se provedu odgovarajuća privatna i javna ulaganja u obnovu, a države članice trebale bi u svoje nacionalne proračune uključiti rashode za ciljeve bioraznolikosti, među ostalim u vezi s oportunitetnim i prijelaznim troškovima koji proizlaze iz provedbe nacionalnih planova obnove, i razmotriti način na koji se troše sredstva Unije. Kad je riječ o financiranju sredstvima Unije, rashodi u okviru proračuna Unije i programa Unije za financiranje, kao što su Program za okoliš i djelovanje u području klime (LIFE)</w:t>
      </w:r>
      <w:r w:rsidRPr="00661250">
        <w:rPr>
          <w:rFonts w:eastAsia="Calibri"/>
          <w:szCs w:val="24"/>
          <w:vertAlign w:val="superscript"/>
          <w:lang w:eastAsia="en-US"/>
        </w:rPr>
        <w:footnoteReference w:id="57"/>
      </w:r>
      <w:r w:rsidRPr="00661250">
        <w:t>,</w:t>
      </w:r>
      <w:hyperlink r:id="rId9">
        <w:r w:rsidRPr="00661250">
          <w:t xml:space="preserve"> Europski fond za pomorstvo, ribarstvo i akvakulturu</w:t>
        </w:r>
      </w:hyperlink>
      <w:r w:rsidRPr="00661250">
        <w:t xml:space="preserve"> (EFPRA)</w:t>
      </w:r>
      <w:r w:rsidRPr="00661250">
        <w:rPr>
          <w:rFonts w:eastAsia="Calibri"/>
          <w:szCs w:val="24"/>
          <w:vertAlign w:val="superscript"/>
          <w:lang w:eastAsia="en-US"/>
        </w:rPr>
        <w:footnoteReference w:id="58"/>
      </w:r>
      <w:r w:rsidRPr="00661250">
        <w:t xml:space="preserve">, </w:t>
      </w:r>
      <w:hyperlink r:id="rId10">
        <w:r w:rsidRPr="00661250">
          <w:t>Europski poljoprivredni fond za ruralni razvoj</w:t>
        </w:r>
      </w:hyperlink>
      <w:r w:rsidRPr="00661250">
        <w:t xml:space="preserve"> (EPFRR)</w:t>
      </w:r>
      <w:r w:rsidRPr="00661250">
        <w:rPr>
          <w:rFonts w:eastAsia="Calibri"/>
          <w:szCs w:val="24"/>
          <w:vertAlign w:val="superscript"/>
          <w:lang w:eastAsia="en-US"/>
        </w:rPr>
        <w:footnoteReference w:id="59"/>
      </w:r>
      <w:r w:rsidRPr="00661250">
        <w:t xml:space="preserve">, </w:t>
      </w:r>
      <w:hyperlink r:id="rId11">
        <w:r w:rsidRPr="00661250">
          <w:t>Europski fond za jamstva u poljoprivredi</w:t>
        </w:r>
      </w:hyperlink>
      <w:r w:rsidRPr="00661250">
        <w:t xml:space="preserve"> (EFJP), </w:t>
      </w:r>
      <w:hyperlink r:id="rId12">
        <w:r w:rsidRPr="00661250">
          <w:t>Europski fond za regionalni razvoj</w:t>
        </w:r>
      </w:hyperlink>
      <w:r w:rsidRPr="00661250">
        <w:t xml:space="preserve"> (EFRR), </w:t>
      </w:r>
      <w:hyperlink r:id="rId13">
        <w:r w:rsidRPr="00661250">
          <w:t>Kohezijski fond</w:t>
        </w:r>
        <w:r w:rsidRPr="00661250">
          <w:rPr>
            <w:rFonts w:eastAsia="Calibri"/>
            <w:szCs w:val="24"/>
            <w:vertAlign w:val="superscript"/>
            <w:lang w:eastAsia="en-US"/>
          </w:rPr>
          <w:footnoteReference w:id="60"/>
        </w:r>
      </w:hyperlink>
      <w:r w:rsidRPr="00661250">
        <w:t xml:space="preserve"> i Fond za pravednu tranziciju</w:t>
      </w:r>
      <w:r w:rsidRPr="00661250">
        <w:rPr>
          <w:rFonts w:eastAsia="Calibri"/>
          <w:szCs w:val="24"/>
          <w:vertAlign w:val="superscript"/>
          <w:lang w:eastAsia="en-US"/>
        </w:rPr>
        <w:footnoteReference w:id="61"/>
      </w:r>
      <w:r w:rsidRPr="00661250">
        <w:t xml:space="preserve"> te Okvirni program Unije za istraživanja i inovacije Obzor Europa</w:t>
      </w:r>
      <w:r w:rsidRPr="00661250">
        <w:rPr>
          <w:rFonts w:eastAsia="Calibri"/>
          <w:color w:val="000000"/>
          <w:szCs w:val="24"/>
          <w:vertAlign w:val="superscript"/>
          <w:lang w:eastAsia="en-US"/>
        </w:rPr>
        <w:footnoteReference w:id="62"/>
      </w:r>
      <w:r w:rsidRPr="00661250">
        <w:t>, pridonose ciljevima bioraznolikosti zahvaljujući ambiciji da se tim ciljevima 2024. namijeni 7,5 % godišnje potrošnje u okviru višegodišnjeg financijskog okvira</w:t>
      </w:r>
      <w:r w:rsidRPr="00661250">
        <w:rPr>
          <w:rFonts w:eastAsia="Calibri"/>
          <w:color w:val="000000"/>
          <w:szCs w:val="24"/>
          <w:vertAlign w:val="superscript"/>
          <w:lang w:eastAsia="en-US"/>
        </w:rPr>
        <w:footnoteReference w:id="63"/>
      </w:r>
      <w:r w:rsidRPr="00661250">
        <w:t xml:space="preserve"> za razdoblje 2021.–2027. te da im se 2026. i 2027. namijeni 10 % godišnje potrošnje. </w:t>
      </w:r>
    </w:p>
    <w:p w:rsidR="008D1BE3" w:rsidRPr="00661250" w:rsidRDefault="008D1BE3" w:rsidP="00325B91">
      <w:pPr>
        <w:widowControl/>
        <w:suppressAutoHyphens/>
        <w:spacing w:before="120" w:after="120" w:line="360" w:lineRule="auto"/>
        <w:ind w:left="851" w:hanging="851"/>
        <w:rPr>
          <w:rFonts w:eastAsia="Calibri"/>
          <w:szCs w:val="24"/>
        </w:rPr>
      </w:pPr>
      <w:r w:rsidRPr="00661250">
        <w:br w:type="page"/>
      </w:r>
      <w:hyperlink r:id="rId14">
        <w:r w:rsidRPr="00661250">
          <w:t>Mehanizam za oporavak i otpornost</w:t>
        </w:r>
      </w:hyperlink>
      <w:r w:rsidRPr="00661250">
        <w:t xml:space="preserve"> (RRF)</w:t>
      </w:r>
      <w:r w:rsidRPr="00661250">
        <w:rPr>
          <w:rFonts w:eastAsia="Calibri"/>
          <w:szCs w:val="24"/>
          <w:vertAlign w:val="superscript"/>
          <w:lang w:eastAsia="en-US"/>
        </w:rPr>
        <w:footnoteReference w:id="64"/>
      </w:r>
      <w:r w:rsidRPr="00661250">
        <w:t xml:space="preserve"> dodatan je izvor financiranja za zaštitu i obnovu bioraznolikosti i ekosustava. Kad je riječ o programu LIFE, posebnu pozornost trebalo bi obratiti na odgovarajuću primjenu strateških projekata za prirodu kao posebnog alata koji bi mogao pomoći u provedbi ove Uredbe uključivanjem dostupnih financijskih sredstava na djelotvoran i učinkovit način.</w:t>
      </w:r>
    </w:p>
    <w:p w:rsidR="008D1BE3" w:rsidRPr="00661250" w:rsidRDefault="008D1BE3" w:rsidP="00325B91">
      <w:pPr>
        <w:widowControl/>
        <w:suppressAutoHyphens/>
        <w:spacing w:before="120" w:after="120" w:line="360" w:lineRule="auto"/>
        <w:ind w:left="851" w:hanging="851"/>
        <w:rPr>
          <w:rFonts w:eastAsia="Calibri"/>
          <w:szCs w:val="24"/>
        </w:rPr>
      </w:pPr>
      <w:r w:rsidRPr="00661250">
        <w:t>(71)</w:t>
      </w:r>
      <w:r w:rsidRPr="00661250">
        <w:tab/>
        <w:t>Dostupan je niz inicijativa EU-a te nacionalnih i privatnih inicijativa za poticanje privatnog financiranja, kao što je program InvestEU</w:t>
      </w:r>
      <w:r w:rsidRPr="00661250">
        <w:rPr>
          <w:rFonts w:eastAsia="Calibri"/>
          <w:szCs w:val="24"/>
          <w:vertAlign w:val="superscript"/>
          <w:lang w:eastAsia="en-US"/>
        </w:rPr>
        <w:footnoteReference w:id="65"/>
      </w:r>
      <w:r w:rsidRPr="00661250">
        <w:t>, koji nudi mogućnosti za mobilizaciju javnog i privatnog financiranja za, među ostalim, poboljšanje prirode i bioraznolikosti provedbom projekata zelene i plave infrastrukture te sekvestracije ugljika kao zelenog poslovnog modela</w:t>
      </w:r>
      <w:r w:rsidRPr="00661250">
        <w:rPr>
          <w:rFonts w:eastAsia="Calibri"/>
          <w:szCs w:val="24"/>
          <w:vertAlign w:val="superscript"/>
          <w:lang w:eastAsia="en-US"/>
        </w:rPr>
        <w:footnoteReference w:id="66"/>
      </w:r>
      <w:r w:rsidRPr="00661250">
        <w:t>.</w:t>
      </w:r>
    </w:p>
    <w:p w:rsidR="008D1BE3" w:rsidRPr="00661250" w:rsidRDefault="008D1BE3" w:rsidP="00325B91">
      <w:pPr>
        <w:widowControl/>
        <w:suppressAutoHyphens/>
        <w:spacing w:before="120" w:after="120" w:line="360" w:lineRule="auto"/>
        <w:ind w:left="851" w:hanging="851"/>
        <w:rPr>
          <w:rFonts w:eastAsia="Calibri"/>
          <w:b/>
          <w:bCs/>
          <w:i/>
          <w:szCs w:val="22"/>
        </w:rPr>
      </w:pPr>
      <w:r w:rsidRPr="00661250">
        <w:rPr>
          <w:b/>
          <w:i/>
        </w:rPr>
        <w:t>(71.a)</w:t>
      </w:r>
      <w:r w:rsidRPr="00661250">
        <w:rPr>
          <w:b/>
          <w:i/>
        </w:rPr>
        <w:tab/>
        <w:t>Kako bi se osigurala provedba ove Uredbe, ključna su odgovarajuća privatna i javna ulaganja za mjere obnove prirode. Stoga bi Komisija u roku od 12 mjeseci od njezina stupanja na snagu i uz savjetovanje s državama članicama trebala podnijeti izvješće s analizom u kojoj se utvrđuju svi nedostaci u provedbi ove Uredbe. To bi izvješće prema potrebi trebalo biti popraćeno prijedlozima odgovarajućih mjera, uključujući financijske mjere za otklanjanje utvrđenih nedostataka, kao što je uspostava namjenskog financiranja, i ne dovodeći u pitanje ovlasti suzakonodavaca za donošenje sljedećeg višegodišnjeg financijskog okvira za razdoblje nakon 2027.</w:t>
      </w:r>
    </w:p>
    <w:p w:rsidR="008D1BE3" w:rsidRPr="00661250" w:rsidRDefault="008D1BE3" w:rsidP="00325B91">
      <w:pPr>
        <w:widowControl/>
        <w:suppressAutoHyphens/>
        <w:spacing w:before="120" w:after="120" w:line="360" w:lineRule="auto"/>
        <w:ind w:left="851" w:hanging="851"/>
        <w:rPr>
          <w:rFonts w:eastAsia="Calibri"/>
          <w:b/>
          <w:i/>
          <w:szCs w:val="24"/>
        </w:rPr>
      </w:pPr>
      <w:r w:rsidRPr="00661250">
        <w:br w:type="page"/>
      </w:r>
      <w:r w:rsidR="00325B91">
        <w:rPr>
          <w:b/>
          <w:i/>
        </w:rPr>
        <w:lastRenderedPageBreak/>
        <w:t>(71.b)</w:t>
      </w:r>
      <w:r w:rsidR="00325B91">
        <w:rPr>
          <w:b/>
          <w:i/>
        </w:rPr>
        <w:tab/>
      </w:r>
      <w:r w:rsidRPr="00661250">
        <w:rPr>
          <w:b/>
          <w:i/>
        </w:rPr>
        <w:t xml:space="preserve">U skladu s ustaljenom sudskom praksom Suda, prema načelu lojalne suradnje utvrđenom u članku 4. stavku 3. Ugovora o Europskoj uniji (UEU), sudovi država članica odgovorni su za osiguravanje sudske zaštite prava koja osoba ima na temelju prava Unije. Nadalje, člankom 19. stavkom 1. UEU-a od država članica zahtijeva se da osiguraju pravne lijekove dostatne za osiguranje učinkovite pravne zaštite u područjima obuhvaćenima pravom Unije. Unija i njezine države članice stranke su Konvencije Gospodarske komisije Ujedinjenih naroda za Europu (UNECE) o pristupu informacijama, sudjelovanju javnosti u odlučivanju i pristupu pravosuđu u pitanjima okoliša („Aarhuška konvencija”). U skladu s Aarhuškom konvencijom države članice trebale bi osigurati da, u skladu s relevantnim nacionalnim pravnim sustavom, pripadnici zainteresirane javnosti imaju pristup pravosuđu. </w:t>
      </w:r>
    </w:p>
    <w:p w:rsidR="008D1BE3" w:rsidRPr="00661250" w:rsidRDefault="008D1BE3" w:rsidP="00325B91">
      <w:pPr>
        <w:widowControl/>
        <w:suppressAutoHyphens/>
        <w:spacing w:before="120" w:after="120" w:line="360" w:lineRule="auto"/>
        <w:ind w:left="851" w:hanging="851"/>
        <w:rPr>
          <w:rFonts w:eastAsia="Calibri"/>
          <w:szCs w:val="24"/>
        </w:rPr>
      </w:pPr>
      <w:r w:rsidRPr="00661250">
        <w:t>(72)</w:t>
      </w:r>
      <w:r w:rsidRPr="00661250">
        <w:tab/>
        <w:t xml:space="preserve">Pri izradi i provedbi svojih nacionalnih planova obnove države članice trebale bi promicati pošten pristup kojim se obuhvaćaju svi dijelovi društva tako što će predvidjeti procese za sudjelovanje javnosti i razmotriti potrebe lokalnih zajednica i dionika. </w:t>
      </w:r>
    </w:p>
    <w:p w:rsidR="008D1BE3" w:rsidRPr="00661250" w:rsidRDefault="008D1BE3" w:rsidP="00325B91">
      <w:pPr>
        <w:widowControl/>
        <w:suppressAutoHyphens/>
        <w:spacing w:before="120" w:after="120" w:line="360" w:lineRule="auto"/>
        <w:ind w:left="851" w:hanging="851"/>
        <w:rPr>
          <w:rFonts w:eastAsia="Calibri"/>
          <w:szCs w:val="24"/>
        </w:rPr>
      </w:pPr>
      <w:r w:rsidRPr="00661250">
        <w:t>(73)</w:t>
      </w:r>
      <w:r w:rsidRPr="00661250">
        <w:tab/>
        <w:t>Prema Uredbi (EU) 2021/2115 Europskog parlamenta i Vijeća</w:t>
      </w:r>
      <w:r w:rsidRPr="00661250">
        <w:rPr>
          <w:rFonts w:eastAsia="Calibri"/>
          <w:szCs w:val="24"/>
          <w:vertAlign w:val="superscript"/>
          <w:lang w:eastAsia="en-US"/>
        </w:rPr>
        <w:footnoteReference w:id="67"/>
      </w:r>
      <w:r w:rsidRPr="00661250">
        <w:t xml:space="preserve"> strateški planovi u okviru ZPP-a trebali bi pridonijeti postizanju dugoročnih nacionalnih ciljnih vrijednosti koje su utvrđene u zakonodavnim aktima navedenima u Prilogu XIII. toj uredbi ili proizlaze iz njih te bi trebali biti usklađeni s tim ciljnim vrijednostima. Ovu Uredbu o obnovi prirode trebalo bi uzeti u obzir kad Komisija, u skladu s člankom 159. Uredbe (EU) 2021/2115, do 31. prosinca 2025. bude preispitivala popis utvrđen u Prilogu XIII. toj uredbi.</w:t>
      </w:r>
    </w:p>
    <w:p w:rsidR="008D1BE3" w:rsidRPr="00661250" w:rsidRDefault="008D1BE3" w:rsidP="00325B91">
      <w:pPr>
        <w:widowControl/>
        <w:suppressAutoHyphens/>
        <w:spacing w:before="120" w:after="120" w:line="360" w:lineRule="auto"/>
        <w:ind w:left="851" w:hanging="851"/>
        <w:rPr>
          <w:rFonts w:eastAsia="Calibri"/>
          <w:szCs w:val="24"/>
        </w:rPr>
      </w:pPr>
      <w:r w:rsidRPr="00661250">
        <w:t>(74)</w:t>
      </w:r>
      <w:r w:rsidRPr="00661250">
        <w:tab/>
        <w:t>U skladu s obvezom iz Osmog programa djelovanja za okoliš do 2030.</w:t>
      </w:r>
      <w:r w:rsidRPr="00661250">
        <w:rPr>
          <w:rFonts w:eastAsia="Calibri"/>
          <w:szCs w:val="24"/>
          <w:vertAlign w:val="superscript"/>
          <w:lang w:eastAsia="en-US"/>
        </w:rPr>
        <w:footnoteReference w:id="68"/>
      </w:r>
      <w:r w:rsidRPr="00661250">
        <w:t xml:space="preserve"> države članice trebale bi postupno ukinuti subvencije štetne za okoliš na nacionalnoj razini te ostvarivati najveću moguću korist od instrumenata koji se temelje na tržištu i zelenih proračunskih instrumenata, uključujući one koji su potrebni za osiguravanje socijalno pravedne tranzicije, te podupirati poduzeća i druge dionike u razvoju standardizirane prakse za računovodstvo prirodnog kapitala.</w:t>
      </w:r>
    </w:p>
    <w:p w:rsidR="008D1BE3" w:rsidRPr="00661250" w:rsidRDefault="008D1BE3" w:rsidP="00325B91">
      <w:pPr>
        <w:widowControl/>
        <w:suppressAutoHyphens/>
        <w:spacing w:before="120" w:after="120" w:line="360" w:lineRule="auto"/>
        <w:ind w:left="851" w:hanging="851"/>
        <w:rPr>
          <w:rFonts w:eastAsia="Calibri"/>
          <w:szCs w:val="24"/>
        </w:rPr>
      </w:pPr>
      <w:r w:rsidRPr="00661250">
        <w:t>(75)</w:t>
      </w:r>
      <w:r w:rsidRPr="00661250">
        <w:tab/>
        <w:t xml:space="preserve">Kako bi se osigurala potrebna prilagodba ove Uredbe, Komisiji bi trebalo delegirati ovlast za donošenje akata u skladu s člankom 290. UFEU-a u pogledu izmjene priloga od I. do </w:t>
      </w:r>
      <w:r w:rsidRPr="00661250">
        <w:lastRenderedPageBreak/>
        <w:t xml:space="preserve">VII. radi prilagodbe </w:t>
      </w:r>
      <w:r w:rsidRPr="00661250">
        <w:rPr>
          <w:b/>
          <w:i/>
        </w:rPr>
        <w:t>skupina</w:t>
      </w:r>
      <w:r w:rsidRPr="00661250">
        <w:t xml:space="preserve"> staništa, prilagodbe </w:t>
      </w:r>
      <w:r w:rsidRPr="00661250">
        <w:rPr>
          <w:b/>
          <w:i/>
        </w:rPr>
        <w:t>popisa vrsta ptica upotrebljenog za</w:t>
      </w:r>
      <w:r w:rsidRPr="00661250">
        <w:t xml:space="preserve"> indeks čestih vrsta ptica poljoprivrednih staništa te prilagodbe popisa pokazatelja bioraznolikosti za poljoprivredne ekosustave, popisa pokazatelja bioraznolikosti za šumske ekosustave i popisa morskih </w:t>
      </w:r>
      <w:r w:rsidRPr="00661250">
        <w:rPr>
          <w:b/>
        </w:rPr>
        <w:t>staništa i</w:t>
      </w:r>
      <w:r w:rsidRPr="00661250">
        <w:t xml:space="preserve"> vrsta, ▌ kao i prilagodbe primjera mjera obnove </w:t>
      </w:r>
      <w:r w:rsidRPr="00661250">
        <w:rPr>
          <w:b/>
          <w:i/>
        </w:rPr>
        <w:t>tehničkom i znanstvenom napretku, kako bi se uzelo u obzir iskustvo stečeno primjenom Uredbe ili osigurala dosljednost sa stanišnim tipovima prema EUNIS-u</w:t>
      </w:r>
      <w:r w:rsidRPr="00661250">
        <w:t xml:space="preserve">. Posebno je važno da Komisija tijekom svojeg pripremnog rada provede </w:t>
      </w:r>
      <w:r w:rsidRPr="00661250">
        <w:rPr>
          <w:b/>
          <w:i/>
        </w:rPr>
        <w:t>procjene učinka i</w:t>
      </w:r>
      <w:r w:rsidRPr="00661250">
        <w:t xml:space="preserve"> odgovarajuća savjetovanja, uključujući ona na razini stručnjaka, ▌ u skladu s načelima utvrđenima u Međuinstitucijskom sporazumu o boljoj izradi zakonodavstva od 13. travnja 2016</w:t>
      </w:r>
      <w:r w:rsidR="00F53FDE">
        <w:t>.</w:t>
      </w:r>
      <w:r w:rsidR="00F53FDE">
        <w:rPr>
          <w:rStyle w:val="FootnoteReference"/>
        </w:rPr>
        <w:footnoteReference w:id="69"/>
      </w:r>
      <w:r w:rsidRPr="00661250">
        <w:t>. Osobito, s ciljem osiguravanja ravnopravnog sudjelovanja u pripremi delegiranih akata, Europski parlament i Vijeće primaju sve dokumente istodobno kada i stručnjaci iz država članica te njihovi stručnjaci sustavno imaju pristup sastancima stručnih skupina Komisije koji se odnose na pripremu delegiranih akata.</w:t>
      </w:r>
    </w:p>
    <w:p w:rsidR="008D1BE3" w:rsidRPr="00661250" w:rsidRDefault="008D1BE3" w:rsidP="00325B91">
      <w:pPr>
        <w:widowControl/>
        <w:suppressAutoHyphens/>
        <w:spacing w:before="120" w:after="120" w:line="360" w:lineRule="auto"/>
        <w:ind w:left="851" w:hanging="851"/>
        <w:rPr>
          <w:rFonts w:eastAsia="Calibri"/>
          <w:szCs w:val="24"/>
        </w:rPr>
      </w:pPr>
      <w:r w:rsidRPr="00661250">
        <w:t>(76)</w:t>
      </w:r>
      <w:r w:rsidRPr="00661250">
        <w:tab/>
        <w:t xml:space="preserve">Radi osiguravanja jedinstvenih uvjeta za provedbu ove Uredbe Komisiji bi trebalo dodijeliti provedbene ovlasti kako bi se utvrdile metoda za praćenje oprašivača i metode za praćenje pokazatelja za poljoprivredne ekosustave navedenih u Prilogu IV. ovoj Uredbi i pokazatelja za šumske ekosustave navedenih u Prilogu VI. ovoj Uredbi, kako bi se </w:t>
      </w:r>
      <w:bookmarkStart w:id="25" w:name="_Hlk133427816"/>
      <w:r w:rsidRPr="00661250">
        <w:rPr>
          <w:b/>
          <w:i/>
        </w:rPr>
        <w:t>uspostavili orijentacijski okviri</w:t>
      </w:r>
      <w:r w:rsidRPr="00661250">
        <w:t xml:space="preserve"> za utvrđivanje zadovoljavajućih razina </w:t>
      </w:r>
      <w:r w:rsidRPr="00661250">
        <w:rPr>
          <w:b/>
          <w:i/>
        </w:rPr>
        <w:t>gradskih zelenih površina, prekrivenosti gradova krošnjama stabala u urbanim ekosustavima,</w:t>
      </w:r>
      <w:r w:rsidRPr="00661250">
        <w:t xml:space="preserve"> </w:t>
      </w:r>
      <w:bookmarkEnd w:id="25"/>
      <w:r w:rsidRPr="00661250">
        <w:t>oprašivača, pokazatelja za poljoprivredne ekosustave navedenih u Prilogu IV. ovoj Uredbi i pokazatelja za šumske ekosustave navedenih u Prilogu VI. ovoj Uredbi, kako bi se uspostavio jedinstveni format nacionalnih planova obnove te kako bi se utvrdili format, struktura i detaljni postupci za slanje podataka i informacija Komisiji elektroničkim putem. Te bi ovlasti trebalo izvršavati u skladu s Uredbom (EU) br. 182/2011 Europskog parlamenta i Vijeća</w:t>
      </w:r>
      <w:r w:rsidRPr="00661250">
        <w:rPr>
          <w:rFonts w:eastAsia="Calibri"/>
          <w:szCs w:val="24"/>
          <w:vertAlign w:val="superscript"/>
          <w:lang w:eastAsia="en-US"/>
        </w:rPr>
        <w:footnoteReference w:id="70"/>
      </w:r>
      <w:r w:rsidRPr="00661250">
        <w:t xml:space="preserve">. </w:t>
      </w:r>
    </w:p>
    <w:p w:rsidR="008D1BE3" w:rsidRPr="00661250" w:rsidRDefault="008D1BE3" w:rsidP="00325B91">
      <w:pPr>
        <w:widowControl/>
        <w:suppressAutoHyphens/>
        <w:spacing w:before="120" w:after="120" w:line="360" w:lineRule="auto"/>
        <w:ind w:left="851" w:hanging="851"/>
        <w:rPr>
          <w:rFonts w:eastAsia="Calibri"/>
          <w:szCs w:val="24"/>
        </w:rPr>
      </w:pPr>
      <w:r w:rsidRPr="00661250">
        <w:t>(77)</w:t>
      </w:r>
      <w:r w:rsidRPr="00661250">
        <w:tab/>
        <w:t xml:space="preserve">Komisija bi trebala provesti evaluaciju ove Uredbe. U skladu sa stavkom 22. Međuinstitucijskog sporazuma o boljoj izradi zakonodavstva ta bi se evaluacija trebala temeljiti na kriterijima učinkovitosti, djelotvornosti, važnosti, usklađenosti i dodane vrijednosti za EU te bi trebala biti temelj za procjene učinka mogućih daljnjih djelovanja. Osim toga, Komisija bi trebala procijeniti potrebu za određivanjem dodatnih ciljeva </w:t>
      </w:r>
      <w:r w:rsidRPr="00661250">
        <w:lastRenderedPageBreak/>
        <w:t xml:space="preserve">obnove na temelju zajedničkih metoda za procjenu stanja ekosustava koji nisu obuhvaćeni člancima 4. i 5., uzimajući u obzir najnovije znanstvene dokaze. </w:t>
      </w:r>
    </w:p>
    <w:p w:rsidR="008D1BE3" w:rsidRPr="00661250" w:rsidRDefault="008D1BE3" w:rsidP="00325B91">
      <w:pPr>
        <w:widowControl/>
        <w:suppressAutoHyphens/>
        <w:spacing w:before="120" w:after="120" w:line="360" w:lineRule="auto"/>
        <w:ind w:left="851" w:hanging="851"/>
        <w:rPr>
          <w:rFonts w:eastAsia="Calibri"/>
          <w:szCs w:val="24"/>
        </w:rPr>
      </w:pPr>
      <w:r w:rsidRPr="00661250">
        <w:t>(78)</w:t>
      </w:r>
      <w:r w:rsidRPr="00661250">
        <w:tab/>
        <w:t xml:space="preserve">Budući da države članice ne mogu u dovoljnoj mjeri ostvariti ciljeve ove Uredbe, ali ih se zbog njihova opsega i učinka može lakše ostvariti na razini Unije, Unija može usvojiti mjere u skladu s načelom supsidijarnosti kako je određeno u članku 5. </w:t>
      </w:r>
      <w:r w:rsidRPr="00661250">
        <w:rPr>
          <w:b/>
          <w:i/>
        </w:rPr>
        <w:t>UEU-a</w:t>
      </w:r>
      <w:r w:rsidRPr="00661250">
        <w:t>. U skladu s načelom proporcionalnosti utvrđenim u tom članku, ova Uredba ne prelazi ono što je potrebno za ostvarivanje tih ciljeva,</w:t>
      </w:r>
    </w:p>
    <w:p w:rsidR="008D1BE3" w:rsidRPr="00661250" w:rsidRDefault="008D1BE3" w:rsidP="008D1BE3">
      <w:pPr>
        <w:widowControl/>
        <w:suppressAutoHyphens/>
        <w:spacing w:before="120" w:after="120" w:line="360" w:lineRule="auto"/>
        <w:ind w:left="567" w:right="3400" w:hanging="567"/>
        <w:rPr>
          <w:rFonts w:eastAsia="Calibri"/>
          <w:szCs w:val="24"/>
        </w:rPr>
      </w:pPr>
      <w:r w:rsidRPr="00661250">
        <w:br w:type="page"/>
      </w:r>
    </w:p>
    <w:p w:rsidR="008D1BE3" w:rsidRPr="00661250" w:rsidRDefault="008D1BE3" w:rsidP="008D1BE3">
      <w:pPr>
        <w:keepNext/>
        <w:widowControl/>
        <w:suppressAutoHyphens/>
        <w:spacing w:before="120" w:after="120"/>
        <w:jc w:val="both"/>
        <w:rPr>
          <w:rFonts w:eastAsia="Calibri"/>
          <w:szCs w:val="22"/>
        </w:rPr>
      </w:pPr>
      <w:r w:rsidRPr="00661250">
        <w:lastRenderedPageBreak/>
        <w:t>DONIJELI SU OVU UREDBU:</w:t>
      </w:r>
    </w:p>
    <w:p w:rsidR="008D1BE3" w:rsidRPr="00661250" w:rsidRDefault="008D1BE3" w:rsidP="008D1BE3">
      <w:pPr>
        <w:keepNext/>
        <w:widowControl/>
        <w:suppressAutoHyphens/>
        <w:spacing w:before="360" w:after="120"/>
        <w:ind w:right="3400"/>
        <w:jc w:val="center"/>
        <w:outlineLvl w:val="1"/>
        <w:rPr>
          <w:b/>
          <w:bCs/>
          <w:szCs w:val="26"/>
          <w:lang w:eastAsia="en-US"/>
        </w:rPr>
      </w:pPr>
    </w:p>
    <w:p w:rsidR="008D1BE3" w:rsidRPr="00661250" w:rsidRDefault="008D1BE3" w:rsidP="008D1BE3">
      <w:pPr>
        <w:keepNext/>
        <w:widowControl/>
        <w:suppressAutoHyphens/>
        <w:spacing w:before="360" w:after="360" w:line="360" w:lineRule="auto"/>
        <w:jc w:val="center"/>
        <w:outlineLvl w:val="0"/>
        <w:rPr>
          <w:b/>
          <w:bCs/>
          <w:smallCaps/>
          <w:sz w:val="32"/>
          <w:szCs w:val="28"/>
        </w:rPr>
      </w:pPr>
      <w:r w:rsidRPr="00661250">
        <w:rPr>
          <w:b/>
          <w:smallCaps/>
          <w:sz w:val="32"/>
        </w:rPr>
        <w:t>POGLAVLJE I.</w:t>
      </w:r>
      <w:r w:rsidRPr="00661250">
        <w:rPr>
          <w:b/>
          <w:smallCaps/>
          <w:sz w:val="32"/>
        </w:rPr>
        <w:br/>
        <w:t>OPĆE ODREDBE</w:t>
      </w:r>
    </w:p>
    <w:p w:rsidR="008D1BE3" w:rsidRPr="00661250" w:rsidRDefault="008D1BE3" w:rsidP="008D1BE3">
      <w:pPr>
        <w:keepNext/>
        <w:widowControl/>
        <w:suppressAutoHyphens/>
        <w:spacing w:before="360" w:after="120" w:line="360" w:lineRule="auto"/>
        <w:ind w:right="-1"/>
        <w:jc w:val="center"/>
        <w:outlineLvl w:val="1"/>
        <w:rPr>
          <w:b/>
          <w:bCs/>
          <w:szCs w:val="26"/>
        </w:rPr>
      </w:pPr>
      <w:bookmarkStart w:id="26" w:name="_Hlk137037513"/>
      <w:r w:rsidRPr="00661250">
        <w:t>Članak 1.</w:t>
      </w:r>
      <w:r w:rsidRPr="00661250">
        <w:br/>
      </w:r>
      <w:r w:rsidRPr="00661250">
        <w:rPr>
          <w:i/>
        </w:rPr>
        <w:t>Predmet</w:t>
      </w:r>
    </w:p>
    <w:p w:rsidR="008D1BE3" w:rsidRPr="00661250" w:rsidRDefault="008D1BE3" w:rsidP="008D1BE3">
      <w:pPr>
        <w:widowControl/>
        <w:suppressAutoHyphens/>
        <w:spacing w:before="120" w:after="120" w:line="360" w:lineRule="auto"/>
        <w:ind w:left="567" w:right="-1" w:hanging="567"/>
        <w:jc w:val="both"/>
        <w:rPr>
          <w:rFonts w:eastAsia="Calibri"/>
          <w:szCs w:val="22"/>
        </w:rPr>
      </w:pPr>
      <w:r w:rsidRPr="00661250">
        <w:t>1.</w:t>
      </w:r>
      <w:r w:rsidRPr="00661250">
        <w:tab/>
        <w:t>Ovom Uredbom utvrđuju se pravila kako bi se pridonijelo:</w:t>
      </w:r>
    </w:p>
    <w:p w:rsidR="008D1BE3" w:rsidRPr="00661250" w:rsidRDefault="008D1BE3" w:rsidP="008D1BE3">
      <w:pPr>
        <w:widowControl/>
        <w:suppressAutoHyphens/>
        <w:spacing w:before="120" w:after="120" w:line="360" w:lineRule="auto"/>
        <w:ind w:left="1134" w:right="-1" w:hanging="567"/>
        <w:rPr>
          <w:rFonts w:eastAsia="Calibri"/>
          <w:b/>
          <w:szCs w:val="22"/>
        </w:rPr>
      </w:pPr>
      <w:r w:rsidRPr="00661250">
        <w:t>(a)</w:t>
      </w:r>
      <w:r w:rsidRPr="00661250">
        <w:tab/>
      </w:r>
      <w:r w:rsidRPr="00661250">
        <w:rPr>
          <w:b/>
          <w:i/>
        </w:rPr>
        <w:t>biološki raznolikim, otpornim</w:t>
      </w:r>
      <w:r w:rsidRPr="00661250">
        <w:t xml:space="preserve"> </w:t>
      </w:r>
      <w:r w:rsidRPr="00661250">
        <w:rPr>
          <w:b/>
          <w:i/>
        </w:rPr>
        <w:t>i produktivnim ekosustavima</w:t>
      </w:r>
      <w:r w:rsidRPr="00661250">
        <w:t xml:space="preserve"> na svim kopnenim i morskim područjima </w:t>
      </w:r>
      <w:r w:rsidRPr="00661250">
        <w:rPr>
          <w:b/>
          <w:i/>
        </w:rPr>
        <w:t>država članica</w:t>
      </w:r>
      <w:r w:rsidRPr="00661250">
        <w:t xml:space="preserve"> obnovom </w:t>
      </w:r>
      <w:r w:rsidRPr="00661250">
        <w:rPr>
          <w:b/>
          <w:i/>
        </w:rPr>
        <w:t>narušenih</w:t>
      </w:r>
      <w:r w:rsidRPr="00661250">
        <w:t xml:space="preserve"> ekosustavâ; </w:t>
      </w:r>
      <w:r w:rsidRPr="00661250">
        <w:rPr>
          <w:b/>
        </w:rPr>
        <w:t xml:space="preserve"> [Am. 113</w:t>
      </w:r>
      <w:r w:rsidR="00381773" w:rsidRPr="00661250">
        <w:rPr>
          <w:b/>
        </w:rPr>
        <w:t>/rev1</w:t>
      </w:r>
      <w:r w:rsidRPr="00661250">
        <w:rPr>
          <w:b/>
        </w:rPr>
        <w:t>]</w:t>
      </w:r>
    </w:p>
    <w:p w:rsidR="008D1BE3" w:rsidRPr="00661250" w:rsidRDefault="008D1BE3" w:rsidP="008D1BE3">
      <w:pPr>
        <w:widowControl/>
        <w:suppressAutoHyphens/>
        <w:spacing w:before="120" w:after="120" w:line="360" w:lineRule="auto"/>
        <w:ind w:left="1134" w:right="-1" w:hanging="567"/>
        <w:rPr>
          <w:rFonts w:eastAsia="Calibri"/>
          <w:b/>
          <w:szCs w:val="22"/>
        </w:rPr>
      </w:pPr>
      <w:r w:rsidRPr="00661250">
        <w:t>(b)</w:t>
      </w:r>
      <w:r w:rsidRPr="00661250">
        <w:tab/>
        <w:t xml:space="preserve">postizanju sveobuhvatnih ciljeva Unije za ublažavanje klimatskih promjena, prilagodbi klimatskim promjenama </w:t>
      </w:r>
      <w:r w:rsidRPr="00661250">
        <w:rPr>
          <w:b/>
          <w:i/>
        </w:rPr>
        <w:t>i neutralnosti degradacije zemljišta</w:t>
      </w:r>
      <w:r w:rsidRPr="00661250">
        <w:t>;</w:t>
      </w:r>
      <w:r w:rsidR="00ED682B" w:rsidRPr="00661250">
        <w:t xml:space="preserve"> </w:t>
      </w:r>
      <w:r w:rsidR="00ED682B" w:rsidRPr="00661250">
        <w:rPr>
          <w:b/>
          <w:i/>
        </w:rPr>
        <w:t>uključujući sigurnost opskrbe hranom, energetsku tranziciju i socijalno stanovanje</w:t>
      </w:r>
      <w:r w:rsidR="00ED682B" w:rsidRPr="00661250">
        <w:t>:</w:t>
      </w:r>
      <w:r w:rsidR="00ED682B" w:rsidRPr="00661250">
        <w:rPr>
          <w:b/>
        </w:rPr>
        <w:t xml:space="preserve"> [Am. 114]</w:t>
      </w:r>
    </w:p>
    <w:p w:rsidR="008D1BE3" w:rsidRPr="00661250" w:rsidRDefault="008D1BE3" w:rsidP="008D1BE3">
      <w:pPr>
        <w:widowControl/>
        <w:suppressAutoHyphens/>
        <w:spacing w:before="120" w:after="120" w:line="360" w:lineRule="auto"/>
        <w:ind w:left="1134" w:right="-1" w:hanging="567"/>
        <w:jc w:val="both"/>
        <w:rPr>
          <w:rFonts w:eastAsia="Calibri"/>
          <w:szCs w:val="22"/>
        </w:rPr>
      </w:pPr>
      <w:r w:rsidRPr="00661250">
        <w:t>(c)</w:t>
      </w:r>
      <w:r w:rsidRPr="00661250">
        <w:tab/>
        <w:t>ispunjavanju međunarodnih obveza Unije.</w:t>
      </w:r>
    </w:p>
    <w:p w:rsidR="008D1BE3" w:rsidRPr="00661250" w:rsidRDefault="008D1BE3" w:rsidP="008D1BE3">
      <w:pPr>
        <w:widowControl/>
        <w:suppressAutoHyphens/>
        <w:spacing w:before="120" w:after="120" w:line="360" w:lineRule="auto"/>
        <w:ind w:left="567" w:right="-1" w:hanging="567"/>
      </w:pPr>
      <w:r w:rsidRPr="00661250">
        <w:t>2.</w:t>
      </w:r>
      <w:r w:rsidRPr="00661250">
        <w:tab/>
        <w:t xml:space="preserve">Ovom Uredbom uspostavlja se okvir unutar kojeg države članice uspostavljaju ▌djelotvorne mjere obnove usmjerene na pojedina područja </w:t>
      </w:r>
      <w:r w:rsidRPr="00661250">
        <w:rPr>
          <w:b/>
          <w:bCs/>
          <w:i/>
        </w:rPr>
        <w:t>s ciljem da do 2030. zajednički, u sklopu cilja Unije, u svim područjima i ekosustavima u okviru područja primjene kako je definirano u članku 2.</w:t>
      </w:r>
      <w:r w:rsidRPr="00661250">
        <w:t xml:space="preserve"> obuhvate barem 20 % ▌kopnenih područja i </w:t>
      </w:r>
      <w:r w:rsidRPr="00661250">
        <w:rPr>
          <w:b/>
          <w:bCs/>
          <w:i/>
          <w:iCs/>
        </w:rPr>
        <w:t>20 %</w:t>
      </w:r>
      <w:r w:rsidRPr="00661250">
        <w:t xml:space="preserve"> morskih područja, a do 2050. sve ekosustave koje je potrebno obnoviti.</w:t>
      </w:r>
    </w:p>
    <w:p w:rsidR="00ED682B" w:rsidRPr="00661250" w:rsidRDefault="00ED682B" w:rsidP="008D1BE3">
      <w:pPr>
        <w:widowControl/>
        <w:suppressAutoHyphens/>
        <w:spacing w:before="120" w:after="120" w:line="360" w:lineRule="auto"/>
        <w:ind w:left="567" w:right="-1" w:hanging="567"/>
        <w:rPr>
          <w:rFonts w:eastAsia="Calibri"/>
          <w:b/>
          <w:szCs w:val="22"/>
        </w:rPr>
      </w:pPr>
      <w:r w:rsidRPr="00661250">
        <w:rPr>
          <w:rFonts w:eastAsia="Calibri"/>
          <w:b/>
          <w:i/>
          <w:szCs w:val="22"/>
        </w:rPr>
        <w:t>2.a</w:t>
      </w:r>
      <w:r w:rsidRPr="00661250">
        <w:rPr>
          <w:rFonts w:eastAsia="Calibri"/>
          <w:b/>
          <w:i/>
          <w:szCs w:val="22"/>
        </w:rPr>
        <w:tab/>
        <w:t>Ova Uredba treba stvoriti sinergije i biti usklađena s postojećim i tekućim zakonodavstvom, uzimajući u obzir nacionalne nadležnosti, te osigurati dosljednost i usklađenost sa zakonodavstvom Unije u području, među ostalim, energije iz obnovljivih izvora, sredstava za zaštitu bilja, kritičnih sirovina, poljoprivrede i šumarstva.</w:t>
      </w:r>
      <w:r w:rsidRPr="00661250">
        <w:rPr>
          <w:rFonts w:eastAsia="Calibri"/>
          <w:b/>
          <w:szCs w:val="22"/>
        </w:rPr>
        <w:t xml:space="preserve"> [Am. 116]</w:t>
      </w:r>
    </w:p>
    <w:bookmarkEnd w:id="26"/>
    <w:p w:rsidR="008D1BE3" w:rsidRPr="00661250" w:rsidRDefault="008D1BE3" w:rsidP="008D1BE3">
      <w:pPr>
        <w:keepNext/>
        <w:widowControl/>
        <w:suppressAutoHyphens/>
        <w:spacing w:before="360" w:after="120" w:line="360" w:lineRule="auto"/>
        <w:ind w:right="-1"/>
        <w:jc w:val="center"/>
        <w:outlineLvl w:val="1"/>
        <w:rPr>
          <w:b/>
          <w:bCs/>
          <w:szCs w:val="26"/>
        </w:rPr>
      </w:pPr>
      <w:r w:rsidRPr="00661250">
        <w:t>Članak 2.</w:t>
      </w:r>
      <w:r w:rsidRPr="00661250">
        <w:rPr>
          <w:b/>
        </w:rPr>
        <w:br/>
      </w:r>
      <w:r w:rsidRPr="00661250">
        <w:rPr>
          <w:i/>
        </w:rPr>
        <w:t>Zemljopisno područje primjene</w:t>
      </w:r>
    </w:p>
    <w:p w:rsidR="008D1BE3" w:rsidRPr="00661250" w:rsidRDefault="008D1BE3" w:rsidP="008D1BE3">
      <w:pPr>
        <w:widowControl/>
        <w:suppressAutoHyphens/>
        <w:spacing w:before="120" w:after="120" w:line="360" w:lineRule="auto"/>
        <w:ind w:right="-1"/>
        <w:rPr>
          <w:rFonts w:eastAsia="Calibri"/>
          <w:szCs w:val="22"/>
        </w:rPr>
      </w:pPr>
      <w:r w:rsidRPr="00661250">
        <w:t>Ova Uredba primjenjuje se na ekosustave navedene u člancima od 4. do 10.:</w:t>
      </w:r>
    </w:p>
    <w:p w:rsidR="008D1BE3" w:rsidRPr="00661250" w:rsidRDefault="008D1BE3" w:rsidP="00325B91">
      <w:pPr>
        <w:widowControl/>
        <w:suppressAutoHyphens/>
        <w:spacing w:before="120" w:after="120" w:line="360" w:lineRule="auto"/>
        <w:ind w:left="851" w:hanging="851"/>
        <w:rPr>
          <w:rFonts w:eastAsia="Calibri"/>
          <w:b/>
          <w:szCs w:val="22"/>
          <w:u w:val="single"/>
        </w:rPr>
      </w:pPr>
      <w:r w:rsidRPr="00661250">
        <w:t>(a)</w:t>
      </w:r>
      <w:r w:rsidRPr="00661250">
        <w:tab/>
        <w:t>na području država članica;</w:t>
      </w:r>
    </w:p>
    <w:p w:rsidR="008D1BE3" w:rsidRPr="00661250" w:rsidRDefault="008D1BE3" w:rsidP="00325B91">
      <w:pPr>
        <w:widowControl/>
        <w:suppressAutoHyphens/>
        <w:spacing w:before="120" w:after="120" w:line="360" w:lineRule="auto"/>
        <w:ind w:left="851" w:hanging="851"/>
        <w:rPr>
          <w:rFonts w:eastAsia="Calibri"/>
          <w:i/>
          <w:szCs w:val="22"/>
        </w:rPr>
      </w:pPr>
      <w:r w:rsidRPr="00661250">
        <w:rPr>
          <w:b/>
          <w:i/>
        </w:rPr>
        <w:t>(aa)</w:t>
      </w:r>
      <w:r w:rsidRPr="00661250">
        <w:rPr>
          <w:b/>
          <w:i/>
        </w:rPr>
        <w:tab/>
        <w:t>u obalnim vodama, kako su definirane Direktivom 2000/60/EZ, država članica, njihovom morskom dnu i njihovu podzemlju;</w:t>
      </w:r>
    </w:p>
    <w:p w:rsidR="008D1BE3" w:rsidRPr="00661250" w:rsidRDefault="008D1BE3" w:rsidP="00325B91">
      <w:pPr>
        <w:widowControl/>
        <w:suppressAutoHyphens/>
        <w:spacing w:before="120" w:after="120" w:line="360" w:lineRule="auto"/>
        <w:ind w:left="851" w:hanging="851"/>
        <w:rPr>
          <w:rFonts w:eastAsia="Calibri"/>
          <w:szCs w:val="22"/>
        </w:rPr>
      </w:pPr>
      <w:r w:rsidRPr="00661250">
        <w:lastRenderedPageBreak/>
        <w:t>(b)</w:t>
      </w:r>
      <w:r w:rsidRPr="00661250">
        <w:tab/>
        <w:t xml:space="preserve">u vodama, na morskom dnu i podtlu na morskoj strani od osnovne crte od koje se mjeri širina teritorijalnih voda sve do najdaljeg dosega područja na kojem država članica </w:t>
      </w:r>
      <w:r w:rsidRPr="00661250">
        <w:rPr>
          <w:b/>
          <w:i/>
        </w:rPr>
        <w:t>ima</w:t>
      </w:r>
      <w:r w:rsidRPr="00661250">
        <w:t xml:space="preserve"> ili ostvaruje suverena prava ili </w:t>
      </w:r>
      <w:r w:rsidRPr="00661250">
        <w:rPr>
          <w:b/>
          <w:i/>
        </w:rPr>
        <w:t>jurisdikciju</w:t>
      </w:r>
      <w:r w:rsidRPr="00661250">
        <w:t xml:space="preserve"> u skladu s Konvencijom Ujedinjenih naroda o pravu mora iz 1982.</w:t>
      </w:r>
    </w:p>
    <w:p w:rsidR="008D1BE3" w:rsidRPr="00661250" w:rsidRDefault="008D1BE3" w:rsidP="008D1BE3">
      <w:pPr>
        <w:widowControl/>
        <w:spacing w:before="120" w:after="120" w:line="360" w:lineRule="auto"/>
        <w:rPr>
          <w:rFonts w:ascii="Calibri" w:eastAsia="Calibri" w:hAnsi="Calibri" w:cs="Calibri"/>
          <w:b/>
          <w:i/>
          <w:sz w:val="22"/>
          <w:szCs w:val="22"/>
        </w:rPr>
      </w:pPr>
      <w:r w:rsidRPr="00661250">
        <w:rPr>
          <w:b/>
          <w:bCs/>
          <w:i/>
          <w:iCs/>
        </w:rPr>
        <w:t xml:space="preserve">Ova se Uredba </w:t>
      </w:r>
      <w:bookmarkStart w:id="27" w:name="_Hlk135939578"/>
      <w:r w:rsidRPr="00661250">
        <w:rPr>
          <w:b/>
          <w:bCs/>
          <w:i/>
          <w:iCs/>
        </w:rPr>
        <w:t>primjenjuje samo na ekosustave na europskom državnom području država članica na koje se primjenjuju Ugovori</w:t>
      </w:r>
      <w:bookmarkEnd w:id="27"/>
      <w:r w:rsidRPr="00661250">
        <w:rPr>
          <w:b/>
          <w:bCs/>
          <w:i/>
          <w:iCs/>
        </w:rPr>
        <w:t>.</w:t>
      </w:r>
    </w:p>
    <w:p w:rsidR="008D1BE3" w:rsidRPr="00661250" w:rsidRDefault="008D1BE3" w:rsidP="008D1BE3">
      <w:pPr>
        <w:keepNext/>
        <w:widowControl/>
        <w:suppressAutoHyphens/>
        <w:spacing w:before="360" w:after="120" w:line="360" w:lineRule="auto"/>
        <w:ind w:right="-1"/>
        <w:jc w:val="center"/>
        <w:outlineLvl w:val="1"/>
        <w:rPr>
          <w:b/>
          <w:bCs/>
          <w:sz w:val="22"/>
          <w:szCs w:val="26"/>
        </w:rPr>
      </w:pPr>
      <w:r w:rsidRPr="00661250">
        <w:t>Članak 3.</w:t>
      </w:r>
      <w:r w:rsidRPr="00661250">
        <w:br/>
      </w:r>
      <w:r w:rsidRPr="00661250">
        <w:rPr>
          <w:i/>
        </w:rPr>
        <w:t>Definicije</w:t>
      </w:r>
      <w:r w:rsidRPr="00661250">
        <w:rPr>
          <w:b/>
        </w:rPr>
        <w:t xml:space="preserve"> </w:t>
      </w:r>
    </w:p>
    <w:p w:rsidR="008D1BE3" w:rsidRPr="00661250" w:rsidRDefault="008D1BE3" w:rsidP="008D1BE3">
      <w:pPr>
        <w:widowControl/>
        <w:suppressAutoHyphens/>
        <w:spacing w:before="120" w:after="120" w:line="360" w:lineRule="auto"/>
        <w:ind w:right="-1"/>
        <w:rPr>
          <w:rFonts w:eastAsia="Calibri"/>
          <w:szCs w:val="22"/>
        </w:rPr>
      </w:pPr>
      <w:r w:rsidRPr="00661250">
        <w:t>Primjenjuju se sljedeće definicije:</w:t>
      </w:r>
    </w:p>
    <w:p w:rsidR="008D1BE3" w:rsidRPr="00661250" w:rsidRDefault="00325B91" w:rsidP="00325B91">
      <w:pPr>
        <w:widowControl/>
        <w:suppressAutoHyphens/>
        <w:spacing w:before="120" w:after="120" w:line="360" w:lineRule="auto"/>
        <w:ind w:left="851" w:hanging="851"/>
        <w:rPr>
          <w:rFonts w:eastAsia="Calibri"/>
          <w:szCs w:val="22"/>
        </w:rPr>
      </w:pPr>
      <w:r>
        <w:t>1.</w:t>
      </w:r>
      <w:r w:rsidR="008D1BE3" w:rsidRPr="00661250">
        <w:tab/>
        <w:t xml:space="preserve">„ekosustav” znači dinamična cjelina zajednica biljaka, životinja, </w:t>
      </w:r>
      <w:r w:rsidR="008D1BE3" w:rsidRPr="00661250">
        <w:rPr>
          <w:b/>
          <w:i/>
          <w:iCs/>
        </w:rPr>
        <w:t>gljiva</w:t>
      </w:r>
      <w:r w:rsidR="008D1BE3" w:rsidRPr="00661250">
        <w:t xml:space="preserve"> i mikroorganizama i njihova neživog okoliša koji međusobno djeluju kao funkcionalna jedinica te uključuje stanišne tipove, staništa vrsta i populacije vrsta;</w:t>
      </w:r>
    </w:p>
    <w:p w:rsidR="008D1BE3" w:rsidRPr="00661250" w:rsidRDefault="00325B91" w:rsidP="008D1BE3">
      <w:pPr>
        <w:widowControl/>
        <w:suppressAutoHyphens/>
        <w:spacing w:before="120" w:after="120" w:line="360" w:lineRule="auto"/>
        <w:ind w:left="851" w:right="-1" w:hanging="851"/>
        <w:rPr>
          <w:rFonts w:eastAsia="Calibri"/>
          <w:szCs w:val="22"/>
        </w:rPr>
      </w:pPr>
      <w:r>
        <w:t>2.</w:t>
      </w:r>
      <w:r w:rsidR="008D1BE3" w:rsidRPr="00661250">
        <w:tab/>
        <w:t xml:space="preserve">„stanište vrste” znači </w:t>
      </w:r>
      <w:r w:rsidR="008D1BE3" w:rsidRPr="00661250">
        <w:rPr>
          <w:b/>
          <w:i/>
        </w:rPr>
        <w:t>stanište vrste kako je definirano u članku 1. točki (f)</w:t>
      </w:r>
      <w:bookmarkStart w:id="28" w:name="_Hlk126738941"/>
      <w:bookmarkEnd w:id="28"/>
      <w:r w:rsidR="008D1BE3" w:rsidRPr="00661250">
        <w:rPr>
          <w:b/>
          <w:i/>
        </w:rPr>
        <w:t xml:space="preserve"> Direktive 92/43/EEZ</w:t>
      </w:r>
      <w:r w:rsidR="008D1BE3" w:rsidRPr="00661250">
        <w:t>;</w:t>
      </w:r>
    </w:p>
    <w:p w:rsidR="008D1BE3" w:rsidRPr="00661250" w:rsidRDefault="008D1BE3" w:rsidP="008D1BE3">
      <w:pPr>
        <w:widowControl/>
        <w:suppressAutoHyphens/>
        <w:spacing w:before="120" w:after="120" w:line="360" w:lineRule="auto"/>
        <w:ind w:left="851" w:right="-1" w:hanging="851"/>
        <w:rPr>
          <w:rFonts w:eastAsia="Calibri"/>
          <w:szCs w:val="22"/>
          <w:lang w:eastAsia="en-US"/>
        </w:rPr>
      </w:pPr>
    </w:p>
    <w:p w:rsidR="008D1BE3" w:rsidRPr="00661250" w:rsidRDefault="008D1BE3" w:rsidP="008D1BE3">
      <w:pPr>
        <w:widowControl/>
        <w:suppressAutoHyphens/>
        <w:spacing w:before="120" w:after="120" w:line="360" w:lineRule="auto"/>
        <w:ind w:left="851" w:right="-1" w:hanging="851"/>
        <w:rPr>
          <w:rFonts w:eastAsia="Calibri"/>
          <w:szCs w:val="22"/>
        </w:rPr>
      </w:pPr>
      <w:r w:rsidRPr="00661250">
        <w:br w:type="page"/>
      </w:r>
      <w:r w:rsidR="00BC101D">
        <w:lastRenderedPageBreak/>
        <w:t>3.</w:t>
      </w:r>
      <w:r w:rsidRPr="00661250">
        <w:tab/>
        <w:t xml:space="preserve">„obnova” znači postupak aktivnog ili pasivnog pomaganja oporavku ekosustava </w:t>
      </w:r>
      <w:r w:rsidRPr="00661250">
        <w:rPr>
          <w:b/>
          <w:i/>
        </w:rPr>
        <w:t>kako bi se poboljšala njegova struktura i funkcije s ciljem očuvanja ili poboljšanja bioraznolikosti i otpornosti ekosustava</w:t>
      </w:r>
      <w:r w:rsidRPr="00661250">
        <w:t>;</w:t>
      </w:r>
      <w:r w:rsidRPr="00661250">
        <w:rPr>
          <w:b/>
          <w:i/>
        </w:rPr>
        <w:t xml:space="preserve"> </w:t>
      </w:r>
      <w:r w:rsidRPr="00661250">
        <w:rPr>
          <w:b/>
          <w:bCs/>
          <w:i/>
          <w:iCs/>
        </w:rPr>
        <w:t>obnova ekosustava za potrebe ove Uredbe provodi se poboljšanjem dok se ne postigne dobro stanje</w:t>
      </w:r>
      <w:r w:rsidRPr="00661250">
        <w:t xml:space="preserve"> stanišnog tipa, ▌njegovom </w:t>
      </w:r>
      <w:r w:rsidRPr="00661250">
        <w:rPr>
          <w:b/>
          <w:i/>
        </w:rPr>
        <w:t>ponovnom uspostavom</w:t>
      </w:r>
      <w:r w:rsidRPr="00661250">
        <w:t xml:space="preserve"> dok se ne postigne povoljno referentno područje </w:t>
      </w:r>
      <w:r w:rsidRPr="00661250">
        <w:rPr>
          <w:b/>
          <w:i/>
        </w:rPr>
        <w:t>i poboljšanjem dok se ne postigne dostatna kvaliteta i količina</w:t>
      </w:r>
      <w:r w:rsidRPr="00661250">
        <w:t xml:space="preserve"> staništa vrste </w:t>
      </w:r>
      <w:r w:rsidRPr="00661250">
        <w:rPr>
          <w:b/>
          <w:i/>
          <w:iCs/>
        </w:rPr>
        <w:t>u skladu s člankom 4., stavcima 1., 2. i 3. i člankom 5. stavcima 1., 2. i 3. te ispunjavanjem ciljeva i obveza iz članaka od 6. do 10., uključujući postizanje</w:t>
      </w:r>
      <w:r w:rsidRPr="00661250">
        <w:t xml:space="preserve"> zadovoljavajućih razina </w:t>
      </w:r>
      <w:r w:rsidRPr="00661250">
        <w:rPr>
          <w:b/>
          <w:i/>
        </w:rPr>
        <w:t>pokazatelja iz članka 8. stavka 1., članka 9. stavka 2. i članka 10. stavka 2.</w:t>
      </w:r>
      <w:r w:rsidRPr="00661250">
        <w:t xml:space="preserve"> kao sredstva za očuvanje ili poboljšanje bioraznolikosti i otpornosti ekosustava; </w:t>
      </w:r>
    </w:p>
    <w:p w:rsidR="008D1BE3" w:rsidRPr="00661250" w:rsidRDefault="00BC101D" w:rsidP="008D1BE3">
      <w:pPr>
        <w:widowControl/>
        <w:suppressAutoHyphens/>
        <w:spacing w:before="120" w:after="120" w:line="360" w:lineRule="auto"/>
        <w:ind w:left="851" w:right="-1" w:hanging="851"/>
        <w:rPr>
          <w:szCs w:val="22"/>
        </w:rPr>
      </w:pPr>
      <w:r>
        <w:t>4.</w:t>
      </w:r>
      <w:r w:rsidR="008D1BE3" w:rsidRPr="00661250">
        <w:tab/>
        <w:t xml:space="preserve">„dobro stanje” </w:t>
      </w:r>
      <w:r w:rsidR="008D1BE3" w:rsidRPr="00661250">
        <w:rPr>
          <w:b/>
          <w:i/>
        </w:rPr>
        <w:t>stanišnog tipa</w:t>
      </w:r>
      <w:r w:rsidR="008D1BE3" w:rsidRPr="00661250">
        <w:t xml:space="preserve"> znači stanje u kojem njegova ključna obilježja▌, </w:t>
      </w:r>
      <w:r w:rsidR="008D1BE3" w:rsidRPr="00661250">
        <w:rPr>
          <w:b/>
          <w:i/>
        </w:rPr>
        <w:t>posebno njegova struktura i funkcije te njegove tipične vrste ili tipični sastav vrsta</w:t>
      </w:r>
      <w:r w:rsidR="008D1BE3" w:rsidRPr="00661250">
        <w:t xml:space="preserve"> odražavaju visoku razinu ekološke cjelovitosti, stabilnosti i otpornosti potrebne za osiguravanje njegova dugoročnog održavanja </w:t>
      </w:r>
      <w:r w:rsidR="008D1BE3" w:rsidRPr="00661250">
        <w:rPr>
          <w:b/>
          <w:i/>
        </w:rPr>
        <w:t xml:space="preserve">i time doprinose postizanju ili održavanju povoljnog stanja očuvanosti u skladu s člankom 1. točkom (e) Direktive 92/43/EEZ, ako je dotični stanišni tip naveden u Prilogu I. toj direktivi, a u morskim ekosustavima doprinosi </w:t>
      </w:r>
      <w:bookmarkStart w:id="29" w:name="_Hlk132368424"/>
      <w:r w:rsidR="008D1BE3" w:rsidRPr="00661250">
        <w:rPr>
          <w:b/>
          <w:i/>
        </w:rPr>
        <w:t>postizanju ili održavanju dobrog stanja okoliša u skladu s člankom 3. stavkom 5. Direktive 2008/56/EZ</w:t>
      </w:r>
      <w:bookmarkEnd w:id="29"/>
      <w:r w:rsidR="008D1BE3" w:rsidRPr="00661250">
        <w:t>;</w:t>
      </w:r>
    </w:p>
    <w:p w:rsidR="008D1BE3" w:rsidRPr="00661250" w:rsidRDefault="008D1BE3" w:rsidP="008D1BE3">
      <w:pPr>
        <w:widowControl/>
        <w:suppressAutoHyphens/>
        <w:spacing w:before="120" w:after="120" w:line="360" w:lineRule="auto"/>
        <w:ind w:left="851" w:right="-1" w:hanging="851"/>
        <w:rPr>
          <w:rFonts w:eastAsia="Calibri"/>
          <w:b/>
          <w:szCs w:val="22"/>
          <w:u w:val="single"/>
        </w:rPr>
      </w:pPr>
      <w:r w:rsidRPr="00661250">
        <w:br w:type="page"/>
      </w:r>
      <w:r w:rsidR="00BC101D">
        <w:lastRenderedPageBreak/>
        <w:t>5.</w:t>
      </w:r>
      <w:r w:rsidRPr="00661250">
        <w:tab/>
        <w:t xml:space="preserve">„povoljno referentno područje” znači ukupno područje stanišnog tipa u određenoj biogeografskoj ili morskoj regiji na nacionalnoj razini koje se smatra najmanjim potrebnim područjem za osiguravanjem dugoročne održivosti tog stanišnog tipa i njegovih </w:t>
      </w:r>
      <w:r w:rsidRPr="00661250">
        <w:rPr>
          <w:b/>
          <w:i/>
        </w:rPr>
        <w:t>tipičnih</w:t>
      </w:r>
      <w:r w:rsidRPr="00661250">
        <w:t xml:space="preserve"> vrsta ili </w:t>
      </w:r>
      <w:r w:rsidRPr="00661250">
        <w:rPr>
          <w:b/>
          <w:i/>
          <w:shd w:val="clear" w:color="auto" w:fill="FFFFFF"/>
        </w:rPr>
        <w:t>tipičnog sastava vrsta</w:t>
      </w:r>
      <w:r w:rsidRPr="00661250">
        <w:t xml:space="preserve">, te svih njezinih znatnih ekoloških varijacija u njezinu prirodnom arealu, i koje se sastoji od područja stanišnog tipa i, ako to područje nije dovoljno, od područja potrebnog za ponovnu uspostavu stanišnog tipa; </w:t>
      </w:r>
      <w:r w:rsidRPr="00661250">
        <w:rPr>
          <w:b/>
          <w:i/>
        </w:rPr>
        <w:t>ako je dotični stanišni tip naveden u Prilogu I. Direktivi 92/43/EEZ, takva ponovna uspostava doprinosi postizanju povoljnog stanja očuvanosti u skladu s člankom 1. točkom (e) te direktive, a u morskim ekosustavima takva ponovna uspostava doprinosi postizanju ili održavanju dobrog stanja okoliša u skladu s člankom 3. stavkom 5. Direktive 2008/56/EZ;</w:t>
      </w:r>
    </w:p>
    <w:p w:rsidR="008D1BE3" w:rsidRPr="00661250" w:rsidRDefault="00BC101D" w:rsidP="008D1BE3">
      <w:pPr>
        <w:widowControl/>
        <w:suppressAutoHyphens/>
        <w:spacing w:before="120" w:after="120" w:line="360" w:lineRule="auto"/>
        <w:ind w:left="851" w:right="-1" w:hanging="851"/>
        <w:rPr>
          <w:rFonts w:eastAsia="Calibri"/>
          <w:szCs w:val="22"/>
        </w:rPr>
      </w:pPr>
      <w:r>
        <w:t>6.</w:t>
      </w:r>
      <w:r w:rsidR="008D1BE3" w:rsidRPr="00661250">
        <w:tab/>
        <w:t>„dostatna kvaliteta staništa” znači kvaliteta staništa vrste koja omogućuje ispunjavanje ekoloških zahtjeva vrste u bilo kojoj fazi njezina biološkog ciklusa tako da se dugoročno održava kao održiva sastavnica svojeg staništa u svojem prirodnom arealu</w:t>
      </w:r>
      <w:r w:rsidR="008D1BE3" w:rsidRPr="00661250">
        <w:rPr>
          <w:b/>
          <w:i/>
        </w:rPr>
        <w:t>, čime doprinosi postizanju ili održavanju povoljnog stanja očuvanosti vrsta u skladu s člankom 1. točkom (i) Direktive 92/43/EEZ za vrste navedene u prilozima II., IV. ili V. toj direktivi i osigurava populacije vrsta divljih ptica obuhvaćenih Direktivom 2009/147/EZ i, osim toga, morskih ekosustava, čime se doprinosi postizanju ili održavanju dobrog stanja okoliša u skladu s člankom 3. stavkom 5. Direktive 2008/56/EZ</w:t>
      </w:r>
      <w:r w:rsidR="008D1BE3" w:rsidRPr="00661250">
        <w:t>;</w:t>
      </w:r>
    </w:p>
    <w:p w:rsidR="008D1BE3" w:rsidRPr="00661250" w:rsidRDefault="008D1BE3" w:rsidP="008D1BE3">
      <w:pPr>
        <w:widowControl/>
        <w:suppressAutoHyphens/>
        <w:spacing w:before="120" w:after="120" w:line="360" w:lineRule="auto"/>
        <w:ind w:left="851" w:right="-1" w:hanging="851"/>
      </w:pPr>
      <w:r w:rsidRPr="00661250">
        <w:br w:type="page"/>
      </w:r>
      <w:r w:rsidR="00BC101D">
        <w:lastRenderedPageBreak/>
        <w:t>7.</w:t>
      </w:r>
      <w:r w:rsidRPr="00661250">
        <w:tab/>
        <w:t>„dostatna količina staništa” znači količina staništa vrste koja omogućuje ispunjavanje ekoloških zahtjeva vrste u bilo kojoj fazi njezina biološkog ciklusa tako da se dugoročno održava kao održiva sastavnica svojeg staništa u svojem prirodnom arealu</w:t>
      </w:r>
      <w:r w:rsidRPr="00661250">
        <w:rPr>
          <w:b/>
          <w:i/>
        </w:rPr>
        <w:t>, čime doprinosi postizanju ili održavanju povoljnog stanja očuvanosti vrsta u skladu s člankom 1. točkom (i) Direktive 92/43/EEZ za vrste navedene u prilozima II., IV. ili V. toj direktivi i osigurava populacije vrsta divljih ptica obuhvaćenih Direktivom 2009/147/EZ i, osim toga, morskih ekosustava, čime se doprinosi postizanju ili održavanju dobrog stanja okoliša u skladu s člankom 3. stavkom 5. Direktive 2008/56/EZ</w:t>
      </w:r>
      <w:r w:rsidRPr="00661250">
        <w:t>;</w:t>
      </w:r>
    </w:p>
    <w:p w:rsidR="00ED682B" w:rsidRPr="00661250" w:rsidRDefault="00BC101D" w:rsidP="008D1BE3">
      <w:pPr>
        <w:widowControl/>
        <w:suppressAutoHyphens/>
        <w:spacing w:before="120" w:after="120" w:line="360" w:lineRule="auto"/>
        <w:ind w:left="851" w:right="-1" w:hanging="851"/>
        <w:rPr>
          <w:rFonts w:eastAsia="Calibri"/>
          <w:b/>
          <w:szCs w:val="22"/>
        </w:rPr>
      </w:pPr>
      <w:r>
        <w:rPr>
          <w:rFonts w:eastAsia="Calibri"/>
          <w:b/>
          <w:i/>
          <w:szCs w:val="22"/>
        </w:rPr>
        <w:t>7.a</w:t>
      </w:r>
      <w:r w:rsidR="00ED682B" w:rsidRPr="00661250">
        <w:rPr>
          <w:rFonts w:eastAsia="Calibri"/>
          <w:b/>
          <w:i/>
          <w:szCs w:val="22"/>
        </w:rPr>
        <w:tab/>
        <w:t>„pogoršanje” znači uzrokovanje neto štetnog učinka na stanišne tipove i staništa vrsta obuhvaćenih člankom 4. stavcima 6. i 7. te člankom 5. stavcima 6. i 7., u mjeri u kojoj bi taj učinak mogao biti znatan u odnosu na opći cilj članaka 4. i 5. da se održava ili obnovi povoljno stanje očuvanosti takvih stanišnih tipova i staništa vrsta na nacionalnoj razini te, ovisno o stanišnom tipu ili staništu dotične vrste, na biogeografskoj razini.</w:t>
      </w:r>
      <w:r w:rsidR="00ED682B" w:rsidRPr="00661250">
        <w:rPr>
          <w:rFonts w:eastAsia="Calibri"/>
          <w:b/>
          <w:szCs w:val="22"/>
        </w:rPr>
        <w:t xml:space="preserve"> [Am. 117</w:t>
      </w:r>
      <w:r w:rsidR="00C6040D" w:rsidRPr="00661250">
        <w:rPr>
          <w:rFonts w:eastAsia="Calibri"/>
          <w:b/>
          <w:szCs w:val="22"/>
        </w:rPr>
        <w:t>/rev1</w:t>
      </w:r>
      <w:r w:rsidR="00ED682B" w:rsidRPr="00661250">
        <w:rPr>
          <w:rFonts w:eastAsia="Calibri"/>
          <w:b/>
          <w:szCs w:val="22"/>
        </w:rPr>
        <w:t>]</w:t>
      </w:r>
    </w:p>
    <w:p w:rsidR="008D1BE3" w:rsidRPr="00661250" w:rsidRDefault="00BC101D" w:rsidP="008D1BE3">
      <w:pPr>
        <w:widowControl/>
        <w:suppressAutoHyphens/>
        <w:spacing w:before="120" w:after="120" w:line="360" w:lineRule="auto"/>
        <w:ind w:left="851" w:right="-1" w:hanging="851"/>
        <w:rPr>
          <w:rFonts w:eastAsia="Calibri"/>
          <w:szCs w:val="22"/>
        </w:rPr>
      </w:pPr>
      <w:r>
        <w:t>8.</w:t>
      </w:r>
      <w:r w:rsidR="008D1BE3" w:rsidRPr="00661250">
        <w:tab/>
        <w:t>„oprašivač” znači divlji kukac koja prenosi pelud od prašnice biljke do njuške tučka biljke, čime omogućuje oplodnju i proizvodnju sjemena;</w:t>
      </w:r>
    </w:p>
    <w:p w:rsidR="008D1BE3" w:rsidRPr="00661250" w:rsidRDefault="00BC101D" w:rsidP="008D1BE3">
      <w:pPr>
        <w:widowControl/>
        <w:suppressAutoHyphens/>
        <w:spacing w:before="120" w:after="120" w:line="360" w:lineRule="auto"/>
        <w:ind w:left="851" w:right="-1" w:hanging="851"/>
        <w:rPr>
          <w:rFonts w:eastAsia="Calibri"/>
          <w:b/>
          <w:color w:val="000000"/>
          <w:szCs w:val="22"/>
          <w:u w:val="single"/>
        </w:rPr>
      </w:pPr>
      <w:r>
        <w:t>9.</w:t>
      </w:r>
      <w:r w:rsidR="008D1BE3" w:rsidRPr="00661250">
        <w:tab/>
        <w:t>„pogoršanje stanja populacija oprašivača” znači smanjenje broja i/ili raznolikosti oprašivača;</w:t>
      </w:r>
    </w:p>
    <w:p w:rsidR="008D1BE3" w:rsidRPr="00661250" w:rsidRDefault="00BC101D" w:rsidP="008D1BE3">
      <w:pPr>
        <w:widowControl/>
        <w:suppressAutoHyphens/>
        <w:spacing w:before="120" w:after="120" w:line="360" w:lineRule="auto"/>
        <w:ind w:left="851" w:right="-1" w:hanging="851"/>
        <w:rPr>
          <w:rFonts w:eastAsia="Calibri"/>
          <w:i/>
          <w:color w:val="000000"/>
          <w:szCs w:val="22"/>
          <w:shd w:val="clear" w:color="auto" w:fill="FFFFFF"/>
        </w:rPr>
      </w:pPr>
      <w:r>
        <w:rPr>
          <w:b/>
          <w:i/>
        </w:rPr>
        <w:t>9.a</w:t>
      </w:r>
      <w:r w:rsidR="008D1BE3" w:rsidRPr="00661250">
        <w:rPr>
          <w:b/>
          <w:i/>
        </w:rPr>
        <w:tab/>
      </w:r>
      <w:r w:rsidR="008D1BE3" w:rsidRPr="00661250">
        <w:rPr>
          <w:b/>
          <w:bCs/>
          <w:i/>
          <w:iCs/>
        </w:rPr>
        <w:t>„zavičajna vrsta drveća” znači vrsta drveća koja se pojavljuje u svojem prirodnom arealu</w:t>
      </w:r>
      <w:bookmarkStart w:id="30" w:name="_Hlk131598940"/>
      <w:r w:rsidR="008D1BE3" w:rsidRPr="00661250">
        <w:rPr>
          <w:b/>
          <w:bCs/>
          <w:i/>
          <w:iCs/>
        </w:rPr>
        <w:t xml:space="preserve"> (prošlom ili sadašnjem) i potencijalu širenja (tj. unutar areala na kojem se prirodno nalazi ili bi se mogla nalaziti bez izravnog ili neizravnog uplitanja ili skrbi ljudi);</w:t>
      </w:r>
      <w:r w:rsidR="008D1BE3" w:rsidRPr="00661250">
        <w:rPr>
          <w:b/>
          <w:i/>
        </w:rPr>
        <w:t xml:space="preserve"> </w:t>
      </w:r>
    </w:p>
    <w:p w:rsidR="008D1BE3" w:rsidRPr="00661250" w:rsidRDefault="00BC101D" w:rsidP="008D1BE3">
      <w:pPr>
        <w:widowControl/>
        <w:suppressAutoHyphens/>
        <w:spacing w:before="120" w:after="120" w:line="360" w:lineRule="auto"/>
        <w:ind w:left="851" w:right="-1" w:hanging="851"/>
        <w:rPr>
          <w:rFonts w:eastAsia="Calibri"/>
          <w:color w:val="000000"/>
          <w:szCs w:val="22"/>
        </w:rPr>
      </w:pPr>
      <w:r>
        <w:t>10.</w:t>
      </w:r>
      <w:r w:rsidR="008D1BE3" w:rsidRPr="00661250">
        <w:tab/>
        <w:t>„lokalna upravna jedinica” znači upravna jedinica niske razine u državi članici, koja se nalazi ispod pokrajine, regije ili države, a uspostavljena je u skladu s člankom 4. Uredbe (EZ) br. 1059/2003 Europskog parlamenta i Vijeća</w:t>
      </w:r>
      <w:r w:rsidR="008D1BE3" w:rsidRPr="00661250">
        <w:rPr>
          <w:rFonts w:eastAsia="Calibri"/>
          <w:color w:val="000000"/>
          <w:szCs w:val="24"/>
          <w:vertAlign w:val="superscript"/>
          <w:lang w:eastAsia="en-US"/>
        </w:rPr>
        <w:footnoteReference w:id="71"/>
      </w:r>
      <w:r w:rsidR="008D1BE3" w:rsidRPr="00661250">
        <w:t>;</w:t>
      </w:r>
    </w:p>
    <w:p w:rsidR="008D1BE3" w:rsidRPr="00661250" w:rsidRDefault="008D1BE3" w:rsidP="008D1BE3">
      <w:pPr>
        <w:widowControl/>
        <w:suppressAutoHyphens/>
        <w:spacing w:before="120" w:after="120" w:line="360" w:lineRule="auto"/>
        <w:ind w:left="851" w:right="-1" w:hanging="851"/>
        <w:rPr>
          <w:rFonts w:eastAsia="Calibri"/>
          <w:b/>
          <w:i/>
          <w:szCs w:val="22"/>
        </w:rPr>
      </w:pPr>
      <w:r w:rsidRPr="00661250">
        <w:br w:type="page"/>
      </w:r>
      <w:r w:rsidR="00BC101D">
        <w:rPr>
          <w:b/>
          <w:i/>
        </w:rPr>
        <w:lastRenderedPageBreak/>
        <w:t>10.a</w:t>
      </w:r>
      <w:r w:rsidRPr="00661250">
        <w:rPr>
          <w:b/>
          <w:i/>
        </w:rPr>
        <w:tab/>
        <w:t xml:space="preserve">„urbana središta” i „urbani klasteri” znači prostorne jedinice klasificirane u gradovima i manjim gradovima i predgrađima primjenom tipologije na temelju mreže uspostavljene u skladu s člankom 4.b stavkom 2. </w:t>
      </w:r>
      <w:bookmarkStart w:id="31" w:name="_Hlk136856956"/>
      <w:r w:rsidRPr="00661250">
        <w:rPr>
          <w:b/>
          <w:i/>
        </w:rPr>
        <w:t>Uredbe (EZ) br. 1059/2003</w:t>
      </w:r>
      <w:bookmarkEnd w:id="31"/>
      <w:r w:rsidRPr="00661250">
        <w:rPr>
          <w:b/>
          <w:i/>
        </w:rPr>
        <w:t>;</w:t>
      </w:r>
    </w:p>
    <w:p w:rsidR="008D1BE3" w:rsidRPr="00661250" w:rsidRDefault="00BC101D" w:rsidP="008D1BE3">
      <w:pPr>
        <w:widowControl/>
        <w:suppressAutoHyphens/>
        <w:spacing w:before="120" w:after="120" w:line="360" w:lineRule="auto"/>
        <w:ind w:left="851" w:right="-1" w:hanging="851"/>
        <w:rPr>
          <w:rFonts w:eastAsia="Calibri"/>
          <w:szCs w:val="22"/>
        </w:rPr>
      </w:pPr>
      <w:r>
        <w:t>11.</w:t>
      </w:r>
      <w:r w:rsidR="008D1BE3" w:rsidRPr="00661250">
        <w:tab/>
        <w:t>„gradovi” znači lokalne upravne jedinice u kojima najmanje 50 % stanovništva živi u jednom ili više urbanih središta, što se mjeri s pomoću stupnja urbanizacije utvrđenog u skladu s člankom 4.b stavkom 3. točkom (a) Uredbe (EZ) br. 1059/2003;</w:t>
      </w:r>
    </w:p>
    <w:p w:rsidR="008D1BE3" w:rsidRPr="00661250" w:rsidRDefault="00BC101D" w:rsidP="008D1BE3">
      <w:pPr>
        <w:widowControl/>
        <w:suppressAutoHyphens/>
        <w:spacing w:before="120" w:after="120" w:line="360" w:lineRule="auto"/>
        <w:ind w:left="851" w:right="-1" w:hanging="851"/>
        <w:rPr>
          <w:rFonts w:eastAsia="Calibri"/>
          <w:szCs w:val="22"/>
        </w:rPr>
      </w:pPr>
      <w:r>
        <w:t>12.</w:t>
      </w:r>
      <w:r w:rsidR="008D1BE3" w:rsidRPr="00661250">
        <w:tab/>
        <w:t>„manji gradovi i predgrađa” znači lokalne upravne jedinice u kojima manje od 50 % stanovništva živi u urbanom središtu, ali najmanje 50 % stanovništva živi u urbanom klasteru, što se mjeri s pomoću stupnja urbanizacije utvrđenog u skladu s člankom 4.b stavkom 3. točkom (a) Uredbe (EZ) br. 1059/2003;</w:t>
      </w:r>
    </w:p>
    <w:p w:rsidR="008D1BE3" w:rsidRPr="00661250" w:rsidRDefault="00BC101D" w:rsidP="008D1BE3">
      <w:pPr>
        <w:widowControl/>
        <w:suppressAutoHyphens/>
        <w:spacing w:before="120" w:after="120" w:line="360" w:lineRule="auto"/>
        <w:ind w:left="851" w:right="-1" w:hanging="851"/>
        <w:rPr>
          <w:rFonts w:eastAsia="Calibri"/>
          <w:b/>
          <w:i/>
          <w:color w:val="000000"/>
          <w:szCs w:val="22"/>
        </w:rPr>
      </w:pPr>
      <w:r>
        <w:rPr>
          <w:b/>
          <w:i/>
          <w:color w:val="000000"/>
        </w:rPr>
        <w:t>12.a</w:t>
      </w:r>
      <w:r w:rsidR="008D1BE3" w:rsidRPr="00661250">
        <w:rPr>
          <w:b/>
          <w:i/>
          <w:color w:val="000000"/>
        </w:rPr>
        <w:tab/>
        <w:t>„prigradska područja” znači područja koja graniče s urbanim središtima ili urbanim klasterima, uključujući barem sva područja unutar jednog kilometra mjereno od vanjskih granica tih urbanih središta ili urbanih klastera, a nalaze se u istom gradu ili istom manjem gradu i predgrađu kao i ta urbana središta ili urbani klasteri;</w:t>
      </w:r>
    </w:p>
    <w:p w:rsidR="008D1BE3" w:rsidRPr="00661250" w:rsidRDefault="00BC101D" w:rsidP="008D1BE3">
      <w:pPr>
        <w:widowControl/>
        <w:suppressAutoHyphens/>
        <w:spacing w:before="120" w:after="120" w:line="360" w:lineRule="auto"/>
        <w:ind w:left="851" w:right="-1" w:hanging="851"/>
        <w:rPr>
          <w:rFonts w:eastAsia="Calibri"/>
          <w:szCs w:val="22"/>
        </w:rPr>
      </w:pPr>
      <w:r>
        <w:t>13.</w:t>
      </w:r>
      <w:r w:rsidR="008D1BE3" w:rsidRPr="00661250">
        <w:tab/>
        <w:t xml:space="preserve">„gradska zelena površina” znači </w:t>
      </w:r>
      <w:r w:rsidR="008D1BE3" w:rsidRPr="00661250">
        <w:rPr>
          <w:b/>
          <w:bCs/>
          <w:i/>
        </w:rPr>
        <w:t>ukupna površina drveća, grmlja, šiblja, trajne zeljaste vegetacije, lišajeva i mahovina, ribnjaka i vodotoka</w:t>
      </w:r>
      <w:r w:rsidR="008D1BE3" w:rsidRPr="00661250">
        <w:t xml:space="preserve"> u gradovima ili manjim gradovima i predgrađima </w:t>
      </w:r>
      <w:bookmarkStart w:id="32" w:name="_Hlk133232176"/>
      <w:r w:rsidR="008D1BE3" w:rsidRPr="00661250">
        <w:t>izračunana na temelju podataka dobivenih u okviru usluge praćenja kopna programa Copernicus kako je uspostavljena Uredbom (EU) 2021/696 Europskog parlamenta i Vijeća</w:t>
      </w:r>
      <w:r w:rsidR="008D1BE3" w:rsidRPr="00661250">
        <w:rPr>
          <w:rFonts w:eastAsia="Calibri"/>
          <w:szCs w:val="22"/>
          <w:vertAlign w:val="superscript"/>
          <w:lang w:eastAsia="en-US"/>
        </w:rPr>
        <w:footnoteReference w:id="72"/>
      </w:r>
      <w:r w:rsidR="008D1BE3" w:rsidRPr="00661250">
        <w:t xml:space="preserve"> </w:t>
      </w:r>
      <w:r w:rsidR="008D1BE3" w:rsidRPr="00661250">
        <w:rPr>
          <w:b/>
          <w:i/>
        </w:rPr>
        <w:t>te, ako su dostupni dotičnoj državi članici, drugih odgovarajućih dopunskih podataka koje je dostavila ta država članica</w:t>
      </w:r>
      <w:r w:rsidR="008D1BE3" w:rsidRPr="00661250">
        <w:t>;</w:t>
      </w:r>
      <w:bookmarkEnd w:id="32"/>
    </w:p>
    <w:p w:rsidR="008D1BE3" w:rsidRPr="00661250" w:rsidRDefault="008D1BE3" w:rsidP="008D1BE3">
      <w:pPr>
        <w:widowControl/>
        <w:suppressAutoHyphens/>
        <w:spacing w:before="120" w:after="120" w:line="360" w:lineRule="auto"/>
        <w:ind w:left="851" w:right="-1" w:hanging="851"/>
        <w:rPr>
          <w:rFonts w:eastAsia="Calibri"/>
          <w:szCs w:val="22"/>
        </w:rPr>
      </w:pPr>
      <w:r w:rsidRPr="00661250">
        <w:br w:type="page"/>
      </w:r>
      <w:r w:rsidR="00BC101D">
        <w:lastRenderedPageBreak/>
        <w:t>14.</w:t>
      </w:r>
      <w:r w:rsidRPr="00661250">
        <w:tab/>
      </w:r>
      <w:bookmarkStart w:id="33" w:name="_Hlk133171975"/>
      <w:r w:rsidRPr="00661250">
        <w:t xml:space="preserve">„prekrivenost gradova krošnjama stabala” znači ukupna površina pokrivenosti drvećem u gradovima i manjim gradovima i predgrađima koja se izračunava na temelju podataka o gustoći pokrivenosti drvećem dobivenih u okviru usluge praćenja stanja kopna programa Copernicus kako je uspostavljena Uredbom (EU) 2021/696 Europskog parlamenta i Vijeća </w:t>
      </w:r>
      <w:r w:rsidRPr="00661250">
        <w:rPr>
          <w:b/>
          <w:bCs/>
          <w:i/>
          <w:iCs/>
        </w:rPr>
        <w:t>te, ako su dostupni dotičnoj državi članici, drugih odgovarajućih dopunskih podataka koje je dostavila ta država članica;</w:t>
      </w:r>
      <w:bookmarkEnd w:id="33"/>
    </w:p>
    <w:bookmarkEnd w:id="30"/>
    <w:p w:rsidR="008D1BE3" w:rsidRPr="00661250" w:rsidRDefault="00BC101D" w:rsidP="008D1BE3">
      <w:pPr>
        <w:widowControl/>
        <w:suppressAutoHyphens/>
        <w:spacing w:before="120" w:after="120" w:line="360" w:lineRule="auto"/>
        <w:ind w:left="851" w:right="-1" w:hanging="851"/>
        <w:rPr>
          <w:rFonts w:eastAsia="Calibri"/>
          <w:i/>
          <w:sz w:val="28"/>
          <w:szCs w:val="24"/>
        </w:rPr>
      </w:pPr>
      <w:r>
        <w:rPr>
          <w:b/>
          <w:i/>
        </w:rPr>
        <w:t>14.a</w:t>
      </w:r>
      <w:r w:rsidR="008D1BE3" w:rsidRPr="00661250">
        <w:rPr>
          <w:b/>
          <w:i/>
        </w:rPr>
        <w:tab/>
        <w:t>„rijeka slobodnog toka” znači rijeka ili dio rijeke čiju uzdužnu, bočnu i vertikalnu povezanost ne ometaju umjetne strukture koje tvore prepreku i čije prirodne funkcije u velikoj mjeri nisu pogođene;</w:t>
      </w:r>
      <w:r w:rsidR="008D1BE3" w:rsidRPr="00661250">
        <w:rPr>
          <w:i/>
          <w:sz w:val="28"/>
        </w:rPr>
        <w:t xml:space="preserve"> </w:t>
      </w:r>
    </w:p>
    <w:p w:rsidR="008D1BE3" w:rsidRPr="00661250" w:rsidRDefault="008D1BE3" w:rsidP="008D1BE3">
      <w:pPr>
        <w:widowControl/>
        <w:suppressAutoHyphens/>
        <w:spacing w:before="120" w:after="120" w:line="360" w:lineRule="auto"/>
        <w:ind w:left="851" w:right="-1" w:hanging="851"/>
        <w:rPr>
          <w:rFonts w:eastAsia="Calibri"/>
          <w:i/>
          <w:szCs w:val="22"/>
        </w:rPr>
      </w:pPr>
      <w:bookmarkStart w:id="34" w:name="_Hlk133242023"/>
      <w:r w:rsidRPr="00661250">
        <w:rPr>
          <w:b/>
          <w:i/>
        </w:rPr>
        <w:t>14.b</w:t>
      </w:r>
      <w:r w:rsidRPr="00661250">
        <w:rPr>
          <w:i/>
        </w:rPr>
        <w:tab/>
      </w:r>
      <w:r w:rsidRPr="00661250">
        <w:rPr>
          <w:b/>
          <w:i/>
        </w:rPr>
        <w:t>„ponovno natapanje tresetišta” znači postupak prenamjene isušenog tresetnog tla u vlažno tlo;</w:t>
      </w:r>
    </w:p>
    <w:bookmarkEnd w:id="34"/>
    <w:p w:rsidR="008D1BE3" w:rsidRPr="00661250" w:rsidRDefault="00BC101D" w:rsidP="008D1BE3">
      <w:pPr>
        <w:widowControl/>
        <w:spacing w:after="200" w:line="276" w:lineRule="auto"/>
        <w:ind w:left="851" w:hanging="851"/>
        <w:rPr>
          <w:rFonts w:eastAsia="Calibri"/>
          <w:szCs w:val="22"/>
        </w:rPr>
      </w:pPr>
      <w:r>
        <w:t>15.</w:t>
      </w:r>
      <w:r w:rsidR="008D1BE3" w:rsidRPr="00661250">
        <w:tab/>
        <w:t xml:space="preserve">„područje </w:t>
      </w:r>
      <w:r w:rsidR="008D1BE3" w:rsidRPr="00661250">
        <w:rPr>
          <w:b/>
          <w:i/>
        </w:rPr>
        <w:t>ubrzane</w:t>
      </w:r>
      <w:r w:rsidR="008D1BE3" w:rsidRPr="00661250">
        <w:t xml:space="preserve"> proizvodnje energije iz obnovljivih izvora” znači područje </w:t>
      </w:r>
      <w:r w:rsidR="008D1BE3" w:rsidRPr="00661250">
        <w:rPr>
          <w:b/>
          <w:i/>
        </w:rPr>
        <w:t>ubrzane</w:t>
      </w:r>
      <w:r w:rsidR="008D1BE3" w:rsidRPr="00661250">
        <w:t xml:space="preserve"> proizvodnje energije iz obnovljivih izvora kako je definirano u članku 2. točki 9.a Direktive 2018/2001/EU Europskog parlamenta i Vijeća</w:t>
      </w:r>
      <w:r w:rsidR="008D1BE3" w:rsidRPr="00661250">
        <w:rPr>
          <w:rFonts w:eastAsia="Calibri"/>
          <w:szCs w:val="22"/>
          <w:vertAlign w:val="superscript"/>
          <w:lang w:eastAsia="en-US"/>
        </w:rPr>
        <w:footnoteReference w:id="73"/>
      </w:r>
      <w:r w:rsidR="008D1BE3" w:rsidRPr="00661250">
        <w:t>.</w:t>
      </w:r>
      <w:r w:rsidR="008D1BE3" w:rsidRPr="00661250">
        <w:rPr>
          <w:b/>
          <w:u w:val="single"/>
        </w:rPr>
        <w:t xml:space="preserve"> </w:t>
      </w:r>
      <w:r w:rsidR="008D1BE3" w:rsidRPr="00661250">
        <w:br w:type="page"/>
      </w:r>
    </w:p>
    <w:p w:rsidR="008D1BE3" w:rsidRPr="00661250" w:rsidRDefault="008D1BE3" w:rsidP="008D1BE3">
      <w:pPr>
        <w:keepNext/>
        <w:widowControl/>
        <w:suppressAutoHyphens/>
        <w:spacing w:before="360" w:after="360" w:line="360" w:lineRule="auto"/>
        <w:jc w:val="center"/>
        <w:outlineLvl w:val="0"/>
        <w:rPr>
          <w:b/>
          <w:bCs/>
          <w:smallCaps/>
          <w:sz w:val="32"/>
          <w:szCs w:val="28"/>
        </w:rPr>
      </w:pPr>
      <w:r w:rsidRPr="00661250">
        <w:rPr>
          <w:b/>
          <w:smallCaps/>
          <w:sz w:val="32"/>
        </w:rPr>
        <w:lastRenderedPageBreak/>
        <w:t>POGLAVLJE II.</w:t>
      </w:r>
      <w:r w:rsidRPr="00661250">
        <w:rPr>
          <w:b/>
          <w:smallCaps/>
          <w:sz w:val="32"/>
        </w:rPr>
        <w:br/>
        <w:t>CILJEVI I OBVEZE U POGLEDU OBNOVE</w:t>
      </w:r>
    </w:p>
    <w:p w:rsidR="008D1BE3" w:rsidRPr="00661250" w:rsidRDefault="008D1BE3" w:rsidP="008D1BE3">
      <w:pPr>
        <w:keepNext/>
        <w:widowControl/>
        <w:suppressAutoHyphens/>
        <w:spacing w:before="360" w:after="120" w:line="360" w:lineRule="auto"/>
        <w:ind w:right="140"/>
        <w:jc w:val="center"/>
        <w:outlineLvl w:val="1"/>
        <w:rPr>
          <w:i/>
          <w:szCs w:val="26"/>
        </w:rPr>
      </w:pPr>
      <w:r w:rsidRPr="00661250">
        <w:t>Članak 4.</w:t>
      </w:r>
      <w:r w:rsidRPr="00661250">
        <w:rPr>
          <w:b/>
        </w:rPr>
        <w:br/>
      </w:r>
      <w:r w:rsidRPr="00661250">
        <w:rPr>
          <w:i/>
        </w:rPr>
        <w:t>Obnova kopnenih, obalnih i slatkovodnih ekosustava</w:t>
      </w:r>
    </w:p>
    <w:p w:rsidR="008D1BE3" w:rsidRPr="00661250" w:rsidRDefault="008D1BE3" w:rsidP="00BC101D">
      <w:pPr>
        <w:widowControl/>
        <w:suppressAutoHyphens/>
        <w:spacing w:before="120" w:after="120" w:line="360" w:lineRule="auto"/>
        <w:ind w:left="567" w:right="140" w:hanging="567"/>
        <w:rPr>
          <w:rFonts w:eastAsia="Calibri"/>
          <w:bCs/>
          <w:i/>
          <w:szCs w:val="22"/>
        </w:rPr>
      </w:pPr>
      <w:r w:rsidRPr="00661250">
        <w:t>1.</w:t>
      </w:r>
      <w:r w:rsidRPr="00661250">
        <w:tab/>
      </w:r>
      <w:r w:rsidR="007D2744" w:rsidRPr="00661250">
        <w:t xml:space="preserve">Države članice </w:t>
      </w:r>
      <w:r w:rsidR="007D2744" w:rsidRPr="00661250">
        <w:rPr>
          <w:b/>
          <w:i/>
        </w:rPr>
        <w:t>nastoje</w:t>
      </w:r>
      <w:r w:rsidR="007D2744" w:rsidRPr="00661250">
        <w:t xml:space="preserve"> </w:t>
      </w:r>
      <w:r w:rsidR="007D2744" w:rsidRPr="00661250">
        <w:rPr>
          <w:b/>
          <w:i/>
        </w:rPr>
        <w:t>uspostaviti</w:t>
      </w:r>
      <w:r w:rsidR="007D2744" w:rsidRPr="00661250">
        <w:t xml:space="preserve"> mjere obnove </w:t>
      </w:r>
      <w:r w:rsidR="007D2744" w:rsidRPr="00661250">
        <w:rPr>
          <w:b/>
          <w:i/>
        </w:rPr>
        <w:t>na</w:t>
      </w:r>
      <w:r w:rsidR="007D2744" w:rsidRPr="00661250">
        <w:t xml:space="preserve"> </w:t>
      </w:r>
      <w:r w:rsidR="007D2744" w:rsidRPr="00661250">
        <w:rPr>
          <w:b/>
          <w:i/>
        </w:rPr>
        <w:t>područjima Natura 2000</w:t>
      </w:r>
      <w:r w:rsidR="007D2744" w:rsidRPr="00661250">
        <w:t xml:space="preserve"> koje su potrebne kako bi se </w:t>
      </w:r>
      <w:r w:rsidR="007D2744" w:rsidRPr="00661250">
        <w:rPr>
          <w:b/>
          <w:i/>
        </w:rPr>
        <w:t>ostvario pomak prema postizanju povoljnog stanja očuvanosti</w:t>
      </w:r>
      <w:r w:rsidR="007D2744" w:rsidRPr="00661250">
        <w:t xml:space="preserve"> područja stanišnih tipova navedenih u Prilogu I. koja nisu u dobrom stanju. Te se mjere </w:t>
      </w:r>
      <w:r w:rsidR="007D2744" w:rsidRPr="00661250">
        <w:rPr>
          <w:b/>
          <w:i/>
        </w:rPr>
        <w:t>uspostavljaju</w:t>
      </w:r>
      <w:r w:rsidR="007D2744" w:rsidRPr="00661250">
        <w:t xml:space="preserve"> u područjima </w:t>
      </w:r>
      <w:r w:rsidR="007D2744" w:rsidRPr="00661250">
        <w:rPr>
          <w:b/>
          <w:i/>
        </w:rPr>
        <w:t>mreže Natura 2000</w:t>
      </w:r>
      <w:r w:rsidR="007D2744" w:rsidRPr="00661250">
        <w:t xml:space="preserve"> koja nisu u dobrom stanju u svakoj skupini stanišnih tipova navedenoj u Prilogu I., kako je kvantificirano u nacionalnom planu obnove iz članka 12.</w:t>
      </w:r>
      <w:r w:rsidRPr="00661250">
        <w:t>:</w:t>
      </w:r>
      <w:r w:rsidR="00381773" w:rsidRPr="00661250">
        <w:rPr>
          <w:b/>
        </w:rPr>
        <w:t xml:space="preserve"> [Am. 21]</w:t>
      </w:r>
    </w:p>
    <w:p w:rsidR="008D1BE3" w:rsidRPr="00661250" w:rsidRDefault="008D1BE3" w:rsidP="008D1BE3">
      <w:pPr>
        <w:widowControl/>
        <w:suppressAutoHyphens/>
        <w:spacing w:before="120" w:after="120" w:line="360" w:lineRule="auto"/>
        <w:ind w:left="567" w:right="140" w:hanging="567"/>
        <w:rPr>
          <w:rFonts w:eastAsia="Calibri"/>
          <w:b/>
          <w:szCs w:val="22"/>
        </w:rPr>
      </w:pPr>
      <w:r w:rsidRPr="00661250">
        <w:t>2.</w:t>
      </w:r>
      <w:r w:rsidRPr="00661250">
        <w:tab/>
      </w:r>
      <w:r w:rsidR="00CE24BC" w:rsidRPr="00661250">
        <w:rPr>
          <w:szCs w:val="24"/>
          <w:lang w:eastAsia="en-US"/>
        </w:rPr>
        <w:t xml:space="preserve">Države članice uspostavljaju mjere obnove koje su potrebne za ponovnu uspostavu stanišnih tipova navedenih u Prilogu I. na područjima koja nisu pokrivena tim stanišnim tipovima. </w:t>
      </w:r>
      <w:r w:rsidR="00CE24BC" w:rsidRPr="00661250">
        <w:rPr>
          <w:b/>
          <w:i/>
          <w:szCs w:val="24"/>
          <w:lang w:eastAsia="en-US"/>
        </w:rPr>
        <w:t>Takve</w:t>
      </w:r>
      <w:r w:rsidR="00CE24BC" w:rsidRPr="00661250">
        <w:rPr>
          <w:szCs w:val="24"/>
          <w:lang w:eastAsia="en-US"/>
        </w:rPr>
        <w:t xml:space="preserve"> mjere </w:t>
      </w:r>
      <w:r w:rsidR="00CE24BC" w:rsidRPr="00661250">
        <w:rPr>
          <w:b/>
          <w:i/>
          <w:szCs w:val="24"/>
          <w:lang w:eastAsia="en-US"/>
        </w:rPr>
        <w:t>moraju biti uspostavljene na područjima</w:t>
      </w:r>
      <w:r w:rsidR="00CE24BC" w:rsidRPr="00661250">
        <w:rPr>
          <w:szCs w:val="24"/>
          <w:lang w:eastAsia="en-US"/>
        </w:rPr>
        <w:t xml:space="preserve"> koja </w:t>
      </w:r>
      <w:r w:rsidR="00CE24BC" w:rsidRPr="00661250">
        <w:rPr>
          <w:b/>
          <w:i/>
          <w:szCs w:val="24"/>
          <w:lang w:eastAsia="en-US"/>
        </w:rPr>
        <w:t>su</w:t>
      </w:r>
      <w:r w:rsidR="00CE24BC" w:rsidRPr="00661250">
        <w:rPr>
          <w:szCs w:val="24"/>
          <w:lang w:eastAsia="en-US"/>
        </w:rPr>
        <w:t xml:space="preserve"> potrebna kako bi se </w:t>
      </w:r>
      <w:r w:rsidR="00CE24BC" w:rsidRPr="00661250">
        <w:rPr>
          <w:b/>
          <w:i/>
          <w:szCs w:val="24"/>
          <w:lang w:eastAsia="en-US"/>
        </w:rPr>
        <w:t>osiguralo ostvarivanje ciljeva utvrđenih</w:t>
      </w:r>
      <w:r w:rsidR="00CE24BC" w:rsidRPr="00661250">
        <w:rPr>
          <w:szCs w:val="24"/>
          <w:lang w:eastAsia="en-US"/>
        </w:rPr>
        <w:t xml:space="preserve"> u </w:t>
      </w:r>
      <w:r w:rsidR="00CE24BC" w:rsidRPr="00661250">
        <w:rPr>
          <w:b/>
          <w:i/>
          <w:szCs w:val="24"/>
          <w:lang w:eastAsia="en-US"/>
        </w:rPr>
        <w:t>stavku</w:t>
      </w:r>
      <w:r w:rsidR="00CE24BC" w:rsidRPr="00661250">
        <w:rPr>
          <w:szCs w:val="24"/>
          <w:lang w:eastAsia="en-US"/>
        </w:rPr>
        <w:t> </w:t>
      </w:r>
      <w:r w:rsidR="00CE24BC" w:rsidRPr="00661250">
        <w:rPr>
          <w:b/>
          <w:i/>
          <w:szCs w:val="24"/>
          <w:lang w:eastAsia="en-US"/>
        </w:rPr>
        <w:t>1</w:t>
      </w:r>
      <w:r w:rsidR="00CE24BC" w:rsidRPr="00661250">
        <w:rPr>
          <w:szCs w:val="24"/>
          <w:lang w:eastAsia="en-US"/>
        </w:rPr>
        <w:t>.</w:t>
      </w:r>
      <w:r w:rsidR="00CE24BC" w:rsidRPr="00661250">
        <w:rPr>
          <w:b/>
          <w:i/>
          <w:szCs w:val="24"/>
          <w:lang w:eastAsia="en-US"/>
        </w:rPr>
        <w:t xml:space="preserve"> ovog</w:t>
      </w:r>
      <w:r w:rsidR="00CE24BC" w:rsidRPr="00661250">
        <w:rPr>
          <w:szCs w:val="24"/>
          <w:lang w:eastAsia="en-US"/>
        </w:rPr>
        <w:t xml:space="preserve"> članka.</w:t>
      </w:r>
      <w:r w:rsidR="00381773" w:rsidRPr="00661250">
        <w:rPr>
          <w:b/>
        </w:rPr>
        <w:t>[Am. 99]</w:t>
      </w:r>
    </w:p>
    <w:p w:rsidR="008D1BE3" w:rsidRPr="00661250" w:rsidRDefault="008D1BE3" w:rsidP="008D1BE3">
      <w:pPr>
        <w:widowControl/>
        <w:suppressAutoHyphens/>
        <w:spacing w:before="120" w:after="120" w:line="360" w:lineRule="auto"/>
        <w:ind w:left="567" w:right="140" w:hanging="567"/>
        <w:rPr>
          <w:rFonts w:eastAsia="Calibri"/>
          <w:szCs w:val="22"/>
        </w:rPr>
      </w:pPr>
      <w:r w:rsidRPr="00661250">
        <w:br w:type="page"/>
      </w:r>
      <w:r w:rsidRPr="00661250">
        <w:lastRenderedPageBreak/>
        <w:t>3.</w:t>
      </w:r>
      <w:r w:rsidRPr="00661250">
        <w:tab/>
        <w:t>Države članice uspostavljaju mjere obnove za kopnena, obalna i slatkovodna staništa vrsta navedenih u prilozima II., IV. i V. Direktivi 92/43/EEZ i za kopnena, obalna i slatkovodna staništa divljih ptica obuhvaćenih Direktivom 2009/147/EZ koje su</w:t>
      </w:r>
      <w:r w:rsidRPr="00661250">
        <w:rPr>
          <w:b/>
          <w:i/>
        </w:rPr>
        <w:t>, uz mjere obnove u skladu sa stavcima 1. i 2. ovog članka,</w:t>
      </w:r>
      <w:r w:rsidRPr="00661250">
        <w:t xml:space="preserve"> potrebne za poboljšanje kvalitete i količine tih staništa, među ostalim njihovom ponovnom uspostavom, i za poboljšanje povezanosti dok se ne postigne dostatna kvaliteta i količina tih staništa.</w:t>
      </w:r>
    </w:p>
    <w:p w:rsidR="008D1BE3" w:rsidRPr="00661250" w:rsidRDefault="008D1BE3" w:rsidP="008D1BE3">
      <w:pPr>
        <w:widowControl/>
        <w:suppressAutoHyphens/>
        <w:spacing w:before="120" w:after="120" w:line="360" w:lineRule="auto"/>
        <w:ind w:left="567" w:right="140" w:hanging="567"/>
        <w:rPr>
          <w:rFonts w:eastAsia="Calibri"/>
          <w:b/>
          <w:szCs w:val="22"/>
          <w:u w:val="single"/>
        </w:rPr>
      </w:pPr>
      <w:r w:rsidRPr="00661250">
        <w:t>4.</w:t>
      </w:r>
      <w:bookmarkStart w:id="35" w:name="_Hlk136791385"/>
      <w:r w:rsidRPr="00661250">
        <w:tab/>
        <w:t>Utvrđivanje najpogodnijih područja za mjere obnove u skladu sa stavcima 1., 2. i 3. ovog članka temelji se na najboljim dostupnim spoznajama i najnovijim znanstvenim dokazima o stanju stanišnih tipova navedenih u Prilogu I., koje se mjeri na temelju strukture i funkcija potrebnih za njihovo dugoročno održavanje, uključujući njihove tipične vrste, kako je navedeno u članku 1. točki (e) Direktive 92/43/EEZ, te o kvaliteti i količini staništa vrsta iz stavka 3. ovog članka</w:t>
      </w:r>
      <w:r w:rsidRPr="00661250">
        <w:rPr>
          <w:b/>
          <w:bCs/>
          <w:i/>
        </w:rPr>
        <w:t>, služeći se pritom informacijama dostavljenima na temelju članka 17. Direktive 92/43/EEZ i članka 12. Direktive 2009/147/EZ</w:t>
      </w:r>
      <w:bookmarkStart w:id="36" w:name="_Hlk136423483"/>
      <w:r w:rsidRPr="00661250">
        <w:rPr>
          <w:b/>
          <w:bCs/>
          <w:i/>
        </w:rPr>
        <w:t>, te, prema potrebi, uzimajući u obzir raznolikost situacija u različitim regijama kako je navedeno u članku 11. stavku </w:t>
      </w:r>
      <w:bookmarkEnd w:id="35"/>
      <w:bookmarkEnd w:id="36"/>
      <w:r w:rsidRPr="00661250">
        <w:rPr>
          <w:b/>
          <w:bCs/>
          <w:i/>
        </w:rPr>
        <w:t>9.a.</w:t>
      </w:r>
    </w:p>
    <w:p w:rsidR="008D1BE3" w:rsidRPr="00661250" w:rsidRDefault="008D1BE3" w:rsidP="008D1BE3">
      <w:pPr>
        <w:widowControl/>
        <w:suppressAutoHyphens/>
        <w:spacing w:before="120" w:after="120" w:line="360" w:lineRule="auto"/>
        <w:ind w:left="567" w:right="140" w:hanging="567"/>
        <w:rPr>
          <w:rFonts w:eastAsia="Calibri"/>
          <w:b/>
          <w:i/>
          <w:szCs w:val="22"/>
        </w:rPr>
      </w:pPr>
      <w:r w:rsidRPr="00661250">
        <w:rPr>
          <w:b/>
          <w:i/>
        </w:rPr>
        <w:t>4.a</w:t>
      </w:r>
      <w:r w:rsidRPr="00661250">
        <w:rPr>
          <w:b/>
          <w:i/>
        </w:rPr>
        <w:tab/>
        <w:t>Države članice najkasnije do 2030. osiguravaju da je stanje najmanje 90 % površine raspoređene u svim stanišnim tipovima navedenima u Prilogu I. poznato. Stanje svih područja stanišnih tipova navedenih u Prilogu II. poznato je do 2040.</w:t>
      </w:r>
    </w:p>
    <w:p w:rsidR="008D1BE3" w:rsidRPr="00661250" w:rsidRDefault="008D1BE3" w:rsidP="008D1BE3">
      <w:pPr>
        <w:widowControl/>
        <w:suppressAutoHyphens/>
        <w:spacing w:before="120" w:after="120" w:line="360" w:lineRule="auto"/>
        <w:ind w:left="567" w:right="140" w:hanging="567"/>
        <w:rPr>
          <w:rFonts w:eastAsia="Calibri"/>
          <w:szCs w:val="22"/>
        </w:rPr>
      </w:pPr>
      <w:r w:rsidRPr="00661250">
        <w:t>5.</w:t>
      </w:r>
      <w:r w:rsidRPr="00661250">
        <w:tab/>
        <w:t>Mjerama obnove iz stavaka 1. i 2. uzimaju se u obzir potreba za boljom povezanošću stanišnih tipova navedenih u Prilogu I. i ekološki zahtjevi vrsta iz stavka 3. koje obitavaju u tim stanišnim tipovima.</w:t>
      </w:r>
    </w:p>
    <w:p w:rsidR="008D1BE3" w:rsidRPr="00661250" w:rsidRDefault="008D1BE3" w:rsidP="008D1BE3">
      <w:pPr>
        <w:widowControl/>
        <w:suppressAutoHyphens/>
        <w:spacing w:before="120" w:after="120" w:line="360" w:lineRule="auto"/>
        <w:ind w:left="567" w:right="140" w:hanging="567"/>
        <w:rPr>
          <w:rFonts w:eastAsia="Calibri"/>
          <w:b/>
          <w:szCs w:val="22"/>
        </w:rPr>
      </w:pPr>
      <w:r w:rsidRPr="00661250">
        <w:br w:type="page"/>
      </w:r>
      <w:r w:rsidRPr="00661250">
        <w:lastRenderedPageBreak/>
        <w:t>6.</w:t>
      </w:r>
      <w:r w:rsidRPr="00661250">
        <w:tab/>
      </w:r>
      <w:r w:rsidR="00443F16" w:rsidRPr="00661250">
        <w:rPr>
          <w:szCs w:val="24"/>
          <w:lang w:eastAsia="en-US"/>
        </w:rPr>
        <w:t xml:space="preserve">Države članice </w:t>
      </w:r>
      <w:r w:rsidR="00443F16" w:rsidRPr="00661250">
        <w:rPr>
          <w:b/>
          <w:i/>
          <w:szCs w:val="24"/>
          <w:lang w:eastAsia="en-US"/>
        </w:rPr>
        <w:t>nastoje osigurati</w:t>
      </w:r>
      <w:r w:rsidR="00443F16" w:rsidRPr="00661250">
        <w:rPr>
          <w:szCs w:val="24"/>
          <w:lang w:eastAsia="en-US"/>
        </w:rPr>
        <w:t xml:space="preserve"> da se </w:t>
      </w:r>
      <w:r w:rsidR="00443F16" w:rsidRPr="00661250">
        <w:rPr>
          <w:b/>
          <w:i/>
          <w:szCs w:val="24"/>
          <w:lang w:eastAsia="en-US"/>
        </w:rPr>
        <w:t>s vremenom znatno ne smanji ukupna nacionalna površina</w:t>
      </w:r>
      <w:r w:rsidR="00443F16" w:rsidRPr="00661250">
        <w:rPr>
          <w:szCs w:val="24"/>
          <w:lang w:eastAsia="en-US"/>
        </w:rPr>
        <w:t xml:space="preserve"> u </w:t>
      </w:r>
      <w:r w:rsidR="00443F16" w:rsidRPr="00661250">
        <w:rPr>
          <w:b/>
          <w:i/>
          <w:szCs w:val="24"/>
          <w:lang w:eastAsia="en-US"/>
        </w:rPr>
        <w:t>dobrom stanju</w:t>
      </w:r>
      <w:r w:rsidR="00443F16" w:rsidRPr="00661250">
        <w:rPr>
          <w:szCs w:val="24"/>
          <w:lang w:eastAsia="en-US"/>
        </w:rPr>
        <w:t xml:space="preserve"> i </w:t>
      </w:r>
      <w:r w:rsidR="00443F16" w:rsidRPr="00661250">
        <w:rPr>
          <w:b/>
          <w:i/>
          <w:szCs w:val="24"/>
          <w:lang w:eastAsia="en-US"/>
        </w:rPr>
        <w:t>ukupna količina područja s dostatnom kvalitetom</w:t>
      </w:r>
      <w:r w:rsidR="00443F16" w:rsidRPr="00661250">
        <w:rPr>
          <w:szCs w:val="24"/>
          <w:lang w:eastAsia="en-US"/>
        </w:rPr>
        <w:t xml:space="preserve"> staništa vrsta iz </w:t>
      </w:r>
      <w:r w:rsidR="00443F16" w:rsidRPr="00661250">
        <w:rPr>
          <w:b/>
          <w:i/>
          <w:szCs w:val="24"/>
          <w:lang w:eastAsia="en-US"/>
        </w:rPr>
        <w:t>stavaka 1</w:t>
      </w:r>
      <w:r w:rsidR="00443F16" w:rsidRPr="00661250">
        <w:rPr>
          <w:szCs w:val="24"/>
          <w:lang w:eastAsia="en-US"/>
        </w:rPr>
        <w:t>.</w:t>
      </w:r>
      <w:r w:rsidR="00443F16" w:rsidRPr="00661250">
        <w:rPr>
          <w:b/>
          <w:i/>
          <w:szCs w:val="24"/>
          <w:lang w:eastAsia="en-US"/>
        </w:rPr>
        <w:t>, 2.</w:t>
      </w:r>
      <w:r w:rsidR="00443F16" w:rsidRPr="00661250">
        <w:rPr>
          <w:szCs w:val="24"/>
          <w:lang w:eastAsia="en-US"/>
        </w:rPr>
        <w:t xml:space="preserve"> i </w:t>
      </w:r>
      <w:r w:rsidR="00443F16" w:rsidRPr="00661250">
        <w:rPr>
          <w:b/>
          <w:i/>
          <w:szCs w:val="24"/>
          <w:lang w:eastAsia="en-US"/>
        </w:rPr>
        <w:t>3</w:t>
      </w:r>
      <w:r w:rsidR="00443F16" w:rsidRPr="00661250">
        <w:rPr>
          <w:szCs w:val="24"/>
          <w:lang w:eastAsia="en-US"/>
        </w:rPr>
        <w:t>.</w:t>
      </w:r>
      <w:r w:rsidR="00183D85" w:rsidRPr="00661250">
        <w:rPr>
          <w:b/>
        </w:rPr>
        <w:t xml:space="preserve"> [Am. 100]</w:t>
      </w:r>
    </w:p>
    <w:p w:rsidR="008D1BE3" w:rsidRPr="00661250" w:rsidRDefault="00183D85" w:rsidP="008D1BE3">
      <w:pPr>
        <w:widowControl/>
        <w:suppressAutoHyphens/>
        <w:spacing w:before="120" w:after="120" w:line="360" w:lineRule="auto"/>
        <w:ind w:left="567" w:hanging="567"/>
        <w:rPr>
          <w:rFonts w:eastAsia="Calibri"/>
          <w:b/>
          <w:szCs w:val="24"/>
        </w:rPr>
      </w:pPr>
      <w:bookmarkStart w:id="37" w:name="_Hlk129768019"/>
      <w:r w:rsidRPr="00661250">
        <w:rPr>
          <w:b/>
        </w:rPr>
        <w:t xml:space="preserve"> [Am. 25</w:t>
      </w:r>
      <w:r w:rsidR="00B70FC7" w:rsidRPr="00661250">
        <w:rPr>
          <w:b/>
        </w:rPr>
        <w:t>, 101 i 121</w:t>
      </w:r>
      <w:r w:rsidRPr="00661250">
        <w:rPr>
          <w:b/>
        </w:rPr>
        <w:t>]</w:t>
      </w:r>
    </w:p>
    <w:bookmarkEnd w:id="37"/>
    <w:p w:rsidR="008D1BE3" w:rsidRPr="00661250" w:rsidRDefault="008D1BE3" w:rsidP="008D1BE3">
      <w:pPr>
        <w:widowControl/>
        <w:suppressAutoHyphens/>
        <w:spacing w:before="120" w:after="120" w:line="360" w:lineRule="auto"/>
        <w:ind w:left="567" w:right="140" w:hanging="567"/>
        <w:rPr>
          <w:rFonts w:eastAsia="Calibri"/>
          <w:szCs w:val="22"/>
        </w:rPr>
      </w:pPr>
      <w:r w:rsidRPr="00661250">
        <w:t>8.</w:t>
      </w:r>
      <w:r w:rsidRPr="00661250">
        <w:tab/>
      </w:r>
      <w:bookmarkStart w:id="38" w:name="_Hlk130196760"/>
      <w:r w:rsidRPr="00661250">
        <w:t xml:space="preserve">Izvan područja mreže Natura 2000 neispunjavanje obveza utvrđenih u </w:t>
      </w:r>
      <w:r w:rsidRPr="00661250">
        <w:rPr>
          <w:b/>
          <w:bCs/>
          <w:i/>
          <w:iCs/>
        </w:rPr>
        <w:t>stavku</w:t>
      </w:r>
      <w:r w:rsidRPr="00661250">
        <w:t xml:space="preserve"> 6. ▌opravdano je ako je uzrokovano:</w:t>
      </w:r>
      <w:bookmarkEnd w:id="38"/>
    </w:p>
    <w:p w:rsidR="008D1BE3" w:rsidRPr="00661250" w:rsidRDefault="008D1BE3" w:rsidP="008D1BE3">
      <w:pPr>
        <w:widowControl/>
        <w:suppressAutoHyphens/>
        <w:spacing w:before="120" w:after="120" w:line="360" w:lineRule="auto"/>
        <w:ind w:left="1134" w:right="140" w:hanging="567"/>
        <w:rPr>
          <w:rFonts w:eastAsia="Calibri"/>
          <w:szCs w:val="22"/>
        </w:rPr>
      </w:pPr>
      <w:r w:rsidRPr="00661250">
        <w:t>(a)</w:t>
      </w:r>
      <w:r w:rsidRPr="00661250">
        <w:tab/>
        <w:t xml:space="preserve">višom silom, </w:t>
      </w:r>
      <w:r w:rsidRPr="00661250">
        <w:rPr>
          <w:b/>
          <w:bCs/>
          <w:i/>
          <w:iCs/>
        </w:rPr>
        <w:t>uključujući prirodne katastrofe;</w:t>
      </w:r>
    </w:p>
    <w:p w:rsidR="008D1BE3" w:rsidRPr="00661250" w:rsidRDefault="008D1BE3" w:rsidP="008D1BE3">
      <w:pPr>
        <w:widowControl/>
        <w:suppressAutoHyphens/>
        <w:spacing w:before="120" w:after="120" w:line="360" w:lineRule="auto"/>
        <w:ind w:left="1134" w:right="140" w:hanging="567"/>
        <w:rPr>
          <w:rFonts w:eastAsia="Calibri"/>
          <w:szCs w:val="22"/>
        </w:rPr>
      </w:pPr>
      <w:r w:rsidRPr="00661250">
        <w:t>(b)</w:t>
      </w:r>
      <w:r w:rsidRPr="00661250">
        <w:tab/>
        <w:t xml:space="preserve">neizbježne preobrazbe staništa koje izravno uzrokuju klimatske promjene; </w:t>
      </w:r>
      <w:r w:rsidRPr="00661250">
        <w:rPr>
          <w:rFonts w:ascii="Arial" w:hAnsi="Arial"/>
          <w:snapToGrid w:val="0"/>
        </w:rPr>
        <w:t>▌</w:t>
      </w:r>
    </w:p>
    <w:p w:rsidR="008D1BE3" w:rsidRPr="00661250" w:rsidRDefault="008D1BE3" w:rsidP="008D1BE3">
      <w:pPr>
        <w:widowControl/>
        <w:suppressAutoHyphens/>
        <w:spacing w:before="120" w:after="120" w:line="360" w:lineRule="auto"/>
        <w:ind w:left="1134" w:right="140" w:hanging="567"/>
        <w:rPr>
          <w:u w:val="single"/>
        </w:rPr>
      </w:pPr>
      <w:r w:rsidRPr="00661250">
        <w:t>(c)</w:t>
      </w:r>
      <w:r w:rsidRPr="00661250">
        <w:tab/>
      </w:r>
      <w:r w:rsidRPr="00661250">
        <w:rPr>
          <w:b/>
          <w:bCs/>
          <w:i/>
          <w:iCs/>
        </w:rPr>
        <w:t>planom ili</w:t>
      </w:r>
      <w:r w:rsidRPr="00661250">
        <w:t xml:space="preserve"> projektom od prevladavajućeg javnog interesa za koji nisu dostupna manje štetna alternativna rješenja, što se utvrđuje u svakom pojedinom slučaju</w:t>
      </w:r>
      <w:r w:rsidRPr="00661250">
        <w:rPr>
          <w:b/>
          <w:bCs/>
          <w:i/>
          <w:iCs/>
        </w:rPr>
        <w:t>;</w:t>
      </w:r>
      <w:bookmarkStart w:id="39" w:name="_Hlk135735405"/>
      <w:r w:rsidRPr="00661250">
        <w:rPr>
          <w:b/>
          <w:i/>
        </w:rPr>
        <w:t xml:space="preserve"> </w:t>
      </w:r>
      <w:bookmarkEnd w:id="39"/>
    </w:p>
    <w:p w:rsidR="006012E0" w:rsidRPr="00661250" w:rsidRDefault="006012E0" w:rsidP="008D1BE3">
      <w:pPr>
        <w:widowControl/>
        <w:suppressAutoHyphens/>
        <w:spacing w:before="120" w:after="120" w:line="360" w:lineRule="auto"/>
        <w:ind w:left="1134" w:right="140" w:hanging="567"/>
        <w:rPr>
          <w:rFonts w:eastAsia="Calibri"/>
          <w:b/>
          <w:szCs w:val="22"/>
        </w:rPr>
      </w:pPr>
      <w:r w:rsidRPr="00661250">
        <w:rPr>
          <w:rFonts w:eastAsia="Calibri"/>
          <w:b/>
          <w:i/>
          <w:szCs w:val="22"/>
        </w:rPr>
        <w:t>(ca)</w:t>
      </w:r>
      <w:r w:rsidRPr="00661250">
        <w:rPr>
          <w:rFonts w:eastAsia="Calibri"/>
          <w:b/>
          <w:i/>
          <w:szCs w:val="22"/>
        </w:rPr>
        <w:tab/>
      </w:r>
      <w:r w:rsidR="00A746ED" w:rsidRPr="00661250">
        <w:rPr>
          <w:rFonts w:eastAsia="Calibri"/>
          <w:b/>
          <w:i/>
          <w:szCs w:val="22"/>
        </w:rPr>
        <w:t>u</w:t>
      </w:r>
      <w:r w:rsidRPr="00661250">
        <w:rPr>
          <w:rFonts w:eastAsia="Calibri"/>
          <w:b/>
          <w:i/>
          <w:szCs w:val="22"/>
        </w:rPr>
        <w:t xml:space="preserve"> iznimnim okolnostima, povezanima s ostvarenjem ili nastavkom aktivnosti od javnog interesa, neispunjavanje obveza iz stavka 6. mora biti opravdano, pod uvjetom da se time ne ugrožava ostvarenje ciljeva obnove utvrđenih u stavcima 1., 2. i 3. Države članice bez odgode obavješćuju Komisiju o takvim iznimnim okolnostima i propisno ih obrazlažu</w:t>
      </w:r>
      <w:r w:rsidR="00410A60" w:rsidRPr="00661250">
        <w:rPr>
          <w:rFonts w:eastAsia="Calibri"/>
          <w:b/>
          <w:i/>
          <w:szCs w:val="22"/>
        </w:rPr>
        <w:t>; ili</w:t>
      </w:r>
      <w:r w:rsidRPr="00661250">
        <w:rPr>
          <w:rFonts w:eastAsia="Calibri"/>
          <w:b/>
          <w:szCs w:val="22"/>
        </w:rPr>
        <w:t xml:space="preserve"> [Am. 6]</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(d)</w:t>
      </w:r>
      <w:r w:rsidRPr="00661250">
        <w:rPr>
          <w:b/>
          <w:i/>
        </w:rPr>
        <w:tab/>
        <w:t>djelovanjem ili nedjelovanjem trećih zemalja za koje dotična država članica nije odgovorna.</w:t>
      </w:r>
    </w:p>
    <w:p w:rsidR="008D1BE3" w:rsidRPr="00661250" w:rsidRDefault="008D1BE3" w:rsidP="008D1BE3">
      <w:pPr>
        <w:widowControl/>
        <w:suppressAutoHyphens/>
        <w:spacing w:before="120" w:after="120" w:line="360" w:lineRule="auto"/>
        <w:ind w:left="567" w:right="140" w:hanging="567"/>
        <w:rPr>
          <w:rFonts w:eastAsia="Calibri"/>
          <w:b/>
          <w:i/>
          <w:szCs w:val="22"/>
        </w:rPr>
      </w:pPr>
      <w:bookmarkStart w:id="40" w:name="_Hlk129768082"/>
      <w:r w:rsidRPr="00661250">
        <w:br w:type="page"/>
      </w:r>
      <w:r w:rsidRPr="00661250">
        <w:rPr>
          <w:b/>
          <w:i/>
        </w:rPr>
        <w:lastRenderedPageBreak/>
        <w:t>8.a</w:t>
      </w:r>
      <w:r w:rsidRPr="00661250">
        <w:rPr>
          <w:b/>
          <w:i/>
        </w:rPr>
        <w:tab/>
        <w:t xml:space="preserve">Izvan područja mreže Natura 2000 obveza uspostavljanja potrebnih mjera iz stavka 7. ne primjenjuje se na pogoršanje stanja uzrokovano: </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(a)</w:t>
      </w:r>
      <w:r w:rsidRPr="00661250">
        <w:rPr>
          <w:b/>
          <w:i/>
        </w:rPr>
        <w:tab/>
        <w:t>višom silom, uključujući prirodne katastrofe;</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(b)</w:t>
      </w:r>
      <w:r w:rsidRPr="00661250">
        <w:rPr>
          <w:b/>
          <w:i/>
        </w:rPr>
        <w:tab/>
        <w:t xml:space="preserve">neizbježne preobrazbe staništa koje izravno uzrokuju klimatske promjene; </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(c)</w:t>
      </w:r>
      <w:r w:rsidRPr="00661250">
        <w:rPr>
          <w:b/>
          <w:i/>
        </w:rPr>
        <w:tab/>
      </w:r>
      <w:r w:rsidRPr="00661250">
        <w:rPr>
          <w:b/>
          <w:bCs/>
          <w:i/>
          <w:iCs/>
        </w:rPr>
        <w:t xml:space="preserve">planovima ili projektima od prevladavajućeg javnog interesa </w:t>
      </w:r>
      <w:bookmarkStart w:id="41" w:name="_Hlk129963122"/>
      <w:r w:rsidRPr="00661250">
        <w:rPr>
          <w:b/>
          <w:bCs/>
          <w:i/>
          <w:iCs/>
        </w:rPr>
        <w:t>za koje nisu dostupna manje štetna alternativna rješenja</w:t>
      </w:r>
      <w:bookmarkEnd w:id="40"/>
      <w:bookmarkEnd w:id="41"/>
      <w:r w:rsidRPr="00661250">
        <w:rPr>
          <w:b/>
          <w:bCs/>
          <w:i/>
          <w:iCs/>
        </w:rPr>
        <w:t>;</w:t>
      </w:r>
      <w:r w:rsidRPr="00661250">
        <w:rPr>
          <w:b/>
          <w:i/>
        </w:rPr>
        <w:t xml:space="preserve"> ili</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(d)</w:t>
      </w:r>
      <w:r w:rsidRPr="00661250">
        <w:rPr>
          <w:b/>
          <w:i/>
        </w:rPr>
        <w:tab/>
        <w:t>djelovanjem ili nedjelovanjem trećih zemalja za koje dotična država članica nije odgovorna.</w:t>
      </w:r>
    </w:p>
    <w:p w:rsidR="008D1BE3" w:rsidRPr="00661250" w:rsidRDefault="008D1BE3" w:rsidP="008D1BE3">
      <w:pPr>
        <w:widowControl/>
        <w:suppressAutoHyphens/>
        <w:spacing w:before="120" w:after="120" w:line="360" w:lineRule="auto"/>
        <w:ind w:left="567" w:right="140" w:hanging="567"/>
        <w:rPr>
          <w:rFonts w:eastAsia="Calibri"/>
          <w:szCs w:val="22"/>
        </w:rPr>
      </w:pPr>
      <w:r w:rsidRPr="00661250">
        <w:t>9.</w:t>
      </w:r>
      <w:r w:rsidRPr="00661250">
        <w:tab/>
        <w:t xml:space="preserve">Za područja mreže Natura 2000 neispunjavanje obveza utvrđenih u stavcima 6. i 7. opravdano je ako su mu uzrok: </w:t>
      </w:r>
    </w:p>
    <w:p w:rsidR="008D1BE3" w:rsidRPr="00661250" w:rsidRDefault="008D1BE3" w:rsidP="008D1BE3">
      <w:pPr>
        <w:widowControl/>
        <w:suppressAutoHyphens/>
        <w:spacing w:before="120" w:after="120" w:line="360" w:lineRule="auto"/>
        <w:ind w:left="1134" w:right="140" w:hanging="567"/>
        <w:rPr>
          <w:rFonts w:eastAsia="Calibri"/>
          <w:szCs w:val="22"/>
        </w:rPr>
      </w:pPr>
      <w:bookmarkStart w:id="42" w:name="_Hlk129703452"/>
      <w:r w:rsidRPr="00661250">
        <w:t>(a)</w:t>
      </w:r>
      <w:r w:rsidRPr="00661250">
        <w:tab/>
        <w:t xml:space="preserve">višom silom, </w:t>
      </w:r>
      <w:r w:rsidRPr="00661250">
        <w:rPr>
          <w:b/>
          <w:bCs/>
          <w:i/>
          <w:iCs/>
        </w:rPr>
        <w:t>uključujući prirodne katastrofe</w:t>
      </w:r>
      <w:r w:rsidRPr="00661250">
        <w:t>;</w:t>
      </w:r>
    </w:p>
    <w:p w:rsidR="008D1BE3" w:rsidRPr="00661250" w:rsidRDefault="008D1BE3" w:rsidP="008D1BE3">
      <w:pPr>
        <w:widowControl/>
        <w:suppressAutoHyphens/>
        <w:spacing w:before="120" w:after="120" w:line="360" w:lineRule="auto"/>
        <w:ind w:left="1134" w:right="140" w:hanging="567"/>
        <w:rPr>
          <w:rFonts w:eastAsia="Calibri"/>
          <w:szCs w:val="22"/>
        </w:rPr>
      </w:pPr>
      <w:r w:rsidRPr="00661250">
        <w:t>(b)</w:t>
      </w:r>
      <w:r w:rsidRPr="00661250">
        <w:tab/>
        <w:t>neizbježne preobrazbe staništa koje izravno uzrokuju klimatske promjene; ili</w:t>
      </w:r>
    </w:p>
    <w:bookmarkEnd w:id="42"/>
    <w:p w:rsidR="008D1BE3" w:rsidRPr="00661250" w:rsidRDefault="008D1BE3" w:rsidP="008D1BE3">
      <w:pPr>
        <w:widowControl/>
        <w:suppressAutoHyphens/>
        <w:spacing w:before="120" w:after="120" w:line="360" w:lineRule="auto"/>
        <w:ind w:left="1134" w:right="140" w:hanging="567"/>
        <w:rPr>
          <w:rFonts w:eastAsia="Calibri"/>
          <w:szCs w:val="22"/>
        </w:rPr>
      </w:pPr>
      <w:r w:rsidRPr="00661250">
        <w:t>(c)</w:t>
      </w:r>
      <w:r w:rsidRPr="00661250">
        <w:tab/>
        <w:t>plan ili projekt odobren u skladu s člankom 6. stavkom 4. Direktive 92/43/EEZ.</w:t>
      </w:r>
    </w:p>
    <w:p w:rsidR="008D1BE3" w:rsidRPr="00661250" w:rsidRDefault="008D1BE3" w:rsidP="008D1BE3">
      <w:pPr>
        <w:widowControl/>
        <w:spacing w:after="200" w:line="276" w:lineRule="auto"/>
        <w:rPr>
          <w:rFonts w:eastAsia="Calibri"/>
          <w:szCs w:val="22"/>
        </w:rPr>
      </w:pPr>
      <w:r w:rsidRPr="00661250">
        <w:br w:type="page"/>
      </w:r>
    </w:p>
    <w:p w:rsidR="008D1BE3" w:rsidRPr="00661250" w:rsidRDefault="008D1BE3" w:rsidP="00BC101D">
      <w:pPr>
        <w:widowControl/>
        <w:suppressAutoHyphens/>
        <w:spacing w:before="120" w:after="120" w:line="360" w:lineRule="auto"/>
        <w:ind w:left="567" w:right="142" w:hanging="567"/>
        <w:rPr>
          <w:rFonts w:eastAsia="Calibri"/>
          <w:szCs w:val="22"/>
        </w:rPr>
      </w:pPr>
      <w:r w:rsidRPr="00661250">
        <w:lastRenderedPageBreak/>
        <w:t>10.</w:t>
      </w:r>
      <w:r w:rsidRPr="00661250">
        <w:tab/>
        <w:t xml:space="preserve">Države članice osiguravaju sljedeće: </w:t>
      </w:r>
    </w:p>
    <w:p w:rsidR="008D1BE3" w:rsidRPr="00661250" w:rsidRDefault="008D1BE3" w:rsidP="008D1BE3">
      <w:pPr>
        <w:widowControl/>
        <w:suppressAutoHyphens/>
        <w:spacing w:before="120" w:after="120" w:line="360" w:lineRule="auto"/>
        <w:ind w:left="1134" w:right="140" w:hanging="567"/>
        <w:rPr>
          <w:rFonts w:eastAsia="Calibri"/>
          <w:szCs w:val="22"/>
        </w:rPr>
      </w:pPr>
      <w:r w:rsidRPr="00661250">
        <w:t>(a)</w:t>
      </w:r>
      <w:r w:rsidRPr="00661250">
        <w:tab/>
        <w:t xml:space="preserve">povećanje površine staništa u dobrom stanju za stanišne tipove navedene u Prilogu I. dok se dobro stanje ne postigne na najmanje 90 % područja i dok se povoljno referentno područje ne postigne za svaki stanišni tip u svakoj biogeografskoj regiji </w:t>
      </w:r>
      <w:r w:rsidRPr="00661250">
        <w:rPr>
          <w:b/>
          <w:bCs/>
          <w:i/>
          <w:iCs/>
        </w:rPr>
        <w:t>dotične države članice</w:t>
      </w:r>
      <w:r w:rsidRPr="00661250">
        <w:t>;</w:t>
      </w:r>
    </w:p>
    <w:p w:rsidR="008D1BE3" w:rsidRPr="00661250" w:rsidRDefault="008D1BE3" w:rsidP="008D1BE3">
      <w:pPr>
        <w:widowControl/>
        <w:suppressAutoHyphens/>
        <w:spacing w:before="120" w:after="120" w:line="360" w:lineRule="auto"/>
        <w:ind w:left="1134" w:right="140" w:hanging="567"/>
        <w:rPr>
          <w:b/>
          <w:u w:val="single"/>
        </w:rPr>
      </w:pPr>
      <w:r w:rsidRPr="00661250">
        <w:t>(b)</w:t>
      </w:r>
      <w:r w:rsidRPr="00661250">
        <w:tab/>
        <w:t>trend povećanja u smjeru dostatne kvalitete i količine kopnenih, obalnih i slatkovodnih staništa vrsta iz priloga II., IV. i V. Direktivi 92/43/EEZ i vrsta obuhvaćenih Direktivom 2009/147/EZ.</w:t>
      </w:r>
      <w:r w:rsidRPr="00661250">
        <w:rPr>
          <w:b/>
          <w:u w:val="single"/>
        </w:rPr>
        <w:t xml:space="preserve"> </w:t>
      </w:r>
    </w:p>
    <w:p w:rsidR="000D40E0" w:rsidRPr="00BC101D" w:rsidRDefault="000D40E0" w:rsidP="00BC101D">
      <w:pPr>
        <w:widowControl/>
        <w:suppressAutoHyphens/>
        <w:spacing w:before="120" w:after="120" w:line="360" w:lineRule="auto"/>
        <w:ind w:left="567" w:right="142" w:hanging="567"/>
        <w:rPr>
          <w:rFonts w:eastAsia="Calibri"/>
          <w:b/>
          <w:szCs w:val="22"/>
        </w:rPr>
      </w:pPr>
      <w:r w:rsidRPr="00BC101D">
        <w:rPr>
          <w:rFonts w:eastAsia="Calibri"/>
          <w:b/>
          <w:i/>
          <w:szCs w:val="22"/>
        </w:rPr>
        <w:t>10.a</w:t>
      </w:r>
      <w:r w:rsidRPr="00BC101D">
        <w:rPr>
          <w:rFonts w:eastAsia="Calibri"/>
          <w:b/>
          <w:i/>
          <w:szCs w:val="22"/>
        </w:rPr>
        <w:tab/>
        <w:t>U mjerama koje treba poduzeti na temelju ovog članka države članice uzimaju u obzir gospodarske, socijalne i kulturne zahtjeve te regionalne i lokalne posebnosti, u skladu s člankom 2. stavkom 3. Direktive 92/43/EEZ.</w:t>
      </w:r>
      <w:r w:rsidR="00B70FC7" w:rsidRPr="00BC101D">
        <w:rPr>
          <w:rFonts w:eastAsia="Calibri"/>
          <w:b/>
          <w:szCs w:val="22"/>
        </w:rPr>
        <w:t xml:space="preserve"> [Am. 27]</w:t>
      </w:r>
    </w:p>
    <w:p w:rsidR="008D1BE3" w:rsidRPr="00661250" w:rsidRDefault="008D1BE3" w:rsidP="008D1BE3">
      <w:pPr>
        <w:keepNext/>
        <w:widowControl/>
        <w:suppressAutoHyphens/>
        <w:spacing w:before="360" w:after="120" w:line="360" w:lineRule="auto"/>
        <w:ind w:right="140"/>
        <w:jc w:val="center"/>
        <w:outlineLvl w:val="1"/>
        <w:rPr>
          <w:b/>
          <w:bCs/>
          <w:szCs w:val="26"/>
        </w:rPr>
      </w:pPr>
      <w:bookmarkStart w:id="43" w:name="_Hlk135978410"/>
      <w:r w:rsidRPr="00661250">
        <w:t>Članak 5.</w:t>
      </w:r>
      <w:r w:rsidRPr="00661250">
        <w:rPr>
          <w:b/>
        </w:rPr>
        <w:br/>
      </w:r>
      <w:r w:rsidRPr="00661250">
        <w:rPr>
          <w:i/>
        </w:rPr>
        <w:t>Obnova morskih ekosustava</w:t>
      </w:r>
    </w:p>
    <w:p w:rsidR="008D1BE3" w:rsidRPr="00661250" w:rsidRDefault="008D1BE3" w:rsidP="008D1BE3">
      <w:pPr>
        <w:widowControl/>
        <w:suppressAutoHyphens/>
        <w:spacing w:before="120" w:after="120" w:line="360" w:lineRule="auto"/>
        <w:ind w:left="567" w:right="140" w:hanging="567"/>
        <w:rPr>
          <w:rFonts w:eastAsia="Calibri"/>
          <w:b/>
          <w:szCs w:val="22"/>
          <w:u w:val="single"/>
        </w:rPr>
      </w:pPr>
      <w:r w:rsidRPr="00661250">
        <w:t>1.</w:t>
      </w:r>
      <w:r w:rsidRPr="00661250">
        <w:tab/>
      </w:r>
      <w:bookmarkStart w:id="44" w:name="_Hlk132205287"/>
      <w:r w:rsidRPr="00661250">
        <w:t xml:space="preserve">Države članice uspostavljaju mjere obnove koje su potrebne kako bi se u dobro stanje dovela područja stanišnih tipova navedenih u Prilogu II. koja nisu u dobrom stanju. </w:t>
      </w:r>
      <w:bookmarkStart w:id="45" w:name="_Hlk131583277"/>
      <w:r w:rsidRPr="00661250">
        <w:t>Takve se mjere uspostavljaju</w:t>
      </w:r>
      <w:bookmarkEnd w:id="44"/>
      <w:bookmarkEnd w:id="45"/>
      <w:r w:rsidRPr="00661250">
        <w:rPr>
          <w:b/>
          <w:bCs/>
          <w:i/>
          <w:iCs/>
        </w:rPr>
        <w:t>:</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(a)</w:t>
      </w:r>
      <w:r w:rsidRPr="00661250">
        <w:rPr>
          <w:b/>
          <w:i/>
        </w:rPr>
        <w:tab/>
        <w:t>do 2030. za najmanje 30 % ukupnog područja skupina od 1 do 6 stanišnih tipova navedenih u Prilogu II. koje nije u dobrom stanju, kako je kvantificirano u nacionalnom planu obnove iz članka 12.;</w:t>
      </w:r>
    </w:p>
    <w:p w:rsidR="008D1BE3" w:rsidRPr="00661250" w:rsidRDefault="008D1BE3" w:rsidP="008D1BE3">
      <w:pPr>
        <w:widowControl/>
        <w:suppressAutoHyphens/>
        <w:spacing w:before="120" w:after="120" w:line="360" w:lineRule="auto"/>
        <w:ind w:left="1134" w:right="140" w:hanging="567"/>
        <w:rPr>
          <w:rFonts w:eastAsia="Calibri"/>
          <w:i/>
          <w:szCs w:val="22"/>
        </w:rPr>
      </w:pPr>
      <w:r w:rsidRPr="00661250">
        <w:rPr>
          <w:b/>
          <w:i/>
        </w:rPr>
        <w:t>(b)</w:t>
      </w:r>
      <w:r w:rsidRPr="00661250">
        <w:rPr>
          <w:b/>
          <w:i/>
        </w:rPr>
        <w:tab/>
        <w:t>do 2040. za najmanje 60 % i do 2050. za najmanje 90 % područja skupina od 1 do 6 stanišnih tipova navedenih u Prilogu II. koje nije u dobrom stanju, kako je kvantificirano u nacionalnom planu obnove iz članka 12.;</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br w:type="page"/>
      </w:r>
      <w:r w:rsidRPr="00661250">
        <w:rPr>
          <w:b/>
          <w:i/>
        </w:rPr>
        <w:lastRenderedPageBreak/>
        <w:t>(c)</w:t>
      </w:r>
      <w:r w:rsidRPr="00661250">
        <w:rPr>
          <w:b/>
          <w:i/>
        </w:rPr>
        <w:tab/>
      </w:r>
      <w:r w:rsidRPr="00661250">
        <w:rPr>
          <w:b/>
          <w:bCs/>
          <w:i/>
          <w:iCs/>
        </w:rPr>
        <w:t xml:space="preserve">do 2040. za dvije trećine postotka iz stavka (d) </w:t>
      </w:r>
      <w:bookmarkStart w:id="46" w:name="_Hlk135990781"/>
      <w:r w:rsidRPr="00661250">
        <w:rPr>
          <w:b/>
          <w:bCs/>
          <w:i/>
          <w:iCs/>
        </w:rPr>
        <w:t>područja skupine 7 stanišnih tipova navedene u Prilogu II. koje nije u dobrom stanju, kako je kvantificirano u nacionalnom planu obnove iz članka 12.</w:t>
      </w:r>
      <w:bookmarkEnd w:id="46"/>
      <w:r w:rsidRPr="00661250">
        <w:rPr>
          <w:b/>
          <w:bCs/>
          <w:i/>
          <w:iCs/>
        </w:rPr>
        <w:t>;</w:t>
      </w:r>
      <w:r w:rsidRPr="00661250">
        <w:rPr>
          <w:b/>
          <w:i/>
        </w:rPr>
        <w:t xml:space="preserve"> i</w:t>
      </w:r>
    </w:p>
    <w:p w:rsidR="008D1BE3" w:rsidRPr="00661250" w:rsidRDefault="008D1BE3" w:rsidP="008D1BE3">
      <w:pPr>
        <w:widowControl/>
        <w:suppressAutoHyphens/>
        <w:spacing w:before="120" w:after="120" w:line="360" w:lineRule="auto"/>
        <w:ind w:left="1134" w:right="140" w:hanging="567"/>
        <w:rPr>
          <w:rFonts w:eastAsia="Calibri"/>
          <w:b/>
          <w:bCs/>
          <w:i/>
          <w:szCs w:val="22"/>
        </w:rPr>
      </w:pPr>
      <w:r w:rsidRPr="00661250">
        <w:rPr>
          <w:b/>
          <w:i/>
        </w:rPr>
        <w:t>(d)</w:t>
      </w:r>
      <w:r w:rsidRPr="00661250">
        <w:rPr>
          <w:b/>
          <w:i/>
        </w:rPr>
        <w:tab/>
        <w:t xml:space="preserve">do 2050. za postotak utvrđen u skladu s člankom 11. stavkom 2.a područja skupine 7 stanišnih tipova navedenih u Prilogu II. koje nije u dobrom stanju, kako je kvantificirano u nacionalnom planu obnove iz članka 12. </w:t>
      </w:r>
    </w:p>
    <w:bookmarkEnd w:id="43"/>
    <w:p w:rsidR="008D1BE3" w:rsidRPr="00661250" w:rsidRDefault="008D1BE3" w:rsidP="008D1BE3">
      <w:pPr>
        <w:widowControl/>
        <w:suppressAutoHyphens/>
        <w:spacing w:before="120" w:after="120" w:line="360" w:lineRule="auto"/>
        <w:ind w:left="567" w:right="140"/>
        <w:rPr>
          <w:rFonts w:eastAsia="Calibri"/>
          <w:b/>
          <w:bCs/>
          <w:i/>
          <w:szCs w:val="22"/>
        </w:rPr>
      </w:pPr>
      <w:r w:rsidRPr="00661250">
        <w:rPr>
          <w:b/>
          <w:i/>
        </w:rPr>
        <w:t>Postotak iz točke (d) ovog stavka određuje se tako da se njime ne sprečava postizanje ili održavanje dobrog stanja okoliša, kako je utvrđeno na temelju članka 9. stavka 1. Direktive 2008/56/EZ.</w:t>
      </w:r>
    </w:p>
    <w:p w:rsidR="008D1BE3" w:rsidRPr="00661250" w:rsidRDefault="00C6040D" w:rsidP="008D1BE3">
      <w:pPr>
        <w:widowControl/>
        <w:suppressAutoHyphens/>
        <w:spacing w:before="120" w:after="120" w:line="360" w:lineRule="auto"/>
        <w:ind w:left="567" w:right="140"/>
        <w:rPr>
          <w:rFonts w:eastAsia="Calibri"/>
          <w:b/>
          <w:szCs w:val="22"/>
        </w:rPr>
      </w:pPr>
      <w:r w:rsidRPr="00661250">
        <w:rPr>
          <w:b/>
        </w:rPr>
        <w:t xml:space="preserve"> [Am. 29</w:t>
      </w:r>
      <w:r w:rsidR="002322F4" w:rsidRPr="00661250">
        <w:rPr>
          <w:b/>
        </w:rPr>
        <w:t>]</w:t>
      </w:r>
    </w:p>
    <w:p w:rsidR="008D1BE3" w:rsidRPr="00661250" w:rsidRDefault="008D1BE3" w:rsidP="008D1BE3">
      <w:pPr>
        <w:widowControl/>
        <w:suppressAutoHyphens/>
        <w:spacing w:before="120" w:after="120" w:line="360" w:lineRule="auto"/>
        <w:ind w:left="567" w:right="140" w:hanging="567"/>
        <w:rPr>
          <w:rFonts w:eastAsia="Calibri"/>
          <w:szCs w:val="22"/>
        </w:rPr>
      </w:pPr>
      <w:r w:rsidRPr="00661250">
        <w:t>3.</w:t>
      </w:r>
      <w:r w:rsidRPr="00661250">
        <w:tab/>
        <w:t xml:space="preserve">Države članice uspostavljaju mjere obnove za morska staništa vrsta navedenih u Prilogu III. i prilozima II., IV. i V. Direktivi 92/43/EEZ i za morska staništa divljih ptica obuhvaćenih Direktivom 2009/147/EZ koje su, </w:t>
      </w:r>
      <w:r w:rsidRPr="00661250">
        <w:rPr>
          <w:b/>
          <w:i/>
        </w:rPr>
        <w:t>uz mjere obnove uspostavljene u skladu sa stavcima 1. i 2. ovog članka,</w:t>
      </w:r>
      <w:r w:rsidRPr="00661250">
        <w:t xml:space="preserve"> potrebne za poboljšanje kvalitete i količine tih staništa, među ostalim njihovom ponovnom uspostavom, i za poboljšanje povezanosti dok se ne postigne dostatna kvaliteta i količina tih staništa.</w:t>
      </w:r>
    </w:p>
    <w:p w:rsidR="008D1BE3" w:rsidRPr="00661250" w:rsidRDefault="008D1BE3" w:rsidP="008D1BE3">
      <w:pPr>
        <w:widowControl/>
        <w:suppressAutoHyphens/>
        <w:spacing w:before="120" w:after="120" w:line="360" w:lineRule="auto"/>
        <w:ind w:left="567" w:right="140" w:hanging="567"/>
        <w:rPr>
          <w:rFonts w:eastAsia="Calibri"/>
          <w:b/>
          <w:szCs w:val="22"/>
          <w:u w:val="single"/>
        </w:rPr>
      </w:pPr>
      <w:r w:rsidRPr="00661250">
        <w:br w:type="page"/>
      </w:r>
      <w:r w:rsidRPr="00661250">
        <w:lastRenderedPageBreak/>
        <w:t>4.</w:t>
      </w:r>
      <w:r w:rsidRPr="00661250">
        <w:tab/>
        <w:t xml:space="preserve">Utvrđivanje najpogodnijih područja za mjere obnove u skladu sa stavcima 1., 2. i 3. ovog članka temelji se na najboljim dostupnim spoznajama i najnovijem </w:t>
      </w:r>
      <w:r w:rsidRPr="00661250">
        <w:rPr>
          <w:b/>
          <w:i/>
        </w:rPr>
        <w:t>tehničkom i</w:t>
      </w:r>
      <w:r w:rsidRPr="00661250">
        <w:t xml:space="preserve"> znanstvenom </w:t>
      </w:r>
      <w:r w:rsidRPr="00661250">
        <w:rPr>
          <w:b/>
          <w:i/>
        </w:rPr>
        <w:t>napretku u utvrđivanju</w:t>
      </w:r>
      <w:r w:rsidRPr="00661250">
        <w:t xml:space="preserve"> stanja stanišnih tipova navedenih u Prilogu II. ▌te kvalitete i količine staništa vrsta iz stavka 3. ovog članka</w:t>
      </w:r>
      <w:r w:rsidRPr="00661250">
        <w:rPr>
          <w:b/>
          <w:i/>
        </w:rPr>
        <w:t>, služeći se pritom informacijama dostavljenima na temelju članka 17. Direktive 92/43/EEZ, članka 12. Direktive 2009/147/EZ i članka 178. Direktive 2008/56/EZ</w:t>
      </w:r>
      <w:r w:rsidRPr="00661250">
        <w:t>.</w:t>
      </w:r>
    </w:p>
    <w:p w:rsidR="008D1BE3" w:rsidRPr="00661250" w:rsidRDefault="008D1BE3" w:rsidP="008D1BE3">
      <w:pPr>
        <w:widowControl/>
        <w:suppressAutoHyphens/>
        <w:spacing w:before="120" w:after="120" w:line="360" w:lineRule="auto"/>
        <w:ind w:left="567" w:right="140" w:hanging="567"/>
        <w:rPr>
          <w:rFonts w:eastAsia="Calibri"/>
          <w:b/>
          <w:i/>
          <w:szCs w:val="22"/>
        </w:rPr>
      </w:pPr>
      <w:r w:rsidRPr="00661250">
        <w:rPr>
          <w:b/>
          <w:i/>
        </w:rPr>
        <w:t>4.a</w:t>
      </w:r>
      <w:r w:rsidRPr="00661250">
        <w:rPr>
          <w:b/>
          <w:i/>
        </w:rPr>
        <w:tab/>
      </w:r>
      <w:bookmarkStart w:id="47" w:name="_Hlk137460418"/>
      <w:r w:rsidRPr="00661250">
        <w:rPr>
          <w:b/>
          <w:i/>
        </w:rPr>
        <w:t xml:space="preserve">Države članice najkasnije do 2030. osiguravaju da je stanje najmanje 50 % površine raspoređene u svim stanišnim tipovima navedenima pod skupinama od 1 do 6 u Prilogu II. poznato. Stanje svih područja skupina od 1 do 6 stanišnih tipova navedenih u Prilogu II. poznato je do 2040. </w:t>
      </w:r>
      <w:bookmarkEnd w:id="47"/>
      <w:r w:rsidRPr="00661250">
        <w:rPr>
          <w:b/>
          <w:i/>
        </w:rPr>
        <w:t xml:space="preserve">Države članice najkasnije do 2040. također osiguravaju da je stanje najmanje 50 % površine raspoređene u svim stanišnim tipovima navedenima pod skupinom 7 u Prilogu II. poznato. Stanje svih područja skupine 7 stanišnih tipova navedenih u Prilogu II. poznato je do 2050. </w:t>
      </w:r>
    </w:p>
    <w:p w:rsidR="008D1BE3" w:rsidRPr="00661250" w:rsidRDefault="008D1BE3" w:rsidP="008D1BE3">
      <w:pPr>
        <w:widowControl/>
        <w:suppressAutoHyphens/>
        <w:spacing w:before="120" w:after="120" w:line="360" w:lineRule="auto"/>
        <w:ind w:left="567" w:right="140" w:hanging="567"/>
        <w:rPr>
          <w:rFonts w:eastAsia="Calibri"/>
          <w:szCs w:val="22"/>
        </w:rPr>
      </w:pPr>
      <w:r w:rsidRPr="00661250">
        <w:t>5.</w:t>
      </w:r>
      <w:r w:rsidRPr="00661250">
        <w:tab/>
        <w:t xml:space="preserve">Mjerama obnove iz stavaka 1. i 2. uzimaju se u obzir potreba za boljom </w:t>
      </w:r>
      <w:r w:rsidRPr="00661250">
        <w:rPr>
          <w:b/>
          <w:i/>
        </w:rPr>
        <w:t>ekološkom usklađenošću i</w:t>
      </w:r>
      <w:r w:rsidRPr="00661250">
        <w:t xml:space="preserve"> povezanošću stanišnih tipova navedenih u Prilogu II. i ekološki zahtjevi vrsta iz stavka 3. koje se pojavljuju u tim stanišnim tipovima.</w:t>
      </w:r>
    </w:p>
    <w:p w:rsidR="008D1BE3" w:rsidRPr="00661250" w:rsidRDefault="008D1BE3" w:rsidP="008D1BE3">
      <w:pPr>
        <w:widowControl/>
        <w:shd w:val="clear" w:color="auto" w:fill="FFFFFF"/>
        <w:suppressAutoHyphens/>
        <w:spacing w:before="120" w:after="120" w:line="360" w:lineRule="auto"/>
        <w:ind w:left="567" w:right="140" w:hanging="567"/>
        <w:rPr>
          <w:rFonts w:eastAsia="Calibri"/>
          <w:b/>
          <w:szCs w:val="22"/>
        </w:rPr>
      </w:pPr>
      <w:r w:rsidRPr="00661250">
        <w:t>6.</w:t>
      </w:r>
      <w:r w:rsidRPr="00661250">
        <w:tab/>
      </w:r>
      <w:r w:rsidR="008D7AA6" w:rsidRPr="00661250">
        <w:t xml:space="preserve">Države članice </w:t>
      </w:r>
      <w:r w:rsidR="008D7AA6" w:rsidRPr="00661250">
        <w:rPr>
          <w:b/>
          <w:i/>
        </w:rPr>
        <w:t xml:space="preserve">nastoje </w:t>
      </w:r>
      <w:r w:rsidR="008D7AA6" w:rsidRPr="00661250">
        <w:t xml:space="preserve">osigurati da se stanje stanišnih tipova navedenih u Prilogu II. na područjima na kojima se primjenjuju mjere obnove u skladu sa stavcima 1., 2. i 3. stalno poboljšava dok se ne postigne dobro stanje i da se kvaliteta staništa vrsta iz stavka 3. stalno unaprjeđuje dok se ne postigne dostatna kvaliteta tih staništa. Države članice </w:t>
      </w:r>
      <w:r w:rsidR="008D7AA6" w:rsidRPr="00661250">
        <w:rPr>
          <w:b/>
          <w:i/>
        </w:rPr>
        <w:t>nastoje, kad je to moguće, uspostaviti potrebne mjere kako bi spriječile</w:t>
      </w:r>
      <w:r w:rsidR="008D7AA6" w:rsidRPr="00661250">
        <w:t xml:space="preserve"> da na područjima na kojima je postignuto dobro stanje i dostatna kvaliteta staništa vrsta dođe do znatnog pogoršanja </w:t>
      </w:r>
      <w:r w:rsidR="008D7AA6" w:rsidRPr="00661250">
        <w:rPr>
          <w:b/>
          <w:i/>
        </w:rPr>
        <w:t>na nacionalnoj razini</w:t>
      </w:r>
      <w:r w:rsidR="008D7AA6" w:rsidRPr="00661250">
        <w:t>.</w:t>
      </w:r>
      <w:r w:rsidR="008D7AA6" w:rsidRPr="00661250">
        <w:rPr>
          <w:b/>
        </w:rPr>
        <w:t xml:space="preserve"> [Am. 125</w:t>
      </w:r>
      <w:r w:rsidR="00FA4F41" w:rsidRPr="00661250">
        <w:rPr>
          <w:b/>
        </w:rPr>
        <w:t>/rev1</w:t>
      </w:r>
      <w:r w:rsidR="008D7AA6" w:rsidRPr="00661250">
        <w:rPr>
          <w:b/>
        </w:rPr>
        <w:t>]</w:t>
      </w:r>
    </w:p>
    <w:p w:rsidR="008D1BE3" w:rsidRPr="00661250" w:rsidRDefault="008D1BE3" w:rsidP="008D1BE3">
      <w:pPr>
        <w:widowControl/>
        <w:shd w:val="clear" w:color="auto" w:fill="FFFFFF"/>
        <w:suppressAutoHyphens/>
        <w:spacing w:before="120" w:after="120" w:line="360" w:lineRule="auto"/>
        <w:ind w:left="567" w:right="140" w:hanging="567"/>
        <w:rPr>
          <w:rFonts w:eastAsia="Calibri"/>
          <w:b/>
          <w:szCs w:val="22"/>
        </w:rPr>
      </w:pPr>
      <w:r w:rsidRPr="00661250">
        <w:br w:type="page"/>
      </w:r>
      <w:r w:rsidR="00155912" w:rsidRPr="00661250">
        <w:rPr>
          <w:b/>
          <w:bCs/>
          <w:iCs/>
        </w:rPr>
        <w:lastRenderedPageBreak/>
        <w:t xml:space="preserve"> [Am. </w:t>
      </w:r>
      <w:r w:rsidR="00237660" w:rsidRPr="00661250">
        <w:rPr>
          <w:b/>
          <w:bCs/>
          <w:iCs/>
        </w:rPr>
        <w:t>32, 104 i 126/rev</w:t>
      </w:r>
      <w:r w:rsidR="00410A60" w:rsidRPr="00661250">
        <w:rPr>
          <w:b/>
          <w:bCs/>
          <w:iCs/>
        </w:rPr>
        <w:t>1</w:t>
      </w:r>
      <w:r w:rsidR="00155912" w:rsidRPr="00661250">
        <w:rPr>
          <w:b/>
          <w:bCs/>
          <w:iCs/>
        </w:rPr>
        <w:t>]</w:t>
      </w:r>
    </w:p>
    <w:p w:rsidR="008D1BE3" w:rsidRPr="00661250" w:rsidRDefault="008D1BE3" w:rsidP="008D1BE3">
      <w:pPr>
        <w:widowControl/>
        <w:shd w:val="clear" w:color="auto" w:fill="FFFFFF"/>
        <w:suppressAutoHyphens/>
        <w:spacing w:before="120" w:after="120" w:line="360" w:lineRule="auto"/>
        <w:ind w:left="567" w:right="140" w:hanging="567"/>
        <w:rPr>
          <w:rFonts w:eastAsia="Calibri"/>
          <w:szCs w:val="22"/>
        </w:rPr>
      </w:pPr>
      <w:r w:rsidRPr="00661250">
        <w:t>8.</w:t>
      </w:r>
      <w:r w:rsidRPr="00661250">
        <w:tab/>
        <w:t xml:space="preserve">Izvan područja mreže Natura 2000 neispunjavanje obveza utvrđenih u </w:t>
      </w:r>
      <w:r w:rsidRPr="00661250">
        <w:rPr>
          <w:b/>
          <w:i/>
        </w:rPr>
        <w:t>stavku</w:t>
      </w:r>
      <w:r w:rsidRPr="00661250">
        <w:t xml:space="preserve"> 6. ▌opravdano je ako je uzrokovano:</w:t>
      </w:r>
    </w:p>
    <w:p w:rsidR="008D1BE3" w:rsidRPr="00661250" w:rsidRDefault="008D1BE3" w:rsidP="008D1BE3">
      <w:pPr>
        <w:widowControl/>
        <w:shd w:val="clear" w:color="auto" w:fill="FFFFFF"/>
        <w:suppressAutoHyphens/>
        <w:spacing w:before="120" w:after="120" w:line="360" w:lineRule="auto"/>
        <w:ind w:left="1134" w:right="140" w:hanging="567"/>
        <w:rPr>
          <w:rFonts w:eastAsia="Calibri"/>
          <w:szCs w:val="22"/>
        </w:rPr>
      </w:pPr>
      <w:r w:rsidRPr="00661250">
        <w:t>(a)</w:t>
      </w:r>
      <w:r w:rsidRPr="00661250">
        <w:tab/>
        <w:t xml:space="preserve">višom silom, </w:t>
      </w:r>
      <w:r w:rsidRPr="00661250">
        <w:rPr>
          <w:b/>
          <w:bCs/>
          <w:i/>
          <w:iCs/>
        </w:rPr>
        <w:t>uključujući prirodne katastrofe</w:t>
      </w:r>
      <w:r w:rsidRPr="00661250">
        <w:t>;</w:t>
      </w:r>
    </w:p>
    <w:p w:rsidR="008D1BE3" w:rsidRPr="00661250" w:rsidRDefault="008D1BE3" w:rsidP="008D1BE3">
      <w:pPr>
        <w:widowControl/>
        <w:shd w:val="clear" w:color="auto" w:fill="FFFFFF"/>
        <w:suppressAutoHyphens/>
        <w:spacing w:before="120" w:after="120" w:line="360" w:lineRule="auto"/>
        <w:ind w:left="1134" w:right="140" w:hanging="567"/>
        <w:rPr>
          <w:b/>
          <w:i/>
        </w:rPr>
      </w:pPr>
      <w:r w:rsidRPr="00661250">
        <w:t>(b)</w:t>
      </w:r>
      <w:r w:rsidRPr="00661250">
        <w:tab/>
        <w:t xml:space="preserve">neizbježne preobrazbe staništa koje izravno uzrokuju klimatske promjene; </w:t>
      </w:r>
      <w:r w:rsidRPr="00661250">
        <w:rPr>
          <w:rFonts w:ascii="Arial" w:hAnsi="Arial"/>
          <w:snapToGrid w:val="0"/>
        </w:rPr>
        <w:t>▌</w:t>
      </w:r>
    </w:p>
    <w:p w:rsidR="00381773" w:rsidRPr="00661250" w:rsidRDefault="00381773" w:rsidP="008D1BE3">
      <w:pPr>
        <w:widowControl/>
        <w:shd w:val="clear" w:color="auto" w:fill="FFFFFF"/>
        <w:suppressAutoHyphens/>
        <w:spacing w:before="120" w:after="120" w:line="360" w:lineRule="auto"/>
        <w:ind w:left="1134" w:right="140" w:hanging="567"/>
        <w:rPr>
          <w:rFonts w:eastAsia="Calibri"/>
          <w:b/>
          <w:szCs w:val="22"/>
        </w:rPr>
      </w:pPr>
      <w:r w:rsidRPr="00661250">
        <w:rPr>
          <w:rFonts w:eastAsia="Calibri"/>
          <w:b/>
          <w:i/>
          <w:szCs w:val="22"/>
        </w:rPr>
        <w:t>(ca)</w:t>
      </w:r>
      <w:r w:rsidRPr="00661250">
        <w:rPr>
          <w:rFonts w:eastAsia="Calibri"/>
          <w:b/>
          <w:i/>
          <w:szCs w:val="22"/>
        </w:rPr>
        <w:tab/>
      </w:r>
      <w:r w:rsidR="00A746ED" w:rsidRPr="00661250">
        <w:rPr>
          <w:rFonts w:eastAsia="Calibri"/>
          <w:b/>
          <w:i/>
          <w:szCs w:val="22"/>
        </w:rPr>
        <w:t>u</w:t>
      </w:r>
      <w:r w:rsidRPr="00661250">
        <w:rPr>
          <w:rFonts w:eastAsia="Calibri"/>
          <w:b/>
          <w:i/>
          <w:szCs w:val="22"/>
        </w:rPr>
        <w:t xml:space="preserve"> iznimnim okolnostima, povezanima s ostvarenjem ili nastavkom aktivnosti od javnog interesa, neispunjavanje obveza iz stavka 6. mora biti opravdano, pod uvjetom da se time ne ugrožava ostvarenje ciljeva obnove utvrđenih u stavcima 1., 2. i 3. Države članice bez odgode obavješćuju Komisiju o takvim iznimnim okolnostima i propisno ih obrazlažu</w:t>
      </w:r>
      <w:r w:rsidR="00410A60" w:rsidRPr="00661250">
        <w:rPr>
          <w:rFonts w:eastAsia="Calibri"/>
          <w:b/>
          <w:i/>
          <w:szCs w:val="22"/>
        </w:rPr>
        <w:t>;</w:t>
      </w:r>
      <w:r w:rsidRPr="00661250">
        <w:rPr>
          <w:rFonts w:eastAsia="Calibri"/>
          <w:b/>
          <w:szCs w:val="22"/>
        </w:rPr>
        <w:t xml:space="preserve"> [Am. 7]</w:t>
      </w:r>
    </w:p>
    <w:p w:rsidR="008D1BE3" w:rsidRPr="00661250" w:rsidRDefault="008D1BE3" w:rsidP="008D1BE3">
      <w:pPr>
        <w:widowControl/>
        <w:shd w:val="clear" w:color="auto" w:fill="FFFFFF"/>
        <w:suppressAutoHyphens/>
        <w:spacing w:before="120" w:after="120" w:line="360" w:lineRule="auto"/>
        <w:ind w:left="1134" w:right="140" w:hanging="567"/>
      </w:pPr>
      <w:r w:rsidRPr="00661250">
        <w:rPr>
          <w:b/>
          <w:i/>
        </w:rPr>
        <w:t>(d)</w:t>
      </w:r>
      <w:r w:rsidRPr="00661250">
        <w:rPr>
          <w:i/>
        </w:rPr>
        <w:tab/>
      </w:r>
      <w:r w:rsidRPr="00661250">
        <w:rPr>
          <w:b/>
          <w:i/>
        </w:rPr>
        <w:t>djelovanjem ili nedjelovanjem trećih zemalja za koje dotična država članica nije odgovorna.</w:t>
      </w:r>
    </w:p>
    <w:p w:rsidR="008D1BE3" w:rsidRPr="00661250" w:rsidRDefault="008D1BE3" w:rsidP="008D1BE3">
      <w:pPr>
        <w:widowControl/>
        <w:suppressAutoHyphens/>
        <w:spacing w:before="120" w:after="120" w:line="360" w:lineRule="auto"/>
        <w:ind w:left="567" w:right="140" w:hanging="567"/>
        <w:rPr>
          <w:rFonts w:eastAsia="Calibri"/>
          <w:b/>
          <w:i/>
          <w:szCs w:val="22"/>
        </w:rPr>
      </w:pPr>
      <w:r w:rsidRPr="00661250">
        <w:rPr>
          <w:b/>
          <w:i/>
        </w:rPr>
        <w:t>8.a</w:t>
      </w:r>
      <w:r w:rsidRPr="00661250">
        <w:rPr>
          <w:b/>
          <w:i/>
        </w:rPr>
        <w:tab/>
        <w:t xml:space="preserve">Izvan područja mreže Natura 2000 obveza uspostavljanja potrebnih mjera iz stavka 7. ne primjenjuje se na pogoršanje stanja uzrokovano: </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(a)</w:t>
      </w:r>
      <w:r w:rsidRPr="00661250">
        <w:rPr>
          <w:b/>
          <w:i/>
        </w:rPr>
        <w:tab/>
        <w:t>višom silom, uključujući prirodne katastrofe;</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(b)</w:t>
      </w:r>
      <w:r w:rsidRPr="00661250">
        <w:rPr>
          <w:b/>
          <w:i/>
        </w:rPr>
        <w:tab/>
        <w:t xml:space="preserve">neizbježne preobrazbe staništa koje izravno uzrokuju klimatske promjene; </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(c)</w:t>
      </w:r>
      <w:r w:rsidRPr="00661250">
        <w:rPr>
          <w:b/>
          <w:i/>
        </w:rPr>
        <w:tab/>
        <w:t>planovima ili projektima od prevladavajućeg javnog interesa za koje nisu dostupna manje štetna alternativna rješenja; ili</w:t>
      </w:r>
    </w:p>
    <w:p w:rsidR="008D1BE3" w:rsidRPr="00661250" w:rsidRDefault="008D1BE3" w:rsidP="008D1BE3">
      <w:pPr>
        <w:widowControl/>
        <w:shd w:val="clear" w:color="auto" w:fill="FFFFFF"/>
        <w:suppressAutoHyphens/>
        <w:spacing w:before="120" w:after="120" w:line="360" w:lineRule="auto"/>
        <w:ind w:left="1134" w:right="140" w:hanging="567"/>
        <w:rPr>
          <w:rFonts w:eastAsia="Calibri"/>
          <w:b/>
          <w:i/>
          <w:szCs w:val="22"/>
        </w:rPr>
      </w:pPr>
      <w:r w:rsidRPr="00661250">
        <w:rPr>
          <w:b/>
          <w:i/>
        </w:rPr>
        <w:t>(d)</w:t>
      </w:r>
      <w:r w:rsidRPr="00661250">
        <w:rPr>
          <w:b/>
          <w:i/>
        </w:rPr>
        <w:tab/>
        <w:t>djelovanjem ili nedjelovanjem trećih zemalja za koje dotična država članica nije odgovorna.</w:t>
      </w:r>
    </w:p>
    <w:p w:rsidR="008D1BE3" w:rsidRPr="00661250" w:rsidRDefault="008D1BE3" w:rsidP="008D1BE3">
      <w:pPr>
        <w:widowControl/>
        <w:shd w:val="clear" w:color="auto" w:fill="FFFFFF"/>
        <w:suppressAutoHyphens/>
        <w:spacing w:before="120" w:after="120" w:line="360" w:lineRule="auto"/>
        <w:ind w:left="567" w:right="140" w:hanging="567"/>
        <w:rPr>
          <w:rFonts w:eastAsia="Calibri"/>
          <w:szCs w:val="22"/>
        </w:rPr>
      </w:pPr>
      <w:r w:rsidRPr="00661250">
        <w:br w:type="page"/>
      </w:r>
      <w:r w:rsidRPr="00661250">
        <w:lastRenderedPageBreak/>
        <w:t>9.</w:t>
      </w:r>
      <w:r w:rsidRPr="00661250">
        <w:tab/>
        <w:t>Za područja mreže Natura 2000 neispunjavanje obveza utvrđenih u stavcima 6. i 7. opravdano je ako su mu uzrok:</w:t>
      </w:r>
    </w:p>
    <w:p w:rsidR="008D1BE3" w:rsidRPr="00661250" w:rsidRDefault="008D1BE3" w:rsidP="008D1BE3">
      <w:pPr>
        <w:widowControl/>
        <w:shd w:val="clear" w:color="auto" w:fill="FFFFFF"/>
        <w:suppressAutoHyphens/>
        <w:spacing w:before="120" w:after="120" w:line="360" w:lineRule="auto"/>
        <w:ind w:left="1134" w:right="140" w:hanging="567"/>
        <w:rPr>
          <w:rFonts w:eastAsia="Calibri"/>
          <w:szCs w:val="22"/>
        </w:rPr>
      </w:pPr>
      <w:r w:rsidRPr="00661250">
        <w:t>(a)</w:t>
      </w:r>
      <w:r w:rsidRPr="00661250">
        <w:tab/>
        <w:t xml:space="preserve">viša sila, </w:t>
      </w:r>
      <w:r w:rsidRPr="00661250">
        <w:rPr>
          <w:b/>
          <w:i/>
        </w:rPr>
        <w:t>uključujući prirodne katastrofe</w:t>
      </w:r>
      <w:r w:rsidRPr="00661250">
        <w:t>;</w:t>
      </w:r>
    </w:p>
    <w:p w:rsidR="008D1BE3" w:rsidRPr="00661250" w:rsidRDefault="008D1BE3" w:rsidP="008D1BE3">
      <w:pPr>
        <w:widowControl/>
        <w:shd w:val="clear" w:color="auto" w:fill="FFFFFF"/>
        <w:suppressAutoHyphens/>
        <w:spacing w:before="120" w:after="120" w:line="360" w:lineRule="auto"/>
        <w:ind w:left="1134" w:right="140" w:hanging="567"/>
        <w:rPr>
          <w:rFonts w:eastAsia="Calibri"/>
          <w:szCs w:val="22"/>
        </w:rPr>
      </w:pPr>
      <w:r w:rsidRPr="00661250">
        <w:t>(b)</w:t>
      </w:r>
      <w:r w:rsidRPr="00661250">
        <w:tab/>
        <w:t>neizbježne preobrazbe staništa koje izravno uzrokuju klimatske promjene</w:t>
      </w:r>
      <w:r w:rsidRPr="00661250">
        <w:rPr>
          <w:b/>
          <w:u w:val="single"/>
        </w:rPr>
        <w:t>;</w:t>
      </w:r>
      <w:r w:rsidRPr="00661250">
        <w:t xml:space="preserve"> ili</w:t>
      </w:r>
    </w:p>
    <w:p w:rsidR="008D1BE3" w:rsidRPr="00661250" w:rsidRDefault="008D1BE3" w:rsidP="008D1BE3">
      <w:pPr>
        <w:widowControl/>
        <w:shd w:val="clear" w:color="auto" w:fill="FFFFFF"/>
        <w:suppressAutoHyphens/>
        <w:spacing w:before="120" w:after="120" w:line="360" w:lineRule="auto"/>
        <w:ind w:left="1134" w:right="140" w:hanging="567"/>
        <w:rPr>
          <w:rFonts w:eastAsia="Calibri"/>
          <w:szCs w:val="22"/>
        </w:rPr>
      </w:pPr>
      <w:r w:rsidRPr="00661250">
        <w:t>(c)</w:t>
      </w:r>
      <w:r w:rsidRPr="00661250">
        <w:tab/>
        <w:t>plan ili projekt odobren u skladu s člankom 6. stavkom 4. Direktive 92/43/EEZ.</w:t>
      </w:r>
    </w:p>
    <w:p w:rsidR="008D1BE3" w:rsidRPr="00661250" w:rsidRDefault="008D1BE3" w:rsidP="008D1BE3">
      <w:pPr>
        <w:widowControl/>
        <w:suppressAutoHyphens/>
        <w:spacing w:before="120" w:after="120" w:line="360" w:lineRule="auto"/>
        <w:ind w:left="567" w:right="140" w:hanging="567"/>
        <w:rPr>
          <w:rFonts w:eastAsia="Calibri"/>
          <w:szCs w:val="22"/>
        </w:rPr>
      </w:pPr>
      <w:r w:rsidRPr="00661250">
        <w:t>10.</w:t>
      </w:r>
      <w:r w:rsidRPr="00661250">
        <w:tab/>
        <w:t>Države članice osiguravaju sljedeće:</w:t>
      </w:r>
    </w:p>
    <w:p w:rsidR="008D1BE3" w:rsidRPr="00661250" w:rsidRDefault="008D1BE3" w:rsidP="008D1BE3">
      <w:pPr>
        <w:widowControl/>
        <w:suppressAutoHyphens/>
        <w:spacing w:before="120" w:after="120" w:line="360" w:lineRule="auto"/>
        <w:ind w:left="1134" w:right="140" w:hanging="567"/>
        <w:rPr>
          <w:rFonts w:eastAsia="Calibri"/>
          <w:szCs w:val="22"/>
        </w:rPr>
      </w:pPr>
      <w:r w:rsidRPr="00661250">
        <w:t>(a)</w:t>
      </w:r>
      <w:r w:rsidRPr="00661250">
        <w:tab/>
        <w:t xml:space="preserve">povećanje površine staništa u dobrom stanju za stanišne tipove navedene </w:t>
      </w:r>
      <w:r w:rsidRPr="00661250">
        <w:rPr>
          <w:b/>
          <w:i/>
        </w:rPr>
        <w:t>u skupinama od 1 do 6</w:t>
      </w:r>
      <w:r w:rsidRPr="00661250">
        <w:t xml:space="preserve"> u Prilogu II. dok se dobro stanje ne postigne na najmanje 90 % područja i dok se povoljno referentno područje ne postigne za svaki stanišni tip u svakoj biogeografskoj regiji </w:t>
      </w:r>
      <w:r w:rsidRPr="00661250">
        <w:rPr>
          <w:b/>
          <w:bCs/>
          <w:i/>
          <w:iCs/>
        </w:rPr>
        <w:t>dotične države članice</w:t>
      </w:r>
      <w:r w:rsidRPr="00661250">
        <w:t>;</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(aa)</w:t>
      </w:r>
      <w:r w:rsidRPr="00661250">
        <w:rPr>
          <w:b/>
          <w:i/>
        </w:rPr>
        <w:tab/>
        <w:t>povećanje površine staništa u dobrom stanju za stanišne tipove navedene u skupini 7 u Prilogu II. dok se dobro stanje ne postigne najmanje u postotku iz stavka 1. točke (d) područja i dok se povoljno referentno područje ne postigne za svaki stanišni tip u svakoj biogeografskoj regiji dotične države članice;</w:t>
      </w:r>
    </w:p>
    <w:p w:rsidR="008D1BE3" w:rsidRPr="00661250" w:rsidRDefault="008D1BE3" w:rsidP="008D1BE3">
      <w:pPr>
        <w:widowControl/>
        <w:suppressAutoHyphens/>
        <w:spacing w:before="120" w:after="120" w:line="360" w:lineRule="auto"/>
        <w:ind w:left="1134" w:right="140" w:hanging="567"/>
        <w:rPr>
          <w:rFonts w:eastAsia="Calibri"/>
          <w:b/>
          <w:szCs w:val="22"/>
          <w:u w:val="single"/>
        </w:rPr>
      </w:pPr>
      <w:r w:rsidRPr="00661250">
        <w:t>(b)</w:t>
      </w:r>
      <w:r w:rsidRPr="00661250">
        <w:tab/>
        <w:t>pozitivni trend prema dostatnoj kvaliteti i količini morskih staništa vrsta navedenih u Prilogu III. i prilozima II., IV. i V. Direktivi 92/43/EEZ i vrsta obuhvaćenih Direktivom 2009/147/EZ.</w:t>
      </w:r>
    </w:p>
    <w:p w:rsidR="008D1BE3" w:rsidRPr="00661250" w:rsidRDefault="008D1BE3" w:rsidP="008D1BE3">
      <w:pPr>
        <w:keepNext/>
        <w:widowControl/>
        <w:suppressAutoHyphens/>
        <w:spacing w:before="360" w:after="120" w:line="360" w:lineRule="auto"/>
        <w:ind w:right="140"/>
        <w:jc w:val="center"/>
        <w:outlineLvl w:val="1"/>
        <w:rPr>
          <w:i/>
          <w:szCs w:val="26"/>
        </w:rPr>
      </w:pPr>
      <w:r w:rsidRPr="00661250">
        <w:br w:type="page"/>
      </w:r>
      <w:r w:rsidRPr="00661250">
        <w:rPr>
          <w:b/>
          <w:i/>
        </w:rPr>
        <w:lastRenderedPageBreak/>
        <w:t xml:space="preserve">Članak 5.a Energija iz obnovljivih izvora </w:t>
      </w:r>
    </w:p>
    <w:p w:rsidR="008D1BE3" w:rsidRPr="00661250" w:rsidRDefault="008D1BE3" w:rsidP="008D1BE3">
      <w:pPr>
        <w:widowControl/>
        <w:spacing w:before="120" w:after="120" w:line="360" w:lineRule="auto"/>
        <w:rPr>
          <w:rFonts w:eastAsia="Calibri"/>
          <w:b/>
          <w:i/>
          <w:szCs w:val="22"/>
        </w:rPr>
      </w:pPr>
      <w:bookmarkStart w:id="48" w:name="_Hlk137545325"/>
      <w:r w:rsidRPr="00661250">
        <w:rPr>
          <w:b/>
          <w:i/>
        </w:rPr>
        <w:t>Za potrebe članka 4. stavaka 8. i 8.a te članka 5. stavaka 8. i 8.a pretpostavlja se da su planiranje, izgradnja i rad postrojenja za proizvodnju energije iz obnovljivih izvora, njihovo priključenje na mrežu, sama ta mreža i sredstva za skladištenje od prevladavajućeg javnog interesa. Države članice mogu ih izuzeti od zahtjeva za dokazivanjem da nisu dostupna manje štetna alternativna rješenja na temelju članka 4. stavaka 8. i 8.a te članka 5. stavaka 8. i 8.a ako je provedena strateška procjena utjecaja na okoliš u skladu s uvjetima utvrđenima u Direktivi 2001/42/EZ ili ako su podvrgnuti procjeni utjecaja na okoliš u skladu s uvjetima utvrđenima u Direktivi (EU) 2011/92. Države članice mogu u opravdanim i posebnim okolnostima ograničiti primjenu tih odredaba na određene dijelove svojeg državnog područja te na određene vrste tehnologija ili na projekte s određenim tehničkim značajkama u skladu s prioritetima utvrđenima u njihovim integriranim nacionalnim energetskim i klimatskim planovima na temelju Uredbe (EU) 2018/1999. Države članice obavješćuju Komisiju o primijenjenim ograničenjima i opravdavaju ih.</w:t>
      </w:r>
      <w:bookmarkEnd w:id="48"/>
    </w:p>
    <w:p w:rsidR="008D1BE3" w:rsidRPr="00661250" w:rsidRDefault="008D1BE3" w:rsidP="008D1BE3">
      <w:pPr>
        <w:keepNext/>
        <w:widowControl/>
        <w:suppressAutoHyphens/>
        <w:spacing w:before="360" w:after="120" w:line="360" w:lineRule="auto"/>
        <w:ind w:right="140"/>
        <w:jc w:val="center"/>
        <w:outlineLvl w:val="1"/>
        <w:rPr>
          <w:i/>
          <w:szCs w:val="26"/>
        </w:rPr>
      </w:pPr>
      <w:r w:rsidRPr="00661250">
        <w:rPr>
          <w:b/>
          <w:i/>
        </w:rPr>
        <w:t xml:space="preserve">Članak 5.b </w:t>
      </w:r>
      <w:r w:rsidRPr="00661250">
        <w:rPr>
          <w:b/>
          <w:i/>
        </w:rPr>
        <w:br/>
        <w:t>Nacionalna obrana</w:t>
      </w:r>
    </w:p>
    <w:p w:rsidR="008D1BE3" w:rsidRPr="00661250" w:rsidRDefault="008D1BE3" w:rsidP="008D1BE3">
      <w:pPr>
        <w:widowControl/>
        <w:spacing w:before="120" w:after="120" w:line="360" w:lineRule="auto"/>
        <w:ind w:left="567" w:hanging="567"/>
        <w:rPr>
          <w:b/>
          <w:i/>
          <w:szCs w:val="26"/>
        </w:rPr>
      </w:pPr>
      <w:bookmarkStart w:id="49" w:name="_Hlk136767680"/>
      <w:r w:rsidRPr="00661250">
        <w:rPr>
          <w:b/>
          <w:i/>
        </w:rPr>
        <w:t>1.</w:t>
      </w:r>
      <w:r w:rsidRPr="00661250">
        <w:rPr>
          <w:b/>
          <w:i/>
        </w:rPr>
        <w:tab/>
        <w:t>Pri uvođenju mjera obnove za potrebe članka 4. stavaka 1., 2. i 3. i članka 5. stavaka 1., 2. i 3. države članice mogu izuzeti područja koja se koriste za aktivnosti čija je isključiva svrha nacionalna obrana ako se smatra da su te mjere neuskladive s daljnjim korištenjem navedenih područja u vojne svrhe.</w:t>
      </w:r>
    </w:p>
    <w:p w:rsidR="008D1BE3" w:rsidRPr="00661250" w:rsidRDefault="008D1BE3" w:rsidP="008D1BE3">
      <w:pPr>
        <w:widowControl/>
        <w:spacing w:before="120" w:after="120" w:line="360" w:lineRule="auto"/>
        <w:ind w:left="567" w:hanging="567"/>
        <w:rPr>
          <w:b/>
          <w:i/>
          <w:szCs w:val="26"/>
        </w:rPr>
      </w:pPr>
      <w:r w:rsidRPr="00661250">
        <w:rPr>
          <w:b/>
          <w:i/>
        </w:rPr>
        <w:t>2.</w:t>
      </w:r>
      <w:r w:rsidRPr="00661250">
        <w:rPr>
          <w:b/>
          <w:i/>
        </w:rPr>
        <w:tab/>
        <w:t>Za potrebe članka 4. stavaka 8. i 8.a te članka 5. stavaka 8. i 8.a države članice mogu predvidjeti da se pretpostavlja da su planovi i projekti isključivo u svrhu nacionalne obrane od prevladavajućeg javnog interesa. Za potrebe članka 4. stavaka 8. i 8.a te članka 5. stavaka 8. i 8.a države članice ujedno mogu izuzeti takve planove i projekte od zahtjeva za dokazivanjem da nisu dostupna manje štetna alternativna rješenja. Međutim, ako se primjenjuje to izuzeće, dotična država članica uvodi mjere, koliko je to razumno i izvedivo, kojima se nastoji ublažiti utjecaj na stanišne tipove.</w:t>
      </w:r>
      <w:bookmarkEnd w:id="49"/>
    </w:p>
    <w:p w:rsidR="008D1BE3" w:rsidRPr="00661250" w:rsidRDefault="008D1BE3" w:rsidP="008D1BE3">
      <w:pPr>
        <w:keepNext/>
        <w:widowControl/>
        <w:suppressAutoHyphens/>
        <w:spacing w:before="360" w:after="120" w:line="360" w:lineRule="auto"/>
        <w:ind w:left="567" w:right="140" w:hanging="567"/>
        <w:jc w:val="center"/>
        <w:outlineLvl w:val="1"/>
        <w:rPr>
          <w:bCs/>
          <w:i/>
          <w:szCs w:val="26"/>
        </w:rPr>
      </w:pPr>
      <w:r w:rsidRPr="00661250">
        <w:t xml:space="preserve">Članak 6. </w:t>
      </w:r>
      <w:r w:rsidRPr="00661250">
        <w:br/>
      </w:r>
      <w:r w:rsidRPr="00661250">
        <w:rPr>
          <w:i/>
        </w:rPr>
        <w:t>Obnova urbanih ekosustava</w:t>
      </w:r>
    </w:p>
    <w:p w:rsidR="008D1BE3" w:rsidRPr="00661250" w:rsidRDefault="008D1BE3" w:rsidP="008D1BE3">
      <w:pPr>
        <w:widowControl/>
        <w:suppressAutoHyphens/>
        <w:spacing w:before="120" w:after="120" w:line="360" w:lineRule="auto"/>
        <w:ind w:left="567" w:right="140" w:hanging="567"/>
        <w:rPr>
          <w:rFonts w:eastAsia="Calibri"/>
          <w:b/>
          <w:i/>
          <w:szCs w:val="22"/>
        </w:rPr>
      </w:pPr>
      <w:r w:rsidRPr="00661250">
        <w:t>1.</w:t>
      </w:r>
      <w:r w:rsidRPr="00661250">
        <w:tab/>
      </w:r>
      <w:bookmarkStart w:id="50" w:name="_Hlk135912547"/>
      <w:bookmarkStart w:id="51" w:name="_Hlk135848367"/>
      <w:bookmarkStart w:id="52" w:name="_Hlk135923333"/>
      <w:bookmarkStart w:id="53" w:name="_Hlk131595365"/>
      <w:bookmarkStart w:id="54" w:name="_Hlk131436010"/>
      <w:r w:rsidRPr="00661250">
        <w:t xml:space="preserve">Države članice osiguravaju da do </w:t>
      </w:r>
      <w:r w:rsidRPr="00661250">
        <w:rPr>
          <w:b/>
          <w:i/>
        </w:rPr>
        <w:t>31. prosinca</w:t>
      </w:r>
      <w:r w:rsidRPr="00661250">
        <w:t xml:space="preserve"> 2030. </w:t>
      </w:r>
      <w:r w:rsidRPr="00661250">
        <w:rPr>
          <w:b/>
          <w:i/>
        </w:rPr>
        <w:t>u ukupnom nacionalnom području</w:t>
      </w:r>
      <w:r w:rsidRPr="00661250">
        <w:t xml:space="preserve"> ne dođe do neto gubitka gradskih zelenih površina i prekrivenosti gradova krošnjama stabala </w:t>
      </w:r>
      <w:r w:rsidRPr="00661250">
        <w:rPr>
          <w:b/>
          <w:bCs/>
          <w:i/>
          <w:iCs/>
        </w:rPr>
        <w:t>u područjima urbanih ekosustava, utvrđenih u skladu s člankom 11. stavkom 2.b,</w:t>
      </w:r>
      <w:r w:rsidRPr="00661250">
        <w:t xml:space="preserve"> u odnosu </w:t>
      </w:r>
      <w:r w:rsidRPr="00661250">
        <w:lastRenderedPageBreak/>
        <w:t xml:space="preserve">na </w:t>
      </w:r>
      <w:r w:rsidRPr="00661250">
        <w:rPr>
          <w:b/>
          <w:bCs/>
          <w:i/>
          <w:iCs/>
        </w:rPr>
        <w:t>[godina stupanja na snagu ove Uredbe]</w:t>
      </w:r>
      <w:r w:rsidRPr="00661250">
        <w:t>.</w:t>
      </w:r>
      <w:bookmarkStart w:id="55" w:name="_Hlk131430592"/>
      <w:bookmarkEnd w:id="50"/>
      <w:r w:rsidRPr="00661250">
        <w:rPr>
          <w:b/>
          <w:i/>
        </w:rPr>
        <w:t xml:space="preserve"> </w:t>
      </w:r>
      <w:bookmarkEnd w:id="51"/>
      <w:r w:rsidRPr="00661250">
        <w:rPr>
          <w:b/>
          <w:i/>
        </w:rPr>
        <w:t>Za potrebe te obveze države članice mogu iz tog ukupnog nacionalnog područja isključiti</w:t>
      </w:r>
      <w:bookmarkStart w:id="56" w:name="_Hlk136519769"/>
      <w:r w:rsidRPr="00661250">
        <w:rPr>
          <w:b/>
          <w:i/>
        </w:rPr>
        <w:t xml:space="preserve"> područja urbanih ekosustava u kojima je udio gradske zelene površine u urbanim središtima i urbanim klasterima veći od 45 %, a udio prekrivenosti gradova krošnjama stabala veći od 10 %.</w:t>
      </w:r>
    </w:p>
    <w:p w:rsidR="008D1BE3" w:rsidRPr="00661250" w:rsidRDefault="008D1BE3" w:rsidP="008D1BE3">
      <w:pPr>
        <w:widowControl/>
        <w:suppressAutoHyphens/>
        <w:spacing w:before="120" w:after="120" w:line="360" w:lineRule="auto"/>
        <w:ind w:left="567" w:right="140" w:hanging="567"/>
        <w:rPr>
          <w:rFonts w:eastAsia="Calibri"/>
          <w:szCs w:val="22"/>
        </w:rPr>
      </w:pPr>
      <w:bookmarkStart w:id="57" w:name="_Hlk132474340"/>
      <w:bookmarkEnd w:id="52"/>
      <w:bookmarkEnd w:id="55"/>
      <w:bookmarkEnd w:id="56"/>
      <w:r w:rsidRPr="00661250">
        <w:t>2.</w:t>
      </w:r>
      <w:r w:rsidRPr="00661250">
        <w:tab/>
        <w:t xml:space="preserve">Države članice </w:t>
      </w:r>
      <w:r w:rsidRPr="00661250">
        <w:rPr>
          <w:b/>
          <w:i/>
        </w:rPr>
        <w:t>nakon toga</w:t>
      </w:r>
      <w:r w:rsidRPr="00661250">
        <w:t xml:space="preserve"> </w:t>
      </w:r>
      <w:r w:rsidRPr="00661250">
        <w:rPr>
          <w:b/>
          <w:i/>
        </w:rPr>
        <w:t>ostvaruju trend povećanja</w:t>
      </w:r>
      <w:r w:rsidRPr="00661250">
        <w:t xml:space="preserve"> ukupne nacionalne površine gradskih zelenih površina, </w:t>
      </w:r>
      <w:r w:rsidRPr="00661250">
        <w:rPr>
          <w:b/>
          <w:i/>
        </w:rPr>
        <w:t>među ostalim integracijom gradskih zelenih površina u zgrade i infrastrukturu u područjima urbanog ekosustava, utvrđenom u skladu s člankom 11. stavkom 2.b, što se mjeri svakih šest godina nakon 31. prosinca 2030., dok se ne postigne zadovoljavajuća razina utvrđena u skladu s člankom 11. stavkom 3.</w:t>
      </w:r>
      <w:r w:rsidRPr="00661250">
        <w:t xml:space="preserve"> </w:t>
      </w:r>
    </w:p>
    <w:bookmarkEnd w:id="57"/>
    <w:p w:rsidR="008D1BE3" w:rsidRPr="00661250" w:rsidRDefault="008D1BE3" w:rsidP="008D1BE3">
      <w:pPr>
        <w:widowControl/>
        <w:suppressAutoHyphens/>
        <w:spacing w:before="120" w:after="120" w:line="360" w:lineRule="auto"/>
        <w:ind w:left="567" w:right="140" w:hanging="567"/>
        <w:rPr>
          <w:rFonts w:eastAsia="Calibri"/>
          <w:szCs w:val="22"/>
        </w:rPr>
      </w:pPr>
      <w:r w:rsidRPr="00661250">
        <w:rPr>
          <w:b/>
          <w:i/>
        </w:rPr>
        <w:t>3.</w:t>
      </w:r>
      <w:r w:rsidRPr="00661250">
        <w:rPr>
          <w:b/>
          <w:i/>
        </w:rPr>
        <w:tab/>
      </w:r>
      <w:r w:rsidRPr="00661250">
        <w:t xml:space="preserve">Države članice </w:t>
      </w:r>
      <w:r w:rsidRPr="00661250">
        <w:rPr>
          <w:b/>
          <w:bCs/>
          <w:i/>
          <w:iCs/>
        </w:rPr>
        <w:t>u svakom području urbanog ekosustava, utvrđenom u skladu s člankom 11. stavkom 2.b, ostvaruju trend povećanja</w:t>
      </w:r>
      <w:r w:rsidRPr="00661250">
        <w:t xml:space="preserve"> </w:t>
      </w:r>
      <w:r w:rsidRPr="00661250">
        <w:rPr>
          <w:rFonts w:ascii="Arial" w:hAnsi="Arial"/>
          <w:snapToGrid w:val="0"/>
        </w:rPr>
        <w:t>▌</w:t>
      </w:r>
      <w:r w:rsidRPr="00661250">
        <w:t>prekrivenosti gradova krošnjama stabala</w:t>
      </w:r>
      <w:r w:rsidRPr="00661250">
        <w:rPr>
          <w:b/>
          <w:i/>
        </w:rPr>
        <w:t>, što se mjeri svakih šest godina nakon 31. prosinca 2030., dok se ne postigne zadovoljavajuća razina utvrđena u skladu s člankom 11. stavkom 3.</w:t>
      </w:r>
    </w:p>
    <w:bookmarkEnd w:id="53"/>
    <w:bookmarkEnd w:id="54"/>
    <w:p w:rsidR="008D1BE3" w:rsidRPr="00661250" w:rsidRDefault="008D1BE3" w:rsidP="008D1BE3">
      <w:pPr>
        <w:widowControl/>
        <w:suppressAutoHyphens/>
        <w:spacing w:before="120" w:after="120" w:line="360" w:lineRule="auto"/>
        <w:ind w:left="567" w:right="140" w:hanging="567"/>
        <w:jc w:val="both"/>
        <w:rPr>
          <w:b/>
          <w:bCs/>
          <w:szCs w:val="26"/>
        </w:rPr>
      </w:pPr>
      <w:r w:rsidRPr="00661250">
        <w:br w:type="page"/>
      </w:r>
    </w:p>
    <w:p w:rsidR="008D1BE3" w:rsidRPr="00661250" w:rsidRDefault="008D1BE3" w:rsidP="008D1BE3">
      <w:pPr>
        <w:keepNext/>
        <w:widowControl/>
        <w:shd w:val="clear" w:color="auto" w:fill="FFFFFF"/>
        <w:suppressAutoHyphens/>
        <w:spacing w:before="120" w:after="120" w:line="360" w:lineRule="auto"/>
        <w:ind w:right="140"/>
        <w:jc w:val="center"/>
        <w:outlineLvl w:val="1"/>
        <w:rPr>
          <w:b/>
          <w:bCs/>
          <w:szCs w:val="26"/>
        </w:rPr>
      </w:pPr>
      <w:r w:rsidRPr="00661250">
        <w:lastRenderedPageBreak/>
        <w:t xml:space="preserve">Članak 7. </w:t>
      </w:r>
      <w:r w:rsidRPr="00661250">
        <w:br/>
      </w:r>
      <w:r w:rsidRPr="00661250">
        <w:rPr>
          <w:i/>
        </w:rPr>
        <w:t xml:space="preserve">Obnova prirodne </w:t>
      </w:r>
      <w:bookmarkStart w:id="58" w:name="_Hlk136862171"/>
      <w:r w:rsidRPr="00661250">
        <w:rPr>
          <w:i/>
        </w:rPr>
        <w:t>povezanosti rijeka i prirodnih funkcija povezanih poplavnih područja</w:t>
      </w:r>
      <w:r w:rsidRPr="00661250">
        <w:rPr>
          <w:b/>
        </w:rPr>
        <w:t xml:space="preserve"> </w:t>
      </w:r>
      <w:bookmarkEnd w:id="58"/>
    </w:p>
    <w:p w:rsidR="008D1BE3" w:rsidRPr="00661250" w:rsidRDefault="008D1BE3" w:rsidP="008D1BE3">
      <w:pPr>
        <w:widowControl/>
        <w:shd w:val="clear" w:color="auto" w:fill="FFFFFF"/>
        <w:suppressAutoHyphens/>
        <w:spacing w:before="120" w:after="120" w:line="360" w:lineRule="auto"/>
        <w:ind w:left="567" w:right="140" w:hanging="567"/>
        <w:rPr>
          <w:rFonts w:eastAsia="Calibri"/>
          <w:szCs w:val="22"/>
        </w:rPr>
      </w:pPr>
      <w:r w:rsidRPr="00661250">
        <w:t>1.</w:t>
      </w:r>
      <w:r w:rsidRPr="00661250">
        <w:tab/>
        <w:t xml:space="preserve">Države članice sastavljaju inventar </w:t>
      </w:r>
      <w:r w:rsidRPr="00661250">
        <w:rPr>
          <w:b/>
          <w:i/>
        </w:rPr>
        <w:t>umjetnih</w:t>
      </w:r>
      <w:r w:rsidRPr="00661250">
        <w:t xml:space="preserve"> prepreka </w:t>
      </w:r>
      <w:r w:rsidRPr="00661250">
        <w:rPr>
          <w:rFonts w:ascii="Arial" w:hAnsi="Arial"/>
          <w:snapToGrid w:val="0"/>
        </w:rPr>
        <w:t>▌</w:t>
      </w:r>
      <w:r w:rsidRPr="00661250">
        <w:t>povezanosti površinskih voda i</w:t>
      </w:r>
      <w:r w:rsidRPr="00661250">
        <w:rPr>
          <w:b/>
          <w:i/>
        </w:rPr>
        <w:t>, uzimajući u obzir njihove društveno-gospodarske funkcije,</w:t>
      </w:r>
      <w:r w:rsidRPr="00661250">
        <w:t xml:space="preserve"> utvrđuju koje je prepreke potrebno ukloniti kako bi se pridonijelo ostvarenju ciljeva obnove utvrđenih u članku 4. ove Uredbe i cilja da se do 2030. najmanje 25 000 km rijeka ponovno pretvori u rijeke slobodnog toka u Uniji, ne dovodeći u pitanje Direktivu 2000/60/EZ, a posebno njezin članak 4. stavke 3., 5. i 7., i Uredbu 1315/2013, posebno njezin članak 15.</w:t>
      </w:r>
    </w:p>
    <w:p w:rsidR="008D1BE3" w:rsidRPr="00661250" w:rsidRDefault="008D1BE3" w:rsidP="008D1BE3">
      <w:pPr>
        <w:widowControl/>
        <w:shd w:val="clear" w:color="auto" w:fill="FFFFFF"/>
        <w:suppressAutoHyphens/>
        <w:spacing w:before="120" w:after="120" w:line="360" w:lineRule="auto"/>
        <w:ind w:left="567" w:right="140" w:hanging="567"/>
        <w:rPr>
          <w:rFonts w:eastAsia="Calibri"/>
          <w:szCs w:val="22"/>
        </w:rPr>
      </w:pPr>
      <w:r w:rsidRPr="00661250">
        <w:t>2.</w:t>
      </w:r>
      <w:r w:rsidRPr="00661250">
        <w:tab/>
        <w:t xml:space="preserve">Države članice uklanjaju </w:t>
      </w:r>
      <w:r w:rsidRPr="00661250">
        <w:rPr>
          <w:b/>
          <w:i/>
        </w:rPr>
        <w:t>umjetne</w:t>
      </w:r>
      <w:r w:rsidRPr="00661250">
        <w:t xml:space="preserve"> prepreke </w:t>
      </w:r>
      <w:r w:rsidRPr="00661250">
        <w:rPr>
          <w:rFonts w:ascii="Arial" w:hAnsi="Arial"/>
          <w:snapToGrid w:val="0"/>
        </w:rPr>
        <w:t>▌</w:t>
      </w:r>
      <w:r w:rsidRPr="00661250">
        <w:t xml:space="preserve">povezanosti površinskih voda na temelju </w:t>
      </w:r>
      <w:r w:rsidRPr="00661250">
        <w:rPr>
          <w:b/>
          <w:i/>
        </w:rPr>
        <w:t>inventara iz</w:t>
      </w:r>
      <w:r w:rsidRPr="00661250">
        <w:t xml:space="preserve">stavka 1. ovog članka u skladu s planom za njihovo uklanjanje iz članka 12. stavka 2. </w:t>
      </w:r>
      <w:r w:rsidRPr="00661250">
        <w:rPr>
          <w:b/>
          <w:i/>
        </w:rPr>
        <w:t>točaka (e) i</w:t>
      </w:r>
      <w:r w:rsidRPr="00661250">
        <w:t xml:space="preserve"> (f). Pri uklanjanju prepreka države članice prije svega uklanjaju zastarjele prepreke koje više nisu potrebne za proizvodnju energije iz obnovljivih izvora, unutarnju plovidbu, opskrbu vodom</w:t>
      </w:r>
      <w:r w:rsidRPr="00661250">
        <w:rPr>
          <w:b/>
          <w:bCs/>
          <w:i/>
          <w:iCs/>
        </w:rPr>
        <w:t>, zaštitu od poplava</w:t>
      </w:r>
      <w:r w:rsidRPr="00661250">
        <w:t xml:space="preserve"> ili druge svrhe.</w:t>
      </w:r>
    </w:p>
    <w:p w:rsidR="008D1BE3" w:rsidRPr="00661250" w:rsidRDefault="008D1BE3" w:rsidP="008D1BE3">
      <w:pPr>
        <w:widowControl/>
        <w:shd w:val="clear" w:color="auto" w:fill="FFFFFF"/>
        <w:suppressAutoHyphens/>
        <w:spacing w:before="120" w:after="120" w:line="360" w:lineRule="auto"/>
        <w:ind w:left="567" w:right="140" w:hanging="567"/>
        <w:rPr>
          <w:rFonts w:eastAsia="Calibri"/>
          <w:szCs w:val="22"/>
        </w:rPr>
      </w:pPr>
      <w:r w:rsidRPr="00661250">
        <w:t>3.</w:t>
      </w:r>
      <w:r w:rsidRPr="00661250">
        <w:tab/>
        <w:t>Uz uklanjanje prepreka iz stavka 2. države članice uspostavljaju i mjere koje su potrebne kako bi se poboljšale prirodne funkcije povezanih poplavnih područja.</w:t>
      </w:r>
    </w:p>
    <w:p w:rsidR="008D1BE3" w:rsidRPr="00661250" w:rsidRDefault="008D1BE3" w:rsidP="008D1BE3">
      <w:pPr>
        <w:widowControl/>
        <w:shd w:val="clear" w:color="auto" w:fill="FFFFFF"/>
        <w:suppressAutoHyphens/>
        <w:spacing w:before="120" w:after="120" w:line="360" w:lineRule="auto"/>
        <w:ind w:left="567" w:right="140" w:hanging="567"/>
        <w:rPr>
          <w:rFonts w:eastAsia="Calibri"/>
          <w:b/>
          <w:i/>
          <w:szCs w:val="22"/>
        </w:rPr>
      </w:pPr>
      <w:r w:rsidRPr="00661250">
        <w:rPr>
          <w:b/>
          <w:i/>
        </w:rPr>
        <w:t>4.</w:t>
      </w:r>
      <w:r w:rsidRPr="00661250">
        <w:rPr>
          <w:b/>
          <w:i/>
        </w:rPr>
        <w:tab/>
        <w:t>Države članice osiguravaju održavanje prirodne povezanosti rijeka i prirodnih funkcija povezanih poplavnih područja u skladu sa stavcima 2. i 3.</w:t>
      </w:r>
    </w:p>
    <w:p w:rsidR="008D1BE3" w:rsidRPr="00661250" w:rsidRDefault="008D1BE3" w:rsidP="008D1BE3">
      <w:pPr>
        <w:keepNext/>
        <w:widowControl/>
        <w:suppressAutoHyphens/>
        <w:spacing w:before="120" w:after="120" w:line="360" w:lineRule="auto"/>
        <w:ind w:right="140"/>
        <w:jc w:val="center"/>
        <w:outlineLvl w:val="1"/>
        <w:rPr>
          <w:b/>
          <w:bCs/>
          <w:szCs w:val="26"/>
        </w:rPr>
      </w:pPr>
      <w:r w:rsidRPr="00661250">
        <w:t xml:space="preserve">Članak 8. </w:t>
      </w:r>
      <w:r w:rsidRPr="00661250">
        <w:br/>
      </w:r>
      <w:r w:rsidRPr="00661250">
        <w:rPr>
          <w:i/>
        </w:rPr>
        <w:t>Obnova populacija oprašivača</w:t>
      </w:r>
      <w:r w:rsidRPr="00661250">
        <w:rPr>
          <w:b/>
        </w:rPr>
        <w:t xml:space="preserve"> </w:t>
      </w:r>
    </w:p>
    <w:p w:rsidR="008D1BE3" w:rsidRPr="00661250" w:rsidRDefault="00BC101D" w:rsidP="008D1BE3">
      <w:pPr>
        <w:widowControl/>
        <w:suppressAutoHyphens/>
        <w:spacing w:before="120" w:after="120" w:line="360" w:lineRule="auto"/>
        <w:ind w:left="567" w:right="140" w:hanging="567"/>
        <w:rPr>
          <w:rFonts w:eastAsia="Calibri"/>
          <w:b/>
          <w:szCs w:val="22"/>
        </w:rPr>
      </w:pPr>
      <w:r>
        <w:t>1.</w:t>
      </w:r>
      <w:r>
        <w:tab/>
      </w:r>
      <w:r w:rsidR="00381773" w:rsidRPr="00661250">
        <w:t xml:space="preserve">Države članice </w:t>
      </w:r>
      <w:r w:rsidR="00381773" w:rsidRPr="00661250">
        <w:rPr>
          <w:b/>
          <w:i/>
        </w:rPr>
        <w:t>će nakon stupanja na snagu Uredbe</w:t>
      </w:r>
      <w:r w:rsidR="00381773" w:rsidRPr="00661250">
        <w:t xml:space="preserve"> </w:t>
      </w:r>
      <w:r w:rsidR="00381773" w:rsidRPr="00661250">
        <w:rPr>
          <w:b/>
          <w:i/>
        </w:rPr>
        <w:t>uspostavom odgovarajućih i efektivnih mjera poboljšati raznolikost oprašivača i najkasnije</w:t>
      </w:r>
      <w:r w:rsidR="00381773" w:rsidRPr="00661250">
        <w:t xml:space="preserve"> do 2030. uspostaviti mjere usmjerene na zaustavljanje opadanja populacija oprašivača i za ostvarivanje sve većeg porasta te popula</w:t>
      </w:r>
      <w:r w:rsidR="00C6040D" w:rsidRPr="00661250">
        <w:t>cije, što će se mjeriti svakih šest godina</w:t>
      </w:r>
      <w:r w:rsidR="00381773" w:rsidRPr="00661250">
        <w:t xml:space="preserve"> nakon 2030., dok se ne postignu zadovoljavajuće razine, kako je utvrđeno u skladu s člankom 11. stavkom 3.</w:t>
      </w:r>
      <w:r w:rsidR="00381773" w:rsidRPr="00661250">
        <w:rPr>
          <w:b/>
        </w:rPr>
        <w:t xml:space="preserve"> [Am. 88]</w:t>
      </w:r>
    </w:p>
    <w:p w:rsidR="008D1BE3" w:rsidRPr="00661250" w:rsidRDefault="008D1BE3" w:rsidP="008D1BE3">
      <w:pPr>
        <w:widowControl/>
        <w:suppressAutoHyphens/>
        <w:spacing w:before="120" w:after="120" w:line="360" w:lineRule="auto"/>
        <w:ind w:left="567" w:right="140" w:hanging="567"/>
        <w:rPr>
          <w:rFonts w:eastAsia="Calibri"/>
          <w:b/>
          <w:szCs w:val="22"/>
        </w:rPr>
      </w:pPr>
      <w:bookmarkStart w:id="59" w:name="_Hlk135772528"/>
      <w:r w:rsidRPr="00661250">
        <w:t>2.</w:t>
      </w:r>
      <w:r w:rsidRPr="00661250">
        <w:tab/>
      </w:r>
      <w:r w:rsidR="00210A60" w:rsidRPr="00661250">
        <w:rPr>
          <w:b/>
          <w:i/>
        </w:rPr>
        <w:t>Najkasnije ... [9 mjeseci nakon stupanja na snagu ove Uredbe],</w:t>
      </w:r>
      <w:r w:rsidR="00210A60" w:rsidRPr="00661250">
        <w:t xml:space="preserve"> Komisija donosi </w:t>
      </w:r>
      <w:r w:rsidR="00210A60" w:rsidRPr="00661250">
        <w:rPr>
          <w:b/>
          <w:i/>
        </w:rPr>
        <w:t>delegirane</w:t>
      </w:r>
      <w:r w:rsidR="00210A60" w:rsidRPr="00661250">
        <w:t xml:space="preserve"> akte </w:t>
      </w:r>
      <w:r w:rsidR="00210A60" w:rsidRPr="00661250">
        <w:rPr>
          <w:b/>
          <w:i/>
        </w:rPr>
        <w:t>u skladu s člankom 20</w:t>
      </w:r>
      <w:r w:rsidR="00210A60" w:rsidRPr="00661250">
        <w:t xml:space="preserve">. </w:t>
      </w:r>
      <w:r w:rsidR="00210A60" w:rsidRPr="00661250">
        <w:rPr>
          <w:b/>
          <w:i/>
        </w:rPr>
        <w:t>kako bi utvrdila znanstveno utemeljenu metodu za praćenje raznolikosti i populacija oprašivača</w:t>
      </w:r>
      <w:r w:rsidR="00210A60" w:rsidRPr="00661250">
        <w:t>.</w:t>
      </w:r>
      <w:r w:rsidR="00210A60" w:rsidRPr="00661250">
        <w:rPr>
          <w:b/>
        </w:rPr>
        <w:t xml:space="preserve"> </w:t>
      </w:r>
      <w:r w:rsidR="00410A60" w:rsidRPr="00661250">
        <w:t>Ti se provedbeni akti donose u skladu s postupkom ispitivanja iz članka 21. stavka 2.</w:t>
      </w:r>
      <w:r w:rsidR="00210A60" w:rsidRPr="00661250">
        <w:t>[</w:t>
      </w:r>
      <w:r w:rsidR="00210A60" w:rsidRPr="00661250">
        <w:rPr>
          <w:b/>
        </w:rPr>
        <w:t>Am. 89]</w:t>
      </w:r>
    </w:p>
    <w:p w:rsidR="008D1BE3" w:rsidRPr="00661250" w:rsidRDefault="008D1BE3" w:rsidP="008D1BE3">
      <w:pPr>
        <w:widowControl/>
        <w:suppressAutoHyphens/>
        <w:spacing w:before="120" w:after="120" w:line="360" w:lineRule="auto"/>
        <w:ind w:left="567" w:right="140" w:hanging="567"/>
        <w:rPr>
          <w:b/>
        </w:rPr>
      </w:pPr>
      <w:r w:rsidRPr="00661250">
        <w:t>3.</w:t>
      </w:r>
      <w:r w:rsidRPr="00661250">
        <w:tab/>
      </w:r>
      <w:r w:rsidR="008E5AA3" w:rsidRPr="00661250">
        <w:t xml:space="preserve">Metodom iz stavka 2. </w:t>
      </w:r>
      <w:r w:rsidR="008E5AA3" w:rsidRPr="00661250">
        <w:rPr>
          <w:b/>
          <w:i/>
        </w:rPr>
        <w:t>omogućuju</w:t>
      </w:r>
      <w:r w:rsidR="008E5AA3" w:rsidRPr="00661250">
        <w:t xml:space="preserve"> se </w:t>
      </w:r>
      <w:r w:rsidR="008E5AA3" w:rsidRPr="00661250">
        <w:rPr>
          <w:b/>
          <w:i/>
        </w:rPr>
        <w:t xml:space="preserve">smjernice za države članice za definiranje zadovoljavajućih razina u skladu s člankom 11. stavkom 3. i </w:t>
      </w:r>
      <w:r w:rsidR="008E5AA3" w:rsidRPr="00661250">
        <w:t xml:space="preserve">primjena standardiziranog pristupa za prikupljanje godišnjih podataka o brojnosti i raznolikosti vrsta oprašivača </w:t>
      </w:r>
      <w:r w:rsidR="008E5AA3" w:rsidRPr="00661250">
        <w:rPr>
          <w:b/>
          <w:i/>
        </w:rPr>
        <w:t xml:space="preserve">diljem ekosustava </w:t>
      </w:r>
      <w:r w:rsidR="008E5AA3" w:rsidRPr="00661250">
        <w:t>i za procjenu populacijskih trendova oprašivača</w:t>
      </w:r>
      <w:r w:rsidR="008E5AA3" w:rsidRPr="00661250">
        <w:rPr>
          <w:b/>
          <w:i/>
        </w:rPr>
        <w:t xml:space="preserve"> i učinkovitosti mjera obnove koje donose države članice u skladu sa stavkom 1. ovog članka</w:t>
      </w:r>
      <w:r w:rsidR="008E5AA3" w:rsidRPr="00661250">
        <w:t>.</w:t>
      </w:r>
      <w:r w:rsidR="008E5AA3" w:rsidRPr="00661250">
        <w:rPr>
          <w:b/>
        </w:rPr>
        <w:t xml:space="preserve"> [Am. 90]</w:t>
      </w:r>
    </w:p>
    <w:p w:rsidR="008E5AA3" w:rsidRPr="00661250" w:rsidRDefault="008E5AA3" w:rsidP="008D1BE3">
      <w:pPr>
        <w:widowControl/>
        <w:suppressAutoHyphens/>
        <w:spacing w:before="120" w:after="120" w:line="360" w:lineRule="auto"/>
        <w:ind w:left="567" w:right="140" w:hanging="567"/>
        <w:rPr>
          <w:b/>
        </w:rPr>
      </w:pPr>
      <w:r w:rsidRPr="00661250">
        <w:rPr>
          <w:b/>
          <w:i/>
        </w:rPr>
        <w:lastRenderedPageBreak/>
        <w:t>3.a</w:t>
      </w:r>
      <w:r w:rsidRPr="00661250">
        <w:rPr>
          <w:b/>
          <w:i/>
        </w:rPr>
        <w:tab/>
        <w:t>Države članice i Komisija osiguravaju da podaci o praćenju dolaze s odgovarajućeg broja lokacija kako bi se osigurala reprezentativnost na cijelom državnom području. Države članice osiguravaju dostatna sredstva za praćenje i promicanje građanske znanosti.</w:t>
      </w:r>
      <w:r w:rsidRPr="00661250">
        <w:rPr>
          <w:b/>
        </w:rPr>
        <w:t xml:space="preserve"> [Am. 91]</w:t>
      </w:r>
    </w:p>
    <w:p w:rsidR="008E5AA3" w:rsidRPr="00661250" w:rsidRDefault="008E5AA3" w:rsidP="008D1BE3">
      <w:pPr>
        <w:widowControl/>
        <w:suppressAutoHyphens/>
        <w:spacing w:before="120" w:after="120" w:line="360" w:lineRule="auto"/>
        <w:ind w:left="567" w:right="140" w:hanging="567"/>
        <w:rPr>
          <w:b/>
        </w:rPr>
      </w:pPr>
      <w:r w:rsidRPr="00661250">
        <w:rPr>
          <w:b/>
          <w:i/>
        </w:rPr>
        <w:t>3.b</w:t>
      </w:r>
      <w:r w:rsidRPr="00661250">
        <w:rPr>
          <w:b/>
          <w:i/>
        </w:rPr>
        <w:tab/>
        <w:t>Komisija i relevantne agencije Unije, posebno EEA, EFSA i ECHA, zajednički rješavaju glavne pritiske s kojima se suočavaju oprašivači i na zahtjev pružaju potporu državama članicama.</w:t>
      </w:r>
      <w:r w:rsidRPr="00661250">
        <w:rPr>
          <w:b/>
        </w:rPr>
        <w:t xml:space="preserve"> [Am. 92]</w:t>
      </w:r>
    </w:p>
    <w:p w:rsidR="008E5AA3" w:rsidRPr="00661250" w:rsidRDefault="008E5AA3" w:rsidP="008D1BE3">
      <w:pPr>
        <w:widowControl/>
        <w:suppressAutoHyphens/>
        <w:spacing w:before="120" w:after="120" w:line="360" w:lineRule="auto"/>
        <w:ind w:left="567" w:right="140" w:hanging="567"/>
        <w:rPr>
          <w:rFonts w:eastAsia="Calibri"/>
          <w:b/>
          <w:szCs w:val="22"/>
        </w:rPr>
      </w:pPr>
    </w:p>
    <w:p w:rsidR="008D1BE3" w:rsidRPr="00661250" w:rsidRDefault="007B618B" w:rsidP="008D1BE3">
      <w:pPr>
        <w:widowControl/>
        <w:suppressAutoHyphens/>
        <w:spacing w:before="120" w:after="120" w:line="360" w:lineRule="auto"/>
        <w:ind w:left="567" w:right="140"/>
        <w:rPr>
          <w:rFonts w:eastAsia="Calibri"/>
          <w:b/>
          <w:szCs w:val="22"/>
        </w:rPr>
      </w:pPr>
      <w:bookmarkStart w:id="60" w:name="_Hlk133342661"/>
      <w:bookmarkEnd w:id="59"/>
      <w:r w:rsidRPr="00661250">
        <w:rPr>
          <w:b/>
        </w:rPr>
        <w:t xml:space="preserve"> [Am. 34]</w:t>
      </w:r>
    </w:p>
    <w:bookmarkEnd w:id="60"/>
    <w:p w:rsidR="008D1BE3" w:rsidRPr="00661250" w:rsidRDefault="008D1BE3" w:rsidP="008D1BE3">
      <w:pPr>
        <w:widowControl/>
        <w:spacing w:after="200" w:line="276" w:lineRule="auto"/>
        <w:rPr>
          <w:rFonts w:eastAsia="Calibri"/>
          <w:b/>
          <w:szCs w:val="22"/>
          <w:u w:val="single"/>
        </w:rPr>
      </w:pPr>
      <w:r w:rsidRPr="00661250">
        <w:br w:type="page"/>
      </w:r>
    </w:p>
    <w:p w:rsidR="008D1BE3" w:rsidRPr="00661250" w:rsidRDefault="008D1BE3" w:rsidP="008D1BE3">
      <w:pPr>
        <w:keepNext/>
        <w:widowControl/>
        <w:suppressAutoHyphens/>
        <w:spacing w:before="120" w:after="120" w:line="360" w:lineRule="auto"/>
        <w:ind w:right="140"/>
        <w:jc w:val="center"/>
        <w:outlineLvl w:val="1"/>
        <w:rPr>
          <w:bCs/>
          <w:i/>
          <w:szCs w:val="26"/>
        </w:rPr>
      </w:pPr>
      <w:r w:rsidRPr="00661250">
        <w:lastRenderedPageBreak/>
        <w:t xml:space="preserve">Članak 10. </w:t>
      </w:r>
      <w:r w:rsidRPr="00661250">
        <w:br/>
      </w:r>
      <w:r w:rsidRPr="00661250">
        <w:rPr>
          <w:i/>
        </w:rPr>
        <w:t>Obnova šumskih ekosustava</w:t>
      </w:r>
    </w:p>
    <w:p w:rsidR="008D1BE3" w:rsidRPr="00661250" w:rsidRDefault="008D1BE3" w:rsidP="008D1BE3">
      <w:pPr>
        <w:widowControl/>
        <w:suppressAutoHyphens/>
        <w:spacing w:before="120" w:after="120" w:line="360" w:lineRule="auto"/>
        <w:ind w:left="567" w:right="140" w:hanging="567"/>
        <w:rPr>
          <w:rFonts w:eastAsia="Calibri"/>
          <w:szCs w:val="22"/>
        </w:rPr>
      </w:pPr>
      <w:r w:rsidRPr="00661250">
        <w:t>1.</w:t>
      </w:r>
      <w:r w:rsidRPr="00661250">
        <w:tab/>
        <w:t>Osim za područja na kojima se mjere obnove primjenjuju u skladu s člankom 4. stavcima 1., 2. i 3., države članice uspostavljaju i mjere obnove koje su potrebne kako bi se poboljšala bioraznolikost šumskih ekosustava.</w:t>
      </w:r>
    </w:p>
    <w:p w:rsidR="008D1BE3" w:rsidRPr="00661250" w:rsidRDefault="008D1BE3" w:rsidP="008D1BE3">
      <w:pPr>
        <w:widowControl/>
        <w:suppressAutoHyphens/>
        <w:spacing w:before="120" w:after="120" w:line="360" w:lineRule="auto"/>
        <w:ind w:left="567" w:right="140" w:hanging="567"/>
        <w:rPr>
          <w:szCs w:val="22"/>
        </w:rPr>
      </w:pPr>
      <w:r w:rsidRPr="00661250">
        <w:t>2.</w:t>
      </w:r>
      <w:r w:rsidRPr="00661250">
        <w:tab/>
        <w:t xml:space="preserve">Države članice dužne su za svaki od sljedećih pokazatelja u šumskim ekosustavima, kako su podrobnije utvrđeni u Prilogu VI., ostvarivati trend povećanja na nacionalnoj razini, što će se mjeriti u razdoblju od datuma stupanja na snagu ove Uredbe do 31. prosinca 2030. i </w:t>
      </w:r>
      <w:r w:rsidRPr="00661250">
        <w:rPr>
          <w:b/>
          <w:i/>
        </w:rPr>
        <w:t>svakih šest godina</w:t>
      </w:r>
      <w:r w:rsidRPr="00661250">
        <w:t xml:space="preserve"> nakon toga, dok se ne postignu zadovoljavajuće razine utvrđene u skladu s člankom 11. stavkom 3.:</w:t>
      </w:r>
    </w:p>
    <w:p w:rsidR="008D1BE3" w:rsidRPr="00661250" w:rsidRDefault="00A61894" w:rsidP="008D1BE3">
      <w:pPr>
        <w:widowControl/>
        <w:suppressAutoHyphens/>
        <w:spacing w:before="120" w:after="120" w:line="360" w:lineRule="auto"/>
        <w:ind w:left="1134" w:right="140" w:hanging="567"/>
        <w:jc w:val="both"/>
        <w:rPr>
          <w:rFonts w:eastAsia="Calibri"/>
          <w:szCs w:val="22"/>
        </w:rPr>
      </w:pPr>
      <w:r w:rsidRPr="00661250">
        <w:rPr>
          <w:rFonts w:eastAsia="Calibri"/>
          <w:b/>
          <w:szCs w:val="22"/>
          <w:lang w:eastAsia="en-US"/>
        </w:rPr>
        <w:t>[Am. 129/rev</w:t>
      </w:r>
      <w:r w:rsidR="00410A60" w:rsidRPr="00661250">
        <w:rPr>
          <w:rFonts w:eastAsia="Calibri"/>
          <w:b/>
          <w:szCs w:val="22"/>
          <w:lang w:eastAsia="en-US"/>
        </w:rPr>
        <w:t>1</w:t>
      </w:r>
      <w:r w:rsidRPr="00661250">
        <w:rPr>
          <w:rFonts w:eastAsia="Calibri"/>
          <w:b/>
          <w:szCs w:val="22"/>
          <w:lang w:eastAsia="en-US"/>
        </w:rPr>
        <w:t>]</w:t>
      </w:r>
    </w:p>
    <w:p w:rsidR="008D1BE3" w:rsidRPr="00661250" w:rsidRDefault="008D1BE3" w:rsidP="008D1BE3">
      <w:pPr>
        <w:widowControl/>
        <w:suppressAutoHyphens/>
        <w:spacing w:before="120" w:after="120" w:line="360" w:lineRule="auto"/>
        <w:ind w:left="1134" w:right="140" w:hanging="567"/>
        <w:jc w:val="both"/>
        <w:rPr>
          <w:rFonts w:eastAsia="Calibri"/>
          <w:szCs w:val="22"/>
        </w:rPr>
      </w:pPr>
      <w:r w:rsidRPr="00661250">
        <w:t>;</w:t>
      </w:r>
      <w:r w:rsidR="00A61894" w:rsidRPr="00661250">
        <w:rPr>
          <w:rFonts w:eastAsia="Calibri"/>
          <w:b/>
          <w:szCs w:val="22"/>
          <w:lang w:eastAsia="en-US"/>
        </w:rPr>
        <w:t>[Am. 130/rev</w:t>
      </w:r>
      <w:r w:rsidR="00410A60" w:rsidRPr="00661250">
        <w:rPr>
          <w:rFonts w:eastAsia="Calibri"/>
          <w:b/>
          <w:szCs w:val="22"/>
          <w:lang w:eastAsia="en-US"/>
        </w:rPr>
        <w:t>1</w:t>
      </w:r>
      <w:r w:rsidR="00A61894" w:rsidRPr="00661250">
        <w:rPr>
          <w:rFonts w:eastAsia="Calibri"/>
          <w:b/>
          <w:szCs w:val="22"/>
          <w:lang w:eastAsia="en-US"/>
        </w:rPr>
        <w:t>]</w:t>
      </w:r>
    </w:p>
    <w:p w:rsidR="008D1BE3" w:rsidRPr="00661250" w:rsidRDefault="008D1BE3" w:rsidP="008D1BE3">
      <w:pPr>
        <w:widowControl/>
        <w:suppressAutoHyphens/>
        <w:spacing w:before="120" w:after="120" w:line="360" w:lineRule="auto"/>
        <w:ind w:left="1134" w:right="140" w:hanging="567"/>
        <w:jc w:val="both"/>
        <w:rPr>
          <w:rFonts w:eastAsia="Calibri"/>
          <w:szCs w:val="22"/>
        </w:rPr>
      </w:pPr>
      <w:r w:rsidRPr="00661250">
        <w:rPr>
          <w:rFonts w:ascii="Arial" w:hAnsi="Arial"/>
          <w:snapToGrid w:val="0"/>
        </w:rPr>
        <w:t>▌</w:t>
      </w:r>
      <w:r w:rsidRPr="00661250">
        <w:t xml:space="preserve"> </w:t>
      </w:r>
    </w:p>
    <w:p w:rsidR="008D1BE3" w:rsidRPr="00661250" w:rsidRDefault="008D1BE3" w:rsidP="008D1BE3">
      <w:pPr>
        <w:widowControl/>
        <w:suppressAutoHyphens/>
        <w:spacing w:before="120" w:after="120" w:line="360" w:lineRule="auto"/>
        <w:ind w:left="1134" w:right="140" w:hanging="567"/>
        <w:jc w:val="both"/>
        <w:rPr>
          <w:rFonts w:eastAsia="Calibri"/>
          <w:szCs w:val="22"/>
        </w:rPr>
      </w:pPr>
      <w:r w:rsidRPr="00661250">
        <w:rPr>
          <w:rFonts w:ascii="Arial" w:hAnsi="Arial"/>
          <w:snapToGrid w:val="0"/>
        </w:rPr>
        <w:t>▌</w:t>
      </w:r>
      <w:r w:rsidRPr="00661250">
        <w:t xml:space="preserve"> </w:t>
      </w:r>
    </w:p>
    <w:p w:rsidR="008D1BE3" w:rsidRPr="00661250" w:rsidRDefault="008D1BE3" w:rsidP="008D1BE3">
      <w:pPr>
        <w:widowControl/>
        <w:suppressAutoHyphens/>
        <w:spacing w:before="120" w:after="120" w:line="360" w:lineRule="auto"/>
        <w:ind w:left="1134" w:right="140" w:hanging="567"/>
        <w:jc w:val="both"/>
        <w:rPr>
          <w:rFonts w:eastAsia="Calibri"/>
          <w:szCs w:val="22"/>
        </w:rPr>
      </w:pPr>
      <w:r w:rsidRPr="00661250">
        <w:t>(</w:t>
      </w:r>
      <w:r w:rsidRPr="00661250">
        <w:rPr>
          <w:b/>
          <w:i/>
        </w:rPr>
        <w:t>c</w:t>
      </w:r>
      <w:r w:rsidRPr="00661250">
        <w:t>)</w:t>
      </w:r>
      <w:r w:rsidRPr="00661250">
        <w:tab/>
        <w:t>indeks čestih vrsta ptica šumskih staništa</w:t>
      </w:r>
      <w:r w:rsidRPr="00661250">
        <w:rPr>
          <w:b/>
          <w:i/>
        </w:rPr>
        <w:t>.</w:t>
      </w:r>
    </w:p>
    <w:p w:rsidR="008D1BE3" w:rsidRPr="00661250" w:rsidRDefault="008D1BE3" w:rsidP="008D1BE3">
      <w:pPr>
        <w:widowControl/>
        <w:suppressAutoHyphens/>
        <w:spacing w:before="120" w:after="120" w:line="360" w:lineRule="auto"/>
        <w:ind w:left="1134" w:right="140" w:hanging="567"/>
        <w:jc w:val="both"/>
        <w:rPr>
          <w:rFonts w:eastAsia="Calibri"/>
          <w:szCs w:val="22"/>
        </w:rPr>
      </w:pPr>
      <w:r w:rsidRPr="00661250">
        <w:rPr>
          <w:rFonts w:ascii="Arial" w:hAnsi="Arial"/>
          <w:snapToGrid w:val="0"/>
        </w:rPr>
        <w:t>▌</w:t>
      </w:r>
      <w:r w:rsidRPr="00661250">
        <w:t xml:space="preserve"> </w:t>
      </w:r>
    </w:p>
    <w:p w:rsidR="008D1BE3" w:rsidRPr="00661250" w:rsidRDefault="008D1BE3" w:rsidP="008D1BE3">
      <w:pPr>
        <w:widowControl/>
        <w:spacing w:after="200" w:line="276" w:lineRule="auto"/>
        <w:rPr>
          <w:rFonts w:eastAsia="Calibri"/>
          <w:szCs w:val="22"/>
        </w:rPr>
      </w:pPr>
      <w:r w:rsidRPr="00661250">
        <w:br w:type="page"/>
      </w:r>
    </w:p>
    <w:p w:rsidR="008D1BE3" w:rsidRPr="00661250" w:rsidRDefault="008D1BE3" w:rsidP="008D1BE3">
      <w:pPr>
        <w:widowControl/>
        <w:suppressAutoHyphens/>
        <w:spacing w:before="120" w:after="120" w:line="360" w:lineRule="auto"/>
        <w:ind w:left="567" w:right="140" w:hanging="567"/>
        <w:rPr>
          <w:b/>
          <w:i/>
          <w:szCs w:val="22"/>
        </w:rPr>
      </w:pPr>
      <w:r w:rsidRPr="00661250">
        <w:rPr>
          <w:b/>
          <w:i/>
          <w:sz w:val="23"/>
        </w:rPr>
        <w:lastRenderedPageBreak/>
        <w:t>2.a</w:t>
      </w:r>
      <w:r w:rsidRPr="00661250">
        <w:rPr>
          <w:b/>
          <w:i/>
          <w:sz w:val="23"/>
        </w:rPr>
        <w:tab/>
      </w:r>
      <w:r w:rsidRPr="00661250">
        <w:rPr>
          <w:b/>
          <w:i/>
        </w:rPr>
        <w:t>Države članice na nacionalnoj razini postižu trend povećanja triju od sljedećih pokazatelja u šumskim ekosustavima, kako su dodatno utvrđeni u Prilogu VI., odabranih na temelju njihove sposobnosti da dokažu povećanje bioraznolikosti šumskih ekosustava u dotičnoj državi članici. Pokazatelji se mjere u razdoblju od datuma stupanja na snagu ove Uredbe do 31. prosinca 2030. i svakih šest godina nakon toga, dok se ne postignu zadovoljavajuće razine utvrđene u skladu s člankom 11. stavkom 3.:</w:t>
      </w:r>
    </w:p>
    <w:p w:rsidR="008D1BE3" w:rsidRPr="00661250" w:rsidRDefault="008D1BE3" w:rsidP="008D1BE3">
      <w:pPr>
        <w:widowControl/>
        <w:suppressAutoHyphens/>
        <w:spacing w:before="120" w:after="120" w:line="360" w:lineRule="auto"/>
        <w:ind w:left="1134" w:right="140" w:hanging="567"/>
        <w:jc w:val="both"/>
        <w:rPr>
          <w:rFonts w:eastAsia="Calibri"/>
          <w:b/>
          <w:i/>
          <w:szCs w:val="22"/>
        </w:rPr>
      </w:pPr>
      <w:r w:rsidRPr="00661250">
        <w:rPr>
          <w:b/>
          <w:i/>
        </w:rPr>
        <w:t>(</w:t>
      </w:r>
      <w:bookmarkStart w:id="61" w:name="_Hlk128839216"/>
      <w:r w:rsidRPr="00661250">
        <w:rPr>
          <w:b/>
          <w:i/>
        </w:rPr>
        <w:t>a)</w:t>
      </w:r>
      <w:r w:rsidRPr="00661250">
        <w:rPr>
          <w:b/>
          <w:i/>
        </w:rPr>
        <w:tab/>
        <w:t>udjela šuma raznodobne strukture;</w:t>
      </w:r>
    </w:p>
    <w:p w:rsidR="008D1BE3" w:rsidRPr="00661250" w:rsidRDefault="008D1BE3" w:rsidP="008D1BE3">
      <w:pPr>
        <w:widowControl/>
        <w:suppressAutoHyphens/>
        <w:spacing w:before="120" w:after="120" w:line="360" w:lineRule="auto"/>
        <w:ind w:left="1134" w:right="140" w:hanging="567"/>
        <w:jc w:val="both"/>
        <w:rPr>
          <w:rFonts w:eastAsia="Calibri"/>
          <w:b/>
          <w:i/>
          <w:szCs w:val="22"/>
        </w:rPr>
      </w:pPr>
      <w:r w:rsidRPr="00661250">
        <w:rPr>
          <w:b/>
          <w:i/>
        </w:rPr>
        <w:t>(b)</w:t>
      </w:r>
      <w:r w:rsidRPr="00661250">
        <w:rPr>
          <w:b/>
          <w:i/>
        </w:rPr>
        <w:tab/>
        <w:t xml:space="preserve">povezanosti šuma; </w:t>
      </w:r>
    </w:p>
    <w:p w:rsidR="008D1BE3" w:rsidRPr="00661250" w:rsidRDefault="008D1BE3" w:rsidP="008D1BE3">
      <w:pPr>
        <w:widowControl/>
        <w:suppressAutoHyphens/>
        <w:spacing w:before="120" w:after="120" w:line="360" w:lineRule="auto"/>
        <w:ind w:left="1134" w:right="140" w:hanging="567"/>
        <w:jc w:val="both"/>
        <w:rPr>
          <w:rFonts w:eastAsia="Calibri"/>
          <w:b/>
          <w:i/>
          <w:szCs w:val="22"/>
        </w:rPr>
      </w:pPr>
      <w:r w:rsidRPr="00661250">
        <w:rPr>
          <w:b/>
          <w:i/>
        </w:rPr>
        <w:t>(c)</w:t>
      </w:r>
      <w:r w:rsidRPr="00661250">
        <w:rPr>
          <w:b/>
          <w:i/>
        </w:rPr>
        <w:tab/>
        <w:t>zaliha organskog ugljika;</w:t>
      </w:r>
    </w:p>
    <w:bookmarkEnd w:id="61"/>
    <w:p w:rsidR="008D1BE3" w:rsidRPr="00661250" w:rsidRDefault="008D1BE3" w:rsidP="008D1BE3">
      <w:pPr>
        <w:widowControl/>
        <w:suppressAutoHyphens/>
        <w:spacing w:after="120" w:line="360" w:lineRule="auto"/>
        <w:ind w:right="140" w:firstLine="567"/>
        <w:rPr>
          <w:rFonts w:eastAsia="Calibri"/>
          <w:b/>
          <w:i/>
          <w:color w:val="000000"/>
          <w:szCs w:val="24"/>
        </w:rPr>
      </w:pPr>
      <w:r w:rsidRPr="00661250">
        <w:rPr>
          <w:b/>
          <w:i/>
          <w:color w:val="000000"/>
          <w:sz w:val="23"/>
        </w:rPr>
        <w:t xml:space="preserve">(d) </w:t>
      </w:r>
      <w:r w:rsidRPr="00661250">
        <w:rPr>
          <w:b/>
          <w:i/>
          <w:color w:val="000000"/>
          <w:sz w:val="23"/>
        </w:rPr>
        <w:tab/>
      </w:r>
      <w:r w:rsidRPr="00661250">
        <w:rPr>
          <w:b/>
          <w:i/>
          <w:color w:val="000000"/>
        </w:rPr>
        <w:t>udjela šuma u kojima prevladavaju zavičajne vrste drveća;</w:t>
      </w:r>
    </w:p>
    <w:p w:rsidR="008D1BE3" w:rsidRPr="00661250" w:rsidRDefault="008D1BE3" w:rsidP="008D1BE3">
      <w:pPr>
        <w:widowControl/>
        <w:suppressAutoHyphens/>
        <w:spacing w:before="120" w:after="240" w:line="360" w:lineRule="auto"/>
        <w:ind w:right="142" w:firstLine="567"/>
        <w:rPr>
          <w:rFonts w:eastAsia="Calibri"/>
          <w:b/>
          <w:i/>
          <w:color w:val="000000"/>
          <w:sz w:val="23"/>
          <w:szCs w:val="23"/>
        </w:rPr>
      </w:pPr>
      <w:r w:rsidRPr="00661250">
        <w:rPr>
          <w:b/>
          <w:i/>
          <w:color w:val="000000"/>
          <w:sz w:val="23"/>
        </w:rPr>
        <w:t xml:space="preserve">(e) </w:t>
      </w:r>
      <w:r w:rsidRPr="00661250">
        <w:rPr>
          <w:b/>
          <w:i/>
          <w:color w:val="000000"/>
          <w:sz w:val="23"/>
        </w:rPr>
        <w:tab/>
        <w:t>raznolikosti vrsta drveća.</w:t>
      </w:r>
    </w:p>
    <w:p w:rsidR="008D1BE3" w:rsidRPr="00661250" w:rsidRDefault="008D1BE3" w:rsidP="008D1BE3">
      <w:pPr>
        <w:widowControl/>
        <w:suppressAutoHyphens/>
        <w:spacing w:before="120" w:after="120" w:line="360" w:lineRule="auto"/>
        <w:ind w:left="567" w:right="140" w:hanging="567"/>
        <w:rPr>
          <w:rFonts w:eastAsia="Calibri"/>
          <w:b/>
          <w:i/>
          <w:szCs w:val="22"/>
        </w:rPr>
      </w:pPr>
      <w:r w:rsidRPr="00661250">
        <w:rPr>
          <w:b/>
          <w:i/>
        </w:rPr>
        <w:t>3.</w:t>
      </w:r>
      <w:r w:rsidRPr="00661250">
        <w:rPr>
          <w:b/>
          <w:i/>
        </w:rPr>
        <w:tab/>
        <w:t>Neispunjavanje obveza utvrđenih u stavcima 2. i 2.a opravdano je ako je uzrokovano:</w:t>
      </w:r>
    </w:p>
    <w:p w:rsidR="008D1BE3" w:rsidRPr="00661250" w:rsidRDefault="008D1BE3" w:rsidP="008D1BE3">
      <w:pPr>
        <w:widowControl/>
        <w:suppressAutoHyphens/>
        <w:spacing w:before="120" w:after="120" w:line="360" w:lineRule="auto"/>
        <w:ind w:left="1134" w:right="140" w:hanging="567"/>
        <w:rPr>
          <w:rFonts w:eastAsia="Calibri"/>
          <w:b/>
          <w:i/>
          <w:szCs w:val="22"/>
        </w:rPr>
      </w:pPr>
      <w:r w:rsidRPr="00661250">
        <w:rPr>
          <w:b/>
          <w:i/>
        </w:rPr>
        <w:t>(a)</w:t>
      </w:r>
      <w:r w:rsidRPr="00661250">
        <w:rPr>
          <w:b/>
          <w:i/>
        </w:rPr>
        <w:tab/>
        <w:t>višom silom velikih razmjera, uključujući prirodne katastrofe, a posebno neplanirane i nekontrolirane šumske požare; ili</w:t>
      </w:r>
    </w:p>
    <w:p w:rsidR="008D1BE3" w:rsidRPr="00661250" w:rsidRDefault="008D1BE3" w:rsidP="008D1BE3">
      <w:pPr>
        <w:widowControl/>
        <w:suppressAutoHyphens/>
        <w:spacing w:before="120" w:after="120" w:line="360" w:lineRule="auto"/>
        <w:ind w:left="1134" w:right="140" w:hanging="567"/>
        <w:rPr>
          <w:b/>
          <w:i/>
        </w:rPr>
      </w:pPr>
      <w:r w:rsidRPr="00661250">
        <w:rPr>
          <w:b/>
          <w:i/>
        </w:rPr>
        <w:t>(b)</w:t>
      </w:r>
      <w:r w:rsidRPr="00661250">
        <w:rPr>
          <w:b/>
          <w:i/>
        </w:rPr>
        <w:tab/>
        <w:t>neizbježnom preobrazbom staništa koju izravno uzrokuju klimatske promjene;</w:t>
      </w:r>
    </w:p>
    <w:p w:rsidR="00A746ED" w:rsidRPr="00661250" w:rsidRDefault="00A746ED">
      <w:pPr>
        <w:widowControl/>
        <w:rPr>
          <w:b/>
          <w:i/>
          <w:szCs w:val="24"/>
          <w:lang w:eastAsia="en-US"/>
        </w:rPr>
      </w:pPr>
      <w:r w:rsidRPr="00661250">
        <w:rPr>
          <w:b/>
          <w:i/>
          <w:szCs w:val="24"/>
          <w:lang w:eastAsia="en-US"/>
        </w:rPr>
        <w:br w:type="page"/>
      </w:r>
    </w:p>
    <w:p w:rsidR="00A61894" w:rsidRPr="00661250" w:rsidRDefault="00A61894" w:rsidP="00661250">
      <w:pPr>
        <w:widowControl/>
        <w:suppressAutoHyphens/>
        <w:spacing w:before="120" w:after="120" w:line="360" w:lineRule="auto"/>
        <w:ind w:left="1134" w:right="140" w:hanging="567"/>
        <w:jc w:val="center"/>
        <w:rPr>
          <w:b/>
          <w:i/>
          <w:szCs w:val="24"/>
          <w:lang w:eastAsia="en-US"/>
        </w:rPr>
      </w:pPr>
      <w:r w:rsidRPr="00661250">
        <w:rPr>
          <w:b/>
          <w:i/>
          <w:szCs w:val="24"/>
          <w:lang w:eastAsia="en-US"/>
        </w:rPr>
        <w:lastRenderedPageBreak/>
        <w:t>Članak 10.a</w:t>
      </w:r>
    </w:p>
    <w:p w:rsidR="00A61894" w:rsidRPr="00661250" w:rsidRDefault="00A61894" w:rsidP="00661250">
      <w:pPr>
        <w:widowControl/>
        <w:suppressAutoHyphens/>
        <w:spacing w:before="120" w:after="120" w:line="360" w:lineRule="auto"/>
        <w:ind w:left="1134" w:right="140" w:hanging="567"/>
        <w:jc w:val="center"/>
        <w:rPr>
          <w:b/>
          <w:i/>
          <w:szCs w:val="24"/>
          <w:lang w:eastAsia="en-US"/>
        </w:rPr>
      </w:pPr>
      <w:r w:rsidRPr="00661250">
        <w:rPr>
          <w:b/>
          <w:i/>
          <w:szCs w:val="24"/>
          <w:lang w:eastAsia="en-US"/>
        </w:rPr>
        <w:t>Sadnja tri milijarde dodatnih stabala</w:t>
      </w:r>
    </w:p>
    <w:p w:rsidR="00A61894" w:rsidRPr="00661250" w:rsidRDefault="00A61894" w:rsidP="00661250">
      <w:pPr>
        <w:widowControl/>
        <w:suppressAutoHyphens/>
        <w:spacing w:before="120" w:after="120" w:line="360" w:lineRule="auto"/>
        <w:ind w:left="567" w:hanging="567"/>
        <w:rPr>
          <w:b/>
          <w:i/>
          <w:szCs w:val="24"/>
          <w:lang w:eastAsia="en-US"/>
        </w:rPr>
      </w:pPr>
      <w:r w:rsidRPr="00661250">
        <w:rPr>
          <w:b/>
          <w:i/>
          <w:szCs w:val="24"/>
          <w:lang w:eastAsia="en-US"/>
        </w:rPr>
        <w:t>1.</w:t>
      </w:r>
      <w:r w:rsidRPr="00661250">
        <w:rPr>
          <w:b/>
          <w:i/>
          <w:szCs w:val="24"/>
          <w:lang w:eastAsia="en-US"/>
        </w:rPr>
        <w:tab/>
        <w:t>Pri utvrđivanju i provedbi mjera obnove kako bi se ispunili ciljevi i obveze utvrđeni u člancima 4., 6., 9. i 10., države članice doprinose postizanju cilja Unije o sadnji najmanje tri milijarde dodatnih stabala do 2030.</w:t>
      </w:r>
    </w:p>
    <w:p w:rsidR="00A61894" w:rsidRPr="00661250" w:rsidRDefault="00A61894" w:rsidP="00661250">
      <w:pPr>
        <w:widowControl/>
        <w:suppressAutoHyphens/>
        <w:spacing w:before="120" w:after="120" w:line="360" w:lineRule="auto"/>
        <w:ind w:left="567" w:hanging="567"/>
        <w:rPr>
          <w:b/>
          <w:i/>
          <w:szCs w:val="24"/>
          <w:lang w:eastAsia="en-US"/>
        </w:rPr>
      </w:pPr>
      <w:r w:rsidRPr="00661250">
        <w:rPr>
          <w:b/>
          <w:i/>
          <w:szCs w:val="24"/>
          <w:lang w:eastAsia="en-US"/>
        </w:rPr>
        <w:t>2</w:t>
      </w:r>
      <w:r w:rsidR="00CB3BCF">
        <w:rPr>
          <w:b/>
          <w:i/>
          <w:szCs w:val="24"/>
          <w:lang w:eastAsia="en-US"/>
        </w:rPr>
        <w:t>.</w:t>
      </w:r>
      <w:r w:rsidRPr="00661250">
        <w:rPr>
          <w:b/>
          <w:i/>
          <w:szCs w:val="24"/>
          <w:lang w:eastAsia="en-US"/>
        </w:rPr>
        <w:tab/>
        <w:t>Države članice osiguravaju da se cilj iz stavka 1. ostvari uz potpuno poštovanje ekoloških načela, osiguravanje raznolikosti vrsta, davanje prednosti autohtonim vrstama drveća, osim, u vrlo specifičnim slučajevima i uvjetima, neautohtonih vrsta prilagođenih lokalnom tlu, klimatskom i ekološkom kontekstu i stanišnim uvjetima koji imaju ulogu u poticanju povećane otpornosti na klimatske promjene. Mjere za postizanje tog cilja usmjerene su na povećanje povezanosti i temelje se na samostalnom razvoju šuma, održivom ponovnom pošumljavanju i ekologizaciji urbanih područja.</w:t>
      </w:r>
    </w:p>
    <w:p w:rsidR="00A61894" w:rsidRPr="00661250" w:rsidRDefault="00A61894" w:rsidP="00661250">
      <w:pPr>
        <w:widowControl/>
        <w:suppressAutoHyphens/>
        <w:spacing w:before="120" w:after="120" w:line="360" w:lineRule="auto"/>
        <w:ind w:left="567" w:hanging="567"/>
        <w:rPr>
          <w:rFonts w:eastAsia="Calibri"/>
          <w:b/>
          <w:szCs w:val="22"/>
        </w:rPr>
      </w:pPr>
      <w:r w:rsidRPr="00661250">
        <w:rPr>
          <w:b/>
          <w:i/>
          <w:szCs w:val="24"/>
          <w:lang w:eastAsia="en-US"/>
        </w:rPr>
        <w:t>3.</w:t>
      </w:r>
      <w:r w:rsidRPr="00661250">
        <w:rPr>
          <w:b/>
          <w:i/>
          <w:szCs w:val="24"/>
          <w:lang w:eastAsia="en-US"/>
        </w:rPr>
        <w:tab/>
        <w:t>Stabla posađena u svrhu sječe ne ubrajaju se u cilj utvrđen u stavku 1.</w:t>
      </w:r>
      <w:r w:rsidRPr="00661250">
        <w:rPr>
          <w:b/>
          <w:szCs w:val="24"/>
          <w:lang w:eastAsia="en-US"/>
        </w:rPr>
        <w:t xml:space="preserve"> [Am. 80]</w:t>
      </w:r>
    </w:p>
    <w:p w:rsidR="008D1BE3" w:rsidRPr="00661250" w:rsidRDefault="008D1BE3" w:rsidP="008D1BE3">
      <w:pPr>
        <w:widowControl/>
        <w:spacing w:after="200" w:line="276" w:lineRule="auto"/>
        <w:rPr>
          <w:rFonts w:eastAsia="Calibri"/>
          <w:b/>
          <w:szCs w:val="22"/>
          <w:u w:val="single"/>
        </w:rPr>
      </w:pPr>
      <w:r w:rsidRPr="00661250">
        <w:br w:type="page"/>
      </w:r>
    </w:p>
    <w:p w:rsidR="008D1BE3" w:rsidRPr="00661250" w:rsidRDefault="008D1BE3" w:rsidP="008D1BE3">
      <w:pPr>
        <w:widowControl/>
        <w:suppressAutoHyphens/>
        <w:spacing w:line="360" w:lineRule="auto"/>
        <w:jc w:val="center"/>
        <w:rPr>
          <w:rFonts w:eastAsia="Calibri"/>
          <w:szCs w:val="22"/>
        </w:rPr>
      </w:pPr>
      <w:r w:rsidRPr="00661250">
        <w:lastRenderedPageBreak/>
        <w:t xml:space="preserve">POGLAVLJE III. </w:t>
      </w:r>
      <w:r w:rsidRPr="00661250">
        <w:br/>
        <w:t>NACIONALNI PLANOVI OBNOVE</w:t>
      </w:r>
    </w:p>
    <w:p w:rsidR="008D1BE3" w:rsidRPr="00661250" w:rsidRDefault="008D1BE3" w:rsidP="008D1BE3">
      <w:pPr>
        <w:keepNext/>
        <w:widowControl/>
        <w:suppressAutoHyphens/>
        <w:spacing w:before="360" w:after="120" w:line="360" w:lineRule="auto"/>
        <w:ind w:right="-1"/>
        <w:jc w:val="center"/>
        <w:outlineLvl w:val="1"/>
        <w:rPr>
          <w:b/>
          <w:bCs/>
          <w:szCs w:val="26"/>
        </w:rPr>
      </w:pPr>
      <w:r w:rsidRPr="00661250">
        <w:t xml:space="preserve">Članak 11. </w:t>
      </w:r>
      <w:r w:rsidRPr="00661250">
        <w:br/>
      </w:r>
      <w:r w:rsidRPr="00661250">
        <w:rPr>
          <w:i/>
        </w:rPr>
        <w:t>Izrada nacionalnih planova obnove</w:t>
      </w:r>
      <w:r w:rsidRPr="00661250">
        <w:rPr>
          <w:b/>
        </w:rPr>
        <w:t xml:space="preserve"> </w:t>
      </w:r>
    </w:p>
    <w:p w:rsidR="008D1BE3" w:rsidRPr="00661250" w:rsidRDefault="008D1BE3" w:rsidP="008D1BE3">
      <w:pPr>
        <w:widowControl/>
        <w:suppressAutoHyphens/>
        <w:spacing w:before="120" w:after="120" w:line="360" w:lineRule="auto"/>
        <w:ind w:left="567" w:right="-1" w:hanging="567"/>
        <w:rPr>
          <w:rFonts w:eastAsia="Calibri"/>
          <w:b/>
          <w:szCs w:val="22"/>
        </w:rPr>
      </w:pPr>
      <w:r w:rsidRPr="00661250">
        <w:t>1.</w:t>
      </w:r>
      <w:r w:rsidRPr="00661250">
        <w:tab/>
      </w:r>
      <w:r w:rsidR="000B625E" w:rsidRPr="00661250">
        <w:rPr>
          <w:szCs w:val="24"/>
          <w:lang w:eastAsia="en-US"/>
        </w:rPr>
        <w:t xml:space="preserve">Države članice izrađuju nacionalne planove obnove i provode potrebne aktivnosti pripremnog praćenja i istraživanja kako bi utvrdile mjere obnove koje su potrebne za </w:t>
      </w:r>
      <w:r w:rsidR="000B625E" w:rsidRPr="00661250">
        <w:rPr>
          <w:b/>
          <w:i/>
          <w:szCs w:val="24"/>
          <w:lang w:eastAsia="en-US"/>
        </w:rPr>
        <w:t>doprinošenje ciljevima Unije</w:t>
      </w:r>
      <w:r w:rsidR="000B625E" w:rsidRPr="00661250">
        <w:rPr>
          <w:szCs w:val="24"/>
          <w:lang w:eastAsia="en-US"/>
        </w:rPr>
        <w:t xml:space="preserve"> i</w:t>
      </w:r>
      <w:r w:rsidR="000B625E" w:rsidRPr="00661250">
        <w:rPr>
          <w:b/>
          <w:i/>
          <w:szCs w:val="24"/>
          <w:lang w:eastAsia="en-US"/>
        </w:rPr>
        <w:t xml:space="preserve"> ispunjavanje</w:t>
      </w:r>
      <w:r w:rsidR="000B625E" w:rsidRPr="00661250">
        <w:rPr>
          <w:szCs w:val="24"/>
          <w:lang w:eastAsia="en-US"/>
        </w:rPr>
        <w:t xml:space="preserve"> obveza utvrđenih u člancima od</w:t>
      </w:r>
      <w:r w:rsidR="000B625E" w:rsidRPr="00661250">
        <w:rPr>
          <w:b/>
          <w:i/>
          <w:szCs w:val="24"/>
          <w:lang w:eastAsia="en-US"/>
        </w:rPr>
        <w:t> </w:t>
      </w:r>
      <w:r w:rsidR="000B625E" w:rsidRPr="00661250">
        <w:rPr>
          <w:szCs w:val="24"/>
          <w:lang w:eastAsia="en-US"/>
        </w:rPr>
        <w:t>4. do 10., uzimajući pritom u obzir najnovije znanstvene dokaze</w:t>
      </w:r>
      <w:r w:rsidR="000B625E" w:rsidRPr="00661250">
        <w:rPr>
          <w:b/>
          <w:i/>
          <w:szCs w:val="24"/>
          <w:lang w:eastAsia="en-US"/>
        </w:rPr>
        <w:t>, potrebe lokalnih zajednica, uključujući gradske, najisplativije mjere i društveno-gospodarski učinak navedenih mjera.</w:t>
      </w:r>
      <w:r w:rsidR="000B625E" w:rsidRPr="00661250">
        <w:rPr>
          <w:szCs w:val="24"/>
          <w:lang w:eastAsia="en-US"/>
        </w:rPr>
        <w:t xml:space="preserve"> </w:t>
      </w:r>
      <w:r w:rsidR="000B625E" w:rsidRPr="00661250">
        <w:rPr>
          <w:b/>
          <w:i/>
          <w:szCs w:val="24"/>
          <w:lang w:eastAsia="en-US"/>
        </w:rPr>
        <w:t>Potrebno je odgovarajuće sudjelovanje dionika, uključujući vlasnike zemljišta i upravitelje zemljišta, u svakoj fazi postupka.</w:t>
      </w:r>
      <w:r w:rsidR="000B625E" w:rsidRPr="00661250">
        <w:rPr>
          <w:b/>
          <w:szCs w:val="24"/>
          <w:lang w:eastAsia="en-US"/>
        </w:rPr>
        <w:t xml:space="preserve"> [Am. 35]</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2.</w:t>
      </w:r>
      <w:r w:rsidRPr="00661250">
        <w:tab/>
        <w:t>Države članice kvantificiraju područje koje je potrebno obnoviti kako bi se ostvarili ciljevi obnove utvrđeni u člancima 4. i 5., uzimajući pritom u obzir stanje stanišnih tipova iz članka 4. stavaka 1. i 2. te članka 5. stavaka 1. i 2., kao i kvalitetu i količinu staništa vrsta iz članka 4. stavka 3. i članka 5. stavka 3.</w:t>
      </w:r>
      <w:r w:rsidRPr="00661250">
        <w:rPr>
          <w:rFonts w:ascii="Arial" w:hAnsi="Arial"/>
          <w:snapToGrid w:val="0"/>
        </w:rPr>
        <w:t>▌</w:t>
      </w:r>
      <w:r w:rsidRPr="00661250">
        <w:t>. Kvantifikacija se temelji, među ostalim, na sljedećim podacima:</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(a)</w:t>
      </w:r>
      <w:r w:rsidRPr="00661250">
        <w:tab/>
        <w:t>za svaki stanišni tip:</w:t>
      </w:r>
    </w:p>
    <w:p w:rsidR="008D1BE3" w:rsidRPr="00661250" w:rsidRDefault="008D1BE3" w:rsidP="008D1BE3">
      <w:pPr>
        <w:widowControl/>
        <w:suppressAutoHyphens/>
        <w:spacing w:before="120" w:after="120" w:line="360" w:lineRule="auto"/>
        <w:ind w:left="1701" w:right="-1" w:hanging="567"/>
        <w:rPr>
          <w:rFonts w:eastAsia="Calibri"/>
          <w:szCs w:val="22"/>
        </w:rPr>
      </w:pPr>
      <w:r w:rsidRPr="00661250">
        <w:t>i.</w:t>
      </w:r>
      <w:r w:rsidRPr="00661250">
        <w:tab/>
        <w:t>i. ukupnoj površini staništa i karti njegove rasprostranjenosti u tom trenutku;</w:t>
      </w:r>
    </w:p>
    <w:p w:rsidR="008D1BE3" w:rsidRPr="00661250" w:rsidRDefault="008D1BE3" w:rsidP="008D1BE3">
      <w:pPr>
        <w:widowControl/>
        <w:suppressAutoHyphens/>
        <w:spacing w:before="120" w:after="120" w:line="360" w:lineRule="auto"/>
        <w:ind w:left="1701" w:right="-1" w:hanging="567"/>
        <w:rPr>
          <w:rFonts w:eastAsia="Calibri"/>
          <w:szCs w:val="22"/>
        </w:rPr>
      </w:pPr>
      <w:r w:rsidRPr="00661250">
        <w:t>ii.</w:t>
      </w:r>
      <w:r w:rsidRPr="00661250">
        <w:tab/>
        <w:t>površini staništa koje nije u dobrom stanju;</w:t>
      </w:r>
    </w:p>
    <w:p w:rsidR="008D1BE3" w:rsidRPr="00661250" w:rsidRDefault="008D1BE3" w:rsidP="008D1BE3">
      <w:pPr>
        <w:widowControl/>
        <w:suppressAutoHyphens/>
        <w:spacing w:before="120" w:after="120" w:line="360" w:lineRule="auto"/>
        <w:ind w:left="1701" w:right="-1" w:hanging="567"/>
        <w:rPr>
          <w:rFonts w:eastAsia="Calibri"/>
          <w:szCs w:val="24"/>
        </w:rPr>
      </w:pPr>
      <w:r w:rsidRPr="00661250">
        <w:t>iii.</w:t>
      </w:r>
      <w:r w:rsidRPr="00661250">
        <w:tab/>
        <w:t xml:space="preserve">povoljnoj referentnoj površini, uzimajući u obzir </w:t>
      </w:r>
      <w:r w:rsidRPr="00661250">
        <w:rPr>
          <w:b/>
          <w:i/>
        </w:rPr>
        <w:t>zapise o povijesnoj rasprostranjenosti</w:t>
      </w:r>
      <w:r w:rsidRPr="00661250">
        <w:t xml:space="preserve"> i predviđene promjene okolišnih uvjeta zbog klimatskih promjena;</w:t>
      </w:r>
    </w:p>
    <w:p w:rsidR="008D1BE3" w:rsidRPr="00661250" w:rsidRDefault="006E7CF9" w:rsidP="008D1BE3">
      <w:pPr>
        <w:widowControl/>
        <w:suppressAutoHyphens/>
        <w:spacing w:before="120" w:after="120" w:line="360" w:lineRule="auto"/>
        <w:ind w:left="1701" w:right="-1" w:hanging="567"/>
        <w:rPr>
          <w:rFonts w:eastAsia="Calibri"/>
          <w:b/>
          <w:szCs w:val="24"/>
        </w:rPr>
      </w:pPr>
      <w:r w:rsidRPr="00661250">
        <w:rPr>
          <w:b/>
        </w:rPr>
        <w:t xml:space="preserve"> [Am. 37]</w:t>
      </w:r>
    </w:p>
    <w:p w:rsidR="008D1BE3" w:rsidRPr="00661250" w:rsidRDefault="008D1BE3" w:rsidP="008D1BE3">
      <w:pPr>
        <w:widowControl/>
        <w:suppressAutoHyphens/>
        <w:spacing w:before="120" w:after="120" w:line="360" w:lineRule="auto"/>
        <w:ind w:left="1134" w:right="-1" w:hanging="567"/>
        <w:rPr>
          <w:rFonts w:eastAsia="Calibri"/>
          <w:b/>
          <w:szCs w:val="22"/>
          <w:u w:val="single"/>
        </w:rPr>
      </w:pPr>
      <w:r w:rsidRPr="00661250">
        <w:br w:type="page"/>
      </w:r>
      <w:r w:rsidRPr="00661250">
        <w:lastRenderedPageBreak/>
        <w:t>(b)</w:t>
      </w:r>
      <w:r w:rsidRPr="00661250">
        <w:tab/>
      </w:r>
      <w:r w:rsidR="006E7CF9" w:rsidRPr="00661250">
        <w:rPr>
          <w:szCs w:val="24"/>
          <w:lang w:eastAsia="en-US"/>
        </w:rPr>
        <w:t xml:space="preserve">dostatnoj kvaliteti i količini staništa vrsta potrebnima kako bi se za njih postiglo povoljno stanje očuvanosti, uzimajući u obzir područja koja su najpogodnija za ponovnu uspostavu tih staništa, </w:t>
      </w:r>
      <w:r w:rsidR="006E7CF9" w:rsidRPr="00661250">
        <w:rPr>
          <w:b/>
          <w:i/>
          <w:szCs w:val="24"/>
          <w:lang w:eastAsia="en-US"/>
        </w:rPr>
        <w:t>imajući na umu promjene uzrokovane klimatskim promjenama i uloge zemljišta u pogledu opskrbe hranom</w:t>
      </w:r>
      <w:r w:rsidR="006E7CF9" w:rsidRPr="00661250">
        <w:rPr>
          <w:szCs w:val="24"/>
          <w:lang w:eastAsia="en-US"/>
        </w:rPr>
        <w:t xml:space="preserve"> i </w:t>
      </w:r>
      <w:r w:rsidR="006E7CF9" w:rsidRPr="00661250">
        <w:rPr>
          <w:b/>
          <w:i/>
          <w:szCs w:val="24"/>
          <w:lang w:eastAsia="en-US"/>
        </w:rPr>
        <w:t>produktivnosti hrane i suprotstavljene potrebe staništa i vrsta</w:t>
      </w:r>
      <w:r w:rsidR="006E7CF9" w:rsidRPr="00661250">
        <w:rPr>
          <w:szCs w:val="24"/>
          <w:lang w:eastAsia="en-US"/>
        </w:rPr>
        <w:t>.</w:t>
      </w:r>
      <w:r w:rsidR="006E7CF9" w:rsidRPr="00661250">
        <w:rPr>
          <w:b/>
          <w:szCs w:val="24"/>
          <w:lang w:eastAsia="en-US"/>
        </w:rPr>
        <w:t xml:space="preserve"> [Am. 38]</w:t>
      </w:r>
    </w:p>
    <w:p w:rsidR="00D845EF" w:rsidRDefault="008D1BE3" w:rsidP="008D1BE3">
      <w:pPr>
        <w:widowControl/>
        <w:suppressAutoHyphens/>
        <w:spacing w:before="120" w:after="120" w:line="360" w:lineRule="auto"/>
        <w:ind w:left="1134" w:right="-1" w:hanging="567"/>
        <w:rPr>
          <w:b/>
          <w:i/>
        </w:rPr>
      </w:pPr>
      <w:r w:rsidRPr="00661250">
        <w:rPr>
          <w:b/>
          <w:i/>
        </w:rPr>
        <w:t>(ba)</w:t>
      </w:r>
      <w:r w:rsidRPr="00661250">
        <w:rPr>
          <w:b/>
          <w:i/>
        </w:rPr>
        <w:tab/>
        <w:t xml:space="preserve">za potrebe kvantificiranja površine svakog stanišnog tipa koju je potrebno obnoviti kako bi se postigli ciljevi obnove utvrđeni u članku 4. stavku 1. točki (a) i članku 5. stavku 1. točki (a), površina staništa koje nije u dobrom stanju iz točke (a) podtočke ii. uključuje samo ona područja za koja je stanje poznato; </w:t>
      </w:r>
    </w:p>
    <w:p w:rsidR="008D1BE3" w:rsidRPr="00661250" w:rsidRDefault="008D1BE3" w:rsidP="008D1BE3">
      <w:pPr>
        <w:widowControl/>
        <w:suppressAutoHyphens/>
        <w:spacing w:before="120" w:after="120" w:line="360" w:lineRule="auto"/>
        <w:ind w:left="1134" w:right="-1" w:hanging="567"/>
        <w:rPr>
          <w:b/>
          <w:i/>
        </w:rPr>
      </w:pPr>
      <w:r w:rsidRPr="00661250">
        <w:rPr>
          <w:b/>
          <w:i/>
        </w:rPr>
        <w:t>(bb)</w:t>
      </w:r>
      <w:r w:rsidRPr="00661250">
        <w:rPr>
          <w:b/>
          <w:i/>
        </w:rPr>
        <w:tab/>
        <w:t>za potrebe kvantificiranja površine svakog stanišnog tipa koju je potrebno obnoviti kako bi se postigli ciljevi obnove utvrđeni u članku 4. stavku 1. točki (b) i članku 5. stavku 1. točkama (b), (c) i (d), površina staništa koje nije u dobrom stanju iz točke (a) podtočke ii. ovog stavka uključuje samo ona područja za koja je stanje poznato ili za koje stanje treba biti poznato na temelju članka 4. stavka 4.a i članka 5. stavka 4.a.</w:t>
      </w:r>
    </w:p>
    <w:p w:rsidR="007E03E9" w:rsidRPr="00661250" w:rsidRDefault="007E03E9" w:rsidP="007E03E9">
      <w:pPr>
        <w:widowControl/>
        <w:suppressAutoHyphens/>
        <w:spacing w:before="120" w:after="120" w:line="360" w:lineRule="auto"/>
        <w:ind w:left="1134" w:right="-1" w:hanging="567"/>
        <w:rPr>
          <w:rFonts w:eastAsia="Calibri"/>
          <w:b/>
          <w:szCs w:val="22"/>
        </w:rPr>
      </w:pPr>
      <w:r w:rsidRPr="00661250">
        <w:rPr>
          <w:b/>
          <w:i/>
          <w:szCs w:val="24"/>
          <w:lang w:eastAsia="en-US"/>
        </w:rPr>
        <w:t>(bc)</w:t>
      </w:r>
      <w:r w:rsidRPr="00661250">
        <w:rPr>
          <w:szCs w:val="24"/>
          <w:lang w:eastAsia="en-US"/>
        </w:rPr>
        <w:tab/>
      </w:r>
      <w:r w:rsidRPr="00661250">
        <w:rPr>
          <w:b/>
          <w:i/>
          <w:szCs w:val="24"/>
          <w:lang w:eastAsia="en-US"/>
        </w:rPr>
        <w:t>izvedivosti obnove i troškovnoj učinkovitosti te proturječnim socioekonomskim interesima;</w:t>
      </w:r>
      <w:r w:rsidRPr="00661250">
        <w:rPr>
          <w:b/>
          <w:szCs w:val="24"/>
          <w:lang w:eastAsia="en-US"/>
        </w:rPr>
        <w:t xml:space="preserve"> [Am. 39]</w:t>
      </w:r>
    </w:p>
    <w:p w:rsidR="007E03E9" w:rsidRPr="00661250" w:rsidRDefault="007E03E9" w:rsidP="008D1BE3">
      <w:pPr>
        <w:widowControl/>
        <w:suppressAutoHyphens/>
        <w:spacing w:before="120" w:after="120" w:line="360" w:lineRule="auto"/>
        <w:ind w:left="1134" w:right="-1" w:hanging="567"/>
        <w:rPr>
          <w:b/>
          <w:szCs w:val="24"/>
          <w:lang w:eastAsia="en-US"/>
        </w:rPr>
      </w:pPr>
      <w:r w:rsidRPr="00661250">
        <w:rPr>
          <w:b/>
          <w:i/>
          <w:szCs w:val="24"/>
          <w:lang w:eastAsia="en-US"/>
        </w:rPr>
        <w:t>(bd)</w:t>
      </w:r>
      <w:r w:rsidRPr="00661250">
        <w:rPr>
          <w:szCs w:val="24"/>
          <w:lang w:eastAsia="en-US"/>
        </w:rPr>
        <w:tab/>
      </w:r>
      <w:r w:rsidRPr="00661250">
        <w:rPr>
          <w:b/>
          <w:i/>
          <w:szCs w:val="24"/>
          <w:lang w:eastAsia="en-US"/>
        </w:rPr>
        <w:t>gustoći stanovništva i nedostatku prostora u državi članici;</w:t>
      </w:r>
      <w:r w:rsidR="00703CE5" w:rsidRPr="00661250">
        <w:rPr>
          <w:b/>
          <w:szCs w:val="24"/>
          <w:lang w:eastAsia="en-US"/>
        </w:rPr>
        <w:t xml:space="preserve"> [Am. 40]</w:t>
      </w:r>
    </w:p>
    <w:p w:rsidR="00410A60" w:rsidRPr="00661250" w:rsidRDefault="00410A60" w:rsidP="00661250">
      <w:pPr>
        <w:widowControl/>
        <w:suppressAutoHyphens/>
        <w:spacing w:before="120" w:after="120" w:line="360" w:lineRule="auto"/>
        <w:ind w:left="567" w:right="-1" w:hanging="567"/>
        <w:rPr>
          <w:rFonts w:eastAsia="Calibri"/>
          <w:b/>
          <w:i/>
          <w:szCs w:val="22"/>
        </w:rPr>
      </w:pPr>
      <w:r w:rsidRPr="00661250">
        <w:rPr>
          <w:rFonts w:eastAsia="Calibri"/>
          <w:b/>
          <w:i/>
          <w:szCs w:val="22"/>
        </w:rPr>
        <w:t>2.a</w:t>
      </w:r>
      <w:r w:rsidRPr="00661250">
        <w:rPr>
          <w:rFonts w:eastAsia="Calibri"/>
          <w:b/>
          <w:i/>
          <w:szCs w:val="22"/>
        </w:rPr>
        <w:tab/>
        <w:t>Financiranje manjka financijskih sredstava povezanih s provedbom ove Uredbe osigurava se bez korištenja financijskih sredstava iz ZPP-a, ZRP-a ili drugih izvora financiranja u poljoprivredi i ribarstvu.</w:t>
      </w:r>
      <w:r w:rsidRPr="00661250">
        <w:rPr>
          <w:b/>
          <w:szCs w:val="24"/>
          <w:lang w:eastAsia="en-US"/>
        </w:rPr>
        <w:t xml:space="preserve"> [Am. 134]</w:t>
      </w:r>
    </w:p>
    <w:p w:rsidR="008D1BE3" w:rsidRPr="00661250" w:rsidRDefault="008D1BE3" w:rsidP="008D1BE3">
      <w:pPr>
        <w:widowControl/>
        <w:suppressAutoHyphens/>
        <w:spacing w:before="120" w:after="120" w:line="360" w:lineRule="auto"/>
        <w:ind w:left="567" w:right="-1" w:hanging="567"/>
        <w:rPr>
          <w:rFonts w:eastAsia="Calibri"/>
          <w:b/>
          <w:i/>
          <w:szCs w:val="22"/>
        </w:rPr>
      </w:pPr>
      <w:r w:rsidRPr="00661250">
        <w:rPr>
          <w:b/>
          <w:i/>
        </w:rPr>
        <w:t>2.</w:t>
      </w:r>
      <w:r w:rsidR="00410A60" w:rsidRPr="00661250">
        <w:rPr>
          <w:b/>
          <w:i/>
        </w:rPr>
        <w:t>b</w:t>
      </w:r>
      <w:r w:rsidRPr="00661250">
        <w:rPr>
          <w:b/>
          <w:i/>
        </w:rPr>
        <w:tab/>
        <w:t xml:space="preserve">U pogledu skupine 7 stanišnih tipova navedenih u Prilogu II., države članice određuju postotak iz članka 5. stavka 1. točke (d). </w:t>
      </w:r>
    </w:p>
    <w:p w:rsidR="008D1BE3" w:rsidRPr="00661250" w:rsidRDefault="008D1BE3" w:rsidP="008D1BE3">
      <w:pPr>
        <w:widowControl/>
        <w:suppressAutoHyphens/>
        <w:spacing w:before="120" w:after="120" w:line="360" w:lineRule="auto"/>
        <w:ind w:left="567" w:right="-1" w:hanging="567"/>
        <w:rPr>
          <w:rFonts w:eastAsia="Calibri"/>
          <w:b/>
          <w:szCs w:val="22"/>
          <w:u w:val="single"/>
          <w:lang w:eastAsia="en-US"/>
        </w:rPr>
      </w:pPr>
    </w:p>
    <w:p w:rsidR="008D1BE3" w:rsidRPr="00661250" w:rsidRDefault="008D1BE3" w:rsidP="008D1BE3">
      <w:pPr>
        <w:widowControl/>
        <w:suppressAutoHyphens/>
        <w:spacing w:before="120" w:after="120" w:line="360" w:lineRule="auto"/>
        <w:ind w:left="567" w:right="-1" w:hanging="567"/>
        <w:rPr>
          <w:rFonts w:eastAsia="Calibri"/>
          <w:b/>
          <w:i/>
          <w:szCs w:val="22"/>
        </w:rPr>
      </w:pPr>
      <w:r w:rsidRPr="00661250">
        <w:br w:type="page"/>
      </w:r>
      <w:r w:rsidRPr="00661250">
        <w:rPr>
          <w:b/>
          <w:i/>
        </w:rPr>
        <w:lastRenderedPageBreak/>
        <w:t>2.</w:t>
      </w:r>
      <w:r w:rsidR="00410A60" w:rsidRPr="00661250">
        <w:rPr>
          <w:b/>
          <w:i/>
        </w:rPr>
        <w:t>c</w:t>
      </w:r>
      <w:r w:rsidRPr="00661250">
        <w:rPr>
          <w:b/>
          <w:i/>
        </w:rPr>
        <w:tab/>
        <w:t>Države članice utvrđuju područja urbanih ekosustava iz članka 6. i izrađuju karte tih područja za sve svoje gradove i manje gradove i predgrađa.</w:t>
      </w:r>
    </w:p>
    <w:p w:rsidR="008D1BE3" w:rsidRPr="00661250" w:rsidRDefault="008D1BE3" w:rsidP="008D1BE3">
      <w:pPr>
        <w:widowControl/>
        <w:suppressAutoHyphens/>
        <w:spacing w:before="120" w:after="120" w:line="360" w:lineRule="auto"/>
        <w:ind w:left="567" w:right="-1"/>
        <w:rPr>
          <w:rFonts w:eastAsia="Calibri"/>
          <w:b/>
          <w:i/>
          <w:szCs w:val="22"/>
        </w:rPr>
      </w:pPr>
      <w:r w:rsidRPr="00661250">
        <w:rPr>
          <w:b/>
          <w:i/>
        </w:rPr>
        <w:t>Područje urbanog ekosustava grada ili manjeg grada i predgrađa uključuje:</w:t>
      </w:r>
    </w:p>
    <w:p w:rsidR="008D1BE3" w:rsidRPr="00661250" w:rsidRDefault="008D1BE3" w:rsidP="008D1BE3">
      <w:pPr>
        <w:widowControl/>
        <w:suppressAutoHyphens/>
        <w:spacing w:before="120" w:after="120" w:line="360" w:lineRule="auto"/>
        <w:ind w:left="1134" w:right="-1" w:hanging="567"/>
        <w:rPr>
          <w:rFonts w:eastAsia="Calibri"/>
          <w:b/>
          <w:i/>
          <w:szCs w:val="22"/>
        </w:rPr>
      </w:pPr>
      <w:r w:rsidRPr="00661250">
        <w:rPr>
          <w:b/>
          <w:i/>
        </w:rPr>
        <w:t>(a)</w:t>
      </w:r>
      <w:r w:rsidRPr="00661250">
        <w:rPr>
          <w:b/>
          <w:i/>
        </w:rPr>
        <w:tab/>
        <w:t>cijeli grad ili manji grad i predgrađe; ili</w:t>
      </w:r>
    </w:p>
    <w:p w:rsidR="008D1BE3" w:rsidRPr="00661250" w:rsidRDefault="008D1BE3" w:rsidP="008D1BE3">
      <w:pPr>
        <w:widowControl/>
        <w:suppressAutoHyphens/>
        <w:spacing w:before="120" w:after="120" w:line="360" w:lineRule="auto"/>
        <w:ind w:left="1134" w:right="-1" w:hanging="567"/>
        <w:rPr>
          <w:rFonts w:eastAsia="Calibri"/>
          <w:b/>
          <w:i/>
          <w:szCs w:val="22"/>
        </w:rPr>
      </w:pPr>
      <w:r w:rsidRPr="00661250">
        <w:rPr>
          <w:b/>
          <w:i/>
        </w:rPr>
        <w:t>(b)</w:t>
      </w:r>
      <w:r w:rsidRPr="00661250">
        <w:rPr>
          <w:b/>
          <w:i/>
        </w:rPr>
        <w:tab/>
        <w:t>dijelove grada ili manjeg grada i predgrađa, uključujući barem njezina urbana središta, urbane klastere i, ako to dotična država članica smatra primjerenim, prigradska područja.</w:t>
      </w:r>
    </w:p>
    <w:p w:rsidR="008D1BE3" w:rsidRPr="00661250" w:rsidRDefault="008D1BE3" w:rsidP="008D1BE3">
      <w:pPr>
        <w:widowControl/>
        <w:suppressAutoHyphens/>
        <w:spacing w:before="120" w:after="120" w:line="360" w:lineRule="auto"/>
        <w:ind w:left="567"/>
        <w:rPr>
          <w:rFonts w:eastAsia="Calibri"/>
          <w:i/>
          <w:szCs w:val="22"/>
        </w:rPr>
      </w:pPr>
      <w:r w:rsidRPr="00661250">
        <w:rPr>
          <w:b/>
          <w:i/>
        </w:rPr>
        <w:t>Države članice mogu objediniti područja urbanog ekosustava dvaju ili više susjednih gradova i/ili manjih gradova i predgrađa u jedno područje urbanog ekosustava koje je zajedničko tim gradovima i/ili manjim gradovima i predgrađima.</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3.</w:t>
      </w:r>
      <w:r w:rsidRPr="00661250">
        <w:tab/>
        <w:t>Države članice najkasnije do 2030. utvrđuju zadovoljavajuće razine za svaki od pokazatelja iz članka 8. stavka 1., članka 9. stavka 2. i članka 10. stavka 2.</w:t>
      </w:r>
      <w:r w:rsidRPr="00661250">
        <w:rPr>
          <w:b/>
          <w:i/>
        </w:rPr>
        <w:t>, za svaki od odabranih pokazatelja iz članka 10. stavka 2.a i za gradsku zelenu površinu iz članka 6. stavka 2. te za prekrivenost gradova krošnjama stabala iz članka 6. stavka 3.,</w:t>
      </w:r>
      <w:r w:rsidRPr="00661250">
        <w:t xml:space="preserve"> </w:t>
      </w:r>
      <w:bookmarkStart w:id="62" w:name="_Hlk132370883"/>
      <w:r w:rsidRPr="00661250">
        <w:t>putem otvorenog i djelotvornog postupka i procjene, na temelju najnovijih znanstvenih dokaza,</w:t>
      </w:r>
      <w:bookmarkEnd w:id="62"/>
      <w:r w:rsidRPr="00661250">
        <w:t xml:space="preserve"> </w:t>
      </w:r>
      <w:r w:rsidRPr="00661250">
        <w:rPr>
          <w:rFonts w:ascii="Arial" w:hAnsi="Arial"/>
          <w:snapToGrid w:val="0"/>
        </w:rPr>
        <w:t>▌</w:t>
      </w:r>
      <w:r w:rsidRPr="00661250">
        <w:rPr>
          <w:b/>
          <w:i/>
        </w:rPr>
        <w:t>orijentacijskog</w:t>
      </w:r>
      <w:r w:rsidRPr="00661250">
        <w:t xml:space="preserve"> okvira iz članka 17. stavka </w:t>
      </w:r>
      <w:r w:rsidRPr="00661250">
        <w:rPr>
          <w:b/>
          <w:i/>
        </w:rPr>
        <w:t>9.a</w:t>
      </w:r>
      <w:r w:rsidRPr="00661250">
        <w:rPr>
          <w:b/>
          <w:i/>
          <w:color w:val="000000"/>
        </w:rPr>
        <w:t xml:space="preserve"> te, ako je dostupan, orijentacijskog okvira iz članka 17. stavka 9.</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4.</w:t>
      </w:r>
      <w:r w:rsidRPr="00661250">
        <w:tab/>
        <w:t>Države članice utvrđuju i izrađuju karte poljoprivrednih i šumskih područja koja je potrebno obnoviti, posebno područja na kojima je zbog intenzifikacije ili drugih čimbenika povezanih s gospodarenjem potrebna bolja povezanost i krajobrazna raznolikost.</w:t>
      </w:r>
    </w:p>
    <w:p w:rsidR="008D1BE3" w:rsidRPr="00661250" w:rsidRDefault="008D1BE3" w:rsidP="008D1BE3">
      <w:pPr>
        <w:widowControl/>
        <w:suppressAutoHyphens/>
        <w:spacing w:before="120" w:after="120" w:line="360" w:lineRule="auto"/>
        <w:ind w:left="567" w:right="-1" w:hanging="567"/>
        <w:rPr>
          <w:rFonts w:eastAsia="Calibri"/>
          <w:b/>
          <w:i/>
          <w:szCs w:val="22"/>
        </w:rPr>
      </w:pPr>
      <w:bookmarkStart w:id="63" w:name="_Hlk133570615"/>
      <w:r w:rsidRPr="00661250">
        <w:br w:type="page"/>
      </w:r>
      <w:r w:rsidRPr="00661250">
        <w:rPr>
          <w:b/>
          <w:i/>
        </w:rPr>
        <w:lastRenderedPageBreak/>
        <w:t>4.a</w:t>
      </w:r>
      <w:r w:rsidRPr="00661250">
        <w:rPr>
          <w:b/>
          <w:i/>
        </w:rPr>
        <w:tab/>
        <w:t>Države članice mogu u roku od godine dana od stupanja na snagu ove Uredbe razviti metodologiju za dopunu metodologije iz Priloga IV. kako bi pratile obilježja krajobraza velike raznolikosti koja nisu obuhvaćena zajedničkom metodom iz opisa obilježja krajobraza velike raznolikosti u tom prilogu. Komisija pruža smjernice o okviru za razvoj takve metodologije u roku od mjesec dana od stupanja na snagu ove Uredbe.</w:t>
      </w:r>
    </w:p>
    <w:bookmarkEnd w:id="63"/>
    <w:p w:rsidR="008D1BE3" w:rsidRPr="00661250" w:rsidRDefault="008D1BE3" w:rsidP="008D1BE3">
      <w:pPr>
        <w:widowControl/>
        <w:suppressAutoHyphens/>
        <w:spacing w:before="120" w:after="120" w:line="360" w:lineRule="auto"/>
        <w:ind w:left="567" w:right="-1" w:hanging="567"/>
        <w:rPr>
          <w:rFonts w:eastAsia="Calibri"/>
          <w:b/>
          <w:i/>
          <w:szCs w:val="22"/>
        </w:rPr>
      </w:pPr>
      <w:r w:rsidRPr="00661250">
        <w:rPr>
          <w:b/>
          <w:i/>
        </w:rPr>
        <w:t xml:space="preserve">4.b </w:t>
      </w:r>
      <w:r w:rsidRPr="00661250">
        <w:rPr>
          <w:b/>
          <w:i/>
        </w:rPr>
        <w:tab/>
        <w:t xml:space="preserve">Države članice, prema potrebi, određuju smanjenje opsega ponovnog natapanja tresetišta kako je navedeno u članku 9. stavku 4. petom podstavku. </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5.</w:t>
      </w:r>
      <w:r w:rsidRPr="00661250">
        <w:tab/>
        <w:t xml:space="preserve">Države članice utvrđuju sinergiju s ublažavanjem klimatskih promjena, prilagodbom tim promjenama, </w:t>
      </w:r>
      <w:r w:rsidRPr="00661250">
        <w:rPr>
          <w:b/>
          <w:i/>
        </w:rPr>
        <w:t>neutralnosti degradacije zemljišta</w:t>
      </w:r>
      <w:r w:rsidRPr="00661250">
        <w:t xml:space="preserve"> i sprečavanjem katastrofa te u skladu s tim određuju prioritetne mjere obnove. Države članice u obzir uzimaju i sljedeće:</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(a)</w:t>
      </w:r>
      <w:r w:rsidRPr="00661250">
        <w:tab/>
        <w:t>svoje integrirane nacionalne energetske i klimatske planove iz članka 3. Uredbe (EU) 2018/1999;</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(b)</w:t>
      </w:r>
      <w:r w:rsidRPr="00661250">
        <w:tab/>
        <w:t>svoju dugoročnu strategiju iz članka 15. Uredbe (EU) 2018/1999;</w:t>
      </w:r>
    </w:p>
    <w:p w:rsidR="008D1BE3" w:rsidRPr="00661250" w:rsidRDefault="008D1BE3" w:rsidP="008D1BE3">
      <w:pPr>
        <w:widowControl/>
        <w:suppressAutoHyphens/>
        <w:spacing w:before="120" w:after="120" w:line="360" w:lineRule="auto"/>
        <w:ind w:left="1134" w:right="-1" w:hanging="567"/>
        <w:rPr>
          <w:rFonts w:eastAsia="Calibri"/>
          <w:b/>
          <w:szCs w:val="22"/>
          <w:u w:val="single"/>
        </w:rPr>
      </w:pPr>
      <w:r w:rsidRPr="00661250">
        <w:t>(c)</w:t>
      </w:r>
      <w:r w:rsidRPr="00661250">
        <w:tab/>
        <w:t>obvezujući cilj Unije za 2030. utvrđen u članku 3. Direktive 2018/2001/EU Europskog parlamenta i Vijeća</w:t>
      </w:r>
      <w:bookmarkStart w:id="64" w:name="_Hlk129957164"/>
      <w:r w:rsidRPr="00661250">
        <w:t>.</w:t>
      </w:r>
      <w:bookmarkEnd w:id="64"/>
    </w:p>
    <w:p w:rsidR="008D1BE3" w:rsidRPr="00661250" w:rsidRDefault="008D1BE3" w:rsidP="008D1BE3">
      <w:pPr>
        <w:widowControl/>
        <w:suppressAutoHyphens/>
        <w:spacing w:before="120" w:after="120" w:line="360" w:lineRule="auto"/>
        <w:ind w:left="567" w:right="-1" w:hanging="567"/>
        <w:rPr>
          <w:rFonts w:eastAsia="Calibri"/>
          <w:color w:val="000000"/>
          <w:szCs w:val="22"/>
          <w:u w:val="single"/>
        </w:rPr>
      </w:pPr>
      <w:r w:rsidRPr="00661250">
        <w:t>6.</w:t>
      </w:r>
      <w:r w:rsidRPr="00661250">
        <w:tab/>
      </w:r>
      <w:r w:rsidRPr="00661250">
        <w:rPr>
          <w:shd w:val="clear" w:color="auto" w:fill="FFFFFF"/>
        </w:rPr>
        <w:t>Države članice usklađuju razvoj nacionalnih planova obnove</w:t>
      </w:r>
      <w:r w:rsidRPr="00661250">
        <w:rPr>
          <w:b/>
          <w:i/>
          <w:shd w:val="clear" w:color="auto" w:fill="FFFFFF"/>
        </w:rPr>
        <w:t xml:space="preserve"> s izradom karata područja koja su potrebna kako bi se ostvarili barem njihovi nacionalni doprinosi cilju za energiju iz obnovljivih izvora do 2030. kao i, prema potrebi,</w:t>
      </w:r>
      <w:r w:rsidRPr="00661250">
        <w:rPr>
          <w:shd w:val="clear" w:color="auto" w:fill="FFFFFF"/>
        </w:rPr>
        <w:t xml:space="preserve"> </w:t>
      </w:r>
      <w:r w:rsidRPr="00661250">
        <w:rPr>
          <w:b/>
          <w:bCs/>
          <w:i/>
          <w:iCs/>
          <w:shd w:val="clear" w:color="auto" w:fill="FFFFFF"/>
        </w:rPr>
        <w:t>s određivanjem</w:t>
      </w:r>
      <w:r w:rsidRPr="00661250">
        <w:rPr>
          <w:shd w:val="clear" w:color="auto" w:fill="FFFFFF"/>
        </w:rPr>
        <w:t xml:space="preserve"> područja </w:t>
      </w:r>
      <w:r w:rsidRPr="00661250">
        <w:rPr>
          <w:b/>
          <w:bCs/>
          <w:i/>
          <w:iCs/>
          <w:shd w:val="clear" w:color="auto" w:fill="FFFFFF"/>
        </w:rPr>
        <w:t>ubrzane proizvodnje</w:t>
      </w:r>
      <w:r w:rsidRPr="00661250">
        <w:rPr>
          <w:shd w:val="clear" w:color="auto" w:fill="FFFFFF"/>
        </w:rPr>
        <w:t xml:space="preserve"> energije iz obnovljivih izvora</w:t>
      </w:r>
      <w:r w:rsidRPr="00661250">
        <w:rPr>
          <w:b/>
          <w:i/>
          <w:shd w:val="clear" w:color="auto" w:fill="FFFFFF"/>
        </w:rPr>
        <w:t xml:space="preserve"> i namjenskih infrastrukturnih područja</w:t>
      </w:r>
      <w:r w:rsidRPr="00661250">
        <w:rPr>
          <w:shd w:val="clear" w:color="auto" w:fill="FFFFFF"/>
        </w:rPr>
        <w:t xml:space="preserve">. Tijekom izrade planova za obnovu prirode države članice osiguravaju sinergiju s </w:t>
      </w:r>
      <w:r w:rsidRPr="00661250">
        <w:rPr>
          <w:b/>
          <w:i/>
          <w:shd w:val="clear" w:color="auto" w:fill="FFFFFF"/>
        </w:rPr>
        <w:t>izgradnjom infrastrukture za energiju</w:t>
      </w:r>
      <w:r w:rsidRPr="00661250">
        <w:rPr>
          <w:shd w:val="clear" w:color="auto" w:fill="FFFFFF"/>
        </w:rPr>
        <w:t xml:space="preserve"> iz obnovljivih izvora </w:t>
      </w:r>
      <w:r w:rsidRPr="00661250">
        <w:rPr>
          <w:b/>
          <w:i/>
          <w:shd w:val="clear" w:color="auto" w:fill="FFFFFF"/>
        </w:rPr>
        <w:t>i energetske infrastrukture</w:t>
      </w:r>
      <w:r w:rsidRPr="00661250">
        <w:rPr>
          <w:shd w:val="clear" w:color="auto" w:fill="FFFFFF"/>
        </w:rPr>
        <w:t xml:space="preserve"> te s već određenim područjima </w:t>
      </w:r>
      <w:r w:rsidRPr="00661250">
        <w:rPr>
          <w:b/>
          <w:i/>
          <w:shd w:val="clear" w:color="auto" w:fill="FFFFFF"/>
        </w:rPr>
        <w:t>ubrzane proizvodnje energije iz obnovljivih izvora i namjenskim infrastrukturnim područjima</w:t>
      </w:r>
      <w:r w:rsidRPr="00661250">
        <w:t xml:space="preserve">, te osiguravaju da </w:t>
      </w:r>
      <w:r w:rsidRPr="00661250">
        <w:rPr>
          <w:rFonts w:ascii="Arial" w:hAnsi="Arial"/>
          <w:snapToGrid w:val="0"/>
        </w:rPr>
        <w:t>▌</w:t>
      </w:r>
      <w:r w:rsidRPr="00661250">
        <w:rPr>
          <w:shd w:val="clear" w:color="auto" w:fill="FFFFFF"/>
        </w:rPr>
        <w:t xml:space="preserve">funkcioniranje </w:t>
      </w:r>
      <w:r w:rsidRPr="00661250">
        <w:rPr>
          <w:b/>
          <w:i/>
          <w:shd w:val="clear" w:color="auto" w:fill="FFFFFF"/>
        </w:rPr>
        <w:t>tih</w:t>
      </w:r>
      <w:r w:rsidRPr="00661250">
        <w:rPr>
          <w:shd w:val="clear" w:color="auto" w:fill="FFFFFF"/>
        </w:rPr>
        <w:t xml:space="preserve"> područja za proizvodnju energije iz obnovljivih izvora</w:t>
      </w:r>
      <w:r w:rsidRPr="00661250">
        <w:t xml:space="preserve"> </w:t>
      </w:r>
      <w:r w:rsidRPr="00661250">
        <w:rPr>
          <w:rFonts w:ascii="Arial" w:hAnsi="Arial"/>
          <w:snapToGrid w:val="0"/>
        </w:rPr>
        <w:t>▌</w:t>
      </w:r>
      <w:r w:rsidRPr="00661250">
        <w:t>kako su predviđeni Direktivom (EU) 2018/2001</w:t>
      </w:r>
      <w:r w:rsidRPr="00661250">
        <w:rPr>
          <w:b/>
          <w:i/>
        </w:rPr>
        <w:t>,</w:t>
      </w:r>
      <w:r w:rsidRPr="00661250">
        <w:t xml:space="preserve"> </w:t>
      </w:r>
      <w:r w:rsidRPr="00661250">
        <w:rPr>
          <w:b/>
          <w:i/>
        </w:rPr>
        <w:t>kao i funkcioniranje projekata povezanih s mrežom koji su potrebni za integraciju energije iz obnovljivih izvora u elektroenergetski sustav i odgovarajućih postupaka izdavanja dozvola,</w:t>
      </w:r>
      <w:r w:rsidRPr="00661250">
        <w:t xml:space="preserve"> </w:t>
      </w:r>
      <w:r w:rsidRPr="00661250">
        <w:rPr>
          <w:shd w:val="clear" w:color="auto" w:fill="FFFFFF"/>
        </w:rPr>
        <w:t>ostane nepromijenjeno</w:t>
      </w:r>
      <w:r w:rsidRPr="00661250">
        <w:t>.</w:t>
      </w:r>
      <w:r w:rsidRPr="00661250">
        <w:rPr>
          <w:shd w:val="clear" w:color="auto" w:fill="FFFFFF"/>
        </w:rPr>
        <w:t xml:space="preserve"> </w:t>
      </w:r>
    </w:p>
    <w:p w:rsidR="008D1BE3" w:rsidRPr="00661250" w:rsidRDefault="008D1BE3" w:rsidP="008D1BE3">
      <w:pPr>
        <w:widowControl/>
        <w:suppressAutoHyphens/>
        <w:spacing w:before="120" w:after="120" w:line="360" w:lineRule="auto"/>
        <w:ind w:left="567" w:right="-1" w:hanging="567"/>
        <w:rPr>
          <w:rFonts w:eastAsia="Calibri"/>
          <w:color w:val="000000"/>
          <w:szCs w:val="22"/>
          <w:u w:val="single"/>
          <w:lang w:eastAsia="en-US"/>
        </w:rPr>
      </w:pPr>
    </w:p>
    <w:p w:rsidR="008D1BE3" w:rsidRPr="00661250" w:rsidRDefault="008D1BE3" w:rsidP="008D1BE3">
      <w:pPr>
        <w:widowControl/>
        <w:suppressAutoHyphens/>
        <w:spacing w:before="120" w:after="120" w:line="360" w:lineRule="auto"/>
        <w:ind w:left="567" w:right="-1" w:hanging="567"/>
        <w:rPr>
          <w:rFonts w:eastAsia="Calibri"/>
          <w:szCs w:val="22"/>
        </w:rPr>
      </w:pPr>
      <w:r w:rsidRPr="00661250">
        <w:br w:type="page"/>
      </w:r>
      <w:r w:rsidRPr="00661250">
        <w:lastRenderedPageBreak/>
        <w:t>7.</w:t>
      </w:r>
      <w:r w:rsidRPr="00661250">
        <w:tab/>
        <w:t xml:space="preserve">Pri izradi svojih nacionalnih planova obnove države članice u obzir uzimaju </w:t>
      </w:r>
      <w:r w:rsidRPr="00661250">
        <w:rPr>
          <w:b/>
        </w:rPr>
        <w:t>posebno</w:t>
      </w:r>
      <w:r w:rsidRPr="00661250">
        <w:t xml:space="preserve"> sljedeće:</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(a)</w:t>
      </w:r>
      <w:r w:rsidRPr="00661250">
        <w:tab/>
        <w:t>mjere očuvanja utvrđene za područja mreže Natura 2000 u skladu s Direktivom 92/43/EEZ;</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(b)</w:t>
      </w:r>
      <w:r w:rsidRPr="00661250">
        <w:tab/>
        <w:t>prioritetne akcijske okvire razvijene u skladu s Direktivom 92/43/EEZ;</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(c)</w:t>
      </w:r>
      <w:r w:rsidRPr="00661250">
        <w:tab/>
      </w:r>
      <w:bookmarkStart w:id="65" w:name="_Hlk127344364"/>
      <w:bookmarkStart w:id="66" w:name="_Hlk127347856"/>
      <w:r w:rsidRPr="00661250">
        <w:t xml:space="preserve">mjere za postizanje dobrog </w:t>
      </w:r>
      <w:r w:rsidRPr="00661250">
        <w:rPr>
          <w:b/>
          <w:i/>
        </w:rPr>
        <w:t>količinskog,</w:t>
      </w:r>
      <w:r w:rsidRPr="00661250">
        <w:t xml:space="preserve"> ekološkog i kemijskog stanja vodnih tijela uključene u </w:t>
      </w:r>
      <w:r w:rsidRPr="00661250">
        <w:rPr>
          <w:b/>
          <w:i/>
        </w:rPr>
        <w:t>programe mjera i</w:t>
      </w:r>
      <w:r w:rsidRPr="00661250">
        <w:t xml:space="preserve"> </w:t>
      </w:r>
      <w:bookmarkStart w:id="67" w:name="_Hlk129948351"/>
      <w:r w:rsidRPr="00661250">
        <w:t>planove upravljanja riječnim slivovima</w:t>
      </w:r>
      <w:bookmarkEnd w:id="67"/>
      <w:r w:rsidRPr="00661250">
        <w:t xml:space="preserve"> izr</w:t>
      </w:r>
      <w:r w:rsidR="00F53FDE">
        <w:t>ađene u skladu s Direktivom 200</w:t>
      </w:r>
      <w:r w:rsidR="00CB3BCF">
        <w:t>0</w:t>
      </w:r>
      <w:r w:rsidRPr="00661250">
        <w:t>/60/EZ</w:t>
      </w:r>
      <w:bookmarkEnd w:id="65"/>
      <w:bookmarkEnd w:id="66"/>
      <w:r w:rsidRPr="00661250">
        <w:t xml:space="preserve"> </w:t>
      </w:r>
      <w:r w:rsidRPr="00661250">
        <w:rPr>
          <w:b/>
          <w:i/>
        </w:rPr>
        <w:t>te planove upravljanja rizicima od poplave uspostav</w:t>
      </w:r>
      <w:r w:rsidR="00CB3BCF">
        <w:rPr>
          <w:b/>
          <w:i/>
        </w:rPr>
        <w:t>ljene u skladu s Direktivom 2000</w:t>
      </w:r>
      <w:r w:rsidRPr="00661250">
        <w:rPr>
          <w:b/>
          <w:i/>
        </w:rPr>
        <w:t>/60/EZ</w:t>
      </w:r>
      <w:r w:rsidRPr="00661250">
        <w:t>;</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(d)</w:t>
      </w:r>
      <w:r w:rsidRPr="00661250">
        <w:tab/>
      </w:r>
      <w:r w:rsidRPr="00661250">
        <w:rPr>
          <w:b/>
          <w:i/>
        </w:rPr>
        <w:t xml:space="preserve">ako je primjenjivo, </w:t>
      </w:r>
      <w:r w:rsidRPr="00661250">
        <w:t>morske strategije za postizanje dobrog stanja okoliša u svim morskim regijama u Uniji razvijene u skladu s Direktivom 2008/56/EZ;</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(e)</w:t>
      </w:r>
      <w:r w:rsidRPr="00661250">
        <w:tab/>
        <w:t>nacionalne programe kontrole onečišćenja zraka razvijene u skladu s Direktivom (EU) 2016/2284,</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(f)</w:t>
      </w:r>
      <w:r w:rsidRPr="00661250">
        <w:tab/>
        <w:t>nacionalne strategije i akcijske planove za bioraznolikost razvijene u skladu s člankom 6. Konvencije o biološkoj raznolikosti;</w:t>
      </w:r>
    </w:p>
    <w:p w:rsidR="008D1BE3" w:rsidRPr="00661250" w:rsidRDefault="008D1BE3" w:rsidP="008D1BE3">
      <w:pPr>
        <w:widowControl/>
        <w:suppressAutoHyphens/>
        <w:spacing w:before="120" w:after="120" w:line="360" w:lineRule="auto"/>
        <w:ind w:left="1134" w:right="-1" w:hanging="567"/>
        <w:rPr>
          <w:rFonts w:eastAsia="Calibri"/>
          <w:b/>
          <w:i/>
          <w:szCs w:val="22"/>
        </w:rPr>
      </w:pPr>
      <w:r w:rsidRPr="00661250">
        <w:t>(g)</w:t>
      </w:r>
      <w:r w:rsidRPr="00661250">
        <w:tab/>
      </w:r>
      <w:r w:rsidRPr="00661250">
        <w:rPr>
          <w:b/>
          <w:i/>
        </w:rPr>
        <w:t>ako je primjenjivo,</w:t>
      </w:r>
      <w:r w:rsidRPr="00661250">
        <w:t xml:space="preserve"> mjere očuvanja </w:t>
      </w:r>
      <w:r w:rsidRPr="00661250">
        <w:rPr>
          <w:b/>
          <w:i/>
        </w:rPr>
        <w:t>i upravljanja</w:t>
      </w:r>
      <w:r w:rsidRPr="00661250">
        <w:t xml:space="preserve"> donesene u okviru zajedničke ribarstvene politike;</w:t>
      </w:r>
    </w:p>
    <w:p w:rsidR="008D1BE3" w:rsidRPr="00661250" w:rsidRDefault="008D1BE3" w:rsidP="008D1BE3">
      <w:pPr>
        <w:widowControl/>
        <w:suppressAutoHyphens/>
        <w:spacing w:before="120" w:after="120" w:line="360" w:lineRule="auto"/>
        <w:ind w:left="1134" w:right="-1" w:hanging="567"/>
        <w:rPr>
          <w:rFonts w:eastAsia="Calibri"/>
          <w:b/>
          <w:i/>
          <w:szCs w:val="24"/>
        </w:rPr>
      </w:pPr>
      <w:r w:rsidRPr="00661250">
        <w:rPr>
          <w:b/>
          <w:i/>
        </w:rPr>
        <w:t>(h)</w:t>
      </w:r>
      <w:r w:rsidRPr="00661250">
        <w:rPr>
          <w:b/>
          <w:i/>
        </w:rPr>
        <w:tab/>
        <w:t>strateške planove u okviru ZPP-a izrađene u skladu s Uredbom (EU) 2021/2115.</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8.</w:t>
      </w:r>
      <w:r w:rsidRPr="00661250">
        <w:tab/>
        <w:t xml:space="preserve">Pri izradi nacionalnih planova obnove države članice </w:t>
      </w:r>
      <w:r w:rsidRPr="00661250">
        <w:rPr>
          <w:b/>
          <w:i/>
        </w:rPr>
        <w:t>mogu se služiti</w:t>
      </w:r>
      <w:r w:rsidRPr="00661250">
        <w:t xml:space="preserve"> različitim primjerima mjera obnove koji su navedeni u Prilogu VII., ovisno o posebnim nacionalnim i lokalnim uvjetima, i najnovijim znanstvenim dokazima.</w:t>
      </w:r>
    </w:p>
    <w:p w:rsidR="008D1BE3" w:rsidRPr="00661250" w:rsidRDefault="008D1BE3" w:rsidP="008D1BE3">
      <w:pPr>
        <w:widowControl/>
        <w:suppressAutoHyphens/>
        <w:spacing w:before="120" w:after="120" w:line="360" w:lineRule="auto"/>
        <w:ind w:left="567" w:right="-1" w:hanging="567"/>
        <w:rPr>
          <w:rFonts w:eastAsia="Calibri"/>
          <w:szCs w:val="22"/>
        </w:rPr>
      </w:pPr>
      <w:bookmarkStart w:id="68" w:name="_Hlk135687517"/>
      <w:r w:rsidRPr="00661250">
        <w:br w:type="page"/>
      </w:r>
      <w:r w:rsidRPr="00661250">
        <w:lastRenderedPageBreak/>
        <w:t>9.</w:t>
      </w:r>
      <w:r w:rsidRPr="00661250">
        <w:tab/>
        <w:t>Prilikom pripreme nacionalnih planova obnove države članice nastoje optimirati ekološke, gospodarske i socijalne funkcije ekosustava, kao i njihov doprinos održivom razvoju relevantnih regija i zajednica.</w:t>
      </w:r>
    </w:p>
    <w:p w:rsidR="008D1BE3" w:rsidRPr="00661250" w:rsidRDefault="008D1BE3" w:rsidP="008D1BE3">
      <w:pPr>
        <w:widowControl/>
        <w:suppressAutoHyphens/>
        <w:spacing w:before="120" w:after="120" w:line="360" w:lineRule="auto"/>
        <w:ind w:left="567" w:right="-1" w:hanging="567"/>
        <w:rPr>
          <w:rFonts w:eastAsia="Calibri"/>
          <w:b/>
          <w:i/>
          <w:szCs w:val="24"/>
        </w:rPr>
      </w:pPr>
      <w:bookmarkStart w:id="69" w:name="_Hlk136791496"/>
      <w:r w:rsidRPr="00661250">
        <w:rPr>
          <w:b/>
          <w:i/>
        </w:rPr>
        <w:t>9.a</w:t>
      </w:r>
      <w:r w:rsidRPr="00661250">
        <w:rPr>
          <w:b/>
          <w:i/>
        </w:rPr>
        <w:tab/>
        <w:t>Pri izradi nacionalnih planova obnove države članice mogu uzeti u obzir raznolikost situacija u različitim regijama povezanih sa socijalnim, gospodarskim i kulturnim zahtjevima, regionalnim i lokalnim značajkama te gustoćom naseljenosti.</w:t>
      </w:r>
      <w:r w:rsidRPr="00661250">
        <w:rPr>
          <w:i/>
        </w:rPr>
        <w:t xml:space="preserve"> </w:t>
      </w:r>
      <w:r w:rsidRPr="00661250">
        <w:rPr>
          <w:b/>
          <w:i/>
        </w:rPr>
        <w:t xml:space="preserve">Prema potrebi bi trebalo uzeti u obzir posebnu situaciju najudaljenijih regija Unije, primjerice njihovu udaljenost, izoliranost, malu površinu, nepovoljnu topografiju i klimu te njihovu bogatu bioraznolikost i povezane troškove za zaštitu i obnovu njihovih ekosustava. </w:t>
      </w:r>
      <w:bookmarkEnd w:id="68"/>
      <w:bookmarkEnd w:id="69"/>
    </w:p>
    <w:p w:rsidR="008D1BE3" w:rsidRPr="00661250" w:rsidRDefault="008D1BE3" w:rsidP="008D1BE3">
      <w:pPr>
        <w:widowControl/>
        <w:suppressAutoHyphens/>
        <w:spacing w:before="120" w:after="120" w:line="360" w:lineRule="auto"/>
        <w:ind w:left="567" w:right="-1" w:hanging="567"/>
        <w:rPr>
          <w:rFonts w:eastAsia="Calibri"/>
          <w:szCs w:val="22"/>
        </w:rPr>
      </w:pPr>
      <w:r w:rsidRPr="00661250">
        <w:t>10.</w:t>
      </w:r>
      <w:r w:rsidRPr="00661250">
        <w:tab/>
        <w:t xml:space="preserve">Kad je to moguće, države članice potiču sinergiju s nacionalnim planovima obnove drugih država članica, posebno u pogledu ekosustava koji se prostiru preko granica </w:t>
      </w:r>
      <w:r w:rsidRPr="00661250">
        <w:rPr>
          <w:b/>
          <w:i/>
        </w:rPr>
        <w:t>ili ako države članice dijele morsku regiju ili podregiju u smislu Direktive 2008/56/EZ</w:t>
      </w:r>
      <w:r w:rsidRPr="00661250">
        <w:t>.</w:t>
      </w:r>
    </w:p>
    <w:p w:rsidR="008D1BE3" w:rsidRPr="00661250" w:rsidRDefault="008D1BE3" w:rsidP="008D1BE3">
      <w:pPr>
        <w:widowControl/>
        <w:tabs>
          <w:tab w:val="left" w:pos="567"/>
        </w:tabs>
        <w:suppressAutoHyphens/>
        <w:spacing w:after="140" w:line="360" w:lineRule="auto"/>
        <w:ind w:left="567" w:right="-1" w:hanging="567"/>
        <w:rPr>
          <w:rFonts w:eastAsia="Calibri"/>
          <w:b/>
          <w:i/>
          <w:szCs w:val="24"/>
        </w:rPr>
      </w:pPr>
      <w:r w:rsidRPr="00661250">
        <w:rPr>
          <w:b/>
          <w:i/>
        </w:rPr>
        <w:t>10.a</w:t>
      </w:r>
      <w:r w:rsidRPr="00661250">
        <w:rPr>
          <w:b/>
          <w:i/>
        </w:rPr>
        <w:tab/>
        <w:t>U svrhu utvrđivanja i provedbe nacionalnih planova obnove države članice mogu se, ako je to praktično i primjereno, koristiti postojećim strukturama regionalne institucijske suradnje u pogledu obnove i ponovne uspostave morskih ekosustava.</w:t>
      </w:r>
    </w:p>
    <w:p w:rsidR="008D1BE3" w:rsidRPr="00661250" w:rsidRDefault="008D1BE3" w:rsidP="008D1BE3">
      <w:pPr>
        <w:widowControl/>
        <w:suppressAutoHyphens/>
        <w:spacing w:before="120" w:after="120" w:line="360" w:lineRule="auto"/>
        <w:ind w:left="567" w:right="-1" w:hanging="567"/>
        <w:rPr>
          <w:i/>
          <w:sz w:val="16"/>
          <w:szCs w:val="16"/>
        </w:rPr>
      </w:pPr>
      <w:r w:rsidRPr="00661250">
        <w:rPr>
          <w:b/>
          <w:i/>
        </w:rPr>
        <w:t>10.b</w:t>
      </w:r>
      <w:r w:rsidRPr="00661250">
        <w:rPr>
          <w:b/>
          <w:i/>
        </w:rPr>
        <w:tab/>
        <w:t xml:space="preserve">Ako države članice </w:t>
      </w:r>
      <w:bookmarkStart w:id="70" w:name="_Hlk133316754"/>
      <w:r w:rsidRPr="00661250">
        <w:rPr>
          <w:b/>
          <w:i/>
        </w:rPr>
        <w:t>utvrde problem koji bi mogao onemogućiti ispunjavanje obveza obnove i ponovne uspostave morskih ekosustava, koji zahtijeva mjere za koje nisu nadležne, one pojedinačno ili zajednički, prema potrebi upućuju državama članicama, Komisiji ili međunarodnim organizacijama opis utvrđenih problema i moguće mjere, s ciljem njihova razmatranja i mogućeg donošenja.</w:t>
      </w:r>
      <w:bookmarkEnd w:id="70"/>
    </w:p>
    <w:p w:rsidR="008D1BE3" w:rsidRPr="00661250" w:rsidRDefault="008D1BE3" w:rsidP="008D1BE3">
      <w:pPr>
        <w:widowControl/>
        <w:suppressAutoHyphens/>
        <w:spacing w:before="120" w:after="120" w:line="360" w:lineRule="auto"/>
        <w:ind w:left="567" w:right="-1" w:hanging="567"/>
        <w:rPr>
          <w:rFonts w:eastAsia="Calibri"/>
          <w:b/>
          <w:szCs w:val="22"/>
        </w:rPr>
      </w:pPr>
      <w:r w:rsidRPr="00661250">
        <w:t>11.</w:t>
      </w:r>
      <w:r w:rsidRPr="00661250">
        <w:tab/>
      </w:r>
      <w:r w:rsidR="000E585A" w:rsidRPr="00661250">
        <w:rPr>
          <w:szCs w:val="24"/>
          <w:lang w:eastAsia="en-US"/>
        </w:rPr>
        <w:t xml:space="preserve">Države članice osiguravaju da je postupak izrade plana obnove otvoren, </w:t>
      </w:r>
      <w:r w:rsidR="000E585A" w:rsidRPr="00661250">
        <w:rPr>
          <w:b/>
          <w:i/>
          <w:szCs w:val="24"/>
          <w:lang w:eastAsia="en-US"/>
        </w:rPr>
        <w:t xml:space="preserve">transparentan, </w:t>
      </w:r>
      <w:r w:rsidR="000E585A" w:rsidRPr="00661250">
        <w:rPr>
          <w:szCs w:val="24"/>
          <w:lang w:eastAsia="en-US"/>
        </w:rPr>
        <w:t xml:space="preserve">uključiv i djelotvoran te da se javnosti </w:t>
      </w:r>
      <w:r w:rsidR="000E585A" w:rsidRPr="00661250">
        <w:rPr>
          <w:b/>
          <w:i/>
          <w:szCs w:val="24"/>
          <w:lang w:eastAsia="en-US"/>
        </w:rPr>
        <w:t xml:space="preserve">i osobito vlasnicima zemljišta, upraviteljima zemljišta, dionicima iz područja pomorstva i drugim relevantnim akterima, kao što su pružatelji usluga savjetovanja i stručne potpore, u skladu s načelom prethodnog i informiranog pristanka, </w:t>
      </w:r>
      <w:r w:rsidR="000E585A" w:rsidRPr="00661250">
        <w:rPr>
          <w:szCs w:val="24"/>
          <w:lang w:eastAsia="en-US"/>
        </w:rPr>
        <w:t xml:space="preserve">omogući pravodobno i djelotvorno sudjelovanje u </w:t>
      </w:r>
      <w:r w:rsidR="000E585A" w:rsidRPr="00661250">
        <w:rPr>
          <w:b/>
          <w:i/>
          <w:szCs w:val="24"/>
          <w:lang w:eastAsia="en-US"/>
        </w:rPr>
        <w:t>pripremi plana. Lokalne i regionalne vlasti, kao i tijela za upravljanje, na odgovarajući su način uključene u izradu plana</w:t>
      </w:r>
      <w:r w:rsidR="000E585A" w:rsidRPr="00661250">
        <w:rPr>
          <w:szCs w:val="24"/>
          <w:lang w:eastAsia="en-US"/>
        </w:rPr>
        <w:t>. Savjetovanja moraju ispunjavati zahtjeve utvrđene u člancima od 4. do 10. Direktive 2001/42/EZ.</w:t>
      </w:r>
      <w:r w:rsidR="000E585A" w:rsidRPr="00661250">
        <w:rPr>
          <w:b/>
          <w:szCs w:val="24"/>
          <w:lang w:eastAsia="en-US"/>
        </w:rPr>
        <w:t xml:space="preserve"> [Am. 12]</w:t>
      </w:r>
    </w:p>
    <w:p w:rsidR="008D1BE3" w:rsidRPr="00661250" w:rsidRDefault="008D1BE3" w:rsidP="008D1BE3">
      <w:pPr>
        <w:keepNext/>
        <w:widowControl/>
        <w:suppressAutoHyphens/>
        <w:spacing w:before="360" w:after="120" w:line="360" w:lineRule="auto"/>
        <w:ind w:right="-1"/>
        <w:jc w:val="center"/>
        <w:outlineLvl w:val="1"/>
        <w:rPr>
          <w:b/>
          <w:bCs/>
          <w:szCs w:val="26"/>
        </w:rPr>
      </w:pPr>
      <w:r w:rsidRPr="00661250">
        <w:br w:type="page"/>
      </w:r>
      <w:r w:rsidRPr="00661250">
        <w:lastRenderedPageBreak/>
        <w:t xml:space="preserve">Članak 12. </w:t>
      </w:r>
      <w:r w:rsidRPr="00661250">
        <w:br/>
      </w:r>
      <w:r w:rsidRPr="00661250">
        <w:rPr>
          <w:i/>
        </w:rPr>
        <w:t>Sadržaj nacionalnih planova obnove</w:t>
      </w:r>
    </w:p>
    <w:p w:rsidR="008D1BE3" w:rsidRPr="00661250" w:rsidRDefault="008D1BE3" w:rsidP="008D1BE3">
      <w:pPr>
        <w:widowControl/>
        <w:suppressAutoHyphens/>
        <w:spacing w:before="120" w:after="120" w:line="360" w:lineRule="auto"/>
        <w:ind w:left="567" w:right="-1" w:hanging="567"/>
        <w:rPr>
          <w:rFonts w:eastAsia="Calibri"/>
          <w:b/>
          <w:szCs w:val="22"/>
          <w:u w:val="single"/>
        </w:rPr>
      </w:pPr>
      <w:bookmarkStart w:id="71" w:name="_Hlk133481561"/>
      <w:r w:rsidRPr="00661250">
        <w:t>1.</w:t>
      </w:r>
      <w:r w:rsidRPr="00661250">
        <w:tab/>
      </w:r>
      <w:bookmarkStart w:id="72" w:name="_Hlk127379600"/>
      <w:r w:rsidRPr="00661250">
        <w:t>Nacionalni plan obnove obuhvaća razdoblje do 2050. i uključuje prijelazne rokove koji odgovaraju ciljevima i obvezama utvrđenima u člancima od 4. do 10.</w:t>
      </w:r>
      <w:r w:rsidRPr="00661250">
        <w:rPr>
          <w:b/>
          <w:u w:val="single"/>
        </w:rPr>
        <w:t xml:space="preserve"> </w:t>
      </w:r>
      <w:bookmarkEnd w:id="72"/>
    </w:p>
    <w:bookmarkEnd w:id="71"/>
    <w:p w:rsidR="008D1BE3" w:rsidRPr="00661250" w:rsidRDefault="008D1BE3" w:rsidP="008D1BE3">
      <w:pPr>
        <w:widowControl/>
        <w:suppressAutoHyphens/>
        <w:spacing w:before="120" w:after="120" w:line="360" w:lineRule="auto"/>
        <w:ind w:left="567" w:right="-1" w:hanging="567"/>
        <w:rPr>
          <w:rFonts w:eastAsia="Calibri"/>
          <w:b/>
          <w:i/>
          <w:szCs w:val="22"/>
        </w:rPr>
      </w:pPr>
      <w:r w:rsidRPr="00661250">
        <w:rPr>
          <w:b/>
          <w:i/>
        </w:rPr>
        <w:t>1.a</w:t>
      </w:r>
      <w:r w:rsidRPr="00661250">
        <w:rPr>
          <w:b/>
          <w:i/>
        </w:rPr>
        <w:tab/>
      </w:r>
      <w:bookmarkStart w:id="73" w:name="_Hlk133481151"/>
      <w:r w:rsidRPr="00661250">
        <w:rPr>
          <w:b/>
          <w:i/>
        </w:rPr>
        <w:t>Odstupajući od stavka 1., nacionalni plan obnove koji se podnosi u skladu s člankom 13. i člankom 14. stavkom 6. može se, u pogledu razdoblja nakon lipnja 2032. i do preispitivanja u skladu s člankom 15. stavkom 1., ograničiti na strateški pregled:</w:t>
      </w:r>
    </w:p>
    <w:p w:rsidR="008D1BE3" w:rsidRPr="00661250" w:rsidRDefault="008D1BE3" w:rsidP="008D1BE3">
      <w:pPr>
        <w:widowControl/>
        <w:suppressAutoHyphens/>
        <w:spacing w:before="120" w:after="120" w:line="360" w:lineRule="auto"/>
        <w:ind w:left="567" w:right="-1"/>
        <w:rPr>
          <w:rFonts w:eastAsia="Calibri"/>
          <w:b/>
          <w:i/>
          <w:szCs w:val="22"/>
        </w:rPr>
      </w:pPr>
      <w:r w:rsidRPr="00661250">
        <w:rPr>
          <w:b/>
          <w:i/>
        </w:rPr>
        <w:t>(a)</w:t>
      </w:r>
      <w:r w:rsidRPr="00661250">
        <w:rPr>
          <w:b/>
          <w:i/>
        </w:rPr>
        <w:tab/>
        <w:t>elemenata iz stavka 2.; i</w:t>
      </w:r>
    </w:p>
    <w:p w:rsidR="008D1BE3" w:rsidRPr="00661250" w:rsidRDefault="008D1BE3" w:rsidP="008D1BE3">
      <w:pPr>
        <w:widowControl/>
        <w:suppressAutoHyphens/>
        <w:spacing w:before="120" w:after="120" w:line="360" w:lineRule="auto"/>
        <w:ind w:left="567" w:firstLine="3"/>
        <w:rPr>
          <w:rFonts w:eastAsia="Calibri"/>
          <w:b/>
          <w:i/>
          <w:szCs w:val="22"/>
        </w:rPr>
      </w:pPr>
      <w:r w:rsidRPr="00661250">
        <w:rPr>
          <w:b/>
          <w:i/>
        </w:rPr>
        <w:t>(b)</w:t>
      </w:r>
      <w:r w:rsidRPr="00661250">
        <w:rPr>
          <w:b/>
          <w:i/>
        </w:rPr>
        <w:tab/>
        <w:t>sadržaja iz stavaka 3. i 3.a.</w:t>
      </w:r>
    </w:p>
    <w:p w:rsidR="008D1BE3" w:rsidRPr="00661250" w:rsidRDefault="008D1BE3" w:rsidP="008D1BE3">
      <w:pPr>
        <w:widowControl/>
        <w:suppressAutoHyphens/>
        <w:spacing w:before="120" w:after="120" w:line="360" w:lineRule="auto"/>
        <w:ind w:left="567" w:firstLine="3"/>
        <w:rPr>
          <w:rFonts w:eastAsia="Calibri"/>
          <w:b/>
          <w:i/>
          <w:szCs w:val="22"/>
        </w:rPr>
      </w:pPr>
      <w:r w:rsidRPr="00661250">
        <w:rPr>
          <w:b/>
          <w:i/>
        </w:rPr>
        <w:t xml:space="preserve">Revidirani nacionalni plan obnove koji proizlazi iz preispitivanja koje je potrebno provesti prije srpnja 2032. u skladu s člankom 15. stavkom 1. može se, u pogledu razdoblja nakon lipnja 2042. i do revidiranja prije srpnja 2042. u skladu s člankom 15. stavkom 1., ograničiti na strateški pregled tih elemenata i sadržaja. </w:t>
      </w:r>
    </w:p>
    <w:bookmarkEnd w:id="73"/>
    <w:p w:rsidR="008D1BE3" w:rsidRPr="00661250" w:rsidRDefault="008D1BE3" w:rsidP="008D1BE3">
      <w:pPr>
        <w:widowControl/>
        <w:suppressAutoHyphens/>
        <w:spacing w:before="120" w:after="120" w:line="360" w:lineRule="auto"/>
        <w:ind w:left="567" w:right="-1" w:hanging="567"/>
        <w:rPr>
          <w:rFonts w:eastAsia="Calibri"/>
          <w:szCs w:val="22"/>
        </w:rPr>
      </w:pPr>
      <w:r w:rsidRPr="00661250">
        <w:t>2.</w:t>
      </w:r>
      <w:r w:rsidRPr="00661250">
        <w:tab/>
        <w:t>Države članice u nacionalni plan obnove uključuju sljedeće elemente, služeći se pritom jedinstvenim formatom utvrđenim u skladu sa stavkom 4. ovog članka:</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(a)</w:t>
      </w:r>
      <w:r w:rsidRPr="00661250">
        <w:tab/>
      </w:r>
      <w:bookmarkStart w:id="74" w:name="_Hlk127366959"/>
      <w:r w:rsidRPr="00661250">
        <w:t>kvantificirana područja koja treba obnoviti kako bi se ostvarili ciljevi obnove utvrđeni u člancima od 4. do 10.</w:t>
      </w:r>
      <w:bookmarkStart w:id="75" w:name="_Hlk127366922"/>
      <w:r w:rsidRPr="00661250">
        <w:t xml:space="preserve"> na temelju pripremnih aktivnosti provedenih u skladu s člankom 11. i </w:t>
      </w:r>
      <w:r w:rsidRPr="00661250">
        <w:rPr>
          <w:b/>
          <w:i/>
        </w:rPr>
        <w:t>okvirnih</w:t>
      </w:r>
      <w:r w:rsidRPr="00661250">
        <w:t xml:space="preserve"> karata</w:t>
      </w:r>
      <w:bookmarkEnd w:id="74"/>
      <w:bookmarkEnd w:id="75"/>
      <w:r w:rsidRPr="00661250">
        <w:t xml:space="preserve"> </w:t>
      </w:r>
      <w:r w:rsidRPr="00661250">
        <w:rPr>
          <w:b/>
          <w:i/>
        </w:rPr>
        <w:t>potencijalnih</w:t>
      </w:r>
      <w:r w:rsidRPr="00661250">
        <w:t xml:space="preserve"> područja </w:t>
      </w:r>
      <w:r w:rsidRPr="00661250">
        <w:rPr>
          <w:b/>
          <w:i/>
        </w:rPr>
        <w:t>koja treba obnoviti</w:t>
      </w:r>
      <w:r w:rsidRPr="00661250">
        <w:t>;</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(b)</w:t>
      </w:r>
      <w:r w:rsidRPr="00661250">
        <w:tab/>
        <w:t>opis predviđenih ili uvedenih mjera obnove kojima se ispunjavaju ciljevi i obveze utvrđeni u člancima od 4. do 10. i pobliže utvrđene mjere obnove koje su predviđene odnosno uvedene u sklopu mreže Natura 2000 uspostavljene u skladu s Direktivom 92/43/EEZ;</w:t>
      </w:r>
    </w:p>
    <w:p w:rsidR="008D1BE3" w:rsidRPr="00661250" w:rsidRDefault="008D1BE3" w:rsidP="008D1BE3">
      <w:pPr>
        <w:widowControl/>
        <w:suppressAutoHyphens/>
        <w:spacing w:before="120" w:after="120" w:line="360" w:lineRule="auto"/>
        <w:ind w:left="1134" w:right="-1" w:hanging="567"/>
        <w:rPr>
          <w:rFonts w:eastAsia="Calibri"/>
          <w:b/>
          <w:szCs w:val="22"/>
          <w:u w:val="single"/>
        </w:rPr>
      </w:pPr>
      <w:r w:rsidRPr="00661250">
        <w:br w:type="page"/>
      </w:r>
    </w:p>
    <w:p w:rsidR="008D1BE3" w:rsidRPr="00661250" w:rsidRDefault="008D1BE3" w:rsidP="008D1BE3">
      <w:pPr>
        <w:widowControl/>
        <w:suppressAutoHyphens/>
        <w:spacing w:before="120" w:after="120" w:line="360" w:lineRule="auto"/>
        <w:ind w:left="1134" w:right="-1" w:hanging="567"/>
        <w:rPr>
          <w:rFonts w:eastAsia="Calibri"/>
          <w:b/>
          <w:i/>
          <w:szCs w:val="22"/>
        </w:rPr>
      </w:pPr>
      <w:r w:rsidRPr="00661250">
        <w:rPr>
          <w:b/>
          <w:i/>
        </w:rPr>
        <w:lastRenderedPageBreak/>
        <w:t>(ba)</w:t>
      </w:r>
      <w:r w:rsidRPr="00661250">
        <w:rPr>
          <w:b/>
          <w:i/>
        </w:rPr>
        <w:tab/>
        <w:t xml:space="preserve">poseban odjeljak u kojem se utvrđuju mjere za ispunjavanje obveza iz članka 4. stavka 4.a i članka 5. stavka 4.a; </w:t>
      </w:r>
    </w:p>
    <w:p w:rsidR="008D1BE3" w:rsidRPr="00661250" w:rsidRDefault="00B12514" w:rsidP="008D1BE3">
      <w:pPr>
        <w:widowControl/>
        <w:suppressAutoHyphens/>
        <w:spacing w:before="120" w:after="120" w:line="360" w:lineRule="auto"/>
        <w:ind w:left="1134" w:right="-1" w:hanging="567"/>
        <w:rPr>
          <w:rFonts w:eastAsia="Calibri"/>
          <w:b/>
          <w:szCs w:val="22"/>
        </w:rPr>
      </w:pPr>
      <w:r w:rsidRPr="00661250">
        <w:rPr>
          <w:b/>
        </w:rPr>
        <w:t xml:space="preserve"> [Am. 41]</w:t>
      </w:r>
    </w:p>
    <w:p w:rsidR="008D1BE3" w:rsidRPr="00661250" w:rsidRDefault="00B12514" w:rsidP="008D1BE3">
      <w:pPr>
        <w:widowControl/>
        <w:suppressAutoHyphens/>
        <w:spacing w:before="120" w:after="120" w:line="360" w:lineRule="auto"/>
        <w:ind w:left="1134" w:right="-1" w:hanging="567"/>
        <w:rPr>
          <w:rFonts w:eastAsia="Calibri"/>
          <w:b/>
          <w:szCs w:val="22"/>
        </w:rPr>
      </w:pPr>
      <w:r w:rsidRPr="00661250">
        <w:rPr>
          <w:b/>
        </w:rPr>
        <w:t xml:space="preserve"> [Am. 42]</w:t>
      </w:r>
    </w:p>
    <w:p w:rsidR="008D1BE3" w:rsidRPr="00661250" w:rsidRDefault="008D1BE3" w:rsidP="008D1BE3">
      <w:pPr>
        <w:widowControl/>
        <w:suppressAutoHyphens/>
        <w:spacing w:before="120" w:after="120" w:line="360" w:lineRule="auto"/>
        <w:ind w:left="1134" w:right="-1" w:hanging="567"/>
        <w:rPr>
          <w:rFonts w:eastAsia="Calibri"/>
          <w:b/>
          <w:szCs w:val="22"/>
          <w:u w:val="single"/>
        </w:rPr>
      </w:pPr>
      <w:r w:rsidRPr="00661250">
        <w:t>(e)</w:t>
      </w:r>
      <w:r w:rsidRPr="00661250">
        <w:tab/>
        <w:t xml:space="preserve">inventar prepreka i prepreke za koje je utvrđeno da ih treba ukloniti u skladu s člankom 7. stavkom 1., plan njihova uklanjanja u skladu s člankom 7. stavkom 2. i </w:t>
      </w:r>
      <w:r w:rsidRPr="00661250">
        <w:rPr>
          <w:rFonts w:ascii="Arial" w:hAnsi="Arial"/>
          <w:snapToGrid w:val="0"/>
        </w:rPr>
        <w:t>▌</w:t>
      </w:r>
      <w:r w:rsidRPr="00661250">
        <w:t xml:space="preserve"> duljina rijeka slobodnog toka koja će se postići uklanjanjem tih prepreka </w:t>
      </w:r>
      <w:r w:rsidRPr="00661250">
        <w:rPr>
          <w:b/>
          <w:i/>
        </w:rPr>
        <w:t>procijenjena od 2020.</w:t>
      </w:r>
      <w:r w:rsidRPr="00661250">
        <w:t xml:space="preserve"> Do 2030. i </w:t>
      </w:r>
      <w:r w:rsidRPr="00661250">
        <w:rPr>
          <w:rFonts w:ascii="Arial" w:hAnsi="Arial"/>
          <w:snapToGrid w:val="0"/>
        </w:rPr>
        <w:t>▌</w:t>
      </w:r>
      <w:r w:rsidRPr="00661250">
        <w:t>2050. te sve druge mjere kojima se ponovno uspostavljaju prirodne funkcije poplavnih područja u skladu s člankom 7. stavkom 3.;</w:t>
      </w:r>
    </w:p>
    <w:p w:rsidR="008D1BE3" w:rsidRPr="00661250" w:rsidRDefault="008D1BE3" w:rsidP="008D1BE3">
      <w:pPr>
        <w:widowControl/>
        <w:suppressAutoHyphens/>
        <w:spacing w:before="120" w:after="120" w:line="360" w:lineRule="auto"/>
        <w:ind w:left="1134" w:right="-1" w:hanging="567"/>
        <w:rPr>
          <w:rFonts w:eastAsia="Calibri"/>
          <w:b/>
          <w:i/>
          <w:szCs w:val="22"/>
        </w:rPr>
      </w:pPr>
      <w:r w:rsidRPr="00661250">
        <w:rPr>
          <w:b/>
          <w:i/>
        </w:rPr>
        <w:t>(ea)</w:t>
      </w:r>
      <w:r w:rsidRPr="00661250">
        <w:rPr>
          <w:b/>
          <w:i/>
        </w:rPr>
        <w:tab/>
        <w:t xml:space="preserve">obrazloženje, prema potrebi, za ponovno natapanje tresetišta u udjelu manjem od onog utvrđenog u članku 9. stavku 4. prvom podstavku točkama od (a) do (c); </w:t>
      </w:r>
    </w:p>
    <w:p w:rsidR="008D1BE3" w:rsidRPr="00661250" w:rsidRDefault="008D1BE3" w:rsidP="008D1BE3">
      <w:pPr>
        <w:widowControl/>
        <w:suppressAutoHyphens/>
        <w:spacing w:before="120" w:after="120" w:line="360" w:lineRule="auto"/>
        <w:ind w:left="1134" w:right="-1" w:hanging="567"/>
        <w:rPr>
          <w:rFonts w:eastAsia="Calibri"/>
          <w:b/>
          <w:i/>
          <w:szCs w:val="22"/>
        </w:rPr>
      </w:pPr>
      <w:r w:rsidRPr="00661250">
        <w:rPr>
          <w:b/>
          <w:i/>
        </w:rPr>
        <w:t>(eb)</w:t>
      </w:r>
      <w:r w:rsidRPr="00661250">
        <w:rPr>
          <w:b/>
          <w:i/>
        </w:rPr>
        <w:tab/>
        <w:t>opis pokazatelja za šumske ekosustave odabranih u skladu s člankom 10. stavkom 2.a i njihovu prikladnost za dokazivanje povećanja bioraznolikosti šumskih ekosustava u dotičnoj državi članici;</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br w:type="page"/>
      </w:r>
      <w:r w:rsidRPr="00661250">
        <w:lastRenderedPageBreak/>
        <w:t>(f)</w:t>
      </w:r>
      <w:r w:rsidRPr="00661250">
        <w:tab/>
        <w:t>vremenski tijek uspostavljanja mjera obnove u skladu s člancima od 4. do 10.;</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(g)</w:t>
      </w:r>
      <w:r w:rsidRPr="00661250">
        <w:tab/>
        <w:t>poseban odjeljak u kojem utvrđuju prilagođene mjere obnove za svoje najudaljenije regije, ovisno o slučaju;</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(h)</w:t>
      </w:r>
      <w:r w:rsidRPr="00661250">
        <w:tab/>
        <w:t>praćenje područja koja se trebaju obnoviti u skladu s člancima 4. i 5., postupak procjene djelotvornosti mjera obnove uspostavljenih u skladu s člancima od 4 do 10. i prema potrebi postupak revidiranja tih mjera kako bi se ispunili ciljevi i obveze utvrđeni u člancima od 4. do 10.;</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(i)</w:t>
      </w:r>
      <w:r w:rsidRPr="00661250">
        <w:tab/>
        <w:t>prikaz načina na koji su osigurani neprekidni, dugoročni i održivi učinci mjera obnove iz članaka od 4. do 10.;</w:t>
      </w:r>
    </w:p>
    <w:p w:rsidR="008D1BE3" w:rsidRPr="00661250" w:rsidRDefault="008D1BE3" w:rsidP="008D1BE3">
      <w:pPr>
        <w:widowControl/>
        <w:suppressAutoHyphens/>
        <w:spacing w:before="120" w:after="120" w:line="360" w:lineRule="auto"/>
        <w:ind w:left="1134" w:right="-1" w:hanging="567"/>
      </w:pPr>
      <w:r w:rsidRPr="00661250">
        <w:t>(j)</w:t>
      </w:r>
      <w:r w:rsidRPr="00661250">
        <w:tab/>
        <w:t xml:space="preserve">procijenjene dodatne koristi za ublažavanje klimatskih promjena </w:t>
      </w:r>
      <w:r w:rsidRPr="00661250">
        <w:rPr>
          <w:b/>
          <w:i/>
        </w:rPr>
        <w:t>i neutralnost degradacije zemljišta</w:t>
      </w:r>
      <w:r w:rsidRPr="00661250">
        <w:t xml:space="preserve"> koje bi se tijekom vremena mogle ostvariti u vezi s mjerama obnove te šire društveno-gospodarske koristi tih mjera;</w:t>
      </w:r>
    </w:p>
    <w:p w:rsidR="005C6C3D" w:rsidRPr="00661250" w:rsidRDefault="005C6C3D" w:rsidP="008D1BE3">
      <w:pPr>
        <w:widowControl/>
        <w:suppressAutoHyphens/>
        <w:spacing w:before="120" w:after="120" w:line="360" w:lineRule="auto"/>
        <w:ind w:left="1134" w:right="-1" w:hanging="567"/>
        <w:rPr>
          <w:rFonts w:eastAsia="Calibri"/>
          <w:b/>
          <w:szCs w:val="22"/>
        </w:rPr>
      </w:pPr>
      <w:r w:rsidRPr="00661250">
        <w:rPr>
          <w:b/>
          <w:i/>
          <w:szCs w:val="24"/>
          <w:lang w:eastAsia="en-US"/>
        </w:rPr>
        <w:t>(ja)</w:t>
      </w:r>
      <w:r w:rsidRPr="00661250">
        <w:rPr>
          <w:szCs w:val="24"/>
          <w:lang w:eastAsia="en-US"/>
        </w:rPr>
        <w:tab/>
      </w:r>
      <w:r w:rsidRPr="00661250">
        <w:rPr>
          <w:b/>
          <w:i/>
          <w:szCs w:val="24"/>
          <w:lang w:eastAsia="en-US"/>
        </w:rPr>
        <w:t>procijenjeni socioekonomski učinak provedbe mjera obnove;</w:t>
      </w:r>
      <w:r w:rsidRPr="00661250">
        <w:rPr>
          <w:b/>
          <w:szCs w:val="24"/>
          <w:lang w:eastAsia="en-US"/>
        </w:rPr>
        <w:t xml:space="preserve"> [Am. 69]</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(k)</w:t>
      </w:r>
      <w:r w:rsidRPr="00661250">
        <w:tab/>
        <w:t>poseban odjeljak u kojem se utvrđuje kako se u nacionalnom planu obnove uzimaju u obzir:</w:t>
      </w:r>
    </w:p>
    <w:p w:rsidR="008D1BE3" w:rsidRPr="00661250" w:rsidRDefault="008D1BE3" w:rsidP="008D1BE3">
      <w:pPr>
        <w:widowControl/>
        <w:suppressAutoHyphens/>
        <w:spacing w:before="120" w:after="120" w:line="360" w:lineRule="auto"/>
        <w:ind w:left="1701" w:right="-1" w:hanging="567"/>
        <w:rPr>
          <w:rFonts w:eastAsia="Calibri"/>
          <w:szCs w:val="22"/>
        </w:rPr>
      </w:pPr>
      <w:r w:rsidRPr="00661250">
        <w:t>i.</w:t>
      </w:r>
      <w:r w:rsidRPr="00661250">
        <w:tab/>
        <w:t>i. važnost scenarija klimatskih promjena za planiranje vrste mjera obnove i područja na kojima će se primjenjivati;</w:t>
      </w:r>
    </w:p>
    <w:p w:rsidR="008D1BE3" w:rsidRPr="00661250" w:rsidRDefault="008D1BE3" w:rsidP="008D1BE3">
      <w:pPr>
        <w:widowControl/>
        <w:suppressAutoHyphens/>
        <w:spacing w:before="120" w:after="120" w:line="360" w:lineRule="auto"/>
        <w:ind w:left="1701" w:right="-1" w:hanging="567"/>
        <w:rPr>
          <w:rFonts w:eastAsia="Calibri"/>
          <w:szCs w:val="22"/>
        </w:rPr>
      </w:pPr>
      <w:r w:rsidRPr="00661250">
        <w:t>ii.</w:t>
      </w:r>
      <w:r w:rsidRPr="00661250">
        <w:tab/>
        <w:t xml:space="preserve">potencijal mjera obnove za svođenje utjecaja klimatskih promjena na prirodu na najmanju moguću mjeru, </w:t>
      </w:r>
      <w:bookmarkStart w:id="76" w:name="_Hlk127911096"/>
      <w:r w:rsidRPr="00661250">
        <w:t xml:space="preserve">sprečavanje </w:t>
      </w:r>
      <w:r w:rsidRPr="00661250">
        <w:rPr>
          <w:b/>
          <w:i/>
        </w:rPr>
        <w:t>ili ublažavanje učinaka</w:t>
      </w:r>
      <w:bookmarkEnd w:id="76"/>
      <w:r w:rsidRPr="00661250">
        <w:t xml:space="preserve"> prirodnih katastrofa i potporu prilagodbi;</w:t>
      </w:r>
    </w:p>
    <w:p w:rsidR="008D1BE3" w:rsidRPr="00661250" w:rsidRDefault="008D1BE3" w:rsidP="008D1BE3">
      <w:pPr>
        <w:widowControl/>
        <w:suppressAutoHyphens/>
        <w:spacing w:before="120" w:after="120" w:line="360" w:lineRule="auto"/>
        <w:ind w:left="1701" w:right="-1" w:hanging="567"/>
        <w:rPr>
          <w:rFonts w:eastAsia="Calibri"/>
          <w:szCs w:val="22"/>
        </w:rPr>
      </w:pPr>
      <w:r w:rsidRPr="00661250">
        <w:t>iii.</w:t>
      </w:r>
      <w:r w:rsidRPr="00661250">
        <w:tab/>
        <w:t>sinergije s nacionalnim strategijama ili planovima prilagodbe i izvješćima o nacionalnoj procjeni rizika od katastrofa;</w:t>
      </w:r>
    </w:p>
    <w:p w:rsidR="008D1BE3" w:rsidRPr="00661250" w:rsidRDefault="008D1BE3" w:rsidP="008D1BE3">
      <w:pPr>
        <w:widowControl/>
        <w:suppressAutoHyphens/>
        <w:spacing w:before="120" w:after="120" w:line="360" w:lineRule="auto"/>
        <w:ind w:left="1701" w:right="-1" w:hanging="567"/>
        <w:rPr>
          <w:rFonts w:eastAsia="Calibri"/>
          <w:szCs w:val="22"/>
        </w:rPr>
      </w:pPr>
      <w:r w:rsidRPr="00661250">
        <w:t>iv.</w:t>
      </w:r>
      <w:r w:rsidRPr="00661250">
        <w:tab/>
        <w:t>pregled međudjelovanja mjera uključenih u nacionalni plan obnove i nacionalni energetski i klimatski plan;</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br w:type="page"/>
      </w:r>
      <w:r w:rsidRPr="00661250">
        <w:lastRenderedPageBreak/>
        <w:t>(l)</w:t>
      </w:r>
      <w:r w:rsidRPr="00661250">
        <w:tab/>
        <w:t>procjenu financijskih potreba za provedbu mjera obnove, u okviru koje se opisuje i potpora dionicima na koje utječu mjere obnove ili druge nove obveze koje proizlaze iz ove Uredbe, i oblik predviđenog financiranja, bilo javnog ili privatnog, uključujući (su)financiranje Unijinim instrumentima za financiranje;</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(m)</w:t>
      </w:r>
      <w:r w:rsidRPr="00661250">
        <w:tab/>
        <w:t>prikaz subvencija koje negativno utječu na ispunjavanje ciljeva i obveza utvrđenih u ovoj Uredbi;</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(n)</w:t>
      </w:r>
      <w:r w:rsidRPr="00661250">
        <w:tab/>
        <w:t>sažetak postupka izrade i uspostave nacionalnog plana obnove, uključujući informacije o sudjelovanju javnosti i načinu na koji su uzete u obzir potrebe lokalnih zajednica i dionika;</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(o)</w:t>
      </w:r>
      <w:r w:rsidRPr="00661250">
        <w:tab/>
        <w:t>poseban odjeljak u kojem se u skladu s člankom 14. stavkom 5. navodi kako su uzete u obzir primjedbe Komisije o nacrtu nacionalnog plana obnove iz članka 14. stavka 4. Ako dotična država članica ne djeluje u skladu s primjedbom Komisije ili njezinim znatnim dijelom, dužna je to obrazložiti.</w:t>
      </w:r>
    </w:p>
    <w:p w:rsidR="008D1BE3" w:rsidRPr="00661250" w:rsidRDefault="008D1BE3" w:rsidP="008D1BE3">
      <w:pPr>
        <w:widowControl/>
        <w:suppressAutoHyphens/>
        <w:spacing w:before="120" w:after="120" w:line="360" w:lineRule="auto"/>
        <w:ind w:left="567" w:right="-1" w:hanging="567"/>
        <w:rPr>
          <w:rFonts w:eastAsia="Calibri"/>
          <w:b/>
          <w:szCs w:val="22"/>
          <w:u w:val="single"/>
        </w:rPr>
      </w:pPr>
      <w:r w:rsidRPr="00661250">
        <w:t>3.</w:t>
      </w:r>
      <w:r w:rsidRPr="00661250">
        <w:tab/>
        <w:t xml:space="preserve">Nacionalni planovi obnove prema potrebi obuhvaćaju mjere očuvanja </w:t>
      </w:r>
      <w:r w:rsidRPr="00661250">
        <w:rPr>
          <w:b/>
          <w:i/>
        </w:rPr>
        <w:t>i upravljanja</w:t>
      </w:r>
      <w:r w:rsidRPr="00661250">
        <w:t xml:space="preserve"> koje država članica namjerava donijeti u okviru zajedničke ribarstvene politike, uključujući mjere očuvanja u zajedničkim preporukama čije donošenje država članica namjerava pokrenuti u skladu s postupkom utvrđenim u Uredbi (EU) br. 1380/2013, i sve relevantne informacije o tim mjerama.</w:t>
      </w:r>
    </w:p>
    <w:p w:rsidR="008D1BE3" w:rsidRPr="00661250" w:rsidRDefault="008D1BE3" w:rsidP="008D1BE3">
      <w:pPr>
        <w:widowControl/>
        <w:tabs>
          <w:tab w:val="left" w:pos="4536"/>
        </w:tabs>
        <w:suppressAutoHyphens/>
        <w:spacing w:before="120" w:after="120" w:line="360" w:lineRule="auto"/>
        <w:ind w:left="567" w:right="-1" w:hanging="567"/>
        <w:rPr>
          <w:rFonts w:eastAsia="Calibri"/>
          <w:b/>
          <w:i/>
          <w:szCs w:val="22"/>
        </w:rPr>
      </w:pPr>
      <w:r w:rsidRPr="00661250">
        <w:rPr>
          <w:b/>
          <w:i/>
        </w:rPr>
        <w:t>3.a</w:t>
      </w:r>
      <w:r w:rsidRPr="00661250">
        <w:rPr>
          <w:b/>
          <w:i/>
        </w:rPr>
        <w:tab/>
        <w:t>Nacionalni planovi obnove uključuju pregled međudjelovanja mjera uključenih u nacionalni plan obnove i nacionalnog strateškog plana u okviru zajedničke poljoprivredne politike</w:t>
      </w:r>
      <w:bookmarkStart w:id="77" w:name="_Hlk135811882"/>
      <w:r w:rsidRPr="00661250">
        <w:rPr>
          <w:b/>
          <w:i/>
        </w:rPr>
        <w:t>.</w:t>
      </w:r>
      <w:bookmarkEnd w:id="77"/>
    </w:p>
    <w:p w:rsidR="008D1BE3" w:rsidRPr="00661250" w:rsidRDefault="008D1BE3" w:rsidP="008D1BE3">
      <w:pPr>
        <w:widowControl/>
        <w:tabs>
          <w:tab w:val="left" w:pos="4536"/>
        </w:tabs>
        <w:suppressAutoHyphens/>
        <w:spacing w:before="120" w:after="120" w:line="360" w:lineRule="auto"/>
        <w:ind w:left="567" w:right="-1" w:hanging="567"/>
        <w:rPr>
          <w:rFonts w:eastAsia="Calibri"/>
          <w:b/>
          <w:i/>
          <w:szCs w:val="22"/>
        </w:rPr>
      </w:pPr>
      <w:r w:rsidRPr="00661250">
        <w:br w:type="page"/>
      </w:r>
      <w:r w:rsidRPr="00661250">
        <w:rPr>
          <w:b/>
          <w:i/>
        </w:rPr>
        <w:lastRenderedPageBreak/>
        <w:t>3.b</w:t>
      </w:r>
      <w:r w:rsidRPr="00661250">
        <w:rPr>
          <w:b/>
          <w:i/>
        </w:rPr>
        <w:tab/>
        <w:t>Prema potrebi, nacionalni planovi obnove uključuju pregled razmatranja povezanih s raznolikošću situacija u različitim regijama kako je navedeno u članku 11. stavku 9.a.</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4.</w:t>
      </w:r>
      <w:r w:rsidRPr="00661250">
        <w:tab/>
        <w:t>Komisija donosi provedbene akte kako bi utvrdila jedinstveni format za nacionalne planove obnove. Ti se provedbeni akti donose u skladu s postupkom ispitivanja iz članka 21. stavka 2. Pri izradi jedinstvenog formata Komisiji pomaže Europska agencija za okoliš (EEA).</w:t>
      </w:r>
      <w:r w:rsidRPr="00661250">
        <w:rPr>
          <w:b/>
          <w:i/>
        </w:rPr>
        <w:t xml:space="preserve"> Komisija do [datum = prvi dan u mjesecu nakon tri mjeseca od datuma stupanja na snagu ove Uredbe] podnosi nacrte provedbenih akata odboru iz članka 21. stavka 1.</w:t>
      </w:r>
    </w:p>
    <w:p w:rsidR="008D1BE3" w:rsidRPr="00661250" w:rsidRDefault="008D1BE3" w:rsidP="008D1BE3">
      <w:pPr>
        <w:keepNext/>
        <w:widowControl/>
        <w:suppressAutoHyphens/>
        <w:spacing w:before="360" w:after="120" w:line="360" w:lineRule="auto"/>
        <w:ind w:right="-1"/>
        <w:jc w:val="center"/>
        <w:outlineLvl w:val="1"/>
        <w:rPr>
          <w:b/>
          <w:bCs/>
          <w:szCs w:val="26"/>
        </w:rPr>
      </w:pPr>
      <w:r w:rsidRPr="00661250">
        <w:t xml:space="preserve">Članak 13. </w:t>
      </w:r>
      <w:r w:rsidRPr="00661250">
        <w:br/>
      </w:r>
      <w:r w:rsidRPr="00661250">
        <w:rPr>
          <w:i/>
        </w:rPr>
        <w:t>Podnošenje nacrta nacionalnog plana obnove</w:t>
      </w:r>
    </w:p>
    <w:p w:rsidR="008D1BE3" w:rsidRPr="00661250" w:rsidRDefault="008D1BE3" w:rsidP="008D1BE3">
      <w:pPr>
        <w:widowControl/>
        <w:suppressAutoHyphens/>
        <w:spacing w:before="120" w:after="120" w:line="360" w:lineRule="auto"/>
        <w:ind w:right="-1"/>
        <w:rPr>
          <w:rFonts w:eastAsia="Calibri"/>
          <w:i/>
          <w:szCs w:val="22"/>
        </w:rPr>
      </w:pPr>
      <w:r w:rsidRPr="00661250">
        <w:t xml:space="preserve">Države članice Komisiji podnose nacrt nacionalnog plana obnove iz članaka 11. i 12. do… </w:t>
      </w:r>
      <w:r w:rsidRPr="00661250">
        <w:rPr>
          <w:i/>
        </w:rPr>
        <w:t>[Ured za publikacije: unijeti datum = prvi dan u mjesecu 24 mjeseca nakon datuma stupanja na snagu ove Uredbe]</w:t>
      </w:r>
      <w:r w:rsidRPr="00661250">
        <w:t>.</w:t>
      </w:r>
      <w:r w:rsidRPr="00661250">
        <w:rPr>
          <w:i/>
        </w:rPr>
        <w:t xml:space="preserve"> </w:t>
      </w:r>
    </w:p>
    <w:p w:rsidR="008D1BE3" w:rsidRPr="00661250" w:rsidRDefault="008D1BE3" w:rsidP="008D1BE3">
      <w:pPr>
        <w:keepNext/>
        <w:widowControl/>
        <w:suppressAutoHyphens/>
        <w:spacing w:before="360" w:after="120" w:line="360" w:lineRule="auto"/>
        <w:ind w:right="-1"/>
        <w:jc w:val="center"/>
        <w:outlineLvl w:val="1"/>
        <w:rPr>
          <w:b/>
          <w:bCs/>
          <w:szCs w:val="26"/>
        </w:rPr>
      </w:pPr>
      <w:bookmarkStart w:id="78" w:name="_Hlk133532019"/>
      <w:r w:rsidRPr="00661250">
        <w:t>Članak 14. </w:t>
      </w:r>
      <w:r w:rsidRPr="00661250">
        <w:br/>
      </w:r>
      <w:r w:rsidRPr="00661250">
        <w:rPr>
          <w:i/>
        </w:rPr>
        <w:t>Ocjenjivanje nacionalnih planova obnove</w:t>
      </w:r>
      <w:r w:rsidRPr="00661250">
        <w:rPr>
          <w:b/>
        </w:rPr>
        <w:t xml:space="preserve"> </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1.</w:t>
      </w:r>
      <w:r w:rsidRPr="00661250">
        <w:tab/>
        <w:t>Komisija ocjenjuje nacrt nacionalnog plana obnove u roku od šest mjeseci od datuma primitka. Pri ocjenjivanju Komisija blisko surađuje s predmetnom državom članicom.</w:t>
      </w:r>
    </w:p>
    <w:p w:rsidR="008D1BE3" w:rsidRPr="00661250" w:rsidRDefault="008D1BE3" w:rsidP="008D1BE3">
      <w:pPr>
        <w:widowControl/>
        <w:suppressAutoHyphens/>
        <w:spacing w:before="120" w:after="120" w:line="360" w:lineRule="auto"/>
        <w:ind w:left="567" w:right="-1" w:hanging="567"/>
        <w:rPr>
          <w:rFonts w:eastAsia="Calibri"/>
          <w:b/>
          <w:szCs w:val="22"/>
          <w:u w:val="single"/>
        </w:rPr>
      </w:pPr>
      <w:r w:rsidRPr="00661250">
        <w:br w:type="page"/>
      </w:r>
      <w:r w:rsidRPr="00661250">
        <w:lastRenderedPageBreak/>
        <w:t>2.</w:t>
      </w:r>
      <w:r w:rsidRPr="00661250">
        <w:tab/>
      </w:r>
      <w:r w:rsidR="009E1C3C" w:rsidRPr="00661250">
        <w:rPr>
          <w:szCs w:val="24"/>
          <w:lang w:eastAsia="en-US"/>
        </w:rPr>
        <w:t xml:space="preserve">Komisija pri </w:t>
      </w:r>
      <w:r w:rsidR="009E1C3C" w:rsidRPr="00661250">
        <w:rPr>
          <w:b/>
          <w:i/>
          <w:szCs w:val="24"/>
          <w:lang w:eastAsia="en-US"/>
        </w:rPr>
        <w:t>razmatranju</w:t>
      </w:r>
      <w:r w:rsidR="009E1C3C" w:rsidRPr="00661250">
        <w:rPr>
          <w:szCs w:val="24"/>
          <w:lang w:eastAsia="en-US"/>
        </w:rPr>
        <w:t xml:space="preserve"> nacionalnog plana obnove procjenjuje njegovu usklađenost s člankom 12. i njegovu primjerenost za ispunjavanje ciljeva i obveza utvrđenih u člancima od 4. do 10. te Unijinih sveobuhvatnih ciljeva iz članka 1., posebnih ciljeva i obveza iz članka 7. stavka 1. da se do </w:t>
      </w:r>
      <w:r w:rsidR="009E1C3C" w:rsidRPr="00661250">
        <w:rPr>
          <w:b/>
          <w:i/>
          <w:szCs w:val="24"/>
          <w:lang w:eastAsia="en-US"/>
        </w:rPr>
        <w:t>2035</w:t>
      </w:r>
      <w:r w:rsidR="009E1C3C" w:rsidRPr="00661250">
        <w:rPr>
          <w:szCs w:val="24"/>
          <w:lang w:eastAsia="en-US"/>
        </w:rPr>
        <w:t xml:space="preserve">. u Uniji najmanje </w:t>
      </w:r>
      <w:r w:rsidR="009E1C3C" w:rsidRPr="00661250">
        <w:rPr>
          <w:b/>
          <w:i/>
          <w:szCs w:val="24"/>
          <w:lang w:eastAsia="en-US"/>
        </w:rPr>
        <w:t>20</w:t>
      </w:r>
      <w:r w:rsidR="009E1C3C" w:rsidRPr="00661250">
        <w:rPr>
          <w:szCs w:val="24"/>
          <w:lang w:eastAsia="en-US"/>
        </w:rPr>
        <w:t> 000 km rijeka ponovno pretvori u rijeke slobodnog toka</w:t>
      </w:r>
      <w:r w:rsidR="009E1C3C" w:rsidRPr="00661250">
        <w:rPr>
          <w:b/>
          <w:i/>
          <w:szCs w:val="24"/>
          <w:lang w:eastAsia="en-US"/>
        </w:rPr>
        <w:t>. Komisija također uzima u obzir društveno-gospodarski učinak posebno na ruralna područja</w:t>
      </w:r>
      <w:r w:rsidR="009E1C3C" w:rsidRPr="00661250">
        <w:rPr>
          <w:szCs w:val="24"/>
          <w:lang w:eastAsia="en-US"/>
        </w:rPr>
        <w:t xml:space="preserve"> i </w:t>
      </w:r>
      <w:r w:rsidR="009E1C3C" w:rsidRPr="00661250">
        <w:rPr>
          <w:b/>
          <w:i/>
          <w:szCs w:val="24"/>
          <w:lang w:eastAsia="en-US"/>
        </w:rPr>
        <w:t>učinak nacionalnog plana obnove, posebno na poljoprivrednu i šumarsku proizvodnju, kako bi se osiguralo da proizvodnja ne dovede do premještanja proizvodnje izvan Unije</w:t>
      </w:r>
      <w:r w:rsidR="009E1C3C" w:rsidRPr="00661250">
        <w:rPr>
          <w:szCs w:val="24"/>
          <w:lang w:eastAsia="en-US"/>
        </w:rPr>
        <w:t>.</w:t>
      </w:r>
      <w:r w:rsidR="009E1C3C" w:rsidRPr="00661250">
        <w:rPr>
          <w:b/>
          <w:szCs w:val="24"/>
          <w:lang w:eastAsia="en-US"/>
        </w:rPr>
        <w:t xml:space="preserve"> [Am. 43]</w:t>
      </w:r>
    </w:p>
    <w:p w:rsidR="008D1BE3" w:rsidRPr="00661250" w:rsidRDefault="008D1BE3" w:rsidP="008D1BE3">
      <w:pPr>
        <w:widowControl/>
        <w:suppressAutoHyphens/>
        <w:spacing w:before="120" w:after="120" w:line="360" w:lineRule="auto"/>
        <w:ind w:left="1134" w:right="-1" w:hanging="567"/>
        <w:rPr>
          <w:color w:val="000000"/>
          <w:szCs w:val="24"/>
        </w:rPr>
      </w:pPr>
    </w:p>
    <w:bookmarkEnd w:id="78"/>
    <w:p w:rsidR="008D1BE3" w:rsidRPr="00661250" w:rsidRDefault="008D1BE3" w:rsidP="008D1BE3">
      <w:pPr>
        <w:widowControl/>
        <w:suppressAutoHyphens/>
        <w:spacing w:before="120" w:after="120" w:line="360" w:lineRule="auto"/>
        <w:ind w:left="567" w:right="-1" w:hanging="567"/>
        <w:rPr>
          <w:rFonts w:eastAsia="Calibri"/>
          <w:szCs w:val="22"/>
        </w:rPr>
      </w:pPr>
      <w:r w:rsidRPr="00661250">
        <w:t>3.</w:t>
      </w:r>
      <w:r w:rsidRPr="00661250">
        <w:tab/>
        <w:t>U svrhu ocjenjivanja nacrta nacionalnih planova obnove Komisiji pomažu stručnjaci ili EEA.</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4.</w:t>
      </w:r>
      <w:r w:rsidRPr="00661250">
        <w:tab/>
        <w:t>Komisija može uputiti primjedbe državama članicama u roku od šest mjeseci od datuma na koji primi nacrt nacionalnog plana obnove.</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5.</w:t>
      </w:r>
      <w:r w:rsidRPr="00661250">
        <w:tab/>
        <w:t>Države članice u konačnim nacionalnim planovima obnove uzimaju u obzir sve primjedbe koje im je uputila Komisija.</w:t>
      </w:r>
    </w:p>
    <w:p w:rsidR="008D1BE3" w:rsidRPr="00661250" w:rsidRDefault="008D1BE3" w:rsidP="008D1BE3">
      <w:pPr>
        <w:widowControl/>
        <w:suppressAutoHyphens/>
        <w:spacing w:before="120" w:after="120" w:line="360" w:lineRule="auto"/>
        <w:ind w:left="567" w:right="-1" w:hanging="567"/>
      </w:pPr>
      <w:r w:rsidRPr="00661250">
        <w:t>6.</w:t>
      </w:r>
      <w:r w:rsidRPr="00661250">
        <w:tab/>
        <w:t>Države članice dovršavaju i objavljuju nacionalni plan obnove te ga podnose Komisiji u roku od šest mjeseci od datuma primitka Komisijinih primjedbi.</w:t>
      </w:r>
    </w:p>
    <w:p w:rsidR="009E1C3C" w:rsidRPr="00661250" w:rsidRDefault="009E1C3C" w:rsidP="00661250">
      <w:pPr>
        <w:widowControl/>
        <w:suppressAutoHyphens/>
        <w:spacing w:before="120" w:after="120" w:line="360" w:lineRule="auto"/>
        <w:ind w:left="567" w:right="-1" w:hanging="567"/>
        <w:jc w:val="center"/>
        <w:rPr>
          <w:b/>
          <w:i/>
          <w:szCs w:val="24"/>
          <w:lang w:eastAsia="en-US"/>
        </w:rPr>
      </w:pPr>
      <w:r w:rsidRPr="00661250">
        <w:rPr>
          <w:b/>
          <w:i/>
          <w:szCs w:val="24"/>
          <w:lang w:eastAsia="en-US"/>
        </w:rPr>
        <w:t>Članak 14.a</w:t>
      </w:r>
    </w:p>
    <w:p w:rsidR="009E1C3C" w:rsidRPr="00661250" w:rsidRDefault="009E1C3C" w:rsidP="00661250">
      <w:pPr>
        <w:widowControl/>
        <w:suppressAutoHyphens/>
        <w:spacing w:before="120" w:after="120" w:line="360" w:lineRule="auto"/>
        <w:ind w:left="567" w:right="-1" w:hanging="567"/>
        <w:jc w:val="center"/>
        <w:rPr>
          <w:b/>
          <w:i/>
          <w:szCs w:val="24"/>
          <w:lang w:eastAsia="en-US"/>
        </w:rPr>
      </w:pPr>
      <w:r w:rsidRPr="00661250">
        <w:rPr>
          <w:b/>
          <w:i/>
          <w:szCs w:val="24"/>
          <w:lang w:eastAsia="en-US"/>
        </w:rPr>
        <w:t>Provedba mjera za obnovu morskih ekosustava</w:t>
      </w:r>
    </w:p>
    <w:p w:rsidR="009E1C3C" w:rsidRPr="00661250" w:rsidRDefault="00744548" w:rsidP="00661250">
      <w:pPr>
        <w:widowControl/>
        <w:suppressAutoHyphens/>
        <w:spacing w:before="120" w:after="120" w:line="360" w:lineRule="auto"/>
        <w:ind w:left="567" w:hanging="567"/>
        <w:rPr>
          <w:b/>
          <w:i/>
          <w:szCs w:val="24"/>
          <w:lang w:eastAsia="en-US"/>
        </w:rPr>
      </w:pPr>
      <w:r w:rsidRPr="00661250">
        <w:rPr>
          <w:b/>
          <w:i/>
          <w:szCs w:val="24"/>
          <w:lang w:eastAsia="en-US"/>
        </w:rPr>
        <w:t>1.</w:t>
      </w:r>
      <w:r w:rsidRPr="00661250">
        <w:rPr>
          <w:b/>
          <w:i/>
          <w:szCs w:val="24"/>
          <w:lang w:eastAsia="en-US"/>
        </w:rPr>
        <w:tab/>
      </w:r>
      <w:r w:rsidR="009E1C3C" w:rsidRPr="00661250">
        <w:rPr>
          <w:b/>
          <w:i/>
          <w:szCs w:val="24"/>
          <w:lang w:eastAsia="en-US"/>
        </w:rPr>
        <w:t>Države članice čiji nacionalni planovi obnove uključuju mjere očuvanja u okviru zajedničke ribarstvene politike koje zahtijevaju podnošenje zajedničkih preporuka savjetuju se s drugim državama članicama koje imaju izravan upravljački interes u skladu s člancima 11. i 18. Uredbe (EU) br. 1380/2013 te zajedno s drugim državama članicama koje imaju izravan upravljački interes podnose preporuke: </w:t>
      </w:r>
    </w:p>
    <w:p w:rsidR="009E1C3C" w:rsidRPr="00661250" w:rsidRDefault="00744548" w:rsidP="00661250">
      <w:pPr>
        <w:widowControl/>
        <w:suppressAutoHyphens/>
        <w:spacing w:before="120" w:after="120" w:line="360" w:lineRule="auto"/>
        <w:ind w:left="1134" w:hanging="567"/>
        <w:rPr>
          <w:b/>
          <w:i/>
          <w:szCs w:val="24"/>
          <w:lang w:eastAsia="en-US"/>
        </w:rPr>
      </w:pPr>
      <w:r w:rsidRPr="00661250">
        <w:rPr>
          <w:b/>
          <w:i/>
          <w:szCs w:val="24"/>
          <w:lang w:eastAsia="en-US"/>
        </w:rPr>
        <w:t>(a)</w:t>
      </w:r>
      <w:r w:rsidRPr="00661250">
        <w:rPr>
          <w:b/>
          <w:i/>
          <w:szCs w:val="24"/>
          <w:lang w:eastAsia="en-US"/>
        </w:rPr>
        <w:tab/>
      </w:r>
      <w:r w:rsidR="009E1C3C" w:rsidRPr="00661250">
        <w:rPr>
          <w:b/>
          <w:i/>
          <w:szCs w:val="24"/>
          <w:lang w:eastAsia="en-US"/>
        </w:rPr>
        <w:t>najkasnije 12 mjeseci nakon konačnog podnošenja nacionalnog plana obnove za mjere povezane s člankom 5. stavkom 3.; </w:t>
      </w:r>
    </w:p>
    <w:p w:rsidR="009E1C3C" w:rsidRPr="00661250" w:rsidRDefault="00744548" w:rsidP="00661250">
      <w:pPr>
        <w:widowControl/>
        <w:suppressAutoHyphens/>
        <w:spacing w:before="120" w:after="120" w:line="360" w:lineRule="auto"/>
        <w:ind w:left="1134" w:hanging="567"/>
        <w:rPr>
          <w:b/>
          <w:i/>
          <w:szCs w:val="24"/>
          <w:lang w:eastAsia="en-US"/>
        </w:rPr>
      </w:pPr>
      <w:r w:rsidRPr="00661250">
        <w:rPr>
          <w:b/>
          <w:i/>
          <w:szCs w:val="24"/>
          <w:lang w:eastAsia="en-US"/>
        </w:rPr>
        <w:t>(b)</w:t>
      </w:r>
      <w:r w:rsidRPr="00661250">
        <w:rPr>
          <w:b/>
          <w:i/>
          <w:szCs w:val="24"/>
          <w:lang w:eastAsia="en-US"/>
        </w:rPr>
        <w:tab/>
      </w:r>
      <w:r w:rsidR="009E1C3C" w:rsidRPr="00661250">
        <w:rPr>
          <w:b/>
          <w:i/>
          <w:szCs w:val="24"/>
          <w:lang w:eastAsia="en-US"/>
        </w:rPr>
        <w:t>najkasnije do 1. siječnja 2028. za mjere obnove potrebne kako bi se osiguralo ostvarivanje ciljeva zadanih za 2030.; </w:t>
      </w:r>
    </w:p>
    <w:p w:rsidR="009E1C3C" w:rsidRPr="00661250" w:rsidRDefault="00744548" w:rsidP="00661250">
      <w:pPr>
        <w:widowControl/>
        <w:suppressAutoHyphens/>
        <w:spacing w:before="120" w:after="120" w:line="360" w:lineRule="auto"/>
        <w:ind w:left="1134" w:hanging="567"/>
        <w:rPr>
          <w:b/>
          <w:i/>
          <w:szCs w:val="24"/>
          <w:lang w:eastAsia="en-US"/>
        </w:rPr>
      </w:pPr>
      <w:r w:rsidRPr="00661250">
        <w:rPr>
          <w:b/>
          <w:i/>
          <w:szCs w:val="24"/>
          <w:lang w:eastAsia="en-US"/>
        </w:rPr>
        <w:t>(c)</w:t>
      </w:r>
      <w:r w:rsidRPr="00661250">
        <w:rPr>
          <w:b/>
          <w:i/>
          <w:szCs w:val="24"/>
          <w:lang w:eastAsia="en-US"/>
        </w:rPr>
        <w:tab/>
      </w:r>
      <w:r w:rsidR="009E1C3C" w:rsidRPr="00661250">
        <w:rPr>
          <w:b/>
          <w:i/>
          <w:szCs w:val="24"/>
          <w:lang w:eastAsia="en-US"/>
        </w:rPr>
        <w:t>najkasnije do 1. siječnja 2036. za mjere obnove potrebne kako bi se osiguralo ostvarivanje ciljeva zadanih za 2040.; </w:t>
      </w:r>
    </w:p>
    <w:p w:rsidR="009E1C3C" w:rsidRPr="00661250" w:rsidRDefault="00744548" w:rsidP="00661250">
      <w:pPr>
        <w:widowControl/>
        <w:suppressAutoHyphens/>
        <w:spacing w:before="120" w:after="120" w:line="360" w:lineRule="auto"/>
        <w:ind w:left="1134" w:hanging="567"/>
        <w:rPr>
          <w:b/>
          <w:i/>
          <w:szCs w:val="24"/>
          <w:lang w:eastAsia="en-US"/>
        </w:rPr>
      </w:pPr>
      <w:r w:rsidRPr="00661250">
        <w:rPr>
          <w:b/>
          <w:i/>
          <w:szCs w:val="24"/>
          <w:lang w:eastAsia="en-US"/>
        </w:rPr>
        <w:t>(d)</w:t>
      </w:r>
      <w:r w:rsidRPr="00661250">
        <w:rPr>
          <w:b/>
          <w:i/>
          <w:szCs w:val="24"/>
          <w:lang w:eastAsia="en-US"/>
        </w:rPr>
        <w:tab/>
      </w:r>
      <w:r w:rsidR="009E1C3C" w:rsidRPr="00661250">
        <w:rPr>
          <w:b/>
          <w:i/>
          <w:szCs w:val="24"/>
          <w:lang w:eastAsia="en-US"/>
        </w:rPr>
        <w:t>najkasnije do 1. siječnja 2046. za mjere obnove potrebne kako bi se osiguralo ostvarivanje ciljeva zdanih za 2050. </w:t>
      </w:r>
    </w:p>
    <w:p w:rsidR="009E1C3C" w:rsidRPr="00661250" w:rsidRDefault="009E1C3C" w:rsidP="008D1BE3">
      <w:pPr>
        <w:widowControl/>
        <w:suppressAutoHyphens/>
        <w:spacing w:before="120" w:after="120" w:line="360" w:lineRule="auto"/>
        <w:ind w:left="567" w:right="-1" w:hanging="567"/>
        <w:rPr>
          <w:b/>
          <w:i/>
          <w:szCs w:val="24"/>
          <w:lang w:eastAsia="en-US"/>
        </w:rPr>
      </w:pPr>
      <w:r w:rsidRPr="00661250">
        <w:rPr>
          <w:b/>
          <w:i/>
          <w:szCs w:val="24"/>
          <w:lang w:eastAsia="en-US"/>
        </w:rPr>
        <w:lastRenderedPageBreak/>
        <w:t>2.</w:t>
      </w:r>
      <w:r w:rsidR="00744548" w:rsidRPr="00661250">
        <w:rPr>
          <w:b/>
          <w:i/>
          <w:szCs w:val="24"/>
          <w:lang w:eastAsia="en-US"/>
        </w:rPr>
        <w:tab/>
      </w:r>
      <w:r w:rsidRPr="00661250">
        <w:rPr>
          <w:b/>
          <w:i/>
          <w:szCs w:val="24"/>
          <w:lang w:eastAsia="en-US"/>
        </w:rPr>
        <w:t>Komisija prati napredak u odnosu na rokove za mjere koje zahtijevaju podnošenje zajedničkih preporuka u okviru zajedničke ribarstvene politike. </w:t>
      </w:r>
    </w:p>
    <w:p w:rsidR="009E1C3C" w:rsidRPr="00661250" w:rsidRDefault="00744548" w:rsidP="008D1BE3">
      <w:pPr>
        <w:widowControl/>
        <w:suppressAutoHyphens/>
        <w:spacing w:before="120" w:after="120" w:line="360" w:lineRule="auto"/>
        <w:ind w:left="567" w:right="-1" w:hanging="567"/>
        <w:rPr>
          <w:rFonts w:eastAsia="Calibri"/>
          <w:b/>
          <w:szCs w:val="22"/>
        </w:rPr>
      </w:pPr>
      <w:r w:rsidRPr="00661250">
        <w:rPr>
          <w:b/>
          <w:i/>
          <w:szCs w:val="24"/>
          <w:lang w:eastAsia="en-US"/>
        </w:rPr>
        <w:t>3.</w:t>
      </w:r>
      <w:r w:rsidRPr="00661250">
        <w:rPr>
          <w:b/>
          <w:i/>
          <w:szCs w:val="24"/>
          <w:lang w:eastAsia="en-US"/>
        </w:rPr>
        <w:tab/>
      </w:r>
      <w:r w:rsidR="009E1C3C" w:rsidRPr="00661250">
        <w:rPr>
          <w:b/>
          <w:i/>
          <w:szCs w:val="24"/>
          <w:lang w:eastAsia="en-US"/>
        </w:rPr>
        <w:t>Ako države članice ne dostave na vrijeme zajedničke preporuke utvrđene u Uredbi (EU) br. 1380/2013, Komisija donosi mjere najkasnije 12 mjeseci nakon roka za podnošenje zajedničke preporuke iz stavka 1. ovog članka koristeći se alatima predviđenima za slučajeve kada se ne podnese zajednička preporuka u skladu s člankom 11. stavkom 4. Uredbe (EU) br. 1380/2013.</w:t>
      </w:r>
      <w:r w:rsidR="009E1C3C" w:rsidRPr="00661250">
        <w:rPr>
          <w:b/>
          <w:szCs w:val="24"/>
          <w:lang w:eastAsia="en-US"/>
        </w:rPr>
        <w:t xml:space="preserve"> [Am. 15]</w:t>
      </w:r>
    </w:p>
    <w:p w:rsidR="008D1BE3" w:rsidRPr="00661250" w:rsidRDefault="008D1BE3" w:rsidP="008D1BE3">
      <w:pPr>
        <w:keepNext/>
        <w:widowControl/>
        <w:suppressAutoHyphens/>
        <w:spacing w:before="360" w:after="120" w:line="360" w:lineRule="auto"/>
        <w:ind w:right="-1"/>
        <w:jc w:val="center"/>
        <w:outlineLvl w:val="1"/>
        <w:rPr>
          <w:b/>
          <w:bCs/>
          <w:szCs w:val="26"/>
        </w:rPr>
      </w:pPr>
      <w:r w:rsidRPr="00661250">
        <w:br w:type="page"/>
      </w:r>
      <w:r w:rsidRPr="00661250">
        <w:lastRenderedPageBreak/>
        <w:t xml:space="preserve">Članak 15. </w:t>
      </w:r>
      <w:r w:rsidRPr="00661250">
        <w:br/>
      </w:r>
      <w:r w:rsidRPr="00661250">
        <w:rPr>
          <w:i/>
        </w:rPr>
        <w:t>Preispitivanje nacionalnih planova obnove</w:t>
      </w:r>
      <w:r w:rsidRPr="00661250">
        <w:rPr>
          <w:b/>
        </w:rPr>
        <w:t xml:space="preserve"> </w:t>
      </w:r>
    </w:p>
    <w:p w:rsidR="008D1BE3" w:rsidRPr="00661250" w:rsidRDefault="008D1BE3" w:rsidP="008D1BE3">
      <w:pPr>
        <w:widowControl/>
        <w:suppressAutoHyphens/>
        <w:spacing w:before="120" w:after="120" w:line="360" w:lineRule="auto"/>
        <w:ind w:left="567" w:right="-1" w:hanging="567"/>
        <w:rPr>
          <w:rFonts w:eastAsia="Calibri"/>
          <w:szCs w:val="22"/>
        </w:rPr>
      </w:pPr>
      <w:bookmarkStart w:id="79" w:name="_Hlk130200924"/>
      <w:r w:rsidRPr="00661250">
        <w:t>1.</w:t>
      </w:r>
      <w:r w:rsidRPr="00661250">
        <w:tab/>
      </w:r>
      <w:bookmarkStart w:id="80" w:name="_Hlk130121139"/>
      <w:r w:rsidRPr="00661250">
        <w:t xml:space="preserve">Države članice </w:t>
      </w:r>
      <w:bookmarkStart w:id="81" w:name="_Hlk129763910"/>
      <w:r w:rsidRPr="00661250">
        <w:t xml:space="preserve">preispituju </w:t>
      </w:r>
      <w:r w:rsidRPr="00661250">
        <w:rPr>
          <w:b/>
          <w:i/>
        </w:rPr>
        <w:t>i revidiraju</w:t>
      </w:r>
      <w:r w:rsidRPr="00661250">
        <w:t xml:space="preserve"> svoje nacionalne planove obnove</w:t>
      </w:r>
      <w:bookmarkEnd w:id="81"/>
      <w:r w:rsidRPr="00661250">
        <w:t xml:space="preserve"> </w:t>
      </w:r>
      <w:r w:rsidRPr="00661250">
        <w:rPr>
          <w:b/>
          <w:i/>
        </w:rPr>
        <w:t>te uključuju dodatne mjere prije srpnja 2032. i prije srpnja 2042. Najmanje</w:t>
      </w:r>
      <w:r w:rsidRPr="00661250">
        <w:t xml:space="preserve"> jednom svakih 10 godina </w:t>
      </w:r>
      <w:r w:rsidRPr="00661250">
        <w:rPr>
          <w:b/>
          <w:i/>
        </w:rPr>
        <w:t>nakon toga države članice preispituju svoje nacionalne planove obnove i, prema potrebi, revidiraju ga i uključuju dodatne mjere.</w:t>
      </w:r>
      <w:r w:rsidRPr="00661250">
        <w:t xml:space="preserve"> </w:t>
      </w:r>
      <w:r w:rsidRPr="00661250">
        <w:rPr>
          <w:b/>
          <w:i/>
        </w:rPr>
        <w:t>Revizije se provode</w:t>
      </w:r>
      <w:r w:rsidRPr="00661250">
        <w:t xml:space="preserve"> u skladu s člancima 11. i 12., uzimajući u obzir napredak u provedbi plana, najbolje dostupne znanstvene dokaze i dostupne spoznaje o promjenama, odnosno očekivanim promjenama okolišnih uvjeta zbog klimatskih promjena.</w:t>
      </w:r>
      <w:r w:rsidRPr="00661250">
        <w:rPr>
          <w:b/>
          <w:i/>
        </w:rPr>
        <w:t xml:space="preserve"> Pri preispitivanjima koja se provode prije srpnja 2032. i prije srpnja 2042. države članice uzimaju u obzir spoznaje o stanju stanišnih tipova navedenih u prilozima I. i II. stečene u skladu s obvezama iz članka 4. stavka 4.a i članka 5. stavka 4.a. </w:t>
      </w:r>
      <w:bookmarkStart w:id="82" w:name="_Hlk129597487"/>
      <w:bookmarkStart w:id="83" w:name="_Hlk130122214"/>
      <w:r w:rsidRPr="00661250">
        <w:rPr>
          <w:b/>
          <w:i/>
        </w:rPr>
        <w:t>Države članice objavljuju svoj revidirani nacionalni plan obnove i dostavljaju ga Komisiji.</w:t>
      </w:r>
      <w:bookmarkEnd w:id="80"/>
      <w:bookmarkEnd w:id="82"/>
      <w:bookmarkEnd w:id="83"/>
      <w:r w:rsidRPr="00661250">
        <w:rPr>
          <w:b/>
          <w:i/>
        </w:rPr>
        <w:t xml:space="preserve"> </w:t>
      </w:r>
    </w:p>
    <w:bookmarkEnd w:id="79"/>
    <w:p w:rsidR="008D1BE3" w:rsidRPr="00661250" w:rsidRDefault="008D1BE3" w:rsidP="008D1BE3">
      <w:pPr>
        <w:widowControl/>
        <w:suppressAutoHyphens/>
        <w:spacing w:before="120" w:after="120" w:line="360" w:lineRule="auto"/>
        <w:ind w:left="567" w:right="-1" w:hanging="567"/>
        <w:rPr>
          <w:rFonts w:eastAsia="Calibri"/>
          <w:szCs w:val="22"/>
        </w:rPr>
      </w:pPr>
      <w:r w:rsidRPr="00661250">
        <w:t>2.</w:t>
      </w:r>
      <w:r w:rsidRPr="00661250">
        <w:tab/>
      </w:r>
      <w:r w:rsidRPr="00661250">
        <w:rPr>
          <w:b/>
          <w:i/>
        </w:rPr>
        <w:t>Kad se praćenjem u skladu s člankom 17. pokaže</w:t>
      </w:r>
      <w:r w:rsidRPr="00661250">
        <w:t xml:space="preserve"> da mjere utvrđene u nacionalnom planu obnove neće biti dostatne za ispunjavanje ciljeva i obveza utvrđenih u člancima od 4. do 10., </w:t>
      </w:r>
      <w:r w:rsidRPr="00661250">
        <w:rPr>
          <w:b/>
          <w:i/>
        </w:rPr>
        <w:t>država članica</w:t>
      </w:r>
      <w:r w:rsidRPr="00661250">
        <w:t xml:space="preserve"> </w:t>
      </w:r>
      <w:r w:rsidRPr="00661250">
        <w:rPr>
          <w:b/>
          <w:i/>
        </w:rPr>
        <w:t>preispituje</w:t>
      </w:r>
      <w:r w:rsidRPr="00661250">
        <w:t xml:space="preserve"> nacionalni plan obnove i</w:t>
      </w:r>
      <w:r w:rsidRPr="00661250">
        <w:rPr>
          <w:b/>
          <w:i/>
        </w:rPr>
        <w:t>, ako je potrebno, revidira ga</w:t>
      </w:r>
      <w:r w:rsidRPr="00661250">
        <w:t xml:space="preserve"> te u njega </w:t>
      </w:r>
      <w:r w:rsidRPr="00661250">
        <w:rPr>
          <w:b/>
          <w:bCs/>
          <w:i/>
          <w:iCs/>
        </w:rPr>
        <w:t>uključuje</w:t>
      </w:r>
      <w:r w:rsidRPr="00661250">
        <w:t xml:space="preserve"> dopunske mjere.</w:t>
      </w:r>
      <w:r w:rsidRPr="00661250">
        <w:rPr>
          <w:b/>
          <w:i/>
        </w:rPr>
        <w:t xml:space="preserve"> Države članice objavljuju svoj revidirani nacionalni plan obnove i dostavljaju ga Komisiji.</w:t>
      </w:r>
    </w:p>
    <w:p w:rsidR="008D1BE3" w:rsidRPr="00661250" w:rsidRDefault="008D1BE3" w:rsidP="008D1BE3">
      <w:pPr>
        <w:widowControl/>
        <w:suppressAutoHyphens/>
        <w:spacing w:before="120" w:after="120" w:line="360" w:lineRule="auto"/>
        <w:ind w:left="567" w:right="-1" w:hanging="567"/>
        <w:rPr>
          <w:rFonts w:eastAsia="Calibri"/>
          <w:i/>
          <w:szCs w:val="22"/>
        </w:rPr>
      </w:pPr>
      <w:r w:rsidRPr="00661250">
        <w:br w:type="page"/>
      </w:r>
      <w:r w:rsidRPr="00661250">
        <w:lastRenderedPageBreak/>
        <w:t>3.</w:t>
      </w:r>
      <w:r w:rsidRPr="00661250">
        <w:tab/>
        <w:t>Na temelju informacija iz članka 18. stavaka 1. i 2. i procjene iz članka 18. stavaka 4. i 5., ako Komisija smatra da napredak koji je država članica ostvarila nije dostatan za ispunjavanje ciljeva i obveza utvrđenih u člancima od 4. do 10., Komisija može</w:t>
      </w:r>
      <w:r w:rsidRPr="00661250">
        <w:rPr>
          <w:b/>
          <w:i/>
        </w:rPr>
        <w:t>, nakon savjetovanja s dotičnom državom članicom,</w:t>
      </w:r>
      <w:r w:rsidRPr="00661250">
        <w:t xml:space="preserve"> od </w:t>
      </w:r>
      <w:r w:rsidRPr="00661250">
        <w:rPr>
          <w:rFonts w:ascii="Arial" w:hAnsi="Arial"/>
          <w:snapToGrid w:val="0"/>
        </w:rPr>
        <w:t>▌</w:t>
      </w:r>
      <w:r w:rsidRPr="00661250">
        <w:t xml:space="preserve"> države članice zatražiti da podnese </w:t>
      </w:r>
      <w:r w:rsidRPr="00661250">
        <w:rPr>
          <w:b/>
          <w:i/>
        </w:rPr>
        <w:t>revidirani</w:t>
      </w:r>
      <w:r w:rsidRPr="00661250">
        <w:t xml:space="preserve"> nacrt nacionalnog plana obnove s dopunskim mjerama. </w:t>
      </w:r>
      <w:r w:rsidRPr="00661250">
        <w:rPr>
          <w:b/>
          <w:i/>
        </w:rPr>
        <w:t>Revidirani</w:t>
      </w:r>
      <w:r w:rsidRPr="00661250">
        <w:t xml:space="preserve"> nacionalni plan obnove s dopunskim mjerama objavljuje se i podnosi u roku od šest mjeseci od datuma primitka Komisijina zahtjeva.</w:t>
      </w:r>
      <w:r w:rsidRPr="00661250">
        <w:rPr>
          <w:b/>
          <w:i/>
        </w:rPr>
        <w:t xml:space="preserve"> Na zahtjev dotične države članice i ako je to opravdano, Komisija može produljiti taj rok za dodatnih šest mjeseci.</w:t>
      </w:r>
    </w:p>
    <w:p w:rsidR="008D1BE3" w:rsidRPr="00661250" w:rsidRDefault="008D1BE3" w:rsidP="008D1BE3">
      <w:pPr>
        <w:widowControl/>
        <w:suppressAutoHyphens/>
        <w:spacing w:before="120" w:after="120" w:line="360" w:lineRule="auto"/>
        <w:ind w:left="600" w:right="-1"/>
        <w:rPr>
          <w:rFonts w:eastAsia="Calibri"/>
          <w:b/>
          <w:szCs w:val="22"/>
        </w:rPr>
      </w:pPr>
      <w:r w:rsidRPr="00661250">
        <w:rPr>
          <w:sz w:val="22"/>
        </w:rPr>
        <w:t>▌</w:t>
      </w:r>
      <w:r w:rsidR="004D4AEA" w:rsidRPr="00661250">
        <w:rPr>
          <w:rFonts w:eastAsia="Calibri"/>
          <w:b/>
          <w:sz w:val="22"/>
          <w:szCs w:val="24"/>
          <w:lang w:eastAsia="en-US"/>
        </w:rPr>
        <w:t>[Ams. 18cp and 44]</w:t>
      </w:r>
    </w:p>
    <w:p w:rsidR="008D1BE3" w:rsidRPr="00661250" w:rsidRDefault="008D1BE3" w:rsidP="008D1BE3">
      <w:pPr>
        <w:keepNext/>
        <w:widowControl/>
        <w:suppressAutoHyphens/>
        <w:spacing w:before="360" w:after="360" w:line="360" w:lineRule="auto"/>
        <w:jc w:val="center"/>
        <w:outlineLvl w:val="0"/>
        <w:rPr>
          <w:b/>
          <w:bCs/>
          <w:smallCaps/>
          <w:sz w:val="32"/>
          <w:szCs w:val="28"/>
        </w:rPr>
      </w:pPr>
      <w:r w:rsidRPr="00661250">
        <w:rPr>
          <w:b/>
          <w:smallCaps/>
          <w:sz w:val="32"/>
        </w:rPr>
        <w:t xml:space="preserve">POGLAVLJE IV. </w:t>
      </w:r>
      <w:r w:rsidRPr="00661250">
        <w:rPr>
          <w:b/>
          <w:smallCaps/>
          <w:sz w:val="32"/>
        </w:rPr>
        <w:br/>
        <w:t>PRAĆENJE I IZVJEŠĆIVANJE</w:t>
      </w:r>
    </w:p>
    <w:p w:rsidR="008D1BE3" w:rsidRPr="00661250" w:rsidRDefault="008D1BE3" w:rsidP="008D1BE3">
      <w:pPr>
        <w:keepNext/>
        <w:widowControl/>
        <w:suppressAutoHyphens/>
        <w:spacing w:before="360" w:after="120" w:line="360" w:lineRule="auto"/>
        <w:ind w:right="-1"/>
        <w:jc w:val="center"/>
        <w:outlineLvl w:val="1"/>
        <w:rPr>
          <w:bCs/>
          <w:i/>
          <w:szCs w:val="26"/>
        </w:rPr>
      </w:pPr>
      <w:r w:rsidRPr="00661250">
        <w:t xml:space="preserve">Članak 17. </w:t>
      </w:r>
      <w:r w:rsidRPr="00661250">
        <w:br/>
      </w:r>
      <w:r w:rsidRPr="00661250">
        <w:rPr>
          <w:i/>
        </w:rPr>
        <w:t>Praćenje</w:t>
      </w:r>
    </w:p>
    <w:p w:rsidR="008D1BE3" w:rsidRPr="00661250" w:rsidRDefault="008D1BE3" w:rsidP="008D1BE3">
      <w:pPr>
        <w:widowControl/>
        <w:suppressAutoHyphens/>
        <w:spacing w:before="120" w:after="120" w:line="360" w:lineRule="auto"/>
        <w:ind w:left="567" w:right="-1" w:hanging="567"/>
        <w:jc w:val="both"/>
        <w:rPr>
          <w:rFonts w:eastAsia="Calibri"/>
          <w:szCs w:val="22"/>
        </w:rPr>
      </w:pPr>
      <w:r w:rsidRPr="00661250">
        <w:t>1.</w:t>
      </w:r>
      <w:r w:rsidRPr="00661250">
        <w:tab/>
        <w:t>Države članice prate sljedeće:</w:t>
      </w:r>
    </w:p>
    <w:p w:rsidR="008D1BE3" w:rsidRPr="00661250" w:rsidRDefault="008D1BE3" w:rsidP="008D1BE3">
      <w:pPr>
        <w:widowControl/>
        <w:suppressAutoHyphens/>
        <w:spacing w:before="120" w:after="120" w:line="360" w:lineRule="auto"/>
        <w:ind w:left="1134" w:right="-1" w:hanging="567"/>
        <w:rPr>
          <w:szCs w:val="22"/>
        </w:rPr>
      </w:pPr>
      <w:r w:rsidRPr="00661250">
        <w:t>(a)</w:t>
      </w:r>
      <w:r w:rsidRPr="00661250">
        <w:tab/>
        <w:t>stanje i kretanje stanja stanišnih tipova te kvalitetu i kretanje kvalitete staništa vrsta iz članaka 4. i 5. na područjima obuhvaćenima mjerama obnove na temelju praćenja iz članka 12. stavka 2. točke (h);</w:t>
      </w:r>
    </w:p>
    <w:p w:rsidR="008D1BE3" w:rsidRPr="00661250" w:rsidRDefault="008D1BE3" w:rsidP="008D1BE3">
      <w:pPr>
        <w:widowControl/>
        <w:suppressAutoHyphens/>
        <w:spacing w:before="120" w:after="120" w:line="360" w:lineRule="auto"/>
        <w:ind w:left="1134" w:right="-1" w:hanging="567"/>
        <w:rPr>
          <w:szCs w:val="22"/>
        </w:rPr>
      </w:pPr>
      <w:r w:rsidRPr="00661250">
        <w:t>(b)</w:t>
      </w:r>
      <w:r w:rsidRPr="00661250">
        <w:tab/>
        <w:t xml:space="preserve">područje gradskih zelenih površina i prekrivenost krošnjama stabala </w:t>
      </w:r>
      <w:r w:rsidRPr="00661250">
        <w:rPr>
          <w:b/>
          <w:i/>
        </w:rPr>
        <w:t>unutar područja urbanih ekosustava utvrđenih u skladu s člankom 11. stavkom 2.b</w:t>
      </w:r>
      <w:r w:rsidRPr="00661250">
        <w:t>, kako je navedeno u članku 6.;</w:t>
      </w:r>
    </w:p>
    <w:p w:rsidR="008D1BE3" w:rsidRPr="00661250" w:rsidRDefault="008D1BE3" w:rsidP="008D1BE3">
      <w:pPr>
        <w:widowControl/>
        <w:suppressAutoHyphens/>
        <w:spacing w:before="120" w:after="120" w:line="360" w:lineRule="auto"/>
        <w:ind w:left="1134" w:right="-1" w:hanging="567"/>
        <w:rPr>
          <w:szCs w:val="22"/>
        </w:rPr>
      </w:pPr>
      <w:r w:rsidRPr="00661250">
        <w:t>(c)</w:t>
      </w:r>
      <w:r w:rsidRPr="00661250">
        <w:tab/>
        <w:t>pokazatelje bioraznolikosti u poljoprivrednim ekosustavima navedene u Prilogu IV.;</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(d)</w:t>
      </w:r>
      <w:r w:rsidRPr="00661250">
        <w:tab/>
        <w:t>populacije čestih vrsta ptica poljoprivrednih staništa navedenih u Prilogu V.;</w:t>
      </w:r>
    </w:p>
    <w:p w:rsidR="008D1BE3" w:rsidRPr="00661250" w:rsidRDefault="008D1BE3" w:rsidP="008D1BE3">
      <w:pPr>
        <w:widowControl/>
        <w:suppressAutoHyphens/>
        <w:spacing w:before="120" w:after="120" w:line="360" w:lineRule="auto"/>
        <w:ind w:left="1134" w:right="-1" w:hanging="567"/>
        <w:rPr>
          <w:rFonts w:eastAsia="Calibri"/>
          <w:b/>
          <w:szCs w:val="22"/>
          <w:u w:val="single"/>
        </w:rPr>
      </w:pPr>
      <w:r w:rsidRPr="00661250">
        <w:t>(e)</w:t>
      </w:r>
      <w:r w:rsidRPr="00661250">
        <w:tab/>
      </w:r>
      <w:r w:rsidRPr="00661250">
        <w:rPr>
          <w:b/>
          <w:i/>
        </w:rPr>
        <w:t>tri</w:t>
      </w:r>
      <w:r w:rsidRPr="00661250">
        <w:t xml:space="preserve"> pokazatelja bioraznolikosti u šumskim ekosustavima navedena u </w:t>
      </w:r>
      <w:r w:rsidRPr="00661250">
        <w:rPr>
          <w:b/>
          <w:i/>
        </w:rPr>
        <w:t>članku 10. stavku 2.</w:t>
      </w:r>
      <w:r w:rsidRPr="00661250">
        <w:t>;</w:t>
      </w:r>
    </w:p>
    <w:p w:rsidR="008D1BE3" w:rsidRPr="00661250" w:rsidRDefault="008D1BE3" w:rsidP="008D1BE3">
      <w:pPr>
        <w:widowControl/>
        <w:suppressAutoHyphens/>
        <w:spacing w:before="120" w:after="120" w:line="360" w:lineRule="auto"/>
        <w:ind w:left="1134" w:right="-1" w:hanging="567"/>
        <w:rPr>
          <w:rFonts w:eastAsia="Calibri"/>
          <w:b/>
          <w:i/>
          <w:szCs w:val="22"/>
        </w:rPr>
      </w:pPr>
      <w:r w:rsidRPr="00661250">
        <w:br w:type="page"/>
      </w:r>
      <w:r w:rsidRPr="00661250">
        <w:rPr>
          <w:b/>
          <w:i/>
        </w:rPr>
        <w:lastRenderedPageBreak/>
        <w:t>(ea)</w:t>
      </w:r>
      <w:r w:rsidRPr="00661250">
        <w:rPr>
          <w:b/>
          <w:i/>
        </w:rPr>
        <w:tab/>
        <w:t>tri pokazatelja bioraznolikosti u šumskim ekosustavima među onima koji su navedeni u članku 10. stavku 2.a, prema odabiru države članice;</w:t>
      </w:r>
    </w:p>
    <w:p w:rsidR="008D1BE3" w:rsidRPr="00661250" w:rsidRDefault="008D1BE3" w:rsidP="008D1BE3">
      <w:pPr>
        <w:widowControl/>
        <w:suppressAutoHyphens/>
        <w:spacing w:before="120" w:after="120" w:line="360" w:lineRule="auto"/>
        <w:ind w:left="1134" w:right="-1" w:hanging="567"/>
        <w:rPr>
          <w:szCs w:val="22"/>
        </w:rPr>
      </w:pPr>
      <w:r w:rsidRPr="00661250">
        <w:t>(f)</w:t>
      </w:r>
      <w:r w:rsidRPr="00661250">
        <w:tab/>
        <w:t>brojnost i raznolikost vrsta oprašivača, prema metodi uspostavljenoj u skladu s člankom 8. stavkom 2.;</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(g)</w:t>
      </w:r>
      <w:r w:rsidRPr="00661250">
        <w:tab/>
        <w:t>površinu i stanje površina pokrivenih stanišnim tipovima navedenima u prilozima I. i II.</w:t>
      </w:r>
      <w:r w:rsidRPr="00661250">
        <w:rPr>
          <w:rFonts w:ascii="Arial" w:hAnsi="Arial"/>
          <w:snapToGrid w:val="0"/>
        </w:rPr>
        <w:t>▌</w:t>
      </w:r>
      <w:r w:rsidRPr="00661250">
        <w:t>;</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(h)</w:t>
      </w:r>
      <w:r w:rsidRPr="00661250">
        <w:tab/>
        <w:t>područje i kvalitetu staništa vrsta iz članka 4. stavka 3. i članka 5. stavka 3.</w:t>
      </w:r>
      <w:r w:rsidRPr="00661250">
        <w:rPr>
          <w:rFonts w:ascii="Arial" w:hAnsi="Arial"/>
          <w:snapToGrid w:val="0"/>
        </w:rPr>
        <w:t>▌</w:t>
      </w:r>
      <w:r w:rsidRPr="00661250">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2.</w:t>
      </w:r>
      <w:r w:rsidRPr="00661250">
        <w:tab/>
        <w:t>Praćenje u skladu sa stavkom 1. točkom (a) započinje odmah po uspostavljanju mjera obnove.</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3.</w:t>
      </w:r>
      <w:r w:rsidRPr="00661250">
        <w:tab/>
        <w:t xml:space="preserve">Praćenje u skladu sa stavkom 1. točkama (b), (c), (d), (e) </w:t>
      </w:r>
      <w:r w:rsidRPr="00661250">
        <w:rPr>
          <w:b/>
          <w:i/>
        </w:rPr>
        <w:t>i (ea)</w:t>
      </w:r>
      <w:r w:rsidRPr="00661250">
        <w:t xml:space="preserve"> započinje </w:t>
      </w:r>
      <w:r w:rsidRPr="00661250">
        <w:rPr>
          <w:i/>
        </w:rPr>
        <w:t>[Ured za publikacije: unijeti datum stupanja na snagu ove Uredbe]</w:t>
      </w:r>
      <w:r w:rsidRPr="00661250">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4.</w:t>
      </w:r>
      <w:r w:rsidRPr="00661250">
        <w:tab/>
        <w:t>Praćenje u skladu sa stavkom 1. točkom (f) ovog članka započinje godinu dana nakon stupanja na snagu provedbenog akta iz članka 8. stavka 2.</w:t>
      </w:r>
    </w:p>
    <w:p w:rsidR="008D1BE3" w:rsidRPr="00661250" w:rsidRDefault="008D1BE3" w:rsidP="008D1BE3">
      <w:pPr>
        <w:widowControl/>
        <w:suppressAutoHyphens/>
        <w:spacing w:before="120" w:after="120" w:line="360" w:lineRule="auto"/>
        <w:ind w:left="567" w:right="-1" w:hanging="567"/>
        <w:rPr>
          <w:rFonts w:eastAsia="Calibri"/>
          <w:b/>
          <w:bCs/>
          <w:szCs w:val="22"/>
          <w:u w:val="single"/>
        </w:rPr>
      </w:pPr>
      <w:r w:rsidRPr="00661250">
        <w:br w:type="page"/>
      </w:r>
      <w:r w:rsidRPr="00661250">
        <w:lastRenderedPageBreak/>
        <w:t>5.</w:t>
      </w:r>
      <w:r w:rsidRPr="00661250">
        <w:tab/>
        <w:t>Praćenje u skladu sa stavkom 1. točkama (a)</w:t>
      </w:r>
      <w:r w:rsidRPr="00661250">
        <w:rPr>
          <w:b/>
          <w:i/>
        </w:rPr>
        <w:t xml:space="preserve"> i</w:t>
      </w:r>
      <w:r w:rsidRPr="00661250">
        <w:t xml:space="preserve"> (b) </w:t>
      </w:r>
      <w:r w:rsidRPr="00661250">
        <w:rPr>
          <w:b/>
          <w:bCs/>
          <w:i/>
        </w:rPr>
        <w:t>provodi se najmanje svakih šest godina</w:t>
      </w:r>
      <w:r w:rsidRPr="00661250">
        <w:t>.</w:t>
      </w:r>
      <w:r w:rsidRPr="00661250">
        <w:rPr>
          <w:b/>
          <w:i/>
        </w:rPr>
        <w:t xml:space="preserve"> Praćenje u skladu s točkom (c) tog stavka</w:t>
      </w:r>
      <w:r w:rsidRPr="00661250">
        <w:t xml:space="preserve"> </w:t>
      </w:r>
      <w:r w:rsidRPr="00661250">
        <w:rPr>
          <w:rFonts w:ascii="Arial" w:hAnsi="Arial"/>
          <w:snapToGrid w:val="0"/>
        </w:rPr>
        <w:t>▌</w:t>
      </w:r>
      <w:r w:rsidRPr="00661250">
        <w:t xml:space="preserve">, koje se odnosi na zalihe organskog ugljika u mineralnim tlima zemljišta pod usjevima i udio poljoprivrednog zemljišta s obilježjima krajobraza velike raznolikosti, te točkom (e) koje se odnosi na stojeće mrtvo drvo </w:t>
      </w:r>
      <w:r w:rsidRPr="00661250">
        <w:rPr>
          <w:b/>
          <w:i/>
        </w:rPr>
        <w:t>i na</w:t>
      </w:r>
      <w:r w:rsidRPr="00661250">
        <w:t xml:space="preserve"> ležeće mrtvo drvo </w:t>
      </w:r>
      <w:r w:rsidRPr="00661250">
        <w:rPr>
          <w:b/>
          <w:i/>
        </w:rPr>
        <w:t>te, prema potrebi,</w:t>
      </w:r>
      <w:r w:rsidRPr="00661250">
        <w:t xml:space="preserve"> udio šuma raznodobne strukture, povezanost šuma, </w:t>
      </w:r>
      <w:r w:rsidRPr="00661250">
        <w:rPr>
          <w:b/>
          <w:i/>
        </w:rPr>
        <w:t>udio šume u kojem prevladavaju zavičajne vrste drveća, raznolikost vrsta drveća</w:t>
      </w:r>
      <w:r w:rsidRPr="00661250">
        <w:t xml:space="preserve"> i zalihe organskog ugljika provodi se najmanje </w:t>
      </w:r>
      <w:r w:rsidRPr="00661250">
        <w:rPr>
          <w:b/>
          <w:i/>
        </w:rPr>
        <w:t>svakih šest</w:t>
      </w:r>
      <w:r w:rsidRPr="00661250">
        <w:t xml:space="preserve"> godina </w:t>
      </w:r>
      <w:r w:rsidRPr="00661250">
        <w:rPr>
          <w:b/>
          <w:bCs/>
          <w:i/>
          <w:iCs/>
        </w:rPr>
        <w:t>odnosno, ako je to potrebno za ocjenu postizanja rastućih trendova do 2030., uz kraći interval</w:t>
      </w:r>
      <w:r w:rsidRPr="00661250">
        <w:t>. Praćenje u skladu s točkom </w:t>
      </w:r>
      <w:bookmarkStart w:id="84" w:name="_Hlk133507155"/>
      <w:r w:rsidRPr="00661250">
        <w:t>(c) tog stavka koje se odnosi na indeks populacije travnjačkih leptira, točkama (d) i (e) tog stavka koje se odnosi na indeks čestih vrsta ptica šumskih staništa i točkom (f) tog stavka koje se odnosi na vrste oprašivača</w:t>
      </w:r>
      <w:bookmarkEnd w:id="84"/>
      <w:r w:rsidRPr="00661250">
        <w:t xml:space="preserve"> provodi se svake godine. Praćenje u skladu s točkama (g) i (h) tog stavka provodi se najmanje svakih šest godina te se usklađuje s ciklusom izvješćivanja iz članka 17. Direktive 92/43/EEZ</w:t>
      </w:r>
      <w:r w:rsidRPr="00661250">
        <w:rPr>
          <w:b/>
          <w:i/>
        </w:rPr>
        <w:t xml:space="preserve"> i početnom procjenom iz članka 17. Dir</w:t>
      </w:r>
      <w:r w:rsidR="00F53FDE">
        <w:rPr>
          <w:b/>
          <w:i/>
        </w:rPr>
        <w:t>ektive </w:t>
      </w:r>
      <w:r w:rsidRPr="00661250">
        <w:rPr>
          <w:b/>
          <w:i/>
        </w:rPr>
        <w:t>2008</w:t>
      </w:r>
      <w:r w:rsidR="00F53FDE">
        <w:rPr>
          <w:b/>
          <w:i/>
        </w:rPr>
        <w:t>/56</w:t>
      </w:r>
      <w:r w:rsidRPr="00661250">
        <w:rPr>
          <w:b/>
          <w:i/>
        </w:rPr>
        <w:t>/EZ</w:t>
      </w:r>
      <w:r w:rsidRPr="00661250">
        <w:t>.</w:t>
      </w:r>
    </w:p>
    <w:p w:rsidR="008D1BE3" w:rsidRPr="00661250" w:rsidRDefault="008D1BE3" w:rsidP="008D1BE3">
      <w:pPr>
        <w:widowControl/>
        <w:suppressAutoHyphens/>
        <w:spacing w:before="120" w:after="120" w:line="360" w:lineRule="auto"/>
        <w:ind w:left="567" w:right="-1" w:hanging="567"/>
        <w:rPr>
          <w:rFonts w:eastAsia="Calibri"/>
          <w:b/>
          <w:szCs w:val="22"/>
          <w:u w:val="single"/>
        </w:rPr>
      </w:pPr>
      <w:r w:rsidRPr="00661250">
        <w:t>6.</w:t>
      </w:r>
      <w:r w:rsidRPr="00661250">
        <w:tab/>
        <w:t xml:space="preserve">Države članice osiguravaju da je praćenje pokazatelja za poljoprivredne ekosustave iz članka 9. stavka 2. točke (b) i pokazatelja za šumske ekosustave iz članka 10. stavka 2. točaka (a) i (b) i </w:t>
      </w:r>
      <w:r w:rsidRPr="00661250">
        <w:rPr>
          <w:b/>
          <w:i/>
        </w:rPr>
        <w:t>članka 10. stavka 2.a točke (c)</w:t>
      </w:r>
      <w:r w:rsidRPr="00661250">
        <w:t xml:space="preserve"> ove Uredbe usklađeno s praćenjem propisanim uredbama (EU) 2018/841 i (EU) 2018/1999.</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7.</w:t>
      </w:r>
      <w:r w:rsidRPr="00661250">
        <w:tab/>
        <w:t>Države članice javno objavljuju podatke dobivene praćenjem provedenim na temelju ovog članka u skladu s Direktivom 2007/2/EZ Europskog parlamenta i Vijeća te u skladu s učestalosti praćenja propisanom u stavku 5.</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br w:type="page"/>
      </w:r>
      <w:r w:rsidRPr="00661250">
        <w:lastRenderedPageBreak/>
        <w:t>8.</w:t>
      </w:r>
      <w:r w:rsidRPr="00661250">
        <w:tab/>
        <w:t>U sustavima za praćenje država članica, koji djeluju na temelju elektroničkih baza podataka i geografskih informacijskih sustava, u najvećoj mogućoj mjeri pristupa se i upotrebljavaju se podaci i usluge dobiveni tehnologijama daljinskog istraživanja, promatranjem Zemlje (usluge programa Copernicus) te senzorima i uređajima in situ odnosno podaci prikupljeni građanskim inicijativama u području znanosti, koristeći se prednostima umjetne inteligencije te napredne analize i obrade podataka.</w:t>
      </w:r>
    </w:p>
    <w:p w:rsidR="008D1BE3" w:rsidRPr="00661250" w:rsidRDefault="008D1BE3" w:rsidP="008D1BE3">
      <w:pPr>
        <w:widowControl/>
        <w:suppressAutoHyphens/>
        <w:spacing w:before="120" w:after="120" w:line="360" w:lineRule="auto"/>
        <w:ind w:left="567" w:right="-1" w:hanging="567"/>
        <w:jc w:val="both"/>
        <w:rPr>
          <w:rFonts w:eastAsia="Calibri"/>
          <w:szCs w:val="22"/>
        </w:rPr>
      </w:pPr>
      <w:r w:rsidRPr="00661250">
        <w:t>9.</w:t>
      </w:r>
      <w:r w:rsidRPr="00661250">
        <w:tab/>
        <w:t>Komisija može donijeti provedbene akte kako bi:</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(a)</w:t>
      </w:r>
      <w:r w:rsidRPr="00661250">
        <w:tab/>
        <w:t>utvrdila metode za praćenje pokazatelja za poljoprivredne ekosustave navedenih u Prilogu IV.;</w:t>
      </w:r>
    </w:p>
    <w:p w:rsidR="008D1BE3" w:rsidRPr="00661250" w:rsidRDefault="008D1BE3" w:rsidP="008D1BE3">
      <w:pPr>
        <w:widowControl/>
        <w:suppressAutoHyphens/>
        <w:spacing w:before="120" w:after="120" w:line="360" w:lineRule="auto"/>
        <w:ind w:left="1134" w:right="-1" w:hanging="567"/>
        <w:rPr>
          <w:rFonts w:eastAsia="Calibri"/>
          <w:b/>
          <w:bCs/>
          <w:szCs w:val="22"/>
          <w:u w:val="single"/>
        </w:rPr>
      </w:pPr>
      <w:r w:rsidRPr="00661250">
        <w:t>(b)</w:t>
      </w:r>
      <w:r w:rsidRPr="00661250">
        <w:tab/>
        <w:t>utvrdila metode za praćenje pokazatelja za šumske ekosustave navedenih u Prilogu VI.;</w:t>
      </w:r>
    </w:p>
    <w:p w:rsidR="008D1BE3" w:rsidRPr="00661250" w:rsidRDefault="008D1BE3" w:rsidP="008D1BE3">
      <w:pPr>
        <w:widowControl/>
        <w:suppressAutoHyphens/>
        <w:spacing w:before="120" w:after="120" w:line="360" w:lineRule="auto"/>
        <w:ind w:left="1134" w:right="-1" w:hanging="567"/>
        <w:rPr>
          <w:rFonts w:eastAsia="Calibri"/>
          <w:b/>
          <w:bCs/>
          <w:szCs w:val="22"/>
          <w:u w:val="single"/>
        </w:rPr>
      </w:pPr>
      <w:r w:rsidRPr="00661250">
        <w:t>(c)</w:t>
      </w:r>
      <w:r w:rsidRPr="00661250">
        <w:tab/>
      </w:r>
      <w:r w:rsidRPr="00661250">
        <w:rPr>
          <w:b/>
          <w:bCs/>
          <w:i/>
          <w:iCs/>
        </w:rPr>
        <w:t>uspostavila</w:t>
      </w:r>
      <w:r w:rsidRPr="00661250">
        <w:t xml:space="preserve"> </w:t>
      </w:r>
      <w:r w:rsidRPr="00661250">
        <w:rPr>
          <w:b/>
          <w:bCs/>
          <w:i/>
          <w:iCs/>
        </w:rPr>
        <w:t>orijentacijski</w:t>
      </w:r>
      <w:r w:rsidRPr="00661250">
        <w:t xml:space="preserve"> okvir za određivanje zadovoljavajućih razina iz članka 1</w:t>
      </w:r>
      <w:r w:rsidRPr="00661250">
        <w:rPr>
          <w:b/>
          <w:bCs/>
          <w:i/>
          <w:iCs/>
        </w:rPr>
        <w:t>0. stavka 2. i članka 10. stavka 2.a</w:t>
      </w:r>
      <w:r w:rsidRPr="00661250">
        <w:t>.</w:t>
      </w:r>
    </w:p>
    <w:p w:rsidR="008D1BE3" w:rsidRPr="00661250" w:rsidRDefault="008D1BE3" w:rsidP="008D1BE3">
      <w:pPr>
        <w:widowControl/>
        <w:suppressAutoHyphens/>
        <w:spacing w:before="120" w:after="120" w:line="360" w:lineRule="auto"/>
        <w:ind w:left="567" w:right="-1" w:hanging="567"/>
        <w:rPr>
          <w:rFonts w:eastAsia="Calibri"/>
          <w:b/>
          <w:bCs/>
          <w:i/>
          <w:szCs w:val="22"/>
        </w:rPr>
      </w:pPr>
      <w:r w:rsidRPr="00661250">
        <w:rPr>
          <w:b/>
          <w:i/>
        </w:rPr>
        <w:t>9.a</w:t>
      </w:r>
      <w:r w:rsidRPr="00661250">
        <w:rPr>
          <w:b/>
          <w:i/>
        </w:rPr>
        <w:tab/>
        <w:t>Komisija do 2028. donosi provedbene akte za uspostavu orijentacijskog okvira za određivanje zadovoljavajućih razina iz članka 6. stavka 2., članka 6. stavka 3., članka 8. stavka 1. i članka 9. stavka 2.</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rPr>
          <w:b/>
          <w:i/>
        </w:rPr>
        <w:t>9.b</w:t>
      </w:r>
      <w:r w:rsidRPr="00661250">
        <w:tab/>
      </w:r>
      <w:r w:rsidRPr="00661250">
        <w:rPr>
          <w:rFonts w:ascii="Arial" w:hAnsi="Arial"/>
          <w:snapToGrid w:val="0"/>
        </w:rPr>
        <w:t>▌</w:t>
      </w:r>
      <w:r w:rsidRPr="00661250">
        <w:t xml:space="preserve">Provedbeni akti </w:t>
      </w:r>
      <w:r w:rsidRPr="00661250">
        <w:rPr>
          <w:b/>
          <w:i/>
        </w:rPr>
        <w:t>na temelju stavaka 9. i 9.a</w:t>
      </w:r>
      <w:r w:rsidRPr="00661250">
        <w:t xml:space="preserve"> donose se u skladu s postupkom ispitivanja iz članka 21. stavka 2.</w:t>
      </w:r>
    </w:p>
    <w:p w:rsidR="008D1BE3" w:rsidRPr="00661250" w:rsidRDefault="008D1BE3" w:rsidP="008D1BE3">
      <w:pPr>
        <w:keepNext/>
        <w:widowControl/>
        <w:suppressAutoHyphens/>
        <w:spacing w:before="360" w:after="120" w:line="360" w:lineRule="auto"/>
        <w:ind w:right="-1"/>
        <w:jc w:val="center"/>
        <w:outlineLvl w:val="1"/>
        <w:rPr>
          <w:b/>
          <w:bCs/>
          <w:szCs w:val="26"/>
        </w:rPr>
      </w:pPr>
      <w:r w:rsidRPr="00661250">
        <w:br w:type="page"/>
      </w:r>
      <w:r w:rsidRPr="00661250">
        <w:lastRenderedPageBreak/>
        <w:t xml:space="preserve">Članak 18. </w:t>
      </w:r>
      <w:r w:rsidRPr="00661250">
        <w:br/>
      </w:r>
      <w:r w:rsidRPr="00661250">
        <w:rPr>
          <w:i/>
        </w:rPr>
        <w:t>Izvješćivanje</w:t>
      </w:r>
      <w:r w:rsidRPr="00661250">
        <w:rPr>
          <w:b/>
        </w:rPr>
        <w:t xml:space="preserve"> </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1.</w:t>
      </w:r>
      <w:r w:rsidRPr="00661250">
        <w:tab/>
        <w:t xml:space="preserve">Države članice </w:t>
      </w:r>
      <w:bookmarkStart w:id="85" w:name="_Hlk134702956"/>
      <w:r w:rsidRPr="00661250">
        <w:rPr>
          <w:b/>
          <w:i/>
        </w:rPr>
        <w:t>najmanje svake tri godine</w:t>
      </w:r>
      <w:r w:rsidRPr="00661250">
        <w:t xml:space="preserve"> izvješćuju Komisiju elektroničkim putem koja područja podliježu mjerama obnove iz članaka od 4. do 10. i preprekama iz članka 7. koje su uklonjene.</w:t>
      </w:r>
      <w:r w:rsidRPr="00661250">
        <w:rPr>
          <w:b/>
          <w:i/>
        </w:rPr>
        <w:t xml:space="preserve"> Prvo se izvješće podnosi u lipnju 2028.</w:t>
      </w:r>
    </w:p>
    <w:bookmarkEnd w:id="85"/>
    <w:p w:rsidR="008D1BE3" w:rsidRPr="00661250" w:rsidRDefault="008D1BE3" w:rsidP="008D1BE3">
      <w:pPr>
        <w:widowControl/>
        <w:suppressAutoHyphens/>
        <w:spacing w:before="120" w:after="120" w:line="360" w:lineRule="auto"/>
        <w:ind w:left="567" w:right="-1" w:hanging="567"/>
        <w:rPr>
          <w:rFonts w:eastAsia="Calibri"/>
          <w:szCs w:val="22"/>
        </w:rPr>
      </w:pPr>
      <w:r w:rsidRPr="00661250">
        <w:t>2.</w:t>
      </w:r>
      <w:r w:rsidRPr="00661250">
        <w:tab/>
        <w:t xml:space="preserve">Države članice uz pomoć EEA-e najmanje svakih </w:t>
      </w:r>
      <w:r w:rsidRPr="00661250">
        <w:rPr>
          <w:b/>
          <w:i/>
        </w:rPr>
        <w:t>šest</w:t>
      </w:r>
      <w:r w:rsidRPr="00661250">
        <w:t xml:space="preserve"> godina Komisiji elektroničkim putem dostavljaju sljedeće podatke i informacije:</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(a)</w:t>
      </w:r>
      <w:r w:rsidRPr="00661250">
        <w:tab/>
        <w:t>napredak u provedbi nacionalnog plana obnove, uspostavi mjera obnove te postizanju ciljeva i obveza utvrđenih u skladu s člancima od 4. do 10.;</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(b)</w:t>
      </w:r>
      <w:r w:rsidRPr="00661250">
        <w:tab/>
        <w:t xml:space="preserve">rezultate praćenja koje se provodi u skladu s člankom 17. Izvješće o rezultatima praćenja koje se provodi u skladu s člankom 17. stavkom 1. točkama (g) i (h) </w:t>
      </w:r>
      <w:r w:rsidRPr="00661250">
        <w:rPr>
          <w:b/>
          <w:i/>
        </w:rPr>
        <w:t>podnosi se i uključuje</w:t>
      </w:r>
      <w:r w:rsidRPr="00661250">
        <w:t xml:space="preserve"> </w:t>
      </w:r>
      <w:r w:rsidRPr="00661250">
        <w:rPr>
          <w:b/>
          <w:i/>
        </w:rPr>
        <w:t>georeferencirane karte</w:t>
      </w:r>
      <w:r w:rsidRPr="00661250">
        <w:t>;</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(c)</w:t>
      </w:r>
      <w:r w:rsidRPr="00661250">
        <w:tab/>
        <w:t>lokaciju i opseg područja obuhvaćenih mjerama obnove iz članka 4., članka 5. i članka 9. stavka 4., uključujući georeferenciranu kartu tih područja;</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(d)</w:t>
      </w:r>
      <w:r w:rsidRPr="00661250">
        <w:tab/>
        <w:t>ažurirani inventar prepreka iz članka 7. stavka 1.;</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t>(e)</w:t>
      </w:r>
      <w:r w:rsidRPr="00661250">
        <w:tab/>
        <w:t>informacije o napretku postignutom u zadovoljavanju financijskih potreba u skladu s člankom 12. stavkom 2. točkom (l), uključujući preispitivanje stvarnog ulaganja naspram početnih pretpostavki o ulaganju.</w:t>
      </w:r>
    </w:p>
    <w:p w:rsidR="008D1BE3" w:rsidRPr="00661250" w:rsidRDefault="008D1BE3" w:rsidP="008D1BE3">
      <w:pPr>
        <w:widowControl/>
        <w:suppressAutoHyphens/>
        <w:spacing w:before="120" w:after="120" w:line="360" w:lineRule="auto"/>
        <w:ind w:right="-1"/>
        <w:rPr>
          <w:rFonts w:eastAsia="Calibri"/>
          <w:szCs w:val="22"/>
        </w:rPr>
      </w:pPr>
      <w:r w:rsidRPr="00661250">
        <w:t>Prva izvješća podnose se u lipnju 2031. i obuhvaćaju razdoblje do 2030. godine.</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br w:type="page"/>
      </w:r>
      <w:r w:rsidRPr="00661250">
        <w:lastRenderedPageBreak/>
        <w:t>3.</w:t>
      </w:r>
      <w:r w:rsidRPr="00661250">
        <w:tab/>
        <w:t>Komisija donosi provedbene akte kako bi utvrdila format, strukturu i podrobno razrađena rješenja za iznošenje informacija iz stavaka 1. i 2. ovog članka. Ti se provedbeni akti donose u skladu s postupkom ispitivanja iz članka 21. stavka 2. Pri izradi formata, strukture i podrobno razrađenih rješenja za elektroničko izvješćivanje Komisiji pomaže EEA.</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4.</w:t>
      </w:r>
      <w:r w:rsidRPr="00661250">
        <w:tab/>
        <w:t xml:space="preserve">EEA Komisiji </w:t>
      </w:r>
      <w:r w:rsidRPr="00661250">
        <w:rPr>
          <w:b/>
          <w:i/>
        </w:rPr>
        <w:t>svake tri godine</w:t>
      </w:r>
      <w:r w:rsidRPr="00661250">
        <w:t xml:space="preserve"> dostavlja </w:t>
      </w:r>
      <w:r w:rsidRPr="00661250">
        <w:rPr>
          <w:rFonts w:ascii="Arial" w:hAnsi="Arial"/>
          <w:snapToGrid w:val="0"/>
        </w:rPr>
        <w:t>▌</w:t>
      </w:r>
      <w:r w:rsidRPr="00661250">
        <w:t>tehnički pregled napretka postignutog u ispunjavanju ciljeva i obveza utvrđenih u ovoj Uredbi, na temelju podataka koje su države članice stavile na raspolaganje u skladu sa stavkom 1. ovog članka i člankom 17. stavkom 7.</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5.</w:t>
      </w:r>
      <w:r w:rsidRPr="00661250">
        <w:tab/>
        <w:t>EEA Komisiji dostavlja tehničko izvješće na razini Unije o napretku postignutom u ispunjavanju ciljeva i obveza utvrđenih u ovoj Uredbi, na temelju podataka koje su države članice stavile na raspolaganje u skladu sa stavcima 1., 2. i 3. ovog članka. Može se koristiti i informacijama dostavljenima na temelju članka 17. Direktive 92/43/EEZ, članka 15. Direktive 2000/60/EZ, članka 12. Direktive 2009/147/EZ i članka </w:t>
      </w:r>
      <w:r w:rsidRPr="00661250">
        <w:rPr>
          <w:b/>
          <w:i/>
        </w:rPr>
        <w:t>17.</w:t>
      </w:r>
      <w:r w:rsidRPr="00661250">
        <w:t xml:space="preserve"> Direktive 2008/56/EZ. Izvješće se dostavlja do lipnja 2032., nakon čega se daljnja izvješća dostavljaju </w:t>
      </w:r>
      <w:r w:rsidRPr="00661250">
        <w:rPr>
          <w:b/>
          <w:i/>
        </w:rPr>
        <w:t>svakih šest godina</w:t>
      </w:r>
      <w:r w:rsidRPr="00661250">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6.</w:t>
      </w:r>
      <w:r w:rsidRPr="00661250">
        <w:tab/>
        <w:t xml:space="preserve">Komisija, </w:t>
      </w:r>
      <w:r w:rsidRPr="00661250">
        <w:rPr>
          <w:b/>
          <w:i/>
        </w:rPr>
        <w:t>počevši od [četiri godine od stupanja na snagu ove Uredbe]</w:t>
      </w:r>
      <w:r w:rsidRPr="00661250">
        <w:t xml:space="preserve">, </w:t>
      </w:r>
      <w:r w:rsidRPr="00661250">
        <w:rPr>
          <w:b/>
          <w:i/>
        </w:rPr>
        <w:t>svakih šest godina</w:t>
      </w:r>
      <w:r w:rsidRPr="00661250">
        <w:t xml:space="preserve"> izvješćuje Europski parlament i Vijeće o provedbi ove Uredbe.</w:t>
      </w:r>
    </w:p>
    <w:p w:rsidR="008D1BE3" w:rsidRPr="00661250" w:rsidRDefault="008D1BE3" w:rsidP="00661250">
      <w:pPr>
        <w:widowControl/>
        <w:suppressAutoHyphens/>
        <w:spacing w:before="120" w:after="120" w:line="360" w:lineRule="auto"/>
        <w:ind w:left="567" w:right="-1" w:hanging="567"/>
        <w:rPr>
          <w:b/>
          <w:i/>
        </w:rPr>
      </w:pPr>
      <w:r w:rsidRPr="00661250">
        <w:br w:type="page"/>
      </w:r>
    </w:p>
    <w:p w:rsidR="00410A60" w:rsidRPr="00661250" w:rsidRDefault="00410A60" w:rsidP="00661250">
      <w:pPr>
        <w:widowControl/>
        <w:suppressAutoHyphens/>
        <w:spacing w:before="120" w:after="120" w:line="360" w:lineRule="auto"/>
        <w:ind w:left="567" w:right="-1" w:hanging="567"/>
        <w:rPr>
          <w:rFonts w:eastAsia="Calibri"/>
          <w:b/>
          <w:bCs/>
          <w:i/>
          <w:szCs w:val="22"/>
        </w:rPr>
      </w:pPr>
      <w:r w:rsidRPr="00661250">
        <w:rPr>
          <w:rFonts w:eastAsia="Calibri"/>
          <w:b/>
          <w:bCs/>
          <w:i/>
          <w:szCs w:val="22"/>
        </w:rPr>
        <w:lastRenderedPageBreak/>
        <w:t>6.a</w:t>
      </w:r>
      <w:r w:rsidRPr="00661250">
        <w:rPr>
          <w:rFonts w:eastAsia="Calibri"/>
          <w:b/>
          <w:bCs/>
          <w:i/>
          <w:szCs w:val="22"/>
        </w:rPr>
        <w:tab/>
        <w:t>U roku od 12 mjeseci od datuma stupanja na snagu ove Uredbe Komisija, uz savjetovanje s državama članicama, podnosi izvješće Europskom parlamentu i Vijeću koje sadržava:</w:t>
      </w:r>
    </w:p>
    <w:p w:rsidR="00410A60" w:rsidRPr="00661250" w:rsidRDefault="00410A60" w:rsidP="00661250">
      <w:pPr>
        <w:widowControl/>
        <w:suppressAutoHyphens/>
        <w:spacing w:before="120" w:after="120" w:line="360" w:lineRule="auto"/>
        <w:ind w:left="567" w:right="-1" w:hanging="567"/>
        <w:rPr>
          <w:rFonts w:eastAsia="Calibri"/>
          <w:b/>
          <w:bCs/>
          <w:i/>
          <w:szCs w:val="22"/>
        </w:rPr>
      </w:pPr>
      <w:r w:rsidRPr="00661250">
        <w:rPr>
          <w:rFonts w:eastAsia="Calibri"/>
          <w:b/>
          <w:bCs/>
          <w:i/>
          <w:szCs w:val="22"/>
        </w:rPr>
        <w:t>(a) pregled financijskih sredstava dostupnih na razini Unije za potrebe provedbe ove Uredbe;</w:t>
      </w:r>
    </w:p>
    <w:p w:rsidR="00410A60" w:rsidRPr="00661250" w:rsidRDefault="00410A60" w:rsidP="00661250">
      <w:pPr>
        <w:widowControl/>
        <w:suppressAutoHyphens/>
        <w:spacing w:before="120" w:after="120" w:line="360" w:lineRule="auto"/>
        <w:ind w:left="567" w:right="-1" w:hanging="567"/>
        <w:rPr>
          <w:rFonts w:eastAsia="Calibri"/>
          <w:b/>
          <w:bCs/>
          <w:i/>
          <w:szCs w:val="22"/>
        </w:rPr>
      </w:pPr>
      <w:r w:rsidRPr="00661250">
        <w:rPr>
          <w:rFonts w:eastAsia="Calibri"/>
          <w:b/>
          <w:bCs/>
          <w:i/>
          <w:szCs w:val="22"/>
        </w:rPr>
        <w:t>(b) procjenu potreba za financiranjem radi provedbe članaka od 4. do 10. i postizanja cilja utvrđenog u članku 1. stavku 2.;</w:t>
      </w:r>
    </w:p>
    <w:p w:rsidR="00410A60" w:rsidRPr="00661250" w:rsidRDefault="00410A60" w:rsidP="00661250">
      <w:pPr>
        <w:widowControl/>
        <w:suppressAutoHyphens/>
        <w:spacing w:before="120" w:after="120" w:line="360" w:lineRule="auto"/>
        <w:ind w:left="567" w:right="-1" w:hanging="567"/>
        <w:rPr>
          <w:rFonts w:eastAsia="Calibri"/>
          <w:b/>
          <w:bCs/>
          <w:i/>
          <w:szCs w:val="22"/>
        </w:rPr>
      </w:pPr>
      <w:r w:rsidRPr="00661250">
        <w:rPr>
          <w:rFonts w:eastAsia="Calibri"/>
          <w:b/>
          <w:bCs/>
          <w:i/>
          <w:szCs w:val="22"/>
        </w:rPr>
        <w:t>(c) analizu kako bi se utvrdili svi nedostaci u financiranju provedbe obveza utvrđenih u Uredbi, među ostalim za financijsku nadoknadu mogućih gubitaka vlasnika zemljišta i upravitelja zemljišta izravno nastalih zbog provedbe ove Uredbe;</w:t>
      </w:r>
    </w:p>
    <w:p w:rsidR="00410A60" w:rsidRPr="00661250" w:rsidRDefault="00410A60" w:rsidP="00661250">
      <w:pPr>
        <w:widowControl/>
        <w:suppressAutoHyphens/>
        <w:spacing w:before="120" w:after="120" w:line="360" w:lineRule="auto"/>
        <w:ind w:left="567" w:right="-1" w:hanging="567"/>
        <w:rPr>
          <w:rFonts w:eastAsia="Calibri"/>
          <w:b/>
          <w:bCs/>
          <w:i/>
          <w:szCs w:val="22"/>
        </w:rPr>
      </w:pPr>
      <w:r w:rsidRPr="00661250">
        <w:rPr>
          <w:rFonts w:eastAsia="Calibri"/>
          <w:b/>
          <w:bCs/>
          <w:i/>
          <w:szCs w:val="22"/>
        </w:rPr>
        <w:t>(d) prema potrebi, prijedloge odgovarajućih dodatnih mjera, uključujući financijske mjere za otklanjanje utvrđenih nedostataka, kao što je uspostava namjenskog instrumenta, i ne dovodeći u pitanje ovlasti suzakonodavaca za donošenje višegodišnjeg financijskog okvira za razdoblje nakon 2027.</w:t>
      </w:r>
      <w:r w:rsidRPr="00661250">
        <w:rPr>
          <w:rFonts w:eastAsia="Calibri"/>
          <w:b/>
          <w:szCs w:val="22"/>
          <w:lang w:eastAsia="en-US"/>
        </w:rPr>
        <w:t xml:space="preserve"> [Am. 11]</w:t>
      </w:r>
    </w:p>
    <w:p w:rsidR="008D1BE3" w:rsidRPr="00661250" w:rsidRDefault="008D1BE3" w:rsidP="008D1BE3">
      <w:pPr>
        <w:widowControl/>
        <w:suppressAutoHyphens/>
        <w:spacing w:before="120" w:after="120" w:line="360" w:lineRule="auto"/>
        <w:ind w:left="567" w:right="-1" w:hanging="567"/>
      </w:pPr>
      <w:r w:rsidRPr="00661250">
        <w:t>7.</w:t>
      </w:r>
      <w:r w:rsidRPr="00661250">
        <w:tab/>
        <w:t>Države članice dužne su osigurati da su informacije iz stavaka 1. i 2. prikladne, ažurirane i dostupne javnosti u skladu s Direktivom 2003/4/EZ Europskog parlamenta i Vijeća te direktivama 2007/2/EZ i (EU) 2019/1024 Parlamenta i Vijeća.</w:t>
      </w:r>
    </w:p>
    <w:p w:rsidR="00887BCC" w:rsidRPr="00661250" w:rsidRDefault="00887BCC" w:rsidP="004D4AEA">
      <w:pPr>
        <w:widowControl/>
        <w:suppressAutoHyphens/>
        <w:spacing w:before="120" w:after="120" w:line="360" w:lineRule="auto"/>
        <w:ind w:left="567" w:right="-1" w:hanging="567"/>
        <w:jc w:val="center"/>
        <w:rPr>
          <w:rFonts w:eastAsia="Calibri"/>
          <w:b/>
          <w:i/>
          <w:szCs w:val="22"/>
        </w:rPr>
      </w:pPr>
      <w:r w:rsidRPr="00661250">
        <w:rPr>
          <w:rFonts w:eastAsia="Calibri"/>
          <w:b/>
          <w:i/>
          <w:szCs w:val="22"/>
        </w:rPr>
        <w:br w:type="page"/>
      </w:r>
    </w:p>
    <w:p w:rsidR="008D1BE3" w:rsidRPr="00661250" w:rsidRDefault="008D1BE3" w:rsidP="008D1BE3">
      <w:pPr>
        <w:keepNext/>
        <w:widowControl/>
        <w:suppressAutoHyphens/>
        <w:spacing w:before="360" w:after="360" w:line="360" w:lineRule="auto"/>
        <w:jc w:val="center"/>
        <w:outlineLvl w:val="0"/>
        <w:rPr>
          <w:b/>
          <w:bCs/>
          <w:smallCaps/>
          <w:sz w:val="32"/>
          <w:szCs w:val="28"/>
        </w:rPr>
      </w:pPr>
      <w:r w:rsidRPr="00661250">
        <w:rPr>
          <w:b/>
          <w:smallCaps/>
          <w:sz w:val="32"/>
        </w:rPr>
        <w:lastRenderedPageBreak/>
        <w:t xml:space="preserve">POGLAVLJE V. </w:t>
      </w:r>
      <w:r w:rsidRPr="00661250">
        <w:rPr>
          <w:b/>
          <w:smallCaps/>
          <w:sz w:val="32"/>
        </w:rPr>
        <w:br/>
        <w:t xml:space="preserve">DELEGIRANE OVLASTI I POSTUPAK ODBORA </w:t>
      </w:r>
    </w:p>
    <w:p w:rsidR="008D1BE3" w:rsidRPr="00661250" w:rsidRDefault="008D1BE3" w:rsidP="008D1BE3">
      <w:pPr>
        <w:keepNext/>
        <w:widowControl/>
        <w:suppressAutoHyphens/>
        <w:spacing w:before="360" w:after="120" w:line="360" w:lineRule="auto"/>
        <w:ind w:right="-1"/>
        <w:jc w:val="center"/>
        <w:outlineLvl w:val="1"/>
        <w:rPr>
          <w:bCs/>
          <w:i/>
          <w:szCs w:val="26"/>
        </w:rPr>
      </w:pPr>
      <w:r w:rsidRPr="00661250">
        <w:t xml:space="preserve">Članak 19. </w:t>
      </w:r>
      <w:r w:rsidRPr="00661250">
        <w:br/>
      </w:r>
      <w:r w:rsidRPr="00661250">
        <w:rPr>
          <w:i/>
        </w:rPr>
        <w:t>Izmjena prilogâ</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1.</w:t>
      </w:r>
      <w:r w:rsidRPr="00661250">
        <w:tab/>
        <w:t xml:space="preserve">Komisija je ovlaštena za donošenje delegiranih akata u skladu s člankom 20. u cilju izmjene Priloga I. </w:t>
      </w:r>
      <w:r w:rsidRPr="00661250">
        <w:rPr>
          <w:b/>
          <w:i/>
        </w:rPr>
        <w:t>kako bi se način na koji su</w:t>
      </w:r>
      <w:r w:rsidRPr="00661250">
        <w:t xml:space="preserve"> </w:t>
      </w:r>
      <w:r w:rsidRPr="00661250">
        <w:rPr>
          <w:rFonts w:ascii="Arial" w:hAnsi="Arial"/>
          <w:snapToGrid w:val="0"/>
        </w:rPr>
        <w:t>▌</w:t>
      </w:r>
      <w:r w:rsidRPr="00661250">
        <w:rPr>
          <w:b/>
          <w:i/>
        </w:rPr>
        <w:t>stanišni tipovi grupirani prilagodio sukladno tehničkom i znanstvenom napretku te kako bi se uzelo u obzir iskustvo stečeno u primjeni ove Uredbe</w:t>
      </w:r>
      <w:r w:rsidRPr="00661250">
        <w:t>.</w:t>
      </w:r>
    </w:p>
    <w:p w:rsidR="008D1BE3" w:rsidRPr="00661250" w:rsidRDefault="008D1BE3" w:rsidP="008D1BE3">
      <w:pPr>
        <w:widowControl/>
        <w:suppressAutoHyphens/>
        <w:spacing w:before="120" w:after="120" w:line="360" w:lineRule="auto"/>
        <w:ind w:left="567" w:right="-1" w:hanging="567"/>
        <w:rPr>
          <w:rFonts w:eastAsia="Calibri"/>
          <w:b/>
          <w:szCs w:val="22"/>
          <w:u w:val="single"/>
        </w:rPr>
      </w:pPr>
      <w:r w:rsidRPr="00661250">
        <w:t>2.</w:t>
      </w:r>
      <w:r w:rsidRPr="00661250">
        <w:tab/>
        <w:t>Komisija je ovlaštena za donošenje delegiranih akata u skladu s člankom 20. radi izmjene Priloga II. kako bi se</w:t>
      </w:r>
      <w:r w:rsidRPr="00661250">
        <w:rPr>
          <w:b/>
          <w:i/>
        </w:rPr>
        <w:t>:</w:t>
      </w:r>
    </w:p>
    <w:p w:rsidR="008D1BE3" w:rsidRPr="00661250" w:rsidRDefault="008D1BE3" w:rsidP="008D1BE3">
      <w:pPr>
        <w:widowControl/>
        <w:suppressAutoHyphens/>
        <w:spacing w:before="120" w:after="120" w:line="360" w:lineRule="auto"/>
        <w:ind w:left="1134" w:right="-1" w:hanging="567"/>
        <w:rPr>
          <w:rFonts w:eastAsia="Calibri"/>
          <w:b/>
          <w:szCs w:val="22"/>
          <w:u w:val="single"/>
        </w:rPr>
      </w:pPr>
      <w:r w:rsidRPr="00661250">
        <w:rPr>
          <w:b/>
          <w:i/>
        </w:rPr>
        <w:t>(a)</w:t>
      </w:r>
      <w:r w:rsidRPr="00661250">
        <w:tab/>
        <w:t xml:space="preserve">prilagodio popis stanišnih tipova </w:t>
      </w:r>
      <w:r w:rsidRPr="00661250">
        <w:rPr>
          <w:b/>
          <w:i/>
        </w:rPr>
        <w:t>radi osiguravanja usklađenosti s ažuriranim informacijama u klasifikaciji staništa prema europskom informacijskom sustavu o prirodi (EUNIS);</w:t>
      </w:r>
      <w:r w:rsidRPr="00661250">
        <w:t xml:space="preserve"> i </w:t>
      </w:r>
    </w:p>
    <w:p w:rsidR="008D1BE3" w:rsidRPr="00661250" w:rsidRDefault="008D1BE3" w:rsidP="008D1BE3">
      <w:pPr>
        <w:widowControl/>
        <w:suppressAutoHyphens/>
        <w:spacing w:before="120" w:after="120" w:line="360" w:lineRule="auto"/>
        <w:ind w:left="1134" w:right="-1" w:hanging="567"/>
        <w:rPr>
          <w:rFonts w:eastAsia="Calibri"/>
          <w:szCs w:val="22"/>
        </w:rPr>
      </w:pPr>
      <w:r w:rsidRPr="00661250">
        <w:rPr>
          <w:b/>
          <w:i/>
        </w:rPr>
        <w:t>(b)</w:t>
      </w:r>
      <w:r w:rsidRPr="00661250">
        <w:rPr>
          <w:b/>
          <w:i/>
        </w:rPr>
        <w:tab/>
        <w:t>prilagodio način grupiranja stanišnih tipova sukladno tehničkom i znanstvenom napretku te uzeo u obzir iskustvo stečeno u primjeni ove Uredbe.</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3.</w:t>
      </w:r>
      <w:r w:rsidRPr="00661250">
        <w:tab/>
        <w:t xml:space="preserve">Komisija je ovlaštena za donošenje delegiranih akata u skladu s člankom 20. kako bi se izmijenio Prilog III. radi prilagodbe popisa morskih vrsta iz članka 5. </w:t>
      </w:r>
      <w:r w:rsidRPr="00661250">
        <w:rPr>
          <w:b/>
          <w:i/>
        </w:rPr>
        <w:t>sukladno tehničkom i znanstvenom napretku</w:t>
      </w:r>
      <w:r w:rsidRPr="00661250">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4.</w:t>
      </w:r>
      <w:r w:rsidRPr="00661250">
        <w:tab/>
        <w:t xml:space="preserve">Komisija je ovlaštena za donošenje delegiranih akata u skladu s člankom 20. kako bi se izmijenio Prilog IV. radi prilagodbe opisa, jedinica i metodologije pokazatelja za poljoprivredne ekosustave </w:t>
      </w:r>
      <w:r w:rsidRPr="00661250">
        <w:rPr>
          <w:b/>
          <w:i/>
        </w:rPr>
        <w:t>sukladno tehničkom i znanstvenom napretku</w:t>
      </w:r>
      <w:r w:rsidRPr="00661250">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br w:type="page"/>
      </w:r>
      <w:r w:rsidRPr="00661250">
        <w:lastRenderedPageBreak/>
        <w:t>5.</w:t>
      </w:r>
      <w:r w:rsidRPr="00661250">
        <w:tab/>
        <w:t xml:space="preserve">Komisija je ovlaštena za donošenje delegiranih akata u skladu s člankom 20. kako bi se izmijenio Prilog V. radi </w:t>
      </w:r>
      <w:r w:rsidRPr="00661250">
        <w:rPr>
          <w:b/>
          <w:i/>
        </w:rPr>
        <w:t>prilagodbe</w:t>
      </w:r>
      <w:r w:rsidRPr="00661250">
        <w:t xml:space="preserve"> popisa vrsta koje se upotrebljavaju u okviru indeksa čestih vrsta ptica poljoprivrednih staništa u državama članicama </w:t>
      </w:r>
      <w:r w:rsidRPr="00661250">
        <w:rPr>
          <w:b/>
          <w:i/>
        </w:rPr>
        <w:t>sukladno tehničkom i znanstvenom napretku</w:t>
      </w:r>
      <w:r w:rsidRPr="00661250">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6.</w:t>
      </w:r>
      <w:r w:rsidRPr="00661250">
        <w:tab/>
        <w:t xml:space="preserve">Komisija je ovlaštena za donošenje delegiranih akata u skladu s člankom 20. kako bi se izmijenio Prilog VI. radi prilagodbe opisa, jedinica i metodologije pokazatelja za šumske ekosustave </w:t>
      </w:r>
      <w:r w:rsidRPr="00661250">
        <w:rPr>
          <w:b/>
          <w:i/>
        </w:rPr>
        <w:t>sukladno tehničkom i znanstvenom napretku</w:t>
      </w:r>
      <w:r w:rsidRPr="00661250">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7.</w:t>
      </w:r>
      <w:r w:rsidRPr="00661250">
        <w:tab/>
        <w:t xml:space="preserve">Komisija je ovlaštena za donošenje delegiranih akata u skladu s člankom 20. u cilju izmjene Priloga VII. kako bi se popis primjera mjera obnove prilagodio </w:t>
      </w:r>
      <w:r w:rsidRPr="00661250">
        <w:rPr>
          <w:b/>
          <w:i/>
        </w:rPr>
        <w:t>sukladno tehničkom i znanstvenom napretku te kako bi se uzelo u obzir iskustvo stečeno u primjeni ove Uredbe</w:t>
      </w:r>
      <w:r w:rsidRPr="00661250">
        <w:t>.</w:t>
      </w:r>
    </w:p>
    <w:p w:rsidR="008D1BE3" w:rsidRPr="00661250" w:rsidRDefault="008D1BE3" w:rsidP="008D1BE3">
      <w:pPr>
        <w:widowControl/>
        <w:suppressAutoHyphens/>
        <w:spacing w:before="120" w:after="120" w:line="360" w:lineRule="auto"/>
        <w:ind w:right="-1"/>
        <w:rPr>
          <w:rFonts w:eastAsia="Calibri"/>
          <w:szCs w:val="22"/>
          <w:lang w:eastAsia="en-US"/>
        </w:rPr>
      </w:pPr>
    </w:p>
    <w:p w:rsidR="008D1BE3" w:rsidRPr="00661250" w:rsidRDefault="008D1BE3" w:rsidP="008D1BE3">
      <w:pPr>
        <w:keepNext/>
        <w:widowControl/>
        <w:suppressAutoHyphens/>
        <w:spacing w:before="360" w:after="120" w:line="360" w:lineRule="auto"/>
        <w:ind w:right="-1"/>
        <w:jc w:val="center"/>
        <w:outlineLvl w:val="1"/>
        <w:rPr>
          <w:bCs/>
          <w:i/>
          <w:szCs w:val="26"/>
        </w:rPr>
      </w:pPr>
      <w:r w:rsidRPr="00661250">
        <w:t xml:space="preserve">Članak 20. </w:t>
      </w:r>
      <w:r w:rsidRPr="00661250">
        <w:br/>
      </w:r>
      <w:r w:rsidRPr="00661250">
        <w:rPr>
          <w:i/>
        </w:rPr>
        <w:t>Izvršavanje delegiranja ovlasti</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1.</w:t>
      </w:r>
      <w:r w:rsidRPr="00661250">
        <w:tab/>
        <w:t>Ovlast za donošenje delegiranih akata dodjeljuje se Komisiji u skladu s uvjetima utvrđenima u ovom članku.</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2.</w:t>
      </w:r>
      <w:r w:rsidRPr="00661250">
        <w:tab/>
        <w:t xml:space="preserve">Ovlast za donošenje delegiranih akata iz članka 19. dodjeljuje se Komisiji na razdoblje od pet godina počevši od </w:t>
      </w:r>
      <w:r w:rsidRPr="00661250">
        <w:rPr>
          <w:i/>
        </w:rPr>
        <w:t>[Ured za publikacije: unijeti datum stupanja na snagu ove Uredbe]</w:t>
      </w:r>
      <w:r w:rsidRPr="00661250">
        <w:t>. Komisija izrađuje izvješće o delegiranju ovlasti najkasnije devet mjeseci prije kraja razdoblja od pet godina. Delegiranje ovlasti prešutno se produljuje za razdoblja jednakog trajanja osim ako se Europski parlament ili Vijeće tom produljenju usprotive najkasnije tri mjeseca prije kraja svakog razdoblja.</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br w:type="page"/>
      </w:r>
      <w:r w:rsidRPr="00661250">
        <w:lastRenderedPageBreak/>
        <w:t>3.</w:t>
      </w:r>
      <w:r w:rsidRPr="00661250">
        <w:tab/>
        <w:t>Europski parlament ili Vijeće u svakom trenutku mogu opozvati delegiranje ovlasti iz članka 19. Odlukom o opozivu prekida se delegiranje ovlasti koje je u njoj navedeno. Opoziv počinje proizvoditi učinke sljedećeg dana od dana objave spomenute odluke u Službenom listu Europske unije ili na kasniji dan naveden u spomenutoj odluci. On ne utječe na valjanost delegiranih akata koji su već na snazi.</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4.</w:t>
      </w:r>
      <w:r w:rsidRPr="00661250">
        <w:tab/>
        <w:t>Prije donošenja delegiranog akta Komisija se savjetuje sa stručnjacima koje je imenovala svaka država članica u skladu s načelima utvrđenima u Međuinstitucijskom sporazumu o boljoj izradi zakonodavstva od 13. travnja 2016</w:t>
      </w:r>
      <w:r w:rsidR="00F53FDE">
        <w:t>.</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5.</w:t>
      </w:r>
      <w:r w:rsidRPr="00661250">
        <w:tab/>
        <w:t>Čim donese delegirani akt, Komisija ga istodobno priopćuje Europskom parlamentu i Vijeću.</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6.</w:t>
      </w:r>
      <w:r w:rsidRPr="00661250">
        <w:tab/>
        <w:t>Delegirani akt donesen na temelju članka 19. stupa na snagu samo ako ni Europski parlament ni Vijeće u roku od dva mjeseca od priopćenja tog akta Europskom parlamentu i Vijeću na njega ne podnesu nikakav prigovor ili ako su prije isteka tog roka i Europski parlament i Vijeće obavijestili Komisiju da neće podnijeti prigovore. Taj se rok produljuje za dva mjeseca na inicijativu Europskog parlamenta ili Vijeća.</w:t>
      </w:r>
    </w:p>
    <w:p w:rsidR="008D1BE3" w:rsidRPr="00661250" w:rsidRDefault="008D1BE3" w:rsidP="008D1BE3">
      <w:pPr>
        <w:keepNext/>
        <w:widowControl/>
        <w:suppressAutoHyphens/>
        <w:spacing w:before="360" w:after="120" w:line="360" w:lineRule="auto"/>
        <w:ind w:right="-1"/>
        <w:jc w:val="center"/>
        <w:outlineLvl w:val="1"/>
        <w:rPr>
          <w:b/>
          <w:bCs/>
          <w:szCs w:val="26"/>
        </w:rPr>
      </w:pPr>
      <w:r w:rsidRPr="00661250">
        <w:br w:type="page"/>
      </w:r>
      <w:r w:rsidRPr="00661250">
        <w:lastRenderedPageBreak/>
        <w:t xml:space="preserve">Članak 21. </w:t>
      </w:r>
      <w:r w:rsidRPr="00661250">
        <w:br/>
      </w:r>
      <w:r w:rsidRPr="00661250">
        <w:rPr>
          <w:i/>
        </w:rPr>
        <w:t>Postupak odbora</w:t>
      </w:r>
      <w:r w:rsidRPr="00661250">
        <w:rPr>
          <w:b/>
        </w:rPr>
        <w:t xml:space="preserve"> </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1.</w:t>
      </w:r>
      <w:r w:rsidRPr="00661250">
        <w:tab/>
        <w:t>Komisiji pomaže odbor. Navedeni odbor je odbor u smislu Uredbe (EU) br. 182/2011.</w:t>
      </w:r>
    </w:p>
    <w:p w:rsidR="008D1BE3" w:rsidRPr="00661250" w:rsidRDefault="008D1BE3" w:rsidP="008D1BE3">
      <w:pPr>
        <w:widowControl/>
        <w:suppressAutoHyphens/>
        <w:spacing w:before="120" w:after="120" w:line="360" w:lineRule="auto"/>
        <w:ind w:left="567" w:right="-1" w:hanging="567"/>
        <w:rPr>
          <w:rFonts w:eastAsia="Calibri"/>
          <w:szCs w:val="22"/>
        </w:rPr>
      </w:pPr>
      <w:r w:rsidRPr="00661250">
        <w:t>2.</w:t>
      </w:r>
      <w:r w:rsidRPr="00661250">
        <w:tab/>
        <w:t>Pri upućivanju na ovaj stavak primjenjuje se članak 5. Uredbe (EU) br. 182/2011.</w:t>
      </w:r>
    </w:p>
    <w:p w:rsidR="008D1BE3" w:rsidRPr="00661250" w:rsidRDefault="008D1BE3" w:rsidP="008D1BE3">
      <w:pPr>
        <w:widowControl/>
        <w:spacing w:after="200" w:line="276" w:lineRule="auto"/>
        <w:rPr>
          <w:b/>
          <w:bCs/>
          <w:smallCaps/>
          <w:sz w:val="32"/>
          <w:szCs w:val="28"/>
          <w:lang w:eastAsia="en-US"/>
        </w:rPr>
      </w:pPr>
    </w:p>
    <w:p w:rsidR="008D1BE3" w:rsidRPr="00661250" w:rsidRDefault="008D1BE3" w:rsidP="008D1BE3">
      <w:pPr>
        <w:keepNext/>
        <w:widowControl/>
        <w:suppressAutoHyphens/>
        <w:spacing w:before="240" w:after="240" w:line="360" w:lineRule="auto"/>
        <w:jc w:val="center"/>
        <w:outlineLvl w:val="0"/>
        <w:rPr>
          <w:b/>
          <w:bCs/>
          <w:smallCaps/>
          <w:sz w:val="32"/>
          <w:szCs w:val="28"/>
        </w:rPr>
      </w:pPr>
      <w:r w:rsidRPr="00661250">
        <w:rPr>
          <w:b/>
          <w:smallCaps/>
          <w:sz w:val="32"/>
        </w:rPr>
        <w:t xml:space="preserve">POGLAVLJE VI. </w:t>
      </w:r>
      <w:r w:rsidRPr="00661250">
        <w:rPr>
          <w:b/>
          <w:smallCaps/>
          <w:sz w:val="32"/>
        </w:rPr>
        <w:br/>
        <w:t>ZAVRŠNE ODREDBE</w:t>
      </w:r>
    </w:p>
    <w:p w:rsidR="008D1BE3" w:rsidRPr="00661250" w:rsidRDefault="008D1BE3" w:rsidP="008D1BE3">
      <w:pPr>
        <w:keepNext/>
        <w:widowControl/>
        <w:suppressAutoHyphens/>
        <w:spacing w:before="360" w:after="360" w:line="360" w:lineRule="auto"/>
        <w:jc w:val="center"/>
        <w:outlineLvl w:val="0"/>
        <w:rPr>
          <w:b/>
          <w:i/>
          <w:szCs w:val="26"/>
        </w:rPr>
      </w:pPr>
      <w:bookmarkStart w:id="86" w:name="_Hlk136767184"/>
      <w:r w:rsidRPr="00661250">
        <w:rPr>
          <w:b/>
          <w:i/>
        </w:rPr>
        <w:t xml:space="preserve">Članak 21.a </w:t>
      </w:r>
      <w:r w:rsidRPr="00661250">
        <w:rPr>
          <w:b/>
          <w:i/>
        </w:rPr>
        <w:br/>
        <w:t>Izmjena Uredbe (EU) 2022/869</w:t>
      </w:r>
    </w:p>
    <w:p w:rsidR="008D1BE3" w:rsidRPr="00661250" w:rsidRDefault="008D1BE3" w:rsidP="008D1BE3">
      <w:pPr>
        <w:widowControl/>
        <w:spacing w:before="120" w:after="120" w:line="360" w:lineRule="auto"/>
        <w:rPr>
          <w:rFonts w:eastAsia="Calibri"/>
          <w:b/>
          <w:i/>
          <w:szCs w:val="22"/>
        </w:rPr>
      </w:pPr>
      <w:r w:rsidRPr="00661250">
        <w:rPr>
          <w:b/>
          <w:i/>
        </w:rPr>
        <w:t>Članak 7. stavak 8. prvi podstavak Uredbe (EU) 2022/869 zamjenjuje se sljedećim:</w:t>
      </w:r>
    </w:p>
    <w:p w:rsidR="008D1BE3" w:rsidRPr="00661250" w:rsidRDefault="008D1BE3" w:rsidP="008D1BE3">
      <w:pPr>
        <w:widowControl/>
        <w:spacing w:before="120" w:after="120" w:line="360" w:lineRule="auto"/>
        <w:rPr>
          <w:rFonts w:eastAsia="Calibri"/>
          <w:b/>
          <w:i/>
          <w:szCs w:val="22"/>
        </w:rPr>
      </w:pPr>
      <w:bookmarkStart w:id="87" w:name="_Hlk135897854"/>
      <w:r w:rsidRPr="00661250">
        <w:rPr>
          <w:b/>
          <w:i/>
        </w:rPr>
        <w:t>„S obzirom na utjecaje na okoliš obuhvaćene člankom 6. stavkom 4. Direktive 92/43/EEZ, člankom 4. stavkom 7. Direktive 2000/60/EZ i člankom 4. stavcima 8. i 8.a te člankom 5. stavcima 8. i 8.a [Prijedloga uredbe Europskog parlamenta i Vijeća o obnovi prirode], pod uvjetom da su ispunjeni svi uvjeti utvrđeni u tim direktivama, projekti s Unijina popisa smatraju se projektima od javnog interesa sa stajališta energetske politike i može se smatrati da su od prevladavajućeg javnog interesa.”</w:t>
      </w:r>
      <w:bookmarkEnd w:id="87"/>
    </w:p>
    <w:bookmarkEnd w:id="86"/>
    <w:p w:rsidR="008D1BE3" w:rsidRPr="00661250" w:rsidRDefault="008D1BE3" w:rsidP="008D1BE3">
      <w:pPr>
        <w:keepNext/>
        <w:widowControl/>
        <w:suppressAutoHyphens/>
        <w:spacing w:before="360" w:after="360" w:line="360" w:lineRule="auto"/>
        <w:jc w:val="center"/>
        <w:outlineLvl w:val="0"/>
        <w:rPr>
          <w:b/>
          <w:bCs/>
          <w:smallCaps/>
          <w:sz w:val="32"/>
          <w:szCs w:val="28"/>
        </w:rPr>
      </w:pPr>
      <w:r w:rsidRPr="00661250">
        <w:br w:type="page"/>
      </w:r>
      <w:r w:rsidRPr="00661250">
        <w:lastRenderedPageBreak/>
        <w:t xml:space="preserve">Članak 22. </w:t>
      </w:r>
      <w:r w:rsidRPr="00661250">
        <w:br/>
      </w:r>
      <w:r w:rsidRPr="00661250">
        <w:rPr>
          <w:i/>
        </w:rPr>
        <w:t>Preispitivanje</w:t>
      </w:r>
    </w:p>
    <w:p w:rsidR="008D1BE3" w:rsidRPr="00661250" w:rsidRDefault="008D1BE3" w:rsidP="008D1BE3">
      <w:pPr>
        <w:widowControl/>
        <w:suppressAutoHyphens/>
        <w:spacing w:before="120" w:after="120" w:line="360" w:lineRule="auto"/>
        <w:ind w:left="567" w:right="140" w:hanging="567"/>
        <w:rPr>
          <w:rFonts w:eastAsia="Calibri"/>
          <w:b/>
          <w:szCs w:val="22"/>
        </w:rPr>
      </w:pPr>
      <w:r w:rsidRPr="00661250">
        <w:t>1.</w:t>
      </w:r>
      <w:r w:rsidRPr="00661250">
        <w:tab/>
      </w:r>
      <w:r w:rsidR="00703B04" w:rsidRPr="00661250">
        <w:rPr>
          <w:szCs w:val="24"/>
          <w:lang w:eastAsia="en-US"/>
        </w:rPr>
        <w:t xml:space="preserve">Komisija je dužna ocijeniti </w:t>
      </w:r>
      <w:r w:rsidR="00703B04" w:rsidRPr="00661250">
        <w:rPr>
          <w:b/>
          <w:i/>
          <w:szCs w:val="24"/>
          <w:lang w:eastAsia="en-US"/>
        </w:rPr>
        <w:t>ovu Uredbu</w:t>
      </w:r>
      <w:r w:rsidR="00703B04" w:rsidRPr="00661250">
        <w:rPr>
          <w:szCs w:val="24"/>
          <w:lang w:eastAsia="en-US"/>
        </w:rPr>
        <w:t xml:space="preserve"> do 31. prosinca </w:t>
      </w:r>
      <w:r w:rsidR="00703B04" w:rsidRPr="00661250">
        <w:rPr>
          <w:b/>
          <w:i/>
          <w:szCs w:val="24"/>
          <w:lang w:eastAsia="en-US"/>
        </w:rPr>
        <w:t>2030. i svake dvije godine nakon toga kako bi procijenila učinak ove Uredbe, posebno na poljoprivredni sektor i opskrbu sigurnom hranom, kao i socioekonomske učinke ove Uredbe, posebno u ruralnim područjima</w:t>
      </w:r>
      <w:r w:rsidR="00703B04" w:rsidRPr="00661250">
        <w:rPr>
          <w:szCs w:val="24"/>
          <w:lang w:eastAsia="en-US"/>
        </w:rPr>
        <w:t>.</w:t>
      </w:r>
      <w:r w:rsidR="00703B04" w:rsidRPr="00661250">
        <w:rPr>
          <w:b/>
          <w:szCs w:val="24"/>
          <w:lang w:eastAsia="en-US"/>
        </w:rPr>
        <w:t xml:space="preserve"> [Am. 45]</w:t>
      </w:r>
    </w:p>
    <w:p w:rsidR="008D1BE3" w:rsidRPr="00661250" w:rsidRDefault="008D1BE3" w:rsidP="008D1BE3">
      <w:pPr>
        <w:widowControl/>
        <w:suppressAutoHyphens/>
        <w:spacing w:before="120" w:after="120" w:line="360" w:lineRule="auto"/>
        <w:ind w:left="567" w:right="140" w:hanging="567"/>
        <w:rPr>
          <w:b/>
          <w:szCs w:val="24"/>
          <w:lang w:eastAsia="en-US"/>
        </w:rPr>
      </w:pPr>
      <w:r w:rsidRPr="00661250">
        <w:t>2.</w:t>
      </w:r>
      <w:r w:rsidRPr="00661250">
        <w:tab/>
      </w:r>
      <w:r w:rsidR="00955828" w:rsidRPr="00661250">
        <w:rPr>
          <w:szCs w:val="24"/>
          <w:lang w:eastAsia="en-US"/>
        </w:rPr>
        <w:t>Komisija podnosi izvješće s glavnim nalazima evaluacije Europskom parlamentu, Vijeću, Europskom gospodarskom i socijalnom odboru i Odboru regija. Ako Komisija to smatra prikladnim, izvješće se podnosi uz zakonodavni prijedlog za izmjenu odgovarajućih odredbi ove Uredbe, uzimajući u obzir potrebu za određivanjem dodatnih ciljeva obnove</w:t>
      </w:r>
      <w:r w:rsidR="00955828" w:rsidRPr="00661250">
        <w:rPr>
          <w:b/>
          <w:i/>
          <w:szCs w:val="24"/>
          <w:lang w:eastAsia="en-US"/>
        </w:rPr>
        <w:t>, uključujući ažurirane ciljeve do 2040. i 2050.,</w:t>
      </w:r>
      <w:r w:rsidR="00955828" w:rsidRPr="00661250">
        <w:rPr>
          <w:szCs w:val="24"/>
          <w:lang w:eastAsia="en-US"/>
        </w:rPr>
        <w:t xml:space="preserve"> na temelju zajedničkih metoda za procjenu stanja ekosustava koji nisu obuhvaćeni člancima 4. i 5.</w:t>
      </w:r>
      <w:r w:rsidR="00955828" w:rsidRPr="00661250">
        <w:rPr>
          <w:b/>
          <w:i/>
          <w:szCs w:val="24"/>
          <w:lang w:eastAsia="en-US"/>
        </w:rPr>
        <w:t>, ocjene iz stavka 1. ovog članka</w:t>
      </w:r>
      <w:r w:rsidR="00955828" w:rsidRPr="00661250">
        <w:rPr>
          <w:szCs w:val="24"/>
          <w:lang w:eastAsia="en-US"/>
        </w:rPr>
        <w:t xml:space="preserve"> te najnovijih znanstvenih dokaza.</w:t>
      </w:r>
      <w:r w:rsidR="00955828" w:rsidRPr="00661250">
        <w:rPr>
          <w:b/>
          <w:szCs w:val="24"/>
          <w:lang w:eastAsia="en-US"/>
        </w:rPr>
        <w:t xml:space="preserve"> [Am. 17]</w:t>
      </w:r>
    </w:p>
    <w:p w:rsidR="0093454A" w:rsidRPr="00661250" w:rsidRDefault="0093454A">
      <w:pPr>
        <w:widowControl/>
        <w:suppressAutoHyphens/>
        <w:spacing w:before="120" w:after="120" w:line="360" w:lineRule="auto"/>
        <w:ind w:left="567" w:right="140" w:hanging="567"/>
        <w:jc w:val="center"/>
        <w:rPr>
          <w:b/>
        </w:rPr>
      </w:pPr>
      <w:r w:rsidRPr="00661250">
        <w:rPr>
          <w:b/>
        </w:rPr>
        <w:br w:type="page"/>
      </w:r>
    </w:p>
    <w:p w:rsidR="00773E0A" w:rsidRPr="00661250" w:rsidRDefault="00773E0A" w:rsidP="00661250">
      <w:pPr>
        <w:widowControl/>
        <w:suppressAutoHyphens/>
        <w:spacing w:before="120" w:after="120" w:line="360" w:lineRule="auto"/>
        <w:ind w:left="567" w:right="140" w:hanging="567"/>
        <w:jc w:val="center"/>
        <w:rPr>
          <w:b/>
        </w:rPr>
      </w:pPr>
      <w:r w:rsidRPr="00661250">
        <w:rPr>
          <w:b/>
        </w:rPr>
        <w:lastRenderedPageBreak/>
        <w:t>Članak 22.a</w:t>
      </w:r>
    </w:p>
    <w:p w:rsidR="00773E0A" w:rsidRPr="00661250" w:rsidRDefault="00773E0A" w:rsidP="00661250">
      <w:pPr>
        <w:widowControl/>
        <w:suppressAutoHyphens/>
        <w:spacing w:before="120" w:after="120" w:line="360" w:lineRule="auto"/>
        <w:ind w:left="567" w:right="140" w:hanging="567"/>
        <w:jc w:val="center"/>
        <w:rPr>
          <w:b/>
          <w:i/>
          <w:szCs w:val="24"/>
          <w:lang w:eastAsia="en-US"/>
        </w:rPr>
      </w:pPr>
      <w:r w:rsidRPr="00661250">
        <w:rPr>
          <w:b/>
          <w:i/>
          <w:szCs w:val="24"/>
          <w:lang w:eastAsia="en-US"/>
        </w:rPr>
        <w:t>Odgoda ciljeva na temelju ove Uredbe u slučaju iznimnih socioekonomskih posljedica</w:t>
      </w:r>
    </w:p>
    <w:p w:rsidR="00773E0A" w:rsidRPr="00661250" w:rsidRDefault="00773E0A" w:rsidP="00773E0A">
      <w:pPr>
        <w:widowControl/>
        <w:suppressAutoHyphens/>
        <w:spacing w:before="120" w:after="120" w:line="360" w:lineRule="auto"/>
        <w:ind w:left="567" w:right="140" w:hanging="567"/>
        <w:rPr>
          <w:b/>
          <w:i/>
          <w:szCs w:val="24"/>
          <w:lang w:eastAsia="en-US"/>
        </w:rPr>
      </w:pPr>
      <w:r w:rsidRPr="00661250">
        <w:rPr>
          <w:b/>
          <w:i/>
          <w:szCs w:val="24"/>
          <w:lang w:eastAsia="en-US"/>
        </w:rPr>
        <w:t>1.</w:t>
      </w:r>
      <w:r w:rsidRPr="00661250">
        <w:rPr>
          <w:b/>
          <w:i/>
          <w:szCs w:val="24"/>
          <w:lang w:eastAsia="en-US"/>
        </w:rPr>
        <w:tab/>
        <w:t>Komisija do ... [jedna godina nakon datuma stupanja na snagu ove Uredbe] i svake godine nakon toga u Službenom listu Europske unije objavljuje obavijest o tome je li ispunjen jedan ili više sljedećih uvjeta:</w:t>
      </w:r>
    </w:p>
    <w:p w:rsidR="00773E0A" w:rsidRPr="00661250" w:rsidRDefault="00773E0A" w:rsidP="00661250">
      <w:pPr>
        <w:widowControl/>
        <w:suppressAutoHyphens/>
        <w:spacing w:before="120" w:after="120" w:line="360" w:lineRule="auto"/>
        <w:ind w:left="1134" w:hanging="567"/>
        <w:rPr>
          <w:b/>
          <w:i/>
          <w:szCs w:val="24"/>
          <w:lang w:eastAsia="en-US"/>
        </w:rPr>
      </w:pPr>
      <w:r w:rsidRPr="00661250">
        <w:rPr>
          <w:b/>
          <w:i/>
          <w:szCs w:val="24"/>
          <w:lang w:eastAsia="en-US"/>
        </w:rPr>
        <w:t>(a)</w:t>
      </w:r>
      <w:r w:rsidRPr="00661250">
        <w:rPr>
          <w:b/>
          <w:i/>
          <w:szCs w:val="24"/>
          <w:lang w:eastAsia="en-US"/>
        </w:rPr>
        <w:tab/>
        <w:t>postupci izdavanja dozvola u jednoj ili više država članica zaostaju zbog ograničenja zakonodavstva Unije o prirodi u sljedećim područjima:</w:t>
      </w:r>
    </w:p>
    <w:p w:rsidR="00773E0A" w:rsidRPr="00661250" w:rsidRDefault="00773E0A" w:rsidP="00661250">
      <w:pPr>
        <w:widowControl/>
        <w:suppressAutoHyphens/>
        <w:spacing w:before="120" w:after="120" w:line="360" w:lineRule="auto"/>
        <w:ind w:left="1701" w:hanging="567"/>
        <w:rPr>
          <w:rFonts w:eastAsia="Calibri"/>
          <w:b/>
          <w:i/>
          <w:szCs w:val="22"/>
        </w:rPr>
      </w:pPr>
      <w:r w:rsidRPr="00661250">
        <w:rPr>
          <w:rFonts w:eastAsia="Calibri"/>
          <w:b/>
          <w:i/>
          <w:szCs w:val="22"/>
        </w:rPr>
        <w:t>i.</w:t>
      </w:r>
      <w:r w:rsidRPr="00661250">
        <w:rPr>
          <w:rFonts w:eastAsia="Calibri"/>
          <w:b/>
          <w:i/>
          <w:szCs w:val="22"/>
        </w:rPr>
        <w:tab/>
        <w:t>izgradnja i prenamjena kuća, posebno u području socijalnog stanovanja;</w:t>
      </w:r>
    </w:p>
    <w:p w:rsidR="00773E0A" w:rsidRPr="00661250" w:rsidRDefault="00773E0A" w:rsidP="00661250">
      <w:pPr>
        <w:widowControl/>
        <w:suppressAutoHyphens/>
        <w:spacing w:before="120" w:after="120" w:line="360" w:lineRule="auto"/>
        <w:ind w:left="1701" w:hanging="567"/>
        <w:rPr>
          <w:b/>
          <w:i/>
          <w:szCs w:val="24"/>
          <w:lang w:eastAsia="en-US"/>
        </w:rPr>
      </w:pPr>
      <w:r w:rsidRPr="00661250">
        <w:rPr>
          <w:b/>
          <w:i/>
          <w:szCs w:val="24"/>
          <w:lang w:eastAsia="en-US"/>
        </w:rPr>
        <w:t>ii.</w:t>
      </w:r>
      <w:r w:rsidRPr="00661250">
        <w:rPr>
          <w:b/>
          <w:i/>
          <w:szCs w:val="24"/>
          <w:lang w:eastAsia="en-US"/>
        </w:rPr>
        <w:tab/>
        <w:t>uvođenje projekata u području energije iz obnovljivih izvora u vezi s postizanjem ciljeva utvrđenih u Uredbi (EU) 2021/1119 [Europski zakon o klimi];</w:t>
      </w:r>
    </w:p>
    <w:p w:rsidR="00773E0A" w:rsidRPr="00661250" w:rsidRDefault="00773E0A" w:rsidP="00661250">
      <w:pPr>
        <w:widowControl/>
        <w:suppressAutoHyphens/>
        <w:spacing w:before="120" w:after="120" w:line="360" w:lineRule="auto"/>
        <w:ind w:left="1134" w:hanging="567"/>
        <w:rPr>
          <w:b/>
          <w:i/>
          <w:szCs w:val="24"/>
          <w:lang w:eastAsia="en-US"/>
        </w:rPr>
      </w:pPr>
      <w:r w:rsidRPr="00661250">
        <w:rPr>
          <w:b/>
          <w:i/>
          <w:szCs w:val="24"/>
          <w:lang w:eastAsia="en-US"/>
        </w:rPr>
        <w:t>(b)</w:t>
      </w:r>
      <w:r w:rsidRPr="00661250">
        <w:rPr>
          <w:b/>
          <w:i/>
          <w:szCs w:val="24"/>
          <w:lang w:eastAsia="en-US"/>
        </w:rPr>
        <w:tab/>
        <w:t>prosječna cijena hrane porasla je za 10 % tijekom razdoblja od jedne godine;</w:t>
      </w:r>
    </w:p>
    <w:p w:rsidR="00773E0A" w:rsidRPr="00661250" w:rsidRDefault="00773E0A" w:rsidP="00661250">
      <w:pPr>
        <w:widowControl/>
        <w:suppressAutoHyphens/>
        <w:spacing w:before="120" w:after="120" w:line="360" w:lineRule="auto"/>
        <w:ind w:left="1134" w:hanging="567"/>
        <w:rPr>
          <w:b/>
          <w:i/>
          <w:szCs w:val="24"/>
          <w:lang w:eastAsia="en-US"/>
        </w:rPr>
      </w:pPr>
      <w:r w:rsidRPr="00661250">
        <w:rPr>
          <w:b/>
          <w:i/>
          <w:szCs w:val="24"/>
          <w:lang w:eastAsia="en-US"/>
        </w:rPr>
        <w:t>(c) ukupna proizvodnja hrane u Uniji smanjila se za 5 % tijekom razdoblja od jedne godine.</w:t>
      </w:r>
    </w:p>
    <w:p w:rsidR="00773E0A" w:rsidRPr="00661250" w:rsidRDefault="00773E0A" w:rsidP="00661250">
      <w:pPr>
        <w:widowControl/>
        <w:suppressAutoHyphens/>
        <w:spacing w:before="120" w:after="120" w:line="360" w:lineRule="auto"/>
        <w:ind w:left="567" w:hanging="567"/>
        <w:rPr>
          <w:rFonts w:eastAsia="Calibri"/>
          <w:b/>
          <w:szCs w:val="22"/>
        </w:rPr>
      </w:pPr>
      <w:r w:rsidRPr="00661250">
        <w:rPr>
          <w:b/>
          <w:i/>
          <w:szCs w:val="24"/>
          <w:lang w:eastAsia="en-US"/>
        </w:rPr>
        <w:t>2.</w:t>
      </w:r>
      <w:r w:rsidRPr="00661250">
        <w:rPr>
          <w:b/>
          <w:i/>
          <w:szCs w:val="24"/>
          <w:lang w:eastAsia="en-US"/>
        </w:rPr>
        <w:tab/>
        <w:t>Ako je ispunjen jedan ili više uvjeta iz stavka 1., ciljevi iz ove Uredbe odgađaju se dok ne prestanu vrijediti svi uvjeti iz tog stavka.</w:t>
      </w:r>
      <w:r w:rsidRPr="00661250">
        <w:rPr>
          <w:b/>
          <w:szCs w:val="24"/>
          <w:lang w:eastAsia="en-US"/>
        </w:rPr>
        <w:t xml:space="preserve"> [Am. 131]</w:t>
      </w:r>
    </w:p>
    <w:p w:rsidR="008D1BE3" w:rsidRPr="00661250" w:rsidRDefault="008D1BE3" w:rsidP="008D1BE3">
      <w:pPr>
        <w:keepNext/>
        <w:widowControl/>
        <w:suppressAutoHyphens/>
        <w:spacing w:before="360" w:after="120" w:line="360" w:lineRule="auto"/>
        <w:ind w:right="140"/>
        <w:jc w:val="center"/>
        <w:outlineLvl w:val="1"/>
        <w:rPr>
          <w:b/>
          <w:bCs/>
          <w:i/>
          <w:iCs/>
          <w:szCs w:val="26"/>
        </w:rPr>
      </w:pPr>
      <w:r w:rsidRPr="00661250">
        <w:t>Članak 23.</w:t>
      </w:r>
      <w:r w:rsidRPr="00661250">
        <w:br/>
      </w:r>
      <w:r w:rsidRPr="00661250">
        <w:rPr>
          <w:i/>
        </w:rPr>
        <w:t>Stupanje na snagu</w:t>
      </w:r>
    </w:p>
    <w:p w:rsidR="008D1BE3" w:rsidRPr="00661250" w:rsidRDefault="008D1BE3" w:rsidP="008D1BE3">
      <w:pPr>
        <w:widowControl/>
        <w:suppressAutoHyphens/>
        <w:spacing w:before="120" w:after="120" w:line="360" w:lineRule="auto"/>
        <w:ind w:right="140"/>
      </w:pPr>
      <w:r w:rsidRPr="00661250">
        <w:t>Ova Uredba stupa na snagu dvadesetog dana od dana objave u Službenom listu Europske unije.</w:t>
      </w:r>
    </w:p>
    <w:p w:rsidR="001F5EED" w:rsidRPr="00661250" w:rsidRDefault="001F5EED" w:rsidP="008D1BE3">
      <w:pPr>
        <w:widowControl/>
        <w:suppressAutoHyphens/>
        <w:spacing w:before="120" w:after="120" w:line="360" w:lineRule="auto"/>
        <w:ind w:right="140"/>
        <w:rPr>
          <w:b/>
        </w:rPr>
      </w:pPr>
      <w:r w:rsidRPr="00661250">
        <w:rPr>
          <w:b/>
          <w:i/>
        </w:rPr>
        <w:t>Primjenjuje se od datuma na koji Komisija Europskom parlamentu i Vijeću dostavi pouzdane i znanstvene podatke o uvjetima potrebnima za jamčenje dugoročne sigurnosti opskrbe hranom, čime se poštuje potreba za obradivim zemljištem u okviru konvencionalne i ekološke poljoprivrede, učinak obnove prirode na proizvodnju hrane, dostupnost hrane i cijene hrane. Komisija objavljuje obavijest u Službenom listu Europske unije u kojoj se navodi datum početka primjene ove Uredbe.</w:t>
      </w:r>
      <w:r w:rsidRPr="00661250">
        <w:rPr>
          <w:b/>
        </w:rPr>
        <w:t xml:space="preserve"> [Am. 135]</w:t>
      </w:r>
    </w:p>
    <w:p w:rsidR="00293A7F" w:rsidRPr="00661250" w:rsidRDefault="00293A7F" w:rsidP="008D1BE3">
      <w:pPr>
        <w:widowControl/>
        <w:suppressAutoHyphens/>
        <w:spacing w:before="120" w:after="120" w:line="360" w:lineRule="auto"/>
        <w:ind w:right="140"/>
        <w:rPr>
          <w:rFonts w:eastAsia="Calibri"/>
          <w:b/>
          <w:szCs w:val="24"/>
        </w:rPr>
      </w:pPr>
      <w:r w:rsidRPr="00661250">
        <w:rPr>
          <w:b/>
          <w:i/>
        </w:rPr>
        <w:t>Primjenjuje se od datuma kada je ispunjen uvjet iz članka 11. stavka 2.a. Komisija objavljuje obavijest u Službenom listu Europske unije u kojoj se navodi datum početka primjene ove Uredbe.</w:t>
      </w:r>
      <w:r w:rsidRPr="00661250">
        <w:rPr>
          <w:b/>
        </w:rPr>
        <w:t xml:space="preserve"> [Am. 136]</w:t>
      </w:r>
    </w:p>
    <w:p w:rsidR="008D1BE3" w:rsidRPr="00661250" w:rsidRDefault="008D1BE3" w:rsidP="008D1BE3">
      <w:pPr>
        <w:widowControl/>
        <w:suppressAutoHyphens/>
        <w:spacing w:before="480" w:after="120" w:line="360" w:lineRule="auto"/>
        <w:ind w:right="140"/>
        <w:rPr>
          <w:rFonts w:eastAsia="Calibri"/>
          <w:szCs w:val="22"/>
        </w:rPr>
      </w:pPr>
      <w:r w:rsidRPr="00661250">
        <w:t>Ova je Uredba u cijelosti obvezujuća i izravno se primjenjuje u svim državama članicama.</w:t>
      </w:r>
    </w:p>
    <w:p w:rsidR="008D1BE3" w:rsidRPr="00661250" w:rsidRDefault="008D1BE3" w:rsidP="008D1BE3">
      <w:pPr>
        <w:keepNext/>
        <w:widowControl/>
        <w:suppressAutoHyphens/>
        <w:spacing w:before="120" w:line="360" w:lineRule="auto"/>
        <w:jc w:val="both"/>
        <w:rPr>
          <w:rFonts w:eastAsia="Calibri"/>
          <w:szCs w:val="22"/>
        </w:rPr>
      </w:pPr>
      <w:r w:rsidRPr="00661250">
        <w:lastRenderedPageBreak/>
        <w:t>Sastavljeno u Bruxellesu,</w:t>
      </w:r>
    </w:p>
    <w:p w:rsidR="008D1BE3" w:rsidRPr="00661250" w:rsidRDefault="008D1BE3" w:rsidP="008D1BE3">
      <w:pPr>
        <w:keepNext/>
        <w:widowControl/>
        <w:tabs>
          <w:tab w:val="left" w:pos="4252"/>
        </w:tabs>
        <w:suppressAutoHyphens/>
        <w:spacing w:before="720" w:line="360" w:lineRule="auto"/>
        <w:jc w:val="both"/>
        <w:rPr>
          <w:rFonts w:eastAsia="Calibri"/>
          <w:i/>
          <w:szCs w:val="22"/>
        </w:rPr>
      </w:pPr>
      <w:r w:rsidRPr="00661250">
        <w:rPr>
          <w:i/>
        </w:rPr>
        <w:t>Za Europski parlament</w:t>
      </w:r>
      <w:r w:rsidRPr="00661250">
        <w:rPr>
          <w:i/>
        </w:rPr>
        <w:tab/>
        <w:t>Za Vijeće</w:t>
      </w:r>
    </w:p>
    <w:p w:rsidR="008D1BE3" w:rsidRPr="00661250" w:rsidRDefault="008D1BE3" w:rsidP="008D1BE3">
      <w:pPr>
        <w:widowControl/>
        <w:tabs>
          <w:tab w:val="left" w:pos="4253"/>
        </w:tabs>
        <w:spacing w:before="120" w:after="120" w:line="360" w:lineRule="auto"/>
        <w:rPr>
          <w:rFonts w:eastAsia="Calibri"/>
          <w:szCs w:val="22"/>
        </w:rPr>
        <w:sectPr w:rsidR="008D1BE3" w:rsidRPr="00661250" w:rsidSect="00F53FDE">
          <w:footnotePr>
            <w:numRestart w:val="eachSect"/>
          </w:footnotePr>
          <w:pgSz w:w="11907" w:h="16839"/>
          <w:pgMar w:top="1134" w:right="1134" w:bottom="1134" w:left="1134" w:header="567" w:footer="567" w:gutter="0"/>
          <w:cols w:space="720"/>
          <w:docGrid w:linePitch="360"/>
        </w:sectPr>
      </w:pPr>
      <w:r w:rsidRPr="00661250">
        <w:rPr>
          <w:i/>
        </w:rPr>
        <w:t>Predsjednik</w:t>
      </w:r>
      <w:r w:rsidRPr="00661250">
        <w:rPr>
          <w:i/>
        </w:rPr>
        <w:tab/>
        <w:t>Predsjednik</w:t>
      </w:r>
      <w:r w:rsidRPr="00661250">
        <w:rPr>
          <w:i/>
        </w:rPr>
        <w:br/>
      </w:r>
    </w:p>
    <w:p w:rsidR="008D1BE3" w:rsidRPr="00661250" w:rsidRDefault="008D1BE3" w:rsidP="008D1BE3">
      <w:pPr>
        <w:widowControl/>
        <w:suppressAutoHyphens/>
        <w:spacing w:before="120" w:after="120" w:line="360" w:lineRule="auto"/>
        <w:jc w:val="center"/>
        <w:rPr>
          <w:rFonts w:eastAsia="Calibri"/>
          <w:i/>
          <w:szCs w:val="22"/>
        </w:rPr>
      </w:pPr>
      <w:r w:rsidRPr="00661250">
        <w:rPr>
          <w:smallCaps/>
          <w:u w:val="single"/>
        </w:rPr>
        <w:lastRenderedPageBreak/>
        <w:t xml:space="preserve">PRILOG I. </w:t>
      </w:r>
      <w:r w:rsidRPr="00661250">
        <w:rPr>
          <w:smallCaps/>
          <w:u w:val="single"/>
        </w:rPr>
        <w:br/>
      </w:r>
      <w:r w:rsidRPr="00661250">
        <w:rPr>
          <w:smallCaps/>
          <w:u w:val="single"/>
        </w:rPr>
        <w:br/>
        <w:t>KOPNENI, OBALNI I SLATKOVODNI EKOSUSTAVI – STANIŠNI TIPOVI I SKUPINE STANIŠNIH TIPOVA IZ ČLANKA 4. STAVAKA 1. I 2.</w:t>
      </w:r>
    </w:p>
    <w:p w:rsidR="008D1BE3" w:rsidRPr="00661250" w:rsidRDefault="008D1BE3" w:rsidP="008D1BE3">
      <w:pPr>
        <w:widowControl/>
        <w:suppressAutoHyphens/>
        <w:spacing w:before="120" w:after="120" w:line="360" w:lineRule="auto"/>
        <w:rPr>
          <w:rFonts w:eastAsia="Calibri"/>
          <w:noProof/>
          <w:szCs w:val="24"/>
          <w:lang w:eastAsia="en-US"/>
        </w:rPr>
      </w:pPr>
    </w:p>
    <w:p w:rsidR="008D1BE3" w:rsidRPr="00661250" w:rsidRDefault="008D1BE3" w:rsidP="008D1BE3">
      <w:pPr>
        <w:widowControl/>
        <w:suppressAutoHyphens/>
        <w:spacing w:before="120" w:after="120" w:line="360" w:lineRule="auto"/>
        <w:rPr>
          <w:rFonts w:eastAsia="Calibri"/>
          <w:noProof/>
          <w:szCs w:val="24"/>
        </w:rPr>
      </w:pPr>
      <w:r w:rsidRPr="00661250">
        <w:t xml:space="preserve">Popis u nastavku uključuje sve kopnene, obalne i slatkovodne stanišne tipove navedene u Prilogu I. Direktivi 92/43/EEZ, na koji se upućuje u članku 4. stavcima 1. i 2., te šest skupina tih stanišnih tipova, odnosno 1. močvarna područja (obalna i kontinentalna), 2. travnjaci i druga pastoralna staništa, 3. rijeke, jezera te aluvijalna i obalna staništa, 4. šume, 5. stepe, vrištine i makije i 6. stjenovita staništa i sipine. </w:t>
      </w:r>
    </w:p>
    <w:p w:rsidR="008D1BE3" w:rsidRPr="00661250" w:rsidRDefault="008D1BE3" w:rsidP="008D1BE3">
      <w:pPr>
        <w:keepNext/>
        <w:widowControl/>
        <w:spacing w:before="120" w:after="120"/>
        <w:ind w:left="850" w:hanging="850"/>
        <w:jc w:val="both"/>
        <w:outlineLvl w:val="1"/>
        <w:rPr>
          <w:b/>
          <w:bCs/>
          <w:szCs w:val="26"/>
        </w:rPr>
      </w:pPr>
      <w:r w:rsidRPr="00661250">
        <w:rPr>
          <w:b/>
        </w:rPr>
        <w:t>1.</w:t>
      </w:r>
      <w:r w:rsidRPr="00661250">
        <w:rPr>
          <w:b/>
        </w:rPr>
        <w:tab/>
        <w:t>SKUPINA 1: močvarna područja (obalna i kontinentalna)</w:t>
      </w:r>
    </w:p>
    <w:tbl>
      <w:tblPr>
        <w:tblStyle w:val="TableGrid"/>
        <w:tblW w:w="0" w:type="auto"/>
        <w:tblLook w:val="04A0" w:firstRow="1" w:lastRow="0" w:firstColumn="1" w:lastColumn="0" w:noHBand="0" w:noVBand="1"/>
      </w:tblPr>
      <w:tblGrid>
        <w:gridCol w:w="1555"/>
        <w:gridCol w:w="7508"/>
      </w:tblGrid>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 xml:space="preserve">Oznaka stanišnog tipa iz Priloga I. Direktivi Vijeća 92/43/EEZ </w:t>
            </w:r>
          </w:p>
        </w:tc>
        <w:tc>
          <w:tcPr>
            <w:tcW w:w="7508"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Naziv stanišnog tipa iz Priloga I. Direktivi Vijeća 92/43/EEZ</w:t>
            </w:r>
          </w:p>
        </w:tc>
      </w:tr>
      <w:tr w:rsidR="008D1BE3" w:rsidRPr="00661250" w:rsidTr="00F53FDE">
        <w:trPr>
          <w:cantSplit/>
          <w:trHeight w:val="283"/>
        </w:trPr>
        <w:tc>
          <w:tcPr>
            <w:tcW w:w="9063" w:type="dxa"/>
            <w:gridSpan w:val="2"/>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Obalna i slana staništa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estuariji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i/>
                <w:noProof/>
              </w:rPr>
            </w:pPr>
            <w:r w:rsidRPr="00661250">
              <w:rPr>
                <w:b/>
                <w:i/>
              </w:rPr>
              <w:t>1140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muljevita i pješčana dna izložena zraku za vrijeme oseke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obalne lagune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muljevite i pjeskovite obale obrasle svojtama roda Salicornia i drugim jednogodišnjim halofitima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sastojine roda Spartina (</w:t>
            </w:r>
            <w:r w:rsidRPr="00661250">
              <w:rPr>
                <w:i/>
              </w:rPr>
              <w:t>Spartinion maritimae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atlantske slane livade (</w:t>
            </w:r>
            <w:r w:rsidRPr="00661250">
              <w:rPr>
                <w:i/>
              </w:rPr>
              <w:t>Glauco-Puccinellietalia maritimae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kontinentalne slane livade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mediteranske sitine (</w:t>
            </w:r>
            <w:r w:rsidRPr="00661250">
              <w:rPr>
                <w:i/>
              </w:rPr>
              <w:t>Juncetalia maritimi</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mediteranska i termoatlantska vegetacija halofilnih grmova (</w:t>
            </w:r>
            <w:r w:rsidRPr="00661250">
              <w:rPr>
                <w:i/>
              </w:rPr>
              <w:t>Sarcocornetea fruticosi</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panonske slane stepe i slane močvare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uske uvale borealnog Baltika</w:t>
            </w:r>
          </w:p>
        </w:tc>
      </w:tr>
      <w:tr w:rsidR="008D1BE3" w:rsidRPr="00661250" w:rsidTr="00F53FD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Vlažne vrištine i tresetasti travnjaci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lastRenderedPageBreak/>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sjevernoatlantske vlažne vrištine s vrstom </w:t>
            </w:r>
            <w:r w:rsidRPr="00661250">
              <w:rPr>
                <w:i/>
              </w:rPr>
              <w:t>Erica tetralix</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umjerene atlantske vlažne vrištine s vrstama </w:t>
            </w:r>
            <w:r w:rsidRPr="00661250">
              <w:rPr>
                <w:i/>
              </w:rPr>
              <w:t>Erica ciliaris</w:t>
            </w:r>
            <w:r w:rsidRPr="00661250">
              <w:t xml:space="preserve"> i </w:t>
            </w:r>
            <w:r w:rsidRPr="00661250">
              <w:rPr>
                <w:i/>
              </w:rPr>
              <w:t>Erica tetralix</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tresetasti travnjaci Troodosa</w:t>
            </w:r>
          </w:p>
        </w:tc>
      </w:tr>
      <w:tr w:rsidR="008D1BE3" w:rsidRPr="00661250" w:rsidTr="00F53FD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Cretovi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aktivni nadignuti cretovi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degradirani nadignuti cretovi kod kojih je moguća prirodna obnova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kompleksni cretovi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prijelazni cretovi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 xml:space="preserve">depresije na tresetnoj podlozi </w:t>
            </w:r>
            <w:r w:rsidRPr="00661250">
              <w:rPr>
                <w:i/>
              </w:rPr>
              <w:t>Rhynchosporion</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fenoskandinavski mineralni izvori i izvorski ritovi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bazofilni cretovi s vrstama </w:t>
            </w:r>
            <w:r w:rsidRPr="00661250">
              <w:rPr>
                <w:i/>
              </w:rPr>
              <w:t>Cladium mariscus</w:t>
            </w:r>
            <w:r w:rsidRPr="00661250">
              <w:t xml:space="preserve"> i </w:t>
            </w:r>
            <w:r w:rsidRPr="00661250">
              <w:rPr>
                <w:i/>
              </w:rPr>
              <w:t>Caricion davallianae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sedrotvorni izvori (</w:t>
            </w:r>
            <w:r w:rsidRPr="00661250">
              <w:rPr>
                <w:i/>
              </w:rPr>
              <w:t>Cratoneurion</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bazofilni cretovi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planinske pionirske sastojine sveze </w:t>
            </w:r>
            <w:r w:rsidRPr="00661250">
              <w:rPr>
                <w:i/>
              </w:rPr>
              <w:t>Caricion bicoloris-atrofuscae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aapa cretovi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palsa cretovi</w:t>
            </w:r>
          </w:p>
        </w:tc>
      </w:tr>
      <w:tr w:rsidR="008D1BE3" w:rsidRPr="00661250" w:rsidTr="00F53FD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pageBreakBefore/>
              <w:widowControl/>
              <w:spacing w:before="120" w:after="120"/>
              <w:rPr>
                <w:b/>
                <w:noProof/>
              </w:rPr>
            </w:pPr>
            <w:r w:rsidRPr="00661250">
              <w:rPr>
                <w:b/>
              </w:rPr>
              <w:lastRenderedPageBreak/>
              <w:t>Vlažne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fenoskandinavske listopadne močvarne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cretne šume</w:t>
            </w:r>
          </w:p>
        </w:tc>
      </w:tr>
    </w:tbl>
    <w:p w:rsidR="008D1BE3" w:rsidRPr="00661250" w:rsidRDefault="008D1BE3" w:rsidP="008D1BE3">
      <w:pPr>
        <w:keepNext/>
        <w:widowControl/>
        <w:tabs>
          <w:tab w:val="left" w:pos="851"/>
        </w:tabs>
        <w:spacing w:before="120" w:after="120"/>
        <w:jc w:val="both"/>
        <w:outlineLvl w:val="1"/>
        <w:rPr>
          <w:b/>
          <w:bCs/>
          <w:noProof/>
          <w:szCs w:val="26"/>
        </w:rPr>
      </w:pPr>
      <w:r w:rsidRPr="00661250">
        <w:rPr>
          <w:b/>
        </w:rPr>
        <w:t>2.</w:t>
      </w:r>
      <w:r w:rsidRPr="00661250">
        <w:rPr>
          <w:b/>
        </w:rPr>
        <w:tab/>
        <w:t>SKUPINA 2: travnjaci i druga pastoralna staništa</w:t>
      </w:r>
    </w:p>
    <w:tbl>
      <w:tblPr>
        <w:tblStyle w:val="TableGrid"/>
        <w:tblW w:w="9072" w:type="dxa"/>
        <w:tblInd w:w="-5" w:type="dxa"/>
        <w:tblLayout w:type="fixed"/>
        <w:tblLook w:val="04A0" w:firstRow="1" w:lastRow="0" w:firstColumn="1" w:lastColumn="0" w:noHBand="0" w:noVBand="1"/>
      </w:tblPr>
      <w:tblGrid>
        <w:gridCol w:w="1560"/>
        <w:gridCol w:w="7512"/>
      </w:tblGrid>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 xml:space="preserve">Oznaka stanišnog tipa iz Priloga I. Direktivi Vijeća 92/43/EEZ </w:t>
            </w:r>
          </w:p>
        </w:tc>
        <w:tc>
          <w:tcPr>
            <w:tcW w:w="7512"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Naziv stanišnog tipa iz Priloga I. Direktivi Vijeća 92/43/EEZ</w:t>
            </w:r>
          </w:p>
        </w:tc>
      </w:tr>
      <w:tr w:rsidR="008D1BE3" w:rsidRPr="00661250" w:rsidTr="00F53FDE">
        <w:trPr>
          <w:cantSplit/>
          <w:trHeight w:val="283"/>
        </w:trPr>
        <w:tc>
          <w:tcPr>
            <w:tcW w:w="9072"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rPr>
                <w:b/>
              </w:rPr>
              <w:t>Obalna staništa i sipine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1630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obalne livade borealnog Baltika</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21A0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machair</w:t>
            </w:r>
          </w:p>
        </w:tc>
      </w:tr>
      <w:tr w:rsidR="008D1BE3" w:rsidRPr="00661250" w:rsidTr="00F53FD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D1BE3" w:rsidRPr="00661250" w:rsidRDefault="008D1BE3" w:rsidP="00F53FDE">
            <w:pPr>
              <w:widowControl/>
              <w:spacing w:before="120" w:after="120"/>
              <w:rPr>
                <w:noProof/>
              </w:rPr>
            </w:pPr>
            <w:r w:rsidRPr="00661250">
              <w:rPr>
                <w:b/>
              </w:rPr>
              <w:t>Vrištine i makije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4030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europske suhe vrištine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4040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atlantske suhe vrištine s vrstom Erica vagans</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4090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endemske oromediteranske vrištine sa štipavcem</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5130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sastojine obične borovice </w:t>
            </w:r>
            <w:r w:rsidRPr="00661250">
              <w:rPr>
                <w:i/>
              </w:rPr>
              <w:t>Juniperus communis</w:t>
            </w:r>
            <w:r w:rsidRPr="00661250">
              <w:t xml:space="preserve"> na vrištinama ili vapnenačkim travnjacima</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8240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vapnenačke ploče</w:t>
            </w:r>
          </w:p>
        </w:tc>
      </w:tr>
      <w:tr w:rsidR="008D1BE3" w:rsidRPr="00661250" w:rsidTr="00F53FD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D1BE3" w:rsidRPr="00661250" w:rsidRDefault="008D1BE3" w:rsidP="00F53FDE">
            <w:pPr>
              <w:widowControl/>
              <w:spacing w:before="120" w:after="120"/>
              <w:rPr>
                <w:noProof/>
              </w:rPr>
            </w:pPr>
            <w:r w:rsidRPr="00661250">
              <w:rPr>
                <w:b/>
              </w:rPr>
              <w:t>Travnjaci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6110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 xml:space="preserve">travnjaci na vapnenačkom kamenjaru ili bazofilni travnjaci </w:t>
            </w:r>
            <w:r w:rsidRPr="00661250">
              <w:rPr>
                <w:i/>
              </w:rPr>
              <w:t>Alysso-Sedion albi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6120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suhi pješčani vapnenački travnjaci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6130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travnjaci </w:t>
            </w:r>
            <w:r w:rsidRPr="00661250">
              <w:rPr>
                <w:i/>
              </w:rPr>
              <w:t>Violetalia calaminariae</w:t>
            </w:r>
            <w:r w:rsidRPr="00661250">
              <w:t xml:space="preserve"> na kalaminskoj podlozi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6140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silikatni travnjaci vrste </w:t>
            </w:r>
            <w:r w:rsidRPr="00661250">
              <w:rPr>
                <w:i/>
              </w:rPr>
              <w:t>Festuca eskia</w:t>
            </w:r>
            <w:r w:rsidRPr="00661250">
              <w:t xml:space="preserve"> u Pirinejima</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6150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silikatni alpski i borealni travnjaci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6160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oroiberijski travnjaci vrste </w:t>
            </w:r>
            <w:r w:rsidRPr="00661250">
              <w:rPr>
                <w:i/>
              </w:rPr>
              <w:t>Festuca indigesta</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6170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planinski i predplaninski vapnenački travnjaci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6180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makaronezijski mezofilni travnjaci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lastRenderedPageBreak/>
              <w:t>6190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panonski kamenjarski travnjaci (</w:t>
            </w:r>
            <w:r w:rsidRPr="00661250">
              <w:rPr>
                <w:i/>
              </w:rPr>
              <w:t>Stipo-Festucetalia pallentis</w:t>
            </w:r>
            <w:r w:rsidRPr="00661250">
              <w:t>)</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poluprirodni suhi travnjaci i grmoliki facijes na vapnenačkoj podlozi (</w:t>
            </w:r>
            <w:r w:rsidRPr="00661250">
              <w:rPr>
                <w:i/>
              </w:rPr>
              <w:t>Festuco-Brometalia</w:t>
            </w:r>
            <w:r w:rsidRPr="00661250">
              <w:t>)</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pseudostepe s travama i jednogodišnjim svojtama </w:t>
            </w:r>
            <w:r w:rsidRPr="00661250">
              <w:rPr>
                <w:i/>
              </w:rPr>
              <w:t>Thero-Brachypodietea</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travnjaci tvrdače </w:t>
            </w:r>
            <w:r w:rsidRPr="00661250">
              <w:rPr>
                <w:i/>
              </w:rPr>
              <w:t>Nardus</w:t>
            </w:r>
            <w:r w:rsidRPr="00661250">
              <w:t xml:space="preserve"> bogati vrstama na silikatnoj podlozi u brdskom pojasu (i brežuljkastom pojasu kontinentalne Europe)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6240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subpanonski stepski travnjaci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6250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panonski stepski travnjaci na praporu</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6260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panonske pješčane stepe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6270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fenoskandinavski nizinski suhi do srednje vlažni travnjaci bogati vrstama</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6280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nordijske alvarske i predkambrijske zaravni od vapnenačkih stijena</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62A0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istočni submediteranski suhi travnjaci (</w:t>
            </w:r>
            <w:r w:rsidRPr="00661250">
              <w:rPr>
                <w:i/>
              </w:rPr>
              <w:t>Scorzoneratalia villosae</w:t>
            </w:r>
            <w:r w:rsidRPr="00661250">
              <w:t>)</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62B0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serpentinofilni travnjaci na Cipru</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62C0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pontsko-sarmatske stepe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62D0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oromezijski acidofilni travnjaci</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6410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livade Molinia na vapnenačkom, tresetnom ili glineno-muljevitom tlu (</w:t>
            </w:r>
            <w:r w:rsidRPr="00661250">
              <w:rPr>
                <w:i/>
              </w:rPr>
              <w:t>Molinion caeruleae</w:t>
            </w:r>
            <w:r w:rsidRPr="00661250">
              <w:t>)</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6420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mediteranske vlažne livade visokih zeleni </w:t>
            </w:r>
            <w:r w:rsidRPr="00661250">
              <w:rPr>
                <w:i/>
              </w:rPr>
              <w:t>Molinio-Holoschoenion</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6510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nizinske livade košanice (</w:t>
            </w:r>
            <w:r w:rsidRPr="00661250">
              <w:rPr>
                <w:i/>
              </w:rPr>
              <w:t>Alopecurus pratensis, Sanguisorba officinalis</w:t>
            </w:r>
            <w:r w:rsidRPr="00661250">
              <w:t>)</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6520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planinske livade košanice</w:t>
            </w:r>
          </w:p>
        </w:tc>
      </w:tr>
      <w:tr w:rsidR="008D1BE3" w:rsidRPr="00661250" w:rsidTr="00F53FD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D1BE3" w:rsidRPr="00661250" w:rsidRDefault="008D1BE3" w:rsidP="00F53FDE">
            <w:pPr>
              <w:pageBreakBefore/>
              <w:widowControl/>
              <w:spacing w:before="120" w:after="120"/>
              <w:rPr>
                <w:noProof/>
              </w:rPr>
            </w:pPr>
            <w:r w:rsidRPr="00661250">
              <w:rPr>
                <w:b/>
              </w:rPr>
              <w:lastRenderedPageBreak/>
              <w:t>Deheze i šumovite livade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6310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 xml:space="preserve">deheze sa zimzelenom vegetacijom </w:t>
            </w:r>
            <w:r w:rsidRPr="00661250">
              <w:rPr>
                <w:i/>
              </w:rPr>
              <w:t>Quercus spp</w:t>
            </w:r>
            <w:r w:rsidRPr="00661250">
              <w:t>.</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6530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fenoskandinavske šumovite livade</w:t>
            </w:r>
          </w:p>
        </w:tc>
      </w:tr>
      <w:tr w:rsidR="008D1BE3" w:rsidRPr="00661250" w:rsidTr="00F53FD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9070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fenoskandinavski šumoviti pašnjaci</w:t>
            </w:r>
          </w:p>
        </w:tc>
      </w:tr>
    </w:tbl>
    <w:p w:rsidR="008D1BE3" w:rsidRPr="00661250" w:rsidRDefault="008D1BE3" w:rsidP="008D1BE3">
      <w:pPr>
        <w:keepNext/>
        <w:widowControl/>
        <w:spacing w:before="120" w:after="120"/>
        <w:ind w:left="850" w:hanging="850"/>
        <w:jc w:val="both"/>
        <w:outlineLvl w:val="1"/>
        <w:rPr>
          <w:b/>
          <w:bCs/>
          <w:noProof/>
          <w:szCs w:val="26"/>
        </w:rPr>
      </w:pPr>
      <w:r w:rsidRPr="00661250">
        <w:rPr>
          <w:b/>
        </w:rPr>
        <w:t>3.</w:t>
      </w:r>
      <w:r w:rsidRPr="00661250">
        <w:rPr>
          <w:b/>
        </w:rPr>
        <w:tab/>
        <w:t xml:space="preserve">SKUPINA 3: rijeke, jezera te aluvijalna i obalna staništa </w:t>
      </w:r>
    </w:p>
    <w:tbl>
      <w:tblPr>
        <w:tblStyle w:val="TableGrid"/>
        <w:tblW w:w="0" w:type="auto"/>
        <w:tblLook w:val="04A0" w:firstRow="1" w:lastRow="0" w:firstColumn="1" w:lastColumn="0" w:noHBand="0" w:noVBand="1"/>
      </w:tblPr>
      <w:tblGrid>
        <w:gridCol w:w="1555"/>
        <w:gridCol w:w="7508"/>
      </w:tblGrid>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 xml:space="preserve">Oznaka stanišnog tipa iz Priloga I. Direktivi Vijeća 92/43/EEZ </w:t>
            </w:r>
          </w:p>
        </w:tc>
        <w:tc>
          <w:tcPr>
            <w:tcW w:w="7508"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Naziv stanišnog tipa iz Priloga I. Direktivi Vijeća 92/43/EEZ</w:t>
            </w:r>
          </w:p>
        </w:tc>
      </w:tr>
      <w:tr w:rsidR="008D1BE3" w:rsidRPr="00661250" w:rsidTr="00F53FDE">
        <w:trPr>
          <w:cantSplit/>
          <w:trHeight w:val="283"/>
        </w:trPr>
        <w:tc>
          <w:tcPr>
            <w:tcW w:w="9063" w:type="dxa"/>
            <w:gridSpan w:val="2"/>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Rijeke i jezera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oligotrofne vode koje sadržavaju vrlo malo minerala u pješčanim nizinama (</w:t>
            </w:r>
            <w:r w:rsidRPr="00661250">
              <w:rPr>
                <w:i/>
                <w:iCs/>
              </w:rPr>
              <w:t>Littorelletalia uniflorae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 xml:space="preserve">oligotrofne vode koje sadržavaju vrlo malo minerala uglavnom u pješčanim nizinama zapadnog Mediterana, sa svojtama roda </w:t>
            </w:r>
            <w:r w:rsidRPr="00661250">
              <w:rPr>
                <w:i/>
                <w:iCs/>
              </w:rPr>
              <w:t>Isoetes</w:t>
            </w:r>
            <w:r w:rsidRPr="00661250">
              <w:t xml:space="preserve">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 xml:space="preserve">oligotrofne do mezotrofne stajaćice s vegetacijom </w:t>
            </w:r>
            <w:r w:rsidRPr="00661250">
              <w:rPr>
                <w:i/>
                <w:iCs/>
              </w:rPr>
              <w:t>Littorelletea uniflorae</w:t>
            </w:r>
            <w:r w:rsidRPr="00661250">
              <w:t xml:space="preserve"> i/ili </w:t>
            </w:r>
            <w:r w:rsidRPr="00661250">
              <w:rPr>
                <w:i/>
                <w:iCs/>
              </w:rPr>
              <w:t>Isoëto-Nanojuncetea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 xml:space="preserve">tvrde oligo-mezotrofne vode s dnom obraslim svojtama parožina </w:t>
            </w:r>
            <w:r w:rsidRPr="00661250">
              <w:rPr>
                <w:i/>
                <w:iCs/>
              </w:rPr>
              <w:t>Chara</w:t>
            </w:r>
            <w:r w:rsidRPr="00661250">
              <w:t xml:space="preserve">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 xml:space="preserve">prirodna eutrofna jezera s vegetacijom sveze </w:t>
            </w:r>
            <w:r w:rsidRPr="00661250">
              <w:rPr>
                <w:i/>
                <w:iCs/>
              </w:rPr>
              <w:t>Hydrocharition</w:t>
            </w:r>
            <w:r w:rsidRPr="00661250">
              <w:t xml:space="preserve"> ili </w:t>
            </w:r>
            <w:r w:rsidRPr="00661250">
              <w:rPr>
                <w:i/>
                <w:iCs/>
              </w:rPr>
              <w:t>Magnopotamion</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prirodna distrofična jezera i lokve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mediteranske povremene lokve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povremena krška jezera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jezera u sadrenom kršu</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naselja lotusa na transilvanijskim vrućim izvorima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fenoskandinavske prirodne rijeke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planinske rijeke i zeljasta vegetacija uz njihove obale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drvenasta vegetacija s kebračem </w:t>
            </w:r>
            <w:r w:rsidRPr="00661250">
              <w:rPr>
                <w:i/>
                <w:iCs/>
              </w:rPr>
              <w:t>Myricaria germanica</w:t>
            </w:r>
            <w:r w:rsidRPr="00661250">
              <w:t xml:space="preserve"> uz planinske rijeke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drvenasta vegetacija sa sivkastom vrbom </w:t>
            </w:r>
            <w:r w:rsidRPr="00661250">
              <w:rPr>
                <w:i/>
                <w:iCs/>
              </w:rPr>
              <w:t>Salix eleagnos</w:t>
            </w:r>
            <w:r w:rsidRPr="00661250">
              <w:t xml:space="preserve"> uz planinske rijeke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mediteranski stalni riječni tokovi s vrstom </w:t>
            </w:r>
            <w:r w:rsidRPr="00661250">
              <w:rPr>
                <w:i/>
                <w:iCs/>
              </w:rPr>
              <w:t>Glaucium flavum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vodni tokovi od ravničarske do planinske razine s vegetacijom </w:t>
            </w:r>
            <w:r w:rsidRPr="00661250">
              <w:rPr>
                <w:i/>
                <w:iCs/>
              </w:rPr>
              <w:t>Ranunculion fluitantis</w:t>
            </w:r>
            <w:r w:rsidRPr="00661250">
              <w:t xml:space="preserve"> i </w:t>
            </w:r>
            <w:r w:rsidRPr="00661250">
              <w:rPr>
                <w:i/>
                <w:iCs/>
              </w:rPr>
              <w:t>Callitricho-Batrachion</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rijeke muljevitih obala s vegetacijom </w:t>
            </w:r>
            <w:r w:rsidRPr="00661250">
              <w:rPr>
                <w:i/>
                <w:iCs/>
              </w:rPr>
              <w:t>Chenopodion rubri</w:t>
            </w:r>
            <w:r w:rsidRPr="00661250">
              <w:t xml:space="preserve"> p.p. i </w:t>
            </w:r>
            <w:r w:rsidRPr="00661250">
              <w:rPr>
                <w:i/>
                <w:iCs/>
              </w:rPr>
              <w:t>Bidention</w:t>
            </w:r>
            <w:r w:rsidRPr="00661250">
              <w:t xml:space="preserve"> 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 xml:space="preserve">mediteranski stalni riječni tokovi s vegetacijom sveze </w:t>
            </w:r>
            <w:r w:rsidRPr="00661250">
              <w:rPr>
                <w:i/>
                <w:iCs/>
              </w:rPr>
              <w:t>Paspalo-Agrostidion</w:t>
            </w:r>
            <w:r w:rsidRPr="00661250">
              <w:t xml:space="preserve"> zastirani sastojinama roda </w:t>
            </w:r>
            <w:r w:rsidRPr="00661250">
              <w:rPr>
                <w:i/>
                <w:iCs/>
              </w:rPr>
              <w:t>Salix</w:t>
            </w:r>
            <w:r w:rsidRPr="00661250">
              <w:t xml:space="preserve"> i vrste </w:t>
            </w:r>
            <w:r w:rsidRPr="00661250">
              <w:rPr>
                <w:i/>
                <w:iCs/>
              </w:rPr>
              <w:t>Populus alba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 xml:space="preserve">mediteranski povremeni riječni tokovi s vegetacijom sveze </w:t>
            </w:r>
            <w:r w:rsidRPr="00661250">
              <w:rPr>
                <w:i/>
                <w:iCs/>
              </w:rPr>
              <w:t>Paspalo-Agrostidion</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sedrene barijere krških rijeka Dinarida</w:t>
            </w:r>
          </w:p>
        </w:tc>
      </w:tr>
      <w:tr w:rsidR="008D1BE3" w:rsidRPr="00661250" w:rsidTr="00F53FD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Aluvijalne livade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hidrofilne rubne ravničarske, planinske i alpske zajednice visokih zeleni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aluvijalne livade </w:t>
            </w:r>
            <w:r w:rsidRPr="00661250">
              <w:rPr>
                <w:i/>
                <w:iCs/>
              </w:rPr>
              <w:t>Cnidion dubii</w:t>
            </w:r>
            <w:r w:rsidRPr="00661250">
              <w:t xml:space="preserve"> u riječnim dolinama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aluvijalne livade borealnih šuma četinjača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submediteranski travnjaci sveze </w:t>
            </w:r>
            <w:r w:rsidRPr="00661250">
              <w:rPr>
                <w:i/>
                <w:iCs/>
              </w:rPr>
              <w:t>Molinio-Hordeion secalini</w:t>
            </w:r>
          </w:p>
        </w:tc>
      </w:tr>
      <w:tr w:rsidR="008D1BE3" w:rsidRPr="00661250" w:rsidTr="00F53FD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Cs/>
                <w:noProof/>
              </w:rPr>
            </w:pPr>
            <w:r w:rsidRPr="00661250">
              <w:rPr>
                <w:b/>
              </w:rPr>
              <w:t>Aluvijalne/obalne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subatlantske i srednjoeuropske hrastove ili hrastovo-grabove šume </w:t>
            </w:r>
            <w:r w:rsidRPr="00661250">
              <w:rPr>
                <w:i/>
                <w:iCs/>
              </w:rPr>
              <w:t>Carpinion betuli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aluvijalne šume s vrstama </w:t>
            </w:r>
            <w:r w:rsidRPr="00661250">
              <w:rPr>
                <w:i/>
                <w:iCs/>
              </w:rPr>
              <w:t>Alnus glutinosa</w:t>
            </w:r>
            <w:r w:rsidRPr="00661250">
              <w:t xml:space="preserve"> i </w:t>
            </w:r>
            <w:r w:rsidRPr="00661250">
              <w:rPr>
                <w:i/>
                <w:iCs/>
              </w:rPr>
              <w:t>Fraxinus excelsior</w:t>
            </w:r>
            <w:r w:rsidRPr="00661250">
              <w:t xml:space="preserve"> (</w:t>
            </w:r>
            <w:r w:rsidRPr="00661250">
              <w:rPr>
                <w:i/>
                <w:iCs/>
              </w:rPr>
              <w:t>Alno-Padion, Alnion incanae, Salicion albae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obalne miješane šume </w:t>
            </w:r>
            <w:r w:rsidRPr="00661250">
              <w:rPr>
                <w:i/>
                <w:iCs/>
              </w:rPr>
              <w:t>Quercus robur</w:t>
            </w:r>
            <w:r w:rsidRPr="00661250">
              <w:t xml:space="preserve">, </w:t>
            </w:r>
            <w:r w:rsidRPr="00661250">
              <w:rPr>
                <w:i/>
                <w:iCs/>
              </w:rPr>
              <w:t>Ulmus laevis</w:t>
            </w:r>
            <w:r w:rsidRPr="00661250">
              <w:t xml:space="preserve"> i </w:t>
            </w:r>
            <w:r w:rsidRPr="00661250">
              <w:rPr>
                <w:i/>
                <w:iCs/>
              </w:rPr>
              <w:t>Ulmus minor</w:t>
            </w:r>
            <w:r w:rsidRPr="00661250">
              <w:t xml:space="preserve">, </w:t>
            </w:r>
            <w:r w:rsidRPr="00661250">
              <w:rPr>
                <w:i/>
                <w:iCs/>
              </w:rPr>
              <w:t>Fraxinus excelsior</w:t>
            </w:r>
            <w:r w:rsidRPr="00661250">
              <w:t xml:space="preserve"> ili </w:t>
            </w:r>
            <w:r w:rsidRPr="00661250">
              <w:rPr>
                <w:i/>
                <w:iCs/>
              </w:rPr>
              <w:t>Fraxinus angustifolia</w:t>
            </w:r>
            <w:r w:rsidRPr="00661250">
              <w:t>, duž velikih rijeka (</w:t>
            </w:r>
            <w:r w:rsidRPr="00661250">
              <w:rPr>
                <w:i/>
                <w:iCs/>
              </w:rPr>
              <w:t>Ulmenion minoris</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galerije bijele vrbe </w:t>
            </w:r>
            <w:r w:rsidRPr="00661250">
              <w:rPr>
                <w:i/>
                <w:iCs/>
              </w:rPr>
              <w:t>Salix alba</w:t>
            </w:r>
            <w:r w:rsidRPr="00661250">
              <w:t xml:space="preserve"> i bijele topole </w:t>
            </w:r>
            <w:r w:rsidRPr="00661250">
              <w:rPr>
                <w:i/>
                <w:iCs/>
              </w:rPr>
              <w:t>Populus alba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obalne sastojine na povremenim mediteranskim vodotocima s vrstom </w:t>
            </w:r>
            <w:r w:rsidRPr="00661250">
              <w:rPr>
                <w:i/>
                <w:iCs/>
              </w:rPr>
              <w:t>Rhododendron ponticum</w:t>
            </w:r>
            <w:r w:rsidRPr="00661250">
              <w:t xml:space="preserve">, svojtama roda </w:t>
            </w:r>
            <w:r w:rsidRPr="00661250">
              <w:rPr>
                <w:i/>
                <w:iCs/>
              </w:rPr>
              <w:t>Salix</w:t>
            </w:r>
            <w:r w:rsidRPr="00661250">
              <w:t xml:space="preserve"> i drugima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šume vrste </w:t>
            </w:r>
            <w:r w:rsidRPr="00661250">
              <w:rPr>
                <w:i/>
                <w:iCs/>
              </w:rPr>
              <w:t>Platanus orientalis</w:t>
            </w:r>
            <w:r w:rsidRPr="00661250">
              <w:t xml:space="preserve"> i </w:t>
            </w:r>
            <w:r w:rsidRPr="00661250">
              <w:rPr>
                <w:i/>
                <w:iCs/>
              </w:rPr>
              <w:t>Liquidambar orientalis</w:t>
            </w:r>
            <w:r w:rsidRPr="00661250">
              <w:t xml:space="preserve"> (</w:t>
            </w:r>
            <w:r w:rsidRPr="00661250">
              <w:rPr>
                <w:i/>
                <w:iCs/>
              </w:rPr>
              <w:t>Platanion orientalis</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južne priobalne galerije i šikare (</w:t>
            </w:r>
            <w:r w:rsidRPr="00661250">
              <w:rPr>
                <w:i/>
                <w:iCs/>
              </w:rPr>
              <w:t>Nerio-Tamaricetea</w:t>
            </w:r>
            <w:r w:rsidRPr="00661250">
              <w:t xml:space="preserve"> i </w:t>
            </w:r>
            <w:r w:rsidRPr="00661250">
              <w:rPr>
                <w:i/>
                <w:iCs/>
              </w:rPr>
              <w:t>Securinegion tinctoriae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t>9370</w:t>
            </w:r>
          </w:p>
        </w:tc>
        <w:tc>
          <w:tcPr>
            <w:tcW w:w="7508"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t xml:space="preserve">šumarci palmi iz roda </w:t>
            </w:r>
            <w:r w:rsidRPr="00661250">
              <w:rPr>
                <w:i/>
                <w:iCs/>
              </w:rPr>
              <w:t>Phoenix</w:t>
            </w:r>
          </w:p>
        </w:tc>
      </w:tr>
    </w:tbl>
    <w:p w:rsidR="008D1BE3" w:rsidRPr="00661250" w:rsidRDefault="008D1BE3" w:rsidP="008D1BE3">
      <w:pPr>
        <w:keepNext/>
        <w:widowControl/>
        <w:spacing w:before="120" w:after="120"/>
        <w:ind w:left="850" w:hanging="850"/>
        <w:jc w:val="both"/>
        <w:outlineLvl w:val="1"/>
        <w:rPr>
          <w:b/>
          <w:bCs/>
          <w:noProof/>
          <w:szCs w:val="26"/>
        </w:rPr>
      </w:pPr>
      <w:r w:rsidRPr="00661250">
        <w:rPr>
          <w:b/>
        </w:rPr>
        <w:lastRenderedPageBreak/>
        <w:t>4.</w:t>
      </w:r>
      <w:r w:rsidRPr="00661250">
        <w:rPr>
          <w:b/>
        </w:rPr>
        <w:tab/>
        <w:t>SKUPINA 4: šume</w:t>
      </w:r>
    </w:p>
    <w:tbl>
      <w:tblPr>
        <w:tblStyle w:val="TableGrid"/>
        <w:tblW w:w="9067" w:type="dxa"/>
        <w:tblLayout w:type="fixed"/>
        <w:tblLook w:val="04A0" w:firstRow="1" w:lastRow="0" w:firstColumn="1" w:lastColumn="0" w:noHBand="0" w:noVBand="1"/>
      </w:tblPr>
      <w:tblGrid>
        <w:gridCol w:w="1555"/>
        <w:gridCol w:w="7512"/>
      </w:tblGrid>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 xml:space="preserve">Oznaka stanišnog tipa iz Priloga I. Direktivi Vijeća 92/43/EEZ </w:t>
            </w:r>
          </w:p>
        </w:tc>
        <w:tc>
          <w:tcPr>
            <w:tcW w:w="7512"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Naziv stanišnog tipa iz Priloga I. Direktivi Vijeća 92/43/EEZ</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Borealne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9010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zapadne tajge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9020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fenoskandinavske polusjeverne prirodne stare širokolisne listopadne šume (</w:t>
            </w:r>
            <w:r w:rsidRPr="00661250">
              <w:rPr>
                <w:i/>
                <w:iCs/>
              </w:rPr>
              <w:t>Quercus, Tilia, Acer, Fraxinus</w:t>
            </w:r>
            <w:r w:rsidRPr="00661250">
              <w:t xml:space="preserve"> ili </w:t>
            </w:r>
            <w:r w:rsidRPr="00661250">
              <w:rPr>
                <w:i/>
                <w:iCs/>
              </w:rPr>
              <w:t>Ulmus</w:t>
            </w:r>
            <w:r w:rsidRPr="00661250">
              <w:t>) bogate epifitima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9030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prirodne šume prvog nasljednog stupnja na vulkanskoj obali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9040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nordijske subalpske/subarktičke šume s vrstom </w:t>
            </w:r>
            <w:r w:rsidRPr="00661250">
              <w:rPr>
                <w:i/>
                <w:iCs/>
              </w:rPr>
              <w:t>Betula pubescens</w:t>
            </w:r>
            <w:r w:rsidRPr="00661250">
              <w:t xml:space="preserve"> subsp. </w:t>
            </w:r>
            <w:r w:rsidRPr="00661250">
              <w:rPr>
                <w:i/>
                <w:iCs/>
              </w:rPr>
              <w:t>czerepanovii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9050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fenoskandinavske šume bogate travama s vegetacijom </w:t>
            </w:r>
            <w:r w:rsidRPr="00661250">
              <w:rPr>
                <w:i/>
                <w:iCs/>
              </w:rPr>
              <w:t>Picea abies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9060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šume četinjača koje se nalaze na ili su povezane s glaciofluvijalnim eskerima</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noProof/>
              </w:rPr>
            </w:pPr>
            <w:r w:rsidRPr="00661250">
              <w:rPr>
                <w:b/>
              </w:rPr>
              <w:t>Šume umjerenog pojasa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bukove šume </w:t>
            </w:r>
            <w:r w:rsidRPr="00661250">
              <w:rPr>
                <w:i/>
                <w:iCs/>
              </w:rPr>
              <w:t>Luzulo-Fagetum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atlantske acidofilne bukove šume s vegetacijom </w:t>
            </w:r>
            <w:r w:rsidRPr="00661250">
              <w:rPr>
                <w:i/>
                <w:iCs/>
              </w:rPr>
              <w:t>Ilex</w:t>
            </w:r>
            <w:r w:rsidRPr="00661250">
              <w:t xml:space="preserve">, a ponekad i </w:t>
            </w:r>
            <w:r w:rsidRPr="00661250">
              <w:rPr>
                <w:i/>
                <w:iCs/>
              </w:rPr>
              <w:t>Taxus</w:t>
            </w:r>
            <w:r w:rsidRPr="00661250">
              <w:t xml:space="preserve"> u zoni grmlja (</w:t>
            </w:r>
            <w:r w:rsidRPr="00661250">
              <w:rPr>
                <w:i/>
                <w:iCs/>
              </w:rPr>
              <w:t>Quercion robori-petraeae</w:t>
            </w:r>
            <w:r w:rsidRPr="00661250">
              <w:t xml:space="preserve"> ili </w:t>
            </w:r>
            <w:r w:rsidRPr="00661250">
              <w:rPr>
                <w:i/>
                <w:iCs/>
              </w:rPr>
              <w:t>Ilici-Fagenion</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bukove šume </w:t>
            </w:r>
            <w:r w:rsidRPr="00661250">
              <w:rPr>
                <w:i/>
                <w:iCs/>
              </w:rPr>
              <w:t>Asperulo-Fagetum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srednjoeuropske subalpske bukove šume sa svojtama roda </w:t>
            </w:r>
            <w:r w:rsidRPr="00661250">
              <w:rPr>
                <w:i/>
                <w:iCs/>
              </w:rPr>
              <w:t>Acer</w:t>
            </w:r>
            <w:r w:rsidRPr="00661250">
              <w:t xml:space="preserve"> i planinskom kiselicom </w:t>
            </w:r>
            <w:r w:rsidRPr="00661250">
              <w:rPr>
                <w:i/>
                <w:iCs/>
              </w:rPr>
              <w:t>Rumex arifolius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srednjoeuropske šume bukve </w:t>
            </w:r>
            <w:r w:rsidRPr="00661250">
              <w:rPr>
                <w:i/>
                <w:iCs/>
              </w:rPr>
              <w:t>Cephalanthero-Fagion</w:t>
            </w:r>
            <w:r w:rsidRPr="00661250">
              <w:t xml:space="preserve"> na vapnencu</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hrastovo-grabove šume </w:t>
            </w:r>
            <w:r w:rsidRPr="00661250">
              <w:rPr>
                <w:i/>
                <w:iCs/>
              </w:rPr>
              <w:t>Galio-Carpinetum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šume </w:t>
            </w:r>
            <w:r w:rsidRPr="00661250">
              <w:rPr>
                <w:i/>
                <w:iCs/>
              </w:rPr>
              <w:t>Tilio-Acerion</w:t>
            </w:r>
            <w:r w:rsidRPr="00661250">
              <w:t xml:space="preserve"> na obroncima, točilima i u klancima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stare hrastove acidofilne šume s lužnjakom </w:t>
            </w:r>
            <w:r w:rsidRPr="00661250">
              <w:rPr>
                <w:i/>
                <w:iCs/>
              </w:rPr>
              <w:t>Quercus robur</w:t>
            </w:r>
            <w:r w:rsidRPr="00661250">
              <w:t xml:space="preserve"> na pješčanim nizinama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stare šume hrasta kitnjaka sa svojtama roda </w:t>
            </w:r>
            <w:r w:rsidRPr="00661250">
              <w:rPr>
                <w:i/>
                <w:iCs/>
              </w:rPr>
              <w:t>Ilex</w:t>
            </w:r>
            <w:r w:rsidRPr="00661250">
              <w:t xml:space="preserve"> i </w:t>
            </w:r>
            <w:r w:rsidRPr="00661250">
              <w:rPr>
                <w:i/>
                <w:iCs/>
              </w:rPr>
              <w:t>Blechnum</w:t>
            </w:r>
            <w:r w:rsidRPr="00661250">
              <w:t xml:space="preserve"> na Britanskim otocima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91B0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termofilne šume vrste </w:t>
            </w:r>
            <w:r w:rsidRPr="00661250">
              <w:rPr>
                <w:i/>
                <w:iCs/>
              </w:rPr>
              <w:t>Fraxinus angustifolia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91G0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panonske šume s vrstama </w:t>
            </w:r>
            <w:r w:rsidRPr="00661250">
              <w:rPr>
                <w:i/>
                <w:iCs/>
              </w:rPr>
              <w:t>Quercus petraea</w:t>
            </w:r>
            <w:r w:rsidRPr="00661250">
              <w:t xml:space="preserve"> i </w:t>
            </w:r>
            <w:r w:rsidRPr="00661250">
              <w:rPr>
                <w:i/>
                <w:iCs/>
              </w:rPr>
              <w:t>Carpinus betulus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lastRenderedPageBreak/>
              <w:t>91H0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panonske šume s vrstom </w:t>
            </w:r>
            <w:r w:rsidRPr="00661250">
              <w:rPr>
                <w:i/>
                <w:iCs/>
              </w:rPr>
              <w:t>Quercus pubescens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91I0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europsko-sibirske stepske šume sa svojtama roda </w:t>
            </w:r>
            <w:r w:rsidRPr="00661250">
              <w:rPr>
                <w:i/>
                <w:iCs/>
              </w:rPr>
              <w:t>Quercus</w:t>
            </w:r>
            <w:r w:rsidRPr="00661250">
              <w:t xml:space="preserve">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91J0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šume </w:t>
            </w:r>
            <w:r w:rsidRPr="00661250">
              <w:rPr>
                <w:i/>
                <w:iCs/>
              </w:rPr>
              <w:t>Taxus baccata</w:t>
            </w:r>
            <w:r w:rsidRPr="00661250">
              <w:t xml:space="preserve"> Britanskih otoka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91K0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ilirske šume </w:t>
            </w:r>
            <w:r w:rsidRPr="00661250">
              <w:rPr>
                <w:i/>
                <w:iCs/>
              </w:rPr>
              <w:t>Fagus sylvatica</w:t>
            </w:r>
            <w:r w:rsidRPr="00661250">
              <w:t xml:space="preserve"> (</w:t>
            </w:r>
            <w:r w:rsidRPr="00661250">
              <w:rPr>
                <w:i/>
                <w:iCs/>
              </w:rPr>
              <w:t>Aremonio-Fagion</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91L0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ilirske hrastovo-grabove šume (</w:t>
            </w:r>
            <w:r w:rsidRPr="00661250">
              <w:rPr>
                <w:i/>
                <w:iCs/>
              </w:rPr>
              <w:t>Erythronio-Carpinion</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91M0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panonsko-balkanske šume kitnjaka i sladuna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91P0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jelova šuma (</w:t>
            </w:r>
            <w:r w:rsidRPr="00661250">
              <w:rPr>
                <w:i/>
                <w:iCs/>
              </w:rPr>
              <w:t>Abietetum polonicum</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91Q0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kalcikolne šume </w:t>
            </w:r>
            <w:r w:rsidRPr="00661250">
              <w:rPr>
                <w:i/>
                <w:iCs/>
              </w:rPr>
              <w:t>Pinus sylvestris</w:t>
            </w:r>
            <w:r w:rsidRPr="00661250">
              <w:t xml:space="preserve"> zapadnih Karpata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91R0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dinarske šume škotskog bora (</w:t>
            </w:r>
            <w:r w:rsidRPr="00661250">
              <w:rPr>
                <w:i/>
                <w:iCs/>
              </w:rPr>
              <w:t>Genisto januensis-Pinetum</w:t>
            </w:r>
            <w:r w:rsidRPr="00661250">
              <w:t>) na dolomitu</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91S0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zapadnopontske bukove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91T0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srednjoeuropske šume škotskog bora, bogate lišajevima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91U0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borove šume sarmatske stepe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91V0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dacijske bukove šume (</w:t>
            </w:r>
            <w:r w:rsidRPr="00661250">
              <w:rPr>
                <w:i/>
                <w:iCs/>
              </w:rPr>
              <w:t>Symphyto-Fagion</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91W0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mezijske bukove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91X0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dobrudžanske bukove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91Y0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dacijske hrastove i grabove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91Z0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mezijske šume srebrne lipe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91AA</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istočne šume bijelog hrasta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91BA</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mezijske šume srebrne jele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noProof/>
              </w:rPr>
            </w:pPr>
            <w:r w:rsidRPr="00661250">
              <w:t>91CA</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šume škotskog bora planinskog vijenca Balkana i Rodopa</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pageBreakBefore/>
              <w:widowControl/>
              <w:spacing w:before="120" w:after="120"/>
              <w:rPr>
                <w:bCs/>
                <w:noProof/>
              </w:rPr>
            </w:pPr>
            <w:r w:rsidRPr="00661250">
              <w:rPr>
                <w:b/>
              </w:rPr>
              <w:lastRenderedPageBreak/>
              <w:t>Mediteranske i makaronezijske šume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apeninske bukove šume s tisom </w:t>
            </w:r>
            <w:r w:rsidRPr="00661250">
              <w:rPr>
                <w:i/>
                <w:iCs/>
              </w:rPr>
              <w:t>Taxus</w:t>
            </w:r>
            <w:r w:rsidRPr="00661250">
              <w:t xml:space="preserve"> i božikovinom </w:t>
            </w:r>
            <w:r w:rsidRPr="00661250">
              <w:rPr>
                <w:i/>
                <w:iCs/>
              </w:rPr>
              <w:t>Ilex</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apeninske bukove šume s običnom jelom </w:t>
            </w:r>
            <w:r w:rsidRPr="00661250">
              <w:rPr>
                <w:i/>
                <w:iCs/>
              </w:rPr>
              <w:t>Abies alba</w:t>
            </w:r>
            <w:r w:rsidRPr="00661250">
              <w:t xml:space="preserve"> i bukove šume s vrstom </w:t>
            </w:r>
            <w:r w:rsidRPr="00661250">
              <w:rPr>
                <w:i/>
                <w:iCs/>
              </w:rPr>
              <w:t>Abies nebrodensis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galicijsko-portugalske hrastove šume s lužnjakom </w:t>
            </w:r>
            <w:r w:rsidRPr="00661250">
              <w:rPr>
                <w:i/>
                <w:iCs/>
              </w:rPr>
              <w:t>Quercus robur</w:t>
            </w:r>
            <w:r w:rsidRPr="00661250">
              <w:t xml:space="preserve"> i vrstom </w:t>
            </w:r>
            <w:r w:rsidRPr="00661250">
              <w:rPr>
                <w:i/>
                <w:iCs/>
              </w:rPr>
              <w:t>Quercus pyrenaica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iberijske šume vrste </w:t>
            </w:r>
            <w:r w:rsidRPr="00661250">
              <w:rPr>
                <w:i/>
                <w:iCs/>
              </w:rPr>
              <w:t>Quercus faginea</w:t>
            </w:r>
            <w:r w:rsidRPr="00661250">
              <w:t xml:space="preserve"> i </w:t>
            </w:r>
            <w:r w:rsidRPr="00661250">
              <w:rPr>
                <w:i/>
                <w:iCs/>
              </w:rPr>
              <w:t>Quercus canariensis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šume vrste </w:t>
            </w:r>
            <w:r w:rsidRPr="00661250">
              <w:rPr>
                <w:i/>
                <w:iCs/>
              </w:rPr>
              <w:t>Quercus trojana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9260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Cs/>
                <w:noProof/>
              </w:rPr>
            </w:pPr>
            <w:r w:rsidRPr="00661250">
              <w:t xml:space="preserve">šume vrste </w:t>
            </w:r>
            <w:r w:rsidRPr="00661250">
              <w:rPr>
                <w:i/>
                <w:iCs/>
              </w:rPr>
              <w:t>Castanea sativa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grčke bukove šume s vrstom </w:t>
            </w:r>
            <w:r w:rsidRPr="00661250">
              <w:rPr>
                <w:i/>
                <w:iCs/>
              </w:rPr>
              <w:t>Abies borisii-regis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šume vrste </w:t>
            </w:r>
            <w:r w:rsidRPr="00661250">
              <w:rPr>
                <w:i/>
                <w:iCs/>
              </w:rPr>
              <w:t>Quercus frainetto</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9290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šume vrsta roda </w:t>
            </w:r>
            <w:r w:rsidRPr="00661250">
              <w:rPr>
                <w:i/>
                <w:iCs/>
              </w:rPr>
              <w:t>Cupressus</w:t>
            </w:r>
            <w:r w:rsidRPr="00661250">
              <w:t xml:space="preserve"> (</w:t>
            </w:r>
            <w:r w:rsidRPr="00661250">
              <w:rPr>
                <w:i/>
                <w:iCs/>
              </w:rPr>
              <w:t>Acero-Cupression</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egejske šume vrste </w:t>
            </w:r>
            <w:r w:rsidRPr="00661250">
              <w:rPr>
                <w:i/>
                <w:iCs/>
              </w:rPr>
              <w:t>Quercus brachyphylla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šume masline i rogača (</w:t>
            </w:r>
            <w:r w:rsidRPr="00661250">
              <w:rPr>
                <w:i/>
                <w:iCs/>
              </w:rPr>
              <w:t>Olea</w:t>
            </w:r>
            <w:r w:rsidRPr="00661250">
              <w:t xml:space="preserve"> i </w:t>
            </w:r>
            <w:r w:rsidRPr="00661250">
              <w:rPr>
                <w:i/>
                <w:iCs/>
              </w:rPr>
              <w:t>Ceratonia</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šume vrste </w:t>
            </w:r>
            <w:r w:rsidRPr="00661250">
              <w:rPr>
                <w:i/>
                <w:iCs/>
              </w:rPr>
              <w:t>Quercus suber</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vazdazelene šume česmine </w:t>
            </w:r>
            <w:r w:rsidRPr="00661250">
              <w:rPr>
                <w:i/>
                <w:iCs/>
              </w:rPr>
              <w:t>Quercus ilex</w:t>
            </w:r>
            <w:r w:rsidRPr="00661250">
              <w:t xml:space="preserve"> i </w:t>
            </w:r>
            <w:r w:rsidRPr="00661250">
              <w:rPr>
                <w:i/>
                <w:iCs/>
              </w:rPr>
              <w:t>Quercus rotundifolia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9350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šume vrste </w:t>
            </w:r>
            <w:r w:rsidRPr="00661250">
              <w:rPr>
                <w:i/>
                <w:iCs/>
              </w:rPr>
              <w:t>Quercus macrolepis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9360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makaronezijske lovorolisne šume (</w:t>
            </w:r>
            <w:r w:rsidRPr="00661250">
              <w:rPr>
                <w:i/>
                <w:iCs/>
              </w:rPr>
              <w:t>Laurus, Ocotea</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9380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šume božikovine </w:t>
            </w:r>
            <w:r w:rsidRPr="00661250">
              <w:rPr>
                <w:i/>
                <w:iCs/>
              </w:rPr>
              <w:t>Ilex aquifolium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9390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Cs/>
                <w:noProof/>
              </w:rPr>
            </w:pPr>
            <w:r w:rsidRPr="00661250">
              <w:t xml:space="preserve">makija i niska šumska vegetacija s vegetacijom </w:t>
            </w:r>
            <w:r w:rsidRPr="00661250">
              <w:rPr>
                <w:i/>
                <w:iCs/>
              </w:rPr>
              <w:t>Quercus alnifolia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93A0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Cs/>
                <w:noProof/>
              </w:rPr>
            </w:pPr>
            <w:r w:rsidRPr="00661250">
              <w:t xml:space="preserve">šumovita područja s vrstom </w:t>
            </w:r>
            <w:r w:rsidRPr="00661250">
              <w:rPr>
                <w:i/>
                <w:iCs/>
              </w:rPr>
              <w:t>Quercus infectoria</w:t>
            </w:r>
            <w:r w:rsidRPr="00661250">
              <w:t xml:space="preserve"> (</w:t>
            </w:r>
            <w:r w:rsidRPr="00661250">
              <w:rPr>
                <w:i/>
                <w:iCs/>
              </w:rPr>
              <w:t>Anagyro foetidae-Quercetum infectoriae</w:t>
            </w:r>
            <w:r w:rsidRPr="00661250">
              <w:t>)</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bCs/>
                <w:noProof/>
              </w:rPr>
            </w:pPr>
            <w:r w:rsidRPr="00661250">
              <w:rPr>
                <w:b/>
              </w:rPr>
              <w:t>Brdske šume četinjača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9410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acidofilne šume </w:t>
            </w:r>
            <w:r w:rsidRPr="00661250">
              <w:rPr>
                <w:i/>
                <w:iCs/>
              </w:rPr>
              <w:t>Picea</w:t>
            </w:r>
            <w:r w:rsidRPr="00661250">
              <w:t xml:space="preserve"> na razinama od planinskih do alpskih (</w:t>
            </w:r>
            <w:r w:rsidRPr="00661250">
              <w:rPr>
                <w:i/>
                <w:iCs/>
              </w:rPr>
              <w:t>Vaccinio-Piceetea</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9420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alpske šume </w:t>
            </w:r>
            <w:r w:rsidRPr="00661250">
              <w:rPr>
                <w:i/>
                <w:iCs/>
              </w:rPr>
              <w:t>Larix decidua</w:t>
            </w:r>
            <w:r w:rsidRPr="00661250">
              <w:t xml:space="preserve"> i/ili </w:t>
            </w:r>
            <w:r w:rsidRPr="00661250">
              <w:rPr>
                <w:i/>
                <w:iCs/>
              </w:rPr>
              <w:t>Pinus cembra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9430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predplaninske i planinske šume vrste </w:t>
            </w:r>
            <w:r w:rsidRPr="00661250">
              <w:rPr>
                <w:i/>
                <w:iCs/>
              </w:rPr>
              <w:t>Pinus uncinata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9510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Cs/>
                <w:noProof/>
              </w:rPr>
            </w:pPr>
            <w:r w:rsidRPr="00661250">
              <w:t xml:space="preserve">južnoapeninske šume vrste </w:t>
            </w:r>
            <w:r w:rsidRPr="00661250">
              <w:rPr>
                <w:i/>
                <w:iCs/>
              </w:rPr>
              <w:t>Abies alba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šume vrste </w:t>
            </w:r>
            <w:r w:rsidRPr="00661250">
              <w:rPr>
                <w:i/>
                <w:iCs/>
              </w:rPr>
              <w:t>Abies pinsapo</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lastRenderedPageBreak/>
              <w:t>9530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(sub)mediteranske borove šume s endemičnim crnim borom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mediteranske borove šume s endemičnim primorskim borom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kanarske šume endemičnih borova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endemične šume sa svojtama roda </w:t>
            </w:r>
            <w:r w:rsidRPr="00661250">
              <w:rPr>
                <w:i/>
                <w:iCs/>
              </w:rPr>
              <w:t>Juniperus</w:t>
            </w:r>
            <w:r w:rsidRPr="00661250">
              <w:t xml:space="preserve">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šume s vrstom </w:t>
            </w:r>
            <w:r w:rsidRPr="00661250">
              <w:rPr>
                <w:i/>
                <w:iCs/>
              </w:rPr>
              <w:t>Tetraclinis articulata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mediteranske šume tise </w:t>
            </w:r>
            <w:r w:rsidRPr="00661250">
              <w:rPr>
                <w:i/>
                <w:iCs/>
              </w:rPr>
              <w:t>Taxus baccata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šume </w:t>
            </w:r>
            <w:r w:rsidRPr="00661250">
              <w:rPr>
                <w:i/>
                <w:iCs/>
              </w:rPr>
              <w:t>Cedrus brevifolia</w:t>
            </w:r>
            <w:r w:rsidRPr="00661250">
              <w:t xml:space="preserve"> (</w:t>
            </w:r>
            <w:r w:rsidRPr="00661250">
              <w:rPr>
                <w:i/>
                <w:iCs/>
              </w:rPr>
              <w:t>Cedrosetum brevifoliae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95A0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borove šume visokog oromediteranskog područja</w:t>
            </w:r>
          </w:p>
        </w:tc>
      </w:tr>
    </w:tbl>
    <w:p w:rsidR="008D1BE3" w:rsidRPr="00661250" w:rsidRDefault="008D1BE3" w:rsidP="008D1BE3">
      <w:pPr>
        <w:keepNext/>
        <w:widowControl/>
        <w:tabs>
          <w:tab w:val="left" w:pos="851"/>
        </w:tabs>
        <w:spacing w:before="120" w:after="120"/>
        <w:jc w:val="both"/>
        <w:outlineLvl w:val="1"/>
        <w:rPr>
          <w:b/>
          <w:bCs/>
          <w:noProof/>
          <w:szCs w:val="26"/>
        </w:rPr>
      </w:pPr>
      <w:r w:rsidRPr="00661250">
        <w:rPr>
          <w:b/>
        </w:rPr>
        <w:t>5.</w:t>
      </w:r>
      <w:r w:rsidRPr="00661250">
        <w:rPr>
          <w:b/>
        </w:rPr>
        <w:tab/>
        <w:t>SKUPINA 5: stepe, vrištine i makije</w:t>
      </w:r>
    </w:p>
    <w:tbl>
      <w:tblPr>
        <w:tblStyle w:val="TableGrid"/>
        <w:tblW w:w="9067" w:type="dxa"/>
        <w:tblLayout w:type="fixed"/>
        <w:tblLook w:val="04A0" w:firstRow="1" w:lastRow="0" w:firstColumn="1" w:lastColumn="0" w:noHBand="0" w:noVBand="1"/>
      </w:tblPr>
      <w:tblGrid>
        <w:gridCol w:w="1555"/>
        <w:gridCol w:w="7512"/>
      </w:tblGrid>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 xml:space="preserve">Oznaka stanišnog tipa iz Priloga I. Direktivi Vijeća 92/43/EEZ </w:t>
            </w:r>
          </w:p>
        </w:tc>
        <w:tc>
          <w:tcPr>
            <w:tcW w:w="7512"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Naziv stanišnog tipa iz Priloga I. Direktivi Vijeća 92/43/EEZ</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rPr>
                <w:b/>
              </w:rPr>
              <w:t>Slane i sadrene stepe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1430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halofilno-nitrofilna vegetacija grmova (</w:t>
            </w:r>
            <w:r w:rsidRPr="00661250">
              <w:rPr>
                <w:i/>
                <w:iCs/>
              </w:rPr>
              <w:t>Pegano-Salsoletea</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1510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mediteranske slane stepe (</w:t>
            </w:r>
            <w:r w:rsidRPr="00661250">
              <w:rPr>
                <w:i/>
                <w:iCs/>
              </w:rPr>
              <w:t>Limonietalia</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1520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iberijska vegetacija na sadri (</w:t>
            </w:r>
            <w:r w:rsidRPr="00661250">
              <w:rPr>
                <w:i/>
                <w:iCs/>
              </w:rPr>
              <w:t>Gypsophiletalia</w:t>
            </w:r>
            <w:r w:rsidRPr="00661250">
              <w:t>)</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D1BE3" w:rsidRPr="00661250" w:rsidRDefault="008D1BE3" w:rsidP="00F53FDE">
            <w:pPr>
              <w:widowControl/>
              <w:spacing w:before="120" w:after="120"/>
              <w:rPr>
                <w:noProof/>
              </w:rPr>
            </w:pPr>
            <w:r w:rsidRPr="00661250">
              <w:rPr>
                <w:b/>
              </w:rPr>
              <w:t>Vrištine i makije umjerenog pojasa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4050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bCs/>
                <w:noProof/>
              </w:rPr>
            </w:pPr>
            <w:r w:rsidRPr="00661250">
              <w:t>endemske makaronezijske vrištine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4060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planinske i borealne vrištine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4070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klekovina bora krivulja (</w:t>
            </w:r>
            <w:r w:rsidRPr="00661250">
              <w:rPr>
                <w:i/>
                <w:iCs/>
              </w:rPr>
              <w:t>Pinus mugo</w:t>
            </w:r>
            <w:r w:rsidRPr="00661250">
              <w:t>) s dlakavim pjenišnikom (</w:t>
            </w:r>
            <w:r w:rsidRPr="00661250">
              <w:rPr>
                <w:i/>
                <w:iCs/>
              </w:rPr>
              <w:t>Mugo-Rhododendron hirsutum</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4080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subarktička makija sa svojtama roda </w:t>
            </w:r>
            <w:r w:rsidRPr="00661250">
              <w:rPr>
                <w:i/>
                <w:iCs/>
              </w:rPr>
              <w:t>Salix</w:t>
            </w:r>
            <w:r w:rsidRPr="00661250">
              <w:t xml:space="preserve">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40A0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subkontinentalna peripanonska makija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40B0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šikare vrste </w:t>
            </w:r>
            <w:r w:rsidRPr="00661250">
              <w:rPr>
                <w:i/>
                <w:iCs/>
              </w:rPr>
              <w:t>Potentilla fruticosa</w:t>
            </w:r>
            <w:r w:rsidRPr="00661250">
              <w:t xml:space="preserve"> u Rodopima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40C0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pontsko-sarmatske listopadne šikare</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D1BE3" w:rsidRPr="00661250" w:rsidRDefault="008D1BE3" w:rsidP="00F53FDE">
            <w:pPr>
              <w:pageBreakBefore/>
              <w:widowControl/>
              <w:spacing w:before="120" w:after="120"/>
              <w:rPr>
                <w:b/>
                <w:bCs/>
                <w:noProof/>
              </w:rPr>
            </w:pPr>
            <w:r w:rsidRPr="00661250">
              <w:rPr>
                <w:b/>
              </w:rPr>
              <w:lastRenderedPageBreak/>
              <w:t>Tvrdolisne makije (matorral)</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5110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postojane kserotermofilne sastojine s vrstom </w:t>
            </w:r>
            <w:r w:rsidRPr="00661250">
              <w:rPr>
                <w:i/>
                <w:iCs/>
              </w:rPr>
              <w:t>Buxus sempervirens</w:t>
            </w:r>
            <w:r w:rsidRPr="00661250">
              <w:t xml:space="preserve"> na kamenitim kosinama (</w:t>
            </w:r>
            <w:r w:rsidRPr="00661250">
              <w:rPr>
                <w:i/>
                <w:iCs/>
              </w:rPr>
              <w:t>Berberidion</w:t>
            </w:r>
            <w:r w:rsidRPr="00661250">
              <w:t xml:space="preserve"> 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5120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planinske sastojine vrste </w:t>
            </w:r>
            <w:r w:rsidRPr="00661250">
              <w:rPr>
                <w:i/>
                <w:iCs/>
              </w:rPr>
              <w:t>Cytisus purgans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5140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sastojine vrste </w:t>
            </w:r>
            <w:r w:rsidRPr="00661250">
              <w:rPr>
                <w:i/>
                <w:iCs/>
              </w:rPr>
              <w:t>Cistus palhinhae</w:t>
            </w:r>
            <w:r w:rsidRPr="00661250">
              <w:t xml:space="preserve"> na primorskim vlažnim vrištinama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bCs/>
                <w:i/>
                <w:noProof/>
              </w:rPr>
            </w:pPr>
            <w:r w:rsidRPr="00661250">
              <w:rPr>
                <w:b/>
                <w:i/>
              </w:rPr>
              <w:t>5210</w:t>
            </w:r>
          </w:p>
        </w:tc>
        <w:tc>
          <w:tcPr>
            <w:tcW w:w="7512"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bCs/>
                <w:i/>
                <w:iCs/>
                <w:noProof/>
              </w:rPr>
            </w:pPr>
            <w:r w:rsidRPr="00661250">
              <w:rPr>
                <w:b/>
                <w:i/>
              </w:rPr>
              <w:t>šumolika tvrdolisna makija sa svojtama roda Juniperus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5220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šumolika tvrdolisna makija sa svojtama roda </w:t>
            </w:r>
            <w:r w:rsidRPr="00661250">
              <w:rPr>
                <w:i/>
                <w:iCs/>
              </w:rPr>
              <w:t>Zyziphus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5230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šumolika tvrdolisna makija s lovorom </w:t>
            </w:r>
            <w:r w:rsidRPr="00661250">
              <w:rPr>
                <w:i/>
                <w:iCs/>
              </w:rPr>
              <w:t>Laurus nobilis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5310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šikare lovora </w:t>
            </w:r>
            <w:r w:rsidRPr="00661250">
              <w:rPr>
                <w:i/>
                <w:iCs/>
              </w:rPr>
              <w:t>Laurus nobilis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5320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niske sastojine svojti roda </w:t>
            </w:r>
            <w:r w:rsidRPr="00661250">
              <w:rPr>
                <w:i/>
                <w:iCs/>
              </w:rPr>
              <w:t>Euphorbia</w:t>
            </w:r>
            <w:r w:rsidRPr="00661250">
              <w:t xml:space="preserve"> uz grebene i strmce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5330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termomediteranska i pretpustinjska makija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5410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zapadnomediteranska frigana na vrhovima klifova (</w:t>
            </w:r>
            <w:r w:rsidRPr="00661250">
              <w:rPr>
                <w:i/>
                <w:iCs/>
              </w:rPr>
              <w:t>Astragalo-Plantaginetum subulatae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5420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frigane vrste </w:t>
            </w:r>
            <w:r w:rsidRPr="00661250">
              <w:rPr>
                <w:i/>
                <w:iCs/>
              </w:rPr>
              <w:t>Sarcopoterium spinosum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5430</w:t>
            </w:r>
          </w:p>
        </w:tc>
        <w:tc>
          <w:tcPr>
            <w:tcW w:w="7512"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endemske frigane </w:t>
            </w:r>
            <w:r w:rsidRPr="00661250">
              <w:rPr>
                <w:i/>
                <w:iCs/>
              </w:rPr>
              <w:t>Euphorbio-Verbascion</w:t>
            </w:r>
          </w:p>
        </w:tc>
      </w:tr>
    </w:tbl>
    <w:p w:rsidR="008D1BE3" w:rsidRPr="00661250" w:rsidRDefault="008D1BE3" w:rsidP="008D1BE3">
      <w:pPr>
        <w:keepNext/>
        <w:widowControl/>
        <w:spacing w:before="120" w:after="120"/>
        <w:ind w:left="850" w:hanging="850"/>
        <w:jc w:val="both"/>
        <w:outlineLvl w:val="1"/>
        <w:rPr>
          <w:b/>
          <w:bCs/>
          <w:noProof/>
          <w:szCs w:val="26"/>
        </w:rPr>
      </w:pPr>
      <w:r w:rsidRPr="00661250">
        <w:rPr>
          <w:b/>
        </w:rPr>
        <w:t>6.</w:t>
      </w:r>
      <w:r w:rsidRPr="00661250">
        <w:rPr>
          <w:b/>
        </w:rPr>
        <w:tab/>
        <w:t>SKUPINA 6: stjenovita staništa i sipine</w:t>
      </w:r>
    </w:p>
    <w:tbl>
      <w:tblPr>
        <w:tblStyle w:val="TableGrid"/>
        <w:tblW w:w="9067" w:type="dxa"/>
        <w:tblLook w:val="04A0" w:firstRow="1" w:lastRow="0" w:firstColumn="1" w:lastColumn="0" w:noHBand="0" w:noVBand="1"/>
      </w:tblPr>
      <w:tblGrid>
        <w:gridCol w:w="1555"/>
        <w:gridCol w:w="7512"/>
      </w:tblGrid>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 xml:space="preserve">Oznaka stanišnog tipa iz Priloga I. Direktivi Vijeća 92/43/EEZ </w:t>
            </w:r>
          </w:p>
        </w:tc>
        <w:tc>
          <w:tcPr>
            <w:tcW w:w="7512"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Naziv stanišnog tipa iz Priloga I. Direktivi Vijeća 92/43/EEZ</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rPr>
                <w:b/>
              </w:rPr>
              <w:t>Morski grebeni i strmci, plaže i otočići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vegetacija pretežno jednogodišnjih halofita na obalama s organskim nanosima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višegodišnja vegetacija kamenih obala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vegetacijom obrasli morski grebeni i strmci atlantskih i baltičkih obala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mediteranski grebeni i strmci obrasli endemičnim svojtama roda </w:t>
            </w:r>
            <w:r w:rsidRPr="00661250">
              <w:rPr>
                <w:i/>
                <w:iCs/>
              </w:rPr>
              <w:t>Limonium</w:t>
            </w:r>
            <w:r w:rsidRPr="00661250">
              <w:t xml:space="preserve">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bCs/>
                <w:noProof/>
              </w:rPr>
            </w:pPr>
            <w:r w:rsidRPr="00661250">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b/>
                <w:bCs/>
                <w:noProof/>
              </w:rPr>
            </w:pPr>
            <w:r w:rsidRPr="00661250">
              <w:t>vegetacijom obrasli morski grebeni s endemičnom florom makaronezijskih obala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lastRenderedPageBreak/>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baltički eskerski otoci s vegetacijom pješčanih, stjenovitih i šljunčanih obala i sublitoralnom vegetacijom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otočići i mali otoci borealnog Baltika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pješčane plaže borealnog Baltika s višegodišnjom vegetacijom</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bCs/>
                <w:noProof/>
              </w:rPr>
            </w:pPr>
            <w:r w:rsidRPr="00661250">
              <w:rPr>
                <w:b/>
              </w:rPr>
              <w:t>Obalne i kontinentalne sipine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obalne pomične sipine u nastajanju</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pomične priobalne sipine s vrstom </w:t>
            </w:r>
            <w:r w:rsidRPr="00661250">
              <w:rPr>
                <w:i/>
                <w:iCs/>
              </w:rPr>
              <w:t>Ammophila arenaria</w:t>
            </w:r>
            <w:r w:rsidRPr="00661250">
              <w:t xml:space="preserve"> („bijele dine”)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nepomične obalne sipine obrasle zeljastom vegetacijom („sive dine”)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dekalcificirane nepomične sipine s vrstom </w:t>
            </w:r>
            <w:r w:rsidRPr="00661250">
              <w:rPr>
                <w:i/>
                <w:iCs/>
              </w:rPr>
              <w:t>Empetrum nigrum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atlantske dekalcificirane nepomične sipine (</w:t>
            </w:r>
            <w:r w:rsidRPr="00661250">
              <w:rPr>
                <w:i/>
                <w:iCs/>
              </w:rPr>
              <w:t>Calluno-Ulicetea</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sipine s vrstom </w:t>
            </w:r>
            <w:r w:rsidRPr="00661250">
              <w:rPr>
                <w:i/>
                <w:iCs/>
              </w:rPr>
              <w:t>Hippophaë rhamnoides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sipine s vrstom </w:t>
            </w:r>
            <w:r w:rsidRPr="00661250">
              <w:rPr>
                <w:i/>
                <w:iCs/>
              </w:rPr>
              <w:t>Salix repens</w:t>
            </w:r>
            <w:r w:rsidRPr="00661250">
              <w:t xml:space="preserve"> ssp. </w:t>
            </w:r>
            <w:r w:rsidRPr="00661250">
              <w:rPr>
                <w:i/>
                <w:iCs/>
              </w:rPr>
              <w:t>argentea</w:t>
            </w:r>
            <w:r w:rsidRPr="00661250">
              <w:t xml:space="preserve"> (</w:t>
            </w:r>
            <w:r w:rsidRPr="00661250">
              <w:rPr>
                <w:i/>
                <w:iCs/>
              </w:rPr>
              <w:t>Salicion arenariae</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šumom obrasle sipine atlantske, kontinentalne i borealne regije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vlažna uleknuća sipina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nepomične sipine na plažama obrasle vegetacijom sveze </w:t>
            </w:r>
            <w:r w:rsidRPr="00661250">
              <w:rPr>
                <w:i/>
                <w:iCs/>
              </w:rPr>
              <w:t>Crucianellion maritimae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sipine s vrstom </w:t>
            </w:r>
            <w:r w:rsidRPr="00661250">
              <w:rPr>
                <w:i/>
                <w:iCs/>
              </w:rPr>
              <w:t>Euphorbia terracina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travnjaci reda </w:t>
            </w:r>
            <w:r w:rsidRPr="00661250">
              <w:rPr>
                <w:i/>
                <w:iCs/>
              </w:rPr>
              <w:t>Malcolmietalia</w:t>
            </w:r>
            <w:r w:rsidRPr="00661250">
              <w:t xml:space="preserve"> na sipinama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t>2240</w:t>
            </w:r>
          </w:p>
        </w:tc>
        <w:tc>
          <w:tcPr>
            <w:tcW w:w="7512" w:type="dxa"/>
            <w:tcBorders>
              <w:top w:val="single" w:sz="4" w:space="0" w:color="auto"/>
              <w:left w:val="single" w:sz="4" w:space="0" w:color="auto"/>
              <w:bottom w:val="single" w:sz="4" w:space="0" w:color="auto"/>
              <w:right w:val="single" w:sz="4" w:space="0" w:color="auto"/>
            </w:tcBorders>
            <w:vAlign w:val="center"/>
          </w:tcPr>
          <w:p w:rsidR="008D1BE3" w:rsidRPr="00661250" w:rsidRDefault="008D1BE3" w:rsidP="00F53FDE">
            <w:pPr>
              <w:widowControl/>
              <w:spacing w:before="120" w:after="120"/>
              <w:rPr>
                <w:noProof/>
              </w:rPr>
            </w:pPr>
            <w:r w:rsidRPr="00661250">
              <w:t xml:space="preserve">travnjaci na sipinama s jednogodišnjom vegetacijom reda </w:t>
            </w:r>
            <w:r w:rsidRPr="00661250">
              <w:rPr>
                <w:i/>
                <w:iCs/>
              </w:rPr>
              <w:t>Brachypodietalia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obalne sipine sa svojtama roda </w:t>
            </w:r>
            <w:r w:rsidRPr="00661250">
              <w:rPr>
                <w:i/>
                <w:iCs/>
              </w:rPr>
              <w:t>Juniperus</w:t>
            </w:r>
            <w:r w:rsidRPr="00661250">
              <w:t xml:space="preserve"> spp.</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pPr>
            <w:r w:rsidRPr="00661250">
              <w:t xml:space="preserve">tvrdolisne makije </w:t>
            </w:r>
            <w:r w:rsidRPr="00661250">
              <w:rPr>
                <w:i/>
                <w:iCs/>
              </w:rPr>
              <w:t>Cisto-Lavenduletalia</w:t>
            </w:r>
            <w:r w:rsidRPr="00661250">
              <w:t xml:space="preserve"> na sipinama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šumom prekrivene sipine s pinijom </w:t>
            </w:r>
            <w:r w:rsidRPr="00661250">
              <w:rPr>
                <w:i/>
                <w:iCs/>
              </w:rPr>
              <w:t>Pinus pinea</w:t>
            </w:r>
            <w:r w:rsidRPr="00661250">
              <w:t xml:space="preserve"> i/ili primorskim borom </w:t>
            </w:r>
            <w:r w:rsidRPr="00661250">
              <w:rPr>
                <w:i/>
                <w:iCs/>
              </w:rPr>
              <w:t>Pinus pinaster</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suhe pješčane vrištine sa svojtama roda </w:t>
            </w:r>
            <w:r w:rsidRPr="00661250">
              <w:rPr>
                <w:i/>
                <w:iCs/>
              </w:rPr>
              <w:t>Calluna</w:t>
            </w:r>
            <w:r w:rsidRPr="00661250">
              <w:t xml:space="preserve"> i </w:t>
            </w:r>
            <w:r w:rsidRPr="00661250">
              <w:rPr>
                <w:i/>
                <w:iCs/>
              </w:rPr>
              <w:t>Genista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suhe pješčane vrištine sa svojtama roda </w:t>
            </w:r>
            <w:r w:rsidRPr="00661250">
              <w:rPr>
                <w:i/>
                <w:iCs/>
              </w:rPr>
              <w:t>Calluna</w:t>
            </w:r>
            <w:r w:rsidRPr="00661250">
              <w:t xml:space="preserve"> i vrstom </w:t>
            </w:r>
            <w:r w:rsidRPr="00661250">
              <w:rPr>
                <w:i/>
                <w:iCs/>
              </w:rPr>
              <w:t>Empetrum nigrum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kontinentalne sipine s otvorenim travnjacima i svojtama roda </w:t>
            </w:r>
            <w:r w:rsidRPr="00661250">
              <w:rPr>
                <w:i/>
                <w:iCs/>
              </w:rPr>
              <w:t>Corynephorus</w:t>
            </w:r>
            <w:r w:rsidRPr="00661250">
              <w:t xml:space="preserve"> i </w:t>
            </w:r>
            <w:r w:rsidRPr="00661250">
              <w:rPr>
                <w:i/>
                <w:iCs/>
              </w:rPr>
              <w:t>Agrostis</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kontinentalne panonske sipine</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vrištine panonskih kopnenih pješčanih sipina (</w:t>
            </w:r>
            <w:r w:rsidRPr="00661250">
              <w:rPr>
                <w:i/>
                <w:iCs/>
              </w:rPr>
              <w:t>Junipero-Populetum albae</w:t>
            </w:r>
            <w:r w:rsidRPr="00661250">
              <w:t>)</w:t>
            </w:r>
          </w:p>
        </w:tc>
      </w:tr>
      <w:tr w:rsidR="008D1BE3" w:rsidRPr="00661250" w:rsidTr="00F53FD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bCs/>
                <w:noProof/>
              </w:rPr>
            </w:pPr>
            <w:r w:rsidRPr="00661250">
              <w:rPr>
                <w:b/>
              </w:rPr>
              <w:lastRenderedPageBreak/>
              <w:t>Stjenovita staništa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silikatna točila na razinama od planinskih do snježnih (</w:t>
            </w:r>
            <w:r w:rsidRPr="00661250">
              <w:rPr>
                <w:i/>
                <w:iCs/>
              </w:rPr>
              <w:t>Androsacetalia alpinae</w:t>
            </w:r>
            <w:r w:rsidRPr="00661250">
              <w:t xml:space="preserve"> i </w:t>
            </w:r>
            <w:r w:rsidRPr="00661250">
              <w:rPr>
                <w:i/>
                <w:iCs/>
              </w:rPr>
              <w:t>Galeopsietalia ladani</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vapnenačka točila na razinama od planinskih do alpskih (</w:t>
            </w:r>
            <w:r w:rsidRPr="00661250">
              <w:rPr>
                <w:i/>
                <w:iCs/>
              </w:rPr>
              <w:t>Thlaspietea rotundifolii</w:t>
            </w:r>
            <w:r w:rsidRPr="00661250">
              <w: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zapadnomediteranska i termofilna točila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istočnomediteranska točila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silikatna točila srednjoeuropskih visoravni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srednjoeuropska vapnenačka točila na brdskim i planinskim razinama</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obronci vapnenačkih stijena s hazmofitskom vegetacijom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obronci silikonskih stijena s hazmofitskom vegetacijom</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 xml:space="preserve">silikonske stijene s pionirskom vegetacijom </w:t>
            </w:r>
            <w:r w:rsidRPr="00661250">
              <w:rPr>
                <w:i/>
                <w:iCs/>
              </w:rPr>
              <w:t>Sedo-Scleranthion</w:t>
            </w:r>
            <w:r w:rsidRPr="00661250">
              <w:t xml:space="preserve"> ili </w:t>
            </w:r>
            <w:r w:rsidRPr="00661250">
              <w:rPr>
                <w:i/>
                <w:iCs/>
              </w:rPr>
              <w:t>Sedo albi-Veronicion dillenii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špilje i jame zatvorene za javnost</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polja lave i prirodne špilje/jame u lavi</w:t>
            </w:r>
          </w:p>
        </w:tc>
      </w:tr>
      <w:tr w:rsidR="008D1BE3" w:rsidRPr="00661250" w:rsidTr="00F53FD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rPr>
                <w:noProof/>
              </w:rPr>
            </w:pPr>
            <w:r w:rsidRPr="00661250">
              <w:t>stalni ledenjaci</w:t>
            </w:r>
          </w:p>
        </w:tc>
      </w:tr>
    </w:tbl>
    <w:p w:rsidR="008D1BE3" w:rsidRPr="00661250" w:rsidRDefault="008D1BE3" w:rsidP="008D1BE3">
      <w:pPr>
        <w:widowControl/>
        <w:suppressAutoHyphens/>
        <w:spacing w:before="120" w:after="120"/>
        <w:rPr>
          <w:rFonts w:eastAsia="Calibri"/>
          <w:noProof/>
          <w:szCs w:val="22"/>
          <w:lang w:eastAsia="en-US"/>
        </w:rPr>
      </w:pPr>
    </w:p>
    <w:p w:rsidR="008D1BE3" w:rsidRPr="00661250" w:rsidRDefault="008D1BE3" w:rsidP="008D1BE3">
      <w:pPr>
        <w:widowControl/>
        <w:suppressAutoHyphens/>
        <w:spacing w:before="120" w:after="120"/>
        <w:rPr>
          <w:bCs/>
          <w:smallCaps/>
          <w:noProof/>
          <w:szCs w:val="28"/>
          <w:u w:val="single"/>
        </w:rPr>
      </w:pPr>
      <w:r w:rsidRPr="00661250">
        <w:br w:type="page"/>
      </w:r>
    </w:p>
    <w:p w:rsidR="008D1BE3" w:rsidRPr="00661250" w:rsidRDefault="008D1BE3" w:rsidP="008D1BE3">
      <w:pPr>
        <w:widowControl/>
        <w:suppressAutoHyphens/>
        <w:spacing w:before="120" w:after="120" w:line="360" w:lineRule="auto"/>
        <w:jc w:val="center"/>
        <w:rPr>
          <w:rFonts w:eastAsia="Calibri"/>
          <w:b/>
          <w:noProof/>
          <w:szCs w:val="22"/>
          <w:u w:val="single"/>
        </w:rPr>
      </w:pPr>
      <w:r w:rsidRPr="00661250">
        <w:rPr>
          <w:b/>
          <w:u w:val="single"/>
        </w:rPr>
        <w:lastRenderedPageBreak/>
        <w:t>PRILOG II.</w:t>
      </w:r>
      <w:r w:rsidRPr="00661250">
        <w:rPr>
          <w:b/>
          <w:u w:val="single"/>
        </w:rPr>
        <w:br/>
        <w:t>MORSKI EKOSUSTAVI – STANIŠNI TIPOVI I SKUPINE STANIŠNIH TIPOVA IZ ČLANKA 5. STAVAKA 1. I 2.</w:t>
      </w:r>
    </w:p>
    <w:p w:rsidR="008D1BE3" w:rsidRPr="00661250" w:rsidRDefault="008D1BE3" w:rsidP="008D1BE3">
      <w:pPr>
        <w:widowControl/>
        <w:suppressAutoHyphens/>
        <w:spacing w:before="120" w:after="120" w:line="360" w:lineRule="auto"/>
        <w:rPr>
          <w:rFonts w:eastAsia="Calibri"/>
          <w:noProof/>
          <w:szCs w:val="22"/>
          <w:lang w:eastAsia="en-US"/>
        </w:rPr>
      </w:pPr>
    </w:p>
    <w:p w:rsidR="008D1BE3" w:rsidRPr="00661250" w:rsidRDefault="008D1BE3" w:rsidP="008D1BE3">
      <w:pPr>
        <w:widowControl/>
        <w:suppressAutoHyphens/>
        <w:spacing w:before="120" w:after="120" w:line="360" w:lineRule="auto"/>
        <w:rPr>
          <w:rFonts w:eastAsia="Calibri"/>
          <w:noProof/>
          <w:szCs w:val="24"/>
        </w:rPr>
      </w:pPr>
      <w:r w:rsidRPr="00661250">
        <w:t>Popis u nastavku uključuje morske stanišne tipove iz članka 5. stavaka 1. i 2. te sedam skupina tih stanišnih tipova, a to su: dna prekrivena morskom travom, 2. šume makroalgi, 3. naselja školjkaša, 4. dna prekrivena maerlom, 5. dna prekrivena spužvama i koraljima te koraligenska dna, 6. izvori i prodori i 7. meki sedimenti (dubina veća od 1000 metara). Prikazana je i poveznica sa stanišnim tipovima navedenima u Prilogu I. Direktivi 92/43/EEZ.</w:t>
      </w:r>
    </w:p>
    <w:p w:rsidR="008D1BE3" w:rsidRPr="00661250" w:rsidRDefault="008D1BE3" w:rsidP="008D1BE3">
      <w:pPr>
        <w:widowControl/>
        <w:suppressAutoHyphens/>
        <w:spacing w:before="120" w:after="120" w:line="360" w:lineRule="auto"/>
        <w:rPr>
          <w:rFonts w:eastAsia="Calibri"/>
          <w:i/>
          <w:noProof/>
          <w:szCs w:val="22"/>
        </w:rPr>
      </w:pPr>
      <w:r w:rsidRPr="00661250">
        <w:t>Primijenjena klasifikacija morskih stanišnih tipova, razvrstanih prema biogeografskim regijama, izrađena je u skladu s europskim informacijskim sustavom o prirodi (EUNIS), kako ga je Europska agencija za okoliš (EEA) revidirala 2022. s obzirom na tipologiju morskih staništa. Informacije o povezanim staništima navedenima u Prilogu I. Direktivi Vijeća 92/43/EEZ temelje se na usporedbi koju je EEA objavila 2021.</w:t>
      </w:r>
      <w:r w:rsidRPr="00661250">
        <w:rPr>
          <w:rFonts w:eastAsia="Calibri"/>
          <w:noProof/>
          <w:szCs w:val="22"/>
          <w:vertAlign w:val="superscript"/>
          <w:lang w:eastAsia="en-US"/>
        </w:rPr>
        <w:footnoteReference w:id="74"/>
      </w:r>
      <w:r w:rsidRPr="00661250">
        <w:t xml:space="preserve"> </w:t>
      </w:r>
    </w:p>
    <w:p w:rsidR="008D1BE3" w:rsidRPr="00661250" w:rsidRDefault="008D1BE3" w:rsidP="008D1BE3">
      <w:pPr>
        <w:keepNext/>
        <w:widowControl/>
        <w:suppressAutoHyphens/>
        <w:spacing w:before="120" w:after="120"/>
        <w:ind w:left="851" w:hanging="851"/>
        <w:jc w:val="both"/>
        <w:outlineLvl w:val="1"/>
        <w:rPr>
          <w:b/>
          <w:bCs/>
          <w:noProof/>
          <w:szCs w:val="26"/>
        </w:rPr>
      </w:pPr>
      <w:r w:rsidRPr="00661250">
        <w:rPr>
          <w:b/>
        </w:rPr>
        <w:t>1.</w:t>
      </w:r>
      <w:r w:rsidRPr="00661250">
        <w:rPr>
          <w:b/>
        </w:rPr>
        <w:tab/>
        <w:t>Skupina 1: dna prekrivena morskom travom</w:t>
      </w:r>
    </w:p>
    <w:tbl>
      <w:tblPr>
        <w:tblStyle w:val="TableGrid"/>
        <w:tblW w:w="0" w:type="auto"/>
        <w:tblLook w:val="04A0" w:firstRow="1" w:lastRow="0" w:firstColumn="1" w:lastColumn="0" w:noHBand="0" w:noVBand="1"/>
      </w:tblPr>
      <w:tblGrid>
        <w:gridCol w:w="1110"/>
        <w:gridCol w:w="161"/>
        <w:gridCol w:w="6095"/>
        <w:gridCol w:w="1955"/>
      </w:tblGrid>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Oznaka u EUNIS-u</w:t>
            </w:r>
          </w:p>
        </w:tc>
        <w:tc>
          <w:tcPr>
            <w:tcW w:w="609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Naziv stanišnog tipa u EUNIS-u</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noProof/>
              </w:rPr>
            </w:pPr>
            <w:r w:rsidRPr="00661250">
              <w:rPr>
                <w:b/>
              </w:rPr>
              <w:t xml:space="preserve">Povezana oznaka stanišnog tipa iz Priloga I. Direktivi Vijeća 92/43/EEZ </w:t>
            </w:r>
          </w:p>
        </w:tc>
      </w:tr>
      <w:tr w:rsidR="008D1BE3" w:rsidRPr="00661250" w:rsidTr="00F53FDE">
        <w:trPr>
          <w:cantSplit/>
          <w:trHeight w:val="283"/>
        </w:trPr>
        <w:tc>
          <w:tcPr>
            <w:tcW w:w="932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D1BE3" w:rsidRPr="00661250" w:rsidRDefault="008D1BE3" w:rsidP="00F53FDE">
            <w:pPr>
              <w:widowControl/>
              <w:spacing w:before="120" w:after="120"/>
              <w:rPr>
                <w:b/>
                <w:bCs/>
                <w:noProof/>
              </w:rPr>
            </w:pPr>
            <w:r w:rsidRPr="00661250">
              <w:rPr>
                <w:b/>
              </w:rPr>
              <w:t>Atlantski ocean</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MA522</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dna prekrivena morskom travom na atlantskim litoralnim pijescima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1140;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MA623</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dna prekrivena morskom travom na atlantskim litoralnim muljevima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1140;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MB522</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dna prekrivena morskom travom na atlantskim infralitoralnim pijescima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1150; 1160</w:t>
            </w:r>
          </w:p>
        </w:tc>
      </w:tr>
      <w:tr w:rsidR="008D1BE3" w:rsidRPr="00661250" w:rsidTr="00F53FDE">
        <w:trPr>
          <w:cantSplit/>
          <w:trHeight w:val="283"/>
        </w:trPr>
        <w:tc>
          <w:tcPr>
            <w:tcW w:w="736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pageBreakBefore/>
              <w:widowControl/>
              <w:spacing w:before="120" w:after="120"/>
              <w:rPr>
                <w:b/>
                <w:noProof/>
              </w:rPr>
            </w:pPr>
            <w:r w:rsidRPr="00661250">
              <w:rPr>
                <w:b/>
              </w:rPr>
              <w:lastRenderedPageBreak/>
              <w:t>Baltičko more</w:t>
            </w:r>
          </w:p>
        </w:tc>
        <w:tc>
          <w:tcPr>
            <w:tcW w:w="1955"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MA332</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baltički hidrolitoralni krupnozrnasti sedimenti obilježeni potopljenom vegetacijom</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1130; 1160; 1610; 1620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MA432</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baltički hidrolitoralni miješani sedimenti obilježeni potopljenom vegetacijom </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1130; 1140; 1160; 1610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MA532</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hidrolitoralni pijesci obilježeni potopljenim ukorijenjenim biljkama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1130; 1140; 1160; 1610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MA632</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baltički hidrolitoralni muljevi u kojima prevladavaju potopljene ukorijenjene biljke</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1130; 1140; 1160; 1650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MB332</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infralitoralni krupnozrnasti sedimenti obilježeni potopljenim ukorijenjenim biljkama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MB432</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infralitoralni miješani sedimenti obilježeni potopljenim ukorijenjenim biljkama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 1650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MB532</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infralitoralni pijesci obilježeni potopljenim ukorijenjenim biljkama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1150;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MB632</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infralitoralni muljeviti sedimenti obilježeni potopljenim ukorijenjenim biljkama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1130; 1150; 1160; 1650</w:t>
            </w:r>
          </w:p>
        </w:tc>
      </w:tr>
      <w:tr w:rsidR="008D1BE3" w:rsidRPr="00661250" w:rsidTr="00F53FDE">
        <w:trPr>
          <w:cantSplit/>
          <w:trHeight w:val="283"/>
        </w:trPr>
        <w:tc>
          <w:tcPr>
            <w:tcW w:w="736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Crno more</w:t>
            </w:r>
          </w:p>
        </w:tc>
        <w:tc>
          <w:tcPr>
            <w:tcW w:w="1955"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MB546</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morske trave i rizomatske livade algi u infralitoralnim muljevitim pijescima pod utjecajem slatke vode iz Crnog mora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MB547</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livade morskih trava na umjereno izloženim čistim pijescima gornjeg infralitorala Crnog mora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MB548</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livade morskih trava na pijescima donjeg infralitorala Crnog mora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736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Sredozemno more</w:t>
            </w:r>
          </w:p>
        </w:tc>
        <w:tc>
          <w:tcPr>
            <w:tcW w:w="1955"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MB252</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biocenoza posidonije </w:t>
            </w:r>
            <w:r w:rsidRPr="00661250">
              <w:rPr>
                <w:i/>
                <w:iCs/>
              </w:rPr>
              <w:t>Posidonia oceanica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1120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MB2521</w:t>
            </w:r>
          </w:p>
        </w:tc>
        <w:tc>
          <w:tcPr>
            <w:tcW w:w="625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ekomorfoza trakastih livada posidonije </w:t>
            </w:r>
            <w:r w:rsidRPr="00661250">
              <w:rPr>
                <w:i/>
                <w:iCs/>
              </w:rPr>
              <w:t>Posidonia oceanica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1120;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MB2522</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ekomorfoza livada posidonije </w:t>
            </w:r>
            <w:r w:rsidRPr="00661250">
              <w:rPr>
                <w:i/>
                <w:iCs/>
              </w:rPr>
              <w:t>Posidonia oceanica</w:t>
            </w:r>
            <w:r w:rsidRPr="00661250">
              <w:t xml:space="preserve"> na barijernim koraljnim grebenima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1120;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MB2523</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mrtvih naslaga rizoma posidonije </w:t>
            </w:r>
            <w:r w:rsidRPr="00661250">
              <w:rPr>
                <w:i/>
                <w:iCs/>
              </w:rPr>
              <w:t>Posidonia oceanica</w:t>
            </w:r>
            <w:r w:rsidRPr="00661250">
              <w:t xml:space="preserve"> bez epiflore</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1120;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MB2524</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Caulerpa prolifera</w:t>
            </w:r>
            <w:r w:rsidRPr="00661250">
              <w:t xml:space="preserve"> na naseljima posidonije</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1120;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lastRenderedPageBreak/>
              <w:t>MB5521</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Cymodocea nodosa</w:t>
            </w:r>
            <w:r w:rsidRPr="00661250">
              <w:t xml:space="preserve"> na sitnim ujednačenim pijescima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MB5534</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Cymodocea nodosa</w:t>
            </w:r>
            <w:r w:rsidRPr="00661250">
              <w:t xml:space="preserve"> na površinskim muljevitim pijescima u zaštićenim vodama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MB5535</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Zostera noltei</w:t>
            </w:r>
            <w:r w:rsidRPr="00661250">
              <w:t xml:space="preserve"> na površinskim muljevitim pijescima u zaštićenim vodama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MB5541</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vrstama </w:t>
            </w:r>
            <w:r w:rsidRPr="00661250">
              <w:rPr>
                <w:i/>
                <w:iCs/>
              </w:rPr>
              <w:t>Ruppia cirrhosa</w:t>
            </w:r>
            <w:r w:rsidRPr="00661250">
              <w:t xml:space="preserve"> i/ili </w:t>
            </w:r>
            <w:r w:rsidRPr="00661250">
              <w:rPr>
                <w:i/>
                <w:iCs/>
              </w:rPr>
              <w:t>Ruppia maritima</w:t>
            </w:r>
            <w:r w:rsidRPr="00661250">
              <w:t xml:space="preserve"> na pijescima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MB5544</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Zostera noltei</w:t>
            </w:r>
            <w:r w:rsidRPr="00661250">
              <w:t xml:space="preserve"> u eurihalinom i euritermalnom okolišu na pijescima</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w:t>
            </w:r>
          </w:p>
        </w:tc>
      </w:tr>
      <w:tr w:rsidR="008D1BE3" w:rsidRPr="00661250" w:rsidTr="00F53FDE">
        <w:trPr>
          <w:cantSplit/>
          <w:trHeight w:val="283"/>
        </w:trPr>
        <w:tc>
          <w:tcPr>
            <w:tcW w:w="111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MB5545</w:t>
            </w:r>
          </w:p>
        </w:tc>
        <w:tc>
          <w:tcPr>
            <w:tcW w:w="625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Zostera marina</w:t>
            </w:r>
            <w:r w:rsidRPr="00661250">
              <w:t xml:space="preserve"> u eurihalinom i euritermalnom okolišu</w:t>
            </w:r>
          </w:p>
        </w:tc>
        <w:tc>
          <w:tcPr>
            <w:tcW w:w="195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w:t>
            </w:r>
          </w:p>
        </w:tc>
      </w:tr>
    </w:tbl>
    <w:p w:rsidR="008D1BE3" w:rsidRPr="00661250" w:rsidRDefault="008D1BE3" w:rsidP="008D1BE3">
      <w:pPr>
        <w:keepNext/>
        <w:widowControl/>
        <w:tabs>
          <w:tab w:val="left" w:pos="851"/>
        </w:tabs>
        <w:suppressAutoHyphens/>
        <w:spacing w:before="120" w:after="120"/>
        <w:jc w:val="both"/>
        <w:outlineLvl w:val="1"/>
        <w:rPr>
          <w:b/>
          <w:bCs/>
          <w:noProof/>
          <w:szCs w:val="26"/>
        </w:rPr>
      </w:pPr>
      <w:r w:rsidRPr="00661250">
        <w:rPr>
          <w:b/>
        </w:rPr>
        <w:t>2.</w:t>
      </w:r>
      <w:r w:rsidRPr="00661250">
        <w:rPr>
          <w:b/>
        </w:rPr>
        <w:tab/>
        <w:t>Skupina 2: šume makroalgi</w:t>
      </w:r>
    </w:p>
    <w:tbl>
      <w:tblPr>
        <w:tblStyle w:val="TableGrid"/>
        <w:tblW w:w="9634" w:type="dxa"/>
        <w:tblLook w:val="04A0" w:firstRow="1" w:lastRow="0" w:firstColumn="1" w:lastColumn="0" w:noHBand="0" w:noVBand="1"/>
      </w:tblPr>
      <w:tblGrid>
        <w:gridCol w:w="1176"/>
        <w:gridCol w:w="95"/>
        <w:gridCol w:w="5945"/>
        <w:gridCol w:w="2418"/>
      </w:tblGrid>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Oznaka u EUNIS-u</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Naziv stanišnog tipa u EUNIS-u</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noProof/>
              </w:rPr>
            </w:pPr>
            <w:r w:rsidRPr="00661250">
              <w:rPr>
                <w:b/>
              </w:rPr>
              <w:t>Povezane oznake iz Priloga I. Direktivi o staništima</w:t>
            </w:r>
          </w:p>
        </w:tc>
      </w:tr>
      <w:tr w:rsidR="008D1BE3" w:rsidRPr="00661250" w:rsidTr="00F53FDE">
        <w:trPr>
          <w:cantSplit/>
          <w:trHeight w:val="283"/>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D1BE3" w:rsidRPr="00661250" w:rsidRDefault="008D1BE3" w:rsidP="00F53FDE">
            <w:pPr>
              <w:widowControl/>
              <w:spacing w:before="120" w:after="120"/>
              <w:rPr>
                <w:b/>
                <w:bCs/>
                <w:noProof/>
              </w:rPr>
            </w:pPr>
            <w:r w:rsidRPr="00661250">
              <w:rPr>
                <w:b/>
              </w:rPr>
              <w:t>Atlantski ocean</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MA123</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zajednice morskih trava na atlantskim litoralnim stijenama sa stalnim salinitetom</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 1130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MA125</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fukoidi na atlantskim litoralnim stijenama s promjenjivim salinitetom</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1130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MB121</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kelpa i morskih trava na atlantskim infralitoralnim stijenama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MB123</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kelpa i morskih trava na atlantskim infralitoralnim stijenama na koje utječu ili koje remete sedimenti</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MB124</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kelpa na atlantskim infralitoralnim stijenama s promjenjivim salinitetom</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1130;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MB321</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kelpa i morskih trava na atlantskim infralitoralnim krupnozrnastim sedimentima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MB521</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zajednice kelpa i morskih trava na atlantskim infralitoralnim pijescima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MB621</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vegetacijom obrasle zajednice na atlantskim infralitoralnim muljevima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pageBreakBefore/>
              <w:widowControl/>
              <w:spacing w:before="120" w:after="120"/>
              <w:rPr>
                <w:b/>
                <w:noProof/>
              </w:rPr>
            </w:pPr>
            <w:r w:rsidRPr="00661250">
              <w:rPr>
                <w:b/>
              </w:rPr>
              <w:lastRenderedPageBreak/>
              <w:t>Baltičko more</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MA131</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baltičke hidrolitoralne stijene i kamenje obilježeni višegodišnjim algama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 1130; 1610; 1620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MB131</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višegodišnje alge na baltičkim infralitoralnim stijenama i kamenju</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MB232</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baltička infralitoralna dna obilježena šljunkom s ljušturnim elementima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1110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MB333</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baltički infralitoralni krupnozrnasti sedimenti obilježeni višegodišnjim algama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MB433</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infralitoralni miješani sedimenti obilježeni višegodišnjim algama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1130; 1160; 1170</w:t>
            </w: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Crno more</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MB144</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izložene stijene gornjeg infralitorala Crnog mora prekrivene smeđim algama na kojima prevladavaju dagnje</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MB149</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umjereno izložene stijene gornjeg infralitorala Crnog mora prekrivene smeđim algama na kojima prevladavaju dagnje</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MB14A</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smeđe i druge alge na dobro osvijetljenim zaštićenim stijenama gornjeg infralitorala Crnog mora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Sredozemno more</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MA1548</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asocijacija s vrstom </w:t>
            </w:r>
            <w:r w:rsidRPr="00661250">
              <w:rPr>
                <w:i/>
                <w:iCs/>
              </w:rPr>
              <w:t>Fucus virsoides</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MB1512</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asocijacija s vrstama </w:t>
            </w:r>
            <w:r w:rsidRPr="00661250">
              <w:rPr>
                <w:i/>
                <w:iCs/>
              </w:rPr>
              <w:t>Cystoseira tamariscifolia</w:t>
            </w:r>
            <w:r w:rsidRPr="00661250">
              <w:t xml:space="preserve"> i </w:t>
            </w:r>
            <w:r w:rsidRPr="00661250">
              <w:rPr>
                <w:i/>
                <w:iCs/>
              </w:rPr>
              <w:t>Saccorhiza polyschides</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MB1513</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amentacea</w:t>
            </w:r>
            <w:r w:rsidRPr="00661250">
              <w:t xml:space="preserve"> (var. </w:t>
            </w:r>
            <w:r w:rsidRPr="00661250">
              <w:rPr>
                <w:i/>
                <w:iCs/>
              </w:rPr>
              <w:t>amentacea</w:t>
            </w:r>
            <w:r w:rsidRPr="00661250">
              <w:t xml:space="preserve">, var. </w:t>
            </w:r>
            <w:r w:rsidRPr="00661250">
              <w:rPr>
                <w:i/>
                <w:iCs/>
              </w:rPr>
              <w:t>stricta</w:t>
            </w:r>
            <w:r w:rsidRPr="00661250">
              <w:t xml:space="preserve">, var. </w:t>
            </w:r>
            <w:r w:rsidRPr="00661250">
              <w:rPr>
                <w:i/>
                <w:iCs/>
              </w:rPr>
              <w:t>spicata</w:t>
            </w:r>
            <w:r w:rsidRPr="00661250">
              <w:t>)</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MB151F</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brachycarpa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MB151G</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crinita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MB151H</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crinitophylla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MB151J</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sauvageauana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MB151K</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asocijacija s vrstom</w:t>
            </w:r>
            <w:r w:rsidRPr="00661250">
              <w:rPr>
                <w:i/>
                <w:iCs/>
              </w:rPr>
              <w:t xml:space="preserve"> Cystoseira spinosa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MB151L</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Sargassum vulgare</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MB151M</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Dictyopteris polypodioides</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MB151W</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compressa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lastRenderedPageBreak/>
              <w:t>MB1524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barbata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MC1511</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zosteroides</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MC1512</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usneoides</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MC1513</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dubia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Cystoseira corniculata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Sargassum</w:t>
            </w:r>
            <w:r w:rsidRPr="00661250">
              <w:t xml:space="preserve"> spp.</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MC1518</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Laminaria ochroleuca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MC3517</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vrstom </w:t>
            </w:r>
            <w:r w:rsidRPr="00661250">
              <w:rPr>
                <w:i/>
                <w:iCs/>
              </w:rPr>
              <w:t>Laminaria rodriguezii</w:t>
            </w:r>
            <w:r w:rsidRPr="00661250">
              <w:t xml:space="preserve"> na detritusnim dnima</w:t>
            </w:r>
          </w:p>
        </w:tc>
        <w:tc>
          <w:tcPr>
            <w:tcW w:w="2418"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bl>
    <w:p w:rsidR="008D1BE3" w:rsidRPr="00661250" w:rsidRDefault="008D1BE3" w:rsidP="008D1BE3">
      <w:pPr>
        <w:keepNext/>
        <w:widowControl/>
        <w:suppressAutoHyphens/>
        <w:spacing w:before="120" w:after="120"/>
        <w:ind w:left="851" w:hanging="851"/>
        <w:jc w:val="both"/>
        <w:outlineLvl w:val="1"/>
        <w:rPr>
          <w:b/>
          <w:bCs/>
          <w:noProof/>
          <w:szCs w:val="26"/>
        </w:rPr>
      </w:pPr>
      <w:r w:rsidRPr="00661250">
        <w:rPr>
          <w:b/>
        </w:rPr>
        <w:t>3.</w:t>
      </w:r>
      <w:r w:rsidRPr="00661250">
        <w:rPr>
          <w:b/>
        </w:rPr>
        <w:tab/>
        <w:t>Skupina 3: naselja školjkaša</w:t>
      </w:r>
    </w:p>
    <w:tbl>
      <w:tblPr>
        <w:tblStyle w:val="TableGrid"/>
        <w:tblW w:w="0" w:type="auto"/>
        <w:tblLook w:val="04A0" w:firstRow="1" w:lastRow="0" w:firstColumn="1" w:lastColumn="0" w:noHBand="0" w:noVBand="1"/>
      </w:tblPr>
      <w:tblGrid>
        <w:gridCol w:w="1173"/>
        <w:gridCol w:w="98"/>
        <w:gridCol w:w="5775"/>
        <w:gridCol w:w="2583"/>
      </w:tblGrid>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Oznaka u EUNIS-u</w:t>
            </w:r>
          </w:p>
        </w:tc>
        <w:tc>
          <w:tcPr>
            <w:tcW w:w="577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Naziv stanišnog tipa u EUNIS-u</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noProof/>
              </w:rPr>
            </w:pPr>
            <w:r w:rsidRPr="00661250">
              <w:rPr>
                <w:b/>
              </w:rPr>
              <w:t>Povezane oznake iz Priloga I. Direktivi o staništima</w:t>
            </w:r>
          </w:p>
        </w:tc>
      </w:tr>
      <w:tr w:rsidR="008D1BE3" w:rsidRPr="00661250" w:rsidTr="00F53FDE">
        <w:trPr>
          <w:cantSplit/>
          <w:trHeight w:val="283"/>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D1BE3" w:rsidRPr="00661250" w:rsidRDefault="008D1BE3" w:rsidP="00F53FDE">
            <w:pPr>
              <w:widowControl/>
              <w:spacing w:before="120" w:after="120"/>
              <w:rPr>
                <w:b/>
                <w:bCs/>
                <w:noProof/>
              </w:rPr>
            </w:pPr>
            <w:r w:rsidRPr="00661250">
              <w:rPr>
                <w:b/>
              </w:rPr>
              <w:t>Atlantski ocean</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MA122</w:t>
            </w:r>
          </w:p>
        </w:tc>
        <w:tc>
          <w:tcPr>
            <w:tcW w:w="577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zajednice vrste </w:t>
            </w:r>
            <w:r w:rsidRPr="00661250">
              <w:rPr>
                <w:i/>
                <w:iCs/>
              </w:rPr>
              <w:t>Mytilus edulis</w:t>
            </w:r>
            <w:r w:rsidRPr="00661250">
              <w:t xml:space="preserve"> i/ili vitičara na atlantskim litoralnim stijenama izloženima valovima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MA124</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dagnji i/ili vitičara s morskim travama na atlantskim litoralnim stijenama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MA227</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grebeni školjkaša u atlantskoj litoralnoj zoni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1140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MB222</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grebeni školjkaša u atlantskoj infralitoralnoj zoni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1130;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MC223</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grebeni školjkaša u atlantskoj cirkalitoralnoj zoni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704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Baltičko more</w:t>
            </w:r>
          </w:p>
        </w:tc>
        <w:tc>
          <w:tcPr>
            <w:tcW w:w="258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MB231</w:t>
            </w:r>
          </w:p>
        </w:tc>
        <w:tc>
          <w:tcPr>
            <w:tcW w:w="577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baltička infralitoralna dna na kojima prevladavaju epibentički školjkaši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MC231</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baltička cirkalitoralna dna na kojima prevladavaju epibentički školjkaši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 1110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MD231</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baltička cirkalitoralna biogena dna otvorenog mora obilježena epibentičkim školjkašima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MD232</w:t>
            </w:r>
          </w:p>
        </w:tc>
        <w:tc>
          <w:tcPr>
            <w:tcW w:w="577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baltička cirkalitoralna šljunkovita dna otvorenog mora s ljušturnim elementima obilježena školjkašima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lastRenderedPageBreak/>
              <w:t>MD431</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baltička cirkalitoralna mješovita dna otvorenog mora obilježena makroskopskim epibentičkim biotičkim strukturama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MD531</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cirkalitoralni pijesci otvorenog mora obilježeni makroskopskim epibentičkim biotičkim strukturama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MD631</w:t>
            </w:r>
          </w:p>
        </w:tc>
        <w:tc>
          <w:tcPr>
            <w:tcW w:w="577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cirkalitoralni muljevi otvorenog mora obilježeni epibentičkim školjkašima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704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Crno more</w:t>
            </w:r>
          </w:p>
        </w:tc>
        <w:tc>
          <w:tcPr>
            <w:tcW w:w="258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MB141</w:t>
            </w:r>
          </w:p>
        </w:tc>
        <w:tc>
          <w:tcPr>
            <w:tcW w:w="587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donje infralitoralne stijene Crnog mora na kojima prevladavaju beskralježnjaci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MB143</w:t>
            </w:r>
          </w:p>
        </w:tc>
        <w:tc>
          <w:tcPr>
            <w:tcW w:w="587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izložene stijene gornjeg infralitorala Crnog mora prekrivene folioznim algama (bez smeđih algi) na kojima prevladavaju dagnje</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MB148</w:t>
            </w: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umjereno izložene stijene gornjeg infralitorala Crnog mora prekrivene folioznim algama (osim smeđih algi) na kojima prevladavaju dagnje</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MB242</w:t>
            </w: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naselja dagnji u infralitoralnoj zoni Crnog mora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1130; 1160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MB243</w:t>
            </w: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grebeni kamenica na stijenama donjeg infralitorala Crnog mora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MB642</w:t>
            </w: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infralitoralni terigeni muljevi Crnog mora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MC141</w:t>
            </w: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cirkalitoralne stijene Crnog mora na kojima prevladavaju beskralježnjaci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MC241</w:t>
            </w: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naselja dagnji u cirkalitoralnim terigenim muljevima Crnog mora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MC645</w:t>
            </w: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muljevi donjeg cirkalitorala Crnog mora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704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 xml:space="preserve">Sredozemno more </w:t>
            </w:r>
          </w:p>
        </w:tc>
        <w:tc>
          <w:tcPr>
            <w:tcW w:w="258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MA1544</w:t>
            </w:r>
          </w:p>
        </w:tc>
        <w:tc>
          <w:tcPr>
            <w:tcW w:w="587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facijes s vrstom </w:t>
            </w:r>
            <w:r w:rsidRPr="00661250">
              <w:rPr>
                <w:i/>
                <w:iCs/>
              </w:rPr>
              <w:t>Mytilus galloprovincialis</w:t>
            </w:r>
            <w:r w:rsidRPr="00661250">
              <w:t xml:space="preserve"> u vodama obogaćenima organskom tvari</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MB1514</w:t>
            </w:r>
          </w:p>
        </w:tc>
        <w:tc>
          <w:tcPr>
            <w:tcW w:w="587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facijes s vrstom </w:t>
            </w:r>
            <w:r w:rsidRPr="00661250">
              <w:rPr>
                <w:i/>
                <w:iCs/>
              </w:rPr>
              <w:t>Mytilus galloprovincialis</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i/>
                <w:noProof/>
              </w:rPr>
            </w:pPr>
            <w:r w:rsidRPr="00661250">
              <w:rPr>
                <w:b/>
                <w:i/>
                <w:sz w:val="22"/>
              </w:rPr>
              <w:t>mediteranska infralitoralna dna prekrivena kamenicama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1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c>
          <w:tcPr>
            <w:tcW w:w="587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i/>
                <w:noProof/>
              </w:rPr>
            </w:pPr>
            <w:r w:rsidRPr="00661250">
              <w:rPr>
                <w:b/>
                <w:i/>
              </w:rPr>
              <w:t>mediteranska cirkalitoralna dna prekrivena kamenicama</w:t>
            </w:r>
          </w:p>
        </w:tc>
        <w:tc>
          <w:tcPr>
            <w:tcW w:w="258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bl>
    <w:p w:rsidR="008D1BE3" w:rsidRPr="00661250" w:rsidRDefault="008D1BE3" w:rsidP="008D1BE3">
      <w:pPr>
        <w:keepNext/>
        <w:pageBreakBefore/>
        <w:widowControl/>
        <w:suppressAutoHyphens/>
        <w:spacing w:before="120" w:after="120"/>
        <w:jc w:val="both"/>
        <w:outlineLvl w:val="1"/>
        <w:rPr>
          <w:b/>
          <w:bCs/>
          <w:noProof/>
          <w:szCs w:val="26"/>
        </w:rPr>
      </w:pPr>
      <w:r w:rsidRPr="00661250">
        <w:rPr>
          <w:b/>
        </w:rPr>
        <w:lastRenderedPageBreak/>
        <w:t>4.</w:t>
      </w:r>
      <w:r w:rsidRPr="00661250">
        <w:rPr>
          <w:b/>
        </w:rPr>
        <w:tab/>
        <w:t>Skupina 4: dna prekrivena maerlom</w:t>
      </w:r>
    </w:p>
    <w:tbl>
      <w:tblPr>
        <w:tblStyle w:val="TableGrid"/>
        <w:tblW w:w="0" w:type="auto"/>
        <w:tblLook w:val="04A0" w:firstRow="1" w:lastRow="0" w:firstColumn="1" w:lastColumn="0" w:noHBand="0" w:noVBand="1"/>
      </w:tblPr>
      <w:tblGrid>
        <w:gridCol w:w="1176"/>
        <w:gridCol w:w="95"/>
        <w:gridCol w:w="5945"/>
        <w:gridCol w:w="2073"/>
      </w:tblGrid>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Oznaka u EUNIS-u</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Naziv stanišnog tipa u EUNIS-u</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noProof/>
              </w:rPr>
            </w:pPr>
            <w:r w:rsidRPr="00661250">
              <w:rPr>
                <w:b/>
              </w:rPr>
              <w:t>Povezane oznake iz Priloga I. Direktivi o staništima</w:t>
            </w:r>
          </w:p>
        </w:tc>
      </w:tr>
      <w:tr w:rsidR="008D1BE3" w:rsidRPr="00661250" w:rsidTr="00F53FD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D1BE3" w:rsidRPr="00661250" w:rsidRDefault="008D1BE3" w:rsidP="00F53FDE">
            <w:pPr>
              <w:widowControl/>
              <w:spacing w:before="120" w:after="120"/>
              <w:rPr>
                <w:b/>
                <w:bCs/>
                <w:noProof/>
              </w:rPr>
            </w:pPr>
            <w:r w:rsidRPr="00661250">
              <w:rPr>
                <w:b/>
              </w:rPr>
              <w:t>Atlantski ocean</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MB322</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dna prekrivena maerlom na atlantskim infralitoralnim krupnozrnastim sedimentima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MB421</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dna prekrivena maerlom na atlantskim infralitoralnim miješanim sedimentima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271"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MB622</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dna prekrivena maerlom na atlantskim infralitoralnim muljevitim sedimentima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Sredozemno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MB3511</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asocijacija s rodolitima na krupnozrnastim pijescima i sitnom šljunku koji se miješaju pod utjecajem valova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MB3521</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asocijacija s rodolitima na krupnozrnastim pijescima i sitnom šljunku pod utjecajem pridnenih struja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MB3522</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asocijacija s maerlom (= asocijacija s vrstama </w:t>
            </w:r>
            <w:r w:rsidRPr="00661250">
              <w:rPr>
                <w:i/>
                <w:iCs/>
              </w:rPr>
              <w:t>Lithothamnion corallioides</w:t>
            </w:r>
            <w:r w:rsidRPr="00661250">
              <w:t xml:space="preserve"> i </w:t>
            </w:r>
            <w:r w:rsidRPr="00661250">
              <w:rPr>
                <w:i/>
                <w:iCs/>
              </w:rPr>
              <w:t>Phymatolithon calcareum</w:t>
            </w:r>
            <w:r w:rsidRPr="00661250">
              <w:t>) na mediteranskim krupnozrnastim pijescima i šljunku</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MC3521</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asocijacija s rodolitima na obalnim detritusnim dnima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MC3523</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asocijacija s maerlom (</w:t>
            </w:r>
            <w:r w:rsidRPr="00661250">
              <w:rPr>
                <w:i/>
                <w:iCs/>
              </w:rPr>
              <w:t>Lithothamnion corallioides</w:t>
            </w:r>
            <w:r w:rsidRPr="00661250">
              <w:t xml:space="preserve"> i </w:t>
            </w:r>
            <w:r w:rsidRPr="00661250">
              <w:rPr>
                <w:i/>
                <w:iCs/>
              </w:rPr>
              <w:t>Phymatolithon calcareum</w:t>
            </w:r>
            <w:r w:rsidRPr="00661250">
              <w:t>) na obalnim detritusnim dnima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1110</w:t>
            </w:r>
          </w:p>
        </w:tc>
      </w:tr>
    </w:tbl>
    <w:p w:rsidR="008D1BE3" w:rsidRPr="00661250" w:rsidRDefault="008D1BE3" w:rsidP="008D1BE3">
      <w:pPr>
        <w:keepNext/>
        <w:widowControl/>
        <w:suppressAutoHyphens/>
        <w:spacing w:before="120" w:after="120"/>
        <w:jc w:val="both"/>
        <w:outlineLvl w:val="1"/>
        <w:rPr>
          <w:b/>
          <w:bCs/>
          <w:noProof/>
          <w:szCs w:val="26"/>
        </w:rPr>
      </w:pPr>
      <w:r w:rsidRPr="00661250">
        <w:rPr>
          <w:b/>
        </w:rPr>
        <w:t>5.</w:t>
      </w:r>
      <w:r w:rsidRPr="00661250">
        <w:rPr>
          <w:b/>
        </w:rPr>
        <w:tab/>
        <w:t>Skupina 5: dna prekrivena spužvama i koraljima te koraligenska dna</w:t>
      </w:r>
    </w:p>
    <w:tbl>
      <w:tblPr>
        <w:tblStyle w:val="TableGrid"/>
        <w:tblW w:w="0" w:type="auto"/>
        <w:tblLook w:val="04A0" w:firstRow="1" w:lastRow="0" w:firstColumn="1" w:lastColumn="0" w:noHBand="0" w:noVBand="1"/>
      </w:tblPr>
      <w:tblGrid>
        <w:gridCol w:w="1096"/>
        <w:gridCol w:w="80"/>
        <w:gridCol w:w="6040"/>
        <w:gridCol w:w="2073"/>
      </w:tblGrid>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Oznaka u EUNIS-u</w:t>
            </w:r>
          </w:p>
        </w:tc>
        <w:tc>
          <w:tcPr>
            <w:tcW w:w="612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Naziv stanišnog tipa u EUNIS-u</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noProof/>
              </w:rPr>
            </w:pPr>
            <w:r w:rsidRPr="00661250">
              <w:rPr>
                <w:b/>
              </w:rPr>
              <w:t>Povezane oznake iz Priloga I. Direktivi o staništima</w:t>
            </w:r>
          </w:p>
        </w:tc>
      </w:tr>
      <w:tr w:rsidR="008D1BE3" w:rsidRPr="00661250" w:rsidTr="00F53FD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D1BE3" w:rsidRPr="00661250" w:rsidRDefault="008D1BE3" w:rsidP="00F53FDE">
            <w:pPr>
              <w:widowControl/>
              <w:spacing w:before="120" w:after="120"/>
              <w:rPr>
                <w:b/>
                <w:bCs/>
                <w:noProof/>
              </w:rPr>
            </w:pPr>
            <w:r w:rsidRPr="00661250">
              <w:rPr>
                <w:b/>
              </w:rPr>
              <w:t>Atlantski ocean</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zajednice faune u busenastim algama na atlantskim cirkalitoralnim stijenama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MC124</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faune na atlantskim cirkalitoralnim stijenama s promjenjivim salinitetom</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1130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MC126</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atlantskih cirkalitoralnih špilja i udubina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8330; 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MC222</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hladnomorski koraljni grebeni u atlantskoj cirkalitoralnoj zoni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lastRenderedPageBreak/>
              <w:t>MD121</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spužvi na atlantskim cirkalitoralnim stijenama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MD221</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hladnomorski koraljni grebeni u atlantskoj cirkalitoralnoj zoni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ME122</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zajednice spužvi na stijenama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ME123</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mješovite hladnomorske zajednice koralja na stijenama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ME221</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hladnomorski koraljni greben na stijenama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ME322</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mješovite hladnomorske zajednice koralja na krupnozrnastim sedimentima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ME324</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nakupine spužvi na krupnozrnastim sedimentima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ME422</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nakupine spužvi na miješanim sedimentima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ME623</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nakupine spužvi na muljevima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ME624</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uspravno polje koralja na muljevima atlantskog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MF121</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mješovite hladnomorske zajednice koralja na stijenama atlantskog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MF221</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hladnomorski koraljni greben na stijenama atlantskog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MF321</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mješovite hladnomorske zajednice koralja na krupnozrnastim sedimentima atlantskog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MF622</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nakupine spužvi na muljevima atlantskog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MF623</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uspravno polje koralja na muljevima atlantskog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Baltičko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baltičke infralitoralne stijene i kamenje obilježeni epibentičkim spužvama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MB43A</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infralitoralni miješani sedimenti obilježeni epibentičkim spužvama (</w:t>
            </w:r>
            <w:r w:rsidRPr="00661250">
              <w:rPr>
                <w:i/>
                <w:iCs/>
              </w:rPr>
              <w:t>Porifera</w:t>
            </w:r>
            <w:r w:rsidRPr="00661250">
              <w:t>)</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MC133</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baltičke cirkalitoralne stijene i kamenje obilježeni epibentičkim žarnjacima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lastRenderedPageBreak/>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baltičke cirkalitoralne stijene i kamenje obilježeni epibentičkim spužvama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MC433</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cirkalitoralni miješani sedimenti obilježeni epibentičkim žarnjacima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 1170</w:t>
            </w:r>
          </w:p>
        </w:tc>
      </w:tr>
      <w:tr w:rsidR="008D1BE3" w:rsidRPr="00661250" w:rsidTr="00F53FDE">
        <w:trPr>
          <w:cantSplit/>
          <w:trHeight w:val="283"/>
        </w:trPr>
        <w:tc>
          <w:tcPr>
            <w:tcW w:w="109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MC436</w:t>
            </w:r>
          </w:p>
        </w:tc>
        <w:tc>
          <w:tcPr>
            <w:tcW w:w="612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baltički cirkalitoralni miješani sedimenti obilježeni epibentičkim spužvama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Crno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MD24</w:t>
            </w:r>
          </w:p>
        </w:tc>
        <w:tc>
          <w:tcPr>
            <w:tcW w:w="604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crnomorska cirkalitoralna biogena staništa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ME14</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stijene gornjeg batijala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ME24</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biogena staništa gornjeg batijala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MF14</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stijene donjeg batijala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noProof/>
              </w:rPr>
            </w:pPr>
            <w:r w:rsidRPr="00661250">
              <w:rPr>
                <w:b/>
              </w:rPr>
              <w:t>Sredozemno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noProof/>
              </w:rPr>
            </w:pP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MB151E</w:t>
            </w:r>
          </w:p>
        </w:tc>
        <w:tc>
          <w:tcPr>
            <w:tcW w:w="604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facijes s vrstom </w:t>
            </w:r>
            <w:r w:rsidRPr="00661250">
              <w:rPr>
                <w:i/>
                <w:iCs/>
              </w:rPr>
              <w:t>Cladocora caespitosa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MB151Q</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Astroides calycularis</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MB151α</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facijes i asocijacija koraligene biocenoze (u enklavi)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MC1519</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Eunicella cavolini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MC151A</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Eunicella singularis</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MC151B</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Paramuricea clavata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MC151E</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Leptogorgia sarmentosa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MC151F</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Anthipatella subpinnata</w:t>
            </w:r>
            <w:r w:rsidRPr="00661250">
              <w:t xml:space="preserve"> i prorijeđenim crvenim algama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MC151G</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facijes s velikim spužvama i prorijeđenim crvenim algama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MC1522</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Corallium rubrum</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8330; 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MC1523</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Leptopsammia pruvoti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8330; 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MC251</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koraligene platforme</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MC6514</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ljepljivih muljeva s vrstama </w:t>
            </w:r>
            <w:r w:rsidRPr="00661250">
              <w:rPr>
                <w:i/>
                <w:iCs/>
              </w:rPr>
              <w:t>Alcyonium palmatum</w:t>
            </w:r>
            <w:r w:rsidRPr="00661250">
              <w:t xml:space="preserve"> i </w:t>
            </w:r>
            <w:r w:rsidRPr="00661250">
              <w:rPr>
                <w:i/>
                <w:iCs/>
              </w:rPr>
              <w:t>Parastichopus regalis</w:t>
            </w:r>
            <w:r w:rsidRPr="00661250">
              <w:t xml:space="preserve"> na cirkalitoralnim muljevima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MD151</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biocenoza mediteranskih stijena uz rub epikontinentalnog pojasa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MD25</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mediteranska cirkalitoralna biogena staništa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lastRenderedPageBreak/>
              <w:t>MD6512</w:t>
            </w:r>
          </w:p>
        </w:tc>
        <w:tc>
          <w:tcPr>
            <w:tcW w:w="6040"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 xml:space="preserve">facijes ljepljivih muljeva s vrstama </w:t>
            </w:r>
            <w:r w:rsidRPr="00661250">
              <w:rPr>
                <w:i/>
                <w:iCs/>
              </w:rPr>
              <w:t>Alcyonium palmatum</w:t>
            </w:r>
            <w:r w:rsidRPr="00661250">
              <w:t xml:space="preserve"> i </w:t>
            </w:r>
            <w:r w:rsidRPr="00661250">
              <w:rPr>
                <w:i/>
                <w:iCs/>
              </w:rPr>
              <w:t>Parastichopus regalis</w:t>
            </w:r>
            <w:r w:rsidRPr="00661250">
              <w:t xml:space="preserve"> na muljevima donjeg cirkalitorala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ME1511</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grebeni vrste </w:t>
            </w:r>
            <w:r w:rsidRPr="00661250">
              <w:rPr>
                <w:i/>
                <w:iCs/>
              </w:rPr>
              <w:t>Lophelia pertusa</w:t>
            </w:r>
            <w:r w:rsidRPr="00661250">
              <w:t xml:space="preserve"> mediteranskog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ME1512</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grebeni vrste </w:t>
            </w:r>
            <w:r w:rsidRPr="00661250">
              <w:rPr>
                <w:i/>
                <w:iCs/>
              </w:rPr>
              <w:t>Madrepora oculata</w:t>
            </w:r>
            <w:r w:rsidRPr="00661250">
              <w:t xml:space="preserve"> mediteranskog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ME1513</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grebeni vrste </w:t>
            </w:r>
            <w:r w:rsidRPr="00661250">
              <w:rPr>
                <w:i/>
                <w:iCs/>
              </w:rPr>
              <w:t>Madrepora oculata</w:t>
            </w:r>
            <w:r w:rsidRPr="00661250">
              <w:t xml:space="preserve"> i </w:t>
            </w:r>
            <w:r w:rsidRPr="00661250">
              <w:rPr>
                <w:i/>
                <w:iCs/>
              </w:rPr>
              <w:t>Lophelia pertusa</w:t>
            </w:r>
            <w:r w:rsidRPr="00661250">
              <w:t xml:space="preserve"> mediteranskog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ME6514</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s vrstom </w:t>
            </w:r>
            <w:r w:rsidRPr="00661250">
              <w:rPr>
                <w:i/>
                <w:iCs/>
              </w:rPr>
              <w:t>Pheronema carpenteri</w:t>
            </w:r>
            <w:r w:rsidRPr="00661250">
              <w:t xml:space="preserve"> mediteranskog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MF1511</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grebeni vrste </w:t>
            </w:r>
            <w:r w:rsidRPr="00661250">
              <w:rPr>
                <w:i/>
                <w:iCs/>
              </w:rPr>
              <w:t>Lophelia pertusa</w:t>
            </w:r>
            <w:r w:rsidRPr="00661250">
              <w:t xml:space="preserve"> mediteranskog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MF1512</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grebeni vrste </w:t>
            </w:r>
            <w:r w:rsidRPr="00661250">
              <w:rPr>
                <w:i/>
                <w:iCs/>
              </w:rPr>
              <w:t>Madrepora oculata</w:t>
            </w:r>
            <w:r w:rsidRPr="00661250">
              <w:t xml:space="preserve"> mediteranskog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MF1513</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grebeni vrste </w:t>
            </w:r>
            <w:r w:rsidRPr="00661250">
              <w:rPr>
                <w:i/>
                <w:iCs/>
              </w:rPr>
              <w:t>Madrepora oculata</w:t>
            </w:r>
            <w:r w:rsidRPr="00661250">
              <w:t xml:space="preserve"> i </w:t>
            </w:r>
            <w:r w:rsidRPr="00661250">
              <w:rPr>
                <w:i/>
                <w:iCs/>
              </w:rPr>
              <w:t>Lophelia pertusa</w:t>
            </w:r>
            <w:r w:rsidRPr="00661250">
              <w:t xml:space="preserve"> mediteranskog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MF6511</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pjeskovitih muljeva mediteranskog donjeg batijala s vrstom </w:t>
            </w:r>
            <w:r w:rsidRPr="00661250">
              <w:rPr>
                <w:i/>
                <w:iCs/>
              </w:rPr>
              <w:t>Thenea muricata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r w:rsidR="008D1BE3" w:rsidRPr="00661250" w:rsidTr="00F53FD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MF6513</w:t>
            </w:r>
          </w:p>
        </w:tc>
        <w:tc>
          <w:tcPr>
            <w:tcW w:w="604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 xml:space="preserve">facijes tvrdih muljeva mediteranskog donjeg batijala s vrstom </w:t>
            </w:r>
            <w:r w:rsidRPr="00661250">
              <w:rPr>
                <w:i/>
                <w:iCs/>
              </w:rPr>
              <w:t>Isidella elongata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bl>
    <w:p w:rsidR="008D1BE3" w:rsidRPr="00661250" w:rsidRDefault="008D1BE3" w:rsidP="008D1BE3">
      <w:pPr>
        <w:keepNext/>
        <w:widowControl/>
        <w:suppressAutoHyphens/>
        <w:spacing w:before="120" w:after="120"/>
        <w:jc w:val="both"/>
        <w:outlineLvl w:val="1"/>
        <w:rPr>
          <w:b/>
          <w:bCs/>
          <w:noProof/>
          <w:szCs w:val="26"/>
        </w:rPr>
      </w:pPr>
      <w:r w:rsidRPr="00661250">
        <w:rPr>
          <w:b/>
        </w:rPr>
        <w:t>6.</w:t>
      </w:r>
      <w:r w:rsidRPr="00661250">
        <w:rPr>
          <w:b/>
        </w:rPr>
        <w:tab/>
        <w:t>Skupina 6: izvori i prodori</w:t>
      </w:r>
    </w:p>
    <w:tbl>
      <w:tblPr>
        <w:tblStyle w:val="TableGrid"/>
        <w:tblW w:w="0" w:type="auto"/>
        <w:tblLook w:val="04A0" w:firstRow="1" w:lastRow="0" w:firstColumn="1" w:lastColumn="0" w:noHBand="0" w:noVBand="1"/>
      </w:tblPr>
      <w:tblGrid>
        <w:gridCol w:w="1271"/>
        <w:gridCol w:w="5945"/>
        <w:gridCol w:w="2073"/>
      </w:tblGrid>
      <w:tr w:rsidR="008D1BE3" w:rsidRPr="00661250" w:rsidTr="00F53FDE">
        <w:trPr>
          <w:cantSplit/>
          <w:trHeight w:val="283"/>
        </w:trPr>
        <w:tc>
          <w:tcPr>
            <w:tcW w:w="1271"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Oznaka u EUNIS-u</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noProof/>
              </w:rPr>
            </w:pPr>
            <w:r w:rsidRPr="00661250">
              <w:rPr>
                <w:b/>
              </w:rPr>
              <w:t>Naziv stanišnog tipa u EUNIS-u</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noProof/>
              </w:rPr>
            </w:pPr>
            <w:r w:rsidRPr="00661250">
              <w:rPr>
                <w:b/>
              </w:rPr>
              <w:t>Povezane oznake iz Priloga I. Direktivi o staništima</w:t>
            </w:r>
          </w:p>
        </w:tc>
      </w:tr>
      <w:tr w:rsidR="008D1BE3" w:rsidRPr="00661250" w:rsidTr="00F53FDE">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8D1BE3" w:rsidRPr="00661250" w:rsidRDefault="008D1BE3" w:rsidP="00F53FDE">
            <w:pPr>
              <w:widowControl/>
              <w:spacing w:before="120" w:after="120"/>
              <w:rPr>
                <w:b/>
                <w:bCs/>
                <w:noProof/>
              </w:rPr>
            </w:pPr>
            <w:r w:rsidRPr="00661250">
              <w:rPr>
                <w:b/>
              </w:rPr>
              <w:t>Atlantski ocean</w:t>
            </w:r>
          </w:p>
        </w:tc>
      </w:tr>
      <w:tr w:rsidR="008D1BE3" w:rsidRPr="00661250" w:rsidTr="00F53FDE">
        <w:trPr>
          <w:cantSplit/>
          <w:trHeight w:val="283"/>
        </w:trPr>
        <w:tc>
          <w:tcPr>
            <w:tcW w:w="1271"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MB128</w:t>
            </w:r>
          </w:p>
        </w:tc>
        <w:tc>
          <w:tcPr>
            <w:tcW w:w="5945"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noProof/>
              </w:rPr>
            </w:pPr>
            <w:r w:rsidRPr="00661250">
              <w:t>izvori i prodori u atlantskim infralitoralnim stijenama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1160; 1180</w:t>
            </w:r>
          </w:p>
        </w:tc>
      </w:tr>
      <w:tr w:rsidR="008D1BE3" w:rsidRPr="00661250" w:rsidTr="00F53FDE">
        <w:trPr>
          <w:cantSplit/>
          <w:trHeight w:val="283"/>
        </w:trPr>
        <w:tc>
          <w:tcPr>
            <w:tcW w:w="1271"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MB627</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izvori i prodori u atlantskim infralitoralnim muljevima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1130; 1160</w:t>
            </w:r>
          </w:p>
        </w:tc>
      </w:tr>
      <w:tr w:rsidR="008D1BE3" w:rsidRPr="00661250" w:rsidTr="00F53FDE">
        <w:trPr>
          <w:cantSplit/>
          <w:trHeight w:val="283"/>
        </w:trPr>
        <w:tc>
          <w:tcPr>
            <w:tcW w:w="1271"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MC127</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izvori i prodori u atlantskim cirkalitoralnim stijenama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 1180</w:t>
            </w:r>
          </w:p>
        </w:tc>
      </w:tr>
      <w:tr w:rsidR="008D1BE3" w:rsidRPr="00661250" w:rsidTr="00F53FDE">
        <w:trPr>
          <w:cantSplit/>
          <w:trHeight w:val="283"/>
        </w:trPr>
        <w:tc>
          <w:tcPr>
            <w:tcW w:w="1271"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MC622</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izvori i prodori u atlantskim cirkalitoralnim muljevima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1160</w:t>
            </w:r>
          </w:p>
        </w:tc>
      </w:tr>
      <w:tr w:rsidR="008D1BE3" w:rsidRPr="00661250" w:rsidTr="00F53FDE">
        <w:trPr>
          <w:cantSplit/>
          <w:trHeight w:val="283"/>
        </w:trPr>
        <w:tc>
          <w:tcPr>
            <w:tcW w:w="1271"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MD122</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izvori i prodori u atlantskim cirkalitoralnim stijenama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1170</w:t>
            </w:r>
          </w:p>
        </w:tc>
      </w:tr>
      <w:tr w:rsidR="008D1BE3" w:rsidRPr="00661250" w:rsidTr="00F53FDE">
        <w:trPr>
          <w:cantSplit/>
          <w:trHeight w:val="283"/>
        </w:trPr>
        <w:tc>
          <w:tcPr>
            <w:tcW w:w="1271"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MD622</w:t>
            </w:r>
          </w:p>
        </w:tc>
        <w:tc>
          <w:tcPr>
            <w:tcW w:w="5945"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izvori i prodori u atlantskim cirkalitoralnim muljevima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bl>
    <w:p w:rsidR="008D1BE3" w:rsidRPr="00661250" w:rsidRDefault="008D1BE3" w:rsidP="008D1BE3">
      <w:pPr>
        <w:keepNext/>
        <w:widowControl/>
        <w:suppressAutoHyphens/>
        <w:spacing w:before="120" w:after="120"/>
        <w:jc w:val="both"/>
        <w:outlineLvl w:val="1"/>
        <w:rPr>
          <w:b/>
          <w:szCs w:val="24"/>
        </w:rPr>
      </w:pPr>
      <w:r w:rsidRPr="00661250">
        <w:rPr>
          <w:b/>
        </w:rPr>
        <w:lastRenderedPageBreak/>
        <w:t>7.</w:t>
      </w:r>
      <w:r w:rsidRPr="00661250">
        <w:rPr>
          <w:b/>
        </w:rPr>
        <w:tab/>
        <w:t>Skupina 7: meki sedimenti (dubina veća od 1000 metara)</w:t>
      </w:r>
    </w:p>
    <w:tbl>
      <w:tblPr>
        <w:tblStyle w:val="TableGrid"/>
        <w:tblW w:w="0" w:type="auto"/>
        <w:tblLook w:val="04A0" w:firstRow="1" w:lastRow="0" w:firstColumn="1" w:lastColumn="0" w:noHBand="0" w:noVBand="1"/>
      </w:tblPr>
      <w:tblGrid>
        <w:gridCol w:w="1176"/>
        <w:gridCol w:w="237"/>
        <w:gridCol w:w="5803"/>
        <w:gridCol w:w="2073"/>
      </w:tblGrid>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rPr>
            </w:pPr>
            <w:r w:rsidRPr="00661250">
              <w:rPr>
                <w:b/>
              </w:rPr>
              <w:t>Oznaka u EUNIS-u</w:t>
            </w:r>
          </w:p>
        </w:tc>
        <w:tc>
          <w:tcPr>
            <w:tcW w:w="580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rPr>
                <w:b/>
              </w:rPr>
            </w:pPr>
            <w:r w:rsidRPr="00661250">
              <w:rPr>
                <w:b/>
              </w:rPr>
              <w:t>Naziv stanišnog tipa u EUNIS-u</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rPr>
            </w:pPr>
            <w:r w:rsidRPr="00661250">
              <w:rPr>
                <w:b/>
              </w:rPr>
              <w:t>Povezane oznake iz Priloga I. Direktivi o staništima</w:t>
            </w:r>
          </w:p>
        </w:tc>
      </w:tr>
      <w:tr w:rsidR="008D1BE3" w:rsidRPr="00661250" w:rsidTr="00F53FD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D1BE3" w:rsidRPr="00661250" w:rsidRDefault="008D1BE3" w:rsidP="00F53FDE">
            <w:pPr>
              <w:widowControl/>
              <w:spacing w:before="120" w:after="120"/>
              <w:rPr>
                <w:b/>
              </w:rPr>
            </w:pPr>
            <w:r w:rsidRPr="00661250">
              <w:rPr>
                <w:b/>
              </w:rPr>
              <w:t>Atlantski ocean</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MA32</w:t>
            </w:r>
          </w:p>
        </w:tc>
        <w:tc>
          <w:tcPr>
            <w:tcW w:w="580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atlantski 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MA42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MA52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litoralni pijesci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MA62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litoralni muljevi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MB32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infralitoralni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MB42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infralitoralni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1150;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MB52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infralitoralni pijesci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1150;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MB62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infralitoralni muljevi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MC32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MC42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MC52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pijesci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MC62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muljevi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MD32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krupnozrnasti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MD42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miješani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MD52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pijesci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MD62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cirkalitoralni muljevi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ME32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krupnozrnasti sedimenti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ME42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miješani sedimenti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ME52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pijesci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ME62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muljevi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MF32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krupnozrnasti sedimenti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lastRenderedPageBreak/>
              <w:t>MF42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miješani sedimenti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MF52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pijesci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MF62</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atlantski muljevi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rPr>
            </w:pPr>
            <w:r w:rsidRPr="00661250">
              <w:rPr>
                <w:b/>
              </w:rPr>
              <w:t>Baltičko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rPr>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MA33</w:t>
            </w:r>
          </w:p>
        </w:tc>
        <w:tc>
          <w:tcPr>
            <w:tcW w:w="580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baltički hidrolitoralni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1160; 1610; 1620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MA43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hidrolitoralni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 1610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MA53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hidrolitoralni pijesci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 1610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MA63</w:t>
            </w:r>
          </w:p>
        </w:tc>
        <w:tc>
          <w:tcPr>
            <w:tcW w:w="5803"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baltički hidrolitoralni muljevi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 1650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MB33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infralitoralni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1150;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MB43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infralitoralni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1150; 1160; 1170; 1650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MB53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infralitoralni pijesci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1150;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MB63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infralitoralni muljevi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1130; 1150; 1160; 1650 </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MC33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cirkalitoralni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MC43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cirkalitoralni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1160; 1170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MC53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baltički cirkalitoralni pijesci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MC63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baltički cirkalitoralni muljevi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1160; 1650</w:t>
            </w: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MD33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cirkalitoralni krupnozrnasti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MD43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baltički cirkalitoralni miješani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MD53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baltički cirkalitoralni pijesci otvorenog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413"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MD63</w:t>
            </w:r>
          </w:p>
        </w:tc>
        <w:tc>
          <w:tcPr>
            <w:tcW w:w="580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baltički cirkalitoralni muljevi otvorenog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rPr>
            </w:pPr>
            <w:r w:rsidRPr="00661250">
              <w:rPr>
                <w:b/>
              </w:rPr>
              <w:t>Crno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rPr>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MA34</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litoralni krupnozrnasti sedimenti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MA44</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litoralni miješani sedimenti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lastRenderedPageBreak/>
              <w:t>MA54</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litoralni pijesci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MA64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litoralni muljevi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MB34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infralitoralni krupnozrnasti sedimenti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MB44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infralitoralni miješani sedimenti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1170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MB54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infralitoralni pijesci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MB64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infralitoralni muljevi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MC34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cirkalitoralni krupnozrnasti sedimenti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MC44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cirkalitoralni miješani sedimenti Crnog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MC54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cirkalitoralni pijesci Crnog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MC64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cirkalitoralni muljevi Crnog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MD34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crnomorski cirkalitoralni krupnozrnasti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MD44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crnomorski cirkalitoralni miješani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MD54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crnomorski cirkalitoralni pijesci otvorenog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MD64</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crnomorski cirkalitoralni muljevi otvorenog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1BE3" w:rsidRPr="00661250" w:rsidRDefault="008D1BE3" w:rsidP="00F53FDE">
            <w:pPr>
              <w:widowControl/>
              <w:spacing w:before="120" w:after="120"/>
              <w:rPr>
                <w:b/>
              </w:rPr>
            </w:pPr>
            <w:r w:rsidRPr="00661250">
              <w:rPr>
                <w:b/>
              </w:rPr>
              <w:t>Sredozemno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D1BE3" w:rsidRPr="00661250" w:rsidRDefault="008D1BE3" w:rsidP="00F53FDE">
            <w:pPr>
              <w:widowControl/>
              <w:spacing w:before="120" w:after="120"/>
              <w:rPr>
                <w:b/>
              </w:rPr>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MA35</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mediteranski 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1160; 1130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MA45</w:t>
            </w:r>
          </w:p>
        </w:tc>
        <w:tc>
          <w:tcPr>
            <w:tcW w:w="6040" w:type="dxa"/>
            <w:gridSpan w:val="2"/>
            <w:tcBorders>
              <w:top w:val="single" w:sz="4" w:space="0" w:color="auto"/>
              <w:left w:val="single" w:sz="4" w:space="0" w:color="auto"/>
              <w:bottom w:val="single" w:sz="4" w:space="0" w:color="auto"/>
              <w:right w:val="single" w:sz="4" w:space="0" w:color="auto"/>
            </w:tcBorders>
            <w:hideMark/>
          </w:tcPr>
          <w:p w:rsidR="008D1BE3" w:rsidRPr="00661250" w:rsidRDefault="008D1BE3" w:rsidP="00F53FDE">
            <w:pPr>
              <w:widowControl/>
              <w:spacing w:before="120" w:after="120"/>
            </w:pPr>
            <w:r w:rsidRPr="00661250">
              <w:t>mediteranski 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1140;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MA55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litoralni pijesci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MA65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litoralni muljevi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1140; 1150;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MB35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infralitoralni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MB45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infralitoralni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MB55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infralitoralni pijesci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1130; 1150;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MB65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infralitoralni muljevi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1150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MC35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cirkalitoralni krupnozrnasti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MC45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cirkalitoralni miješani sedimenti</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lastRenderedPageBreak/>
              <w:t>MC55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mediteranski cirkalitoralni pijesci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1110;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MC65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mediteranski cirkalitoralni muljevi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1130; 1160</w:t>
            </w: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MD35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cirkalitoralni krupnozrnasti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MD45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cirkalitoralni miješani sedimenti otvorenog mora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MD55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mediteranski cirkalitoralni pijesci otvorenog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MD65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 xml:space="preserve">mediteranski cirkalitoralni muljevi otvorenog mora </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ME35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krupnozrnasti sedimenti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ME45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miješani sedimenti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ME55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pijesci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ME65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muljevi gornjeg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MF35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krupnozrnasti sedimenti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MF45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miješani sedimenti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MF55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mediteranski pijesci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p>
        </w:tc>
      </w:tr>
      <w:tr w:rsidR="008D1BE3" w:rsidRPr="00661250" w:rsidTr="00F53FDE">
        <w:trPr>
          <w:cantSplit/>
          <w:trHeight w:val="283"/>
        </w:trPr>
        <w:tc>
          <w:tcPr>
            <w:tcW w:w="1176"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pPr>
            <w:r w:rsidRPr="00661250">
              <w:t>MF65</w:t>
            </w:r>
          </w:p>
        </w:tc>
        <w:tc>
          <w:tcPr>
            <w:tcW w:w="6040" w:type="dxa"/>
            <w:gridSpan w:val="2"/>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r w:rsidRPr="00661250">
              <w:t>mediteranski muljevi donjeg batijala</w:t>
            </w:r>
          </w:p>
        </w:tc>
        <w:tc>
          <w:tcPr>
            <w:tcW w:w="2073"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rPr>
            </w:pPr>
          </w:p>
        </w:tc>
      </w:tr>
    </w:tbl>
    <w:p w:rsidR="008D1BE3" w:rsidRPr="00661250" w:rsidRDefault="008D1BE3" w:rsidP="008D1BE3">
      <w:pPr>
        <w:widowControl/>
        <w:spacing w:before="120" w:after="120" w:line="360" w:lineRule="auto"/>
        <w:rPr>
          <w:rFonts w:eastAsia="Calibri"/>
          <w:szCs w:val="22"/>
          <w:lang w:eastAsia="en-US"/>
        </w:rPr>
      </w:pPr>
    </w:p>
    <w:p w:rsidR="008D1BE3" w:rsidRPr="00661250" w:rsidRDefault="008D1BE3" w:rsidP="008D1BE3">
      <w:pPr>
        <w:widowControl/>
        <w:spacing w:before="120" w:after="120" w:line="360" w:lineRule="auto"/>
        <w:rPr>
          <w:rFonts w:eastAsia="Calibri"/>
          <w:szCs w:val="22"/>
          <w:lang w:eastAsia="en-US"/>
        </w:rPr>
        <w:sectPr w:rsidR="008D1BE3" w:rsidRPr="00661250" w:rsidSect="00F53FDE">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7" w:h="16839"/>
          <w:pgMar w:top="1134" w:right="1134" w:bottom="1134" w:left="1134" w:header="567" w:footer="567" w:gutter="0"/>
          <w:cols w:space="720"/>
          <w:docGrid w:linePitch="360"/>
        </w:sectPr>
      </w:pPr>
    </w:p>
    <w:p w:rsidR="008D1BE3" w:rsidRPr="00661250" w:rsidRDefault="008D1BE3" w:rsidP="008D1BE3">
      <w:pPr>
        <w:widowControl/>
        <w:suppressAutoHyphens/>
        <w:spacing w:before="120" w:after="120"/>
        <w:jc w:val="center"/>
        <w:rPr>
          <w:rFonts w:eastAsia="Calibri"/>
          <w:b/>
          <w:noProof/>
          <w:szCs w:val="22"/>
          <w:u w:val="single"/>
        </w:rPr>
      </w:pPr>
      <w:r w:rsidRPr="00661250">
        <w:rPr>
          <w:b/>
          <w:u w:val="single"/>
        </w:rPr>
        <w:lastRenderedPageBreak/>
        <w:t>PRILOG III.</w:t>
      </w:r>
      <w:r w:rsidRPr="00661250">
        <w:rPr>
          <w:b/>
          <w:u w:val="single"/>
        </w:rPr>
        <w:br/>
      </w:r>
      <w:r w:rsidRPr="00661250">
        <w:rPr>
          <w:b/>
          <w:u w:val="single"/>
        </w:rPr>
        <w:br/>
        <w:t xml:space="preserve">MORSKE VRSTE IZ ČLANKA 5. STAVKA 3. </w:t>
      </w:r>
    </w:p>
    <w:p w:rsidR="008D1BE3" w:rsidRPr="00661250" w:rsidRDefault="008D1BE3" w:rsidP="008D1BE3">
      <w:pPr>
        <w:widowControl/>
        <w:tabs>
          <w:tab w:val="num" w:pos="1560"/>
        </w:tabs>
        <w:suppressAutoHyphens/>
        <w:spacing w:before="120" w:after="120"/>
        <w:jc w:val="both"/>
        <w:rPr>
          <w:rFonts w:eastAsia="Calibri"/>
          <w:noProof/>
          <w:szCs w:val="22"/>
        </w:rPr>
      </w:pPr>
      <w:r w:rsidRPr="00661250">
        <w:rPr>
          <w:rFonts w:ascii="Arial" w:hAnsi="Arial"/>
          <w:snapToGrid w:val="0"/>
        </w:rPr>
        <w:t>▌</w:t>
      </w:r>
    </w:p>
    <w:p w:rsidR="008D1BE3" w:rsidRPr="00661250" w:rsidRDefault="008D1BE3" w:rsidP="008D1BE3">
      <w:pPr>
        <w:widowControl/>
        <w:suppressAutoHyphens/>
        <w:spacing w:before="120" w:after="120"/>
        <w:ind w:left="851" w:hanging="851"/>
        <w:jc w:val="both"/>
        <w:rPr>
          <w:rFonts w:eastAsia="Calibri"/>
          <w:noProof/>
          <w:szCs w:val="22"/>
        </w:rPr>
      </w:pPr>
      <w:r w:rsidRPr="00661250">
        <w:t>(2)</w:t>
      </w:r>
      <w:r w:rsidRPr="00661250">
        <w:tab/>
        <w:t xml:space="preserve">pilašica vrste </w:t>
      </w:r>
      <w:r w:rsidRPr="00661250">
        <w:rPr>
          <w:i/>
          <w:iCs/>
        </w:rPr>
        <w:t>Pristis clavata</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(3)</w:t>
      </w:r>
      <w:r w:rsidRPr="00661250">
        <w:tab/>
        <w:t xml:space="preserve">pilašica vrste </w:t>
      </w:r>
      <w:r w:rsidRPr="00661250">
        <w:rPr>
          <w:i/>
          <w:iCs/>
        </w:rPr>
        <w:t>Pristis pectinata</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(4)</w:t>
      </w:r>
      <w:r w:rsidRPr="00661250">
        <w:tab/>
        <w:t xml:space="preserve">pilašica vrste </w:t>
      </w:r>
      <w:r w:rsidRPr="00661250">
        <w:rPr>
          <w:i/>
          <w:iCs/>
        </w:rPr>
        <w:t>Pristis pristis</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rPr>
          <w:rFonts w:ascii="Arial" w:hAnsi="Arial"/>
          <w:snapToGrid w:val="0"/>
        </w:rPr>
        <w:t>▌</w:t>
      </w:r>
    </w:p>
    <w:p w:rsidR="008D1BE3" w:rsidRPr="00661250" w:rsidRDefault="008D1BE3" w:rsidP="008D1BE3">
      <w:pPr>
        <w:widowControl/>
        <w:suppressAutoHyphens/>
        <w:spacing w:before="120" w:after="120"/>
        <w:ind w:left="850" w:hanging="850"/>
        <w:jc w:val="both"/>
        <w:rPr>
          <w:rFonts w:eastAsia="Calibri"/>
          <w:noProof/>
          <w:szCs w:val="22"/>
        </w:rPr>
      </w:pPr>
      <w:r w:rsidRPr="00661250">
        <w:t>(6)</w:t>
      </w:r>
      <w:r w:rsidRPr="00661250">
        <w:tab/>
        <w:t>psina golema (</w:t>
      </w:r>
      <w:r w:rsidRPr="00661250">
        <w:rPr>
          <w:i/>
          <w:iCs/>
        </w:rPr>
        <w:t>Cetorhinus maximus</w:t>
      </w:r>
      <w:r w:rsidRPr="00661250">
        <w:t>) i velika bijela psina (</w:t>
      </w:r>
      <w:r w:rsidRPr="00661250">
        <w:rPr>
          <w:i/>
          <w:iCs/>
        </w:rPr>
        <w:t>Carcharodon carcharias</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(7)</w:t>
      </w:r>
      <w:r w:rsidRPr="00661250">
        <w:tab/>
        <w:t>glatki kostelj crnac (</w:t>
      </w:r>
      <w:r w:rsidRPr="00661250">
        <w:rPr>
          <w:i/>
          <w:iCs/>
        </w:rPr>
        <w:t>Etmopterus pusillus</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(8)</w:t>
      </w:r>
      <w:r w:rsidRPr="00661250">
        <w:tab/>
        <w:t>grebenska manta (</w:t>
      </w:r>
      <w:r w:rsidRPr="00661250">
        <w:rPr>
          <w:i/>
          <w:iCs/>
        </w:rPr>
        <w:t>Manta alfredi</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t>(9)</w:t>
      </w:r>
      <w:r w:rsidRPr="00661250">
        <w:tab/>
        <w:t>divovska manta (</w:t>
      </w:r>
      <w:r w:rsidRPr="00661250">
        <w:rPr>
          <w:i/>
          <w:iCs/>
        </w:rPr>
        <w:t>Mobula birostris</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t>(10)</w:t>
      </w:r>
      <w:r w:rsidRPr="00661250">
        <w:tab/>
        <w:t>golub uhan (</w:t>
      </w:r>
      <w:r w:rsidRPr="00661250">
        <w:rPr>
          <w:i/>
          <w:iCs/>
        </w:rPr>
        <w:t>Mobula mobular</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t>(11)</w:t>
      </w:r>
      <w:r w:rsidRPr="00661250">
        <w:tab/>
        <w:t xml:space="preserve">raža vrste </w:t>
      </w:r>
      <w:r w:rsidRPr="00661250">
        <w:rPr>
          <w:i/>
          <w:iCs/>
        </w:rPr>
        <w:t>Mobula rochebrunei</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(12)</w:t>
      </w:r>
      <w:r w:rsidRPr="00661250">
        <w:tab/>
        <w:t xml:space="preserve">raža vrste </w:t>
      </w:r>
      <w:r w:rsidRPr="00661250">
        <w:rPr>
          <w:i/>
          <w:iCs/>
        </w:rPr>
        <w:t>Mobula japanica</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(13)</w:t>
      </w:r>
      <w:r w:rsidRPr="00661250">
        <w:tab/>
        <w:t xml:space="preserve">raža vrste </w:t>
      </w:r>
      <w:r w:rsidRPr="00661250">
        <w:rPr>
          <w:i/>
          <w:iCs/>
        </w:rPr>
        <w:t>Mobula thurstoni</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(14)</w:t>
      </w:r>
      <w:r w:rsidRPr="00661250">
        <w:tab/>
        <w:t xml:space="preserve">raža vrste </w:t>
      </w:r>
      <w:r w:rsidRPr="00661250">
        <w:rPr>
          <w:i/>
          <w:iCs/>
        </w:rPr>
        <w:t>Mobula eregoodootenkee</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rPr>
          <w:rFonts w:ascii="Arial" w:hAnsi="Arial"/>
          <w:snapToGrid w:val="0"/>
        </w:rPr>
        <w:t>▌</w:t>
      </w:r>
    </w:p>
    <w:p w:rsidR="008D1BE3" w:rsidRPr="00661250" w:rsidRDefault="008D1BE3" w:rsidP="008D1BE3">
      <w:pPr>
        <w:widowControl/>
        <w:suppressAutoHyphens/>
        <w:spacing w:before="120" w:after="120"/>
        <w:ind w:left="850" w:hanging="850"/>
        <w:jc w:val="both"/>
        <w:rPr>
          <w:rFonts w:eastAsia="Calibri"/>
          <w:noProof/>
          <w:szCs w:val="22"/>
        </w:rPr>
      </w:pPr>
      <w:r w:rsidRPr="00661250">
        <w:t>(16)</w:t>
      </w:r>
      <w:r w:rsidRPr="00661250">
        <w:tab/>
        <w:t xml:space="preserve">raža vrste </w:t>
      </w:r>
      <w:r w:rsidRPr="00661250">
        <w:rPr>
          <w:i/>
          <w:iCs/>
        </w:rPr>
        <w:t>Mobula tarapacana</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(17)</w:t>
      </w:r>
      <w:r w:rsidRPr="00661250">
        <w:tab/>
        <w:t xml:space="preserve">raža vrste </w:t>
      </w:r>
      <w:r w:rsidRPr="00661250">
        <w:rPr>
          <w:i/>
          <w:iCs/>
        </w:rPr>
        <w:t>Mobula kuhlii</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t>(18)</w:t>
      </w:r>
      <w:r w:rsidRPr="00661250">
        <w:tab/>
        <w:t xml:space="preserve">raža vrste </w:t>
      </w:r>
      <w:r w:rsidRPr="00661250">
        <w:rPr>
          <w:i/>
          <w:iCs/>
        </w:rPr>
        <w:t>Mobula hypostoma</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t>(19)</w:t>
      </w:r>
      <w:r w:rsidRPr="00661250">
        <w:tab/>
        <w:t>norveška raža (</w:t>
      </w:r>
      <w:r w:rsidRPr="00661250">
        <w:rPr>
          <w:i/>
          <w:iCs/>
        </w:rPr>
        <w:t>Raja (Dipturus) nidarosiensis</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t>(20)</w:t>
      </w:r>
      <w:r w:rsidRPr="00661250">
        <w:tab/>
        <w:t>bijela raža (</w:t>
      </w:r>
      <w:r w:rsidRPr="00661250">
        <w:rPr>
          <w:i/>
          <w:iCs/>
        </w:rPr>
        <w:t>Raja alba</w:t>
      </w:r>
      <w:r w:rsidRPr="00661250">
        <w:t xml:space="preserve">); </w:t>
      </w:r>
    </w:p>
    <w:p w:rsidR="008D1BE3" w:rsidRPr="00661250" w:rsidRDefault="008D1BE3" w:rsidP="008D1BE3">
      <w:pPr>
        <w:widowControl/>
        <w:suppressAutoHyphens/>
        <w:spacing w:before="120" w:after="120"/>
        <w:ind w:left="851" w:hanging="851"/>
        <w:jc w:val="both"/>
        <w:rPr>
          <w:rFonts w:eastAsia="Calibri"/>
          <w:szCs w:val="22"/>
        </w:rPr>
      </w:pPr>
      <w:r w:rsidRPr="00661250">
        <w:t>(21)</w:t>
      </w:r>
      <w:r w:rsidRPr="00661250">
        <w:tab/>
        <w:t>ražopsi (</w:t>
      </w:r>
      <w:r w:rsidRPr="00661250">
        <w:rPr>
          <w:i/>
          <w:iCs/>
        </w:rPr>
        <w:t>Rhinobatidae</w:t>
      </w:r>
      <w:r w:rsidRPr="00661250">
        <w:t>);</w:t>
      </w:r>
    </w:p>
    <w:p w:rsidR="008D1BE3" w:rsidRPr="00661250" w:rsidRDefault="008D1BE3" w:rsidP="008D1BE3">
      <w:pPr>
        <w:widowControl/>
        <w:suppressAutoHyphens/>
        <w:spacing w:before="120" w:after="120"/>
        <w:ind w:left="850" w:hanging="850"/>
        <w:jc w:val="both"/>
        <w:rPr>
          <w:rFonts w:eastAsia="Calibri"/>
          <w:szCs w:val="22"/>
        </w:rPr>
      </w:pPr>
      <w:r w:rsidRPr="00661250">
        <w:t>(22)</w:t>
      </w:r>
      <w:r w:rsidRPr="00661250">
        <w:tab/>
        <w:t>sklat sivac (</w:t>
      </w:r>
      <w:r w:rsidRPr="00661250">
        <w:rPr>
          <w:i/>
          <w:iCs/>
        </w:rPr>
        <w:t>Squatina squatina</w:t>
      </w:r>
      <w:r w:rsidRPr="00661250">
        <w:t>);</w:t>
      </w:r>
    </w:p>
    <w:p w:rsidR="008D1BE3" w:rsidRPr="00661250" w:rsidRDefault="008D1BE3" w:rsidP="008D1BE3">
      <w:pPr>
        <w:widowControl/>
        <w:suppressAutoHyphens/>
        <w:spacing w:before="120" w:after="120"/>
        <w:ind w:left="850" w:hanging="850"/>
        <w:jc w:val="both"/>
        <w:rPr>
          <w:rFonts w:eastAsia="Calibri"/>
          <w:noProof/>
          <w:szCs w:val="22"/>
        </w:rPr>
      </w:pPr>
      <w:r w:rsidRPr="00661250">
        <w:t>(23)</w:t>
      </w:r>
      <w:r w:rsidRPr="00661250">
        <w:tab/>
        <w:t>losos (</w:t>
      </w:r>
      <w:r w:rsidRPr="00661250">
        <w:rPr>
          <w:i/>
          <w:iCs/>
        </w:rPr>
        <w:t>Salmo salar</w:t>
      </w:r>
      <w:r w:rsidRPr="00661250">
        <w:t xml:space="preserve">); </w:t>
      </w:r>
    </w:p>
    <w:p w:rsidR="008D1BE3" w:rsidRPr="00661250" w:rsidRDefault="008D1BE3" w:rsidP="008D1BE3">
      <w:pPr>
        <w:widowControl/>
        <w:suppressAutoHyphens/>
        <w:spacing w:before="120" w:after="120"/>
        <w:ind w:left="850" w:hanging="850"/>
        <w:jc w:val="both"/>
        <w:rPr>
          <w:rFonts w:eastAsia="Calibri"/>
          <w:noProof/>
          <w:szCs w:val="22"/>
        </w:rPr>
      </w:pPr>
      <w:r w:rsidRPr="00661250">
        <w:t>(24)</w:t>
      </w:r>
      <w:r w:rsidRPr="00661250">
        <w:tab/>
        <w:t>morska pastrva (</w:t>
      </w:r>
      <w:r w:rsidRPr="00661250">
        <w:rPr>
          <w:i/>
          <w:iCs/>
        </w:rPr>
        <w:t>Salmo trutta</w:t>
      </w:r>
      <w:r w:rsidRPr="00661250">
        <w:t>);</w:t>
      </w:r>
    </w:p>
    <w:p w:rsidR="000B7900" w:rsidRDefault="008D1BE3" w:rsidP="008D1BE3">
      <w:pPr>
        <w:widowControl/>
        <w:spacing w:before="120" w:after="120" w:line="360" w:lineRule="auto"/>
        <w:ind w:left="851" w:hanging="851"/>
        <w:sectPr w:rsidR="000B7900" w:rsidSect="00F53FDE">
          <w:footnotePr>
            <w:numRestart w:val="eachSect"/>
          </w:footnotePr>
          <w:pgSz w:w="11907" w:h="16839"/>
          <w:pgMar w:top="1134" w:right="1134" w:bottom="1134" w:left="1134" w:header="567" w:footer="567" w:gutter="0"/>
          <w:cols w:space="720"/>
          <w:docGrid w:linePitch="360"/>
        </w:sectPr>
      </w:pPr>
      <w:r w:rsidRPr="00661250">
        <w:t>(25)</w:t>
      </w:r>
      <w:r w:rsidRPr="00661250">
        <w:tab/>
        <w:t>ozimica (</w:t>
      </w:r>
      <w:r w:rsidRPr="00661250">
        <w:rPr>
          <w:i/>
          <w:iCs/>
        </w:rPr>
        <w:t>Coregonus oxyrhynchus</w:t>
      </w:r>
      <w:r w:rsidRPr="00661250">
        <w:t>).</w:t>
      </w:r>
    </w:p>
    <w:p w:rsidR="008D1BE3" w:rsidRPr="00661250" w:rsidRDefault="000B7900" w:rsidP="008D1BE3">
      <w:pPr>
        <w:widowControl/>
        <w:spacing w:before="120" w:after="120" w:line="360" w:lineRule="auto"/>
        <w:ind w:left="851" w:hanging="851"/>
        <w:rPr>
          <w:rFonts w:eastAsia="Calibri"/>
          <w:noProof/>
          <w:szCs w:val="22"/>
        </w:rPr>
        <w:sectPr w:rsidR="008D1BE3" w:rsidRPr="00661250" w:rsidSect="00F53FDE">
          <w:footnotePr>
            <w:numRestart w:val="eachSect"/>
          </w:footnotePr>
          <w:pgSz w:w="11907" w:h="16839"/>
          <w:pgMar w:top="1134" w:right="1134" w:bottom="1134" w:left="1134" w:header="567" w:footer="567" w:gutter="0"/>
          <w:cols w:space="720"/>
          <w:docGrid w:linePitch="360"/>
        </w:sectPr>
      </w:pPr>
      <w:r w:rsidRPr="000B7900">
        <w:rPr>
          <w:b/>
        </w:rPr>
        <w:lastRenderedPageBreak/>
        <w:t xml:space="preserve">▌ </w:t>
      </w:r>
      <w:r w:rsidRPr="00661250">
        <w:rPr>
          <w:b/>
        </w:rPr>
        <w:t xml:space="preserve">[Amandman </w:t>
      </w:r>
      <w:r>
        <w:rPr>
          <w:b/>
        </w:rPr>
        <w:t>47]</w:t>
      </w:r>
    </w:p>
    <w:p w:rsidR="008D1BE3" w:rsidRPr="00661250" w:rsidRDefault="008D1BE3" w:rsidP="008D1BE3">
      <w:pPr>
        <w:widowControl/>
        <w:suppressAutoHyphens/>
        <w:spacing w:before="120" w:after="120"/>
        <w:jc w:val="center"/>
        <w:rPr>
          <w:rFonts w:eastAsia="Calibri"/>
          <w:b/>
          <w:noProof/>
          <w:szCs w:val="22"/>
          <w:u w:val="single"/>
        </w:rPr>
      </w:pPr>
      <w:bookmarkStart w:id="88" w:name="_GoBack"/>
      <w:bookmarkEnd w:id="88"/>
      <w:r w:rsidRPr="00661250">
        <w:rPr>
          <w:b/>
          <w:u w:val="single"/>
        </w:rPr>
        <w:lastRenderedPageBreak/>
        <w:t>PRILOG V.</w:t>
      </w:r>
      <w:r w:rsidRPr="00661250">
        <w:rPr>
          <w:b/>
          <w:u w:val="single"/>
        </w:rPr>
        <w:br/>
      </w:r>
      <w:r w:rsidRPr="00661250">
        <w:rPr>
          <w:b/>
          <w:u w:val="single"/>
        </w:rPr>
        <w:br/>
        <w:t>INDEKS ČESTIH VRSTA PTICA POLJOPRIVREDNIH STANIŠTA NA NACIONALNOJ RAZINI</w:t>
      </w:r>
    </w:p>
    <w:p w:rsidR="008D1BE3" w:rsidRPr="00661250" w:rsidRDefault="008D1BE3" w:rsidP="008D1BE3">
      <w:pPr>
        <w:widowControl/>
        <w:suppressAutoHyphens/>
        <w:spacing w:before="120" w:after="120" w:line="360" w:lineRule="auto"/>
        <w:rPr>
          <w:rFonts w:eastAsia="Calibri"/>
          <w:b/>
          <w:bCs/>
          <w:noProof/>
          <w:szCs w:val="22"/>
        </w:rPr>
      </w:pPr>
      <w:r w:rsidRPr="00661250">
        <w:rPr>
          <w:b/>
        </w:rPr>
        <w:t>Opis</w:t>
      </w:r>
    </w:p>
    <w:p w:rsidR="008D1BE3" w:rsidRPr="00661250" w:rsidRDefault="008D1BE3" w:rsidP="008D1BE3">
      <w:pPr>
        <w:widowControl/>
        <w:suppressAutoHyphens/>
        <w:spacing w:before="120" w:after="120" w:line="360" w:lineRule="auto"/>
        <w:rPr>
          <w:rFonts w:eastAsia="Calibri"/>
          <w:noProof/>
          <w:szCs w:val="22"/>
        </w:rPr>
      </w:pPr>
      <w:r w:rsidRPr="00661250">
        <w:t>Indeksom ptica poljoprivrednih staništa sažimaju se populacijski trendovi čestih i raširenih vrsta ptica poljoprivrednih staništa te bi on trebao služiti kao zamjenski pokazatelj za ocjenu stanja bioraznolikosti poljoprivrednih ekosustava u Europi. Nacionalni indeks ptica poljoprivrednih staništa skupni je indeks za više vrsta kojim se određuje stopa promjene relativne brojnosti vrsta ptica poljoprivrednih staništa na odabranim mjestima nadzora na nacionalnoj razini. Pokazatelj se temelji na posebno odabranim vrstama koje ovise o poljoprivrednim staništima kako bi se hranile i/ili gnijezdile. Nacionalni indeksi čestih vrsta ptica poljoprivrednih staništa temelje se na skupovima vrsta koji su relevantni za svaku državu članicu. Pokazatelj se izračunava s obzirom na baznu godinu u kojoj je vrijednost indeksa obično postavljena na 100. Vrijednostima kretanja iskazuje se ukupna promjena do koje je došlo u veličini populacije ptica poljoprivrednih staništa koje čine tu populaciju tijekom nekoliko godina.</w:t>
      </w:r>
    </w:p>
    <w:p w:rsidR="008D1BE3" w:rsidRPr="00661250" w:rsidRDefault="008D1BE3" w:rsidP="008D1BE3">
      <w:pPr>
        <w:widowControl/>
        <w:suppressAutoHyphens/>
        <w:spacing w:before="120" w:after="120" w:line="360" w:lineRule="auto"/>
        <w:rPr>
          <w:rFonts w:eastAsia="Calibri"/>
          <w:b/>
          <w:bCs/>
          <w:noProof/>
          <w:szCs w:val="22"/>
        </w:rPr>
      </w:pPr>
      <w:r w:rsidRPr="00661250">
        <w:rPr>
          <w:b/>
        </w:rPr>
        <w:t xml:space="preserve">Metodologija: </w:t>
      </w:r>
      <w:r w:rsidRPr="00661250">
        <w:t xml:space="preserve">Brlík i sur. (2021.): </w:t>
      </w:r>
      <w:r w:rsidRPr="00661250">
        <w:rPr>
          <w:i/>
          <w:iCs/>
        </w:rPr>
        <w:t>Long-term and large-scale multispecies dataset tracking population changes of common European breeding birds</w:t>
      </w:r>
      <w:r w:rsidRPr="00661250">
        <w:t xml:space="preserve"> (Dugoročni i opsežni skup podataka za više vrsta kojim se prate promjene u populaciji čestih europskih ptica gnjezdarica). Sci Data 8, 21. https://doi.org/10.1038/s41597-021-00804-2</w:t>
      </w:r>
    </w:p>
    <w:p w:rsidR="008D1BE3" w:rsidRPr="00661250" w:rsidRDefault="008D1BE3" w:rsidP="008D1BE3">
      <w:pPr>
        <w:widowControl/>
        <w:suppressAutoHyphens/>
        <w:spacing w:before="120" w:after="120" w:line="360" w:lineRule="auto"/>
        <w:rPr>
          <w:rFonts w:eastAsia="Calibri"/>
          <w:noProof/>
          <w:szCs w:val="22"/>
        </w:rPr>
      </w:pPr>
      <w:r w:rsidRPr="00661250">
        <w:rPr>
          <w:b/>
        </w:rPr>
        <w:t xml:space="preserve"> </w:t>
      </w:r>
      <w:r w:rsidRPr="00661250">
        <w:t>„Države članice s povijesno iscrpljenijim populacijama ptica poljoprivrednih staništa” znači države članice u kojima polovina ili više vrsta uključenih u nacionalni indeks čestih vrsta ptica poljoprivrednih staništa ima negativan dugoročni populacijski trend. U državama članicama u kojima informacije o dugoročnim populacijskim trendovima nisu dostupne za neke vrste upotrebljavaju se informacije o statusu na razini Europe.</w:t>
      </w:r>
    </w:p>
    <w:p w:rsidR="008D1BE3" w:rsidRPr="00661250" w:rsidRDefault="008D1BE3" w:rsidP="008D1BE3">
      <w:pPr>
        <w:widowControl/>
        <w:suppressAutoHyphens/>
        <w:spacing w:before="120" w:after="120"/>
        <w:rPr>
          <w:rFonts w:eastAsia="Calibri"/>
          <w:noProof/>
          <w:szCs w:val="22"/>
        </w:rPr>
      </w:pPr>
      <w:r w:rsidRPr="00661250">
        <w:t xml:space="preserve">Te su države članice: </w:t>
      </w:r>
    </w:p>
    <w:p w:rsidR="008D1BE3" w:rsidRPr="00661250" w:rsidRDefault="008D1BE3" w:rsidP="008D1BE3">
      <w:pPr>
        <w:widowControl/>
        <w:suppressAutoHyphens/>
        <w:spacing w:before="120" w:after="120"/>
        <w:rPr>
          <w:rFonts w:eastAsia="Calibri"/>
          <w:noProof/>
          <w:szCs w:val="22"/>
        </w:rPr>
      </w:pPr>
      <w:r w:rsidRPr="00661250">
        <w:t>Češka</w:t>
      </w:r>
    </w:p>
    <w:p w:rsidR="008D1BE3" w:rsidRPr="00661250" w:rsidRDefault="008D1BE3" w:rsidP="008D1BE3">
      <w:pPr>
        <w:widowControl/>
        <w:suppressAutoHyphens/>
        <w:spacing w:before="120" w:after="120"/>
        <w:rPr>
          <w:rFonts w:eastAsia="Calibri"/>
          <w:noProof/>
          <w:szCs w:val="22"/>
        </w:rPr>
      </w:pPr>
      <w:r w:rsidRPr="00661250">
        <w:t>Danska</w:t>
      </w:r>
    </w:p>
    <w:p w:rsidR="008D1BE3" w:rsidRPr="00661250" w:rsidRDefault="008D1BE3" w:rsidP="008D1BE3">
      <w:pPr>
        <w:widowControl/>
        <w:suppressAutoHyphens/>
        <w:spacing w:before="120" w:after="120"/>
        <w:rPr>
          <w:rFonts w:eastAsia="Calibri"/>
          <w:noProof/>
          <w:szCs w:val="22"/>
        </w:rPr>
      </w:pPr>
      <w:r w:rsidRPr="00661250">
        <w:t>Estonija</w:t>
      </w:r>
    </w:p>
    <w:p w:rsidR="008D1BE3" w:rsidRPr="00661250" w:rsidRDefault="008D1BE3" w:rsidP="008D1BE3">
      <w:pPr>
        <w:widowControl/>
        <w:suppressAutoHyphens/>
        <w:spacing w:before="120" w:after="120"/>
        <w:rPr>
          <w:rFonts w:eastAsia="Calibri"/>
          <w:noProof/>
          <w:szCs w:val="22"/>
        </w:rPr>
      </w:pPr>
      <w:r w:rsidRPr="00661250">
        <w:t>Finska</w:t>
      </w:r>
    </w:p>
    <w:p w:rsidR="008D1BE3" w:rsidRPr="00661250" w:rsidRDefault="008D1BE3" w:rsidP="008D1BE3">
      <w:pPr>
        <w:widowControl/>
        <w:suppressAutoHyphens/>
        <w:spacing w:before="120" w:after="120"/>
        <w:rPr>
          <w:rFonts w:eastAsia="Calibri"/>
          <w:noProof/>
          <w:szCs w:val="22"/>
        </w:rPr>
      </w:pPr>
      <w:r w:rsidRPr="00661250">
        <w:t>Francuska</w:t>
      </w:r>
    </w:p>
    <w:p w:rsidR="008D1BE3" w:rsidRPr="00661250" w:rsidRDefault="008D1BE3" w:rsidP="008D1BE3">
      <w:pPr>
        <w:widowControl/>
        <w:suppressAutoHyphens/>
        <w:spacing w:before="120" w:after="120"/>
        <w:rPr>
          <w:rFonts w:eastAsia="Calibri"/>
          <w:noProof/>
          <w:szCs w:val="22"/>
        </w:rPr>
      </w:pPr>
      <w:r w:rsidRPr="00661250">
        <w:t>Njemačka</w:t>
      </w:r>
    </w:p>
    <w:p w:rsidR="008D1BE3" w:rsidRPr="00661250" w:rsidRDefault="008D1BE3" w:rsidP="008D1BE3">
      <w:pPr>
        <w:widowControl/>
        <w:suppressAutoHyphens/>
        <w:spacing w:before="120" w:after="120"/>
        <w:rPr>
          <w:rFonts w:eastAsia="Calibri"/>
          <w:noProof/>
          <w:szCs w:val="22"/>
        </w:rPr>
      </w:pPr>
      <w:r w:rsidRPr="00661250">
        <w:t>Mađarska</w:t>
      </w:r>
    </w:p>
    <w:p w:rsidR="008D1BE3" w:rsidRPr="00661250" w:rsidRDefault="008D1BE3" w:rsidP="008D1BE3">
      <w:pPr>
        <w:widowControl/>
        <w:suppressAutoHyphens/>
        <w:spacing w:before="120" w:after="120"/>
        <w:rPr>
          <w:rFonts w:eastAsia="Calibri"/>
          <w:noProof/>
          <w:szCs w:val="22"/>
        </w:rPr>
      </w:pPr>
      <w:r w:rsidRPr="00661250">
        <w:t>Italija</w:t>
      </w:r>
    </w:p>
    <w:p w:rsidR="008D1BE3" w:rsidRPr="00661250" w:rsidRDefault="008D1BE3" w:rsidP="008D1BE3">
      <w:pPr>
        <w:widowControl/>
        <w:suppressAutoHyphens/>
        <w:spacing w:before="120" w:after="120"/>
        <w:rPr>
          <w:rFonts w:eastAsia="Calibri"/>
          <w:noProof/>
          <w:szCs w:val="22"/>
        </w:rPr>
      </w:pPr>
      <w:r w:rsidRPr="00661250">
        <w:t>Luksemburg</w:t>
      </w:r>
    </w:p>
    <w:p w:rsidR="008D1BE3" w:rsidRPr="00661250" w:rsidRDefault="008D1BE3" w:rsidP="008D1BE3">
      <w:pPr>
        <w:widowControl/>
        <w:suppressAutoHyphens/>
        <w:spacing w:before="120" w:after="120"/>
        <w:rPr>
          <w:rFonts w:eastAsia="Calibri"/>
          <w:noProof/>
          <w:szCs w:val="22"/>
        </w:rPr>
      </w:pPr>
      <w:r w:rsidRPr="00661250">
        <w:lastRenderedPageBreak/>
        <w:t>Nizozemska</w:t>
      </w:r>
    </w:p>
    <w:p w:rsidR="008D1BE3" w:rsidRPr="00661250" w:rsidRDefault="008D1BE3" w:rsidP="008D1BE3">
      <w:pPr>
        <w:widowControl/>
        <w:suppressAutoHyphens/>
        <w:spacing w:before="120" w:after="120"/>
        <w:rPr>
          <w:rFonts w:eastAsia="Calibri"/>
          <w:noProof/>
          <w:szCs w:val="22"/>
        </w:rPr>
      </w:pPr>
      <w:r w:rsidRPr="00661250">
        <w:t>Španjolska.</w:t>
      </w:r>
    </w:p>
    <w:p w:rsidR="008D1BE3" w:rsidRPr="00661250" w:rsidRDefault="008D1BE3" w:rsidP="008D1BE3">
      <w:pPr>
        <w:widowControl/>
        <w:suppressAutoHyphens/>
        <w:spacing w:before="120" w:after="120" w:line="360" w:lineRule="auto"/>
        <w:rPr>
          <w:rFonts w:eastAsia="Calibri"/>
          <w:noProof/>
          <w:szCs w:val="22"/>
        </w:rPr>
      </w:pPr>
      <w:r w:rsidRPr="00661250">
        <w:t>„Države članice s povijesno manje iscrpljenim populacijama ptica poljoprivrednih staništa” znači države članice u kojima manje od polovine vrsta uključenih u nacionalni indeks čestih vrsta ptica poljoprivrednih staništa ima negativan dugoročni populacijski trend.</w:t>
      </w:r>
      <w:r w:rsidRPr="00661250">
        <w:rPr>
          <w:b/>
        </w:rPr>
        <w:t xml:space="preserve"> </w:t>
      </w:r>
      <w:r w:rsidRPr="00661250">
        <w:t xml:space="preserve">U državama članicama u kojima informacije o dugoročnim populacijskim trendovima nisu dostupne za neke vrste upotrebljavaju se informacije o statusu na razini Europe. </w:t>
      </w:r>
    </w:p>
    <w:p w:rsidR="008D1BE3" w:rsidRPr="00661250" w:rsidRDefault="008D1BE3" w:rsidP="008D1BE3">
      <w:pPr>
        <w:widowControl/>
        <w:suppressAutoHyphens/>
        <w:spacing w:before="120" w:after="120"/>
        <w:rPr>
          <w:rFonts w:eastAsia="Calibri"/>
          <w:noProof/>
          <w:szCs w:val="22"/>
        </w:rPr>
      </w:pPr>
      <w:r w:rsidRPr="00661250">
        <w:t>Te su države članice:</w:t>
      </w:r>
    </w:p>
    <w:p w:rsidR="008D1BE3" w:rsidRPr="00661250" w:rsidRDefault="008D1BE3" w:rsidP="008D1BE3">
      <w:pPr>
        <w:widowControl/>
        <w:suppressAutoHyphens/>
        <w:spacing w:before="120" w:after="120"/>
        <w:rPr>
          <w:rFonts w:eastAsia="Calibri"/>
          <w:noProof/>
          <w:szCs w:val="22"/>
        </w:rPr>
      </w:pPr>
      <w:r w:rsidRPr="00661250">
        <w:t>Austrija</w:t>
      </w:r>
    </w:p>
    <w:p w:rsidR="008D1BE3" w:rsidRPr="00661250" w:rsidRDefault="008D1BE3" w:rsidP="008D1BE3">
      <w:pPr>
        <w:widowControl/>
        <w:suppressAutoHyphens/>
        <w:spacing w:before="120" w:after="120"/>
        <w:rPr>
          <w:rFonts w:eastAsia="Calibri"/>
          <w:noProof/>
          <w:szCs w:val="22"/>
        </w:rPr>
      </w:pPr>
      <w:r w:rsidRPr="00661250">
        <w:t>Belgija</w:t>
      </w:r>
    </w:p>
    <w:p w:rsidR="008D1BE3" w:rsidRPr="00661250" w:rsidRDefault="008D1BE3" w:rsidP="008D1BE3">
      <w:pPr>
        <w:widowControl/>
        <w:suppressAutoHyphens/>
        <w:spacing w:before="120" w:after="120"/>
        <w:rPr>
          <w:rFonts w:eastAsia="Calibri"/>
          <w:noProof/>
          <w:szCs w:val="22"/>
        </w:rPr>
      </w:pPr>
      <w:r w:rsidRPr="00661250">
        <w:t>Bugarska</w:t>
      </w:r>
    </w:p>
    <w:p w:rsidR="008D1BE3" w:rsidRPr="00661250" w:rsidRDefault="008D1BE3" w:rsidP="008D1BE3">
      <w:pPr>
        <w:widowControl/>
        <w:suppressAutoHyphens/>
        <w:spacing w:before="120" w:after="120"/>
        <w:rPr>
          <w:rFonts w:eastAsia="Calibri"/>
          <w:noProof/>
          <w:szCs w:val="22"/>
        </w:rPr>
      </w:pPr>
      <w:r w:rsidRPr="00661250">
        <w:t>Hrvatska</w:t>
      </w:r>
    </w:p>
    <w:p w:rsidR="008D1BE3" w:rsidRPr="00661250" w:rsidRDefault="008D1BE3" w:rsidP="008D1BE3">
      <w:pPr>
        <w:widowControl/>
        <w:suppressAutoHyphens/>
        <w:spacing w:before="120" w:after="120"/>
        <w:rPr>
          <w:rFonts w:eastAsia="Calibri"/>
          <w:noProof/>
          <w:szCs w:val="22"/>
        </w:rPr>
      </w:pPr>
      <w:r w:rsidRPr="00661250">
        <w:t>Cipar</w:t>
      </w:r>
    </w:p>
    <w:p w:rsidR="008D1BE3" w:rsidRPr="00661250" w:rsidRDefault="008D1BE3" w:rsidP="008D1BE3">
      <w:pPr>
        <w:widowControl/>
        <w:suppressAutoHyphens/>
        <w:spacing w:before="120" w:after="120"/>
        <w:rPr>
          <w:rFonts w:eastAsia="Calibri"/>
          <w:noProof/>
          <w:szCs w:val="22"/>
        </w:rPr>
      </w:pPr>
      <w:r w:rsidRPr="00661250">
        <w:t>Grčka</w:t>
      </w:r>
    </w:p>
    <w:p w:rsidR="008D1BE3" w:rsidRPr="00661250" w:rsidRDefault="008D1BE3" w:rsidP="008D1BE3">
      <w:pPr>
        <w:widowControl/>
        <w:suppressAutoHyphens/>
        <w:spacing w:before="120" w:after="120"/>
        <w:rPr>
          <w:rFonts w:eastAsia="Calibri"/>
          <w:noProof/>
          <w:szCs w:val="22"/>
        </w:rPr>
      </w:pPr>
      <w:r w:rsidRPr="00661250">
        <w:t>Irska</w:t>
      </w:r>
    </w:p>
    <w:p w:rsidR="008D1BE3" w:rsidRPr="00661250" w:rsidRDefault="008D1BE3" w:rsidP="008D1BE3">
      <w:pPr>
        <w:widowControl/>
        <w:suppressAutoHyphens/>
        <w:spacing w:before="120" w:after="120"/>
        <w:rPr>
          <w:rFonts w:eastAsia="Calibri"/>
          <w:noProof/>
          <w:szCs w:val="22"/>
        </w:rPr>
      </w:pPr>
      <w:r w:rsidRPr="00661250">
        <w:t>Latvija</w:t>
      </w:r>
    </w:p>
    <w:p w:rsidR="008D1BE3" w:rsidRPr="00661250" w:rsidRDefault="008D1BE3" w:rsidP="008D1BE3">
      <w:pPr>
        <w:widowControl/>
        <w:suppressAutoHyphens/>
        <w:spacing w:before="120" w:after="120"/>
        <w:rPr>
          <w:rFonts w:eastAsia="Calibri"/>
          <w:noProof/>
          <w:szCs w:val="22"/>
        </w:rPr>
      </w:pPr>
      <w:r w:rsidRPr="00661250">
        <w:t>Litva</w:t>
      </w:r>
    </w:p>
    <w:p w:rsidR="008D1BE3" w:rsidRPr="00661250" w:rsidRDefault="008D1BE3" w:rsidP="008D1BE3">
      <w:pPr>
        <w:widowControl/>
        <w:suppressAutoHyphens/>
        <w:spacing w:before="120" w:after="120"/>
        <w:rPr>
          <w:rFonts w:eastAsia="Calibri"/>
          <w:noProof/>
          <w:szCs w:val="22"/>
        </w:rPr>
      </w:pPr>
      <w:r w:rsidRPr="00661250">
        <w:t>Malta</w:t>
      </w:r>
    </w:p>
    <w:p w:rsidR="008D1BE3" w:rsidRPr="00661250" w:rsidRDefault="008D1BE3" w:rsidP="008D1BE3">
      <w:pPr>
        <w:widowControl/>
        <w:suppressAutoHyphens/>
        <w:spacing w:before="120" w:after="120"/>
        <w:rPr>
          <w:rFonts w:eastAsia="Calibri"/>
          <w:noProof/>
          <w:szCs w:val="22"/>
        </w:rPr>
      </w:pPr>
      <w:r w:rsidRPr="00661250">
        <w:t>Poljska</w:t>
      </w:r>
    </w:p>
    <w:p w:rsidR="008D1BE3" w:rsidRPr="00661250" w:rsidRDefault="008D1BE3" w:rsidP="008D1BE3">
      <w:pPr>
        <w:widowControl/>
        <w:suppressAutoHyphens/>
        <w:spacing w:before="120" w:after="120"/>
        <w:rPr>
          <w:rFonts w:eastAsia="Calibri"/>
          <w:noProof/>
          <w:szCs w:val="22"/>
        </w:rPr>
      </w:pPr>
      <w:r w:rsidRPr="00661250">
        <w:t>Portugal</w:t>
      </w:r>
    </w:p>
    <w:p w:rsidR="008D1BE3" w:rsidRPr="00661250" w:rsidRDefault="008D1BE3" w:rsidP="008D1BE3">
      <w:pPr>
        <w:widowControl/>
        <w:suppressAutoHyphens/>
        <w:spacing w:before="120" w:after="120"/>
        <w:rPr>
          <w:rFonts w:eastAsia="Calibri"/>
          <w:noProof/>
          <w:szCs w:val="22"/>
        </w:rPr>
      </w:pPr>
      <w:r w:rsidRPr="00661250">
        <w:t>Rumunjska</w:t>
      </w:r>
    </w:p>
    <w:p w:rsidR="008D1BE3" w:rsidRPr="00661250" w:rsidRDefault="008D1BE3" w:rsidP="008D1BE3">
      <w:pPr>
        <w:widowControl/>
        <w:suppressAutoHyphens/>
        <w:spacing w:before="120" w:after="120"/>
        <w:rPr>
          <w:rFonts w:eastAsia="Calibri"/>
          <w:noProof/>
          <w:szCs w:val="22"/>
        </w:rPr>
      </w:pPr>
      <w:r w:rsidRPr="00661250">
        <w:t>Slovačka</w:t>
      </w:r>
    </w:p>
    <w:p w:rsidR="008D1BE3" w:rsidRPr="00661250" w:rsidRDefault="008D1BE3" w:rsidP="008D1BE3">
      <w:pPr>
        <w:widowControl/>
        <w:suppressAutoHyphens/>
        <w:spacing w:before="120" w:after="120"/>
        <w:rPr>
          <w:rFonts w:eastAsia="Calibri"/>
          <w:noProof/>
          <w:szCs w:val="22"/>
        </w:rPr>
      </w:pPr>
      <w:r w:rsidRPr="00661250">
        <w:t>Slovenija</w:t>
      </w:r>
    </w:p>
    <w:p w:rsidR="008D1BE3" w:rsidRPr="00661250" w:rsidRDefault="008D1BE3" w:rsidP="008D1BE3">
      <w:pPr>
        <w:widowControl/>
        <w:suppressAutoHyphens/>
        <w:spacing w:before="120" w:after="120"/>
        <w:rPr>
          <w:rFonts w:eastAsia="Calibri"/>
          <w:noProof/>
          <w:szCs w:val="22"/>
        </w:rPr>
      </w:pPr>
      <w:r w:rsidRPr="00661250">
        <w:t>Švedska.</w:t>
      </w:r>
    </w:p>
    <w:p w:rsidR="008D1BE3" w:rsidRPr="00661250" w:rsidRDefault="008D1BE3" w:rsidP="008D1BE3">
      <w:pPr>
        <w:widowControl/>
        <w:suppressAutoHyphens/>
        <w:spacing w:before="120" w:after="120"/>
        <w:rPr>
          <w:rFonts w:eastAsia="Calibri"/>
          <w:noProof/>
          <w:szCs w:val="22"/>
          <w:lang w:eastAsia="en-US"/>
        </w:rPr>
      </w:pPr>
    </w:p>
    <w:p w:rsidR="008D1BE3" w:rsidRPr="00661250" w:rsidRDefault="008D1BE3" w:rsidP="008D1BE3">
      <w:pPr>
        <w:widowControl/>
        <w:suppressAutoHyphens/>
        <w:spacing w:before="120" w:after="120"/>
        <w:ind w:right="-5811"/>
        <w:rPr>
          <w:rFonts w:eastAsia="Calibri"/>
          <w:b/>
          <w:bCs/>
          <w:noProof/>
          <w:color w:val="000000"/>
          <w:szCs w:val="22"/>
        </w:rPr>
      </w:pPr>
      <w:r w:rsidRPr="00661250">
        <w:rPr>
          <w:b/>
          <w:color w:val="000000"/>
        </w:rPr>
        <w:br w:type="page"/>
      </w:r>
      <w:r w:rsidRPr="00661250">
        <w:rPr>
          <w:b/>
          <w:color w:val="000000"/>
        </w:rPr>
        <w:lastRenderedPageBreak/>
        <w:t>Popis vrsta koje se upotrebljavaju u okviru indeksa čestih vrsta ptica poljoprivrednih staništa u</w:t>
      </w:r>
      <w:r w:rsidRPr="00661250">
        <w:rPr>
          <w:b/>
          <w:color w:val="000000"/>
        </w:rPr>
        <w:br/>
        <w:t>državama članicama</w:t>
      </w:r>
    </w:p>
    <w:p w:rsidR="008D1BE3" w:rsidRPr="00661250" w:rsidRDefault="008D1BE3" w:rsidP="008D1BE3">
      <w:pPr>
        <w:widowControl/>
        <w:suppressAutoHyphens/>
        <w:spacing w:before="120" w:after="120"/>
        <w:rPr>
          <w:rFonts w:eastAsia="Calibri"/>
          <w:noProof/>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Austrija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Acrocephalus palustris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spinoletta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trivialis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Jynx torquilla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Lullula arborea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Oenanthe oenanthe</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Serinus citrinella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Serinus serinus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Turdus pilaris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rFonts w:eastAsia="Calibri"/>
          <w:noProof/>
          <w:sz w:val="22"/>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lastRenderedPageBreak/>
              <w:t>Belgija – Flandrija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color w:val="000000"/>
                <w:sz w:val="22"/>
              </w:rPr>
            </w:pPr>
            <w:r w:rsidRPr="00661250">
              <w:rPr>
                <w:b/>
                <w:color w:val="000000"/>
                <w:sz w:val="22"/>
              </w:rPr>
              <w:t>Belgija – Valonija</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Hippolais icterina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alba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Phoenicurus ochruros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r w:rsidR="008D1BE3" w:rsidRPr="00661250" w:rsidTr="00F53FDE">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c>
          <w:tcPr>
            <w:tcW w:w="2977"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lang w:eastAsia="en-IE"/>
              </w:rPr>
            </w:pPr>
          </w:p>
        </w:tc>
      </w:tr>
    </w:tbl>
    <w:p w:rsidR="008D1BE3" w:rsidRPr="00661250" w:rsidRDefault="008D1BE3" w:rsidP="008D1BE3">
      <w:pPr>
        <w:widowControl/>
        <w:suppressAutoHyphens/>
        <w:spacing w:before="120" w:after="120"/>
        <w:rPr>
          <w:rFonts w:eastAsia="Calibri"/>
          <w:noProof/>
          <w:sz w:val="22"/>
          <w:lang w:eastAsia="en-US"/>
        </w:rPr>
      </w:pPr>
    </w:p>
    <w:tbl>
      <w:tblPr>
        <w:tblW w:w="3573" w:type="dxa"/>
        <w:tblInd w:w="-5" w:type="dxa"/>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Bugarska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Carduelis carduelis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Carduelis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Coturnix coturnix</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Corvus frugilegus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hortulana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melanocephala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lastRenderedPageBreak/>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Galerida cristata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Lanius collurio</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Miliaria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 xml:space="preserve">Motacilla flava </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Perdix perdix</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Passer montanus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Sylvia communis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Streptopelia turtur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Sturnus vulgaris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Upupa epops</w:t>
            </w:r>
          </w:p>
        </w:tc>
      </w:tr>
    </w:tbl>
    <w:p w:rsidR="008D1BE3" w:rsidRPr="00661250" w:rsidRDefault="008D1BE3" w:rsidP="008D1BE3">
      <w:pPr>
        <w:widowControl/>
        <w:suppressAutoHyphens/>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Hrvatska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Anthus campestris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Anthus trivialis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Emberiza cirlus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Emberiza melanocephala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Jynx torquilla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Lanius senator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lastRenderedPageBreak/>
              <w:t>Lullula arborea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Luscinia megarhynchos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Oenanthe hispanica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Oriolus oriolus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Pica pica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Upupa epops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Cipar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Alectoris chukar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Athene noctua </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Cisticola juncidis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Clamator glandarius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Columba palumbus             </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Coracias garrulus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corone cornix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calandra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melanocephala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Francolinus francolinus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Chloris chloris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Iduna pallida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Linaria cannabina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Oenanthe cypriaca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Parus major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hispaniolensis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Pica pica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conspicillata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Sylvia melanocephala </w:t>
            </w:r>
          </w:p>
        </w:tc>
      </w:tr>
    </w:tbl>
    <w:p w:rsidR="008D1BE3" w:rsidRPr="00661250" w:rsidRDefault="008D1BE3" w:rsidP="008D1BE3">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Češka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Ciconia ciconia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Saxicola rubetra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Serinus serinus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Danska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Corvus corone</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Gallinago gallinago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alba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Oenanthe oenanthe</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uppressAutoHyphens/>
              <w:spacing w:before="120" w:after="120"/>
              <w:rPr>
                <w:i/>
                <w:noProof/>
                <w:sz w:val="22"/>
              </w:rPr>
            </w:pPr>
            <w:r w:rsidRPr="00661250">
              <w:rPr>
                <w:i/>
                <w:sz w:val="22"/>
              </w:rPr>
              <w:lastRenderedPageBreak/>
              <w:t>Sylvia curruca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Turdus pilaris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rPr>
      </w:pPr>
      <w:r w:rsidRPr="00661250">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lastRenderedPageBreak/>
              <w:t>Estonija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Linaria cannabina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lastRenderedPageBreak/>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rFonts w:ascii="Arial" w:hAnsi="Arial"/>
                <w:snapToGrid w:val="0"/>
              </w:rPr>
              <w:t>▌</w:t>
            </w:r>
          </w:p>
        </w:tc>
      </w:tr>
    </w:tbl>
    <w:p w:rsidR="008D1BE3" w:rsidRPr="00661250" w:rsidRDefault="008D1BE3" w:rsidP="008D1BE3">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Finska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monedula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Crex crex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Delichon urbica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hortulana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Numenius arquata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rubertra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Turdus pilaris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Francuska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Alectoris rufa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campestris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Buteo buteo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cirlus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hortulana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Lullula arborea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Melanocorypha calandra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Oenanthe oenanthe</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Upupa epops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Njemačka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Athene noctua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Limosa limosa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Lullula arborea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Milvus milvus</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Grčka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Apus apus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Athene noctua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Calandrella brachydactyla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Carduelis chloris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Ciconia ciconia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corone</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Corvus monedula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Delichon urbicum</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Emberiza cirlus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Emberiza hortulana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melanocephala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naumanni</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Hirundo daurica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minor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senator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Lullula arborea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Luscinia megarhynchos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Melanocorypha calandra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Oenanthe hispanica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Oenanthe oenanthe</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Passer domesticus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hispaniolensis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Pica pica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Streptopelia decaocto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Sylvia melanocephala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Upupa epops</w:t>
            </w:r>
          </w:p>
        </w:tc>
      </w:tr>
    </w:tbl>
    <w:p w:rsidR="008D1BE3" w:rsidRPr="00661250" w:rsidRDefault="008D1BE3" w:rsidP="008D1BE3">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Mađarska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Anthus campestris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Emberiza calandra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Lanius minor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Locustella naevia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Merops apiaster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nisoria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Irska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Columba oenas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Columba palumbus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cornix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Corvus monedula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Fringilla coelebs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Chloris chloris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alba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Passer domesticus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Phasianus colchicus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Pica pica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Italija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campestris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Calandrella brachydactyla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chloris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cornix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calandra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hortulana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Jynx torquilla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Luscinia megarhynchos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Melanocorypha calandra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alba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Oriolus oriolus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domesticus italiae</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hispaniolensis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Pica pica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Saxicola torquatus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Serinus serinus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unicolor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Upupa epops</w:t>
            </w:r>
          </w:p>
        </w:tc>
      </w:tr>
    </w:tbl>
    <w:p w:rsidR="008D1BE3" w:rsidRPr="00661250" w:rsidRDefault="008D1BE3" w:rsidP="008D1BE3">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Latvija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Acrocephalus palustris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Carpodacus erythrinus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Ciconia ciconia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Crex crex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 xml:space="preserve">Emberiza citrinella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Locustella naevia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Litva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Carduelis carduelis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Ciconia ciconia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Crex crex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 xml:space="preserve">Emberiza citrinella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 xml:space="preserve">Luksemburg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Alauda arvensis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Carduelis cannabina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 xml:space="preserve">Emberiza citrinella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Lanius collurio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Passer montanus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Sylvia communis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b/>
                <w:sz w:val="22"/>
              </w:rPr>
              <w:t>Malta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Calandrella brachydactyla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Linaria cannabina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Cettia cetti</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Cisticola juncidis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Emberiza calandra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lastRenderedPageBreak/>
              <w:t>Lanius senator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Monticola solitarius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Passer hispaniolensis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Serinus serinus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Streptopelia decaocto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Sylvia conspicillata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tcPr>
          <w:p w:rsidR="008D1BE3" w:rsidRPr="00661250" w:rsidRDefault="008D1BE3" w:rsidP="00F53FDE">
            <w:pPr>
              <w:widowControl/>
              <w:suppressAutoHyphens/>
              <w:spacing w:before="120" w:after="120"/>
              <w:rPr>
                <w:i/>
                <w:noProof/>
                <w:sz w:val="22"/>
              </w:rPr>
            </w:pPr>
            <w:r w:rsidRPr="00661250">
              <w:rPr>
                <w:i/>
                <w:sz w:val="22"/>
              </w:rPr>
              <w:t>Sylvia melanocephala</w:t>
            </w:r>
          </w:p>
        </w:tc>
      </w:tr>
    </w:tbl>
    <w:p w:rsidR="008D1BE3" w:rsidRPr="00661250" w:rsidRDefault="008D1BE3" w:rsidP="008D1BE3">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Nizozemska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Athene noctua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Calidris pugnax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 xml:space="preserve">Emberiza citrinella </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Gallinago gallinago</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Haematopus ostralegus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Hippolais icterina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Limosa limosa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 ava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Numenius arquata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Perdix perdix</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Spatula clypeata</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Tringa totanus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Turdus viscivorus</w:t>
            </w:r>
          </w:p>
        </w:tc>
      </w:tr>
      <w:tr w:rsidR="008D1BE3" w:rsidRPr="00661250" w:rsidTr="00F53FD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Poljska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Ciconia ciconia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hortulana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Limosa limosa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Saxicola rubetra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Serinus serinus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Upupa epops</w:t>
            </w:r>
          </w:p>
        </w:tc>
      </w:tr>
      <w:tr w:rsidR="008D1BE3" w:rsidRPr="00661250" w:rsidTr="00F53FDE">
        <w:trPr>
          <w:trHeight w:val="70"/>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Portugal</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Athene noctua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Bubulcus ibis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Chloris chloris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Ciconia ciconia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Cisticola juncidis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Delichon urbicum</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cirlus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meridionalis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Linaria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Merops apiaster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Miliaria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Milvus migrans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domesticus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Pica pica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lastRenderedPageBreak/>
              <w:t>Saxicola torquatus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Serinus serinus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unicolor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Upupa epops</w:t>
            </w:r>
          </w:p>
        </w:tc>
      </w:tr>
    </w:tbl>
    <w:p w:rsidR="008D1BE3" w:rsidRPr="00661250" w:rsidRDefault="008D1BE3" w:rsidP="008D1BE3">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Rumunjska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Anthus campestris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Calandrella brachydactyla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Ciconia ciconia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Corvus frugilegus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citrinella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hortulana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melanocephala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Galerida cristata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Lanius collurio</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Lanius minor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Linaria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Melanocorypha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Motacilla flava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Passer montanus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Perdix perdix</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Saxicola rubetra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Saxicola torquatus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Streptopelia turtur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lastRenderedPageBreak/>
              <w:t>Sturnus vulgaris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Sylvia communis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Upupa epops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Vanellus vanellus</w:t>
            </w:r>
          </w:p>
        </w:tc>
      </w:tr>
    </w:tbl>
    <w:p w:rsidR="008D1BE3" w:rsidRPr="00661250" w:rsidRDefault="008D1BE3" w:rsidP="008D1BE3">
      <w:pPr>
        <w:widowControl/>
        <w:suppressAutoHyphens/>
        <w:spacing w:before="120" w:after="120"/>
        <w:rPr>
          <w:rFonts w:eastAsia="Calibri"/>
          <w:noProof/>
          <w:sz w:val="22"/>
          <w:lang w:eastAsia="en-US"/>
        </w:rPr>
      </w:pPr>
    </w:p>
    <w:p w:rsidR="008D1BE3" w:rsidRPr="00661250" w:rsidRDefault="008D1BE3" w:rsidP="008D1BE3">
      <w:pPr>
        <w:widowControl/>
        <w:spacing w:before="120" w:after="120" w:line="360" w:lineRule="auto"/>
        <w:rPr>
          <w:rFonts w:eastAsia="Calibri"/>
          <w:szCs w:val="22"/>
        </w:rPr>
      </w:pPr>
      <w:r w:rsidRPr="00661250">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lastRenderedPageBreak/>
              <w:t>Slovačka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citrinella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Chloris chloris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Locustella naevia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flava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Passer montanus </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torquatus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Serinus serinus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nisoria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uppressAutoHyphens/>
        <w:spacing w:before="120" w:after="120"/>
        <w:rPr>
          <w:rFonts w:eastAsia="Calibri"/>
          <w:noProof/>
          <w:sz w:val="22"/>
          <w:lang w:eastAsia="en-US"/>
        </w:rPr>
      </w:pPr>
    </w:p>
    <w:p w:rsidR="008D1BE3" w:rsidRPr="00661250" w:rsidRDefault="008D1BE3" w:rsidP="008D1BE3">
      <w:pPr>
        <w:widowControl/>
        <w:spacing w:before="120" w:after="120" w:line="360" w:lineRule="auto"/>
        <w:rPr>
          <w:rFonts w:eastAsia="Calibri"/>
          <w:szCs w:val="22"/>
        </w:rPr>
      </w:pPr>
      <w:r w:rsidRPr="00661250">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lastRenderedPageBreak/>
              <w:t>Slovenija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Acrocephalus palustris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Anthus trivialis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Carduelis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Carduelis carduelis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Columba oenas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Columba palumbus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cirlus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Emberiza citrinella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Jynx torquilla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Lanius collurio</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Lullula arborea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Luscinia megarhynchos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Motacilla flava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Passer montanus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Phoenicurus phoenicurus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Picus viridis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Saxicola rubetra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Saxicola torquatus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Serinus serinus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Streptopelia turtur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Sturnus vulgaris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Sylvia communis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lastRenderedPageBreak/>
              <w:t>Upupa epops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color w:val="000000"/>
                <w:sz w:val="22"/>
              </w:rPr>
            </w:pPr>
            <w:r w:rsidRPr="00661250">
              <w:rPr>
                <w:i/>
                <w:color w:val="000000"/>
                <w:sz w:val="22"/>
              </w:rPr>
              <w:t>Vanellus vanellus</w:t>
            </w:r>
          </w:p>
        </w:tc>
      </w:tr>
    </w:tbl>
    <w:p w:rsidR="008D1BE3" w:rsidRPr="00661250" w:rsidRDefault="008D1BE3" w:rsidP="008D1BE3">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t>Španjolska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Alectoris rufa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Athene noctua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Calandrella brachydactyla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Carduelis carduelis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Cisticola juncidis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monedula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Coturnix coturnix</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Galerida cristata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Linaria cannabina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Melanocorypha calandra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Merops apiaster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Oenanthe hispanica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domesticus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Pica pica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Pterocles orientalis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Streptopelia turtur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unicolor</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Tetrax tetrax</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Upupa epops</w:t>
            </w:r>
          </w:p>
        </w:tc>
      </w:tr>
    </w:tbl>
    <w:p w:rsidR="008D1BE3" w:rsidRPr="00661250" w:rsidRDefault="008D1BE3" w:rsidP="008D1BE3">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b/>
                <w:bCs/>
                <w:noProof/>
                <w:sz w:val="22"/>
              </w:rPr>
            </w:pPr>
            <w:r w:rsidRPr="00661250">
              <w:rPr>
                <w:b/>
                <w:sz w:val="22"/>
              </w:rPr>
              <w:lastRenderedPageBreak/>
              <w:t>Švedska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Alauda arvensis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Anthus pratensis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 xml:space="preserve">Carduelis cannabina </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Corvus frugilegus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 xml:space="preserve">Emberiza citrinella </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Emberiza hortulana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Falco tinnunculus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Hirundo rustica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Lanius collurio</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Motacilla fl ava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Passer montanus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Saxicola rubetra</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Sturnus vulgaris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D1BE3" w:rsidRPr="00661250" w:rsidRDefault="008D1BE3" w:rsidP="00F53FDE">
            <w:pPr>
              <w:widowControl/>
              <w:suppressAutoHyphens/>
              <w:spacing w:before="120" w:after="120"/>
              <w:rPr>
                <w:i/>
                <w:noProof/>
                <w:sz w:val="22"/>
              </w:rPr>
            </w:pPr>
            <w:r w:rsidRPr="00661250">
              <w:rPr>
                <w:i/>
                <w:sz w:val="22"/>
              </w:rPr>
              <w:t>Sylvia communis</w:t>
            </w:r>
          </w:p>
        </w:tc>
      </w:tr>
      <w:tr w:rsidR="008D1BE3" w:rsidRPr="00661250" w:rsidTr="00F53FD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D1BE3" w:rsidRPr="00661250" w:rsidRDefault="008D1BE3" w:rsidP="00F53FDE">
            <w:pPr>
              <w:widowControl/>
              <w:suppressAutoHyphens/>
              <w:spacing w:before="120" w:after="120"/>
              <w:rPr>
                <w:i/>
                <w:noProof/>
                <w:sz w:val="22"/>
              </w:rPr>
            </w:pPr>
            <w:r w:rsidRPr="00661250">
              <w:rPr>
                <w:i/>
                <w:sz w:val="22"/>
              </w:rPr>
              <w:t>Vanellus vanellus</w:t>
            </w:r>
          </w:p>
        </w:tc>
      </w:tr>
    </w:tbl>
    <w:p w:rsidR="008D1BE3" w:rsidRPr="00661250" w:rsidRDefault="008D1BE3" w:rsidP="008D1BE3">
      <w:pPr>
        <w:widowControl/>
        <w:spacing w:before="120" w:after="120" w:line="360" w:lineRule="auto"/>
        <w:rPr>
          <w:rFonts w:eastAsia="Calibri"/>
          <w:szCs w:val="22"/>
          <w:lang w:eastAsia="en-US"/>
        </w:rPr>
        <w:sectPr w:rsidR="008D1BE3" w:rsidRPr="00661250" w:rsidSect="00F53FDE">
          <w:headerReference w:type="default" r:id="rId21"/>
          <w:footerReference w:type="default" r:id="rId22"/>
          <w:footnotePr>
            <w:numRestart w:val="eachSect"/>
          </w:footnotePr>
          <w:pgSz w:w="11907" w:h="16839"/>
          <w:pgMar w:top="1134" w:right="1134" w:bottom="1134" w:left="1134" w:header="567" w:footer="567" w:gutter="0"/>
          <w:cols w:space="720"/>
          <w:docGrid w:linePitch="360"/>
        </w:sectPr>
      </w:pPr>
    </w:p>
    <w:p w:rsidR="008D1BE3" w:rsidRPr="00661250" w:rsidRDefault="008D1BE3" w:rsidP="008D1BE3">
      <w:pPr>
        <w:widowControl/>
        <w:suppressAutoHyphens/>
        <w:spacing w:before="120" w:after="120"/>
        <w:jc w:val="center"/>
        <w:rPr>
          <w:rFonts w:eastAsia="Calibri"/>
          <w:b/>
          <w:noProof/>
          <w:szCs w:val="22"/>
          <w:u w:val="single"/>
        </w:rPr>
      </w:pPr>
      <w:r w:rsidRPr="00661250">
        <w:rPr>
          <w:b/>
          <w:u w:val="single"/>
        </w:rPr>
        <w:lastRenderedPageBreak/>
        <w:t>PRILOG VI.</w:t>
      </w:r>
      <w:r w:rsidRPr="00661250">
        <w:rPr>
          <w:b/>
        </w:rPr>
        <w:br/>
      </w:r>
      <w:r w:rsidRPr="00661250">
        <w:rPr>
          <w:b/>
        </w:rPr>
        <w:br/>
      </w:r>
      <w:r w:rsidRPr="00661250">
        <w:rPr>
          <w:b/>
          <w:u w:val="single"/>
        </w:rPr>
        <w:t>POPIS POKAZATELJA BIORAZNOLIKOSTI ZA ŠUMSKE EKOSUSTAVE IZ ČLANKA 10. STAVAKA 2. I 2.A</w:t>
      </w:r>
      <w:r w:rsidRPr="00661250">
        <w:rPr>
          <w:b/>
          <w:u w:val="double"/>
        </w:rPr>
        <w:t xml:space="preserve"> </w:t>
      </w:r>
    </w:p>
    <w:p w:rsidR="008D1BE3" w:rsidRPr="00661250" w:rsidRDefault="008D1BE3" w:rsidP="008D1BE3">
      <w:pPr>
        <w:widowControl/>
        <w:suppressAutoHyphens/>
        <w:spacing w:before="120" w:after="120"/>
        <w:jc w:val="center"/>
        <w:rPr>
          <w:rFonts w:eastAsia="Calibri"/>
          <w:b/>
          <w:noProof/>
          <w:szCs w:val="22"/>
          <w:lang w:eastAsia="en-US"/>
        </w:rPr>
      </w:pPr>
    </w:p>
    <w:tbl>
      <w:tblPr>
        <w:tblStyle w:val="TableGrid"/>
        <w:tblW w:w="14567" w:type="dxa"/>
        <w:tblLayout w:type="fixed"/>
        <w:tblLook w:val="04A0" w:firstRow="1" w:lastRow="0" w:firstColumn="1" w:lastColumn="0" w:noHBand="0" w:noVBand="1"/>
      </w:tblPr>
      <w:tblGrid>
        <w:gridCol w:w="2830"/>
        <w:gridCol w:w="11737"/>
      </w:tblGrid>
      <w:tr w:rsidR="008D1BE3" w:rsidRPr="00661250" w:rsidTr="00F53FDE">
        <w:tc>
          <w:tcPr>
            <w:tcW w:w="2830"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jc w:val="center"/>
              <w:rPr>
                <w:b/>
                <w:noProof/>
                <w:szCs w:val="24"/>
              </w:rPr>
            </w:pPr>
            <w:r w:rsidRPr="00661250">
              <w:rPr>
                <w:b/>
              </w:rPr>
              <w:t>Pokazatelj</w:t>
            </w:r>
          </w:p>
        </w:tc>
        <w:tc>
          <w:tcPr>
            <w:tcW w:w="11737" w:type="dxa"/>
            <w:tcBorders>
              <w:top w:val="single" w:sz="4" w:space="0" w:color="auto"/>
              <w:left w:val="single" w:sz="4" w:space="0" w:color="auto"/>
              <w:bottom w:val="single" w:sz="4" w:space="0" w:color="auto"/>
              <w:right w:val="single" w:sz="4" w:space="0" w:color="auto"/>
            </w:tcBorders>
            <w:vAlign w:val="center"/>
            <w:hideMark/>
          </w:tcPr>
          <w:p w:rsidR="008D1BE3" w:rsidRPr="00661250" w:rsidRDefault="008D1BE3" w:rsidP="00F53FDE">
            <w:pPr>
              <w:widowControl/>
              <w:spacing w:before="120" w:after="120"/>
              <w:jc w:val="center"/>
              <w:rPr>
                <w:b/>
                <w:noProof/>
                <w:szCs w:val="24"/>
              </w:rPr>
            </w:pPr>
            <w:r w:rsidRPr="00661250">
              <w:rPr>
                <w:b/>
              </w:rPr>
              <w:t>Opis, jedinice i metodologija za određivanje i praćenje pokazatelja</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t xml:space="preserve">Stojeće mrtvo drvo </w:t>
            </w: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rPr>
                <w:b/>
                <w:bCs/>
              </w:rPr>
              <w:t>Opis</w:t>
            </w:r>
            <w:r w:rsidRPr="00661250">
              <w:t>:</w:t>
            </w:r>
            <w:r w:rsidRPr="00661250">
              <w:rPr>
                <w:color w:val="000000"/>
              </w:rPr>
              <w:t xml:space="preserve"> </w:t>
            </w:r>
            <w:r w:rsidRPr="00661250">
              <w:t xml:space="preserve">pokazatelj se odnosi na količinu nežive stojeće drvne biomase u šumama i na drugoj šumovitoj zemlji.  </w:t>
            </w:r>
          </w:p>
          <w:p w:rsidR="008D1BE3" w:rsidRPr="00661250" w:rsidRDefault="008D1BE3" w:rsidP="00F53FDE">
            <w:pPr>
              <w:widowControl/>
              <w:spacing w:before="120" w:after="120"/>
              <w:rPr>
                <w:noProof/>
                <w:szCs w:val="24"/>
              </w:rPr>
            </w:pPr>
            <w:r w:rsidRPr="00661250">
              <w:rPr>
                <w:b/>
                <w:bCs/>
              </w:rPr>
              <w:t>Jedinica</w:t>
            </w:r>
            <w:r w:rsidRPr="00661250">
              <w:t>: m</w:t>
            </w:r>
            <w:r w:rsidRPr="00661250">
              <w:rPr>
                <w:vertAlign w:val="superscript"/>
              </w:rPr>
              <w:t>3</w:t>
            </w:r>
            <w:r w:rsidRPr="00661250">
              <w:t xml:space="preserve">/ha. </w:t>
            </w:r>
          </w:p>
          <w:p w:rsidR="008D1BE3" w:rsidRPr="00661250" w:rsidRDefault="008D1BE3" w:rsidP="00F53FDE">
            <w:pPr>
              <w:widowControl/>
              <w:spacing w:before="120" w:after="120"/>
              <w:rPr>
                <w:noProof/>
                <w:szCs w:val="24"/>
              </w:rPr>
            </w:pPr>
            <w:r w:rsidRPr="00661250">
              <w:rPr>
                <w:b/>
              </w:rPr>
              <w:t xml:space="preserve">Metodologija: </w:t>
            </w:r>
            <w:r w:rsidRPr="00661250">
              <w:t xml:space="preserve">kako ju je izradila i upotrebljava je konferencija FOREST EUROPE, </w:t>
            </w:r>
            <w:r w:rsidRPr="00661250">
              <w:rPr>
                <w:i/>
                <w:iCs/>
              </w:rPr>
              <w:t>State of Europe’s Forests 2020</w:t>
            </w:r>
            <w:r w:rsidRPr="00661250">
              <w:t xml:space="preserve"> (Stanje europskih šuma 2020.), FOREST EUROPE 2020, te kako se primjenjuje u opisu nacionalnih inventara šuma u Tomppo E. i sur., </w:t>
            </w:r>
            <w:r w:rsidRPr="00661250">
              <w:rPr>
                <w:i/>
                <w:iCs/>
              </w:rPr>
              <w:t>National Forest Inventories, Pathways for Common Reporting</w:t>
            </w:r>
            <w:r w:rsidRPr="00661250">
              <w:t xml:space="preserve"> (Nacionalni inventari šuma, metode za zajedničko izvješćivanje), Springer, 2010., uzimajući u obzir metodologiju utvrđenu u Prilogu V. Uredbi 2018/1999 u skladu sa smjernicama IPCC-a iz 2006. za nacionalne inventare stakleničkih plinova.</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t>Ležeće mrtvo drvo</w:t>
            </w:r>
          </w:p>
          <w:p w:rsidR="008D1BE3" w:rsidRPr="00661250" w:rsidRDefault="008D1BE3" w:rsidP="00F53FDE">
            <w:pPr>
              <w:widowControl/>
              <w:spacing w:before="120" w:after="120" w:line="360" w:lineRule="auto"/>
              <w:rPr>
                <w:szCs w:val="24"/>
              </w:rPr>
            </w:pPr>
          </w:p>
          <w:p w:rsidR="008D1BE3" w:rsidRPr="00661250" w:rsidRDefault="008D1BE3" w:rsidP="00F53FDE">
            <w:pPr>
              <w:widowControl/>
              <w:spacing w:before="120" w:after="120" w:line="360" w:lineRule="auto"/>
              <w:rPr>
                <w:szCs w:val="24"/>
              </w:rPr>
            </w:pPr>
          </w:p>
          <w:p w:rsidR="008D1BE3" w:rsidRPr="00661250" w:rsidRDefault="008D1BE3" w:rsidP="00F53FDE">
            <w:pPr>
              <w:widowControl/>
              <w:spacing w:before="120" w:after="120" w:line="360" w:lineRule="auto"/>
              <w:rPr>
                <w:szCs w:val="24"/>
              </w:rPr>
            </w:pPr>
          </w:p>
          <w:p w:rsidR="008D1BE3" w:rsidRPr="00661250" w:rsidRDefault="008D1BE3" w:rsidP="00F53FDE">
            <w:pPr>
              <w:widowControl/>
              <w:spacing w:before="120" w:after="120" w:line="360" w:lineRule="auto"/>
              <w:rPr>
                <w:szCs w:val="24"/>
              </w:rPr>
            </w:pPr>
          </w:p>
          <w:p w:rsidR="008D1BE3" w:rsidRPr="00661250" w:rsidRDefault="008D1BE3" w:rsidP="00F53FDE">
            <w:pPr>
              <w:widowControl/>
              <w:spacing w:before="120" w:after="120" w:line="360" w:lineRule="auto"/>
              <w:rPr>
                <w:szCs w:val="24"/>
              </w:rPr>
            </w:pPr>
          </w:p>
          <w:p w:rsidR="008D1BE3" w:rsidRPr="00661250" w:rsidRDefault="008D1BE3" w:rsidP="00F53FDE">
            <w:pPr>
              <w:widowControl/>
              <w:spacing w:before="120" w:after="120" w:line="360" w:lineRule="auto"/>
              <w:ind w:firstLine="567"/>
              <w:rPr>
                <w:szCs w:val="24"/>
              </w:rPr>
            </w:pP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rPr>
                <w:b/>
                <w:bCs/>
              </w:rPr>
              <w:t>Opis</w:t>
            </w:r>
            <w:r w:rsidRPr="00661250">
              <w:t>:</w:t>
            </w:r>
            <w:r w:rsidRPr="00661250">
              <w:rPr>
                <w:color w:val="000000"/>
              </w:rPr>
              <w:t xml:space="preserve"> </w:t>
            </w:r>
            <w:r w:rsidRPr="00661250">
              <w:t xml:space="preserve">pokazatelj se odnosi na količinu nežive drvne biomase koja leži na tlu u šumama i na drugoj šumovitoj zemlji.  </w:t>
            </w:r>
          </w:p>
          <w:p w:rsidR="008D1BE3" w:rsidRPr="00661250" w:rsidRDefault="008D1BE3" w:rsidP="00F53FDE">
            <w:pPr>
              <w:widowControl/>
              <w:spacing w:before="120" w:after="120"/>
              <w:rPr>
                <w:noProof/>
                <w:szCs w:val="24"/>
              </w:rPr>
            </w:pPr>
            <w:r w:rsidRPr="00661250">
              <w:rPr>
                <w:b/>
                <w:bCs/>
              </w:rPr>
              <w:t>Jedinica</w:t>
            </w:r>
            <w:r w:rsidRPr="00661250">
              <w:t>: m</w:t>
            </w:r>
            <w:r w:rsidRPr="00661250">
              <w:rPr>
                <w:vertAlign w:val="superscript"/>
              </w:rPr>
              <w:t>3</w:t>
            </w:r>
            <w:r w:rsidRPr="00661250">
              <w:t xml:space="preserve">/ha. </w:t>
            </w:r>
          </w:p>
          <w:p w:rsidR="008D1BE3" w:rsidRPr="00661250" w:rsidRDefault="008D1BE3" w:rsidP="00F53FDE">
            <w:pPr>
              <w:widowControl/>
              <w:spacing w:before="120" w:after="120"/>
              <w:rPr>
                <w:b/>
                <w:noProof/>
                <w:szCs w:val="24"/>
              </w:rPr>
            </w:pPr>
            <w:r w:rsidRPr="00661250">
              <w:rPr>
                <w:b/>
              </w:rPr>
              <w:t xml:space="preserve">Metodologija: </w:t>
            </w:r>
            <w:r w:rsidRPr="00661250">
              <w:t xml:space="preserve">kako ju je izradila i upotrebljava je konferencija FOREST EUROPE, </w:t>
            </w:r>
            <w:r w:rsidRPr="00661250">
              <w:rPr>
                <w:i/>
                <w:iCs/>
              </w:rPr>
              <w:t>State of Europe’s Forests 2020</w:t>
            </w:r>
            <w:r w:rsidRPr="00661250">
              <w:t xml:space="preserve"> (Stanje europskih šuma 2020.), FOREST EUROPE 2020, te kako se primjenjuje u opisu nacionalnih inventara šuma u Tomppo E. i sur., </w:t>
            </w:r>
            <w:r w:rsidRPr="00661250">
              <w:rPr>
                <w:i/>
                <w:iCs/>
              </w:rPr>
              <w:t>National Forest Inventories, Pathways for Common Reporting</w:t>
            </w:r>
            <w:r w:rsidRPr="00661250">
              <w:t xml:space="preserve"> (Nacionalni inventari šuma, metode za zajedničko izvješćivanje), Springer, 2010., uzimajući u obzir metodologiju utvrđenu u Prilogu V. Uredbi 2018/1999 u skladu sa smjernicama IPCC-a iz 2006. za nacionalne inventare stakleničkih plinova.</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pageBreakBefore/>
              <w:widowControl/>
              <w:spacing w:before="120" w:after="120"/>
              <w:rPr>
                <w:b/>
                <w:noProof/>
                <w:szCs w:val="24"/>
              </w:rPr>
            </w:pPr>
            <w:r w:rsidRPr="00661250">
              <w:lastRenderedPageBreak/>
              <w:t>Udio šuma raznodobne strukture</w:t>
            </w: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rPr>
                <w:b/>
              </w:rPr>
              <w:t xml:space="preserve">Opis: </w:t>
            </w:r>
            <w:r w:rsidRPr="00661250">
              <w:t xml:space="preserve">pokazatelj se odnosi na udio šuma dostupnih za opskrbu drvom raznodobne strukture u odnosu na šume jednodobne strukture. </w:t>
            </w:r>
          </w:p>
          <w:p w:rsidR="008D1BE3" w:rsidRPr="00661250" w:rsidRDefault="008D1BE3" w:rsidP="00F53FDE">
            <w:pPr>
              <w:widowControl/>
              <w:spacing w:before="120" w:after="120"/>
              <w:rPr>
                <w:noProof/>
                <w:szCs w:val="24"/>
              </w:rPr>
            </w:pPr>
            <w:r w:rsidRPr="00661250">
              <w:rPr>
                <w:b/>
                <w:bCs/>
              </w:rPr>
              <w:t>Jedinica</w:t>
            </w:r>
            <w:r w:rsidRPr="00661250">
              <w:rPr>
                <w:b/>
              </w:rPr>
              <w:t xml:space="preserve">: </w:t>
            </w:r>
            <w:r w:rsidRPr="00661250">
              <w:t>postotak šuma dostupnih za opskrbu drvom raznodobne strukture.</w:t>
            </w:r>
          </w:p>
          <w:p w:rsidR="008D1BE3" w:rsidRPr="00661250" w:rsidRDefault="008D1BE3" w:rsidP="00F53FDE">
            <w:pPr>
              <w:widowControl/>
              <w:spacing w:before="120" w:after="120"/>
              <w:rPr>
                <w:noProof/>
                <w:szCs w:val="24"/>
              </w:rPr>
            </w:pPr>
            <w:r w:rsidRPr="00661250">
              <w:rPr>
                <w:b/>
              </w:rPr>
              <w:t xml:space="preserve">Metodologija: </w:t>
            </w:r>
            <w:r w:rsidRPr="00661250">
              <w:t xml:space="preserve">kako ju je razvila i upotrebljava je konferencija FOREST EUROPE, </w:t>
            </w:r>
            <w:r w:rsidRPr="00661250">
              <w:rPr>
                <w:i/>
                <w:iCs/>
              </w:rPr>
              <w:t>State of Europe’s Forests 2020</w:t>
            </w:r>
            <w:r w:rsidRPr="00661250">
              <w:t xml:space="preserve"> (Stanje europskih šuma 2020.), FOREST EUROPE 2020, te kako se primjenjuje u opisu nacionalnih inventara šuma u Tomppo E. i sur., </w:t>
            </w:r>
            <w:r w:rsidRPr="00661250">
              <w:rPr>
                <w:i/>
                <w:iCs/>
              </w:rPr>
              <w:t>National Forest Inventories, Pathways for Common Reporting</w:t>
            </w:r>
            <w:r w:rsidRPr="00661250">
              <w:t xml:space="preserve"> (Nacionalni inventari šuma, metode za zajedničko izvješćivanje), Springer, 2010.</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t>Povezanost šuma</w:t>
            </w: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rPr>
                <w:b/>
              </w:rPr>
              <w:t>Opis:</w:t>
            </w:r>
            <w:r w:rsidRPr="00661250">
              <w:t xml:space="preserve"> povezanost šuma znači stupanj kompaktnosti površina pokrivenih šumom. Određuje se u rasponu od 0 do 100.</w:t>
            </w:r>
          </w:p>
          <w:p w:rsidR="008D1BE3" w:rsidRPr="00661250" w:rsidRDefault="008D1BE3" w:rsidP="00F53FDE">
            <w:pPr>
              <w:widowControl/>
              <w:spacing w:before="120" w:after="120"/>
              <w:rPr>
                <w:noProof/>
                <w:szCs w:val="24"/>
              </w:rPr>
            </w:pPr>
            <w:r w:rsidRPr="00661250">
              <w:rPr>
                <w:b/>
                <w:bCs/>
              </w:rPr>
              <w:t>Jedinica</w:t>
            </w:r>
            <w:r w:rsidRPr="00661250">
              <w:rPr>
                <w:b/>
              </w:rPr>
              <w:t xml:space="preserve">: </w:t>
            </w:r>
            <w:r w:rsidRPr="00661250">
              <w:t xml:space="preserve">indeks. </w:t>
            </w:r>
          </w:p>
          <w:p w:rsidR="008D1BE3" w:rsidRPr="00661250" w:rsidRDefault="008D1BE3" w:rsidP="00F53FDE">
            <w:pPr>
              <w:widowControl/>
              <w:spacing w:before="120" w:after="120"/>
              <w:rPr>
                <w:noProof/>
                <w:szCs w:val="24"/>
              </w:rPr>
            </w:pPr>
            <w:r w:rsidRPr="00661250">
              <w:rPr>
                <w:b/>
              </w:rPr>
              <w:t>Metodologija:</w:t>
            </w:r>
            <w:r w:rsidRPr="00661250">
              <w:t xml:space="preserve"> kako ju je izradio FAO, Vogt P. i sur., </w:t>
            </w:r>
            <w:r w:rsidRPr="00661250">
              <w:rPr>
                <w:i/>
                <w:iCs/>
              </w:rPr>
              <w:t>FAO – State of the World’s Forests:</w:t>
            </w:r>
            <w:r w:rsidRPr="00661250">
              <w:rPr>
                <w:i/>
              </w:rPr>
              <w:t xml:space="preserve"> </w:t>
            </w:r>
            <w:r w:rsidRPr="00661250">
              <w:rPr>
                <w:i/>
                <w:iCs/>
              </w:rPr>
              <w:t>Forest Fragmentation</w:t>
            </w:r>
            <w:r w:rsidRPr="00661250">
              <w:t xml:space="preserve"> (FAO – Stanje svjetskih šuma: fragmentacija šuma), tehničko izvješće JRC-a, Ured za publikacije Europske unije, Luksemburg, 2019.</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t xml:space="preserve">Indeks čestih vrsta ptica šumskih staništa </w:t>
            </w: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rPr>
                <w:b/>
              </w:rPr>
              <w:t xml:space="preserve">Opis: </w:t>
            </w:r>
            <w:r w:rsidRPr="00661250">
              <w:t>pokazateljem za ptice šumskih staništa opisuju se kretanja brojnosti čestih vrsta ptica šumskih staništa s obzirom na njihovu raširenost u Europi tijekom vremena. To je skupni indeks nastao na temelju podataka dobivenih promatranjem vrsta ptica karakterističnih za šumska staništa u Europi. Indeks se temelji na određenom popisu vrsta u svakoj državi članici.</w:t>
            </w:r>
          </w:p>
          <w:p w:rsidR="008D1BE3" w:rsidRPr="00661250" w:rsidRDefault="008D1BE3" w:rsidP="00F53FDE">
            <w:pPr>
              <w:widowControl/>
              <w:spacing w:before="120" w:after="120"/>
              <w:rPr>
                <w:noProof/>
                <w:szCs w:val="24"/>
              </w:rPr>
            </w:pPr>
            <w:r w:rsidRPr="00661250">
              <w:rPr>
                <w:b/>
                <w:bCs/>
              </w:rPr>
              <w:t>Jedinica</w:t>
            </w:r>
            <w:r w:rsidRPr="00661250">
              <w:rPr>
                <w:b/>
              </w:rPr>
              <w:t xml:space="preserve">: </w:t>
            </w:r>
            <w:r w:rsidRPr="00661250">
              <w:t>indeks.</w:t>
            </w:r>
          </w:p>
          <w:p w:rsidR="008D1BE3" w:rsidRPr="00661250" w:rsidRDefault="008D1BE3" w:rsidP="00F53FDE">
            <w:pPr>
              <w:widowControl/>
              <w:spacing w:before="120" w:after="120"/>
              <w:rPr>
                <w:b/>
                <w:noProof/>
                <w:szCs w:val="24"/>
              </w:rPr>
            </w:pPr>
            <w:r w:rsidRPr="00661250">
              <w:rPr>
                <w:b/>
              </w:rPr>
              <w:t xml:space="preserve">Metodologija: </w:t>
            </w:r>
            <w:r w:rsidRPr="00661250">
              <w:t>Brlík i sur.,Long-term and large-scale multispecies dataset tracking population changes of common European breeding birds (Dugoročni i opsežni skup podataka za više vrsta kojim se prate promjene u populaciji čestih europskih ptica gnjezdarica), Sci Data 8, 21. 2021.</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pageBreakBefore/>
              <w:widowControl/>
              <w:spacing w:before="120" w:after="120"/>
              <w:rPr>
                <w:noProof/>
                <w:szCs w:val="24"/>
              </w:rPr>
            </w:pPr>
            <w:r w:rsidRPr="00661250">
              <w:lastRenderedPageBreak/>
              <w:t xml:space="preserve">Zalihe organskog ugljika  </w:t>
            </w: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noProof/>
                <w:szCs w:val="24"/>
              </w:rPr>
            </w:pPr>
            <w:r w:rsidRPr="00661250">
              <w:rPr>
                <w:b/>
                <w:bCs/>
              </w:rPr>
              <w:t>Opis</w:t>
            </w:r>
            <w:r w:rsidRPr="00661250">
              <w:t>: pokazateljem se opisuju zalihe organskog ugljika u listincu i mineralnom tlu na dubini od 0 do 30 cm u šumskim ekosustavima.</w:t>
            </w:r>
          </w:p>
          <w:p w:rsidR="008D1BE3" w:rsidRPr="00661250" w:rsidRDefault="008D1BE3" w:rsidP="00F53FDE">
            <w:pPr>
              <w:widowControl/>
              <w:spacing w:before="120" w:after="120"/>
              <w:rPr>
                <w:noProof/>
                <w:szCs w:val="24"/>
              </w:rPr>
            </w:pPr>
            <w:r w:rsidRPr="00661250">
              <w:rPr>
                <w:b/>
                <w:bCs/>
              </w:rPr>
              <w:t>Jedinica</w:t>
            </w:r>
            <w:r w:rsidRPr="00661250">
              <w:t>: tone organskog ugljika po hektaru.</w:t>
            </w:r>
          </w:p>
          <w:p w:rsidR="008D1BE3" w:rsidRPr="00661250" w:rsidRDefault="008D1BE3" w:rsidP="00F53FDE">
            <w:pPr>
              <w:widowControl/>
              <w:spacing w:before="120" w:after="120"/>
              <w:rPr>
                <w:b/>
                <w:bCs/>
                <w:noProof/>
                <w:szCs w:val="24"/>
              </w:rPr>
            </w:pPr>
            <w:r w:rsidRPr="00661250">
              <w:rPr>
                <w:b/>
              </w:rPr>
              <w:t>Metodologija:</w:t>
            </w:r>
            <w:r w:rsidRPr="00661250">
              <w:t xml:space="preserve"> kako je utvrđena u Prilogu V. Uredbi 2018/1999 u skladu sa smjernicama IPCC-a iz 2006. za nacionalne inventare stakleničkih plinova te potkrijepljena istraživanjem LUCAS (</w:t>
            </w:r>
            <w:r w:rsidRPr="00661250">
              <w:rPr>
                <w:i/>
                <w:iCs/>
              </w:rPr>
              <w:t>Land Use/Cover Area frame Survey</w:t>
            </w:r>
            <w:r w:rsidRPr="00661250">
              <w:t xml:space="preserve">, Okvirno istraživanje o uporabi i pokrovu zemljišta) u pogledu tla za 2022., Jones A. i sur., </w:t>
            </w:r>
            <w:r w:rsidRPr="00661250">
              <w:rPr>
                <w:i/>
                <w:iCs/>
              </w:rPr>
              <w:t>LUCAS Soil 2022</w:t>
            </w:r>
            <w:r w:rsidRPr="00661250">
              <w:t>, tehničko izvješće Zajedničkog istraživačkog centra (JRC), Ured za publikacije Europske unije, 2021.</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i/>
                <w:szCs w:val="24"/>
              </w:rPr>
            </w:pPr>
            <w:r w:rsidRPr="00661250">
              <w:rPr>
                <w:b/>
                <w:i/>
              </w:rPr>
              <w:t>Udio šuma u kojima prevladavaju zavičajne vrste drveća</w:t>
            </w: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i/>
                <w:szCs w:val="24"/>
              </w:rPr>
            </w:pPr>
            <w:r w:rsidRPr="00661250">
              <w:rPr>
                <w:b/>
                <w:i/>
              </w:rPr>
              <w:t xml:space="preserve">Opis: udio šuma i druge šumovite zemlje u kojima prevladavaju (&gt; 50 % pokrivenosti) zavičajne vrste drveća. </w:t>
            </w:r>
          </w:p>
          <w:p w:rsidR="008D1BE3" w:rsidRPr="00661250" w:rsidRDefault="008D1BE3" w:rsidP="00F53FDE">
            <w:pPr>
              <w:widowControl/>
              <w:spacing w:before="120" w:after="120"/>
              <w:rPr>
                <w:b/>
                <w:i/>
                <w:szCs w:val="24"/>
              </w:rPr>
            </w:pPr>
            <w:r w:rsidRPr="00661250">
              <w:rPr>
                <w:b/>
                <w:bCs/>
                <w:i/>
              </w:rPr>
              <w:t>Jedinica</w:t>
            </w:r>
            <w:r w:rsidRPr="00661250">
              <w:rPr>
                <w:b/>
                <w:i/>
              </w:rPr>
              <w:t>: %</w:t>
            </w:r>
          </w:p>
          <w:p w:rsidR="008D1BE3" w:rsidRPr="00661250" w:rsidRDefault="008D1BE3" w:rsidP="00F53FDE">
            <w:pPr>
              <w:widowControl/>
              <w:spacing w:before="120" w:after="120"/>
              <w:rPr>
                <w:b/>
                <w:i/>
                <w:szCs w:val="24"/>
              </w:rPr>
            </w:pPr>
            <w:r w:rsidRPr="00661250">
              <w:rPr>
                <w:b/>
                <w:i/>
              </w:rPr>
              <w:t>Metodologija: kako ju je razvila i upotrebljava je konferencija FOREST EUROPE, State of Europe’s Forests 2020 (Stanje europskih šuma 2020.), FOREST EUROPE 2020, te kako se primjenjuje u opisu nacionalnih inventara šuma u Tomppo E. i sur., National Forest Inventories, Pathways for Common Reporting (Nacionalni inventari šuma, metode za zajedničko izvješćivanje), Springer, 2010.</w:t>
            </w:r>
          </w:p>
        </w:tc>
      </w:tr>
      <w:tr w:rsidR="008D1BE3" w:rsidRPr="00661250" w:rsidTr="00F53FDE">
        <w:tc>
          <w:tcPr>
            <w:tcW w:w="2830"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i/>
                <w:szCs w:val="24"/>
              </w:rPr>
            </w:pPr>
            <w:r w:rsidRPr="00661250">
              <w:rPr>
                <w:b/>
                <w:i/>
              </w:rPr>
              <w:t>Raznolikost vrsta drveća</w:t>
            </w:r>
          </w:p>
        </w:tc>
        <w:tc>
          <w:tcPr>
            <w:tcW w:w="11737" w:type="dxa"/>
            <w:tcBorders>
              <w:top w:val="single" w:sz="4" w:space="0" w:color="auto"/>
              <w:left w:val="single" w:sz="4" w:space="0" w:color="auto"/>
              <w:bottom w:val="single" w:sz="4" w:space="0" w:color="auto"/>
              <w:right w:val="single" w:sz="4" w:space="0" w:color="auto"/>
            </w:tcBorders>
          </w:tcPr>
          <w:p w:rsidR="008D1BE3" w:rsidRPr="00661250" w:rsidRDefault="008D1BE3" w:rsidP="00F53FDE">
            <w:pPr>
              <w:widowControl/>
              <w:spacing w:before="120" w:after="120"/>
              <w:rPr>
                <w:b/>
                <w:i/>
                <w:szCs w:val="24"/>
              </w:rPr>
            </w:pPr>
            <w:r w:rsidRPr="00661250">
              <w:rPr>
                <w:b/>
                <w:i/>
              </w:rPr>
              <w:t>Opis: pokazateljem se opisuje prosječni broj vrsta drveća koje se pojavljuju na šumskim područjima.</w:t>
            </w:r>
          </w:p>
          <w:p w:rsidR="008D1BE3" w:rsidRPr="00661250" w:rsidRDefault="008D1BE3" w:rsidP="00F53FDE">
            <w:pPr>
              <w:widowControl/>
              <w:spacing w:before="120" w:after="120"/>
              <w:rPr>
                <w:b/>
                <w:i/>
                <w:szCs w:val="24"/>
              </w:rPr>
            </w:pPr>
            <w:r w:rsidRPr="00661250">
              <w:rPr>
                <w:b/>
                <w:bCs/>
                <w:i/>
              </w:rPr>
              <w:t>Jedinica</w:t>
            </w:r>
            <w:r w:rsidRPr="00661250">
              <w:rPr>
                <w:b/>
                <w:i/>
              </w:rPr>
              <w:t xml:space="preserve">: indeks. </w:t>
            </w:r>
          </w:p>
          <w:p w:rsidR="008D1BE3" w:rsidRPr="00661250" w:rsidRDefault="008D1BE3" w:rsidP="00F53FDE">
            <w:pPr>
              <w:widowControl/>
              <w:spacing w:before="120" w:after="120"/>
              <w:jc w:val="both"/>
              <w:rPr>
                <w:b/>
                <w:i/>
                <w:szCs w:val="24"/>
              </w:rPr>
            </w:pPr>
            <w:r w:rsidRPr="00661250">
              <w:rPr>
                <w:b/>
                <w:i/>
              </w:rPr>
              <w:t>Metodologija: prema konferenciji FOREST EUROPE, State of Europe’s Forests 2020 (Stanje europskih šuma 2020.), FOREST EUROPE 2020, te kako se primjenjuje u opisu nacionalnih inventara šuma u Tomppo E. i sur., National Forest Inventories, Pathways for Common Reporting (Nacionalni inventari šuma, metode za zajedničko izvješćivanje), Springer, 2010.</w:t>
            </w:r>
          </w:p>
        </w:tc>
      </w:tr>
    </w:tbl>
    <w:p w:rsidR="008D1BE3" w:rsidRPr="00661250" w:rsidRDefault="008D1BE3" w:rsidP="008D1BE3">
      <w:pPr>
        <w:widowControl/>
        <w:suppressAutoHyphens/>
        <w:spacing w:before="120" w:after="120"/>
        <w:rPr>
          <w:rFonts w:eastAsia="Calibri"/>
          <w:noProof/>
          <w:szCs w:val="22"/>
          <w:lang w:eastAsia="en-US"/>
        </w:rPr>
      </w:pPr>
    </w:p>
    <w:p w:rsidR="008D1BE3" w:rsidRPr="00661250" w:rsidRDefault="008D1BE3" w:rsidP="008D1BE3">
      <w:pPr>
        <w:widowControl/>
        <w:spacing w:before="120" w:after="120" w:line="360" w:lineRule="auto"/>
        <w:rPr>
          <w:rFonts w:eastAsia="Calibri"/>
          <w:szCs w:val="22"/>
          <w:lang w:eastAsia="en-US"/>
        </w:rPr>
        <w:sectPr w:rsidR="008D1BE3" w:rsidRPr="00661250" w:rsidSect="00F53FDE">
          <w:headerReference w:type="default" r:id="rId23"/>
          <w:footerReference w:type="default" r:id="rId24"/>
          <w:footnotePr>
            <w:numRestart w:val="eachSect"/>
          </w:footnotePr>
          <w:pgSz w:w="16839" w:h="11907" w:orient="landscape"/>
          <w:pgMar w:top="1134" w:right="1134" w:bottom="1134" w:left="1134" w:header="567" w:footer="567" w:gutter="0"/>
          <w:cols w:space="720"/>
          <w:docGrid w:linePitch="360"/>
        </w:sectPr>
      </w:pPr>
    </w:p>
    <w:p w:rsidR="008D1BE3" w:rsidRPr="00661250" w:rsidRDefault="008D1BE3" w:rsidP="008D1BE3">
      <w:pPr>
        <w:widowControl/>
        <w:suppressAutoHyphens/>
        <w:spacing w:before="120" w:after="120" w:line="360" w:lineRule="auto"/>
        <w:ind w:left="851" w:hanging="851"/>
        <w:jc w:val="center"/>
        <w:rPr>
          <w:rFonts w:eastAsia="Calibri"/>
          <w:b/>
          <w:noProof/>
          <w:szCs w:val="22"/>
          <w:u w:val="single"/>
        </w:rPr>
      </w:pPr>
      <w:r w:rsidRPr="00661250">
        <w:rPr>
          <w:b/>
          <w:u w:val="single"/>
        </w:rPr>
        <w:lastRenderedPageBreak/>
        <w:t>PRILOG VII.</w:t>
      </w:r>
    </w:p>
    <w:p w:rsidR="008D1BE3" w:rsidRPr="00661250" w:rsidRDefault="008D1BE3" w:rsidP="008D1BE3">
      <w:pPr>
        <w:widowControl/>
        <w:suppressAutoHyphens/>
        <w:spacing w:before="120" w:after="120"/>
        <w:jc w:val="center"/>
        <w:rPr>
          <w:rFonts w:eastAsia="Calibri"/>
          <w:b/>
          <w:noProof/>
          <w:szCs w:val="22"/>
          <w:u w:val="single"/>
          <w:shd w:val="clear" w:color="auto" w:fill="FFFFFF"/>
        </w:rPr>
      </w:pPr>
      <w:r w:rsidRPr="00661250">
        <w:rPr>
          <w:b/>
          <w:u w:val="single"/>
          <w:shd w:val="clear" w:color="auto" w:fill="FFFFFF"/>
        </w:rPr>
        <w:t xml:space="preserve">POPIS PRIMJERA MJERA OBNOVE IZ </w:t>
      </w:r>
    </w:p>
    <w:p w:rsidR="008D1BE3" w:rsidRPr="00661250" w:rsidRDefault="008D1BE3" w:rsidP="008D1BE3">
      <w:pPr>
        <w:widowControl/>
        <w:suppressAutoHyphens/>
        <w:spacing w:before="120" w:after="120"/>
        <w:jc w:val="center"/>
        <w:rPr>
          <w:rFonts w:eastAsia="Calibri"/>
          <w:b/>
          <w:noProof/>
          <w:szCs w:val="22"/>
          <w:u w:val="single"/>
        </w:rPr>
      </w:pPr>
      <w:r w:rsidRPr="00661250">
        <w:rPr>
          <w:b/>
          <w:u w:val="single"/>
          <w:shd w:val="clear" w:color="auto" w:fill="FFFFFF"/>
        </w:rPr>
        <w:t>ČLANKA 11. STAVKA 8.</w:t>
      </w:r>
    </w:p>
    <w:p w:rsidR="008D1BE3" w:rsidRPr="00661250" w:rsidRDefault="008D1BE3" w:rsidP="008D1BE3">
      <w:pPr>
        <w:widowControl/>
        <w:spacing w:before="120" w:after="120" w:line="360" w:lineRule="auto"/>
        <w:ind w:left="851" w:hanging="851"/>
        <w:rPr>
          <w:rFonts w:eastAsia="Calibri"/>
          <w:noProof/>
          <w:szCs w:val="22"/>
        </w:rPr>
      </w:pPr>
      <w:r w:rsidRPr="00661250">
        <w:t>(1)</w:t>
      </w:r>
      <w:r w:rsidRPr="00661250">
        <w:tab/>
        <w:t>Obnoviti močvarna područja ponovnim natapanjem isušenih tresetišta, uklanjanjem struktura za isušivanje tresetišta ili uklanjanjem poldera te prestankom vađenja treseta.</w:t>
      </w:r>
    </w:p>
    <w:p w:rsidR="008D1BE3" w:rsidRPr="00661250" w:rsidRDefault="008D1BE3" w:rsidP="008D1BE3">
      <w:pPr>
        <w:widowControl/>
        <w:spacing w:before="120" w:after="120" w:line="360" w:lineRule="auto"/>
        <w:ind w:left="851" w:hanging="851"/>
        <w:rPr>
          <w:rFonts w:eastAsia="Calibri"/>
          <w:noProof/>
          <w:szCs w:val="22"/>
        </w:rPr>
      </w:pPr>
      <w:r w:rsidRPr="00661250">
        <w:t>(2)</w:t>
      </w:r>
      <w:r w:rsidRPr="00661250">
        <w:tab/>
        <w:t xml:space="preserve">Poboljšati hidrološke uvjete povećanjem količine, kvalitete i dinamike površinskih voda i razina podzemnih voda za prirodne i poluprirodne ekosustave. </w:t>
      </w:r>
    </w:p>
    <w:p w:rsidR="008D1BE3" w:rsidRPr="00661250" w:rsidRDefault="008D1BE3" w:rsidP="008D1BE3">
      <w:pPr>
        <w:widowControl/>
        <w:spacing w:before="120" w:after="120" w:line="360" w:lineRule="auto"/>
        <w:ind w:left="851" w:hanging="851"/>
        <w:rPr>
          <w:noProof/>
          <w:szCs w:val="22"/>
        </w:rPr>
      </w:pPr>
      <w:r w:rsidRPr="00661250">
        <w:t>(3)</w:t>
      </w:r>
      <w:r w:rsidRPr="00661250">
        <w:tab/>
        <w:t>Ukloniti neželjene makije ili nezavičajne plantaže na travnjacima, močvarnim područjima, u šumama i na zemljištima koja su slabo obrasla vegetacijom.</w:t>
      </w:r>
    </w:p>
    <w:p w:rsidR="008D1BE3" w:rsidRPr="00661250" w:rsidRDefault="008D1BE3" w:rsidP="008D1BE3">
      <w:pPr>
        <w:widowControl/>
        <w:spacing w:before="120" w:after="120" w:line="360" w:lineRule="auto"/>
        <w:ind w:left="851" w:hanging="851"/>
        <w:rPr>
          <w:rFonts w:eastAsia="Calibri"/>
          <w:noProof/>
          <w:szCs w:val="22"/>
        </w:rPr>
      </w:pPr>
      <w:r w:rsidRPr="00661250">
        <w:t>(4)</w:t>
      </w:r>
      <w:r w:rsidRPr="00661250">
        <w:tab/>
        <w:t xml:space="preserve">Primijeniti paludikulturu. </w:t>
      </w:r>
    </w:p>
    <w:p w:rsidR="008D1BE3" w:rsidRPr="00661250" w:rsidRDefault="008D1BE3" w:rsidP="008D1BE3">
      <w:pPr>
        <w:widowControl/>
        <w:spacing w:before="120" w:after="120" w:line="360" w:lineRule="auto"/>
        <w:ind w:left="851" w:hanging="851"/>
        <w:rPr>
          <w:noProof/>
          <w:szCs w:val="24"/>
        </w:rPr>
      </w:pPr>
      <w:r w:rsidRPr="00661250">
        <w:t>(5)</w:t>
      </w:r>
      <w:r w:rsidRPr="00661250">
        <w:tab/>
        <w:t xml:space="preserve">Vratiti riječne meandre i ponovno povezati umjetno odvojene meandre ili mrtvaje. </w:t>
      </w:r>
    </w:p>
    <w:p w:rsidR="008D1BE3" w:rsidRPr="00661250" w:rsidRDefault="008D1BE3" w:rsidP="008D1BE3">
      <w:pPr>
        <w:widowControl/>
        <w:spacing w:before="120" w:after="120" w:line="360" w:lineRule="auto"/>
        <w:ind w:left="851" w:hanging="851"/>
        <w:rPr>
          <w:rFonts w:eastAsia="Calibri"/>
          <w:noProof/>
          <w:szCs w:val="22"/>
        </w:rPr>
      </w:pPr>
      <w:r w:rsidRPr="00661250">
        <w:t>(6)</w:t>
      </w:r>
      <w:r w:rsidRPr="00661250">
        <w:tab/>
        <w:t>Ukloniti longitudinalne i lateralne prepreke (kao što su nasipi i brane), dati više prostora riječnoj dinamici i ponovno uspostaviti dionice rijeka sa slobodnim tokom.</w:t>
      </w:r>
    </w:p>
    <w:p w:rsidR="008D1BE3" w:rsidRPr="00661250" w:rsidRDefault="008D1BE3" w:rsidP="008D1BE3">
      <w:pPr>
        <w:widowControl/>
        <w:spacing w:before="120" w:after="120" w:line="360" w:lineRule="auto"/>
        <w:ind w:left="851" w:hanging="851"/>
        <w:rPr>
          <w:rFonts w:eastAsia="Calibri"/>
          <w:noProof/>
          <w:szCs w:val="22"/>
        </w:rPr>
      </w:pPr>
      <w:r w:rsidRPr="00661250">
        <w:t>(7)</w:t>
      </w:r>
      <w:r w:rsidRPr="00661250">
        <w:tab/>
        <w:t xml:space="preserve">Ponovno naturalizirati riječna korita i jezera te nizinske vodotoke, npr. uklanjanjem umjetnih metoda za učvršćivanje korita, optimiranjem sastava podloge te poboljšanjem ili razvojem pokrova staništa. </w:t>
      </w:r>
    </w:p>
    <w:p w:rsidR="008D1BE3" w:rsidRPr="00661250" w:rsidRDefault="008D1BE3" w:rsidP="008D1BE3">
      <w:pPr>
        <w:widowControl/>
        <w:spacing w:before="120" w:after="120" w:line="360" w:lineRule="auto"/>
        <w:ind w:left="851" w:hanging="851"/>
        <w:rPr>
          <w:rFonts w:eastAsia="Calibri"/>
          <w:noProof/>
          <w:szCs w:val="22"/>
        </w:rPr>
      </w:pPr>
      <w:r w:rsidRPr="00661250">
        <w:t>(8)</w:t>
      </w:r>
      <w:r w:rsidRPr="00661250">
        <w:tab/>
        <w:t>Ponovno uspostaviti prirodne procese sedimentacije.</w:t>
      </w:r>
    </w:p>
    <w:p w:rsidR="008D1BE3" w:rsidRPr="00661250" w:rsidRDefault="008D1BE3" w:rsidP="008D1BE3">
      <w:pPr>
        <w:widowControl/>
        <w:spacing w:before="120" w:after="120" w:line="360" w:lineRule="auto"/>
        <w:ind w:left="851" w:hanging="851"/>
        <w:rPr>
          <w:rFonts w:eastAsia="Calibri"/>
          <w:noProof/>
          <w:szCs w:val="22"/>
        </w:rPr>
      </w:pPr>
      <w:r w:rsidRPr="00661250">
        <w:t>(9)</w:t>
      </w:r>
      <w:r w:rsidRPr="00661250">
        <w:tab/>
        <w:t xml:space="preserve">Uspostaviti priobalne tampon zone, npr. priobalne šume, granične pojaseve, livade ili pašnjake. </w:t>
      </w:r>
    </w:p>
    <w:p w:rsidR="008D1BE3" w:rsidRPr="00661250" w:rsidRDefault="008D1BE3" w:rsidP="008D1BE3">
      <w:pPr>
        <w:widowControl/>
        <w:spacing w:before="120" w:after="120" w:line="360" w:lineRule="auto"/>
        <w:ind w:left="851" w:hanging="851"/>
        <w:rPr>
          <w:rFonts w:eastAsia="Calibri"/>
          <w:noProof/>
          <w:szCs w:val="22"/>
        </w:rPr>
      </w:pPr>
      <w:r w:rsidRPr="00661250">
        <w:t>(10)</w:t>
      </w:r>
      <w:r w:rsidRPr="00661250">
        <w:tab/>
        <w:t>Povećati broj ekoloških obilježja u šumama, kao što su velika, stara i umiruća stabla (stanišna stabla) i količine ležećeg i stojećeg mrtvog drva.</w:t>
      </w:r>
    </w:p>
    <w:p w:rsidR="008D1BE3" w:rsidRPr="00661250" w:rsidRDefault="008D1BE3" w:rsidP="008D1BE3">
      <w:pPr>
        <w:widowControl/>
        <w:spacing w:before="120" w:after="120" w:line="360" w:lineRule="auto"/>
        <w:ind w:left="851" w:hanging="851"/>
        <w:rPr>
          <w:rFonts w:eastAsia="Calibri"/>
          <w:b/>
          <w:noProof/>
          <w:szCs w:val="22"/>
          <w:u w:val="single"/>
        </w:rPr>
      </w:pPr>
      <w:r w:rsidRPr="00661250">
        <w:t>(11)</w:t>
      </w:r>
      <w:r w:rsidRPr="00661250">
        <w:tab/>
        <w:t xml:space="preserve">Raditi na diversificiranoj strukturi šume s obzirom na, </w:t>
      </w:r>
      <w:r w:rsidRPr="00661250">
        <w:rPr>
          <w:b/>
          <w:bCs/>
          <w:i/>
          <w:iCs/>
        </w:rPr>
        <w:t>primjerice, sastav vrsta</w:t>
      </w:r>
      <w:r w:rsidRPr="00661250">
        <w:t xml:space="preserve"> i starost, omogućiti prirodnu obnovu i nasljeđivanje vrsta drveća.</w:t>
      </w:r>
    </w:p>
    <w:p w:rsidR="008D1BE3" w:rsidRPr="00661250" w:rsidRDefault="008D1BE3" w:rsidP="008D1BE3">
      <w:pPr>
        <w:widowControl/>
        <w:suppressAutoHyphens/>
        <w:spacing w:before="120" w:after="120" w:line="360" w:lineRule="auto"/>
        <w:ind w:left="851" w:hanging="851"/>
        <w:rPr>
          <w:rFonts w:eastAsia="Calibri"/>
          <w:b/>
          <w:i/>
          <w:szCs w:val="22"/>
        </w:rPr>
      </w:pPr>
      <w:r w:rsidRPr="00661250">
        <w:rPr>
          <w:b/>
          <w:i/>
        </w:rPr>
        <w:t>(11.a)</w:t>
      </w:r>
      <w:r w:rsidRPr="00661250">
        <w:rPr>
          <w:b/>
          <w:i/>
        </w:rPr>
        <w:tab/>
        <w:t>Pomoći pri migraciji podrijetla i vrsta tamo gdje bi to moglo biti potrebno uslijed klimatskih promjena.</w:t>
      </w:r>
    </w:p>
    <w:p w:rsidR="008D1BE3" w:rsidRPr="00661250" w:rsidRDefault="008D1BE3" w:rsidP="008D1BE3">
      <w:pPr>
        <w:widowControl/>
        <w:spacing w:before="120" w:after="120" w:line="360" w:lineRule="auto"/>
        <w:ind w:left="851" w:hanging="851"/>
        <w:rPr>
          <w:rFonts w:eastAsia="Calibri"/>
          <w:noProof/>
          <w:szCs w:val="22"/>
        </w:rPr>
      </w:pPr>
      <w:r w:rsidRPr="00661250">
        <w:t>(12)</w:t>
      </w:r>
      <w:r w:rsidRPr="00661250">
        <w:tab/>
        <w:t xml:space="preserve">Povećati raznolikost šume </w:t>
      </w:r>
      <w:r w:rsidRPr="00661250">
        <w:rPr>
          <w:b/>
          <w:bCs/>
          <w:i/>
          <w:iCs/>
        </w:rPr>
        <w:t>obnavljanjem</w:t>
      </w:r>
      <w:r w:rsidRPr="00661250">
        <w:t xml:space="preserve"> mozaika nešumskih staništa kao što su otvorene površine travnjaka ili vrištine, jezerca ili stjenovita područja. </w:t>
      </w:r>
    </w:p>
    <w:p w:rsidR="008D1BE3" w:rsidRPr="00661250" w:rsidRDefault="008D1BE3" w:rsidP="008D1BE3">
      <w:pPr>
        <w:widowControl/>
        <w:spacing w:before="120" w:after="120" w:line="360" w:lineRule="auto"/>
        <w:ind w:left="851" w:hanging="851"/>
        <w:rPr>
          <w:rFonts w:eastAsia="Calibri"/>
          <w:noProof/>
          <w:szCs w:val="22"/>
        </w:rPr>
      </w:pPr>
      <w:r w:rsidRPr="00661250">
        <w:t>(13)</w:t>
      </w:r>
      <w:r w:rsidRPr="00661250">
        <w:tab/>
        <w:t>Primijeniti pristupe šumarstva u skladu s prirodom ili trajnog šumskog pokrova; uvesti zavičajne vrste drveća.</w:t>
      </w:r>
    </w:p>
    <w:p w:rsidR="008D1BE3" w:rsidRPr="00661250" w:rsidRDefault="008D1BE3" w:rsidP="008D1BE3">
      <w:pPr>
        <w:widowControl/>
        <w:spacing w:before="120" w:after="120" w:line="360" w:lineRule="auto"/>
        <w:ind w:left="851" w:hanging="851"/>
        <w:rPr>
          <w:rFonts w:eastAsia="Calibri"/>
          <w:noProof/>
          <w:szCs w:val="22"/>
        </w:rPr>
      </w:pPr>
      <w:r w:rsidRPr="00661250">
        <w:lastRenderedPageBreak/>
        <w:t>(14)</w:t>
      </w:r>
      <w:r w:rsidRPr="00661250">
        <w:tab/>
        <w:t xml:space="preserve">Unaprijediti razvoj zavičajnih starih šuma i zrelih sastojina (npr. odustajanjem od sječe </w:t>
      </w:r>
      <w:r w:rsidRPr="00661250">
        <w:rPr>
          <w:b/>
          <w:bCs/>
          <w:i/>
          <w:iCs/>
        </w:rPr>
        <w:t>ili aktivnim upravljanjem u kojem se prednost daje razvoju samoregulatornih funkcija i odgovarajućoj otpornosti</w:t>
      </w:r>
      <w:r w:rsidRPr="00661250">
        <w:t>).</w:t>
      </w:r>
    </w:p>
    <w:p w:rsidR="008D1BE3" w:rsidRPr="00661250" w:rsidRDefault="008D1BE3" w:rsidP="008D1BE3">
      <w:pPr>
        <w:widowControl/>
        <w:spacing w:before="120" w:after="120" w:line="360" w:lineRule="auto"/>
        <w:ind w:left="851" w:hanging="851"/>
        <w:rPr>
          <w:rFonts w:eastAsia="Calibri"/>
          <w:noProof/>
          <w:szCs w:val="22"/>
        </w:rPr>
      </w:pPr>
      <w:r w:rsidRPr="00661250">
        <w:t>(15)</w:t>
      </w:r>
      <w:r w:rsidRPr="00661250">
        <w:tab/>
        <w:t xml:space="preserve">Uvesti obilježja krajobraza velike raznolikosti na obradivim zemljištima i travnjacima koji se intenzivno upotrebljavaju, kao što su granični pojasevi, granična područja polja sa zavičajnim cvijećem, živice, stabla, šumarci, terasni zidovi, jezerca, stanišni koridori, povezne točke itd. </w:t>
      </w:r>
    </w:p>
    <w:p w:rsidR="008D1BE3" w:rsidRPr="00661250" w:rsidRDefault="008D1BE3" w:rsidP="008D1BE3">
      <w:pPr>
        <w:widowControl/>
        <w:spacing w:before="120" w:after="120" w:line="360" w:lineRule="auto"/>
        <w:ind w:left="851" w:hanging="851"/>
        <w:rPr>
          <w:noProof/>
          <w:szCs w:val="22"/>
        </w:rPr>
      </w:pPr>
      <w:r w:rsidRPr="00661250">
        <w:t>(16)</w:t>
      </w:r>
      <w:r w:rsidRPr="00661250">
        <w:tab/>
        <w:t>Povećati poljoprivrednu površinu na kojoj se primjenjuju agroekološki pristupi upravljanju, kao što su organska poljoprivreda ili agrošumarstvo, sadnja više usjeva i plodored te integrirano upravljanje štetočinama i hranjivim tvarima.</w:t>
      </w:r>
    </w:p>
    <w:p w:rsidR="008D1BE3" w:rsidRPr="00661250" w:rsidRDefault="008D1BE3" w:rsidP="008D1BE3">
      <w:pPr>
        <w:widowControl/>
        <w:spacing w:before="120" w:after="120" w:line="360" w:lineRule="auto"/>
        <w:ind w:left="851" w:hanging="851"/>
        <w:rPr>
          <w:rFonts w:eastAsia="Calibri"/>
          <w:noProof/>
          <w:szCs w:val="22"/>
        </w:rPr>
      </w:pPr>
      <w:r w:rsidRPr="00661250">
        <w:t>(17)</w:t>
      </w:r>
      <w:r w:rsidRPr="00661250">
        <w:tab/>
        <w:t xml:space="preserve">Prema potrebi smanjiti intenzitet ispaše ili režime košnje na travnjacima i ponovno uspostaviti ekstenzivnu ispašu domaće stoke i ekstenzivne režime košnje ako ih se prestalo primjenjivati. </w:t>
      </w:r>
    </w:p>
    <w:p w:rsidR="008D1BE3" w:rsidRPr="00661250" w:rsidRDefault="008D1BE3" w:rsidP="008D1BE3">
      <w:pPr>
        <w:widowControl/>
        <w:spacing w:before="120" w:after="120" w:line="360" w:lineRule="auto"/>
        <w:ind w:left="851" w:hanging="851"/>
        <w:rPr>
          <w:rFonts w:eastAsia="Calibri"/>
          <w:noProof/>
          <w:szCs w:val="22"/>
        </w:rPr>
      </w:pPr>
      <w:bookmarkStart w:id="89" w:name="_Hlk132894426"/>
      <w:r w:rsidRPr="00661250">
        <w:t>(18)</w:t>
      </w:r>
      <w:r w:rsidRPr="00661250">
        <w:tab/>
        <w:t>Zaustaviti ili smanjiti uporabu kemijskih pesticida te kemijskih i stajskih gnojiva.</w:t>
      </w:r>
    </w:p>
    <w:bookmarkEnd w:id="89"/>
    <w:p w:rsidR="008D1BE3" w:rsidRPr="00661250" w:rsidRDefault="008D1BE3" w:rsidP="008D1BE3">
      <w:pPr>
        <w:widowControl/>
        <w:spacing w:before="120" w:after="120" w:line="360" w:lineRule="auto"/>
        <w:ind w:left="851" w:hanging="851"/>
        <w:rPr>
          <w:rFonts w:eastAsia="Calibri"/>
          <w:noProof/>
          <w:szCs w:val="22"/>
        </w:rPr>
      </w:pPr>
      <w:r w:rsidRPr="00661250">
        <w:t>(19)</w:t>
      </w:r>
      <w:r w:rsidRPr="00661250">
        <w:tab/>
        <w:t xml:space="preserve">Prestati s oranjem travnjaka i uvođenjem sjemena produktivnih trava. </w:t>
      </w:r>
    </w:p>
    <w:p w:rsidR="008D1BE3" w:rsidRPr="00661250" w:rsidRDefault="008D1BE3" w:rsidP="008D1BE3">
      <w:pPr>
        <w:widowControl/>
        <w:spacing w:before="120" w:after="120" w:line="360" w:lineRule="auto"/>
        <w:ind w:left="851" w:hanging="851"/>
        <w:rPr>
          <w:rFonts w:eastAsia="Calibri"/>
          <w:noProof/>
          <w:szCs w:val="22"/>
        </w:rPr>
      </w:pPr>
      <w:r w:rsidRPr="00661250">
        <w:t>(20)</w:t>
      </w:r>
      <w:r w:rsidRPr="00661250">
        <w:tab/>
        <w:t>Ukloniti plantaže na bivšim dinamičnim sustavima kontinentalnih sipina kako bi se ponovno omogućila prirodna dinamika vjetra u korist otvorenih staništa.</w:t>
      </w:r>
    </w:p>
    <w:p w:rsidR="008D1BE3" w:rsidRPr="00661250" w:rsidRDefault="008D1BE3" w:rsidP="008D1BE3">
      <w:pPr>
        <w:widowControl/>
        <w:spacing w:before="120" w:after="120" w:line="360" w:lineRule="auto"/>
        <w:ind w:left="851" w:hanging="851"/>
        <w:rPr>
          <w:rFonts w:eastAsia="Calibri"/>
          <w:noProof/>
          <w:szCs w:val="22"/>
        </w:rPr>
      </w:pPr>
      <w:r w:rsidRPr="00661250">
        <w:t>(21)</w:t>
      </w:r>
      <w:r w:rsidRPr="00661250">
        <w:tab/>
        <w:t xml:space="preserve">Poboljšati povezanost među staništima kako bi se omogućili razvoj populacija vrsta te dostatna razmjena jedinki ili gena, kao i migracije vrsta i njihova prilagodba klimatskim promjenama. </w:t>
      </w:r>
    </w:p>
    <w:p w:rsidR="008D1BE3" w:rsidRPr="00661250" w:rsidRDefault="008D1BE3" w:rsidP="008D1BE3">
      <w:pPr>
        <w:widowControl/>
        <w:spacing w:before="120" w:after="120" w:line="360" w:lineRule="auto"/>
        <w:ind w:left="851" w:hanging="851"/>
        <w:rPr>
          <w:rFonts w:eastAsia="Calibri"/>
          <w:noProof/>
          <w:szCs w:val="22"/>
        </w:rPr>
      </w:pPr>
      <w:r w:rsidRPr="00661250">
        <w:t>(22)</w:t>
      </w:r>
      <w:r w:rsidRPr="00661250">
        <w:tab/>
        <w:t xml:space="preserve">Omogućiti da ekosustavi razviju vlastitu prirodnu dinamiku, na primjer odustajanjem od sječe i promicanjem prirodnosti i divljine. </w:t>
      </w:r>
    </w:p>
    <w:p w:rsidR="008D1BE3" w:rsidRPr="00661250" w:rsidRDefault="008D1BE3" w:rsidP="008D1BE3">
      <w:pPr>
        <w:widowControl/>
        <w:spacing w:before="120" w:after="120" w:line="360" w:lineRule="auto"/>
        <w:ind w:left="851" w:hanging="851"/>
        <w:rPr>
          <w:rFonts w:eastAsia="Calibri"/>
          <w:noProof/>
          <w:szCs w:val="22"/>
        </w:rPr>
      </w:pPr>
      <w:r w:rsidRPr="00661250">
        <w:br w:type="page"/>
      </w:r>
      <w:r w:rsidRPr="00661250">
        <w:lastRenderedPageBreak/>
        <w:t>(23)</w:t>
      </w:r>
      <w:r w:rsidRPr="00661250">
        <w:tab/>
        <w:t xml:space="preserve">Ukloniti i nadzirati invazivne strane vrste te spriječiti ili smanjiti uvođenje novih. </w:t>
      </w:r>
    </w:p>
    <w:p w:rsidR="008D1BE3" w:rsidRPr="00661250" w:rsidRDefault="008D1BE3" w:rsidP="008D1BE3">
      <w:pPr>
        <w:widowControl/>
        <w:spacing w:before="120" w:after="120" w:line="360" w:lineRule="auto"/>
        <w:ind w:left="851" w:hanging="851"/>
        <w:rPr>
          <w:rFonts w:eastAsia="Calibri"/>
          <w:noProof/>
          <w:szCs w:val="22"/>
        </w:rPr>
      </w:pPr>
      <w:r w:rsidRPr="00661250">
        <w:t>(24)</w:t>
      </w:r>
      <w:r w:rsidRPr="00661250">
        <w:tab/>
        <w:t>Smanjiti negativne učinke ribolovnih aktivnosti na morski ekosustav, na primjer uporabom opreme koja manje utječe na morsko dno.</w:t>
      </w:r>
    </w:p>
    <w:p w:rsidR="008D1BE3" w:rsidRPr="00661250" w:rsidRDefault="008D1BE3" w:rsidP="008D1BE3">
      <w:pPr>
        <w:widowControl/>
        <w:spacing w:before="120" w:after="120" w:line="360" w:lineRule="auto"/>
        <w:ind w:left="851" w:hanging="851"/>
        <w:rPr>
          <w:rFonts w:eastAsia="Calibri"/>
          <w:noProof/>
          <w:szCs w:val="22"/>
        </w:rPr>
      </w:pPr>
      <w:r w:rsidRPr="00661250">
        <w:t>(25)</w:t>
      </w:r>
      <w:r w:rsidRPr="00661250">
        <w:tab/>
        <w:t>Ponovno uspostaviti važna mrijestilišta i uzgajališta ribe.</w:t>
      </w:r>
    </w:p>
    <w:p w:rsidR="008D1BE3" w:rsidRPr="00661250" w:rsidRDefault="008D1BE3" w:rsidP="008D1BE3">
      <w:pPr>
        <w:widowControl/>
        <w:spacing w:before="120" w:after="120" w:line="360" w:lineRule="auto"/>
        <w:ind w:left="851" w:hanging="851"/>
        <w:rPr>
          <w:rFonts w:eastAsia="Calibri"/>
          <w:noProof/>
          <w:szCs w:val="22"/>
        </w:rPr>
      </w:pPr>
      <w:r w:rsidRPr="00661250">
        <w:t>(26)</w:t>
      </w:r>
      <w:r w:rsidRPr="00661250">
        <w:tab/>
        <w:t xml:space="preserve">Osigurati strukture ili podloge za poticanje povratka morskog života, na primjer koraljnih/kamenih grebena ili grebena kamenica. </w:t>
      </w:r>
    </w:p>
    <w:p w:rsidR="008D1BE3" w:rsidRPr="00661250" w:rsidRDefault="008D1BE3" w:rsidP="008D1BE3">
      <w:pPr>
        <w:widowControl/>
        <w:spacing w:before="120" w:after="120" w:line="360" w:lineRule="auto"/>
        <w:ind w:left="851" w:hanging="851"/>
        <w:rPr>
          <w:rFonts w:eastAsia="Calibri"/>
          <w:noProof/>
          <w:szCs w:val="22"/>
        </w:rPr>
      </w:pPr>
      <w:r w:rsidRPr="00661250">
        <w:t>(27)</w:t>
      </w:r>
      <w:r w:rsidRPr="00661250">
        <w:tab/>
        <w:t>Obnoviti livade morskih trava i šume kelpa aktivnom stabilizacijom morskog dna, smanjenjem i, ako je moguće, uklanjanjem pritisaka ili aktivnim razmnožavanjem i sadnjom.</w:t>
      </w:r>
    </w:p>
    <w:p w:rsidR="008D1BE3" w:rsidRPr="00661250" w:rsidRDefault="008D1BE3" w:rsidP="008D1BE3">
      <w:pPr>
        <w:widowControl/>
        <w:suppressAutoHyphens/>
        <w:spacing w:before="120" w:after="120" w:line="360" w:lineRule="auto"/>
        <w:ind w:left="851" w:hanging="851"/>
        <w:rPr>
          <w:rFonts w:eastAsia="Calibri"/>
          <w:b/>
          <w:bCs/>
          <w:i/>
          <w:noProof/>
          <w:szCs w:val="22"/>
        </w:rPr>
      </w:pPr>
      <w:r w:rsidRPr="00661250">
        <w:rPr>
          <w:b/>
          <w:i/>
        </w:rPr>
        <w:t>(27.a)</w:t>
      </w:r>
      <w:r w:rsidRPr="00661250">
        <w:rPr>
          <w:b/>
          <w:i/>
        </w:rPr>
        <w:tab/>
        <w:t>Obnoviti ili poboljšati stanje karakterističnih populacija zavičajnih vrsta koje su ključne za ekologiju morskih staništa provedbom pasivnih ili aktivnih mjera obnove, primjerice uvođenjem juvenilnih jedinki.</w:t>
      </w:r>
    </w:p>
    <w:p w:rsidR="008D1BE3" w:rsidRPr="00661250" w:rsidRDefault="008D1BE3" w:rsidP="008D1BE3">
      <w:pPr>
        <w:widowControl/>
        <w:spacing w:before="120" w:after="120" w:line="360" w:lineRule="auto"/>
        <w:ind w:left="851" w:hanging="851"/>
        <w:rPr>
          <w:rFonts w:eastAsia="Calibri"/>
          <w:noProof/>
          <w:szCs w:val="22"/>
        </w:rPr>
      </w:pPr>
      <w:r w:rsidRPr="00661250">
        <w:t>(28)</w:t>
      </w:r>
      <w:r w:rsidRPr="00661250">
        <w:tab/>
        <w:t xml:space="preserve">Smanjiti različite oblike morskog onečišćenja, kao što su opterećenje hranjivim tvarima, onečišćenje bukom i plastični otpad. </w:t>
      </w:r>
    </w:p>
    <w:p w:rsidR="008D1BE3" w:rsidRPr="00661250" w:rsidRDefault="008D1BE3" w:rsidP="008D1BE3">
      <w:pPr>
        <w:widowControl/>
        <w:spacing w:before="120" w:after="120" w:line="360" w:lineRule="auto"/>
        <w:ind w:left="851" w:hanging="851"/>
        <w:rPr>
          <w:rFonts w:eastAsia="Calibri"/>
          <w:noProof/>
          <w:szCs w:val="22"/>
        </w:rPr>
      </w:pPr>
      <w:r w:rsidRPr="00661250">
        <w:t>(29)</w:t>
      </w:r>
      <w:r w:rsidRPr="00661250">
        <w:tab/>
        <w:t xml:space="preserve">Povećati gradske zelene površine s ekološkim obilježjima, kao što su parkovi, drveće i šumske površine </w:t>
      </w:r>
      <w:r w:rsidRPr="00661250">
        <w:rPr>
          <w:rFonts w:ascii="Arial" w:hAnsi="Arial"/>
          <w:snapToGrid w:val="0"/>
        </w:rPr>
        <w:t>▌</w:t>
      </w:r>
      <w:r w:rsidRPr="00661250">
        <w:t>, zeleni krovovi, travnjaci s divljim cvijećem, vrtovi, gradska hortikultura, drvoredi uz ceste, gradske livade i živice, jezerca i vodotoci</w:t>
      </w:r>
      <w:bookmarkStart w:id="90" w:name="_Hlk133182370"/>
      <w:r w:rsidRPr="00661250">
        <w:rPr>
          <w:b/>
          <w:bCs/>
          <w:i/>
          <w:iCs/>
        </w:rPr>
        <w:t>, uzimajući u obzir, među ostalim, raznolikost vrsta, zavičajne vrste, lokalne uvjete i otpornost na klimatske promjene</w:t>
      </w:r>
      <w:bookmarkEnd w:id="90"/>
      <w:r w:rsidRPr="00661250">
        <w:t>.</w:t>
      </w:r>
    </w:p>
    <w:p w:rsidR="008D1BE3" w:rsidRPr="00661250" w:rsidRDefault="008D1BE3" w:rsidP="008D1BE3">
      <w:pPr>
        <w:widowControl/>
        <w:spacing w:before="120" w:after="120" w:line="360" w:lineRule="auto"/>
        <w:ind w:left="851" w:hanging="851"/>
        <w:rPr>
          <w:rFonts w:eastAsia="Calibri"/>
          <w:noProof/>
          <w:szCs w:val="22"/>
        </w:rPr>
      </w:pPr>
      <w:r w:rsidRPr="00661250">
        <w:t>(30)</w:t>
      </w:r>
      <w:r w:rsidRPr="00661250">
        <w:tab/>
        <w:t xml:space="preserve">Zaustaviti, smanjiti ili sanirati onečišćenja nastala zbog farmaceutskih proizvoda, opasnih kemikalija, gradskih i industrijskih otpadnih voda i drugog otpada, uključujući otpatke i plastiku, kao i svjetlosnog onečišćenja u svim ekosustavima. </w:t>
      </w:r>
    </w:p>
    <w:p w:rsidR="008D1BE3" w:rsidRPr="00661250" w:rsidRDefault="008D1BE3" w:rsidP="008D1BE3">
      <w:pPr>
        <w:widowControl/>
        <w:spacing w:before="120" w:after="120" w:line="360" w:lineRule="auto"/>
        <w:ind w:left="851" w:hanging="851"/>
        <w:rPr>
          <w:rFonts w:eastAsia="Calibri"/>
          <w:szCs w:val="22"/>
        </w:rPr>
      </w:pPr>
      <w:r w:rsidRPr="00661250">
        <w:t>(31)</w:t>
      </w:r>
      <w:r w:rsidRPr="00661250">
        <w:tab/>
        <w:t>Pretvoriti neiskorištene nekretnine, bivša industrijska područja i kamenolome u prirodna područja.</w:t>
      </w:r>
    </w:p>
    <w:p w:rsidR="008D1BE3" w:rsidRPr="00661250" w:rsidRDefault="008D1BE3" w:rsidP="008D1BE3">
      <w:pPr>
        <w:widowControl/>
        <w:pBdr>
          <w:bottom w:val="single" w:sz="4" w:space="0" w:color="000000"/>
        </w:pBdr>
        <w:spacing w:before="360" w:after="120" w:line="360" w:lineRule="auto"/>
        <w:ind w:left="3400" w:right="3400"/>
        <w:jc w:val="center"/>
        <w:rPr>
          <w:rFonts w:eastAsia="Calibri"/>
          <w:b/>
          <w:szCs w:val="22"/>
          <w:lang w:eastAsia="en-US"/>
        </w:rPr>
      </w:pPr>
    </w:p>
    <w:sectPr w:rsidR="008D1BE3" w:rsidRPr="00661250" w:rsidSect="008E5706">
      <w:headerReference w:type="even" r:id="rId25"/>
      <w:headerReference w:type="default" r:id="rId26"/>
      <w:footerReference w:type="even" r:id="rId27"/>
      <w:footerReference w:type="default" r:id="rId28"/>
      <w:headerReference w:type="first" r:id="rId29"/>
      <w:footerReference w:type="first" r:id="rId3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FDE" w:rsidRPr="008E5706" w:rsidRDefault="00F53FDE">
      <w:r w:rsidRPr="008E5706">
        <w:separator/>
      </w:r>
    </w:p>
  </w:endnote>
  <w:endnote w:type="continuationSeparator" w:id="0">
    <w:p w:rsidR="00F53FDE" w:rsidRPr="008E5706" w:rsidRDefault="00F53FDE">
      <w:r w:rsidRPr="008E57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Default="00F53F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BC101D" w:rsidRDefault="00F53FDE" w:rsidP="00BC10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Default="00F53F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BC101D" w:rsidRDefault="00F53FDE" w:rsidP="00BC10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BC101D" w:rsidRDefault="00F53FDE" w:rsidP="00BC10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8E5706" w:rsidRDefault="00F53FDE"/>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8E5706" w:rsidRDefault="00F53FDE"/>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8E5706" w:rsidRDefault="00F53F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FDE" w:rsidRPr="008E5706" w:rsidRDefault="00F53FDE">
      <w:r w:rsidRPr="008E5706">
        <w:separator/>
      </w:r>
    </w:p>
  </w:footnote>
  <w:footnote w:type="continuationSeparator" w:id="0">
    <w:p w:rsidR="00F53FDE" w:rsidRPr="008E5706" w:rsidRDefault="00F53FDE">
      <w:r w:rsidRPr="008E5706">
        <w:continuationSeparator/>
      </w:r>
    </w:p>
  </w:footnote>
  <w:footnote w:id="1">
    <w:p w:rsidR="00F53FDE" w:rsidRPr="00325B91" w:rsidRDefault="00F53FDE" w:rsidP="00325B91">
      <w:pPr>
        <w:pStyle w:val="FootnoteText"/>
        <w:ind w:left="567" w:hanging="567"/>
        <w:rPr>
          <w:sz w:val="24"/>
          <w:szCs w:val="24"/>
          <w:lang w:val="sl-SI"/>
        </w:rPr>
      </w:pPr>
      <w:r w:rsidRPr="00325B91">
        <w:rPr>
          <w:rStyle w:val="FootnoteReference"/>
          <w:sz w:val="24"/>
          <w:szCs w:val="24"/>
        </w:rPr>
        <w:sym w:font="Symbol" w:char="F02A"/>
      </w:r>
      <w:r w:rsidRPr="00325B91">
        <w:rPr>
          <w:sz w:val="24"/>
          <w:szCs w:val="24"/>
          <w:lang w:val="pt-PT"/>
        </w:rPr>
        <w:t xml:space="preserve"> </w:t>
      </w:r>
      <w:r w:rsidRPr="00325B91">
        <w:rPr>
          <w:sz w:val="24"/>
          <w:szCs w:val="24"/>
          <w:lang w:val="pt-PT"/>
        </w:rPr>
        <w:tab/>
        <w:t>Upućivanja na 'cp' u usvojenim amandmanima smatraju se odgovarajućim dijelovima tih amandmana.</w:t>
      </w:r>
    </w:p>
  </w:footnote>
  <w:footnote w:id="2">
    <w:p w:rsidR="00F53FDE" w:rsidRPr="00325B91" w:rsidRDefault="00F53FDE" w:rsidP="00325B91">
      <w:pPr>
        <w:pStyle w:val="FootnoteText"/>
        <w:ind w:left="567" w:hanging="567"/>
        <w:rPr>
          <w:sz w:val="24"/>
          <w:szCs w:val="24"/>
          <w:lang w:val="sl-SI"/>
        </w:rPr>
      </w:pPr>
      <w:r w:rsidRPr="00325B91">
        <w:rPr>
          <w:rStyle w:val="FootnoteReference"/>
          <w:sz w:val="24"/>
          <w:szCs w:val="24"/>
        </w:rPr>
        <w:footnoteRef/>
      </w:r>
      <w:r w:rsidRPr="00325B91">
        <w:rPr>
          <w:sz w:val="24"/>
          <w:szCs w:val="24"/>
          <w:lang w:val="sl-SI"/>
        </w:rPr>
        <w:t xml:space="preserve"> </w:t>
      </w:r>
      <w:r w:rsidRPr="00325B91">
        <w:rPr>
          <w:sz w:val="24"/>
          <w:szCs w:val="24"/>
          <w:lang w:val="sl-SI"/>
        </w:rPr>
        <w:tab/>
        <w:t>Predmet se vraća nadležnom odboru na međuinstitucijske pregovore u skladu s člankom 59. stavkom 4., četvrtim podstavkom (A9-0220/2023).</w:t>
      </w:r>
    </w:p>
  </w:footnote>
  <w:footnote w:id="3">
    <w:p w:rsidR="00F53FDE" w:rsidRPr="00325B91" w:rsidRDefault="00F53FDE" w:rsidP="00325B91">
      <w:pPr>
        <w:pStyle w:val="FootnoteText"/>
        <w:ind w:left="567" w:hanging="567"/>
        <w:rPr>
          <w:sz w:val="24"/>
          <w:szCs w:val="24"/>
          <w:lang w:val="sl-SI"/>
        </w:rPr>
      </w:pPr>
      <w:r w:rsidRPr="00325B91">
        <w:rPr>
          <w:rStyle w:val="FootnoteReference"/>
          <w:sz w:val="24"/>
          <w:szCs w:val="24"/>
          <w:lang w:val="sl-SI"/>
        </w:rPr>
        <w:t>*</w:t>
      </w:r>
      <w:r w:rsidRPr="00325B91">
        <w:rPr>
          <w:sz w:val="24"/>
          <w:szCs w:val="24"/>
          <w:lang w:val="sl-SI"/>
        </w:rPr>
        <w:t xml:space="preserve"> </w:t>
      </w:r>
      <w:r w:rsidRPr="00325B91">
        <w:rPr>
          <w:sz w:val="24"/>
          <w:szCs w:val="24"/>
          <w:lang w:val="sl-SI"/>
        </w:rPr>
        <w:tab/>
        <w:t>Amandmani: novi ili izmijenjeni tekst označava se podebljanim kurzivom, a brisani tekst oznakom ▌.</w:t>
      </w:r>
    </w:p>
  </w:footnote>
  <w:footnote w:id="4">
    <w:p w:rsidR="00F53FDE" w:rsidRPr="00325B91" w:rsidRDefault="00F53FDE" w:rsidP="00325B91">
      <w:pPr>
        <w:pStyle w:val="FootnoteText"/>
        <w:ind w:left="567" w:hanging="567"/>
        <w:rPr>
          <w:sz w:val="24"/>
          <w:szCs w:val="24"/>
          <w:lang w:val="sl-SI"/>
        </w:rPr>
      </w:pPr>
      <w:r w:rsidRPr="00325B91">
        <w:rPr>
          <w:rStyle w:val="FootnoteCharacters"/>
          <w:rFonts w:eastAsia="Calibri"/>
          <w:sz w:val="24"/>
          <w:szCs w:val="24"/>
          <w:vertAlign w:val="superscript"/>
        </w:rPr>
        <w:footnoteRef/>
      </w:r>
      <w:r w:rsidRPr="00325B91">
        <w:rPr>
          <w:sz w:val="24"/>
          <w:szCs w:val="24"/>
          <w:lang w:val="sl-SI"/>
        </w:rPr>
        <w:t xml:space="preserve"> </w:t>
      </w:r>
      <w:r w:rsidRPr="00325B91">
        <w:rPr>
          <w:sz w:val="24"/>
          <w:szCs w:val="24"/>
          <w:lang w:val="sl-SI"/>
        </w:rPr>
        <w:tab/>
        <w:t>SL C , , str. .</w:t>
      </w:r>
    </w:p>
  </w:footnote>
  <w:footnote w:id="5">
    <w:p w:rsidR="00F53FDE" w:rsidRPr="00325B91" w:rsidRDefault="00F53FDE" w:rsidP="00325B91">
      <w:pPr>
        <w:pStyle w:val="FootnoteText"/>
        <w:ind w:left="567" w:hanging="567"/>
        <w:rPr>
          <w:sz w:val="24"/>
          <w:szCs w:val="24"/>
          <w:lang w:val="sl-SI"/>
        </w:rPr>
      </w:pPr>
      <w:r w:rsidRPr="00325B91">
        <w:rPr>
          <w:rStyle w:val="FootnoteCharacters"/>
          <w:rFonts w:eastAsia="Calibri"/>
          <w:sz w:val="24"/>
          <w:szCs w:val="24"/>
          <w:vertAlign w:val="superscript"/>
        </w:rPr>
        <w:footnoteRef/>
      </w:r>
      <w:r w:rsidRPr="00325B91">
        <w:rPr>
          <w:sz w:val="24"/>
          <w:szCs w:val="24"/>
          <w:lang w:val="sl-SI"/>
        </w:rPr>
        <w:t xml:space="preserve"> </w:t>
      </w:r>
      <w:r w:rsidRPr="00325B91">
        <w:rPr>
          <w:sz w:val="24"/>
          <w:szCs w:val="24"/>
          <w:lang w:val="sl-SI"/>
        </w:rPr>
        <w:tab/>
        <w:t>Komunikacija Komisije Europskom parlamentu, Europskom Vijeću, Vijeću, Europskom gospodarskom i socijalnom odboru i Odboru regija, „Europski zeleni plan”, 11.12.2019., (COM(2019) 640 final).</w:t>
      </w:r>
    </w:p>
  </w:footnote>
  <w:footnote w:id="6">
    <w:p w:rsidR="00F53FDE" w:rsidRPr="00325B91" w:rsidRDefault="00F53FDE" w:rsidP="00325B91">
      <w:pPr>
        <w:pStyle w:val="FootnoteText"/>
        <w:ind w:left="567" w:hanging="567"/>
        <w:rPr>
          <w:sz w:val="24"/>
          <w:szCs w:val="24"/>
          <w:lang w:val="sl-SI"/>
        </w:rPr>
      </w:pPr>
      <w:r w:rsidRPr="00325B91">
        <w:rPr>
          <w:rStyle w:val="FootnoteCharacters"/>
          <w:rFonts w:eastAsia="Calibri"/>
          <w:sz w:val="24"/>
          <w:szCs w:val="24"/>
          <w:vertAlign w:val="superscript"/>
        </w:rPr>
        <w:footnoteRef/>
      </w:r>
      <w:r w:rsidRPr="00325B91">
        <w:rPr>
          <w:sz w:val="24"/>
          <w:szCs w:val="24"/>
          <w:lang w:val="sl-SI"/>
        </w:rPr>
        <w:t xml:space="preserve"> </w:t>
      </w:r>
      <w:r w:rsidRPr="00325B91">
        <w:rPr>
          <w:sz w:val="24"/>
          <w:szCs w:val="24"/>
          <w:lang w:val="sl-SI"/>
        </w:rPr>
        <w:tab/>
        <w:t xml:space="preserve">Komunikacija Komisije Europskom parlamentu, Vijeću, Europskom gospodarskom </w:t>
      </w:r>
      <w:r w:rsidRPr="00325B91">
        <w:rPr>
          <w:sz w:val="24"/>
          <w:szCs w:val="24"/>
          <w:lang w:val="sl-SI"/>
        </w:rPr>
        <w:tab/>
        <w:t xml:space="preserve">i socijalnom odboru i Odboru regija, Strategija EU-a za bioraznolikost do 2030.: Vraćanje </w:t>
      </w:r>
      <w:r w:rsidRPr="00325B91">
        <w:rPr>
          <w:sz w:val="24"/>
          <w:szCs w:val="24"/>
          <w:lang w:val="sl-SI"/>
        </w:rPr>
        <w:tab/>
        <w:t>prirode u naše živote, 20.5.2020., COM(2020) 380 final.</w:t>
      </w:r>
    </w:p>
  </w:footnote>
  <w:footnote w:id="7">
    <w:p w:rsidR="00F53FDE" w:rsidRPr="00325B91" w:rsidRDefault="00F53FDE" w:rsidP="00325B91">
      <w:pPr>
        <w:pStyle w:val="FootnoteText"/>
        <w:ind w:left="567" w:hanging="567"/>
        <w:rPr>
          <w:sz w:val="24"/>
          <w:szCs w:val="24"/>
          <w:lang w:val="sl-SI"/>
        </w:rPr>
      </w:pPr>
      <w:r w:rsidRPr="00325B91">
        <w:rPr>
          <w:rStyle w:val="FootnoteCharacters"/>
          <w:rFonts w:eastAsia="Calibri"/>
          <w:sz w:val="24"/>
          <w:szCs w:val="24"/>
          <w:vertAlign w:val="superscript"/>
        </w:rPr>
        <w:footnoteRef/>
      </w:r>
      <w:r w:rsidRPr="00325B91">
        <w:rPr>
          <w:sz w:val="24"/>
          <w:szCs w:val="24"/>
          <w:vertAlign w:val="superscript"/>
          <w:lang w:val="sl-SI"/>
        </w:rPr>
        <w:t xml:space="preserve"> </w:t>
      </w:r>
      <w:r w:rsidRPr="00325B91">
        <w:rPr>
          <w:sz w:val="24"/>
          <w:szCs w:val="24"/>
          <w:lang w:val="sl-SI"/>
        </w:rPr>
        <w:tab/>
        <w:t>Odluka Vijeća 93/626/EEZ od 25. listopada 1993. o sklapanju Konvencije o biološkoj raznolikosti (SL L 309, 13.12.1993., str. 1.).</w:t>
      </w:r>
    </w:p>
  </w:footnote>
  <w:footnote w:id="8">
    <w:p w:rsidR="00F53FDE" w:rsidRPr="00325B91" w:rsidRDefault="00F53FDE" w:rsidP="00325B91">
      <w:pPr>
        <w:pStyle w:val="FootnoteText"/>
        <w:ind w:left="567" w:hanging="567"/>
        <w:rPr>
          <w:sz w:val="24"/>
          <w:szCs w:val="24"/>
          <w:lang w:val="sl-SI"/>
        </w:rPr>
      </w:pPr>
      <w:r w:rsidRPr="00325B91">
        <w:rPr>
          <w:rStyle w:val="FootnoteCharacters"/>
          <w:rFonts w:eastAsia="Calibri"/>
          <w:sz w:val="24"/>
          <w:szCs w:val="24"/>
          <w:vertAlign w:val="superscript"/>
        </w:rPr>
        <w:footnoteRef/>
      </w:r>
      <w:hyperlink r:id="rId1">
        <w:r w:rsidRPr="00325B91">
          <w:rPr>
            <w:rStyle w:val="Internetlnk"/>
            <w:color w:val="auto"/>
            <w:sz w:val="24"/>
            <w:szCs w:val="24"/>
            <w:u w:val="none"/>
            <w:lang w:val="sl-SI"/>
          </w:rPr>
          <w:tab/>
          <w:t>https://www.cbd.int/decision/cop/?id=12268</w:t>
        </w:r>
      </w:hyperlink>
      <w:r w:rsidRPr="00325B91">
        <w:rPr>
          <w:sz w:val="24"/>
          <w:szCs w:val="24"/>
          <w:lang w:val="sl-SI"/>
        </w:rPr>
        <w:t>.</w:t>
      </w:r>
    </w:p>
  </w:footnote>
  <w:footnote w:id="9">
    <w:p w:rsidR="00F53FDE" w:rsidRPr="00325B91" w:rsidRDefault="00F53FDE" w:rsidP="00325B91">
      <w:pPr>
        <w:pStyle w:val="FootnoteText"/>
        <w:ind w:left="567" w:hanging="567"/>
        <w:rPr>
          <w:rStyle w:val="FootnoteCharacters"/>
          <w:rFonts w:eastAsia="Calibri"/>
          <w:sz w:val="24"/>
          <w:szCs w:val="24"/>
          <w:lang w:val="pl-PL"/>
        </w:rPr>
      </w:pPr>
      <w:r w:rsidRPr="00325B91">
        <w:rPr>
          <w:rStyle w:val="FootnoteCharacters"/>
          <w:rFonts w:eastAsia="Calibri"/>
          <w:sz w:val="24"/>
          <w:szCs w:val="24"/>
          <w:vertAlign w:val="superscript"/>
        </w:rPr>
        <w:footnoteRef/>
      </w:r>
      <w:r w:rsidRPr="00325B91">
        <w:rPr>
          <w:rStyle w:val="FootnoteCharacters"/>
          <w:rFonts w:eastAsia="Calibri"/>
          <w:sz w:val="24"/>
          <w:szCs w:val="24"/>
          <w:vertAlign w:val="superscript"/>
          <w:lang w:val="pl-PL"/>
        </w:rPr>
        <w:t xml:space="preserve"> </w:t>
      </w:r>
      <w:r w:rsidRPr="00325B91">
        <w:rPr>
          <w:rStyle w:val="FootnoteCharacters"/>
          <w:rFonts w:eastAsia="Calibri"/>
          <w:sz w:val="24"/>
          <w:szCs w:val="24"/>
          <w:lang w:val="pl-PL"/>
        </w:rPr>
        <w:tab/>
        <w:t xml:space="preserve">Globalni okvir za bioraznolikost iz Kunminga i Montreala. Nacrt odluke koji je podnio predsjednik, CBD/COP/DEC/15/4, 19. prosinca 2022. </w:t>
      </w:r>
    </w:p>
  </w:footnote>
  <w:footnote w:id="10">
    <w:p w:rsidR="00F53FDE" w:rsidRPr="00325B91" w:rsidRDefault="00F53FDE" w:rsidP="00325B91">
      <w:pPr>
        <w:pStyle w:val="FootnoteText"/>
        <w:ind w:left="567" w:hanging="567"/>
        <w:rPr>
          <w:sz w:val="24"/>
          <w:szCs w:val="24"/>
          <w:lang w:val="pl-PL"/>
        </w:rPr>
      </w:pPr>
      <w:r w:rsidRPr="00325B91">
        <w:rPr>
          <w:rStyle w:val="FootnoteCharacters"/>
          <w:rFonts w:eastAsia="Calibri"/>
          <w:sz w:val="24"/>
          <w:szCs w:val="24"/>
          <w:vertAlign w:val="superscript"/>
        </w:rPr>
        <w:footnoteRef/>
      </w:r>
      <w:r w:rsidRPr="00325B91">
        <w:rPr>
          <w:sz w:val="24"/>
          <w:szCs w:val="24"/>
          <w:vertAlign w:val="superscript"/>
          <w:lang w:val="pl-PL"/>
        </w:rPr>
        <w:t xml:space="preserve"> </w:t>
      </w:r>
      <w:r w:rsidRPr="00325B91">
        <w:rPr>
          <w:sz w:val="24"/>
          <w:szCs w:val="24"/>
          <w:lang w:val="pl-PL"/>
        </w:rPr>
        <w:tab/>
      </w:r>
      <w:hyperlink r:id="rId2">
        <w:r w:rsidRPr="00325B91">
          <w:rPr>
            <w:rStyle w:val="Internetlnk"/>
            <w:color w:val="auto"/>
            <w:sz w:val="24"/>
            <w:szCs w:val="24"/>
            <w:u w:val="none"/>
            <w:lang w:val="pl-PL"/>
          </w:rPr>
          <w:t>Ciljevi Ujedinjenih naroda za održivi razvoj – 17 ciljeva za preobrazbu našeg svijeta</w:t>
        </w:r>
      </w:hyperlink>
      <w:r w:rsidRPr="00325B91">
        <w:rPr>
          <w:sz w:val="24"/>
          <w:szCs w:val="24"/>
          <w:lang w:val="pl-PL"/>
        </w:rPr>
        <w:t>.</w:t>
      </w:r>
    </w:p>
  </w:footnote>
  <w:footnote w:id="11">
    <w:p w:rsidR="00F53FDE" w:rsidRPr="00325B91" w:rsidRDefault="00F53FDE" w:rsidP="00325B91">
      <w:pPr>
        <w:pStyle w:val="FootnoteText"/>
        <w:ind w:left="567" w:hanging="567"/>
        <w:rPr>
          <w:sz w:val="24"/>
          <w:szCs w:val="24"/>
          <w:lang w:val="pl-PL"/>
        </w:rPr>
      </w:pPr>
      <w:r w:rsidRPr="00325B91">
        <w:rPr>
          <w:rStyle w:val="FootnoteCharacters"/>
          <w:rFonts w:eastAsia="Calibri"/>
          <w:sz w:val="24"/>
          <w:szCs w:val="24"/>
          <w:vertAlign w:val="superscript"/>
        </w:rPr>
        <w:footnoteRef/>
      </w:r>
      <w:r w:rsidRPr="00325B91">
        <w:rPr>
          <w:sz w:val="24"/>
          <w:szCs w:val="24"/>
          <w:vertAlign w:val="superscript"/>
          <w:lang w:val="pl-PL"/>
        </w:rPr>
        <w:t xml:space="preserve"> </w:t>
      </w:r>
      <w:r w:rsidRPr="00325B91">
        <w:rPr>
          <w:sz w:val="24"/>
          <w:szCs w:val="24"/>
          <w:lang w:val="pl-PL"/>
        </w:rPr>
        <w:tab/>
        <w:t>Rezolucija 73/284 od 1. ožujka 2019. o Desetljeću Ujedinjenih naroda za obnovu ekosustava (2021.–2030.).</w:t>
      </w:r>
    </w:p>
  </w:footnote>
  <w:footnote w:id="12">
    <w:p w:rsidR="00F53FDE" w:rsidRPr="00325B91" w:rsidRDefault="00F53FDE" w:rsidP="00325B91">
      <w:pPr>
        <w:pStyle w:val="FootnoteText"/>
        <w:ind w:left="567" w:hanging="567"/>
        <w:rPr>
          <w:sz w:val="24"/>
          <w:szCs w:val="24"/>
          <w:lang w:val="pl-PL"/>
        </w:rPr>
      </w:pPr>
      <w:r w:rsidRPr="00325B91">
        <w:rPr>
          <w:rStyle w:val="FootnoteCharacters"/>
          <w:rFonts w:eastAsia="Calibri"/>
          <w:sz w:val="24"/>
          <w:szCs w:val="24"/>
          <w:vertAlign w:val="superscript"/>
        </w:rPr>
        <w:footnoteRef/>
      </w:r>
      <w:r w:rsidRPr="00325B91">
        <w:rPr>
          <w:sz w:val="24"/>
          <w:szCs w:val="24"/>
          <w:lang w:val="pl-PL"/>
        </w:rPr>
        <w:t xml:space="preserve"> </w:t>
      </w:r>
      <w:r w:rsidRPr="00325B91">
        <w:rPr>
          <w:sz w:val="24"/>
          <w:szCs w:val="24"/>
          <w:lang w:val="pl-PL"/>
        </w:rPr>
        <w:tab/>
        <w:t>Rezolucija Europskog parlamenta od 9. lipnja 2021. o Strategiji EU-a za bioraznolikost do 2030.: Vraćanje prirode u naše živote (2020/2273(INI)).</w:t>
      </w:r>
    </w:p>
  </w:footnote>
  <w:footnote w:id="13">
    <w:p w:rsidR="00F53FDE" w:rsidRPr="00325B91" w:rsidRDefault="00F53FDE" w:rsidP="00325B91">
      <w:pPr>
        <w:pStyle w:val="FootnoteText"/>
        <w:ind w:left="567" w:hanging="567"/>
        <w:rPr>
          <w:sz w:val="24"/>
          <w:szCs w:val="24"/>
          <w:lang w:val="pl-PL"/>
        </w:rPr>
      </w:pPr>
      <w:r w:rsidRPr="00325B91">
        <w:rPr>
          <w:rStyle w:val="FootnoteCharacters"/>
          <w:rFonts w:eastAsia="Calibri"/>
          <w:sz w:val="24"/>
          <w:szCs w:val="24"/>
          <w:vertAlign w:val="superscript"/>
        </w:rPr>
        <w:footnoteRef/>
      </w:r>
      <w:r w:rsidRPr="00325B91">
        <w:rPr>
          <w:sz w:val="24"/>
          <w:szCs w:val="24"/>
          <w:lang w:val="pl-PL"/>
        </w:rPr>
        <w:t xml:space="preserve"> </w:t>
      </w:r>
      <w:r w:rsidRPr="00325B91">
        <w:rPr>
          <w:sz w:val="24"/>
          <w:szCs w:val="24"/>
          <w:lang w:val="pl-PL"/>
        </w:rPr>
        <w:tab/>
        <w:t>Zaključci Vijeća o bioraznolikosti – potreba za hitnim djelovanjem, 12210/20.</w:t>
      </w:r>
    </w:p>
  </w:footnote>
  <w:footnote w:id="14">
    <w:p w:rsidR="00F53FDE" w:rsidRPr="00325B91" w:rsidRDefault="00F53FDE" w:rsidP="00325B91">
      <w:pPr>
        <w:pStyle w:val="FootnoteText"/>
        <w:ind w:left="567" w:hanging="567"/>
        <w:rPr>
          <w:sz w:val="24"/>
          <w:szCs w:val="24"/>
          <w:lang w:val="pl-PL"/>
        </w:rPr>
      </w:pPr>
      <w:r w:rsidRPr="00325B91">
        <w:rPr>
          <w:rStyle w:val="FootnoteCharacters"/>
          <w:rFonts w:eastAsia="Calibri"/>
          <w:sz w:val="24"/>
          <w:szCs w:val="24"/>
          <w:vertAlign w:val="superscript"/>
        </w:rPr>
        <w:footnoteRef/>
      </w:r>
      <w:r w:rsidRPr="00325B91">
        <w:rPr>
          <w:sz w:val="24"/>
          <w:szCs w:val="24"/>
          <w:vertAlign w:val="superscript"/>
          <w:lang w:val="pl-PL"/>
        </w:rPr>
        <w:t xml:space="preserve"> </w:t>
      </w:r>
      <w:r w:rsidRPr="00325B91">
        <w:rPr>
          <w:sz w:val="24"/>
          <w:szCs w:val="24"/>
          <w:lang w:val="pl-PL"/>
        </w:rPr>
        <w:tab/>
        <w:t>Radni dokument službi Komisije – Kriteriji i smjernice za proglašenje zaštićenih područja (SWD(2022) 23 final).</w:t>
      </w:r>
    </w:p>
  </w:footnote>
  <w:footnote w:id="15">
    <w:p w:rsidR="00F53FDE" w:rsidRPr="00325B91" w:rsidRDefault="00F53FDE" w:rsidP="00325B91">
      <w:pPr>
        <w:pStyle w:val="FootnoteText"/>
        <w:ind w:left="567" w:hanging="567"/>
        <w:rPr>
          <w:sz w:val="24"/>
          <w:szCs w:val="24"/>
          <w:lang w:val="pl-PL"/>
        </w:rPr>
      </w:pPr>
      <w:r w:rsidRPr="00325B91">
        <w:rPr>
          <w:rStyle w:val="FootnoteCharacters"/>
          <w:rFonts w:eastAsia="Calibri"/>
          <w:sz w:val="24"/>
          <w:szCs w:val="24"/>
          <w:vertAlign w:val="superscript"/>
        </w:rPr>
        <w:footnoteRef/>
      </w:r>
      <w:r w:rsidRPr="00325B91">
        <w:rPr>
          <w:sz w:val="24"/>
          <w:szCs w:val="24"/>
          <w:lang w:val="pl-PL"/>
        </w:rPr>
        <w:tab/>
        <w:t xml:space="preserve">Dostupno na Circabc </w:t>
      </w:r>
      <w:hyperlink r:id="rId3">
        <w:r w:rsidRPr="00325B91">
          <w:rPr>
            <w:rStyle w:val="Internetlnk"/>
            <w:color w:val="auto"/>
            <w:sz w:val="24"/>
            <w:szCs w:val="24"/>
            <w:lang w:val="pl-PL"/>
          </w:rPr>
          <w:t>Circabc (europa.eu)</w:t>
        </w:r>
      </w:hyperlink>
      <w:r w:rsidRPr="00325B91">
        <w:rPr>
          <w:sz w:val="24"/>
          <w:szCs w:val="24"/>
          <w:lang w:val="pl-PL"/>
        </w:rPr>
        <w:t xml:space="preserve"> [dopuniti upućivanje]</w:t>
      </w:r>
    </w:p>
  </w:footnote>
  <w:footnote w:id="16">
    <w:p w:rsidR="00F53FDE" w:rsidRPr="00325B91" w:rsidRDefault="00F53FDE" w:rsidP="00325B91">
      <w:pPr>
        <w:pStyle w:val="FootnoteText"/>
        <w:ind w:left="567" w:hanging="567"/>
        <w:rPr>
          <w:sz w:val="24"/>
          <w:szCs w:val="24"/>
          <w:lang w:val="pl-PL"/>
        </w:rPr>
      </w:pPr>
      <w:r w:rsidRPr="00325B91">
        <w:rPr>
          <w:rStyle w:val="FootnoteCharacters"/>
          <w:rFonts w:eastAsia="Calibri"/>
          <w:sz w:val="24"/>
          <w:szCs w:val="24"/>
          <w:vertAlign w:val="superscript"/>
        </w:rPr>
        <w:footnoteRef/>
      </w:r>
      <w:r w:rsidRPr="00325B91">
        <w:rPr>
          <w:sz w:val="24"/>
          <w:szCs w:val="24"/>
          <w:vertAlign w:val="superscript"/>
          <w:lang w:val="pl-PL"/>
        </w:rPr>
        <w:t xml:space="preserve"> </w:t>
      </w:r>
      <w:r w:rsidRPr="00325B91">
        <w:rPr>
          <w:sz w:val="24"/>
          <w:szCs w:val="24"/>
          <w:lang w:val="pl-PL"/>
        </w:rPr>
        <w:tab/>
        <w:t>Izvješće Komisije Europskom parlamentu, Vijeću i Europskom gospodarskom i socijalnom odboru, „Stanje prirode u Europskoj uniji – Izvješće o stanju i trendovima za 2013.–2018. za vrste i staništa zaštićene direktivama o pticama i staništima”, COM(2020) 635 final.</w:t>
      </w:r>
    </w:p>
  </w:footnote>
  <w:footnote w:id="17">
    <w:p w:rsidR="00F53FDE" w:rsidRPr="00325B91" w:rsidRDefault="00F53FDE" w:rsidP="00325B91">
      <w:pPr>
        <w:pStyle w:val="FootnoteText"/>
        <w:ind w:left="567" w:hanging="567"/>
        <w:rPr>
          <w:sz w:val="24"/>
          <w:szCs w:val="24"/>
          <w:lang w:val="sl-SI"/>
        </w:rPr>
      </w:pPr>
      <w:r w:rsidRPr="00325B91">
        <w:rPr>
          <w:rStyle w:val="FootnoteReference"/>
          <w:sz w:val="24"/>
          <w:szCs w:val="24"/>
        </w:rPr>
        <w:footnoteRef/>
      </w:r>
      <w:r w:rsidRPr="00325B91">
        <w:rPr>
          <w:sz w:val="24"/>
          <w:szCs w:val="24"/>
          <w:lang w:val="pl-PL"/>
        </w:rPr>
        <w:t xml:space="preserve"> </w:t>
      </w:r>
      <w:r w:rsidRPr="00325B91">
        <w:rPr>
          <w:sz w:val="24"/>
          <w:szCs w:val="24"/>
          <w:lang w:val="pl-PL"/>
        </w:rPr>
        <w:tab/>
      </w:r>
      <w:r w:rsidRPr="00325B91">
        <w:rPr>
          <w:b/>
          <w:bCs/>
          <w:i/>
          <w:iCs/>
          <w:sz w:val="24"/>
          <w:szCs w:val="24"/>
          <w:lang w:val="hr-HR" w:eastAsia="en-GB"/>
        </w:rPr>
        <w:t>Komunikacija Komisije Europskom parlamentu, Vijeću, Europskom gospodarskom i socijalnom odboru i Odboru regija naslovljena “Revizija trgovinske politike – otvorena, održiva i odlučna trgovinska politika” - Bruxelles, 18.2.2021. COM(2021)0066 final.</w:t>
      </w:r>
    </w:p>
  </w:footnote>
  <w:footnote w:id="18">
    <w:p w:rsidR="00F53FDE" w:rsidRPr="00325B91" w:rsidRDefault="00F53FDE" w:rsidP="00325B91">
      <w:pPr>
        <w:pStyle w:val="FootnoteText"/>
        <w:ind w:left="567" w:hanging="567"/>
        <w:rPr>
          <w:sz w:val="24"/>
          <w:szCs w:val="24"/>
          <w:lang w:val="pt-PT"/>
        </w:rPr>
      </w:pPr>
      <w:r w:rsidRPr="00325B91">
        <w:rPr>
          <w:rStyle w:val="FootnoteCharacters"/>
          <w:rFonts w:eastAsia="Calibri"/>
          <w:sz w:val="24"/>
          <w:szCs w:val="24"/>
          <w:vertAlign w:val="superscript"/>
        </w:rPr>
        <w:footnoteRef/>
      </w:r>
      <w:hyperlink r:id="rId4">
        <w:r w:rsidRPr="00325B91">
          <w:rPr>
            <w:rStyle w:val="Internetlnk"/>
            <w:color w:val="auto"/>
            <w:sz w:val="24"/>
            <w:szCs w:val="24"/>
            <w:u w:val="none"/>
            <w:lang w:val="pt-PT"/>
          </w:rPr>
          <w:tab/>
          <w:t>https://seea.un.org/sites/seea.un.org/files/documents/EA/seea_ea_white_cover_final.pdf</w:t>
        </w:r>
      </w:hyperlink>
      <w:r w:rsidRPr="00325B91">
        <w:rPr>
          <w:sz w:val="24"/>
          <w:szCs w:val="24"/>
          <w:lang w:val="pt-PT"/>
        </w:rPr>
        <w:t>.</w:t>
      </w:r>
    </w:p>
  </w:footnote>
  <w:footnote w:id="19">
    <w:p w:rsidR="00F53FDE" w:rsidRPr="00325B91" w:rsidRDefault="00F53FDE" w:rsidP="00325B91">
      <w:pPr>
        <w:pStyle w:val="FootnoteText"/>
        <w:ind w:left="567" w:hanging="567"/>
        <w:rPr>
          <w:sz w:val="24"/>
          <w:szCs w:val="24"/>
        </w:rPr>
      </w:pPr>
      <w:r w:rsidRPr="00325B91">
        <w:rPr>
          <w:rStyle w:val="FootnoteCharacters"/>
          <w:rFonts w:eastAsia="Calibri"/>
          <w:sz w:val="24"/>
          <w:szCs w:val="24"/>
          <w:vertAlign w:val="superscript"/>
        </w:rPr>
        <w:footnoteRef/>
      </w:r>
      <w:r w:rsidRPr="00325B91">
        <w:rPr>
          <w:sz w:val="24"/>
          <w:szCs w:val="24"/>
          <w:vertAlign w:val="superscript"/>
          <w:lang w:val="pt-PT"/>
        </w:rPr>
        <w:t xml:space="preserve"> </w:t>
      </w:r>
      <w:r w:rsidRPr="00325B91">
        <w:rPr>
          <w:sz w:val="24"/>
          <w:szCs w:val="24"/>
          <w:lang w:val="pt-PT"/>
        </w:rPr>
        <w:tab/>
        <w:t xml:space="preserve">Međuvladin panel o klimatskim promjenama (IPCC): Posebno izvješće o učincima globalnog zagrijavanja od 1,5 °C i povezanih globalnih kretanja emisija stakleničkih plinova u kontekstu jačanja globalnog odgovora na prijetnju klimatskih promjena, održivog razvoja i rada na iskorjenjivanju siromaštva [Masson-Delmotte, V., P. Zhai, H.-O. Pörtner, D. Roberts, J. Skea, P.R. Shukla, A. Pirani, W. Moufouma-Okia, C. Péan, R. Pidcock, S. Connors, J.B.R. Matthews, Y. Chen, X. Zhou, M.I. Gomis, E. Lonnoy, T. Maycock, M. Tignor, i T. Waterfield (ur.)] </w:t>
      </w:r>
      <w:hyperlink r:id="rId5">
        <w:r w:rsidRPr="00325B91">
          <w:rPr>
            <w:rStyle w:val="Internetlnk"/>
            <w:color w:val="auto"/>
            <w:sz w:val="24"/>
            <w:szCs w:val="24"/>
            <w:u w:val="none"/>
          </w:rPr>
          <w:t>https://www.ipcc.ch/sr15/</w:t>
        </w:r>
      </w:hyperlink>
      <w:r w:rsidRPr="00325B91">
        <w:rPr>
          <w:rStyle w:val="Internetlnk"/>
          <w:color w:val="auto"/>
          <w:sz w:val="24"/>
          <w:szCs w:val="24"/>
          <w:u w:val="none"/>
        </w:rPr>
        <w:t xml:space="preserve"> </w:t>
      </w:r>
    </w:p>
  </w:footnote>
  <w:footnote w:id="20">
    <w:p w:rsidR="00F53FDE" w:rsidRPr="00325B91" w:rsidRDefault="00F53FDE" w:rsidP="00325B91">
      <w:pPr>
        <w:pStyle w:val="FootnoteText"/>
        <w:ind w:left="567" w:hanging="567"/>
        <w:rPr>
          <w:sz w:val="24"/>
          <w:szCs w:val="24"/>
        </w:rPr>
      </w:pPr>
      <w:r w:rsidRPr="00325B91">
        <w:rPr>
          <w:rStyle w:val="FootnoteCharacters"/>
          <w:rFonts w:eastAsia="Calibri"/>
          <w:sz w:val="24"/>
          <w:szCs w:val="24"/>
          <w:vertAlign w:val="superscript"/>
        </w:rPr>
        <w:footnoteRef/>
      </w:r>
      <w:r w:rsidRPr="00325B91">
        <w:rPr>
          <w:sz w:val="24"/>
          <w:szCs w:val="24"/>
        </w:rPr>
        <w:t xml:space="preserve"> </w:t>
      </w:r>
      <w:r w:rsidRPr="00325B91">
        <w:rPr>
          <w:sz w:val="24"/>
          <w:szCs w:val="24"/>
        </w:rPr>
        <w:tab/>
      </w:r>
      <w:hyperlink r:id="rId6">
        <w:r w:rsidRPr="00325B91">
          <w:rPr>
            <w:rStyle w:val="Internetlnk"/>
            <w:i/>
            <w:iCs/>
            <w:color w:val="auto"/>
            <w:sz w:val="24"/>
            <w:szCs w:val="24"/>
            <w:u w:val="none"/>
          </w:rPr>
          <w:t>Climate Change 2022:Impacts, Adaptation and Vulnerability</w:t>
        </w:r>
        <w:r w:rsidRPr="00325B91">
          <w:rPr>
            <w:rStyle w:val="Internetlnk"/>
            <w:color w:val="auto"/>
            <w:sz w:val="24"/>
            <w:szCs w:val="24"/>
            <w:u w:val="none"/>
          </w:rPr>
          <w:t xml:space="preserve"> (Klimatske promjene 2022.:utjecaji, prilagodba i osjetljivost), dostupno na ipcc.ch</w:t>
        </w:r>
      </w:hyperlink>
    </w:p>
  </w:footnote>
  <w:footnote w:id="21">
    <w:p w:rsidR="00F53FDE" w:rsidRPr="00325B91" w:rsidRDefault="00F53FDE" w:rsidP="00325B91">
      <w:pPr>
        <w:pStyle w:val="FootnoteText"/>
        <w:ind w:left="567" w:hanging="567"/>
        <w:rPr>
          <w:sz w:val="24"/>
          <w:szCs w:val="24"/>
          <w:lang w:val="es-ES"/>
        </w:rPr>
      </w:pPr>
      <w:r w:rsidRPr="00325B91">
        <w:rPr>
          <w:rStyle w:val="FootnoteCharacters"/>
          <w:rFonts w:eastAsia="Calibri"/>
          <w:sz w:val="24"/>
          <w:szCs w:val="24"/>
          <w:vertAlign w:val="superscript"/>
        </w:rPr>
        <w:footnoteRef/>
      </w:r>
      <w:r w:rsidRPr="00325B91">
        <w:rPr>
          <w:sz w:val="24"/>
          <w:szCs w:val="24"/>
          <w:shd w:val="clear" w:color="auto" w:fill="FFFFFF"/>
        </w:rPr>
        <w:tab/>
        <w:t xml:space="preserve">IPBES (2019.): </w:t>
      </w:r>
      <w:r w:rsidRPr="00325B91">
        <w:rPr>
          <w:i/>
          <w:iCs/>
          <w:sz w:val="24"/>
          <w:szCs w:val="24"/>
          <w:shd w:val="clear" w:color="auto" w:fill="FFFFFF"/>
        </w:rPr>
        <w:t>Global assessment report on biodiversity and ecosystem services of the Intergovernmental Science-Policy Platform on Biodiversity and Ecosystem Services</w:t>
      </w:r>
      <w:r w:rsidRPr="00325B91">
        <w:rPr>
          <w:sz w:val="24"/>
          <w:szCs w:val="24"/>
          <w:shd w:val="clear" w:color="auto" w:fill="FFFFFF"/>
        </w:rPr>
        <w:t xml:space="preserve"> (Izvješće o globalnoj procjeni bioraznolikosti i usluga ekosustava Međuvladine znanstveno-političke platforme o bioraznolikosti i uslugama ekosustava). </w:t>
      </w:r>
      <w:r w:rsidRPr="00325B91">
        <w:rPr>
          <w:sz w:val="24"/>
          <w:szCs w:val="24"/>
          <w:shd w:val="clear" w:color="auto" w:fill="FFFFFF"/>
          <w:lang w:val="it-IT"/>
        </w:rPr>
        <w:t xml:space="preserve">E. S. Brondizio, J. Settele, S. Díaz i H. T. Ngo (ur.). </w:t>
      </w:r>
      <w:r w:rsidRPr="00325B91">
        <w:rPr>
          <w:sz w:val="24"/>
          <w:szCs w:val="24"/>
          <w:shd w:val="clear" w:color="auto" w:fill="FFFFFF"/>
          <w:lang w:val="es-ES"/>
        </w:rPr>
        <w:t>Tajništvo IPBES-a, Bonn, Njemačka. 1148 stranica. </w:t>
      </w:r>
      <w:hyperlink r:id="rId7" w:tgtFrame="_blank">
        <w:r w:rsidRPr="00325B91">
          <w:rPr>
            <w:rStyle w:val="Internetlnk"/>
            <w:color w:val="auto"/>
            <w:sz w:val="24"/>
            <w:szCs w:val="24"/>
            <w:u w:val="none"/>
            <w:shd w:val="clear" w:color="auto" w:fill="FFFFFF"/>
            <w:lang w:val="es-ES"/>
          </w:rPr>
          <w:t>https://doi.org/10.5281/zenodo.3831673</w:t>
        </w:r>
      </w:hyperlink>
      <w:r w:rsidRPr="00325B91">
        <w:rPr>
          <w:sz w:val="24"/>
          <w:szCs w:val="24"/>
          <w:lang w:val="es-ES"/>
        </w:rPr>
        <w:t>.</w:t>
      </w:r>
    </w:p>
  </w:footnote>
  <w:footnote w:id="22">
    <w:p w:rsidR="00F53FDE" w:rsidRPr="00325B91" w:rsidRDefault="00F53FDE" w:rsidP="00325B91">
      <w:pPr>
        <w:pStyle w:val="NormalWeb"/>
        <w:shd w:val="clear" w:color="auto" w:fill="FFFFFF"/>
        <w:suppressAutoHyphens w:val="0"/>
        <w:spacing w:before="0" w:after="0" w:line="260" w:lineRule="exact"/>
        <w:ind w:left="567" w:hanging="567"/>
        <w:jc w:val="left"/>
        <w:rPr>
          <w:rFonts w:eastAsia="Times New Roman"/>
        </w:rPr>
      </w:pPr>
      <w:r w:rsidRPr="00325B91">
        <w:rPr>
          <w:rStyle w:val="FootnoteCharacters"/>
          <w:vertAlign w:val="superscript"/>
        </w:rPr>
        <w:footnoteRef/>
      </w:r>
      <w:r w:rsidRPr="00325B91">
        <w:rPr>
          <w:vertAlign w:val="superscript"/>
        </w:rPr>
        <w:t xml:space="preserve"> </w:t>
      </w:r>
      <w:r w:rsidRPr="00325B91">
        <w:tab/>
        <w:t>Uredba (EU) 2021/1119 Europskog parlamenta i Vijeća od 30. lipnja 2021. o uspostavi okvira za postizanje klimatske neutralnosti i o izmjeni uredaba (EZ) br. 401/2009 i (EU) 2018/1999 („Europski zakon o klimi”) (SL L 243, 9.7.2021., str. 1.).</w:t>
      </w:r>
    </w:p>
  </w:footnote>
  <w:footnote w:id="23">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t xml:space="preserve"> </w:t>
      </w:r>
      <w:r w:rsidRPr="00325B91">
        <w:tab/>
        <w:t>Rješenja utemeljena na prirodi ona su koja su nadahnuta i podržana prirodom, troškovno učinkovita, korisna za okoliš, društvo i gospodarstvo te pridonose otpornosti. Takva rješenja lokalno prilagođenim, resursno učinkovitim i sustavnim intervencijama u gradove, krajobraze i morske krajobraze donose više prirode, prirodnih obilježja i procesa koji su k tomu i raznolikiji. Stoga rješenja utemeljena na prirodi moraju biti korisna za bioraznolikost i podupirati brojne usluge ekosustava.</w:t>
      </w:r>
    </w:p>
  </w:footnote>
  <w:footnote w:id="24">
    <w:p w:rsidR="00F53FDE" w:rsidRPr="00325B91" w:rsidRDefault="00F53FDE" w:rsidP="00325B91">
      <w:pPr>
        <w:pStyle w:val="NormalWeb"/>
        <w:shd w:val="clear" w:color="auto" w:fill="FFFFFF"/>
        <w:suppressAutoHyphens w:val="0"/>
        <w:spacing w:before="0" w:after="0" w:line="260" w:lineRule="exact"/>
        <w:ind w:left="567" w:hanging="567"/>
        <w:jc w:val="left"/>
        <w:rPr>
          <w:rFonts w:eastAsia="Times New Roman"/>
        </w:rPr>
      </w:pPr>
      <w:r w:rsidRPr="00325B91">
        <w:rPr>
          <w:rStyle w:val="FootnoteCharacters"/>
          <w:vertAlign w:val="superscript"/>
        </w:rPr>
        <w:footnoteRef/>
      </w:r>
      <w:r w:rsidRPr="00325B91">
        <w:t xml:space="preserve"> </w:t>
      </w:r>
      <w:r w:rsidRPr="00325B91">
        <w:tab/>
        <w:t>Komunikacija Komisije Europskom parlamentu, Vijeću, Europskom gospodarskom i socijalnom odboru i Odboru regija naslovljena „Stvaranje Europe otporne na klimatske promjene – nova strategija EU-a za prilagodbu klimatskim promjenama” (COM(2021) 82 final).</w:t>
      </w:r>
    </w:p>
  </w:footnote>
  <w:footnote w:id="25">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t xml:space="preserve"> </w:t>
      </w:r>
      <w:r w:rsidRPr="00325B91">
        <w:tab/>
        <w:t>Prijedlog uredbe Europskog parlamenta i Vijeća o izmjeni Uredbe (EU) 2018/841 u pogledu područja primjene, pojednostavnjenja pravila o usklađenosti, utvrđivanja ciljeva država članica za 2030. i obvezivanja na zajedničko postizanje klimatske neutralnosti do 2035. u sektoru korištenja zemljišta, šumarstva i poljoprivrede i Uredbe (EU) 2018/1999 u pogledu poboljšanja praćenja, izvješćivanja, praćenja napretka i preispitivanja (COM(2021) 554 final).</w:t>
      </w:r>
    </w:p>
  </w:footnote>
  <w:footnote w:id="26">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t xml:space="preserve"> </w:t>
      </w:r>
      <w:r w:rsidRPr="00325B91">
        <w:tab/>
        <w:t xml:space="preserve">Komunikacija Komisije Europskom parlamentu, Vijeću, Europskom gospodarskom i socijalnom odboru i Odboru regija „Očuvanje sigurnosti opskrbe hranom i jačanje otpornosti prehrambenih sustava”, COM(2022) 133 final. </w:t>
      </w:r>
    </w:p>
  </w:footnote>
  <w:footnote w:id="27">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rPr>
          <w:i/>
          <w:vertAlign w:val="superscript"/>
        </w:rPr>
        <w:t xml:space="preserve"> </w:t>
      </w:r>
      <w:r w:rsidRPr="00325B91">
        <w:rPr>
          <w:i/>
        </w:rPr>
        <w:tab/>
      </w:r>
      <w:r w:rsidRPr="00325B91">
        <w:t>Konferencija o budućnosti Europe – Izvješće o konačnom ishodu, svibanj 2022., prijedlog 2. (1, 4, 5), str. 44. i prijedlog 6. (6), str. 48.</w:t>
      </w:r>
    </w:p>
  </w:footnote>
  <w:footnote w:id="28">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t xml:space="preserve"> </w:t>
      </w:r>
      <w:r w:rsidRPr="00325B91">
        <w:tab/>
        <w:t>Komunikacija Komisije Europskom parlamentu, Vijeću, Europskom gospodarskom i socijalnom odboru i Odboru regija naslovljena „Strategija EU-a za tlo do 2030. – Ostvarivanje koristi od zdravog tla za ljude, hranu, prirodu i klimu” (COM(2021) 699 final).</w:t>
      </w:r>
    </w:p>
  </w:footnote>
  <w:footnote w:id="29">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t xml:space="preserve"> </w:t>
      </w:r>
      <w:r w:rsidRPr="00325B91">
        <w:tab/>
        <w:t>Direktiva Vijeća 92/43/EEZ od 21. svibnja 1992. o očuvanju prirodnih staništa i divlje faune i flore (SL L 206, 22.7.1992., str. 7.).</w:t>
      </w:r>
    </w:p>
  </w:footnote>
  <w:footnote w:id="30">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rPr>
          <w:vertAlign w:val="superscript"/>
        </w:rPr>
        <w:t xml:space="preserve"> </w:t>
      </w:r>
      <w:r w:rsidRPr="00325B91">
        <w:tab/>
        <w:t>Direktiva 2009/147/EZ Europskoga parlamenta i Vijeća od 30. studenog 2009. o očuvanju divljih ptica (SL L 20, 26.1.2010., str. 7.)</w:t>
      </w:r>
      <w:r w:rsidR="00325B91">
        <w:t>.</w:t>
      </w:r>
    </w:p>
  </w:footnote>
  <w:footnote w:id="31">
    <w:p w:rsidR="00F53FDE" w:rsidRPr="00325B91" w:rsidRDefault="00F53FDE" w:rsidP="00325B91">
      <w:pPr>
        <w:pStyle w:val="NormalWeb"/>
        <w:shd w:val="clear" w:color="auto" w:fill="FFFFFF"/>
        <w:suppressAutoHyphens w:val="0"/>
        <w:spacing w:before="0" w:after="0" w:line="260" w:lineRule="exact"/>
        <w:ind w:left="567" w:hanging="567"/>
        <w:jc w:val="left"/>
      </w:pPr>
      <w:r w:rsidRPr="00325B91">
        <w:rPr>
          <w:rStyle w:val="FootnoteCharacters"/>
          <w:vertAlign w:val="superscript"/>
        </w:rPr>
        <w:footnoteRef/>
      </w:r>
      <w:r w:rsidRPr="00325B91">
        <w:t xml:space="preserve"> </w:t>
      </w:r>
      <w:r w:rsidRPr="00325B91">
        <w:tab/>
        <w:t xml:space="preserve">Glavna uprava za okoliš, 2017., </w:t>
      </w:r>
      <w:r w:rsidRPr="00325B91">
        <w:rPr>
          <w:i/>
          <w:iCs/>
        </w:rPr>
        <w:t>Reporting under Article 17 of the Habitats Directive: Explanatory notes and guidelines for the period 2013-2018</w:t>
      </w:r>
      <w:r w:rsidRPr="00325B91">
        <w:t xml:space="preserve"> (Izvješćivanje u skladu s člankom 17. Direktive o staništima: napomene s objašnjenjima i smjernice za razdoblje 2013. – 2018.) i Glavna uprava za okoliš, 2013., </w:t>
      </w:r>
      <w:r w:rsidRPr="00325B91">
        <w:rPr>
          <w:i/>
          <w:iCs/>
        </w:rPr>
        <w:t>Interpretation manual of European Union habitats Eur 28</w:t>
      </w:r>
      <w:r w:rsidRPr="00325B91">
        <w:t xml:space="preserve"> (Priručnik za tumačenje staništa Europske unije. Eur 28).</w:t>
      </w:r>
    </w:p>
  </w:footnote>
  <w:footnote w:id="32">
    <w:p w:rsidR="00F53FDE" w:rsidRPr="00325B91" w:rsidRDefault="00F53FDE" w:rsidP="00325B91">
      <w:pPr>
        <w:pStyle w:val="FootnoteText"/>
        <w:ind w:left="567" w:hanging="567"/>
        <w:rPr>
          <w:sz w:val="24"/>
          <w:szCs w:val="24"/>
          <w:lang w:val="hr-HR"/>
        </w:rPr>
      </w:pPr>
      <w:r w:rsidRPr="00325B91">
        <w:rPr>
          <w:rStyle w:val="FootnoteCharacters"/>
          <w:rFonts w:eastAsia="Calibri"/>
          <w:sz w:val="24"/>
          <w:szCs w:val="24"/>
          <w:vertAlign w:val="superscript"/>
        </w:rPr>
        <w:footnoteRef/>
      </w:r>
      <w:r w:rsidRPr="00325B91">
        <w:rPr>
          <w:sz w:val="24"/>
          <w:szCs w:val="24"/>
          <w:lang w:val="hr-HR"/>
        </w:rPr>
        <w:t xml:space="preserve"> </w:t>
      </w:r>
      <w:r w:rsidRPr="00325B91">
        <w:rPr>
          <w:sz w:val="24"/>
          <w:szCs w:val="24"/>
          <w:lang w:val="hr-HR"/>
        </w:rPr>
        <w:tab/>
        <w:t>Uredba (EU) br. 1380/2013 Europskog parlamenta i Vijeća od 11. prosinca 2013. o zajedničkoj ribarstvenoj politici, izmjeni uredaba Vijeća (EZ) br. 1954/2003 i (EZ) br. 1224/2009 i stavljanju izvan snage uredaba (EZ) br. 2371/2002 i (EZ) br. 639/2004 i Odluke Vijeća 2004/585/EZ (SL L 354, 28.12.2013., str. 22.).</w:t>
      </w:r>
    </w:p>
  </w:footnote>
  <w:footnote w:id="33">
    <w:p w:rsidR="00F53FDE" w:rsidRPr="00325B91" w:rsidRDefault="00F53FDE" w:rsidP="00325B91">
      <w:pPr>
        <w:pStyle w:val="FootnoteText"/>
        <w:ind w:left="567" w:hanging="567"/>
        <w:rPr>
          <w:sz w:val="24"/>
          <w:szCs w:val="24"/>
          <w:lang w:val="hr-HR"/>
        </w:rPr>
      </w:pPr>
      <w:r w:rsidRPr="00325B91">
        <w:rPr>
          <w:rStyle w:val="FootnoteCharacters"/>
          <w:rFonts w:eastAsia="Calibri"/>
          <w:sz w:val="24"/>
          <w:szCs w:val="24"/>
          <w:vertAlign w:val="superscript"/>
        </w:rPr>
        <w:footnoteRef/>
      </w:r>
      <w:r w:rsidRPr="00325B91">
        <w:rPr>
          <w:sz w:val="24"/>
          <w:szCs w:val="24"/>
          <w:vertAlign w:val="superscript"/>
          <w:lang w:val="hr-HR"/>
        </w:rPr>
        <w:t xml:space="preserve"> </w:t>
      </w:r>
      <w:r w:rsidRPr="00325B91">
        <w:rPr>
          <w:sz w:val="24"/>
          <w:szCs w:val="24"/>
          <w:lang w:val="hr-HR"/>
        </w:rPr>
        <w:tab/>
        <w:t>Konvencija o zaštiti morskog okoliša sjeveroistočnog Atlantika iz 1992. Konvencija OSPAR (OSPAR), Konvencija o zaštiti morskog okoliša Baltičkog mora iz 1992. Helsinška konvencija (HELCOM), Konvencija o zaštiti morskog okoliša i obalnog područja Sredozemlja iz 1995. Barcelonska konvencija (UNEP-MAP) i Konvencija o zaštiti Crnog mora iz 1992. – Bukureštanska konvencija.</w:t>
      </w:r>
    </w:p>
  </w:footnote>
  <w:footnote w:id="34">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vertAlign w:val="superscript"/>
          <w:lang w:val="hr-HR"/>
        </w:rPr>
        <w:t xml:space="preserve"> </w:t>
      </w:r>
      <w:r w:rsidRPr="00325B91">
        <w:rPr>
          <w:sz w:val="24"/>
          <w:szCs w:val="24"/>
          <w:lang w:val="hr-HR"/>
        </w:rPr>
        <w:tab/>
        <w:t xml:space="preserve">Vysna, V., Maes, J., Petersen, J. E., La Notte, A., Vallecillo, S., Aizpurua, N., Ivits, E., Teller, A., </w:t>
      </w:r>
      <w:r w:rsidRPr="00325B91">
        <w:rPr>
          <w:i/>
          <w:iCs/>
          <w:sz w:val="24"/>
          <w:szCs w:val="24"/>
          <w:lang w:val="hr-HR"/>
        </w:rPr>
        <w:t>Accounting for ecosystems and their services in the European Union (INCA)</w:t>
      </w:r>
      <w:r w:rsidRPr="00325B91">
        <w:rPr>
          <w:sz w:val="24"/>
          <w:szCs w:val="24"/>
          <w:lang w:val="hr-HR"/>
        </w:rPr>
        <w:t xml:space="preserve">. </w:t>
      </w:r>
      <w:r w:rsidRPr="00325B91">
        <w:rPr>
          <w:i/>
          <w:iCs/>
          <w:sz w:val="24"/>
          <w:szCs w:val="24"/>
          <w:lang w:val="en-GB"/>
        </w:rPr>
        <w:t>Final report from phase II of the INCA project aiming to develop a pilot for an integrated system of ecosystem accounts for the EU. Statistical report</w:t>
      </w:r>
      <w:r w:rsidRPr="00325B91">
        <w:rPr>
          <w:sz w:val="24"/>
          <w:szCs w:val="24"/>
          <w:lang w:val="en-GB"/>
        </w:rPr>
        <w:t xml:space="preserve"> (Računovodstvo ekosustava i njihovih usluga u Europskoj uniji (INCA). Završno izvješće iz II. faze projekta INCA čiji je cilj razviti probni integrirani sustav računa ekosustava za EU. Statističko izvješće). Ured za publikacije Europske unije, Luxembourg, 2021.</w:t>
      </w:r>
    </w:p>
  </w:footnote>
  <w:footnote w:id="35">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shd w:val="clear" w:color="auto" w:fill="FFFFFF"/>
          <w:lang w:val="en-GB"/>
        </w:rPr>
        <w:tab/>
        <w:t>Komunikacija Komisije Europskom parlamentu, Vijeću, Europskom gospodarskom i socijalnom odboru i Odboru regija, Inicijativa EU-a za oprašivače</w:t>
      </w:r>
      <w:r w:rsidRPr="00325B91">
        <w:rPr>
          <w:sz w:val="24"/>
          <w:szCs w:val="24"/>
          <w:lang w:val="en-GB"/>
        </w:rPr>
        <w:t xml:space="preserve"> (COM(2018) 395 final).</w:t>
      </w:r>
    </w:p>
  </w:footnote>
  <w:footnote w:id="36">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vertAlign w:val="superscript"/>
          <w:lang w:val="en-GB"/>
        </w:rPr>
        <w:t xml:space="preserve"> </w:t>
      </w:r>
      <w:r w:rsidRPr="00325B91">
        <w:rPr>
          <w:sz w:val="24"/>
          <w:szCs w:val="24"/>
          <w:lang w:val="en-GB"/>
        </w:rPr>
        <w:tab/>
        <w:t>Izvješće Komisije Europskom parlamentu, Vijeću, Europskom gospodarskom i socijalnom odboru i Odboru regija „Napredak u provedbi Inicijative EU-a za oprašivače” (COM(2021) 261 final).</w:t>
      </w:r>
    </w:p>
  </w:footnote>
  <w:footnote w:id="37">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vertAlign w:val="superscript"/>
          <w:lang w:val="en-GB"/>
        </w:rPr>
        <w:t xml:space="preserve"> </w:t>
      </w:r>
      <w:r w:rsidRPr="00325B91">
        <w:rPr>
          <w:sz w:val="24"/>
          <w:szCs w:val="24"/>
          <w:lang w:val="en-GB"/>
        </w:rPr>
        <w:tab/>
        <w:t>Rezolucija Europskog parlamenta od 9. lipnja 2021. o Strategiji EU-a za bioraznolikost do 2030.: Vraćanje prirode u naše živote (2020/2273(INI)), dostupna na https://www.europarl.europa.eu/doceo/document/TA-9-2021-0277_HR.pdf</w:t>
      </w:r>
    </w:p>
  </w:footnote>
  <w:footnote w:id="38">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vertAlign w:val="superscript"/>
          <w:lang w:val="en-GB"/>
        </w:rPr>
        <w:t xml:space="preserve"> </w:t>
      </w:r>
      <w:r w:rsidRPr="00325B91">
        <w:rPr>
          <w:sz w:val="24"/>
          <w:szCs w:val="24"/>
          <w:lang w:val="en-GB"/>
        </w:rPr>
        <w:tab/>
        <w:t xml:space="preserve">Zaključci Vijeća </w:t>
      </w:r>
      <w:r w:rsidR="00D845EF" w:rsidRPr="00325B91">
        <w:rPr>
          <w:sz w:val="24"/>
          <w:szCs w:val="24"/>
          <w:lang w:val="en-GB"/>
        </w:rPr>
        <w:t xml:space="preserve">od 17. prosinca 2020. </w:t>
      </w:r>
      <w:r w:rsidRPr="00325B91">
        <w:rPr>
          <w:sz w:val="24"/>
          <w:szCs w:val="24"/>
          <w:lang w:val="en-GB"/>
        </w:rPr>
        <w:t>o tematskom izvješću Europskog revizorskog suda br. 15/2020 naslovljenom „Zaštita divljih oprašivača u EU-u – Komisijine inicijative nisu urodile plodom” (14168/20).</w:t>
      </w:r>
    </w:p>
  </w:footnote>
  <w:footnote w:id="39">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vertAlign w:val="superscript"/>
          <w:lang w:val="en-GB"/>
        </w:rPr>
        <w:t xml:space="preserve"> </w:t>
      </w:r>
      <w:r w:rsidRPr="00325B91">
        <w:rPr>
          <w:sz w:val="24"/>
          <w:szCs w:val="24"/>
          <w:lang w:val="en-GB"/>
        </w:rPr>
        <w:tab/>
        <w:t xml:space="preserve">Tematsko izvješće br. 15/2020, </w:t>
      </w:r>
      <w:hyperlink r:id="rId8">
        <w:r w:rsidRPr="00325B91">
          <w:rPr>
            <w:rStyle w:val="Internetlnk"/>
            <w:color w:val="auto"/>
            <w:sz w:val="24"/>
            <w:szCs w:val="24"/>
            <w:lang w:val="en-GB"/>
          </w:rPr>
          <w:t>https://www.eca.europa.eu/Lists/ECADocuments/SR20_15/SR_Pollinators_HR.pdf</w:t>
        </w:r>
      </w:hyperlink>
      <w:r w:rsidRPr="00325B91">
        <w:rPr>
          <w:sz w:val="24"/>
          <w:szCs w:val="24"/>
          <w:lang w:val="en-GB"/>
        </w:rPr>
        <w:t> </w:t>
      </w:r>
    </w:p>
  </w:footnote>
  <w:footnote w:id="40">
    <w:p w:rsidR="00F53FDE" w:rsidRPr="00325B91" w:rsidRDefault="00F53FDE" w:rsidP="00325B91">
      <w:pPr>
        <w:pStyle w:val="FootnoteText"/>
        <w:ind w:left="567" w:hanging="567"/>
        <w:rPr>
          <w:b/>
          <w:i/>
          <w:sz w:val="24"/>
          <w:szCs w:val="24"/>
          <w:lang w:val="en-GB"/>
        </w:rPr>
      </w:pPr>
      <w:r w:rsidRPr="00325B91">
        <w:rPr>
          <w:rStyle w:val="FootnoteReference"/>
          <w:bCs/>
          <w:sz w:val="24"/>
          <w:szCs w:val="24"/>
        </w:rPr>
        <w:footnoteRef/>
      </w:r>
      <w:r w:rsidRPr="00325B91">
        <w:rPr>
          <w:sz w:val="24"/>
          <w:szCs w:val="24"/>
          <w:lang w:val="en-GB"/>
        </w:rPr>
        <w:t xml:space="preserve"> </w:t>
      </w:r>
      <w:r w:rsidRPr="00325B91">
        <w:rPr>
          <w:sz w:val="24"/>
          <w:szCs w:val="24"/>
          <w:lang w:val="en-GB"/>
        </w:rPr>
        <w:tab/>
      </w:r>
      <w:r w:rsidRPr="00325B91">
        <w:rPr>
          <w:b/>
          <w:i/>
          <w:sz w:val="24"/>
          <w:szCs w:val="24"/>
          <w:lang w:val="en-GB"/>
        </w:rPr>
        <w:t>Komunikacija Komisije Europskom parlamentu, Vijeću, Europskom gospodarskom i socijalnom odboru i Odboru regija: „Revizija Inicijative EU-a za oprašivače – Novi plan za oprašivače” (COM(2023) 35 final).</w:t>
      </w:r>
    </w:p>
  </w:footnote>
  <w:footnote w:id="41">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 xml:space="preserve"> </w:t>
      </w:r>
      <w:r w:rsidRPr="00325B91">
        <w:rPr>
          <w:sz w:val="24"/>
          <w:szCs w:val="24"/>
          <w:lang w:val="en-GB"/>
        </w:rPr>
        <w:tab/>
      </w:r>
      <w:hyperlink r:id="rId9">
        <w:r w:rsidRPr="00325B91">
          <w:rPr>
            <w:rStyle w:val="Internetlnk"/>
            <w:color w:val="auto"/>
            <w:sz w:val="24"/>
            <w:szCs w:val="24"/>
            <w:lang w:val="en-GB"/>
          </w:rPr>
          <w:t>Europski crveni popis – Okoliš – Europska komisija (europa.eu)</w:t>
        </w:r>
      </w:hyperlink>
      <w:r w:rsidRPr="00325B91">
        <w:rPr>
          <w:sz w:val="24"/>
          <w:szCs w:val="24"/>
          <w:lang w:val="en-GB"/>
        </w:rPr>
        <w:t>.</w:t>
      </w:r>
    </w:p>
  </w:footnote>
  <w:footnote w:id="42">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 xml:space="preserve"> </w:t>
      </w:r>
      <w:r w:rsidRPr="00325B91">
        <w:rPr>
          <w:sz w:val="24"/>
          <w:szCs w:val="24"/>
          <w:lang w:val="en-GB"/>
        </w:rPr>
        <w:tab/>
        <w:t>Uredba (EU) 2021/2115 Europskog parlamenta i Vijeća od 2. prosinca 2021. o utvrđivanju pravila o potpori za strateške planove koje izrađuju države članice u okviru zajedničke poljoprivredne politike (strateški planovi u okviru ZPP-a) i koji se financiraju iz Europskog fonda za jamstva u poljoprivredi (EFJP) i Europskog poljoprivrednog fonda za ruralni razvoj (EPFRR) te o stavljanju izvan snage uredbi (EU) br. 1305/2013 i (EU) br. 1307/2013, SL L 435, 6.12.2021., str. 1.</w:t>
      </w:r>
    </w:p>
  </w:footnote>
  <w:footnote w:id="43">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 xml:space="preserve"> </w:t>
      </w:r>
      <w:r w:rsidRPr="00325B91">
        <w:rPr>
          <w:sz w:val="24"/>
          <w:szCs w:val="24"/>
          <w:lang w:val="en-GB"/>
        </w:rPr>
        <w:tab/>
        <w:t>Ako se poljoprivrednik obveže namijeniti najmanje 7 % svojeg obradivog zemljišta neproduktivnim površinama ili obilježjima, uključujući zemljište ostavljeno na ugaru, u okviru poboljšane ekosheme ili ako najmanje 7 % obradivog zemljišta na razini poljoprivrednog gospodarstva uključuje i postrne usjeve ili usjeve koji vežu dušik, koji se uzgajaju bez uporabe sredstava za zaštitu bilja.</w:t>
      </w:r>
    </w:p>
  </w:footnote>
  <w:footnote w:id="44">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 xml:space="preserve"> </w:t>
      </w:r>
      <w:r w:rsidRPr="00325B91">
        <w:rPr>
          <w:sz w:val="24"/>
          <w:szCs w:val="24"/>
          <w:lang w:val="en-GB"/>
        </w:rPr>
        <w:tab/>
        <w:t xml:space="preserve">Ponovno natapanje postupak je prenamjene isušenog tla u vlažno tlo. Poglavlje 1. izvješća IPCC-a, objavljenog 2014., naslovljenog </w:t>
      </w:r>
      <w:r w:rsidRPr="00325B91">
        <w:rPr>
          <w:i/>
          <w:iCs/>
          <w:sz w:val="24"/>
          <w:szCs w:val="24"/>
          <w:lang w:val="en-GB"/>
        </w:rPr>
        <w:t>2013 Supplement to the 2006 IPCC Guidelines for National Greenhouse Gas Inventories:</w:t>
      </w:r>
      <w:r w:rsidRPr="00325B91">
        <w:rPr>
          <w:sz w:val="24"/>
          <w:szCs w:val="24"/>
          <w:lang w:val="en-GB"/>
        </w:rPr>
        <w:t xml:space="preserve"> </w:t>
      </w:r>
      <w:r w:rsidRPr="00325B91">
        <w:rPr>
          <w:i/>
          <w:iCs/>
          <w:sz w:val="24"/>
          <w:szCs w:val="24"/>
          <w:lang w:val="en-GB"/>
        </w:rPr>
        <w:t>Wetlands</w:t>
      </w:r>
      <w:r w:rsidRPr="00325B91">
        <w:rPr>
          <w:sz w:val="24"/>
          <w:szCs w:val="24"/>
          <w:lang w:val="en-GB"/>
        </w:rPr>
        <w:t xml:space="preserve"> (Dopuna iz 2013. smjernicama IPCC-a iz 2006. za nacionalne inventare stakleničkih plinova: močvarna područja), Hiraishi, T., Krug, T., Tanabe, K., Srivastava, N., Baasansuren, J., Fukuda, M. i Troxler, T. G. (urednici).</w:t>
      </w:r>
    </w:p>
  </w:footnote>
  <w:footnote w:id="45">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 xml:space="preserve"> </w:t>
      </w:r>
      <w:r w:rsidRPr="00325B91">
        <w:rPr>
          <w:sz w:val="24"/>
          <w:szCs w:val="24"/>
          <w:lang w:val="en-GB"/>
        </w:rPr>
        <w:tab/>
        <w:t>Pojam „organsko tlo” definiran je u smjernicama IPCC-a iz 2006. za nacionalne inventare stakleničkih plinova, izrađenima u sklopu Programa nacionalnih inventara stakleničkih plinova, Eggleston H. S., Buendia L., Miwa K., Ngara T. i Tanabe K. (ur.).</w:t>
      </w:r>
    </w:p>
  </w:footnote>
  <w:footnote w:id="46">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Komunikacija Komisije Europskom parlamentu, Vijeću, Europskom gospodarskom i socijalnom odboru i Odboru regija naslovljena „Nova strategija EU-a za šume do 2030.” (COM(2021) 572 final).</w:t>
      </w:r>
    </w:p>
  </w:footnote>
  <w:footnote w:id="47">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2019/1241 Europskog parlamenta i Vijeća od 20. lipnja 2019. o očuvanju ribolovnih resursa i zaštiti morskih ekosustava putem tehničkih mjera, o izmjeni uredbi Vijeća (EZ) br. 1967/2006, (EZ) br. 1224/2009 i uredbi (EU) br. 1380/2013, (EU) 2016/1139, (EU) 2018/973, (EU) 2019/472 i (EU) 2019/1022 Europskog parlamenta i Vijeća te o stavljanju izvan snage uredbi Vijeća (EZ) br. 894/97, (EZ) br. 850/98, (EZ) br. 2549/2000, (EZ) br. 254/2002, (EZ) br. 812/2004 i (EZ) br. 2187/2005 (SL L 198, 25.7.2019., str. 105.).</w:t>
      </w:r>
    </w:p>
  </w:footnote>
  <w:footnote w:id="48">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Direktiva (EU) 2018/2001 Europskog parlamenta i Vijeća od 11. prosinca 2018. o promicanju uporabe energije iz obnovljivih izvora (SL L 328, 21.12.2018., str. 82.)</w:t>
      </w:r>
      <w:r w:rsidR="00325B91">
        <w:rPr>
          <w:sz w:val="24"/>
          <w:szCs w:val="24"/>
          <w:lang w:val="en-GB"/>
        </w:rPr>
        <w:t>.</w:t>
      </w:r>
    </w:p>
  </w:footnote>
  <w:footnote w:id="49">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2018/1999 Europskog parlamenta i Vijeća od 11. prosinca 2018. o upravljanju energetskom unijom i djelovanjem u području klime, izmjeni uredaba (EZ) br. 663/2009 i (EZ) br. 715/2009 Europskog parlamenta i Vijeća, direktiva 94/22/EZ, 98/70/EZ, 2009/31/EZ, 2009/73/EZ, 2010/31/EU, 2012/27/EU i 2013/30/EU Europskog parlamenta i Vijeća, direktiva Vijeća 2009/119/EZ i (EU) 2015/652 te stavljanju izvan snage Uredbe (EU) br. 525/2013 Europskog parlamenta i Vijeća (SL L 328, 21.12.2018., str. 1.).</w:t>
      </w:r>
    </w:p>
  </w:footnote>
  <w:footnote w:id="50">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 xml:space="preserve">Direktiva 98/70/EZ Europskog parlamenta i Vijeća od 13. listopada 1998. o kakvoći benzinskih i dizelskih goriva i izmjeni Direktive Vijeća 93/12/EEZ (SL L 350, 28.12.1998., str. 58.). </w:t>
      </w:r>
    </w:p>
    <w:p w:rsidR="00F53FDE" w:rsidRPr="00325B91" w:rsidRDefault="00F53FDE" w:rsidP="00325B91">
      <w:pPr>
        <w:pStyle w:val="FootnoteText"/>
        <w:ind w:left="567" w:hanging="567"/>
        <w:rPr>
          <w:sz w:val="24"/>
          <w:szCs w:val="24"/>
          <w:lang w:val="en-GB"/>
        </w:rPr>
      </w:pPr>
      <w:r w:rsidRPr="00325B91">
        <w:rPr>
          <w:snapToGrid w:val="0"/>
          <w:sz w:val="24"/>
          <w:szCs w:val="24"/>
          <w:lang w:val="en-GB"/>
        </w:rPr>
        <w:t>▌</w:t>
      </w:r>
    </w:p>
  </w:footnote>
  <w:footnote w:id="51">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Direktiva Vijeća 92/43/EEZ od 21. svibnja 1992. o očuvanju prirodnih staništa i divlje faune i flore (SL L 206, 22.7.1992., str. 7.).</w:t>
      </w:r>
    </w:p>
  </w:footnote>
  <w:footnote w:id="52">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Komunikacija Komisije Europskom parlamentu, Vijeću, Europskom gospodarskom i socijalnom odboru i Odboru regija o europskim misijama (COM(2021) 609 final).</w:t>
      </w:r>
    </w:p>
  </w:footnote>
  <w:footnote w:id="53">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Direktiva 2003/4/EZ Europskog parlamenta i Vijeća od 28. siječnja 2003. o javnom pristupu informacijama o okolišu i stavljanju izvan snage Direktive Vijeća 90/313/EEZ (SL L 41, 14.2.2003., str. 26.).</w:t>
      </w:r>
    </w:p>
  </w:footnote>
  <w:footnote w:id="54">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Direktiva 2007/2/EZ Europskog parlamenta i Vijeća od 14. ožujka 2007. o uspostavljanju infrastrukture za prostorne informacije u Europskoj zajednici (INSPIRE) (SL L 108, 25.4.2007., str. 1.).</w:t>
      </w:r>
    </w:p>
  </w:footnote>
  <w:footnote w:id="55">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Direktiva (EU) 2019/1024 Europskog parlamenta i Vijeća od 20. lipnja 2019. o otvorenim podatcima i ponovnoj uporabi informacija javnog sektora (SL L 172, 26.6.2019., str. 56.).</w:t>
      </w:r>
    </w:p>
  </w:footnote>
  <w:footnote w:id="56">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2021/240 Europskog parlamenta i Vijeća od 10. veljače 2021. o uspostavi Instrumenta za tehničku potporu (</w:t>
      </w:r>
      <w:r w:rsidRPr="00325B91">
        <w:rPr>
          <w:rStyle w:val="Betonad"/>
          <w:sz w:val="24"/>
          <w:szCs w:val="24"/>
          <w:lang w:val="en-GB"/>
        </w:rPr>
        <w:t>SL L 57, 18.2.2021., str. 1.).</w:t>
      </w:r>
    </w:p>
  </w:footnote>
  <w:footnote w:id="57">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2021/783 Europskog parlamenta i Vijeća od 29. travnja 2021. o uspostavi Programa za okoliš i djelovanje u području klime (LIFE) i stavljanju izvan snage Uredbe (EU) br. 1293/2013 (SL L 172, 17.5.2021., str. 53.).</w:t>
      </w:r>
    </w:p>
  </w:footnote>
  <w:footnote w:id="58">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2021/1139 Europskog parlamenta i Vijeća od 7. srpnja 2021. o uspostavi Europskog fonda za pomorstvo, ribarstvo i akvakulturu i izmjeni Uredbe (EU) 2017/1004 (SL L 247, 13.7.2021., str. 1.).</w:t>
      </w:r>
    </w:p>
  </w:footnote>
  <w:footnote w:id="59">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2020/2220 Europskog parlamenta i Vijeća od 23. prosinca 2020. o utvrđivanju određenih prijelaznih odredaba za potporu iz Europskog poljoprivrednog fonda za ruralni razvoj (EPFRR) i Europskog fonda za jamstva u poljoprivredi (EFJP) u godinama 2021. i 2022. i izmjeni uredaba (EU) br. 1305/2013, (EU) br. 1306/2013 i (EU) br. 1307/2013 u pogledu sredstava i primjene u godinama 2021. i 2022. te Uredbe (EU) br. 1308/2013 u pogledu sredstava i raspodjele takve potpore u godinama 2021. i 2022. (SL L 437, 28.12.2020., str. 1.).</w:t>
      </w:r>
    </w:p>
  </w:footnote>
  <w:footnote w:id="60">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2021/1058 Europskog parlamenta i Vijeća od 24. lipnja 2021. o Europskom fondu za regionalni razvoj i Kohezijskom fondu (SL L 231, 30.6.2021., str. 60.).</w:t>
      </w:r>
    </w:p>
  </w:footnote>
  <w:footnote w:id="61">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2021/1056 Europskog parlamenta i Vijeća od 24. lipnja 2021. o uspostavi Fonda za pravednu tranziciju (SL L 231, 30.6.2021., str. 1.).</w:t>
      </w:r>
    </w:p>
  </w:footnote>
  <w:footnote w:id="62">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2021/695 Europskog parlamenta i Vijeća od 28. travnja 2021. o uspostavi Okvirnog programa za istraživanja i inovacije Obzor Europa, o utvrđivanju pravila za sudjelovanje i širenje rezultata te o stavljanju izvan snage uredbi (EU) br. 1290/2013 i (EU) br. 1291/2013 (SL L 170, 12.5.2021</w:t>
      </w:r>
      <w:r w:rsidR="00325B91" w:rsidRPr="00325B91">
        <w:rPr>
          <w:sz w:val="24"/>
          <w:szCs w:val="24"/>
          <w:lang w:val="en-GB"/>
        </w:rPr>
        <w:t>.</w:t>
      </w:r>
      <w:r w:rsidRPr="00325B91">
        <w:rPr>
          <w:sz w:val="24"/>
          <w:szCs w:val="24"/>
          <w:lang w:val="en-GB"/>
        </w:rPr>
        <w:t>, str. 1</w:t>
      </w:r>
      <w:r w:rsidR="00325B91" w:rsidRPr="00325B91">
        <w:rPr>
          <w:sz w:val="24"/>
          <w:szCs w:val="24"/>
          <w:lang w:val="en-GB"/>
        </w:rPr>
        <w:t>.</w:t>
      </w:r>
      <w:r w:rsidRPr="00325B91">
        <w:rPr>
          <w:sz w:val="24"/>
          <w:szCs w:val="24"/>
          <w:lang w:val="en-GB"/>
        </w:rPr>
        <w:t>).</w:t>
      </w:r>
    </w:p>
  </w:footnote>
  <w:footnote w:id="63">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Vijeća (EU, Euratom) 2020/2093 od 17. prosinca 2020. kojom se utvrđuje višegodišnji financijski okvir za razdoblje 2021.–2027. (SL L 433I, 22.12.2020., str. 11.).</w:t>
      </w:r>
    </w:p>
  </w:footnote>
  <w:footnote w:id="64">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2021/241 Europskog parlamenta i Vijeća od 12. veljače 2021. o uspostavi Mehanizma za oporavak i otpornost (SL L 57, 18.2.2021., str. 17.).</w:t>
      </w:r>
    </w:p>
  </w:footnote>
  <w:footnote w:id="65">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shd w:val="clear" w:color="auto" w:fill="FFFFFF"/>
          <w:lang w:val="en-GB"/>
        </w:rPr>
        <w:tab/>
        <w:t>Uredba (EU) 2021/523 Europskog parlamenta i Vijeća od 24. ožujka 2021. o uspostavi programa InvestEU i izmjeni Uredbe (EU) 2015/1017 (</w:t>
      </w:r>
      <w:r w:rsidRPr="00325B91">
        <w:rPr>
          <w:rStyle w:val="Betonad"/>
          <w:sz w:val="24"/>
          <w:szCs w:val="24"/>
          <w:shd w:val="clear" w:color="auto" w:fill="FFFFFF"/>
          <w:lang w:val="en-GB"/>
        </w:rPr>
        <w:t>SL L 107, 26.3.2021., str. 30.).</w:t>
      </w:r>
    </w:p>
  </w:footnote>
  <w:footnote w:id="66">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Komunikacija Komisije Europskom parlamentu i Vijeću, Održivi ciklusi ugljika (COM(2021) 800 final).</w:t>
      </w:r>
    </w:p>
  </w:footnote>
  <w:footnote w:id="67">
    <w:p w:rsidR="00F53FDE" w:rsidRPr="00325B91"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325B91">
        <w:rPr>
          <w:sz w:val="24"/>
          <w:szCs w:val="24"/>
          <w:lang w:val="en-GB"/>
        </w:rPr>
        <w:tab/>
        <w:t>Uredba (EU) 2021/2115 Europskog parlamenta i Vijeća od 2. prosinca 2021. o utvrđivanju pravila o potpori za strateške planove koje izrađuju države članice u okviru zajedničke poljoprivredne politike (strateški planovi u okviru ZPP-a) i koji se financiraju iz Europskog fonda za jamstva u poljoprivredi (EFJP) i Europskog poljoprivrednog fonda za ruralni razvoj (EPFRR) te o stavljanju izvan snage uredbi (EU) br. 1305/2013 i (EU) br. 1307/2013 (SL L 435, 6.12.2021., str. 1.).</w:t>
      </w:r>
    </w:p>
  </w:footnote>
  <w:footnote w:id="68">
    <w:p w:rsidR="00F53FDE" w:rsidRPr="000B7900" w:rsidRDefault="00F53FDE" w:rsidP="00325B91">
      <w:pPr>
        <w:pStyle w:val="FootnoteText"/>
        <w:ind w:left="567" w:hanging="567"/>
        <w:rPr>
          <w:sz w:val="24"/>
          <w:szCs w:val="24"/>
          <w:lang w:val="en-GB"/>
        </w:rPr>
      </w:pPr>
      <w:r w:rsidRPr="00325B91">
        <w:rPr>
          <w:rStyle w:val="FootnoteCharacters"/>
          <w:rFonts w:eastAsia="Calibri"/>
          <w:sz w:val="24"/>
          <w:szCs w:val="24"/>
          <w:vertAlign w:val="superscript"/>
        </w:rPr>
        <w:footnoteRef/>
      </w:r>
      <w:r w:rsidRPr="000B7900">
        <w:rPr>
          <w:sz w:val="24"/>
          <w:szCs w:val="24"/>
          <w:lang w:val="en-GB"/>
        </w:rPr>
        <w:tab/>
        <w:t>[Dodati upućivanje nakon objave Osmog programa djelovanja za okoliš].</w:t>
      </w:r>
    </w:p>
  </w:footnote>
  <w:footnote w:id="69">
    <w:p w:rsidR="00F53FDE" w:rsidRPr="00325B91" w:rsidRDefault="00F53FDE" w:rsidP="00325B91">
      <w:pPr>
        <w:pStyle w:val="FootnoteText"/>
        <w:ind w:left="567" w:hanging="567"/>
        <w:rPr>
          <w:sz w:val="24"/>
          <w:szCs w:val="24"/>
          <w:lang w:val="hr-HR"/>
        </w:rPr>
      </w:pPr>
      <w:r w:rsidRPr="00325B91">
        <w:rPr>
          <w:rStyle w:val="FootnoteReference"/>
          <w:sz w:val="24"/>
          <w:szCs w:val="24"/>
        </w:rPr>
        <w:footnoteRef/>
      </w:r>
      <w:r w:rsidRPr="000B7900">
        <w:rPr>
          <w:sz w:val="24"/>
          <w:szCs w:val="24"/>
          <w:lang w:val="en-GB"/>
        </w:rPr>
        <w:t xml:space="preserve"> </w:t>
      </w:r>
      <w:r w:rsidRPr="00325B91">
        <w:rPr>
          <w:sz w:val="24"/>
          <w:szCs w:val="24"/>
          <w:lang w:val="hr-HR"/>
        </w:rPr>
        <w:tab/>
      </w:r>
      <w:r w:rsidRPr="000B7900">
        <w:rPr>
          <w:sz w:val="24"/>
          <w:szCs w:val="24"/>
          <w:lang w:val="en-GB"/>
        </w:rPr>
        <w:t>Međuinstitucijski sporazum Europskog parlamenta, Vijeća Europske unije i Europske komisije o boljoj izradi zakonodavstva (SL L 123, 12.5.2016., str. 1.).</w:t>
      </w:r>
    </w:p>
  </w:footnote>
  <w:footnote w:id="70">
    <w:p w:rsidR="00F53FDE" w:rsidRPr="000B7900" w:rsidRDefault="00F53FDE" w:rsidP="00325B91">
      <w:pPr>
        <w:pStyle w:val="FootnoteText"/>
        <w:ind w:left="567" w:hanging="567"/>
        <w:rPr>
          <w:sz w:val="24"/>
          <w:szCs w:val="24"/>
          <w:lang w:val="hr-HR"/>
        </w:rPr>
      </w:pPr>
      <w:r w:rsidRPr="00325B91">
        <w:rPr>
          <w:rStyle w:val="FootnoteCharacters"/>
          <w:rFonts w:eastAsia="Calibri"/>
          <w:sz w:val="24"/>
          <w:szCs w:val="24"/>
          <w:vertAlign w:val="superscript"/>
        </w:rPr>
        <w:footnoteRef/>
      </w:r>
      <w:r w:rsidRPr="000B7900">
        <w:rPr>
          <w:sz w:val="24"/>
          <w:szCs w:val="24"/>
          <w:lang w:val="hr-HR"/>
        </w:rPr>
        <w:tab/>
        <w:t>Uredba (EU) br. 182/2011 Europskog parlamenta i Vijeća od 16. veljače 2011. o utvrđivanju pravila i općih načela u vezi s mehanizmima nadzora država članica nad izvršavanjem provedbenih ovlasti Komisije (SL L 55, 28.2.2011., str. 13.).</w:t>
      </w:r>
    </w:p>
  </w:footnote>
  <w:footnote w:id="71">
    <w:p w:rsidR="00F53FDE" w:rsidRPr="000B7900" w:rsidRDefault="00F53FDE" w:rsidP="00325B91">
      <w:pPr>
        <w:pStyle w:val="FootnoteText"/>
        <w:ind w:left="567" w:hanging="567"/>
        <w:rPr>
          <w:sz w:val="24"/>
          <w:szCs w:val="24"/>
          <w:lang w:val="hr-HR"/>
        </w:rPr>
      </w:pPr>
      <w:r w:rsidRPr="00BC101D">
        <w:rPr>
          <w:rStyle w:val="FootnoteCharacters"/>
          <w:rFonts w:eastAsia="Calibri"/>
          <w:sz w:val="24"/>
          <w:szCs w:val="24"/>
          <w:vertAlign w:val="superscript"/>
        </w:rPr>
        <w:footnoteRef/>
      </w:r>
      <w:r w:rsidRPr="000B7900">
        <w:rPr>
          <w:sz w:val="24"/>
          <w:szCs w:val="24"/>
          <w:shd w:val="clear" w:color="auto" w:fill="FFFFFF"/>
          <w:lang w:val="hr-HR"/>
        </w:rPr>
        <w:tab/>
        <w:t>Uredba (EZ) br. 1059/2003 Europskog parlamenta i Vijeća od 26. svibnja 2003. o uspostavi zajedničkog razvrstavanja prostornih jedinica za statistiku (NUTS) (</w:t>
      </w:r>
      <w:r w:rsidRPr="000B7900">
        <w:rPr>
          <w:rStyle w:val="Betonad"/>
          <w:i w:val="0"/>
          <w:sz w:val="24"/>
          <w:szCs w:val="24"/>
          <w:shd w:val="clear" w:color="auto" w:fill="FFFFFF"/>
          <w:lang w:val="hr-HR"/>
        </w:rPr>
        <w:t>SL L</w:t>
      </w:r>
      <w:r w:rsidRPr="000B7900">
        <w:rPr>
          <w:rStyle w:val="Betonad"/>
          <w:sz w:val="24"/>
          <w:szCs w:val="24"/>
          <w:shd w:val="clear" w:color="auto" w:fill="FFFFFF"/>
          <w:lang w:val="hr-HR"/>
        </w:rPr>
        <w:t xml:space="preserve"> </w:t>
      </w:r>
      <w:r w:rsidRPr="000B7900">
        <w:rPr>
          <w:rStyle w:val="Betonad"/>
          <w:i w:val="0"/>
          <w:sz w:val="24"/>
          <w:szCs w:val="24"/>
          <w:shd w:val="clear" w:color="auto" w:fill="FFFFFF"/>
          <w:lang w:val="hr-HR"/>
        </w:rPr>
        <w:t>154, 21</w:t>
      </w:r>
      <w:r w:rsidRPr="000B7900">
        <w:rPr>
          <w:rStyle w:val="Betonad"/>
          <w:sz w:val="24"/>
          <w:szCs w:val="24"/>
          <w:shd w:val="clear" w:color="auto" w:fill="FFFFFF"/>
          <w:lang w:val="hr-HR"/>
        </w:rPr>
        <w:t>.</w:t>
      </w:r>
      <w:r w:rsidRPr="000B7900">
        <w:rPr>
          <w:rStyle w:val="Betonad"/>
          <w:i w:val="0"/>
          <w:sz w:val="24"/>
          <w:szCs w:val="24"/>
          <w:shd w:val="clear" w:color="auto" w:fill="FFFFFF"/>
          <w:lang w:val="hr-HR"/>
        </w:rPr>
        <w:t>6.2003., str. 1.).</w:t>
      </w:r>
    </w:p>
  </w:footnote>
  <w:footnote w:id="72">
    <w:p w:rsidR="00F53FDE" w:rsidRPr="000B7900" w:rsidRDefault="00F53FDE" w:rsidP="00325B91">
      <w:pPr>
        <w:pStyle w:val="FootnoteText"/>
        <w:ind w:left="567" w:hanging="567"/>
        <w:rPr>
          <w:sz w:val="24"/>
          <w:szCs w:val="24"/>
          <w:lang w:val="hr-HR"/>
        </w:rPr>
      </w:pPr>
      <w:r w:rsidRPr="00BC101D">
        <w:rPr>
          <w:rStyle w:val="FootnoteCharacters"/>
          <w:rFonts w:eastAsia="Calibri"/>
          <w:sz w:val="24"/>
          <w:szCs w:val="24"/>
          <w:vertAlign w:val="superscript"/>
        </w:rPr>
        <w:footnoteRef/>
      </w:r>
      <w:r w:rsidRPr="000B7900">
        <w:rPr>
          <w:sz w:val="24"/>
          <w:szCs w:val="24"/>
          <w:lang w:val="hr-HR"/>
        </w:rPr>
        <w:tab/>
        <w:t>Uredba (EU) 2021/696 Europskog parlamenta i Vijeća od 28. travnja 2021. o uspostavi Svemirskog programa Unije i osnivanju Agencije Europske unije za svemirski program te o stavljanju izvan snage uredaba (EU) br. 912/2010, (EU) br. 1285/2013 i (EU) br. 377/2014 i Odluke br. 541/2014/EU (SL L 170, 12.5.2021., str. 69.).</w:t>
      </w:r>
    </w:p>
  </w:footnote>
  <w:footnote w:id="73">
    <w:p w:rsidR="00F53FDE" w:rsidRPr="00325B91" w:rsidRDefault="00F53FDE" w:rsidP="00325B91">
      <w:pPr>
        <w:pStyle w:val="Point0number"/>
        <w:tabs>
          <w:tab w:val="clear" w:pos="850"/>
        </w:tabs>
        <w:suppressAutoHyphens w:val="0"/>
        <w:spacing w:before="0" w:after="0" w:line="260" w:lineRule="exact"/>
        <w:ind w:left="567" w:hanging="567"/>
        <w:jc w:val="left"/>
        <w:rPr>
          <w:szCs w:val="24"/>
        </w:rPr>
      </w:pPr>
      <w:r w:rsidRPr="00BC101D">
        <w:rPr>
          <w:rStyle w:val="FootnoteCharacters"/>
          <w:szCs w:val="24"/>
          <w:vertAlign w:val="superscript"/>
        </w:rPr>
        <w:footnoteRef/>
      </w:r>
      <w:r w:rsidRPr="00325B91">
        <w:rPr>
          <w:szCs w:val="24"/>
        </w:rPr>
        <w:tab/>
        <w:t>Prijedlog Direktive Europskog parlamenta i Vijeća o izmjeni Direktive (EU) 2018/2001 o promicanju uporabe energije iz obnovljivih izvora, Direktive 2010/31/EU o energetskim svojstvima zgrada i Direktive 2012/27/EU o energetskoj učinkovitosti, COM(2022) 222 final.</w:t>
      </w:r>
    </w:p>
    <w:p w:rsidR="00F53FDE" w:rsidRPr="000B7900" w:rsidRDefault="00F53FDE" w:rsidP="00325B91">
      <w:pPr>
        <w:pStyle w:val="FootnoteText"/>
        <w:ind w:left="567" w:hanging="567"/>
        <w:rPr>
          <w:sz w:val="24"/>
          <w:szCs w:val="24"/>
          <w:lang w:val="hr-HR"/>
        </w:rPr>
      </w:pPr>
    </w:p>
  </w:footnote>
  <w:footnote w:id="74">
    <w:p w:rsidR="00F53FDE" w:rsidRPr="00325B91" w:rsidRDefault="00F53FDE" w:rsidP="00325B91">
      <w:pPr>
        <w:pStyle w:val="FootnoteText"/>
        <w:ind w:left="567" w:hanging="567"/>
        <w:rPr>
          <w:sz w:val="24"/>
          <w:szCs w:val="24"/>
        </w:rPr>
      </w:pPr>
      <w:r w:rsidRPr="00325B91">
        <w:rPr>
          <w:rStyle w:val="FootnoteReference"/>
          <w:sz w:val="24"/>
          <w:szCs w:val="24"/>
        </w:rPr>
        <w:footnoteRef/>
      </w:r>
      <w:r w:rsidRPr="00325B91">
        <w:rPr>
          <w:sz w:val="24"/>
          <w:szCs w:val="24"/>
          <w:lang w:val="pl-PL"/>
        </w:rPr>
        <w:tab/>
      </w:r>
      <w:hyperlink r:id="rId10" w:history="1">
        <w:r w:rsidRPr="00325B91">
          <w:rPr>
            <w:rStyle w:val="Hyperlink"/>
            <w:color w:val="auto"/>
            <w:sz w:val="24"/>
            <w:szCs w:val="24"/>
            <w:lang w:val="pl-PL"/>
          </w:rPr>
          <w:t>Klasifikacija morskih staništa prema EUNIS-u za 2022.</w:t>
        </w:r>
      </w:hyperlink>
      <w:hyperlink r:id="rId11" w:history="1">
        <w:r w:rsidRPr="00325B91">
          <w:rPr>
            <w:rStyle w:val="Hyperlink"/>
            <w:color w:val="auto"/>
            <w:sz w:val="24"/>
            <w:szCs w:val="24"/>
          </w:rPr>
          <w:t>Europska agencija za okoliš.</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Default="00F53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Default="00F53F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Default="00F53F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6840D6" w:rsidRDefault="00F53FDE" w:rsidP="00F53F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6840D6" w:rsidRDefault="00F53FDE" w:rsidP="00F53F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8E5706" w:rsidRDefault="00F53FDE"/>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8E5706" w:rsidRDefault="00F53FDE"/>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DE" w:rsidRPr="008E5706" w:rsidRDefault="00F53FD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750A"/>
    <w:multiLevelType w:val="multilevel"/>
    <w:tmpl w:val="8F9CF8A6"/>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cs="Times New Roman" w:hint="default"/>
      </w:rPr>
    </w:lvl>
    <w:lvl w:ilvl="3">
      <w:start w:val="1"/>
      <w:numFmt w:val="bullet"/>
      <w:pStyle w:val="ListNumber3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6BA3735"/>
    <w:multiLevelType w:val="multilevel"/>
    <w:tmpl w:val="3D0C48D4"/>
    <w:lvl w:ilvl="0">
      <w:start w:val="1"/>
      <w:numFmt w:val="bullet"/>
      <w:pStyle w:val="Tiret1"/>
      <w:lvlText w:val=""/>
      <w:lvlJc w:val="left"/>
      <w:pPr>
        <w:tabs>
          <w:tab w:val="num" w:pos="1417"/>
        </w:tabs>
        <w:ind w:left="141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6" w15:restartNumberingAfterBreak="0">
    <w:nsid w:val="0CFD71F5"/>
    <w:multiLevelType w:val="multilevel"/>
    <w:tmpl w:val="2F4CFA44"/>
    <w:styleLink w:val="Aktuelllista14"/>
    <w:lvl w:ilvl="0">
      <w:start w:val="1"/>
      <w:numFmt w:val="decimal"/>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40E193E"/>
    <w:multiLevelType w:val="multilevel"/>
    <w:tmpl w:val="29EA3E90"/>
    <w:lvl w:ilvl="0">
      <w:start w:val="1"/>
      <w:numFmt w:val="bullet"/>
      <w:pStyle w:val="Tiret4"/>
      <w:lvlText w:val=""/>
      <w:lvlJc w:val="left"/>
      <w:pPr>
        <w:tabs>
          <w:tab w:val="num" w:pos="3118"/>
        </w:tabs>
        <w:ind w:left="3118"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6F31907"/>
    <w:multiLevelType w:val="multilevel"/>
    <w:tmpl w:val="B93E0D4E"/>
    <w:lvl w:ilvl="0">
      <w:start w:val="1"/>
      <w:numFmt w:val="bullet"/>
      <w:pStyle w:val="ListDash4"/>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12" w15:restartNumberingAfterBreak="0">
    <w:nsid w:val="1B3C78B8"/>
    <w:multiLevelType w:val="multilevel"/>
    <w:tmpl w:val="2ED4F4D0"/>
    <w:styleLink w:val="Aktuelllista1"/>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14" w15:restartNumberingAfterBreak="0">
    <w:nsid w:val="21480B22"/>
    <w:multiLevelType w:val="multilevel"/>
    <w:tmpl w:val="B5AE76E8"/>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cs="Times New Roman" w:hint="default"/>
      </w:rPr>
    </w:lvl>
    <w:lvl w:ilvl="3">
      <w:start w:val="1"/>
      <w:numFmt w:val="bullet"/>
      <w:pStyle w:val="ListNumber2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98393D"/>
    <w:multiLevelType w:val="multilevel"/>
    <w:tmpl w:val="16A2AF26"/>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B730CFD"/>
    <w:multiLevelType w:val="multilevel"/>
    <w:tmpl w:val="0BFC2A2C"/>
    <w:lvl w:ilvl="0">
      <w:start w:val="1"/>
      <w:numFmt w:val="bullet"/>
      <w:pStyle w:val="Tiret3"/>
      <w:lvlText w:val=""/>
      <w:lvlJc w:val="left"/>
      <w:pPr>
        <w:tabs>
          <w:tab w:val="num" w:pos="2551"/>
        </w:tabs>
        <w:ind w:left="2551"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C9B0453"/>
    <w:multiLevelType w:val="multilevel"/>
    <w:tmpl w:val="1A20A4CA"/>
    <w:numStyleLink w:val="RKPunktlista"/>
  </w:abstractNum>
  <w:abstractNum w:abstractNumId="20" w15:restartNumberingAfterBreak="0">
    <w:nsid w:val="315257A4"/>
    <w:multiLevelType w:val="multilevel"/>
    <w:tmpl w:val="F3FE0882"/>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38EF5EB8"/>
    <w:multiLevelType w:val="multilevel"/>
    <w:tmpl w:val="11100894"/>
    <w:lvl w:ilvl="0">
      <w:start w:val="1"/>
      <w:numFmt w:val="bullet"/>
      <w:pStyle w:val="Tiret2"/>
      <w:lvlText w:val=""/>
      <w:lvlJc w:val="left"/>
      <w:pPr>
        <w:tabs>
          <w:tab w:val="num" w:pos="1984"/>
        </w:tabs>
        <w:ind w:left="1984"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3E464C48"/>
    <w:multiLevelType w:val="multilevel"/>
    <w:tmpl w:val="47D0704A"/>
    <w:lvl w:ilvl="0">
      <w:start w:val="1"/>
      <w:numFmt w:val="bullet"/>
      <w:pStyle w:val="Tiret5"/>
      <w:lvlText w:val=""/>
      <w:lvlJc w:val="left"/>
      <w:pPr>
        <w:tabs>
          <w:tab w:val="num" w:pos="3685"/>
        </w:tabs>
        <w:ind w:left="3685"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01A7262"/>
    <w:multiLevelType w:val="multilevel"/>
    <w:tmpl w:val="F998E014"/>
    <w:styleLink w:val="Strecklistan3"/>
    <w:lvl w:ilvl="0">
      <w:start w:val="1"/>
      <w:numFmt w:val="bullet"/>
      <w:pStyle w:val="ListBullet1"/>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7" w15:restartNumberingAfterBreak="0">
    <w:nsid w:val="4B8A3A2B"/>
    <w:multiLevelType w:val="hybridMultilevel"/>
    <w:tmpl w:val="299C9EA4"/>
    <w:lvl w:ilvl="0" w:tplc="4E381EE0">
      <w:start w:val="1"/>
      <w:numFmt w:val="lowerLetter"/>
      <w:lvlText w:val="%1)"/>
      <w:lvlJc w:val="left"/>
      <w:pPr>
        <w:ind w:left="720" w:hanging="360"/>
      </w:pPr>
      <w:rPr>
        <w:rFonts w:ascii="Times New Roman" w:hAnsi="Times New Roman" w:cs="Times New Roman" w:hint="default"/>
        <w:sz w:val="20"/>
      </w:rPr>
    </w:lvl>
    <w:lvl w:ilvl="1" w:tplc="F126CB3C">
      <w:start w:val="1"/>
      <w:numFmt w:val="lowerLetter"/>
      <w:lvlText w:val="%2."/>
      <w:lvlJc w:val="left"/>
      <w:pPr>
        <w:ind w:left="1440" w:hanging="360"/>
      </w:pPr>
    </w:lvl>
    <w:lvl w:ilvl="2" w:tplc="341094E8">
      <w:start w:val="1"/>
      <w:numFmt w:val="lowerRoman"/>
      <w:lvlText w:val="%3."/>
      <w:lvlJc w:val="right"/>
      <w:pPr>
        <w:ind w:left="2160" w:hanging="180"/>
      </w:pPr>
    </w:lvl>
    <w:lvl w:ilvl="3" w:tplc="13D09A7C">
      <w:start w:val="1"/>
      <w:numFmt w:val="decimal"/>
      <w:lvlText w:val="%4."/>
      <w:lvlJc w:val="left"/>
      <w:pPr>
        <w:ind w:left="2880" w:hanging="360"/>
      </w:pPr>
    </w:lvl>
    <w:lvl w:ilvl="4" w:tplc="1E12182E">
      <w:start w:val="1"/>
      <w:numFmt w:val="lowerLetter"/>
      <w:lvlText w:val="%5."/>
      <w:lvlJc w:val="left"/>
      <w:pPr>
        <w:ind w:left="3600" w:hanging="360"/>
      </w:pPr>
    </w:lvl>
    <w:lvl w:ilvl="5" w:tplc="E6CEEF32">
      <w:start w:val="1"/>
      <w:numFmt w:val="lowerRoman"/>
      <w:lvlText w:val="%6."/>
      <w:lvlJc w:val="right"/>
      <w:pPr>
        <w:ind w:left="4320" w:hanging="180"/>
      </w:pPr>
    </w:lvl>
    <w:lvl w:ilvl="6" w:tplc="134C9F34">
      <w:start w:val="1"/>
      <w:numFmt w:val="decimal"/>
      <w:lvlText w:val="%7."/>
      <w:lvlJc w:val="left"/>
      <w:pPr>
        <w:ind w:left="5040" w:hanging="360"/>
      </w:pPr>
    </w:lvl>
    <w:lvl w:ilvl="7" w:tplc="F8B28A06">
      <w:start w:val="1"/>
      <w:numFmt w:val="lowerLetter"/>
      <w:lvlText w:val="%8."/>
      <w:lvlJc w:val="left"/>
      <w:pPr>
        <w:ind w:left="5760" w:hanging="360"/>
      </w:pPr>
    </w:lvl>
    <w:lvl w:ilvl="8" w:tplc="AD92529A">
      <w:start w:val="1"/>
      <w:numFmt w:val="lowerRoman"/>
      <w:lvlText w:val="%9."/>
      <w:lvlJc w:val="right"/>
      <w:pPr>
        <w:ind w:left="6480" w:hanging="180"/>
      </w:pPr>
    </w:lvl>
  </w:abstractNum>
  <w:abstractNum w:abstractNumId="2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9" w15:restartNumberingAfterBreak="0">
    <w:nsid w:val="5793654D"/>
    <w:multiLevelType w:val="multilevel"/>
    <w:tmpl w:val="264A3694"/>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cs="Times New Roman" w:hint="default"/>
      </w:rPr>
    </w:lvl>
    <w:lvl w:ilvl="3">
      <w:start w:val="1"/>
      <w:numFmt w:val="bullet"/>
      <w:pStyle w:val="ListNumber1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E50B93"/>
    <w:multiLevelType w:val="multilevel"/>
    <w:tmpl w:val="563A858C"/>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2"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3" w15:restartNumberingAfterBreak="0">
    <w:nsid w:val="60C70BCF"/>
    <w:multiLevelType w:val="multilevel"/>
    <w:tmpl w:val="723E4EF2"/>
    <w:styleLink w:val="Aktuelllista23"/>
    <w:lvl w:ilvl="0">
      <w:start w:val="1"/>
      <w:numFmt w:val="bullet"/>
      <w:pStyle w:val="ListDash2"/>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4A12FA4"/>
    <w:multiLevelType w:val="multilevel"/>
    <w:tmpl w:val="428ECF3E"/>
    <w:name w:val="Heading"/>
    <w:styleLink w:val="Aktuelllista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5C754F5"/>
    <w:multiLevelType w:val="multilevel"/>
    <w:tmpl w:val="12386B6E"/>
    <w:lvl w:ilvl="0">
      <w:start w:val="1"/>
      <w:numFmt w:val="bullet"/>
      <w:pStyle w:val="ListDash1"/>
      <w:lvlText w:val="–"/>
      <w:lvlJc w:val="left"/>
      <w:pPr>
        <w:tabs>
          <w:tab w:val="num" w:pos="1133"/>
        </w:tabs>
        <w:ind w:left="113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7"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38" w15:restartNumberingAfterBreak="0">
    <w:nsid w:val="6C7E640E"/>
    <w:multiLevelType w:val="multilevel"/>
    <w:tmpl w:val="982A2036"/>
    <w:lvl w:ilvl="0">
      <w:start w:val="1"/>
      <w:numFmt w:val="bullet"/>
      <w:pStyle w:val="ListDash3"/>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0"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1" w15:restartNumberingAfterBreak="0">
    <w:nsid w:val="70AD7C04"/>
    <w:multiLevelType w:val="multilevel"/>
    <w:tmpl w:val="114A8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32A6128"/>
    <w:multiLevelType w:val="multilevel"/>
    <w:tmpl w:val="19F8A770"/>
    <w:lvl w:ilvl="0">
      <w:start w:val="1"/>
      <w:numFmt w:val="bullet"/>
      <w:pStyle w:val="Bull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4" w15:restartNumberingAfterBreak="0">
    <w:nsid w:val="754E0D1C"/>
    <w:multiLevelType w:val="multilevel"/>
    <w:tmpl w:val="288CDC98"/>
    <w:lvl w:ilvl="0">
      <w:start w:val="1"/>
      <w:numFmt w:val="bullet"/>
      <w:pStyle w:val="ListBullet4"/>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6"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47"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8" w15:restartNumberingAfterBreak="0">
    <w:nsid w:val="7D027953"/>
    <w:multiLevelType w:val="multilevel"/>
    <w:tmpl w:val="89EED0BC"/>
    <w:styleLink w:val="Strecklistan"/>
    <w:lvl w:ilvl="0">
      <w:start w:val="1"/>
      <w:numFmt w:val="decimal"/>
      <w:pStyle w:val="Considrant"/>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FCA35A4"/>
    <w:multiLevelType w:val="multilevel"/>
    <w:tmpl w:val="3358008A"/>
    <w:lvl w:ilvl="0">
      <w:start w:val="1"/>
      <w:numFmt w:val="bullet"/>
      <w:pStyle w:val="Tir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22"/>
  </w:num>
  <w:num w:numId="3">
    <w:abstractNumId w:val="39"/>
  </w:num>
  <w:num w:numId="4">
    <w:abstractNumId w:val="2"/>
  </w:num>
  <w:num w:numId="5">
    <w:abstractNumId w:val="40"/>
  </w:num>
  <w:num w:numId="6">
    <w:abstractNumId w:val="32"/>
  </w:num>
  <w:num w:numId="7">
    <w:abstractNumId w:val="5"/>
  </w:num>
  <w:num w:numId="8">
    <w:abstractNumId w:val="45"/>
  </w:num>
  <w:num w:numId="9">
    <w:abstractNumId w:val="47"/>
  </w:num>
  <w:num w:numId="10">
    <w:abstractNumId w:val="28"/>
  </w:num>
  <w:num w:numId="11">
    <w:abstractNumId w:val="43"/>
  </w:num>
  <w:num w:numId="12">
    <w:abstractNumId w:val="36"/>
  </w:num>
  <w:num w:numId="13">
    <w:abstractNumId w:val="26"/>
  </w:num>
  <w:num w:numId="14">
    <w:abstractNumId w:val="13"/>
  </w:num>
  <w:num w:numId="15">
    <w:abstractNumId w:val="11"/>
  </w:num>
  <w:num w:numId="16">
    <w:abstractNumId w:val="37"/>
  </w:num>
  <w:num w:numId="17">
    <w:abstractNumId w:val="46"/>
  </w:num>
  <w:num w:numId="18">
    <w:abstractNumId w:val="1"/>
  </w:num>
  <w:num w:numId="19">
    <w:abstractNumId w:val="15"/>
  </w:num>
  <w:num w:numId="20">
    <w:abstractNumId w:val="10"/>
  </w:num>
  <w:num w:numId="21">
    <w:abstractNumId w:val="16"/>
  </w:num>
  <w:num w:numId="22">
    <w:abstractNumId w:val="30"/>
  </w:num>
  <w:num w:numId="23">
    <w:abstractNumId w:val="7"/>
  </w:num>
  <w:num w:numId="24">
    <w:abstractNumId w:val="19"/>
  </w:num>
  <w:num w:numId="25">
    <w:abstractNumId w:val="24"/>
  </w:num>
  <w:num w:numId="26">
    <w:abstractNumId w:val="44"/>
  </w:num>
  <w:num w:numId="27">
    <w:abstractNumId w:val="17"/>
  </w:num>
  <w:num w:numId="28">
    <w:abstractNumId w:val="35"/>
  </w:num>
  <w:num w:numId="29">
    <w:abstractNumId w:val="33"/>
  </w:num>
  <w:num w:numId="30">
    <w:abstractNumId w:val="6"/>
  </w:num>
  <w:num w:numId="31">
    <w:abstractNumId w:val="38"/>
  </w:num>
  <w:num w:numId="32">
    <w:abstractNumId w:val="9"/>
  </w:num>
  <w:num w:numId="33">
    <w:abstractNumId w:val="29"/>
  </w:num>
  <w:num w:numId="34">
    <w:abstractNumId w:val="14"/>
  </w:num>
  <w:num w:numId="35">
    <w:abstractNumId w:val="0"/>
  </w:num>
  <w:num w:numId="36">
    <w:abstractNumId w:val="49"/>
  </w:num>
  <w:num w:numId="37">
    <w:abstractNumId w:val="3"/>
  </w:num>
  <w:num w:numId="38">
    <w:abstractNumId w:val="21"/>
  </w:num>
  <w:num w:numId="39">
    <w:abstractNumId w:val="18"/>
  </w:num>
  <w:num w:numId="40">
    <w:abstractNumId w:val="8"/>
  </w:num>
  <w:num w:numId="41">
    <w:abstractNumId w:val="23"/>
  </w:num>
  <w:num w:numId="42">
    <w:abstractNumId w:val="20"/>
  </w:num>
  <w:num w:numId="43">
    <w:abstractNumId w:val="31"/>
  </w:num>
  <w:num w:numId="44">
    <w:abstractNumId w:val="42"/>
  </w:num>
  <w:num w:numId="45">
    <w:abstractNumId w:val="48"/>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25"/>
  </w:num>
  <w:num w:numId="50">
    <w:abstractNumId w:val="12"/>
  </w:num>
  <w:num w:numId="51">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HR"/>
    <w:docVar w:name="dvnumam" w:val="1"/>
    <w:docVar w:name="dvpe" w:val="737.282"/>
    <w:docVar w:name="dvrapporteur" w:val="Izvjestitelj: "/>
    <w:docVar w:name="dvstar" w:val="***I"/>
    <w:docVar w:name="dvtitre" w:val="Zakonodavna rezolucija Europskog parlamenta od .... 2023. o Prijedlogu uredbe Europskog parlamenta i Vijeća o obnovi prirode(COM(2022)0304 – C9-0208/2022 – 2022/0195(COD))"/>
  </w:docVars>
  <w:rsids>
    <w:rsidRoot w:val="00AB7B55"/>
    <w:rsid w:val="00002272"/>
    <w:rsid w:val="000232EC"/>
    <w:rsid w:val="00064002"/>
    <w:rsid w:val="000677B9"/>
    <w:rsid w:val="00081C34"/>
    <w:rsid w:val="000831BA"/>
    <w:rsid w:val="000A42CC"/>
    <w:rsid w:val="000B625E"/>
    <w:rsid w:val="000B7900"/>
    <w:rsid w:val="000D40E0"/>
    <w:rsid w:val="000E585A"/>
    <w:rsid w:val="000E7DD9"/>
    <w:rsid w:val="0010095E"/>
    <w:rsid w:val="00125B37"/>
    <w:rsid w:val="00135AB1"/>
    <w:rsid w:val="00155912"/>
    <w:rsid w:val="00183D85"/>
    <w:rsid w:val="00187494"/>
    <w:rsid w:val="001F32AE"/>
    <w:rsid w:val="001F5EED"/>
    <w:rsid w:val="00210A60"/>
    <w:rsid w:val="002322F4"/>
    <w:rsid w:val="00237660"/>
    <w:rsid w:val="00243AAE"/>
    <w:rsid w:val="002767FF"/>
    <w:rsid w:val="00293A7F"/>
    <w:rsid w:val="002B18FE"/>
    <w:rsid w:val="002B5493"/>
    <w:rsid w:val="00325B91"/>
    <w:rsid w:val="00343214"/>
    <w:rsid w:val="00361C00"/>
    <w:rsid w:val="00381773"/>
    <w:rsid w:val="00395FA1"/>
    <w:rsid w:val="003E15D4"/>
    <w:rsid w:val="003E3F9A"/>
    <w:rsid w:val="003F0B9C"/>
    <w:rsid w:val="00410A60"/>
    <w:rsid w:val="00411CCE"/>
    <w:rsid w:val="0041666E"/>
    <w:rsid w:val="00421060"/>
    <w:rsid w:val="004306CD"/>
    <w:rsid w:val="00434382"/>
    <w:rsid w:val="00443F16"/>
    <w:rsid w:val="00471C19"/>
    <w:rsid w:val="004867E3"/>
    <w:rsid w:val="00494A28"/>
    <w:rsid w:val="004B2622"/>
    <w:rsid w:val="004C0004"/>
    <w:rsid w:val="004C5D52"/>
    <w:rsid w:val="004D4AEA"/>
    <w:rsid w:val="0050519A"/>
    <w:rsid w:val="005072A1"/>
    <w:rsid w:val="00514517"/>
    <w:rsid w:val="00545827"/>
    <w:rsid w:val="00560270"/>
    <w:rsid w:val="005C2568"/>
    <w:rsid w:val="005C6C3D"/>
    <w:rsid w:val="006012E0"/>
    <w:rsid w:val="006037C0"/>
    <w:rsid w:val="00661250"/>
    <w:rsid w:val="006631B6"/>
    <w:rsid w:val="00680577"/>
    <w:rsid w:val="006E7CF9"/>
    <w:rsid w:val="006F74FA"/>
    <w:rsid w:val="00703B04"/>
    <w:rsid w:val="00703CE5"/>
    <w:rsid w:val="00731ADD"/>
    <w:rsid w:val="00734777"/>
    <w:rsid w:val="00744548"/>
    <w:rsid w:val="00747932"/>
    <w:rsid w:val="00751A4A"/>
    <w:rsid w:val="00756632"/>
    <w:rsid w:val="00762C74"/>
    <w:rsid w:val="00773E0A"/>
    <w:rsid w:val="00786EC0"/>
    <w:rsid w:val="007B618B"/>
    <w:rsid w:val="007D1690"/>
    <w:rsid w:val="007D2744"/>
    <w:rsid w:val="007E03E9"/>
    <w:rsid w:val="007E22AD"/>
    <w:rsid w:val="00817416"/>
    <w:rsid w:val="00842779"/>
    <w:rsid w:val="0086057F"/>
    <w:rsid w:val="00865F67"/>
    <w:rsid w:val="00875621"/>
    <w:rsid w:val="00881A7B"/>
    <w:rsid w:val="008840E5"/>
    <w:rsid w:val="00887B3E"/>
    <w:rsid w:val="00887BCC"/>
    <w:rsid w:val="008C2AC6"/>
    <w:rsid w:val="008D1BE3"/>
    <w:rsid w:val="008D7AA6"/>
    <w:rsid w:val="008E5706"/>
    <w:rsid w:val="008E5AA3"/>
    <w:rsid w:val="00930C23"/>
    <w:rsid w:val="0093193B"/>
    <w:rsid w:val="0093454A"/>
    <w:rsid w:val="009509D8"/>
    <w:rsid w:val="00950B64"/>
    <w:rsid w:val="00955828"/>
    <w:rsid w:val="00981893"/>
    <w:rsid w:val="009E1C3C"/>
    <w:rsid w:val="00A1687D"/>
    <w:rsid w:val="00A43E52"/>
    <w:rsid w:val="00A4678D"/>
    <w:rsid w:val="00A61453"/>
    <w:rsid w:val="00A61894"/>
    <w:rsid w:val="00A746ED"/>
    <w:rsid w:val="00A778C7"/>
    <w:rsid w:val="00AB441E"/>
    <w:rsid w:val="00AB6293"/>
    <w:rsid w:val="00AB7B55"/>
    <w:rsid w:val="00AE0928"/>
    <w:rsid w:val="00AF3B82"/>
    <w:rsid w:val="00B12514"/>
    <w:rsid w:val="00B12E95"/>
    <w:rsid w:val="00B22876"/>
    <w:rsid w:val="00B558F0"/>
    <w:rsid w:val="00B70FC7"/>
    <w:rsid w:val="00BC101D"/>
    <w:rsid w:val="00BD48FE"/>
    <w:rsid w:val="00BD7BD8"/>
    <w:rsid w:val="00BE6ADC"/>
    <w:rsid w:val="00C05BFE"/>
    <w:rsid w:val="00C2169C"/>
    <w:rsid w:val="00C23CD4"/>
    <w:rsid w:val="00C6040D"/>
    <w:rsid w:val="00C61C0C"/>
    <w:rsid w:val="00C66208"/>
    <w:rsid w:val="00C8370D"/>
    <w:rsid w:val="00C941CB"/>
    <w:rsid w:val="00CB3BCF"/>
    <w:rsid w:val="00CC2357"/>
    <w:rsid w:val="00CE24BC"/>
    <w:rsid w:val="00CF071A"/>
    <w:rsid w:val="00CF13A0"/>
    <w:rsid w:val="00D058B8"/>
    <w:rsid w:val="00D56C11"/>
    <w:rsid w:val="00D834A0"/>
    <w:rsid w:val="00D845EF"/>
    <w:rsid w:val="00D872DF"/>
    <w:rsid w:val="00D91E21"/>
    <w:rsid w:val="00DA7FCD"/>
    <w:rsid w:val="00DC12F8"/>
    <w:rsid w:val="00E365E1"/>
    <w:rsid w:val="00E820A4"/>
    <w:rsid w:val="00EA3F39"/>
    <w:rsid w:val="00EB006A"/>
    <w:rsid w:val="00EB4772"/>
    <w:rsid w:val="00ED169E"/>
    <w:rsid w:val="00ED4235"/>
    <w:rsid w:val="00ED682B"/>
    <w:rsid w:val="00F04346"/>
    <w:rsid w:val="00F075DC"/>
    <w:rsid w:val="00F149E9"/>
    <w:rsid w:val="00F5134D"/>
    <w:rsid w:val="00F53FDE"/>
    <w:rsid w:val="00F74202"/>
    <w:rsid w:val="00F87713"/>
    <w:rsid w:val="00F909BB"/>
    <w:rsid w:val="00FA4F41"/>
    <w:rsid w:val="00FB4360"/>
    <w:rsid w:val="00FD0C70"/>
    <w:rsid w:val="00FF0888"/>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F734F"/>
  <w15:chartTrackingRefBased/>
  <w15:docId w15:val="{EDE01590-78E3-4DF7-9C44-7EDBC95E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Number"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B2622"/>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4B2622"/>
    <w:pPr>
      <w:spacing w:after="120"/>
    </w:pPr>
  </w:style>
  <w:style w:type="paragraph" w:customStyle="1" w:styleId="PageHeading">
    <w:name w:val="PageHeading"/>
    <w:basedOn w:val="Normal"/>
    <w:rsid w:val="004B2622"/>
    <w:pPr>
      <w:keepNext/>
      <w:spacing w:after="480"/>
      <w:jc w:val="center"/>
    </w:pPr>
    <w:rPr>
      <w:rFonts w:ascii="Arial" w:hAnsi="Arial" w:cs="Arial"/>
      <w:b/>
    </w:rPr>
  </w:style>
  <w:style w:type="paragraph" w:customStyle="1" w:styleId="NormalBold">
    <w:name w:val="NormalBold"/>
    <w:basedOn w:val="Normal"/>
    <w:link w:val="NormalBoldChar"/>
    <w:rsid w:val="004B2622"/>
    <w:rPr>
      <w:b/>
    </w:rPr>
  </w:style>
  <w:style w:type="paragraph" w:customStyle="1" w:styleId="NormalHanging12a">
    <w:name w:val="NormalHanging12a"/>
    <w:basedOn w:val="Normal"/>
    <w:rsid w:val="004B2622"/>
    <w:pPr>
      <w:spacing w:after="240"/>
      <w:ind w:left="567" w:hanging="567"/>
    </w:pPr>
  </w:style>
  <w:style w:type="paragraph" w:styleId="Header">
    <w:name w:val="header"/>
    <w:basedOn w:val="Normal"/>
    <w:link w:val="HeaderChar"/>
    <w:uiPriority w:val="99"/>
    <w:qFormat/>
    <w:rsid w:val="004B2622"/>
    <w:pPr>
      <w:tabs>
        <w:tab w:val="center" w:pos="4513"/>
        <w:tab w:val="right" w:pos="9026"/>
      </w:tabs>
    </w:pPr>
  </w:style>
  <w:style w:type="character" w:customStyle="1" w:styleId="HeaderChar">
    <w:name w:val="Header Char"/>
    <w:basedOn w:val="DefaultParagraphFont"/>
    <w:link w:val="Header"/>
    <w:uiPriority w:val="99"/>
    <w:qFormat/>
    <w:rsid w:val="004B2622"/>
    <w:rPr>
      <w:sz w:val="24"/>
      <w:lang w:val="hr-HR"/>
    </w:rPr>
  </w:style>
  <w:style w:type="paragraph" w:customStyle="1" w:styleId="AmColumnHeading">
    <w:name w:val="AmColumnHeading"/>
    <w:basedOn w:val="Normal"/>
    <w:rsid w:val="004B2622"/>
    <w:pPr>
      <w:spacing w:after="240"/>
      <w:jc w:val="center"/>
    </w:pPr>
    <w:rPr>
      <w:i/>
    </w:rPr>
  </w:style>
  <w:style w:type="paragraph" w:customStyle="1" w:styleId="AmNumberTabs">
    <w:name w:val="AmNumberTabs"/>
    <w:basedOn w:val="Normal"/>
    <w:rsid w:val="004B262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B2622"/>
    <w:pPr>
      <w:spacing w:before="240"/>
    </w:pPr>
    <w:rPr>
      <w:b/>
    </w:rPr>
  </w:style>
  <w:style w:type="paragraph" w:customStyle="1" w:styleId="EPFooter">
    <w:name w:val="EPFooter"/>
    <w:basedOn w:val="Normal"/>
    <w:rsid w:val="004B2622"/>
    <w:pPr>
      <w:tabs>
        <w:tab w:val="center" w:pos="4535"/>
        <w:tab w:val="right" w:pos="9071"/>
      </w:tabs>
      <w:spacing w:before="240" w:after="240"/>
    </w:pPr>
    <w:rPr>
      <w:color w:val="010000"/>
      <w:sz w:val="22"/>
    </w:rPr>
  </w:style>
  <w:style w:type="paragraph" w:customStyle="1" w:styleId="EPComma">
    <w:name w:val="EPComma"/>
    <w:basedOn w:val="Normal"/>
    <w:rsid w:val="004B2622"/>
    <w:pPr>
      <w:spacing w:before="480" w:after="240"/>
    </w:pPr>
  </w:style>
  <w:style w:type="paragraph" w:customStyle="1" w:styleId="Normal24a">
    <w:name w:val="Normal24a"/>
    <w:basedOn w:val="Normal"/>
    <w:rsid w:val="004B2622"/>
    <w:pPr>
      <w:spacing w:after="480"/>
    </w:pPr>
  </w:style>
  <w:style w:type="character" w:customStyle="1" w:styleId="NormalBoldChar">
    <w:name w:val="NormalBold Char"/>
    <w:link w:val="NormalBold"/>
    <w:locked/>
    <w:rsid w:val="004B2622"/>
    <w:rPr>
      <w:b/>
      <w:sz w:val="24"/>
      <w:lang w:val="hr-HR"/>
    </w:rPr>
  </w:style>
  <w:style w:type="paragraph" w:customStyle="1" w:styleId="AMNumberTabs0">
    <w:name w:val="AMNumberTabs"/>
    <w:basedOn w:val="Normal"/>
    <w:rsid w:val="004B262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a">
    <w:name w:val="Normal12a"/>
    <w:basedOn w:val="Normal"/>
    <w:rsid w:val="004B2622"/>
    <w:pPr>
      <w:spacing w:after="240"/>
    </w:pPr>
  </w:style>
  <w:style w:type="paragraph" w:customStyle="1" w:styleId="PageHeadingNotTOC">
    <w:name w:val="PageHeadingNotTOC"/>
    <w:basedOn w:val="Normal"/>
    <w:rsid w:val="004B2622"/>
    <w:pPr>
      <w:keepNext/>
      <w:spacing w:after="480"/>
      <w:jc w:val="center"/>
    </w:pPr>
    <w:rPr>
      <w:rFonts w:ascii="Arial" w:hAnsi="Arial" w:cs="Arial"/>
      <w:b/>
    </w:rPr>
  </w:style>
  <w:style w:type="paragraph" w:customStyle="1" w:styleId="RollCallSymbols14pt">
    <w:name w:val="RollCallSymbols14pt"/>
    <w:basedOn w:val="Normal"/>
    <w:rsid w:val="004B262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B2622"/>
    <w:pPr>
      <w:tabs>
        <w:tab w:val="center" w:pos="284"/>
        <w:tab w:val="left" w:pos="426"/>
      </w:tabs>
    </w:pPr>
    <w:rPr>
      <w:snapToGrid w:val="0"/>
      <w:lang w:eastAsia="en-US"/>
    </w:rPr>
  </w:style>
  <w:style w:type="paragraph" w:customStyle="1" w:styleId="RollCallVotes">
    <w:name w:val="RollCallVotes"/>
    <w:basedOn w:val="Normal"/>
    <w:rsid w:val="004B2622"/>
    <w:pPr>
      <w:spacing w:before="120" w:after="120"/>
      <w:jc w:val="center"/>
    </w:pPr>
    <w:rPr>
      <w:b/>
      <w:bCs/>
      <w:snapToGrid w:val="0"/>
      <w:sz w:val="16"/>
      <w:lang w:eastAsia="en-US"/>
    </w:rPr>
  </w:style>
  <w:style w:type="paragraph" w:customStyle="1" w:styleId="RollCallTable">
    <w:name w:val="RollCallTable"/>
    <w:basedOn w:val="Normal"/>
    <w:rsid w:val="004B2622"/>
    <w:pPr>
      <w:spacing w:before="120" w:after="120"/>
    </w:pPr>
    <w:rPr>
      <w:snapToGrid w:val="0"/>
      <w:sz w:val="16"/>
      <w:lang w:eastAsia="en-US"/>
    </w:rPr>
  </w:style>
  <w:style w:type="character" w:customStyle="1" w:styleId="Heading1Char">
    <w:name w:val="Heading 1 Char"/>
    <w:basedOn w:val="DefaultParagraphFont"/>
    <w:link w:val="Heading1"/>
    <w:uiPriority w:val="9"/>
    <w:qFormat/>
    <w:rsid w:val="008D1BE3"/>
    <w:rPr>
      <w:b/>
      <w:kern w:val="28"/>
      <w:sz w:val="28"/>
      <w:lang w:val="fr-FR" w:eastAsia="fr-FR"/>
    </w:rPr>
  </w:style>
  <w:style w:type="character" w:customStyle="1" w:styleId="Heading2Char">
    <w:name w:val="Heading 2 Char"/>
    <w:basedOn w:val="DefaultParagraphFont"/>
    <w:link w:val="Heading2"/>
    <w:uiPriority w:val="9"/>
    <w:qFormat/>
    <w:rsid w:val="008D1BE3"/>
    <w:rPr>
      <w:sz w:val="24"/>
      <w:lang w:val="fr-FR" w:eastAsia="fr-FR"/>
    </w:rPr>
  </w:style>
  <w:style w:type="character" w:customStyle="1" w:styleId="Heading3Char">
    <w:name w:val="Heading 3 Char"/>
    <w:basedOn w:val="DefaultParagraphFont"/>
    <w:link w:val="Heading3"/>
    <w:uiPriority w:val="9"/>
    <w:qFormat/>
    <w:rsid w:val="008D1BE3"/>
    <w:rPr>
      <w:rFonts w:ascii="Arial" w:hAnsi="Arial"/>
      <w:sz w:val="24"/>
      <w:lang w:val="fr-FR" w:eastAsia="fr-FR"/>
    </w:rPr>
  </w:style>
  <w:style w:type="character" w:customStyle="1" w:styleId="Heading4Char">
    <w:name w:val="Heading 4 Char"/>
    <w:basedOn w:val="DefaultParagraphFont"/>
    <w:link w:val="Heading4"/>
    <w:uiPriority w:val="9"/>
    <w:semiHidden/>
    <w:qFormat/>
    <w:rsid w:val="008D1BE3"/>
    <w:rPr>
      <w:sz w:val="24"/>
      <w:lang w:val="en-US" w:eastAsia="fr-FR"/>
    </w:rPr>
  </w:style>
  <w:style w:type="character" w:customStyle="1" w:styleId="Heading5Char">
    <w:name w:val="Heading 5 Char"/>
    <w:basedOn w:val="DefaultParagraphFont"/>
    <w:link w:val="Heading5"/>
    <w:uiPriority w:val="9"/>
    <w:semiHidden/>
    <w:qFormat/>
    <w:rsid w:val="008D1BE3"/>
    <w:rPr>
      <w:sz w:val="24"/>
      <w:lang w:val="en-US" w:eastAsia="fr-FR"/>
    </w:rPr>
  </w:style>
  <w:style w:type="character" w:customStyle="1" w:styleId="Heading6Char">
    <w:name w:val="Heading 6 Char"/>
    <w:basedOn w:val="DefaultParagraphFont"/>
    <w:link w:val="Heading6"/>
    <w:uiPriority w:val="9"/>
    <w:semiHidden/>
    <w:qFormat/>
    <w:rsid w:val="008D1BE3"/>
    <w:rPr>
      <w:i/>
      <w:sz w:val="22"/>
      <w:lang w:val="hr-HR"/>
    </w:rPr>
  </w:style>
  <w:style w:type="character" w:customStyle="1" w:styleId="Heading7Char">
    <w:name w:val="Heading 7 Char"/>
    <w:basedOn w:val="DefaultParagraphFont"/>
    <w:link w:val="Heading7"/>
    <w:uiPriority w:val="9"/>
    <w:semiHidden/>
    <w:qFormat/>
    <w:rsid w:val="008D1BE3"/>
    <w:rPr>
      <w:rFonts w:ascii="Arial" w:hAnsi="Arial"/>
      <w:sz w:val="24"/>
      <w:lang w:val="hr-HR"/>
    </w:rPr>
  </w:style>
  <w:style w:type="character" w:customStyle="1" w:styleId="Heading8Char">
    <w:name w:val="Heading 8 Char"/>
    <w:basedOn w:val="DefaultParagraphFont"/>
    <w:link w:val="Heading8"/>
    <w:semiHidden/>
    <w:rsid w:val="008D1BE3"/>
    <w:rPr>
      <w:rFonts w:ascii="Arial" w:hAnsi="Arial"/>
      <w:i/>
      <w:sz w:val="24"/>
      <w:lang w:val="hr-HR"/>
    </w:rPr>
  </w:style>
  <w:style w:type="character" w:customStyle="1" w:styleId="Heading9Char">
    <w:name w:val="Heading 9 Char"/>
    <w:basedOn w:val="DefaultParagraphFont"/>
    <w:link w:val="Heading9"/>
    <w:semiHidden/>
    <w:rsid w:val="008D1BE3"/>
    <w:rPr>
      <w:rFonts w:ascii="Arial" w:hAnsi="Arial"/>
      <w:b/>
      <w:i/>
      <w:sz w:val="18"/>
      <w:lang w:val="hr-HR"/>
    </w:rPr>
  </w:style>
  <w:style w:type="paragraph" w:styleId="Footer">
    <w:name w:val="footer"/>
    <w:basedOn w:val="Normal"/>
    <w:link w:val="FooterChar"/>
    <w:uiPriority w:val="99"/>
    <w:qFormat/>
    <w:rsid w:val="008D1BE3"/>
    <w:pPr>
      <w:tabs>
        <w:tab w:val="center" w:pos="4513"/>
        <w:tab w:val="right" w:pos="9026"/>
      </w:tabs>
    </w:pPr>
  </w:style>
  <w:style w:type="character" w:customStyle="1" w:styleId="FooterChar">
    <w:name w:val="Footer Char"/>
    <w:basedOn w:val="DefaultParagraphFont"/>
    <w:link w:val="Footer"/>
    <w:uiPriority w:val="99"/>
    <w:qFormat/>
    <w:rsid w:val="008D1BE3"/>
    <w:rPr>
      <w:sz w:val="24"/>
      <w:lang w:val="hr-HR"/>
    </w:rPr>
  </w:style>
  <w:style w:type="paragraph" w:customStyle="1" w:styleId="AmDocTypeTab">
    <w:name w:val="AmDocTypeTab"/>
    <w:basedOn w:val="Normal"/>
    <w:rsid w:val="008D1BE3"/>
    <w:pPr>
      <w:tabs>
        <w:tab w:val="right" w:pos="9072"/>
      </w:tabs>
    </w:pPr>
    <w:rPr>
      <w:b/>
    </w:rPr>
  </w:style>
  <w:style w:type="paragraph" w:customStyle="1" w:styleId="AmOrLang">
    <w:name w:val="AmOrLang"/>
    <w:basedOn w:val="Normal"/>
    <w:rsid w:val="008D1BE3"/>
    <w:pPr>
      <w:spacing w:before="240" w:after="240"/>
      <w:jc w:val="right"/>
    </w:pPr>
  </w:style>
  <w:style w:type="paragraph" w:customStyle="1" w:styleId="AmCrossRef">
    <w:name w:val="AmCrossRef"/>
    <w:basedOn w:val="Normal"/>
    <w:rsid w:val="008D1BE3"/>
    <w:pPr>
      <w:spacing w:before="240" w:after="240"/>
      <w:jc w:val="center"/>
    </w:pPr>
    <w:rPr>
      <w:i/>
    </w:rPr>
  </w:style>
  <w:style w:type="paragraph" w:customStyle="1" w:styleId="AmJustTitle">
    <w:name w:val="AmJustTitle"/>
    <w:basedOn w:val="Normal"/>
    <w:next w:val="AmJustText"/>
    <w:rsid w:val="008D1BE3"/>
    <w:pPr>
      <w:keepNext/>
      <w:spacing w:before="240" w:after="240"/>
      <w:jc w:val="center"/>
    </w:pPr>
    <w:rPr>
      <w:i/>
    </w:rPr>
  </w:style>
  <w:style w:type="paragraph" w:customStyle="1" w:styleId="AmDateTab">
    <w:name w:val="AmDateTab"/>
    <w:basedOn w:val="Normal"/>
    <w:rsid w:val="008D1BE3"/>
    <w:pPr>
      <w:tabs>
        <w:tab w:val="right" w:pos="9072"/>
      </w:tabs>
    </w:pPr>
  </w:style>
  <w:style w:type="paragraph" w:customStyle="1" w:styleId="AmJustText">
    <w:name w:val="AmJustText"/>
    <w:basedOn w:val="Normal"/>
    <w:rsid w:val="008D1BE3"/>
    <w:pPr>
      <w:spacing w:after="240"/>
    </w:pPr>
    <w:rPr>
      <w:i/>
    </w:rPr>
  </w:style>
  <w:style w:type="paragraph" w:styleId="TOCHeading">
    <w:name w:val="TOC Heading"/>
    <w:basedOn w:val="Normal"/>
    <w:next w:val="Normal"/>
    <w:uiPriority w:val="39"/>
    <w:unhideWhenUsed/>
    <w:qFormat/>
    <w:rsid w:val="008D1BE3"/>
    <w:pPr>
      <w:keepLines/>
      <w:spacing w:after="240"/>
    </w:pPr>
    <w:rPr>
      <w:rFonts w:asciiTheme="majorHAnsi" w:eastAsiaTheme="majorEastAsia" w:hAnsiTheme="majorHAnsi" w:cstheme="majorBidi"/>
      <w:b/>
      <w:color w:val="2E74B5" w:themeColor="accent1" w:themeShade="BF"/>
      <w:sz w:val="32"/>
      <w:szCs w:val="32"/>
    </w:rPr>
  </w:style>
  <w:style w:type="paragraph" w:customStyle="1" w:styleId="NormalCenter12a">
    <w:name w:val="NormalCenter12a"/>
    <w:basedOn w:val="Normal"/>
    <w:rsid w:val="008D1BE3"/>
    <w:pPr>
      <w:spacing w:after="240"/>
      <w:jc w:val="center"/>
    </w:pPr>
  </w:style>
  <w:style w:type="paragraph" w:customStyle="1" w:styleId="AmHeadingConsam">
    <w:name w:val="AmHeadingConsam"/>
    <w:basedOn w:val="Normal"/>
    <w:next w:val="NormalCenter12a"/>
    <w:rsid w:val="008D1BE3"/>
    <w:pPr>
      <w:spacing w:before="720" w:after="240"/>
      <w:jc w:val="center"/>
    </w:pPr>
  </w:style>
  <w:style w:type="numbering" w:customStyle="1" w:styleId="NoList1">
    <w:name w:val="No List1"/>
    <w:next w:val="NoList"/>
    <w:uiPriority w:val="99"/>
    <w:semiHidden/>
    <w:unhideWhenUsed/>
    <w:rsid w:val="008D1BE3"/>
  </w:style>
  <w:style w:type="paragraph" w:customStyle="1" w:styleId="NormalCentered">
    <w:name w:val="Normal Centered"/>
    <w:basedOn w:val="Normal"/>
    <w:qFormat/>
    <w:rsid w:val="008D1BE3"/>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8D1BE3"/>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8D1BE3"/>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8D1BE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8D1BE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qFormat/>
    <w:rsid w:val="008D1BE3"/>
    <w:pPr>
      <w:widowControl/>
    </w:pPr>
    <w:rPr>
      <w:rFonts w:eastAsia="Calibri"/>
      <w:sz w:val="2"/>
      <w:szCs w:val="22"/>
      <w:lang w:eastAsia="en-US"/>
    </w:rPr>
  </w:style>
  <w:style w:type="paragraph" w:customStyle="1" w:styleId="FooterCouncil">
    <w:name w:val="Footer Council"/>
    <w:basedOn w:val="Normal"/>
    <w:link w:val="FooterCouncilChar"/>
    <w:qFormat/>
    <w:rsid w:val="008D1BE3"/>
    <w:pPr>
      <w:widowControl/>
    </w:pPr>
    <w:rPr>
      <w:rFonts w:eastAsia="Calibri"/>
      <w:sz w:val="2"/>
      <w:szCs w:val="22"/>
      <w:lang w:eastAsia="en-US"/>
    </w:rPr>
  </w:style>
  <w:style w:type="paragraph" w:customStyle="1" w:styleId="TechnicalBlock">
    <w:name w:val="Technical Block"/>
    <w:basedOn w:val="Normal"/>
    <w:next w:val="Normal"/>
    <w:link w:val="TechnicalBlockChar"/>
    <w:rsid w:val="008D1BE3"/>
    <w:pPr>
      <w:widowControl/>
      <w:spacing w:after="240"/>
      <w:jc w:val="center"/>
    </w:pPr>
    <w:rPr>
      <w:rFonts w:eastAsia="Calibri"/>
      <w:szCs w:val="22"/>
      <w:lang w:eastAsia="en-US"/>
    </w:rPr>
  </w:style>
  <w:style w:type="paragraph" w:customStyle="1" w:styleId="FinalLine">
    <w:name w:val="Final Line"/>
    <w:basedOn w:val="Normal"/>
    <w:next w:val="Normal"/>
    <w:qFormat/>
    <w:rsid w:val="008D1BE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8D1BE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8D1BE3"/>
    <w:pPr>
      <w:widowControl/>
      <w:spacing w:before="120" w:after="120" w:line="360" w:lineRule="auto"/>
      <w:ind w:left="567"/>
    </w:pPr>
    <w:rPr>
      <w:rFonts w:eastAsia="Calibri"/>
      <w:szCs w:val="22"/>
      <w:lang w:eastAsia="en-US"/>
    </w:rPr>
  </w:style>
  <w:style w:type="paragraph" w:customStyle="1" w:styleId="Text2">
    <w:name w:val="Text 2"/>
    <w:basedOn w:val="Normal"/>
    <w:qFormat/>
    <w:rsid w:val="008D1BE3"/>
    <w:pPr>
      <w:widowControl/>
      <w:spacing w:before="120" w:after="120" w:line="360" w:lineRule="auto"/>
      <w:ind w:left="1134"/>
    </w:pPr>
    <w:rPr>
      <w:rFonts w:eastAsia="Calibri"/>
      <w:szCs w:val="22"/>
      <w:lang w:eastAsia="en-US"/>
    </w:rPr>
  </w:style>
  <w:style w:type="paragraph" w:customStyle="1" w:styleId="Text3">
    <w:name w:val="Text 3"/>
    <w:basedOn w:val="Normal"/>
    <w:qFormat/>
    <w:rsid w:val="008D1BE3"/>
    <w:pPr>
      <w:widowControl/>
      <w:spacing w:before="120" w:after="120" w:line="360" w:lineRule="auto"/>
      <w:ind w:left="1701"/>
    </w:pPr>
    <w:rPr>
      <w:rFonts w:eastAsia="Calibri"/>
      <w:szCs w:val="22"/>
      <w:lang w:eastAsia="en-US"/>
    </w:rPr>
  </w:style>
  <w:style w:type="paragraph" w:customStyle="1" w:styleId="Text4">
    <w:name w:val="Text 4"/>
    <w:basedOn w:val="Normal"/>
    <w:qFormat/>
    <w:rsid w:val="008D1BE3"/>
    <w:pPr>
      <w:widowControl/>
      <w:spacing w:before="120" w:after="120" w:line="360" w:lineRule="auto"/>
      <w:ind w:left="2268"/>
    </w:pPr>
    <w:rPr>
      <w:rFonts w:eastAsia="Calibri"/>
      <w:szCs w:val="22"/>
      <w:lang w:eastAsia="en-US"/>
    </w:rPr>
  </w:style>
  <w:style w:type="paragraph" w:customStyle="1" w:styleId="Text5">
    <w:name w:val="Text 5"/>
    <w:basedOn w:val="Normal"/>
    <w:qFormat/>
    <w:rsid w:val="008D1BE3"/>
    <w:pPr>
      <w:widowControl/>
      <w:spacing w:before="120" w:after="120" w:line="360" w:lineRule="auto"/>
      <w:ind w:left="2835"/>
    </w:pPr>
    <w:rPr>
      <w:rFonts w:eastAsia="Calibri"/>
      <w:szCs w:val="22"/>
      <w:lang w:eastAsia="en-US"/>
    </w:rPr>
  </w:style>
  <w:style w:type="paragraph" w:customStyle="1" w:styleId="Text6">
    <w:name w:val="Text 6"/>
    <w:basedOn w:val="Normal"/>
    <w:qFormat/>
    <w:rsid w:val="008D1BE3"/>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8D1BE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8D1BE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8D1BE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8D1BE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8D1BE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8D1BE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8D1BE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8D1BE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8D1BE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8D1BE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8D1BE3"/>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qFormat/>
    <w:rsid w:val="008D1BE3"/>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qFormat/>
    <w:rsid w:val="008D1BE3"/>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qFormat/>
    <w:rsid w:val="008D1BE3"/>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qFormat/>
    <w:rsid w:val="008D1BE3"/>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qFormat/>
    <w:rsid w:val="008D1BE3"/>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qFormat/>
    <w:rsid w:val="008D1BE3"/>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8D1BE3"/>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qFormat/>
    <w:rsid w:val="008D1BE3"/>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8D1BE3"/>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qFormat/>
    <w:rsid w:val="008D1BE3"/>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qFormat/>
    <w:rsid w:val="008D1BE3"/>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8D1BE3"/>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8D1BE3"/>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8D1BE3"/>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8D1BE3"/>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qFormat/>
    <w:rsid w:val="008D1BE3"/>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qFormat/>
    <w:rsid w:val="008D1BE3"/>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qFormat/>
    <w:rsid w:val="008D1BE3"/>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qFormat/>
    <w:rsid w:val="008D1BE3"/>
    <w:pPr>
      <w:widowControl/>
      <w:numPr>
        <w:numId w:val="3"/>
      </w:numPr>
      <w:spacing w:before="120" w:after="120" w:line="360" w:lineRule="auto"/>
    </w:pPr>
    <w:rPr>
      <w:rFonts w:eastAsia="Calibri"/>
      <w:szCs w:val="22"/>
      <w:lang w:eastAsia="en-US"/>
    </w:rPr>
  </w:style>
  <w:style w:type="paragraph" w:customStyle="1" w:styleId="Dash1">
    <w:name w:val="Dash 1"/>
    <w:basedOn w:val="Normal"/>
    <w:qFormat/>
    <w:rsid w:val="008D1BE3"/>
    <w:pPr>
      <w:widowControl/>
      <w:numPr>
        <w:numId w:val="4"/>
      </w:numPr>
      <w:spacing w:before="120" w:after="120" w:line="360" w:lineRule="auto"/>
    </w:pPr>
    <w:rPr>
      <w:rFonts w:eastAsia="Calibri"/>
      <w:szCs w:val="22"/>
      <w:lang w:eastAsia="en-US"/>
    </w:rPr>
  </w:style>
  <w:style w:type="paragraph" w:customStyle="1" w:styleId="Dash2">
    <w:name w:val="Dash 2"/>
    <w:basedOn w:val="Normal"/>
    <w:qFormat/>
    <w:rsid w:val="008D1BE3"/>
    <w:pPr>
      <w:widowControl/>
      <w:numPr>
        <w:numId w:val="5"/>
      </w:numPr>
      <w:spacing w:before="120" w:after="120" w:line="360" w:lineRule="auto"/>
    </w:pPr>
    <w:rPr>
      <w:rFonts w:eastAsia="Calibri"/>
      <w:szCs w:val="22"/>
      <w:lang w:eastAsia="en-US"/>
    </w:rPr>
  </w:style>
  <w:style w:type="paragraph" w:customStyle="1" w:styleId="Dash3">
    <w:name w:val="Dash 3"/>
    <w:basedOn w:val="Normal"/>
    <w:qFormat/>
    <w:rsid w:val="008D1BE3"/>
    <w:pPr>
      <w:widowControl/>
      <w:numPr>
        <w:numId w:val="6"/>
      </w:numPr>
      <w:spacing w:before="120" w:after="120" w:line="360" w:lineRule="auto"/>
    </w:pPr>
    <w:rPr>
      <w:rFonts w:eastAsia="Calibri"/>
      <w:szCs w:val="22"/>
      <w:lang w:eastAsia="en-US"/>
    </w:rPr>
  </w:style>
  <w:style w:type="paragraph" w:customStyle="1" w:styleId="Dash4">
    <w:name w:val="Dash 4"/>
    <w:basedOn w:val="Normal"/>
    <w:qFormat/>
    <w:rsid w:val="008D1BE3"/>
    <w:pPr>
      <w:widowControl/>
      <w:numPr>
        <w:numId w:val="7"/>
      </w:numPr>
      <w:spacing w:before="120" w:after="120" w:line="360" w:lineRule="auto"/>
    </w:pPr>
    <w:rPr>
      <w:rFonts w:eastAsia="Calibri"/>
      <w:szCs w:val="22"/>
      <w:lang w:eastAsia="en-US"/>
    </w:rPr>
  </w:style>
  <w:style w:type="paragraph" w:customStyle="1" w:styleId="DashEqual">
    <w:name w:val="Dash Equal"/>
    <w:basedOn w:val="Dash"/>
    <w:qFormat/>
    <w:rsid w:val="008D1BE3"/>
    <w:pPr>
      <w:numPr>
        <w:numId w:val="8"/>
      </w:numPr>
      <w:tabs>
        <w:tab w:val="clear" w:pos="567"/>
        <w:tab w:val="num" w:pos="1080"/>
      </w:tabs>
      <w:ind w:left="1080" w:hanging="360"/>
    </w:pPr>
  </w:style>
  <w:style w:type="paragraph" w:customStyle="1" w:styleId="DashEqual1">
    <w:name w:val="Dash Equal 1"/>
    <w:basedOn w:val="Dash1"/>
    <w:qFormat/>
    <w:rsid w:val="008D1BE3"/>
    <w:pPr>
      <w:numPr>
        <w:numId w:val="9"/>
      </w:numPr>
      <w:tabs>
        <w:tab w:val="clear" w:pos="1134"/>
        <w:tab w:val="num" w:pos="1440"/>
      </w:tabs>
      <w:ind w:left="1440" w:hanging="360"/>
    </w:pPr>
  </w:style>
  <w:style w:type="paragraph" w:customStyle="1" w:styleId="DashEqual2">
    <w:name w:val="Dash Equal 2"/>
    <w:basedOn w:val="Dash2"/>
    <w:qFormat/>
    <w:rsid w:val="008D1BE3"/>
    <w:pPr>
      <w:numPr>
        <w:numId w:val="10"/>
      </w:numPr>
      <w:tabs>
        <w:tab w:val="clear" w:pos="1701"/>
        <w:tab w:val="num" w:pos="1440"/>
      </w:tabs>
      <w:ind w:left="1440" w:hanging="360"/>
    </w:pPr>
  </w:style>
  <w:style w:type="paragraph" w:customStyle="1" w:styleId="DashEqual3">
    <w:name w:val="Dash Equal 3"/>
    <w:basedOn w:val="Dash3"/>
    <w:qFormat/>
    <w:rsid w:val="008D1BE3"/>
    <w:pPr>
      <w:numPr>
        <w:numId w:val="11"/>
      </w:numPr>
      <w:tabs>
        <w:tab w:val="clear" w:pos="2268"/>
        <w:tab w:val="num" w:pos="1800"/>
      </w:tabs>
      <w:ind w:left="1800" w:hanging="360"/>
    </w:pPr>
  </w:style>
  <w:style w:type="paragraph" w:customStyle="1" w:styleId="DashEqual4">
    <w:name w:val="Dash Equal 4"/>
    <w:basedOn w:val="Dash4"/>
    <w:qFormat/>
    <w:rsid w:val="008D1BE3"/>
    <w:pPr>
      <w:numPr>
        <w:numId w:val="12"/>
      </w:numPr>
      <w:tabs>
        <w:tab w:val="clear" w:pos="2835"/>
        <w:tab w:val="num" w:pos="1800"/>
      </w:tabs>
      <w:ind w:left="1800" w:hanging="360"/>
    </w:pPr>
  </w:style>
  <w:style w:type="character" w:customStyle="1" w:styleId="Marker">
    <w:name w:val="Marker"/>
    <w:basedOn w:val="DefaultParagraphFont"/>
    <w:qFormat/>
    <w:rsid w:val="008D1BE3"/>
    <w:rPr>
      <w:color w:val="0000FF"/>
      <w:shd w:val="clear" w:color="auto" w:fill="auto"/>
    </w:rPr>
  </w:style>
  <w:style w:type="character" w:customStyle="1" w:styleId="Marker1">
    <w:name w:val="Marker1"/>
    <w:basedOn w:val="DefaultParagraphFont"/>
    <w:qFormat/>
    <w:rsid w:val="008D1BE3"/>
    <w:rPr>
      <w:color w:val="008000"/>
      <w:shd w:val="clear" w:color="auto" w:fill="auto"/>
    </w:rPr>
  </w:style>
  <w:style w:type="paragraph" w:customStyle="1" w:styleId="HeadingLeft">
    <w:name w:val="Heading Left"/>
    <w:basedOn w:val="Normal"/>
    <w:next w:val="Normal"/>
    <w:qFormat/>
    <w:rsid w:val="008D1BE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8D1BE3"/>
    <w:pPr>
      <w:numPr>
        <w:numId w:val="22"/>
      </w:numPr>
      <w:tabs>
        <w:tab w:val="clear" w:pos="567"/>
        <w:tab w:val="num" w:pos="1800"/>
      </w:tabs>
      <w:ind w:left="1800" w:hanging="360"/>
    </w:pPr>
  </w:style>
  <w:style w:type="paragraph" w:customStyle="1" w:styleId="Heading123">
    <w:name w:val="Heading 123"/>
    <w:basedOn w:val="HeadingLeft"/>
    <w:next w:val="Normal"/>
    <w:qFormat/>
    <w:rsid w:val="008D1BE3"/>
    <w:pPr>
      <w:numPr>
        <w:numId w:val="21"/>
      </w:numPr>
      <w:tabs>
        <w:tab w:val="clear" w:pos="567"/>
        <w:tab w:val="num" w:pos="1800"/>
      </w:tabs>
      <w:ind w:left="1800" w:hanging="360"/>
    </w:pPr>
  </w:style>
  <w:style w:type="paragraph" w:customStyle="1" w:styleId="HeadingABC">
    <w:name w:val="Heading ABC"/>
    <w:basedOn w:val="HeadingLeft"/>
    <w:next w:val="Normal"/>
    <w:qFormat/>
    <w:rsid w:val="008D1BE3"/>
    <w:pPr>
      <w:numPr>
        <w:numId w:val="20"/>
      </w:numPr>
      <w:tabs>
        <w:tab w:val="clear" w:pos="567"/>
        <w:tab w:val="num" w:pos="1440"/>
      </w:tabs>
      <w:ind w:left="1440" w:hanging="360"/>
    </w:pPr>
  </w:style>
  <w:style w:type="paragraph" w:customStyle="1" w:styleId="HeadingCentered">
    <w:name w:val="Heading Centered"/>
    <w:basedOn w:val="HeadingLeft"/>
    <w:next w:val="Normal"/>
    <w:qFormat/>
    <w:rsid w:val="008D1BE3"/>
    <w:pPr>
      <w:jc w:val="center"/>
    </w:pPr>
  </w:style>
  <w:style w:type="paragraph" w:customStyle="1" w:styleId="Jardin">
    <w:name w:val="Jardin"/>
    <w:basedOn w:val="Normal"/>
    <w:qFormat/>
    <w:rsid w:val="008D1BE3"/>
    <w:pPr>
      <w:widowControl/>
      <w:spacing w:before="200"/>
      <w:jc w:val="center"/>
    </w:pPr>
    <w:rPr>
      <w:rFonts w:eastAsia="Calibri"/>
      <w:szCs w:val="22"/>
      <w:lang w:eastAsia="en-US"/>
    </w:rPr>
  </w:style>
  <w:style w:type="paragraph" w:customStyle="1" w:styleId="Amendment">
    <w:name w:val="Amendment"/>
    <w:basedOn w:val="Normal"/>
    <w:next w:val="Normal"/>
    <w:qFormat/>
    <w:rsid w:val="008D1BE3"/>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8D1BE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8D1BE3"/>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8D1BE3"/>
    <w:rPr>
      <w:b/>
    </w:rPr>
  </w:style>
  <w:style w:type="paragraph" w:customStyle="1" w:styleId="Annex">
    <w:name w:val="Annex"/>
    <w:basedOn w:val="Normal"/>
    <w:next w:val="Normal"/>
    <w:qFormat/>
    <w:rsid w:val="008D1BE3"/>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8D1BE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8D1BE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8D1BE3"/>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8D1BE3"/>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8D1BE3"/>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8D1BE3"/>
    <w:rPr>
      <w:rFonts w:eastAsia="Calibri"/>
      <w:lang w:val="hr-HR" w:eastAsia="en-US"/>
    </w:rPr>
  </w:style>
  <w:style w:type="character" w:styleId="EndnoteReference">
    <w:name w:val="endnote reference"/>
    <w:basedOn w:val="DefaultParagraphFont"/>
    <w:uiPriority w:val="99"/>
    <w:unhideWhenUsed/>
    <w:rsid w:val="008D1BE3"/>
    <w:rPr>
      <w:vertAlign w:val="superscript"/>
    </w:rPr>
  </w:style>
  <w:style w:type="paragraph" w:customStyle="1" w:styleId="HeaderCouncilLarge">
    <w:name w:val="Header Council Large"/>
    <w:basedOn w:val="Normal"/>
    <w:link w:val="HeaderCouncilLargeChar"/>
    <w:qFormat/>
    <w:rsid w:val="008D1BE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8D1BE3"/>
    <w:rPr>
      <w:rFonts w:eastAsia="Calibri"/>
      <w:sz w:val="24"/>
      <w:szCs w:val="22"/>
      <w:lang w:val="hr-HR" w:eastAsia="en-US"/>
    </w:rPr>
  </w:style>
  <w:style w:type="character" w:customStyle="1" w:styleId="HeaderCouncilLargeChar">
    <w:name w:val="Header Council Large Char"/>
    <w:basedOn w:val="TechnicalBlockChar"/>
    <w:link w:val="HeaderCouncilLarge"/>
    <w:qFormat/>
    <w:rsid w:val="008D1BE3"/>
    <w:rPr>
      <w:rFonts w:eastAsia="Calibri"/>
      <w:sz w:val="2"/>
      <w:szCs w:val="22"/>
      <w:lang w:val="hr-HR" w:eastAsia="en-US"/>
    </w:rPr>
  </w:style>
  <w:style w:type="paragraph" w:customStyle="1" w:styleId="FooterText">
    <w:name w:val="Footer Text"/>
    <w:basedOn w:val="Normal"/>
    <w:qFormat/>
    <w:rsid w:val="008D1BE3"/>
    <w:pPr>
      <w:widowControl/>
    </w:pPr>
    <w:rPr>
      <w:szCs w:val="24"/>
      <w:lang w:eastAsia="en-US"/>
    </w:rPr>
  </w:style>
  <w:style w:type="character" w:styleId="PlaceholderText">
    <w:name w:val="Placeholder Text"/>
    <w:basedOn w:val="DefaultParagraphFont"/>
    <w:uiPriority w:val="99"/>
    <w:semiHidden/>
    <w:qFormat/>
    <w:rsid w:val="008D1BE3"/>
    <w:rPr>
      <w:color w:val="808080"/>
    </w:rPr>
  </w:style>
  <w:style w:type="numbering" w:customStyle="1" w:styleId="RKPunktlista">
    <w:name w:val="RK Punktlista"/>
    <w:uiPriority w:val="99"/>
    <w:rsid w:val="008D1BE3"/>
    <w:pPr>
      <w:numPr>
        <w:numId w:val="23"/>
      </w:numPr>
    </w:pPr>
  </w:style>
  <w:style w:type="paragraph" w:customStyle="1" w:styleId="ListBullet10">
    <w:name w:val="List Bullet1"/>
    <w:basedOn w:val="Normal"/>
    <w:next w:val="ListBullet"/>
    <w:uiPriority w:val="99"/>
    <w:qFormat/>
    <w:rsid w:val="008D1BE3"/>
    <w:pPr>
      <w:widowControl/>
      <w:numPr>
        <w:numId w:val="24"/>
      </w:numPr>
      <w:tabs>
        <w:tab w:val="clear" w:pos="425"/>
        <w:tab w:val="num" w:pos="1134"/>
      </w:tabs>
      <w:spacing w:after="100" w:line="276" w:lineRule="auto"/>
      <w:ind w:left="1134" w:hanging="567"/>
      <w:contextualSpacing/>
    </w:pPr>
    <w:rPr>
      <w:rFonts w:ascii="Calibri" w:eastAsia="Calibri" w:hAnsi="Calibri" w:cs="Arial"/>
      <w:sz w:val="25"/>
      <w:szCs w:val="25"/>
      <w:lang w:eastAsia="en-US"/>
    </w:rPr>
  </w:style>
  <w:style w:type="paragraph" w:customStyle="1" w:styleId="ListBullet21">
    <w:name w:val="List Bullet 21"/>
    <w:basedOn w:val="Normal"/>
    <w:next w:val="ListBullet2"/>
    <w:uiPriority w:val="99"/>
    <w:qFormat/>
    <w:rsid w:val="008D1BE3"/>
    <w:pPr>
      <w:widowControl/>
      <w:numPr>
        <w:ilvl w:val="1"/>
        <w:numId w:val="24"/>
      </w:numPr>
      <w:tabs>
        <w:tab w:val="clear" w:pos="851"/>
        <w:tab w:val="num" w:pos="1134"/>
      </w:tabs>
      <w:spacing w:after="100" w:line="276" w:lineRule="auto"/>
      <w:ind w:left="850" w:hanging="425"/>
      <w:contextualSpacing/>
    </w:pPr>
    <w:rPr>
      <w:rFonts w:ascii="Calibri" w:eastAsia="Calibri" w:hAnsi="Calibri" w:cs="Arial"/>
      <w:sz w:val="25"/>
      <w:szCs w:val="25"/>
      <w:lang w:eastAsia="en-US"/>
    </w:rPr>
  </w:style>
  <w:style w:type="paragraph" w:customStyle="1" w:styleId="ListBullet31">
    <w:name w:val="List Bullet 31"/>
    <w:basedOn w:val="Normal"/>
    <w:next w:val="ListBullet3"/>
    <w:uiPriority w:val="99"/>
    <w:qFormat/>
    <w:rsid w:val="008D1BE3"/>
    <w:pPr>
      <w:widowControl/>
      <w:numPr>
        <w:ilvl w:val="2"/>
        <w:numId w:val="24"/>
      </w:numPr>
      <w:tabs>
        <w:tab w:val="clear" w:pos="1276"/>
        <w:tab w:val="num" w:pos="1134"/>
      </w:tabs>
      <w:spacing w:after="100" w:line="276" w:lineRule="auto"/>
      <w:ind w:left="1134" w:hanging="567"/>
      <w:contextualSpacing/>
    </w:pPr>
    <w:rPr>
      <w:rFonts w:ascii="Calibri" w:eastAsia="Calibri" w:hAnsi="Calibri" w:cs="Arial"/>
      <w:sz w:val="25"/>
      <w:szCs w:val="25"/>
      <w:lang w:eastAsia="en-US"/>
    </w:rPr>
  </w:style>
  <w:style w:type="paragraph" w:customStyle="1" w:styleId="ListParagraphCharCharChar1">
    <w:name w:val="List Paragraph Char Char Char1"/>
    <w:basedOn w:val="Normal"/>
    <w:next w:val="ListParagraph"/>
    <w:link w:val="ListParagraphChar"/>
    <w:uiPriority w:val="34"/>
    <w:qFormat/>
    <w:rsid w:val="008D1BE3"/>
    <w:pPr>
      <w:widowControl/>
      <w:spacing w:after="280" w:line="276" w:lineRule="auto"/>
      <w:ind w:left="720"/>
      <w:contextualSpacing/>
    </w:pPr>
    <w:rPr>
      <w:rFonts w:ascii="Calibri" w:eastAsia="Calibri" w:hAnsi="Calibri" w:cs="Arial"/>
      <w:sz w:val="25"/>
      <w:szCs w:val="25"/>
      <w:lang w:eastAsia="en-US"/>
    </w:rPr>
  </w:style>
  <w:style w:type="paragraph" w:styleId="NoSpacing">
    <w:name w:val="No Spacing"/>
    <w:uiPriority w:val="1"/>
    <w:qFormat/>
    <w:rsid w:val="008D1BE3"/>
    <w:pPr>
      <w:jc w:val="both"/>
    </w:pPr>
    <w:rPr>
      <w:rFonts w:eastAsia="Calibri" w:cs="Arial"/>
      <w:sz w:val="24"/>
      <w:lang w:val="hr-HR" w:eastAsia="sv-SE"/>
    </w:rPr>
  </w:style>
  <w:style w:type="paragraph" w:customStyle="1" w:styleId="CM1">
    <w:name w:val="CM1"/>
    <w:basedOn w:val="Default"/>
    <w:next w:val="Default"/>
    <w:uiPriority w:val="99"/>
    <w:rsid w:val="008D1BE3"/>
    <w:pPr>
      <w:suppressAutoHyphens w:val="0"/>
      <w:autoSpaceDE w:val="0"/>
      <w:autoSpaceDN w:val="0"/>
      <w:adjustRightInd w:val="0"/>
    </w:pPr>
    <w:rPr>
      <w:color w:val="auto"/>
    </w:rPr>
  </w:style>
  <w:style w:type="character" w:customStyle="1" w:styleId="Fotnotstecken">
    <w:name w:val="Fotnotstecken"/>
    <w:basedOn w:val="DefaultParagraphFont"/>
    <w:uiPriority w:val="99"/>
    <w:unhideWhenUsed/>
    <w:qFormat/>
    <w:rsid w:val="008D1BE3"/>
    <w:rPr>
      <w:b/>
      <w:shd w:val="clear" w:color="auto" w:fill="auto"/>
      <w:vertAlign w:val="superscript"/>
    </w:rPr>
  </w:style>
  <w:style w:type="character" w:customStyle="1" w:styleId="Fotnotsankare">
    <w:name w:val="Fotnotsankare"/>
    <w:qFormat/>
    <w:rsid w:val="008D1BE3"/>
    <w:rPr>
      <w:vertAlign w:val="superscript"/>
    </w:rPr>
  </w:style>
  <w:style w:type="character" w:customStyle="1" w:styleId="Slutnotstecken">
    <w:name w:val="Slutnotstecken"/>
    <w:basedOn w:val="DefaultParagraphFont"/>
    <w:uiPriority w:val="99"/>
    <w:semiHidden/>
    <w:unhideWhenUsed/>
    <w:qFormat/>
    <w:rsid w:val="008D1BE3"/>
    <w:rPr>
      <w:vertAlign w:val="superscript"/>
    </w:rPr>
  </w:style>
  <w:style w:type="character" w:customStyle="1" w:styleId="Slutnotsankare">
    <w:name w:val="Slutnotsankare"/>
    <w:qFormat/>
    <w:rsid w:val="008D1BE3"/>
    <w:rPr>
      <w:vertAlign w:val="superscript"/>
    </w:rPr>
  </w:style>
  <w:style w:type="character" w:customStyle="1" w:styleId="TOCHeadingChar">
    <w:name w:val="TOC Heading Char"/>
    <w:uiPriority w:val="39"/>
    <w:qFormat/>
    <w:rsid w:val="008D1BE3"/>
    <w:rPr>
      <w:rFonts w:ascii="Times New Roman" w:hAnsi="Times New Roman" w:cs="Times New Roman"/>
      <w:b/>
      <w:sz w:val="28"/>
      <w:lang w:val="hr-HR"/>
    </w:rPr>
  </w:style>
  <w:style w:type="character" w:customStyle="1" w:styleId="Internetlnk">
    <w:name w:val="Internetlänk"/>
    <w:uiPriority w:val="99"/>
    <w:qFormat/>
    <w:rsid w:val="008D1BE3"/>
    <w:rPr>
      <w:color w:val="0000FF"/>
      <w:u w:val="single"/>
    </w:rPr>
  </w:style>
  <w:style w:type="character" w:styleId="CommentReference">
    <w:name w:val="annotation reference"/>
    <w:uiPriority w:val="99"/>
    <w:qFormat/>
    <w:rsid w:val="008D1BE3"/>
    <w:rPr>
      <w:rFonts w:cs="Times New Roman"/>
      <w:sz w:val="16"/>
      <w:szCs w:val="16"/>
    </w:rPr>
  </w:style>
  <w:style w:type="character" w:customStyle="1" w:styleId="CommentTextChar">
    <w:name w:val="Comment Text Char"/>
    <w:basedOn w:val="DefaultParagraphFont"/>
    <w:link w:val="CommentText"/>
    <w:uiPriority w:val="99"/>
    <w:qFormat/>
    <w:rsid w:val="008D1BE3"/>
  </w:style>
  <w:style w:type="character" w:customStyle="1" w:styleId="CommentSubjectChar">
    <w:name w:val="Comment Subject Char"/>
    <w:basedOn w:val="CommentTextChar"/>
    <w:link w:val="CommentSubject"/>
    <w:uiPriority w:val="99"/>
    <w:qFormat/>
    <w:rsid w:val="008D1BE3"/>
    <w:rPr>
      <w:b/>
      <w:bCs/>
    </w:rPr>
  </w:style>
  <w:style w:type="character" w:customStyle="1" w:styleId="BalloonTextChar">
    <w:name w:val="Balloon Text Char"/>
    <w:basedOn w:val="DefaultParagraphFont"/>
    <w:link w:val="BalloonText"/>
    <w:uiPriority w:val="99"/>
    <w:qFormat/>
    <w:rsid w:val="008D1BE3"/>
    <w:rPr>
      <w:rFonts w:ascii="Tahoma" w:hAnsi="Tahoma" w:cs="Tahoma"/>
      <w:sz w:val="16"/>
      <w:szCs w:val="16"/>
    </w:rPr>
  </w:style>
  <w:style w:type="character" w:customStyle="1" w:styleId="tw4winMark">
    <w:name w:val="tw4winMark"/>
    <w:qFormat/>
    <w:rsid w:val="008D1BE3"/>
    <w:rPr>
      <w:vanish/>
      <w:color w:val="800080"/>
      <w:vertAlign w:val="subscript"/>
    </w:rPr>
  </w:style>
  <w:style w:type="character" w:customStyle="1" w:styleId="AnvndInternetlnk">
    <w:name w:val="Använd Internetlänk"/>
    <w:qFormat/>
    <w:rsid w:val="008D1BE3"/>
    <w:rPr>
      <w:color w:val="800080"/>
      <w:u w:val="single"/>
    </w:rPr>
  </w:style>
  <w:style w:type="character" w:customStyle="1" w:styleId="FooterCoverPageChar">
    <w:name w:val="Footer Cover Page Char"/>
    <w:link w:val="FooterCoverPage"/>
    <w:qFormat/>
    <w:rsid w:val="008D1BE3"/>
    <w:rPr>
      <w:rFonts w:eastAsia="Calibri"/>
      <w:sz w:val="24"/>
    </w:rPr>
  </w:style>
  <w:style w:type="character" w:customStyle="1" w:styleId="HeaderCoverPageChar">
    <w:name w:val="Header Cover Page Char"/>
    <w:link w:val="HeaderCoverPage"/>
    <w:qFormat/>
    <w:rsid w:val="008D1BE3"/>
    <w:rPr>
      <w:rFonts w:eastAsia="Calibri"/>
      <w:sz w:val="24"/>
    </w:rPr>
  </w:style>
  <w:style w:type="character" w:customStyle="1" w:styleId="ListParagraphChar">
    <w:name w:val="List Paragraph Char"/>
    <w:aliases w:val="1st level - Bullet List Paragraph Char,Bullet Points Char,Dot pt Char,F5 List Paragraph Char,Heading 2_sj Char,Indicator Text Char,List Paragraph1 Char,List Paragraph12 Char,MAIN CONTENT Char,No Spacing1 Char,Numbered Para 1 Char"/>
    <w:basedOn w:val="DefaultParagraphFont"/>
    <w:link w:val="ListParagraphCharCharChar1"/>
    <w:uiPriority w:val="34"/>
    <w:qFormat/>
    <w:locked/>
    <w:rsid w:val="008D1BE3"/>
    <w:rPr>
      <w:rFonts w:ascii="Calibri" w:eastAsia="Calibri" w:hAnsi="Calibri" w:cs="Arial"/>
      <w:sz w:val="25"/>
      <w:szCs w:val="25"/>
      <w:lang w:val="hr-HR" w:eastAsia="en-US"/>
    </w:rPr>
  </w:style>
  <w:style w:type="character" w:customStyle="1" w:styleId="normaltextrun">
    <w:name w:val="normaltextrun"/>
    <w:basedOn w:val="DefaultParagraphFont"/>
    <w:qFormat/>
    <w:rsid w:val="008D1BE3"/>
  </w:style>
  <w:style w:type="character" w:customStyle="1" w:styleId="eop">
    <w:name w:val="eop"/>
    <w:basedOn w:val="DefaultParagraphFont"/>
    <w:qFormat/>
    <w:rsid w:val="008D1BE3"/>
  </w:style>
  <w:style w:type="character" w:customStyle="1" w:styleId="bold">
    <w:name w:val="bold"/>
    <w:basedOn w:val="DefaultParagraphFont"/>
    <w:qFormat/>
    <w:rsid w:val="008D1BE3"/>
  </w:style>
  <w:style w:type="character" w:customStyle="1" w:styleId="oj-italic">
    <w:name w:val="oj-italic"/>
    <w:basedOn w:val="DefaultParagraphFont"/>
    <w:qFormat/>
    <w:rsid w:val="008D1BE3"/>
  </w:style>
  <w:style w:type="character" w:customStyle="1" w:styleId="Bodytext2">
    <w:name w:val="Body text|2"/>
    <w:basedOn w:val="DefaultParagraphFont"/>
    <w:qFormat/>
    <w:rsid w:val="008D1BE3"/>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8D1BE3"/>
    <w:rPr>
      <w:i/>
      <w:iCs/>
    </w:rPr>
  </w:style>
  <w:style w:type="character" w:styleId="Strong">
    <w:name w:val="Strong"/>
    <w:basedOn w:val="DefaultParagraphFont"/>
    <w:uiPriority w:val="22"/>
    <w:qFormat/>
    <w:rsid w:val="008D1BE3"/>
    <w:rPr>
      <w:b/>
      <w:bCs/>
    </w:rPr>
  </w:style>
  <w:style w:type="character" w:customStyle="1" w:styleId="highlight">
    <w:name w:val="highlight"/>
    <w:basedOn w:val="DefaultParagraphFont"/>
    <w:qFormat/>
    <w:rsid w:val="008D1BE3"/>
  </w:style>
  <w:style w:type="character" w:customStyle="1" w:styleId="oj-super">
    <w:name w:val="oj-super"/>
    <w:basedOn w:val="DefaultParagraphFont"/>
    <w:qFormat/>
    <w:rsid w:val="008D1BE3"/>
  </w:style>
  <w:style w:type="character" w:customStyle="1" w:styleId="findhit">
    <w:name w:val="findhit"/>
    <w:basedOn w:val="DefaultParagraphFont"/>
    <w:qFormat/>
    <w:rsid w:val="008D1BE3"/>
  </w:style>
  <w:style w:type="character" w:customStyle="1" w:styleId="Marker2">
    <w:name w:val="Marker2"/>
    <w:basedOn w:val="DefaultParagraphFont"/>
    <w:qFormat/>
    <w:rsid w:val="008D1BE3"/>
    <w:rPr>
      <w:color w:val="FF0000"/>
      <w:shd w:val="clear" w:color="auto" w:fill="auto"/>
    </w:rPr>
  </w:style>
  <w:style w:type="character" w:customStyle="1" w:styleId="Added">
    <w:name w:val="Added"/>
    <w:basedOn w:val="DefaultParagraphFont"/>
    <w:qFormat/>
    <w:rsid w:val="008D1BE3"/>
    <w:rPr>
      <w:b/>
      <w:u w:val="single"/>
      <w:shd w:val="clear" w:color="auto" w:fill="auto"/>
    </w:rPr>
  </w:style>
  <w:style w:type="character" w:customStyle="1" w:styleId="Deleted">
    <w:name w:val="Deleted"/>
    <w:basedOn w:val="DefaultParagraphFont"/>
    <w:qFormat/>
    <w:rsid w:val="008D1BE3"/>
    <w:rPr>
      <w:strike w:val="0"/>
      <w:dstrike w:val="0"/>
      <w:shd w:val="clear" w:color="auto" w:fill="auto"/>
    </w:rPr>
  </w:style>
  <w:style w:type="character" w:customStyle="1" w:styleId="pjChar">
    <w:name w:val="p.j. Char"/>
    <w:basedOn w:val="TechnicalBlockChar"/>
    <w:link w:val="pj"/>
    <w:qFormat/>
    <w:rsid w:val="008D1BE3"/>
    <w:rPr>
      <w:rFonts w:eastAsia="Calibri"/>
      <w:sz w:val="24"/>
      <w:szCs w:val="22"/>
      <w:lang w:val="hr-HR" w:eastAsia="en-US"/>
    </w:rPr>
  </w:style>
  <w:style w:type="character" w:customStyle="1" w:styleId="nbborderedChar">
    <w:name w:val="nb bordered Char"/>
    <w:basedOn w:val="TechnicalBlockChar"/>
    <w:link w:val="nbbordered"/>
    <w:qFormat/>
    <w:rsid w:val="008D1BE3"/>
    <w:rPr>
      <w:rFonts w:eastAsia="Calibri"/>
      <w:b/>
      <w:sz w:val="24"/>
      <w:szCs w:val="22"/>
      <w:lang w:val="hr-HR" w:eastAsia="en-US"/>
    </w:rPr>
  </w:style>
  <w:style w:type="character" w:customStyle="1" w:styleId="HeaderCouncilChar">
    <w:name w:val="Header Council Char"/>
    <w:basedOn w:val="DefaultParagraphFont"/>
    <w:link w:val="HeaderCouncil"/>
    <w:qFormat/>
    <w:rsid w:val="008D1BE3"/>
    <w:rPr>
      <w:rFonts w:eastAsia="Calibri"/>
      <w:sz w:val="2"/>
      <w:szCs w:val="22"/>
      <w:lang w:val="hr-HR" w:eastAsia="en-US"/>
    </w:rPr>
  </w:style>
  <w:style w:type="character" w:customStyle="1" w:styleId="FooterCouncilChar">
    <w:name w:val="Footer Council Char"/>
    <w:basedOn w:val="DefaultParagraphFont"/>
    <w:link w:val="FooterCouncil"/>
    <w:qFormat/>
    <w:rsid w:val="008D1BE3"/>
    <w:rPr>
      <w:rFonts w:eastAsia="Calibri"/>
      <w:sz w:val="2"/>
      <w:szCs w:val="22"/>
      <w:lang w:val="hr-HR" w:eastAsia="en-US"/>
    </w:rPr>
  </w:style>
  <w:style w:type="character" w:customStyle="1" w:styleId="ArticleNRLChar">
    <w:name w:val="Article NRL Char"/>
    <w:basedOn w:val="Heading2Char"/>
    <w:link w:val="ArticleNRL"/>
    <w:qFormat/>
    <w:rsid w:val="008D1BE3"/>
    <w:rPr>
      <w:b/>
      <w:i/>
      <w:sz w:val="24"/>
      <w:lang w:val="fr-FR" w:eastAsia="fr-FR"/>
    </w:rPr>
  </w:style>
  <w:style w:type="character" w:customStyle="1" w:styleId="TypedudocumentChar">
    <w:name w:val="Type du document Char"/>
    <w:basedOn w:val="DefaultParagraphFont"/>
    <w:link w:val="Typedudocument"/>
    <w:qFormat/>
    <w:rsid w:val="008D1BE3"/>
    <w:rPr>
      <w:b/>
      <w:sz w:val="24"/>
    </w:rPr>
  </w:style>
  <w:style w:type="character" w:customStyle="1" w:styleId="Rubrik1Char">
    <w:name w:val="Rubrik1 Char"/>
    <w:basedOn w:val="TypedudocumentChar"/>
    <w:link w:val="Rubrik1"/>
    <w:qFormat/>
    <w:rsid w:val="008D1BE3"/>
    <w:rPr>
      <w:b/>
      <w:sz w:val="24"/>
    </w:rPr>
  </w:style>
  <w:style w:type="character" w:customStyle="1" w:styleId="ChapterTitleChar">
    <w:name w:val="ChapterTitle Char"/>
    <w:basedOn w:val="DefaultParagraphFont"/>
    <w:link w:val="ChapterTitle"/>
    <w:qFormat/>
    <w:rsid w:val="008D1BE3"/>
    <w:rPr>
      <w:b/>
      <w:bCs/>
      <w:smallCaps/>
      <w:sz w:val="32"/>
      <w:szCs w:val="28"/>
    </w:rPr>
  </w:style>
  <w:style w:type="character" w:customStyle="1" w:styleId="Point0Char">
    <w:name w:val="Point 0 Char"/>
    <w:basedOn w:val="DefaultParagraphFont"/>
    <w:link w:val="Point0"/>
    <w:qFormat/>
    <w:rsid w:val="008D1BE3"/>
    <w:rPr>
      <w:sz w:val="24"/>
    </w:rPr>
  </w:style>
  <w:style w:type="character" w:customStyle="1" w:styleId="additionChar">
    <w:name w:val="addition Char"/>
    <w:basedOn w:val="Point0Char"/>
    <w:link w:val="addition"/>
    <w:qFormat/>
    <w:rsid w:val="008D1BE3"/>
    <w:rPr>
      <w:b/>
      <w:sz w:val="24"/>
      <w:u w:val="single"/>
    </w:rPr>
  </w:style>
  <w:style w:type="character" w:customStyle="1" w:styleId="ManualNumPar1Char">
    <w:name w:val="Manual NumPar 1 Char"/>
    <w:basedOn w:val="DefaultParagraphFont"/>
    <w:link w:val="ManualNumPar1"/>
    <w:qFormat/>
    <w:rsid w:val="008D1BE3"/>
    <w:rPr>
      <w:sz w:val="24"/>
    </w:rPr>
  </w:style>
  <w:style w:type="character" w:customStyle="1" w:styleId="deletionChar">
    <w:name w:val="deletion Char"/>
    <w:basedOn w:val="ManualNumPar1Char"/>
    <w:link w:val="deletion"/>
    <w:qFormat/>
    <w:rsid w:val="008D1BE3"/>
    <w:rPr>
      <w:strike/>
      <w:sz w:val="24"/>
    </w:rPr>
  </w:style>
  <w:style w:type="character" w:styleId="Hyperlink">
    <w:name w:val="Hyperlink"/>
    <w:uiPriority w:val="99"/>
    <w:rsid w:val="008D1BE3"/>
    <w:rPr>
      <w:color w:val="000080"/>
      <w:u w:val="single"/>
    </w:rPr>
  </w:style>
  <w:style w:type="character" w:customStyle="1" w:styleId="FootnoteCharacters">
    <w:name w:val="Footnote Characters"/>
    <w:qFormat/>
    <w:rsid w:val="008D1BE3"/>
  </w:style>
  <w:style w:type="character" w:customStyle="1" w:styleId="FootnoteAnchor">
    <w:name w:val="Footnote Anchor"/>
    <w:rsid w:val="008D1BE3"/>
    <w:rPr>
      <w:vertAlign w:val="superscript"/>
    </w:rPr>
  </w:style>
  <w:style w:type="character" w:customStyle="1" w:styleId="EndnoteAnchor">
    <w:name w:val="Endnote Anchor"/>
    <w:rsid w:val="008D1BE3"/>
    <w:rPr>
      <w:vertAlign w:val="superscript"/>
    </w:rPr>
  </w:style>
  <w:style w:type="character" w:customStyle="1" w:styleId="EndnoteCharacters">
    <w:name w:val="Endnote Characters"/>
    <w:qFormat/>
    <w:rsid w:val="008D1BE3"/>
  </w:style>
  <w:style w:type="paragraph" w:customStyle="1" w:styleId="Heading">
    <w:name w:val="Heading"/>
    <w:basedOn w:val="Normal"/>
    <w:next w:val="BodyText"/>
    <w:qFormat/>
    <w:rsid w:val="008D1BE3"/>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BodyText">
    <w:name w:val="Body Text"/>
    <w:basedOn w:val="Normal"/>
    <w:link w:val="BodyTextChar"/>
    <w:rsid w:val="008D1BE3"/>
    <w:pPr>
      <w:widowControl/>
      <w:suppressAutoHyphens/>
      <w:spacing w:after="140" w:line="276" w:lineRule="auto"/>
    </w:pPr>
    <w:rPr>
      <w:rFonts w:eastAsia="Calibri"/>
      <w:szCs w:val="22"/>
      <w:lang w:eastAsia="en-US"/>
    </w:rPr>
  </w:style>
  <w:style w:type="character" w:customStyle="1" w:styleId="BodyTextChar">
    <w:name w:val="Body Text Char"/>
    <w:basedOn w:val="DefaultParagraphFont"/>
    <w:link w:val="BodyText"/>
    <w:rsid w:val="008D1BE3"/>
    <w:rPr>
      <w:rFonts w:eastAsia="Calibri"/>
      <w:sz w:val="24"/>
      <w:szCs w:val="22"/>
      <w:lang w:val="hr-HR" w:eastAsia="en-US"/>
    </w:rPr>
  </w:style>
  <w:style w:type="paragraph" w:styleId="List">
    <w:name w:val="List"/>
    <w:basedOn w:val="Normal"/>
    <w:uiPriority w:val="99"/>
    <w:unhideWhenUsed/>
    <w:rsid w:val="008D1BE3"/>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8D1BE3"/>
    <w:pPr>
      <w:widowControl/>
      <w:suppressAutoHyphens/>
      <w:spacing w:before="120" w:after="120"/>
      <w:jc w:val="both"/>
    </w:pPr>
    <w:rPr>
      <w:b/>
      <w:bCs/>
      <w:sz w:val="20"/>
    </w:rPr>
  </w:style>
  <w:style w:type="paragraph" w:customStyle="1" w:styleId="Index">
    <w:name w:val="Index"/>
    <w:basedOn w:val="Normal"/>
    <w:qFormat/>
    <w:rsid w:val="008D1BE3"/>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8D1BE3"/>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8D1BE3"/>
    <w:rPr>
      <w:rFonts w:ascii="Carlito" w:eastAsia="Noto Sans SC Regular" w:hAnsi="Carlito" w:cs="Noto Sans Devanagari"/>
      <w:sz w:val="28"/>
      <w:szCs w:val="28"/>
      <w:lang w:val="hr-HR" w:eastAsia="en-US"/>
    </w:rPr>
  </w:style>
  <w:style w:type="paragraph" w:customStyle="1" w:styleId="Frteckning">
    <w:name w:val="Förteckning"/>
    <w:basedOn w:val="Normal"/>
    <w:qFormat/>
    <w:rsid w:val="008D1BE3"/>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8D1BE3"/>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8D1BE3"/>
    <w:pPr>
      <w:widowControl/>
      <w:suppressAutoHyphens/>
      <w:spacing w:before="120" w:after="120" w:line="360" w:lineRule="auto"/>
    </w:pPr>
    <w:rPr>
      <w:rFonts w:eastAsia="Calibri"/>
      <w:szCs w:val="22"/>
      <w:lang w:eastAsia="en-US"/>
    </w:rPr>
  </w:style>
  <w:style w:type="paragraph" w:styleId="ListBullet4">
    <w:name w:val="List Bullet 4"/>
    <w:basedOn w:val="Normal"/>
    <w:uiPriority w:val="99"/>
    <w:qFormat/>
    <w:rsid w:val="008D1BE3"/>
    <w:pPr>
      <w:widowControl/>
      <w:numPr>
        <w:numId w:val="26"/>
      </w:numPr>
      <w:suppressAutoHyphens/>
      <w:spacing w:before="120" w:after="120"/>
      <w:jc w:val="both"/>
    </w:pPr>
    <w:rPr>
      <w:szCs w:val="22"/>
      <w:lang w:eastAsia="de-DE"/>
    </w:rPr>
  </w:style>
  <w:style w:type="paragraph" w:styleId="ListNumber">
    <w:name w:val="List Number"/>
    <w:basedOn w:val="Normal"/>
    <w:uiPriority w:val="99"/>
    <w:qFormat/>
    <w:rsid w:val="008D1BE3"/>
    <w:pPr>
      <w:widowControl/>
      <w:numPr>
        <w:numId w:val="30"/>
      </w:numPr>
      <w:suppressAutoHyphens/>
      <w:spacing w:before="120" w:after="120"/>
      <w:jc w:val="both"/>
    </w:pPr>
    <w:rPr>
      <w:szCs w:val="22"/>
      <w:lang w:eastAsia="de-DE"/>
    </w:rPr>
  </w:style>
  <w:style w:type="paragraph" w:customStyle="1" w:styleId="ListBullet1">
    <w:name w:val="List Bullet 1"/>
    <w:basedOn w:val="Normal"/>
    <w:qFormat/>
    <w:rsid w:val="008D1BE3"/>
    <w:pPr>
      <w:widowControl/>
      <w:numPr>
        <w:numId w:val="25"/>
      </w:numPr>
      <w:suppressAutoHyphens/>
      <w:spacing w:before="120" w:after="120"/>
      <w:jc w:val="both"/>
    </w:pPr>
    <w:rPr>
      <w:szCs w:val="22"/>
      <w:lang w:eastAsia="de-DE"/>
    </w:rPr>
  </w:style>
  <w:style w:type="paragraph" w:customStyle="1" w:styleId="ListDash">
    <w:name w:val="List Dash"/>
    <w:basedOn w:val="Normal"/>
    <w:qFormat/>
    <w:rsid w:val="008D1BE3"/>
    <w:pPr>
      <w:widowControl/>
      <w:numPr>
        <w:numId w:val="27"/>
      </w:numPr>
      <w:suppressAutoHyphens/>
      <w:spacing w:before="120" w:after="120"/>
      <w:jc w:val="both"/>
    </w:pPr>
    <w:rPr>
      <w:szCs w:val="22"/>
      <w:lang w:eastAsia="de-DE"/>
    </w:rPr>
  </w:style>
  <w:style w:type="paragraph" w:customStyle="1" w:styleId="ListDash1">
    <w:name w:val="List Dash 1"/>
    <w:basedOn w:val="Normal"/>
    <w:qFormat/>
    <w:rsid w:val="008D1BE3"/>
    <w:pPr>
      <w:widowControl/>
      <w:numPr>
        <w:numId w:val="28"/>
      </w:numPr>
      <w:suppressAutoHyphens/>
      <w:spacing w:before="120" w:after="120"/>
      <w:jc w:val="both"/>
    </w:pPr>
    <w:rPr>
      <w:szCs w:val="22"/>
      <w:lang w:eastAsia="de-DE"/>
    </w:rPr>
  </w:style>
  <w:style w:type="paragraph" w:customStyle="1" w:styleId="ListDash2">
    <w:name w:val="List Dash 2"/>
    <w:basedOn w:val="Normal"/>
    <w:qFormat/>
    <w:rsid w:val="008D1BE3"/>
    <w:pPr>
      <w:widowControl/>
      <w:numPr>
        <w:numId w:val="29"/>
      </w:numPr>
      <w:suppressAutoHyphens/>
      <w:spacing w:before="120" w:after="120"/>
      <w:jc w:val="both"/>
    </w:pPr>
    <w:rPr>
      <w:szCs w:val="22"/>
      <w:lang w:eastAsia="de-DE"/>
    </w:rPr>
  </w:style>
  <w:style w:type="paragraph" w:customStyle="1" w:styleId="ListNumberLevel2">
    <w:name w:val="List Number (Level 2)"/>
    <w:basedOn w:val="Normal"/>
    <w:qFormat/>
    <w:rsid w:val="008D1BE3"/>
    <w:pPr>
      <w:widowControl/>
      <w:tabs>
        <w:tab w:val="left" w:pos="1417"/>
      </w:tabs>
      <w:suppressAutoHyphens/>
      <w:spacing w:before="120" w:after="120"/>
      <w:ind w:left="1417" w:hanging="708"/>
      <w:jc w:val="both"/>
    </w:pPr>
    <w:rPr>
      <w:szCs w:val="22"/>
      <w:lang w:eastAsia="de-DE"/>
    </w:rPr>
  </w:style>
  <w:style w:type="paragraph" w:customStyle="1" w:styleId="ListNumberLevel3">
    <w:name w:val="List Number (Level 3)"/>
    <w:basedOn w:val="Normal"/>
    <w:qFormat/>
    <w:rsid w:val="008D1BE3"/>
    <w:pPr>
      <w:widowControl/>
      <w:tabs>
        <w:tab w:val="left" w:pos="2126"/>
      </w:tabs>
      <w:suppressAutoHyphens/>
      <w:spacing w:before="120" w:after="120"/>
      <w:ind w:left="2126" w:hanging="709"/>
      <w:jc w:val="both"/>
    </w:pPr>
    <w:rPr>
      <w:szCs w:val="22"/>
      <w:lang w:eastAsia="de-DE"/>
    </w:rPr>
  </w:style>
  <w:style w:type="paragraph" w:customStyle="1" w:styleId="ListNumberLevel4">
    <w:name w:val="List Number (Level 4)"/>
    <w:basedOn w:val="Normal"/>
    <w:qFormat/>
    <w:rsid w:val="008D1BE3"/>
    <w:pPr>
      <w:widowControl/>
      <w:tabs>
        <w:tab w:val="left" w:pos="2835"/>
      </w:tabs>
      <w:suppressAutoHyphens/>
      <w:spacing w:before="120" w:after="120"/>
      <w:ind w:left="2835" w:hanging="709"/>
      <w:jc w:val="both"/>
    </w:pPr>
    <w:rPr>
      <w:szCs w:val="22"/>
      <w:lang w:eastAsia="de-DE"/>
    </w:rPr>
  </w:style>
  <w:style w:type="paragraph" w:styleId="ListNumber2">
    <w:name w:val="List Number 2"/>
    <w:basedOn w:val="Normal"/>
    <w:uiPriority w:val="99"/>
    <w:qFormat/>
    <w:rsid w:val="008D1BE3"/>
    <w:pPr>
      <w:widowControl/>
      <w:numPr>
        <w:numId w:val="34"/>
      </w:numPr>
      <w:suppressAutoHyphens/>
      <w:spacing w:before="120" w:after="120"/>
      <w:jc w:val="both"/>
    </w:pPr>
    <w:rPr>
      <w:szCs w:val="22"/>
    </w:rPr>
  </w:style>
  <w:style w:type="paragraph" w:styleId="ListNumber3">
    <w:name w:val="List Number 3"/>
    <w:basedOn w:val="Normal"/>
    <w:uiPriority w:val="99"/>
    <w:qFormat/>
    <w:rsid w:val="008D1BE3"/>
    <w:pPr>
      <w:widowControl/>
      <w:numPr>
        <w:numId w:val="35"/>
      </w:numPr>
      <w:suppressAutoHyphens/>
      <w:spacing w:before="120" w:after="120"/>
      <w:jc w:val="both"/>
    </w:pPr>
    <w:rPr>
      <w:szCs w:val="22"/>
    </w:rPr>
  </w:style>
  <w:style w:type="paragraph" w:styleId="ListNumber4">
    <w:name w:val="List Number 4"/>
    <w:basedOn w:val="Normal"/>
    <w:uiPriority w:val="99"/>
    <w:qFormat/>
    <w:rsid w:val="008D1BE3"/>
    <w:pPr>
      <w:widowControl/>
      <w:tabs>
        <w:tab w:val="num" w:pos="1560"/>
      </w:tabs>
      <w:suppressAutoHyphens/>
      <w:spacing w:before="120" w:after="120"/>
      <w:ind w:left="1560" w:hanging="709"/>
      <w:jc w:val="both"/>
    </w:pPr>
    <w:rPr>
      <w:szCs w:val="22"/>
    </w:rPr>
  </w:style>
  <w:style w:type="paragraph" w:customStyle="1" w:styleId="ListDash3">
    <w:name w:val="List Dash 3"/>
    <w:basedOn w:val="Normal"/>
    <w:qFormat/>
    <w:rsid w:val="008D1BE3"/>
    <w:pPr>
      <w:widowControl/>
      <w:numPr>
        <w:numId w:val="31"/>
      </w:numPr>
      <w:suppressAutoHyphens/>
      <w:spacing w:before="120" w:after="120"/>
      <w:jc w:val="both"/>
    </w:pPr>
    <w:rPr>
      <w:szCs w:val="22"/>
    </w:rPr>
  </w:style>
  <w:style w:type="paragraph" w:customStyle="1" w:styleId="ListDash4">
    <w:name w:val="List Dash 4"/>
    <w:basedOn w:val="Normal"/>
    <w:qFormat/>
    <w:rsid w:val="008D1BE3"/>
    <w:pPr>
      <w:widowControl/>
      <w:numPr>
        <w:numId w:val="32"/>
      </w:numPr>
      <w:suppressAutoHyphens/>
      <w:spacing w:before="120" w:after="120"/>
      <w:jc w:val="both"/>
    </w:pPr>
    <w:rPr>
      <w:szCs w:val="22"/>
    </w:rPr>
  </w:style>
  <w:style w:type="paragraph" w:customStyle="1" w:styleId="ListNumber1">
    <w:name w:val="List Number 1"/>
    <w:basedOn w:val="Text1"/>
    <w:qFormat/>
    <w:rsid w:val="008D1BE3"/>
    <w:pPr>
      <w:numPr>
        <w:numId w:val="33"/>
      </w:numPr>
      <w:suppressAutoHyphens/>
      <w:spacing w:line="240" w:lineRule="auto"/>
      <w:jc w:val="both"/>
    </w:pPr>
    <w:rPr>
      <w:rFonts w:eastAsia="Times New Roman"/>
      <w:lang w:eastAsia="en-GB"/>
    </w:rPr>
  </w:style>
  <w:style w:type="paragraph" w:customStyle="1" w:styleId="ListNumber1Level2">
    <w:name w:val="List Number 1 (Level 2)"/>
    <w:basedOn w:val="Text1"/>
    <w:qFormat/>
    <w:rsid w:val="008D1BE3"/>
    <w:pPr>
      <w:numPr>
        <w:ilvl w:val="1"/>
        <w:numId w:val="33"/>
      </w:numPr>
      <w:suppressAutoHyphens/>
      <w:spacing w:line="240" w:lineRule="auto"/>
      <w:jc w:val="both"/>
    </w:pPr>
    <w:rPr>
      <w:rFonts w:eastAsia="Times New Roman"/>
      <w:lang w:eastAsia="en-GB"/>
    </w:rPr>
  </w:style>
  <w:style w:type="paragraph" w:customStyle="1" w:styleId="ListNumber2Level2">
    <w:name w:val="List Number 2 (Level 2)"/>
    <w:basedOn w:val="Text2"/>
    <w:qFormat/>
    <w:rsid w:val="008D1BE3"/>
    <w:pPr>
      <w:numPr>
        <w:ilvl w:val="1"/>
        <w:numId w:val="34"/>
      </w:numPr>
      <w:suppressAutoHyphens/>
      <w:spacing w:line="240" w:lineRule="auto"/>
      <w:jc w:val="both"/>
    </w:pPr>
    <w:rPr>
      <w:rFonts w:eastAsia="Times New Roman"/>
      <w:lang w:eastAsia="en-GB"/>
    </w:rPr>
  </w:style>
  <w:style w:type="paragraph" w:customStyle="1" w:styleId="ListNumber3Level2">
    <w:name w:val="List Number 3 (Level 2)"/>
    <w:basedOn w:val="Text3"/>
    <w:qFormat/>
    <w:rsid w:val="008D1BE3"/>
    <w:pPr>
      <w:numPr>
        <w:ilvl w:val="1"/>
        <w:numId w:val="35"/>
      </w:numPr>
      <w:tabs>
        <w:tab w:val="clear" w:pos="2268"/>
        <w:tab w:val="num" w:pos="2835"/>
      </w:tabs>
      <w:suppressAutoHyphens/>
      <w:ind w:left="1701" w:firstLine="0"/>
    </w:pPr>
  </w:style>
  <w:style w:type="paragraph" w:customStyle="1" w:styleId="ListNumber4Level2">
    <w:name w:val="List Number 4 (Level 2)"/>
    <w:basedOn w:val="Text4"/>
    <w:qFormat/>
    <w:rsid w:val="008D1BE3"/>
    <w:pPr>
      <w:tabs>
        <w:tab w:val="num" w:pos="2268"/>
      </w:tabs>
      <w:suppressAutoHyphens/>
      <w:spacing w:line="240" w:lineRule="auto"/>
      <w:ind w:hanging="708"/>
      <w:jc w:val="both"/>
    </w:pPr>
    <w:rPr>
      <w:rFonts w:eastAsia="Times New Roman"/>
      <w:lang w:eastAsia="en-GB"/>
    </w:rPr>
  </w:style>
  <w:style w:type="paragraph" w:customStyle="1" w:styleId="ListNumber1Level3">
    <w:name w:val="List Number 1 (Level 3)"/>
    <w:basedOn w:val="Text1"/>
    <w:qFormat/>
    <w:rsid w:val="008D1BE3"/>
    <w:pPr>
      <w:tabs>
        <w:tab w:val="left" w:pos="2977"/>
      </w:tabs>
      <w:suppressAutoHyphens/>
      <w:spacing w:line="240" w:lineRule="auto"/>
      <w:ind w:left="2977" w:hanging="709"/>
      <w:jc w:val="both"/>
    </w:pPr>
    <w:rPr>
      <w:rFonts w:eastAsia="Times New Roman"/>
      <w:lang w:eastAsia="en-GB"/>
    </w:rPr>
  </w:style>
  <w:style w:type="paragraph" w:customStyle="1" w:styleId="ListNumber2Level3">
    <w:name w:val="List Number 2 (Level 3)"/>
    <w:basedOn w:val="Text2"/>
    <w:qFormat/>
    <w:rsid w:val="008D1BE3"/>
    <w:pPr>
      <w:numPr>
        <w:ilvl w:val="2"/>
        <w:numId w:val="34"/>
      </w:numPr>
      <w:suppressAutoHyphens/>
      <w:spacing w:line="240" w:lineRule="auto"/>
      <w:jc w:val="both"/>
    </w:pPr>
    <w:rPr>
      <w:rFonts w:eastAsia="Times New Roman"/>
      <w:lang w:eastAsia="en-GB"/>
    </w:rPr>
  </w:style>
  <w:style w:type="paragraph" w:customStyle="1" w:styleId="ListNumber3Level3">
    <w:name w:val="List Number 3 (Level 3)"/>
    <w:basedOn w:val="Text3"/>
    <w:qFormat/>
    <w:rsid w:val="008D1BE3"/>
    <w:pPr>
      <w:numPr>
        <w:ilvl w:val="2"/>
        <w:numId w:val="35"/>
      </w:numPr>
      <w:tabs>
        <w:tab w:val="clear" w:pos="2977"/>
        <w:tab w:val="num" w:pos="2835"/>
      </w:tabs>
      <w:suppressAutoHyphens/>
      <w:ind w:left="1701" w:firstLine="0"/>
    </w:pPr>
  </w:style>
  <w:style w:type="paragraph" w:customStyle="1" w:styleId="ListNumber4Level3">
    <w:name w:val="List Number 4 (Level 3)"/>
    <w:basedOn w:val="Text4"/>
    <w:qFormat/>
    <w:rsid w:val="008D1BE3"/>
    <w:pPr>
      <w:tabs>
        <w:tab w:val="num" w:pos="2977"/>
      </w:tabs>
      <w:suppressAutoHyphens/>
      <w:spacing w:line="240" w:lineRule="auto"/>
      <w:ind w:left="2977" w:hanging="709"/>
      <w:jc w:val="both"/>
    </w:pPr>
    <w:rPr>
      <w:rFonts w:eastAsia="Times New Roman"/>
      <w:lang w:eastAsia="en-GB"/>
    </w:rPr>
  </w:style>
  <w:style w:type="paragraph" w:customStyle="1" w:styleId="ListNumber1Level4">
    <w:name w:val="List Number 1 (Level 4)"/>
    <w:basedOn w:val="Text1"/>
    <w:qFormat/>
    <w:rsid w:val="008D1BE3"/>
    <w:pPr>
      <w:numPr>
        <w:ilvl w:val="3"/>
        <w:numId w:val="33"/>
      </w:numPr>
      <w:suppressAutoHyphens/>
      <w:spacing w:line="240" w:lineRule="auto"/>
      <w:jc w:val="both"/>
    </w:pPr>
    <w:rPr>
      <w:rFonts w:eastAsia="Times New Roman"/>
      <w:lang w:eastAsia="en-GB"/>
    </w:rPr>
  </w:style>
  <w:style w:type="paragraph" w:customStyle="1" w:styleId="ListNumber2Level4">
    <w:name w:val="List Number 2 (Level 4)"/>
    <w:basedOn w:val="Text2"/>
    <w:qFormat/>
    <w:rsid w:val="008D1BE3"/>
    <w:pPr>
      <w:numPr>
        <w:ilvl w:val="3"/>
        <w:numId w:val="34"/>
      </w:numPr>
      <w:suppressAutoHyphens/>
      <w:spacing w:line="240" w:lineRule="auto"/>
      <w:jc w:val="both"/>
    </w:pPr>
    <w:rPr>
      <w:rFonts w:eastAsia="Times New Roman"/>
      <w:lang w:eastAsia="en-GB"/>
    </w:rPr>
  </w:style>
  <w:style w:type="paragraph" w:customStyle="1" w:styleId="ListNumber3Level4">
    <w:name w:val="List Number 3 (Level 4)"/>
    <w:basedOn w:val="Text3"/>
    <w:qFormat/>
    <w:rsid w:val="008D1BE3"/>
    <w:pPr>
      <w:numPr>
        <w:ilvl w:val="3"/>
        <w:numId w:val="35"/>
      </w:numPr>
      <w:tabs>
        <w:tab w:val="clear" w:pos="3686"/>
        <w:tab w:val="num" w:pos="2835"/>
      </w:tabs>
      <w:suppressAutoHyphens/>
      <w:ind w:left="1701" w:firstLine="0"/>
    </w:pPr>
  </w:style>
  <w:style w:type="paragraph" w:customStyle="1" w:styleId="ListNumber4Level4">
    <w:name w:val="List Number 4 (Level 4)"/>
    <w:basedOn w:val="Text4"/>
    <w:qFormat/>
    <w:rsid w:val="008D1BE3"/>
    <w:pPr>
      <w:tabs>
        <w:tab w:val="num" w:pos="3686"/>
      </w:tabs>
      <w:suppressAutoHyphens/>
      <w:spacing w:line="240" w:lineRule="auto"/>
      <w:ind w:left="3686" w:hanging="709"/>
      <w:jc w:val="both"/>
    </w:pPr>
    <w:rPr>
      <w:rFonts w:eastAsia="Times New Roman"/>
      <w:lang w:eastAsia="en-GB"/>
    </w:rPr>
  </w:style>
  <w:style w:type="paragraph" w:customStyle="1" w:styleId="Annexetitreacte">
    <w:name w:val="Annexe titre (acte)"/>
    <w:basedOn w:val="Normal"/>
    <w:next w:val="Normal"/>
    <w:qFormat/>
    <w:rsid w:val="008D1BE3"/>
    <w:pPr>
      <w:widowControl/>
      <w:suppressAutoHyphens/>
      <w:spacing w:before="120" w:after="120"/>
      <w:jc w:val="center"/>
    </w:pPr>
    <w:rPr>
      <w:b/>
      <w:szCs w:val="22"/>
      <w:u w:val="single"/>
    </w:rPr>
  </w:style>
  <w:style w:type="paragraph" w:customStyle="1" w:styleId="Annexetitreexposglobal">
    <w:name w:val="Annexe titre (exposé global)"/>
    <w:basedOn w:val="Normal"/>
    <w:next w:val="Normal"/>
    <w:qFormat/>
    <w:rsid w:val="008D1BE3"/>
    <w:pPr>
      <w:widowControl/>
      <w:suppressAutoHyphens/>
      <w:spacing w:before="120" w:after="120"/>
      <w:jc w:val="center"/>
    </w:pPr>
    <w:rPr>
      <w:b/>
      <w:szCs w:val="22"/>
      <w:u w:val="single"/>
    </w:rPr>
  </w:style>
  <w:style w:type="paragraph" w:customStyle="1" w:styleId="Annexetitrefichefinacte">
    <w:name w:val="Annexe titre (fiche fin. acte)"/>
    <w:basedOn w:val="Normal"/>
    <w:next w:val="Normal"/>
    <w:qFormat/>
    <w:rsid w:val="008D1BE3"/>
    <w:pPr>
      <w:widowControl/>
      <w:suppressAutoHyphens/>
      <w:spacing w:before="120" w:after="120"/>
      <w:jc w:val="center"/>
    </w:pPr>
    <w:rPr>
      <w:b/>
      <w:szCs w:val="22"/>
      <w:u w:val="single"/>
    </w:rPr>
  </w:style>
  <w:style w:type="paragraph" w:customStyle="1" w:styleId="Annexetitrefichefinglobale">
    <w:name w:val="Annexe titre (fiche fin. globale)"/>
    <w:basedOn w:val="Normal"/>
    <w:next w:val="Normal"/>
    <w:qFormat/>
    <w:rsid w:val="008D1BE3"/>
    <w:pPr>
      <w:widowControl/>
      <w:suppressAutoHyphens/>
      <w:spacing w:before="120" w:after="120"/>
      <w:jc w:val="center"/>
    </w:pPr>
    <w:rPr>
      <w:b/>
      <w:szCs w:val="22"/>
      <w:u w:val="single"/>
    </w:rPr>
  </w:style>
  <w:style w:type="paragraph" w:customStyle="1" w:styleId="Annexetitreglobale">
    <w:name w:val="Annexe titre (globale)"/>
    <w:basedOn w:val="Normal"/>
    <w:next w:val="Normal"/>
    <w:qFormat/>
    <w:rsid w:val="008D1BE3"/>
    <w:pPr>
      <w:widowControl/>
      <w:suppressAutoHyphens/>
      <w:spacing w:before="120" w:after="120"/>
      <w:jc w:val="center"/>
    </w:pPr>
    <w:rPr>
      <w:b/>
      <w:szCs w:val="22"/>
      <w:u w:val="single"/>
    </w:rPr>
  </w:style>
  <w:style w:type="paragraph" w:customStyle="1" w:styleId="Exposdesmotifstitreglobal">
    <w:name w:val="Exposé des motifs titre (global)"/>
    <w:basedOn w:val="Normal"/>
    <w:next w:val="Normal"/>
    <w:qFormat/>
    <w:rsid w:val="008D1BE3"/>
    <w:pPr>
      <w:widowControl/>
      <w:suppressAutoHyphens/>
      <w:spacing w:before="120" w:after="120"/>
      <w:jc w:val="center"/>
    </w:pPr>
    <w:rPr>
      <w:b/>
      <w:szCs w:val="22"/>
      <w:u w:val="single"/>
    </w:rPr>
  </w:style>
  <w:style w:type="paragraph" w:customStyle="1" w:styleId="Langueoriginale">
    <w:name w:val="Langue originale"/>
    <w:basedOn w:val="Normal"/>
    <w:qFormat/>
    <w:rsid w:val="008D1BE3"/>
    <w:pPr>
      <w:widowControl/>
      <w:suppressAutoHyphens/>
      <w:spacing w:before="360" w:after="120"/>
      <w:jc w:val="center"/>
    </w:pPr>
    <w:rPr>
      <w:caps/>
      <w:szCs w:val="22"/>
    </w:rPr>
  </w:style>
  <w:style w:type="paragraph" w:customStyle="1" w:styleId="Phrasefinale">
    <w:name w:val="Phrase finale"/>
    <w:basedOn w:val="Normal"/>
    <w:next w:val="Normal"/>
    <w:qFormat/>
    <w:rsid w:val="008D1BE3"/>
    <w:pPr>
      <w:widowControl/>
      <w:suppressAutoHyphens/>
      <w:spacing w:before="360"/>
      <w:jc w:val="center"/>
    </w:pPr>
    <w:rPr>
      <w:szCs w:val="22"/>
    </w:rPr>
  </w:style>
  <w:style w:type="paragraph" w:customStyle="1" w:styleId="Prliminairetitre">
    <w:name w:val="Préliminaire titre"/>
    <w:basedOn w:val="Normal"/>
    <w:next w:val="Normal"/>
    <w:qFormat/>
    <w:rsid w:val="008D1BE3"/>
    <w:pPr>
      <w:widowControl/>
      <w:suppressAutoHyphens/>
      <w:spacing w:before="360" w:after="360"/>
      <w:jc w:val="center"/>
    </w:pPr>
    <w:rPr>
      <w:b/>
      <w:szCs w:val="22"/>
    </w:rPr>
  </w:style>
  <w:style w:type="paragraph" w:customStyle="1" w:styleId="Prliminairetype">
    <w:name w:val="Préliminaire type"/>
    <w:basedOn w:val="Normal"/>
    <w:next w:val="Normal"/>
    <w:qFormat/>
    <w:rsid w:val="008D1BE3"/>
    <w:pPr>
      <w:widowControl/>
      <w:suppressAutoHyphens/>
      <w:spacing w:before="360"/>
      <w:jc w:val="center"/>
    </w:pPr>
    <w:rPr>
      <w:b/>
      <w:szCs w:val="22"/>
    </w:rPr>
  </w:style>
  <w:style w:type="paragraph" w:customStyle="1" w:styleId="Rfrenceinstitutionelle">
    <w:name w:val="Référence institutionelle"/>
    <w:basedOn w:val="Normal"/>
    <w:next w:val="Statut"/>
    <w:qFormat/>
    <w:rsid w:val="008D1BE3"/>
    <w:pPr>
      <w:widowControl/>
      <w:suppressAutoHyphens/>
      <w:spacing w:after="240"/>
      <w:ind w:left="5103"/>
    </w:pPr>
    <w:rPr>
      <w:szCs w:val="22"/>
    </w:rPr>
  </w:style>
  <w:style w:type="paragraph" w:customStyle="1" w:styleId="Rfrenceinterinstitutionelle">
    <w:name w:val="Référence interinstitutionelle"/>
    <w:basedOn w:val="Normal"/>
    <w:next w:val="Statut"/>
    <w:qFormat/>
    <w:rsid w:val="008D1BE3"/>
    <w:pPr>
      <w:widowControl/>
      <w:suppressAutoHyphens/>
      <w:ind w:left="5103"/>
    </w:pPr>
    <w:rPr>
      <w:szCs w:val="22"/>
    </w:rPr>
  </w:style>
  <w:style w:type="paragraph" w:customStyle="1" w:styleId="Rfrenceinterinstitutionelleprliminaire">
    <w:name w:val="Référence interinstitutionelle (préliminaire)"/>
    <w:basedOn w:val="Normal"/>
    <w:next w:val="Normal"/>
    <w:qFormat/>
    <w:rsid w:val="008D1BE3"/>
    <w:pPr>
      <w:widowControl/>
      <w:suppressAutoHyphens/>
      <w:ind w:left="5103"/>
    </w:pPr>
    <w:rPr>
      <w:szCs w:val="22"/>
    </w:rPr>
  </w:style>
  <w:style w:type="paragraph" w:customStyle="1" w:styleId="Sous-titreobjetprliminaire">
    <w:name w:val="Sous-titre objet (préliminaire)"/>
    <w:basedOn w:val="Normal"/>
    <w:qFormat/>
    <w:rsid w:val="008D1BE3"/>
    <w:pPr>
      <w:widowControl/>
      <w:suppressAutoHyphens/>
      <w:jc w:val="center"/>
    </w:pPr>
    <w:rPr>
      <w:b/>
      <w:szCs w:val="22"/>
    </w:rPr>
  </w:style>
  <w:style w:type="paragraph" w:customStyle="1" w:styleId="Statutprliminaire">
    <w:name w:val="Statut (préliminaire)"/>
    <w:basedOn w:val="Normal"/>
    <w:next w:val="Normal"/>
    <w:qFormat/>
    <w:rsid w:val="008D1BE3"/>
    <w:pPr>
      <w:widowControl/>
      <w:suppressAutoHyphens/>
      <w:spacing w:before="360"/>
      <w:jc w:val="center"/>
    </w:pPr>
    <w:rPr>
      <w:szCs w:val="22"/>
    </w:rPr>
  </w:style>
  <w:style w:type="paragraph" w:customStyle="1" w:styleId="Titreobjetprliminaire">
    <w:name w:val="Titre objet (préliminaire)"/>
    <w:basedOn w:val="Normal"/>
    <w:next w:val="Normal"/>
    <w:qFormat/>
    <w:rsid w:val="008D1BE3"/>
    <w:pPr>
      <w:widowControl/>
      <w:suppressAutoHyphens/>
      <w:spacing w:before="360" w:after="360"/>
      <w:jc w:val="center"/>
    </w:pPr>
    <w:rPr>
      <w:b/>
      <w:szCs w:val="22"/>
    </w:rPr>
  </w:style>
  <w:style w:type="paragraph" w:customStyle="1" w:styleId="Typedudocumentprliminaire">
    <w:name w:val="Type du document (préliminaire)"/>
    <w:basedOn w:val="Normal"/>
    <w:next w:val="Normal"/>
    <w:qFormat/>
    <w:rsid w:val="008D1BE3"/>
    <w:pPr>
      <w:widowControl/>
      <w:suppressAutoHyphens/>
      <w:spacing w:before="360"/>
      <w:jc w:val="center"/>
    </w:pPr>
    <w:rPr>
      <w:b/>
      <w:szCs w:val="22"/>
    </w:rPr>
  </w:style>
  <w:style w:type="paragraph" w:customStyle="1" w:styleId="Fichefinancirestandardtitre">
    <w:name w:val="Fiche financière (standard) titre"/>
    <w:basedOn w:val="Normal"/>
    <w:next w:val="Normal"/>
    <w:qFormat/>
    <w:rsid w:val="008D1BE3"/>
    <w:pPr>
      <w:widowControl/>
      <w:suppressAutoHyphens/>
      <w:spacing w:before="120" w:after="120"/>
      <w:jc w:val="center"/>
    </w:pPr>
    <w:rPr>
      <w:b/>
      <w:szCs w:val="22"/>
      <w:u w:val="single"/>
    </w:rPr>
  </w:style>
  <w:style w:type="paragraph" w:customStyle="1" w:styleId="Fichefinancirestandardtitreacte">
    <w:name w:val="Fiche financière (standard) titre (acte)"/>
    <w:basedOn w:val="Normal"/>
    <w:next w:val="Normal"/>
    <w:qFormat/>
    <w:rsid w:val="008D1BE3"/>
    <w:pPr>
      <w:widowControl/>
      <w:suppressAutoHyphens/>
      <w:spacing w:before="120" w:after="120"/>
      <w:jc w:val="center"/>
    </w:pPr>
    <w:rPr>
      <w:b/>
      <w:szCs w:val="22"/>
      <w:u w:val="single"/>
    </w:rPr>
  </w:style>
  <w:style w:type="paragraph" w:customStyle="1" w:styleId="Fichefinanciretravailtitre">
    <w:name w:val="Fiche financière (travail) titre"/>
    <w:basedOn w:val="Normal"/>
    <w:next w:val="Normal"/>
    <w:qFormat/>
    <w:rsid w:val="008D1BE3"/>
    <w:pPr>
      <w:widowControl/>
      <w:suppressAutoHyphens/>
      <w:spacing w:before="120" w:after="120"/>
      <w:jc w:val="center"/>
    </w:pPr>
    <w:rPr>
      <w:b/>
      <w:szCs w:val="22"/>
      <w:u w:val="single"/>
    </w:rPr>
  </w:style>
  <w:style w:type="paragraph" w:customStyle="1" w:styleId="Fichefinanciretravailtitreacte">
    <w:name w:val="Fiche financière (travail) titre (acte)"/>
    <w:basedOn w:val="Normal"/>
    <w:next w:val="Normal"/>
    <w:qFormat/>
    <w:rsid w:val="008D1BE3"/>
    <w:pPr>
      <w:widowControl/>
      <w:suppressAutoHyphens/>
      <w:spacing w:before="120" w:after="120"/>
      <w:jc w:val="center"/>
    </w:pPr>
    <w:rPr>
      <w:b/>
      <w:szCs w:val="22"/>
      <w:u w:val="single"/>
    </w:rPr>
  </w:style>
  <w:style w:type="paragraph" w:customStyle="1" w:styleId="Fichefinancireattributiontitre">
    <w:name w:val="Fiche financière (attribution) titre"/>
    <w:basedOn w:val="Normal"/>
    <w:next w:val="Normal"/>
    <w:qFormat/>
    <w:rsid w:val="008D1BE3"/>
    <w:pPr>
      <w:widowControl/>
      <w:suppressAutoHyphens/>
      <w:spacing w:before="120" w:after="120"/>
      <w:jc w:val="center"/>
    </w:pPr>
    <w:rPr>
      <w:b/>
      <w:szCs w:val="22"/>
      <w:u w:val="single"/>
    </w:rPr>
  </w:style>
  <w:style w:type="paragraph" w:customStyle="1" w:styleId="Fichefinancireattributiontitreacte">
    <w:name w:val="Fiche financière (attribution) titre (acte)"/>
    <w:basedOn w:val="Normal"/>
    <w:next w:val="Normal"/>
    <w:qFormat/>
    <w:rsid w:val="008D1BE3"/>
    <w:pPr>
      <w:widowControl/>
      <w:suppressAutoHyphens/>
      <w:spacing w:before="120" w:after="120"/>
      <w:jc w:val="center"/>
    </w:pPr>
    <w:rPr>
      <w:b/>
      <w:szCs w:val="22"/>
      <w:u w:val="single"/>
    </w:rPr>
  </w:style>
  <w:style w:type="paragraph" w:styleId="CommentText">
    <w:name w:val="annotation text"/>
    <w:basedOn w:val="Normal"/>
    <w:link w:val="CommentTextChar"/>
    <w:uiPriority w:val="99"/>
    <w:qFormat/>
    <w:rsid w:val="008D1BE3"/>
    <w:pPr>
      <w:widowControl/>
      <w:suppressAutoHyphens/>
      <w:spacing w:before="120" w:after="120"/>
      <w:jc w:val="both"/>
    </w:pPr>
    <w:rPr>
      <w:sz w:val="20"/>
      <w:lang w:val="en-GB"/>
    </w:rPr>
  </w:style>
  <w:style w:type="character" w:customStyle="1" w:styleId="CommentTextChar1">
    <w:name w:val="Comment Text Char1"/>
    <w:basedOn w:val="DefaultParagraphFont"/>
    <w:uiPriority w:val="99"/>
    <w:rsid w:val="008D1BE3"/>
    <w:rPr>
      <w:lang w:val="hr-HR"/>
    </w:rPr>
  </w:style>
  <w:style w:type="paragraph" w:styleId="CommentSubject">
    <w:name w:val="annotation subject"/>
    <w:basedOn w:val="CommentText"/>
    <w:next w:val="CommentText"/>
    <w:link w:val="CommentSubjectChar"/>
    <w:uiPriority w:val="99"/>
    <w:qFormat/>
    <w:rsid w:val="008D1BE3"/>
    <w:rPr>
      <w:b/>
      <w:bCs/>
    </w:rPr>
  </w:style>
  <w:style w:type="character" w:customStyle="1" w:styleId="CommentSubjectChar1">
    <w:name w:val="Comment Subject Char1"/>
    <w:basedOn w:val="CommentTextChar1"/>
    <w:uiPriority w:val="99"/>
    <w:rsid w:val="008D1BE3"/>
    <w:rPr>
      <w:b/>
      <w:bCs/>
      <w:lang w:val="hr-HR"/>
    </w:rPr>
  </w:style>
  <w:style w:type="paragraph" w:styleId="BalloonText">
    <w:name w:val="Balloon Text"/>
    <w:basedOn w:val="Normal"/>
    <w:link w:val="BalloonTextChar"/>
    <w:uiPriority w:val="99"/>
    <w:qFormat/>
    <w:rsid w:val="008D1BE3"/>
    <w:pPr>
      <w:widowControl/>
      <w:suppressAutoHyphens/>
      <w:spacing w:before="120" w:after="120"/>
      <w:jc w:val="both"/>
    </w:pPr>
    <w:rPr>
      <w:rFonts w:ascii="Tahoma" w:hAnsi="Tahoma" w:cs="Tahoma"/>
      <w:sz w:val="16"/>
      <w:szCs w:val="16"/>
      <w:lang w:val="en-GB"/>
    </w:rPr>
  </w:style>
  <w:style w:type="character" w:customStyle="1" w:styleId="BalloonTextChar1">
    <w:name w:val="Balloon Text Char1"/>
    <w:basedOn w:val="DefaultParagraphFont"/>
    <w:uiPriority w:val="99"/>
    <w:rsid w:val="008D1BE3"/>
    <w:rPr>
      <w:rFonts w:ascii="Segoe UI" w:hAnsi="Segoe UI" w:cs="Segoe UI"/>
      <w:sz w:val="18"/>
      <w:szCs w:val="18"/>
      <w:lang w:val="hr-HR"/>
    </w:rPr>
  </w:style>
  <w:style w:type="paragraph" w:styleId="TableofFigures">
    <w:name w:val="table of figures"/>
    <w:basedOn w:val="Normal"/>
    <w:next w:val="Normal"/>
    <w:uiPriority w:val="99"/>
    <w:qFormat/>
    <w:rsid w:val="008D1BE3"/>
    <w:pPr>
      <w:widowControl/>
      <w:suppressAutoHyphens/>
      <w:spacing w:before="120" w:after="120"/>
      <w:jc w:val="both"/>
    </w:pPr>
    <w:rPr>
      <w:szCs w:val="22"/>
    </w:rPr>
  </w:style>
  <w:style w:type="paragraph" w:customStyle="1" w:styleId="Sous-titreobjet">
    <w:name w:val="Sous-titre objet"/>
    <w:basedOn w:val="Normal"/>
    <w:qFormat/>
    <w:rsid w:val="008D1BE3"/>
    <w:pPr>
      <w:widowControl/>
      <w:suppressAutoHyphens/>
      <w:jc w:val="center"/>
    </w:pPr>
    <w:rPr>
      <w:b/>
      <w:szCs w:val="22"/>
    </w:rPr>
  </w:style>
  <w:style w:type="paragraph" w:customStyle="1" w:styleId="Sous-titreobjetPagedecouverture">
    <w:name w:val="Sous-titre objet (Page de couverture)"/>
    <w:basedOn w:val="Sous-titreobjet"/>
    <w:qFormat/>
    <w:rsid w:val="008D1BE3"/>
  </w:style>
  <w:style w:type="paragraph" w:customStyle="1" w:styleId="FooterCoverPage">
    <w:name w:val="Footer Cover Page"/>
    <w:basedOn w:val="Normal"/>
    <w:link w:val="FooterCoverPageChar"/>
    <w:qFormat/>
    <w:rsid w:val="008D1BE3"/>
    <w:pPr>
      <w:widowControl/>
      <w:tabs>
        <w:tab w:val="center" w:pos="4535"/>
        <w:tab w:val="right" w:pos="9071"/>
        <w:tab w:val="right" w:pos="9921"/>
      </w:tabs>
      <w:suppressAutoHyphens/>
      <w:spacing w:before="360"/>
      <w:ind w:left="-850" w:right="-850"/>
    </w:pPr>
    <w:rPr>
      <w:rFonts w:eastAsia="Calibri"/>
      <w:lang w:val="en-GB"/>
    </w:rPr>
  </w:style>
  <w:style w:type="paragraph" w:customStyle="1" w:styleId="HeaderCoverPage">
    <w:name w:val="Header Cover Page"/>
    <w:basedOn w:val="Normal"/>
    <w:link w:val="HeaderCoverPageChar"/>
    <w:qFormat/>
    <w:rsid w:val="008D1BE3"/>
    <w:pPr>
      <w:widowControl/>
      <w:tabs>
        <w:tab w:val="center" w:pos="4535"/>
        <w:tab w:val="right" w:pos="9071"/>
      </w:tabs>
      <w:suppressAutoHyphens/>
      <w:spacing w:after="120"/>
      <w:jc w:val="both"/>
    </w:pPr>
    <w:rPr>
      <w:rFonts w:eastAsia="Calibri"/>
      <w:lang w:val="en-GB"/>
    </w:rPr>
  </w:style>
  <w:style w:type="paragraph" w:customStyle="1" w:styleId="typedudocumentcp">
    <w:name w:val="typedudocument_cp"/>
    <w:basedOn w:val="Normal"/>
    <w:qFormat/>
    <w:rsid w:val="008D1BE3"/>
    <w:pPr>
      <w:widowControl/>
      <w:suppressAutoHyphens/>
      <w:spacing w:before="120" w:beforeAutospacing="1" w:after="120" w:afterAutospacing="1"/>
    </w:pPr>
    <w:rPr>
      <w:szCs w:val="24"/>
    </w:rPr>
  </w:style>
  <w:style w:type="paragraph" w:customStyle="1" w:styleId="titreobjetcp">
    <w:name w:val="titreobjet_cp"/>
    <w:basedOn w:val="Normal"/>
    <w:qFormat/>
    <w:rsid w:val="008D1BE3"/>
    <w:pPr>
      <w:widowControl/>
      <w:suppressAutoHyphens/>
      <w:spacing w:before="120" w:beforeAutospacing="1" w:after="120" w:afterAutospacing="1"/>
    </w:pPr>
    <w:rPr>
      <w:szCs w:val="24"/>
    </w:rPr>
  </w:style>
  <w:style w:type="paragraph" w:customStyle="1" w:styleId="rfrenceinstitutionnelle">
    <w:name w:val="rfrenceinstitutionnelle"/>
    <w:basedOn w:val="Normal"/>
    <w:qFormat/>
    <w:rsid w:val="008D1BE3"/>
    <w:pPr>
      <w:widowControl/>
      <w:suppressAutoHyphens/>
      <w:spacing w:before="120" w:beforeAutospacing="1" w:after="120" w:afterAutospacing="1"/>
    </w:pPr>
    <w:rPr>
      <w:szCs w:val="24"/>
    </w:rPr>
  </w:style>
  <w:style w:type="paragraph" w:customStyle="1" w:styleId="Rfrenceinstitutionnelle0">
    <w:name w:val="Référence institutionnelle"/>
    <w:basedOn w:val="Normal"/>
    <w:next w:val="Confidentialit"/>
    <w:qFormat/>
    <w:rsid w:val="008D1BE3"/>
    <w:pPr>
      <w:widowControl/>
      <w:suppressAutoHyphens/>
      <w:spacing w:after="240"/>
      <w:ind w:left="5103"/>
    </w:pPr>
    <w:rPr>
      <w:rFonts w:eastAsia="Calibri"/>
      <w:szCs w:val="22"/>
      <w:lang w:eastAsia="en-US"/>
    </w:rPr>
  </w:style>
  <w:style w:type="paragraph" w:customStyle="1" w:styleId="Article">
    <w:name w:val="Article"/>
    <w:basedOn w:val="Normal"/>
    <w:qFormat/>
    <w:rsid w:val="008D1BE3"/>
    <w:pPr>
      <w:widowControl/>
      <w:suppressAutoHyphens/>
      <w:spacing w:before="120" w:after="120"/>
      <w:jc w:val="center"/>
    </w:pPr>
    <w:rPr>
      <w:rFonts w:eastAsia="Calibri"/>
      <w:szCs w:val="22"/>
      <w:lang w:eastAsia="en-US"/>
    </w:rPr>
  </w:style>
  <w:style w:type="paragraph" w:customStyle="1" w:styleId="ti-art">
    <w:name w:val="ti-art"/>
    <w:basedOn w:val="Normal"/>
    <w:qFormat/>
    <w:rsid w:val="008D1BE3"/>
    <w:pPr>
      <w:widowControl/>
      <w:suppressAutoHyphens/>
      <w:spacing w:before="120" w:beforeAutospacing="1" w:after="120" w:afterAutospacing="1"/>
    </w:pPr>
    <w:rPr>
      <w:szCs w:val="24"/>
    </w:rPr>
  </w:style>
  <w:style w:type="paragraph" w:customStyle="1" w:styleId="sti-art">
    <w:name w:val="sti-art"/>
    <w:basedOn w:val="Normal"/>
    <w:qFormat/>
    <w:rsid w:val="008D1BE3"/>
    <w:pPr>
      <w:widowControl/>
      <w:suppressAutoHyphens/>
      <w:spacing w:before="120" w:beforeAutospacing="1" w:after="120" w:afterAutospacing="1"/>
    </w:pPr>
    <w:rPr>
      <w:szCs w:val="24"/>
    </w:rPr>
  </w:style>
  <w:style w:type="paragraph" w:customStyle="1" w:styleId="Normal1">
    <w:name w:val="Normal1"/>
    <w:basedOn w:val="Normal"/>
    <w:qFormat/>
    <w:rsid w:val="008D1BE3"/>
    <w:pPr>
      <w:widowControl/>
      <w:suppressAutoHyphens/>
      <w:spacing w:before="120" w:beforeAutospacing="1" w:after="120" w:afterAutospacing="1"/>
    </w:pPr>
    <w:rPr>
      <w:szCs w:val="24"/>
    </w:rPr>
  </w:style>
  <w:style w:type="paragraph" w:customStyle="1" w:styleId="ti-section-1">
    <w:name w:val="ti-section-1"/>
    <w:basedOn w:val="Normal"/>
    <w:qFormat/>
    <w:rsid w:val="008D1BE3"/>
    <w:pPr>
      <w:widowControl/>
      <w:suppressAutoHyphens/>
      <w:spacing w:before="120" w:beforeAutospacing="1" w:after="120" w:afterAutospacing="1"/>
    </w:pPr>
    <w:rPr>
      <w:szCs w:val="24"/>
    </w:rPr>
  </w:style>
  <w:style w:type="paragraph" w:customStyle="1" w:styleId="ti-section-2">
    <w:name w:val="ti-section-2"/>
    <w:basedOn w:val="Normal"/>
    <w:qFormat/>
    <w:rsid w:val="008D1BE3"/>
    <w:pPr>
      <w:widowControl/>
      <w:suppressAutoHyphens/>
      <w:spacing w:before="120" w:beforeAutospacing="1" w:after="120" w:afterAutospacing="1"/>
    </w:pPr>
    <w:rPr>
      <w:szCs w:val="24"/>
    </w:rPr>
  </w:style>
  <w:style w:type="paragraph" w:customStyle="1" w:styleId="oj-ti-section-1">
    <w:name w:val="oj-ti-section-1"/>
    <w:basedOn w:val="Normal"/>
    <w:qFormat/>
    <w:rsid w:val="008D1BE3"/>
    <w:pPr>
      <w:widowControl/>
      <w:suppressAutoHyphens/>
      <w:spacing w:before="120" w:beforeAutospacing="1" w:after="120" w:afterAutospacing="1"/>
    </w:pPr>
    <w:rPr>
      <w:szCs w:val="24"/>
    </w:rPr>
  </w:style>
  <w:style w:type="paragraph" w:customStyle="1" w:styleId="oj-ti-section-2">
    <w:name w:val="oj-ti-section-2"/>
    <w:basedOn w:val="Normal"/>
    <w:qFormat/>
    <w:rsid w:val="008D1BE3"/>
    <w:pPr>
      <w:widowControl/>
      <w:suppressAutoHyphens/>
      <w:spacing w:before="120" w:beforeAutospacing="1" w:after="120" w:afterAutospacing="1"/>
    </w:pPr>
    <w:rPr>
      <w:szCs w:val="24"/>
    </w:rPr>
  </w:style>
  <w:style w:type="paragraph" w:styleId="Revision">
    <w:name w:val="Revision"/>
    <w:uiPriority w:val="99"/>
    <w:semiHidden/>
    <w:qFormat/>
    <w:rsid w:val="008D1BE3"/>
    <w:pPr>
      <w:suppressAutoHyphens/>
    </w:pPr>
    <w:rPr>
      <w:rFonts w:eastAsia="Calibri"/>
      <w:sz w:val="24"/>
      <w:szCs w:val="22"/>
      <w:lang w:val="hr-HR" w:eastAsia="en-US"/>
    </w:rPr>
  </w:style>
  <w:style w:type="paragraph" w:customStyle="1" w:styleId="Revis">
    <w:name w:val="Revis"/>
    <w:basedOn w:val="Normal"/>
    <w:qFormat/>
    <w:rsid w:val="008D1BE3"/>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8D1BE3"/>
  </w:style>
  <w:style w:type="paragraph" w:styleId="NormalWeb">
    <w:name w:val="Normal (Web)"/>
    <w:basedOn w:val="Normal"/>
    <w:uiPriority w:val="99"/>
    <w:unhideWhenUsed/>
    <w:qFormat/>
    <w:rsid w:val="008D1BE3"/>
    <w:pPr>
      <w:widowControl/>
      <w:suppressAutoHyphens/>
      <w:spacing w:before="120" w:after="120"/>
      <w:jc w:val="both"/>
    </w:pPr>
    <w:rPr>
      <w:rFonts w:eastAsia="Calibri"/>
      <w:szCs w:val="24"/>
      <w:lang w:eastAsia="en-US"/>
    </w:rPr>
  </w:style>
  <w:style w:type="paragraph" w:customStyle="1" w:styleId="oj-normal">
    <w:name w:val="oj-normal"/>
    <w:basedOn w:val="Normal"/>
    <w:qFormat/>
    <w:rsid w:val="008D1BE3"/>
    <w:pPr>
      <w:widowControl/>
      <w:suppressAutoHyphens/>
      <w:spacing w:before="120" w:beforeAutospacing="1" w:after="120" w:afterAutospacing="1"/>
    </w:pPr>
    <w:rPr>
      <w:szCs w:val="24"/>
    </w:rPr>
  </w:style>
  <w:style w:type="paragraph" w:customStyle="1" w:styleId="paragraph">
    <w:name w:val="paragraph"/>
    <w:basedOn w:val="Normal"/>
    <w:qFormat/>
    <w:rsid w:val="008D1BE3"/>
    <w:pPr>
      <w:widowControl/>
      <w:suppressAutoHyphens/>
      <w:spacing w:before="120" w:beforeAutospacing="1" w:after="120" w:afterAutospacing="1"/>
    </w:pPr>
    <w:rPr>
      <w:szCs w:val="24"/>
    </w:rPr>
  </w:style>
  <w:style w:type="paragraph" w:customStyle="1" w:styleId="ListPoint">
    <w:name w:val="List Point"/>
    <w:basedOn w:val="Tiret0"/>
    <w:qFormat/>
    <w:rsid w:val="008D1BE3"/>
    <w:pPr>
      <w:numPr>
        <w:numId w:val="0"/>
      </w:numPr>
      <w:tabs>
        <w:tab w:val="clear" w:pos="850"/>
        <w:tab w:val="num" w:pos="567"/>
      </w:tabs>
      <w:ind w:left="1417" w:hanging="567"/>
    </w:pPr>
  </w:style>
  <w:style w:type="paragraph" w:customStyle="1" w:styleId="Pointlist">
    <w:name w:val="Point list"/>
    <w:basedOn w:val="Point0letter"/>
    <w:qFormat/>
    <w:rsid w:val="008D1BE3"/>
  </w:style>
  <w:style w:type="paragraph" w:customStyle="1" w:styleId="Rfrenceinstitutionnelle00">
    <w:name w:val="Référence institutionnelle0"/>
    <w:basedOn w:val="Normal"/>
    <w:next w:val="Confidentialit"/>
    <w:qFormat/>
    <w:rsid w:val="008D1BE3"/>
    <w:pPr>
      <w:widowControl/>
      <w:suppressAutoHyphens/>
      <w:spacing w:after="240"/>
      <w:ind w:left="5103"/>
    </w:pPr>
    <w:rPr>
      <w:rFonts w:eastAsia="Calibri"/>
      <w:szCs w:val="22"/>
      <w:lang w:eastAsia="en-US"/>
    </w:rPr>
  </w:style>
  <w:style w:type="paragraph" w:customStyle="1" w:styleId="Norm">
    <w:name w:val="Norm"/>
    <w:basedOn w:val="Normal"/>
    <w:qFormat/>
    <w:rsid w:val="008D1BE3"/>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8D1BE3"/>
    <w:pPr>
      <w:widowControl/>
      <w:suppressAutoHyphens/>
      <w:spacing w:after="240"/>
      <w:ind w:left="5103"/>
    </w:pPr>
    <w:rPr>
      <w:rFonts w:eastAsia="Calibri"/>
      <w:szCs w:val="22"/>
      <w:lang w:eastAsia="en-US"/>
    </w:rPr>
  </w:style>
  <w:style w:type="paragraph" w:customStyle="1" w:styleId="ncroise">
    <w:name w:val="n croisée"/>
    <w:basedOn w:val="Rfrencecroise"/>
    <w:qFormat/>
    <w:rsid w:val="008D1BE3"/>
    <w:pPr>
      <w:jc w:val="both"/>
    </w:pPr>
  </w:style>
  <w:style w:type="paragraph" w:customStyle="1" w:styleId="NumPar10">
    <w:name w:val="NumPar 10"/>
    <w:basedOn w:val="Normal"/>
    <w:qFormat/>
    <w:rsid w:val="008D1BE3"/>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8D1BE3"/>
    <w:pPr>
      <w:widowControl/>
      <w:suppressAutoHyphens/>
      <w:spacing w:after="240"/>
      <w:ind w:left="5103"/>
    </w:pPr>
    <w:rPr>
      <w:rFonts w:eastAsia="Calibri"/>
      <w:szCs w:val="22"/>
      <w:lang w:eastAsia="en-US"/>
    </w:rPr>
  </w:style>
  <w:style w:type="paragraph" w:customStyle="1" w:styleId="Normal2">
    <w:name w:val="Normal2"/>
    <w:basedOn w:val="Normal"/>
    <w:qFormat/>
    <w:rsid w:val="008D1BE3"/>
    <w:pPr>
      <w:widowControl/>
      <w:suppressAutoHyphens/>
      <w:spacing w:before="120" w:beforeAutospacing="1" w:after="120" w:afterAutospacing="1"/>
    </w:pPr>
    <w:rPr>
      <w:szCs w:val="24"/>
    </w:rPr>
  </w:style>
  <w:style w:type="paragraph" w:customStyle="1" w:styleId="Default">
    <w:name w:val="Default"/>
    <w:qFormat/>
    <w:rsid w:val="008D1BE3"/>
    <w:pPr>
      <w:suppressAutoHyphens/>
    </w:pPr>
    <w:rPr>
      <w:rFonts w:eastAsia="Calibri"/>
      <w:color w:val="000000"/>
      <w:sz w:val="24"/>
      <w:szCs w:val="24"/>
      <w:lang w:val="hr-HR" w:eastAsia="en-US"/>
    </w:rPr>
  </w:style>
  <w:style w:type="paragraph" w:customStyle="1" w:styleId="Rfrenceinstitutionnelle41">
    <w:name w:val="Référence institutionnelle41"/>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8D1BE3"/>
    <w:pPr>
      <w:widowControl/>
      <w:suppressAutoHyphens/>
      <w:spacing w:after="240"/>
      <w:ind w:left="5103"/>
    </w:pPr>
    <w:rPr>
      <w:rFonts w:eastAsia="Calibri"/>
      <w:szCs w:val="22"/>
      <w:lang w:eastAsia="en-US"/>
    </w:rPr>
  </w:style>
  <w:style w:type="paragraph" w:customStyle="1" w:styleId="Normal3">
    <w:name w:val="Normal3"/>
    <w:basedOn w:val="Normal"/>
    <w:qFormat/>
    <w:rsid w:val="008D1BE3"/>
    <w:pPr>
      <w:widowControl/>
      <w:suppressAutoHyphens/>
      <w:spacing w:before="120" w:beforeAutospacing="1" w:after="120" w:afterAutospacing="1"/>
    </w:pPr>
    <w:rPr>
      <w:szCs w:val="24"/>
    </w:rPr>
  </w:style>
  <w:style w:type="paragraph" w:customStyle="1" w:styleId="Point1letter">
    <w:name w:val="Point 1(letter)"/>
    <w:basedOn w:val="Point1"/>
    <w:qFormat/>
    <w:rsid w:val="008D1BE3"/>
  </w:style>
  <w:style w:type="paragraph" w:customStyle="1" w:styleId="Poin1">
    <w:name w:val="Poin 1"/>
    <w:basedOn w:val="Point1letter0"/>
    <w:qFormat/>
    <w:rsid w:val="008D1BE3"/>
  </w:style>
  <w:style w:type="paragraph" w:customStyle="1" w:styleId="Rfrenceinstitutionnelle18">
    <w:name w:val="Référence institutionnelle18"/>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8D1BE3"/>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8D1BE3"/>
    <w:rPr>
      <w:rFonts w:eastAsia="Arial Unicode MS"/>
      <w:u w:color="000000"/>
      <w:lang w:eastAsia="en-GB"/>
    </w:rPr>
  </w:style>
  <w:style w:type="paragraph" w:customStyle="1" w:styleId="Rfrenceinstitutionnelle34">
    <w:name w:val="Référence institutionnelle34"/>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8D1BE3"/>
    <w:pPr>
      <w:widowControl/>
      <w:suppressAutoHyphens/>
      <w:spacing w:after="240"/>
      <w:ind w:left="5103"/>
    </w:pPr>
    <w:rPr>
      <w:rFonts w:eastAsia="Calibri"/>
      <w:szCs w:val="22"/>
      <w:lang w:eastAsia="en-US"/>
    </w:rPr>
  </w:style>
  <w:style w:type="paragraph" w:customStyle="1" w:styleId="heading30">
    <w:name w:val="heading 30"/>
    <w:basedOn w:val="Point0number"/>
    <w:qFormat/>
    <w:rsid w:val="008D1BE3"/>
  </w:style>
  <w:style w:type="paragraph" w:customStyle="1" w:styleId="Rfrenceinstitutionnelle31">
    <w:name w:val="Référence institutionnelle31"/>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8D1BE3"/>
    <w:pPr>
      <w:widowControl/>
      <w:suppressAutoHyphens/>
      <w:spacing w:after="240"/>
      <w:ind w:left="5103"/>
    </w:pPr>
    <w:rPr>
      <w:rFonts w:eastAsia="Calibri"/>
      <w:szCs w:val="22"/>
      <w:lang w:eastAsia="en-US"/>
    </w:rPr>
  </w:style>
  <w:style w:type="paragraph" w:customStyle="1" w:styleId="title-bold">
    <w:name w:val="title-bold"/>
    <w:basedOn w:val="Normal"/>
    <w:qFormat/>
    <w:rsid w:val="008D1BE3"/>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8D1BE3"/>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8D1BE3"/>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8D1BE3"/>
    <w:pPr>
      <w:widowControl/>
      <w:ind w:left="240" w:hanging="240"/>
    </w:pPr>
    <w:rPr>
      <w:rFonts w:eastAsia="Calibri"/>
      <w:szCs w:val="22"/>
      <w:lang w:eastAsia="en-US"/>
    </w:rPr>
  </w:style>
  <w:style w:type="paragraph" w:styleId="IndexHeading">
    <w:name w:val="index heading"/>
    <w:basedOn w:val="Title"/>
    <w:rsid w:val="008D1BE3"/>
  </w:style>
  <w:style w:type="paragraph" w:styleId="TOC4">
    <w:name w:val="toc 4"/>
    <w:basedOn w:val="Normal"/>
    <w:next w:val="Normal"/>
    <w:uiPriority w:val="39"/>
    <w:unhideWhenUsed/>
    <w:qFormat/>
    <w:rsid w:val="008D1BE3"/>
    <w:pPr>
      <w:widowControl/>
      <w:tabs>
        <w:tab w:val="right" w:leader="dot" w:pos="9071"/>
      </w:tabs>
      <w:suppressAutoHyphens/>
      <w:spacing w:before="60" w:after="120"/>
      <w:ind w:left="850" w:hanging="850"/>
    </w:pPr>
    <w:rPr>
      <w:rFonts w:eastAsia="Calibri"/>
      <w:szCs w:val="22"/>
      <w:lang w:eastAsia="en-US"/>
    </w:rPr>
  </w:style>
  <w:style w:type="paragraph" w:styleId="TOC5">
    <w:name w:val="toc 5"/>
    <w:basedOn w:val="Normal"/>
    <w:next w:val="Normal"/>
    <w:uiPriority w:val="39"/>
    <w:unhideWhenUsed/>
    <w:qFormat/>
    <w:rsid w:val="008D1BE3"/>
    <w:pPr>
      <w:widowControl/>
      <w:tabs>
        <w:tab w:val="right" w:leader="dot" w:pos="9071"/>
      </w:tabs>
      <w:suppressAutoHyphens/>
      <w:spacing w:before="300" w:after="120"/>
    </w:pPr>
    <w:rPr>
      <w:rFonts w:eastAsia="Calibri"/>
      <w:szCs w:val="22"/>
      <w:lang w:eastAsia="en-US"/>
    </w:rPr>
  </w:style>
  <w:style w:type="paragraph" w:styleId="TOC6">
    <w:name w:val="toc 6"/>
    <w:basedOn w:val="Normal"/>
    <w:next w:val="Normal"/>
    <w:uiPriority w:val="39"/>
    <w:unhideWhenUsed/>
    <w:qFormat/>
    <w:rsid w:val="008D1BE3"/>
    <w:pPr>
      <w:widowControl/>
      <w:tabs>
        <w:tab w:val="right" w:leader="dot" w:pos="9071"/>
      </w:tabs>
      <w:suppressAutoHyphens/>
      <w:spacing w:before="240" w:after="120"/>
    </w:pPr>
    <w:rPr>
      <w:rFonts w:eastAsia="Calibri"/>
      <w:szCs w:val="22"/>
      <w:lang w:eastAsia="en-US"/>
    </w:rPr>
  </w:style>
  <w:style w:type="paragraph" w:styleId="TOC7">
    <w:name w:val="toc 7"/>
    <w:basedOn w:val="Normal"/>
    <w:next w:val="Normal"/>
    <w:uiPriority w:val="39"/>
    <w:unhideWhenUsed/>
    <w:qFormat/>
    <w:rsid w:val="008D1BE3"/>
    <w:pPr>
      <w:widowControl/>
      <w:tabs>
        <w:tab w:val="right" w:leader="dot" w:pos="9071"/>
      </w:tabs>
      <w:suppressAutoHyphens/>
      <w:spacing w:before="180" w:after="120"/>
    </w:pPr>
    <w:rPr>
      <w:rFonts w:eastAsia="Calibri"/>
      <w:szCs w:val="22"/>
      <w:lang w:eastAsia="en-US"/>
    </w:rPr>
  </w:style>
  <w:style w:type="paragraph" w:styleId="TOC8">
    <w:name w:val="toc 8"/>
    <w:basedOn w:val="Normal"/>
    <w:next w:val="Normal"/>
    <w:uiPriority w:val="39"/>
    <w:unhideWhenUsed/>
    <w:qFormat/>
    <w:rsid w:val="008D1BE3"/>
    <w:pPr>
      <w:widowControl/>
      <w:tabs>
        <w:tab w:val="right" w:leader="dot" w:pos="9071"/>
      </w:tabs>
      <w:suppressAutoHyphens/>
      <w:spacing w:before="120" w:after="120"/>
    </w:pPr>
    <w:rPr>
      <w:rFonts w:eastAsia="Calibri"/>
      <w:szCs w:val="22"/>
      <w:lang w:eastAsia="en-US"/>
    </w:rPr>
  </w:style>
  <w:style w:type="paragraph" w:styleId="TOC9">
    <w:name w:val="toc 9"/>
    <w:basedOn w:val="Normal"/>
    <w:next w:val="Normal"/>
    <w:uiPriority w:val="39"/>
    <w:unhideWhenUsed/>
    <w:qFormat/>
    <w:rsid w:val="008D1BE3"/>
    <w:pPr>
      <w:widowControl/>
      <w:tabs>
        <w:tab w:val="right" w:leader="dot" w:pos="9071"/>
      </w:tabs>
      <w:suppressAutoHyphens/>
      <w:spacing w:before="120" w:after="120"/>
      <w:ind w:left="1417" w:hanging="1417"/>
    </w:pPr>
    <w:rPr>
      <w:rFonts w:eastAsia="Calibri"/>
      <w:szCs w:val="22"/>
      <w:lang w:eastAsia="en-US"/>
    </w:rPr>
  </w:style>
  <w:style w:type="paragraph" w:customStyle="1" w:styleId="HeaderSensitivity">
    <w:name w:val="Header Sensitivity"/>
    <w:basedOn w:val="Normal"/>
    <w:qFormat/>
    <w:rsid w:val="008D1BE3"/>
    <w:pPr>
      <w:widowControl/>
      <w:pBdr>
        <w:top w:val="single" w:sz="4" w:space="1" w:color="000000"/>
        <w:left w:val="single" w:sz="4" w:space="4" w:color="000000"/>
        <w:bottom w:val="single" w:sz="4" w:space="1" w:color="000000"/>
        <w:right w:val="single" w:sz="4" w:space="4" w:color="000000"/>
      </w:pBdr>
      <w:suppressAutoHyphens/>
      <w:spacing w:after="120"/>
      <w:ind w:left="113" w:right="113"/>
      <w:jc w:val="center"/>
    </w:pPr>
    <w:rPr>
      <w:rFonts w:eastAsia="Calibri"/>
      <w:b/>
      <w:sz w:val="32"/>
      <w:szCs w:val="22"/>
      <w:lang w:eastAsia="en-US"/>
    </w:rPr>
  </w:style>
  <w:style w:type="paragraph" w:customStyle="1" w:styleId="HeaderSensitivityRight">
    <w:name w:val="Header Sensitivity Right"/>
    <w:basedOn w:val="Normal"/>
    <w:qFormat/>
    <w:rsid w:val="008D1BE3"/>
    <w:pPr>
      <w:widowControl/>
      <w:suppressAutoHyphens/>
      <w:spacing w:after="120"/>
      <w:jc w:val="right"/>
    </w:pPr>
    <w:rPr>
      <w:rFonts w:eastAsia="Calibri"/>
      <w:sz w:val="28"/>
      <w:szCs w:val="22"/>
      <w:lang w:eastAsia="en-US"/>
    </w:rPr>
  </w:style>
  <w:style w:type="paragraph" w:customStyle="1" w:styleId="FooterSensitivity">
    <w:name w:val="Footer Sensitivity"/>
    <w:basedOn w:val="Normal"/>
    <w:qFormat/>
    <w:rsid w:val="008D1BE3"/>
    <w:pPr>
      <w:widowControl/>
      <w:pBdr>
        <w:top w:val="single" w:sz="4" w:space="1" w:color="000000"/>
        <w:left w:val="single" w:sz="4" w:space="4" w:color="000000"/>
        <w:bottom w:val="single" w:sz="4" w:space="1" w:color="000000"/>
        <w:right w:val="single" w:sz="4" w:space="4" w:color="000000"/>
      </w:pBdr>
      <w:suppressAutoHyphens/>
      <w:spacing w:before="360"/>
      <w:ind w:left="113" w:right="113"/>
      <w:jc w:val="center"/>
    </w:pPr>
    <w:rPr>
      <w:rFonts w:eastAsia="Calibri"/>
      <w:b/>
      <w:sz w:val="32"/>
      <w:szCs w:val="22"/>
      <w:lang w:eastAsia="en-US"/>
    </w:rPr>
  </w:style>
  <w:style w:type="paragraph" w:customStyle="1" w:styleId="NormalLeft">
    <w:name w:val="Normal Left"/>
    <w:basedOn w:val="Normal"/>
    <w:qFormat/>
    <w:rsid w:val="008D1BE3"/>
    <w:pPr>
      <w:widowControl/>
      <w:suppressAutoHyphens/>
      <w:spacing w:before="120" w:after="120"/>
    </w:pPr>
    <w:rPr>
      <w:rFonts w:eastAsia="Calibri"/>
      <w:szCs w:val="22"/>
      <w:lang w:eastAsia="en-US"/>
    </w:rPr>
  </w:style>
  <w:style w:type="paragraph" w:customStyle="1" w:styleId="QuotedText">
    <w:name w:val="Quoted Text"/>
    <w:basedOn w:val="Normal"/>
    <w:qFormat/>
    <w:rsid w:val="008D1BE3"/>
    <w:pPr>
      <w:widowControl/>
      <w:suppressAutoHyphens/>
      <w:spacing w:before="120" w:after="120"/>
      <w:ind w:left="1417"/>
      <w:jc w:val="both"/>
    </w:pPr>
    <w:rPr>
      <w:rFonts w:eastAsia="Calibri"/>
      <w:szCs w:val="22"/>
      <w:lang w:eastAsia="en-US"/>
    </w:rPr>
  </w:style>
  <w:style w:type="paragraph" w:customStyle="1" w:styleId="Point0">
    <w:name w:val="Point 0"/>
    <w:basedOn w:val="Normal"/>
    <w:link w:val="Point0Char"/>
    <w:qFormat/>
    <w:rsid w:val="008D1BE3"/>
    <w:pPr>
      <w:widowControl/>
      <w:suppressAutoHyphens/>
      <w:spacing w:before="120" w:after="120"/>
      <w:ind w:left="850" w:hanging="850"/>
      <w:jc w:val="both"/>
    </w:pPr>
    <w:rPr>
      <w:lang w:val="en-GB"/>
    </w:rPr>
  </w:style>
  <w:style w:type="paragraph" w:customStyle="1" w:styleId="Point1">
    <w:name w:val="Point 1"/>
    <w:basedOn w:val="Normal"/>
    <w:qFormat/>
    <w:rsid w:val="008D1BE3"/>
    <w:pPr>
      <w:widowControl/>
      <w:suppressAutoHyphens/>
      <w:spacing w:before="120" w:after="120"/>
      <w:ind w:left="1417" w:hanging="567"/>
      <w:jc w:val="both"/>
    </w:pPr>
    <w:rPr>
      <w:rFonts w:eastAsia="Calibri"/>
      <w:szCs w:val="22"/>
      <w:lang w:eastAsia="en-US"/>
    </w:rPr>
  </w:style>
  <w:style w:type="paragraph" w:customStyle="1" w:styleId="Point2">
    <w:name w:val="Point 2"/>
    <w:basedOn w:val="Normal"/>
    <w:qFormat/>
    <w:rsid w:val="008D1BE3"/>
    <w:pPr>
      <w:widowControl/>
      <w:suppressAutoHyphens/>
      <w:spacing w:before="120" w:after="120"/>
      <w:ind w:left="1984" w:hanging="567"/>
      <w:jc w:val="both"/>
    </w:pPr>
    <w:rPr>
      <w:rFonts w:eastAsia="Calibri"/>
      <w:szCs w:val="22"/>
      <w:lang w:eastAsia="en-US"/>
    </w:rPr>
  </w:style>
  <w:style w:type="paragraph" w:customStyle="1" w:styleId="Point3">
    <w:name w:val="Point 3"/>
    <w:basedOn w:val="Normal"/>
    <w:qFormat/>
    <w:rsid w:val="008D1BE3"/>
    <w:pPr>
      <w:widowControl/>
      <w:suppressAutoHyphens/>
      <w:spacing w:before="120" w:after="120"/>
      <w:ind w:left="2551" w:hanging="567"/>
      <w:jc w:val="both"/>
    </w:pPr>
    <w:rPr>
      <w:rFonts w:eastAsia="Calibri"/>
      <w:szCs w:val="22"/>
      <w:lang w:eastAsia="en-US"/>
    </w:rPr>
  </w:style>
  <w:style w:type="paragraph" w:customStyle="1" w:styleId="Point4">
    <w:name w:val="Point 4"/>
    <w:basedOn w:val="Normal"/>
    <w:qFormat/>
    <w:rsid w:val="008D1BE3"/>
    <w:pPr>
      <w:widowControl/>
      <w:suppressAutoHyphens/>
      <w:spacing w:before="120" w:after="120"/>
      <w:ind w:left="3118" w:hanging="567"/>
      <w:jc w:val="both"/>
    </w:pPr>
    <w:rPr>
      <w:rFonts w:eastAsia="Calibri"/>
      <w:szCs w:val="22"/>
      <w:lang w:eastAsia="en-US"/>
    </w:rPr>
  </w:style>
  <w:style w:type="paragraph" w:customStyle="1" w:styleId="Point5">
    <w:name w:val="Point 5"/>
    <w:basedOn w:val="Normal"/>
    <w:qFormat/>
    <w:rsid w:val="008D1BE3"/>
    <w:pPr>
      <w:widowControl/>
      <w:suppressAutoHyphens/>
      <w:spacing w:before="120" w:after="120"/>
      <w:ind w:left="3685" w:hanging="567"/>
      <w:jc w:val="both"/>
    </w:pPr>
    <w:rPr>
      <w:rFonts w:eastAsia="Calibri"/>
      <w:szCs w:val="22"/>
      <w:lang w:eastAsia="en-US"/>
    </w:rPr>
  </w:style>
  <w:style w:type="paragraph" w:customStyle="1" w:styleId="Tiret0">
    <w:name w:val="Tiret 0"/>
    <w:basedOn w:val="Point0"/>
    <w:qFormat/>
    <w:rsid w:val="008D1BE3"/>
    <w:pPr>
      <w:numPr>
        <w:numId w:val="36"/>
      </w:numPr>
      <w:tabs>
        <w:tab w:val="clear" w:pos="850"/>
        <w:tab w:val="num" w:pos="425"/>
        <w:tab w:val="num" w:pos="567"/>
        <w:tab w:val="num" w:pos="1209"/>
        <w:tab w:val="num" w:pos="2268"/>
      </w:tabs>
      <w:ind w:left="425" w:hanging="425"/>
    </w:pPr>
    <w:rPr>
      <w:rFonts w:eastAsia="Calibri"/>
    </w:rPr>
  </w:style>
  <w:style w:type="paragraph" w:customStyle="1" w:styleId="Tiret1">
    <w:name w:val="Tiret 1"/>
    <w:basedOn w:val="Point1"/>
    <w:qFormat/>
    <w:rsid w:val="008D1BE3"/>
    <w:pPr>
      <w:numPr>
        <w:numId w:val="37"/>
      </w:numPr>
      <w:tabs>
        <w:tab w:val="clear" w:pos="1417"/>
        <w:tab w:val="num" w:pos="567"/>
      </w:tabs>
      <w:ind w:left="567"/>
    </w:pPr>
  </w:style>
  <w:style w:type="paragraph" w:customStyle="1" w:styleId="Tiret2">
    <w:name w:val="Tiret 2"/>
    <w:basedOn w:val="Point2"/>
    <w:qFormat/>
    <w:rsid w:val="008D1BE3"/>
    <w:pPr>
      <w:numPr>
        <w:numId w:val="38"/>
      </w:numPr>
      <w:tabs>
        <w:tab w:val="clear" w:pos="1984"/>
        <w:tab w:val="num" w:pos="567"/>
      </w:tabs>
      <w:ind w:left="567"/>
    </w:pPr>
  </w:style>
  <w:style w:type="paragraph" w:customStyle="1" w:styleId="Tiret3">
    <w:name w:val="Tiret 3"/>
    <w:basedOn w:val="Point3"/>
    <w:qFormat/>
    <w:rsid w:val="008D1BE3"/>
    <w:pPr>
      <w:numPr>
        <w:numId w:val="39"/>
      </w:numPr>
      <w:tabs>
        <w:tab w:val="clear" w:pos="2551"/>
        <w:tab w:val="num" w:pos="567"/>
      </w:tabs>
      <w:ind w:left="567"/>
    </w:pPr>
  </w:style>
  <w:style w:type="paragraph" w:customStyle="1" w:styleId="Tiret4">
    <w:name w:val="Tiret 4"/>
    <w:basedOn w:val="Point4"/>
    <w:qFormat/>
    <w:rsid w:val="008D1BE3"/>
    <w:pPr>
      <w:numPr>
        <w:numId w:val="40"/>
      </w:numPr>
      <w:tabs>
        <w:tab w:val="clear" w:pos="3118"/>
        <w:tab w:val="num" w:pos="567"/>
      </w:tabs>
      <w:ind w:left="567"/>
    </w:pPr>
  </w:style>
  <w:style w:type="paragraph" w:customStyle="1" w:styleId="Tiret5">
    <w:name w:val="Tiret 5"/>
    <w:basedOn w:val="Point5"/>
    <w:qFormat/>
    <w:rsid w:val="008D1BE3"/>
    <w:pPr>
      <w:numPr>
        <w:numId w:val="41"/>
      </w:numPr>
      <w:tabs>
        <w:tab w:val="clear" w:pos="3685"/>
        <w:tab w:val="num" w:pos="425"/>
      </w:tabs>
      <w:ind w:left="425" w:hanging="425"/>
    </w:pPr>
  </w:style>
  <w:style w:type="paragraph" w:customStyle="1" w:styleId="PointDouble0">
    <w:name w:val="PointDouble 0"/>
    <w:basedOn w:val="Normal"/>
    <w:qFormat/>
    <w:rsid w:val="008D1BE3"/>
    <w:pPr>
      <w:widowControl/>
      <w:tabs>
        <w:tab w:val="left" w:pos="850"/>
      </w:tabs>
      <w:suppressAutoHyphens/>
      <w:spacing w:before="120" w:after="120"/>
      <w:ind w:left="1417" w:hanging="1417"/>
      <w:jc w:val="both"/>
    </w:pPr>
    <w:rPr>
      <w:rFonts w:eastAsia="Calibri"/>
      <w:szCs w:val="22"/>
      <w:lang w:eastAsia="en-US"/>
    </w:rPr>
  </w:style>
  <w:style w:type="paragraph" w:customStyle="1" w:styleId="PointDouble1">
    <w:name w:val="PointDouble 1"/>
    <w:basedOn w:val="Normal"/>
    <w:qFormat/>
    <w:rsid w:val="008D1BE3"/>
    <w:pPr>
      <w:widowControl/>
      <w:tabs>
        <w:tab w:val="left" w:pos="1417"/>
      </w:tabs>
      <w:suppressAutoHyphens/>
      <w:spacing w:before="120" w:after="120"/>
      <w:ind w:left="1984" w:hanging="1134"/>
      <w:jc w:val="both"/>
    </w:pPr>
    <w:rPr>
      <w:rFonts w:eastAsia="Calibri"/>
      <w:szCs w:val="22"/>
      <w:lang w:eastAsia="en-US"/>
    </w:rPr>
  </w:style>
  <w:style w:type="paragraph" w:customStyle="1" w:styleId="PointDouble2">
    <w:name w:val="PointDouble 2"/>
    <w:basedOn w:val="Normal"/>
    <w:qFormat/>
    <w:rsid w:val="008D1BE3"/>
    <w:pPr>
      <w:widowControl/>
      <w:tabs>
        <w:tab w:val="left" w:pos="1984"/>
      </w:tabs>
      <w:suppressAutoHyphens/>
      <w:spacing w:before="120" w:after="120"/>
      <w:ind w:left="2551" w:hanging="1134"/>
      <w:jc w:val="both"/>
    </w:pPr>
    <w:rPr>
      <w:rFonts w:eastAsia="Calibri"/>
      <w:szCs w:val="22"/>
      <w:lang w:eastAsia="en-US"/>
    </w:rPr>
  </w:style>
  <w:style w:type="paragraph" w:customStyle="1" w:styleId="PointDouble3">
    <w:name w:val="PointDouble 3"/>
    <w:basedOn w:val="Normal"/>
    <w:qFormat/>
    <w:rsid w:val="008D1BE3"/>
    <w:pPr>
      <w:widowControl/>
      <w:tabs>
        <w:tab w:val="left" w:pos="2551"/>
      </w:tabs>
      <w:suppressAutoHyphens/>
      <w:spacing w:before="120" w:after="120"/>
      <w:ind w:left="3118" w:hanging="1134"/>
      <w:jc w:val="both"/>
    </w:pPr>
    <w:rPr>
      <w:rFonts w:eastAsia="Calibri"/>
      <w:szCs w:val="22"/>
      <w:lang w:eastAsia="en-US"/>
    </w:rPr>
  </w:style>
  <w:style w:type="paragraph" w:customStyle="1" w:styleId="PointDouble4">
    <w:name w:val="PointDouble 4"/>
    <w:basedOn w:val="Normal"/>
    <w:qFormat/>
    <w:rsid w:val="008D1BE3"/>
    <w:pPr>
      <w:widowControl/>
      <w:tabs>
        <w:tab w:val="left" w:pos="3118"/>
      </w:tabs>
      <w:suppressAutoHyphens/>
      <w:spacing w:before="120" w:after="120"/>
      <w:ind w:left="3685" w:hanging="1134"/>
      <w:jc w:val="both"/>
    </w:pPr>
    <w:rPr>
      <w:rFonts w:eastAsia="Calibri"/>
      <w:szCs w:val="22"/>
      <w:lang w:eastAsia="en-US"/>
    </w:rPr>
  </w:style>
  <w:style w:type="paragraph" w:customStyle="1" w:styleId="PointTriple0">
    <w:name w:val="PointTriple 0"/>
    <w:basedOn w:val="Normal"/>
    <w:qFormat/>
    <w:rsid w:val="008D1BE3"/>
    <w:pPr>
      <w:widowControl/>
      <w:tabs>
        <w:tab w:val="left" w:pos="850"/>
        <w:tab w:val="left" w:pos="1417"/>
      </w:tabs>
      <w:suppressAutoHyphens/>
      <w:spacing w:before="120" w:after="120"/>
      <w:ind w:left="1984" w:hanging="1984"/>
      <w:jc w:val="both"/>
    </w:pPr>
    <w:rPr>
      <w:rFonts w:eastAsia="Calibri"/>
      <w:szCs w:val="22"/>
      <w:lang w:eastAsia="en-US"/>
    </w:rPr>
  </w:style>
  <w:style w:type="paragraph" w:customStyle="1" w:styleId="PointTriple1">
    <w:name w:val="PointTriple 1"/>
    <w:basedOn w:val="Normal"/>
    <w:qFormat/>
    <w:rsid w:val="008D1BE3"/>
    <w:pPr>
      <w:widowControl/>
      <w:tabs>
        <w:tab w:val="left" w:pos="1417"/>
        <w:tab w:val="left" w:pos="1984"/>
      </w:tabs>
      <w:suppressAutoHyphens/>
      <w:spacing w:before="120" w:after="120"/>
      <w:ind w:left="2551" w:hanging="1701"/>
      <w:jc w:val="both"/>
    </w:pPr>
    <w:rPr>
      <w:rFonts w:eastAsia="Calibri"/>
      <w:szCs w:val="22"/>
      <w:lang w:eastAsia="en-US"/>
    </w:rPr>
  </w:style>
  <w:style w:type="paragraph" w:customStyle="1" w:styleId="PointTriple2">
    <w:name w:val="PointTriple 2"/>
    <w:basedOn w:val="Normal"/>
    <w:qFormat/>
    <w:rsid w:val="008D1BE3"/>
    <w:pPr>
      <w:widowControl/>
      <w:tabs>
        <w:tab w:val="left" w:pos="1984"/>
        <w:tab w:val="left" w:pos="2551"/>
      </w:tabs>
      <w:suppressAutoHyphens/>
      <w:spacing w:before="120" w:after="120"/>
      <w:ind w:left="3118" w:hanging="1701"/>
      <w:jc w:val="both"/>
    </w:pPr>
    <w:rPr>
      <w:rFonts w:eastAsia="Calibri"/>
      <w:szCs w:val="22"/>
      <w:lang w:eastAsia="en-US"/>
    </w:rPr>
  </w:style>
  <w:style w:type="paragraph" w:customStyle="1" w:styleId="PointTriple3">
    <w:name w:val="PointTriple 3"/>
    <w:basedOn w:val="Normal"/>
    <w:qFormat/>
    <w:rsid w:val="008D1BE3"/>
    <w:pPr>
      <w:widowControl/>
      <w:tabs>
        <w:tab w:val="left" w:pos="2551"/>
        <w:tab w:val="left" w:pos="3118"/>
      </w:tabs>
      <w:suppressAutoHyphens/>
      <w:spacing w:before="120" w:after="120"/>
      <w:ind w:left="3685" w:hanging="1701"/>
      <w:jc w:val="both"/>
    </w:pPr>
    <w:rPr>
      <w:rFonts w:eastAsia="Calibri"/>
      <w:szCs w:val="22"/>
      <w:lang w:eastAsia="en-US"/>
    </w:rPr>
  </w:style>
  <w:style w:type="paragraph" w:customStyle="1" w:styleId="PointTriple4">
    <w:name w:val="PointTriple 4"/>
    <w:basedOn w:val="Normal"/>
    <w:qFormat/>
    <w:rsid w:val="008D1BE3"/>
    <w:pPr>
      <w:widowControl/>
      <w:tabs>
        <w:tab w:val="left" w:pos="3118"/>
        <w:tab w:val="left" w:pos="3685"/>
      </w:tabs>
      <w:suppressAutoHyphens/>
      <w:spacing w:before="120" w:after="120"/>
      <w:ind w:left="4252" w:hanging="1701"/>
      <w:jc w:val="both"/>
    </w:pPr>
    <w:rPr>
      <w:rFonts w:eastAsia="Calibri"/>
      <w:szCs w:val="22"/>
      <w:lang w:eastAsia="en-US"/>
    </w:rPr>
  </w:style>
  <w:style w:type="paragraph" w:customStyle="1" w:styleId="NumPar1">
    <w:name w:val="NumPar 1"/>
    <w:basedOn w:val="Normal"/>
    <w:next w:val="Text1"/>
    <w:qFormat/>
    <w:rsid w:val="008D1BE3"/>
    <w:pPr>
      <w:widowControl/>
      <w:numPr>
        <w:numId w:val="42"/>
      </w:numPr>
      <w:tabs>
        <w:tab w:val="clear" w:pos="850"/>
        <w:tab w:val="num" w:pos="425"/>
      </w:tabs>
      <w:suppressAutoHyphens/>
      <w:spacing w:before="120" w:after="120"/>
      <w:ind w:left="425" w:hanging="425"/>
      <w:jc w:val="both"/>
    </w:pPr>
    <w:rPr>
      <w:rFonts w:eastAsia="Calibri"/>
      <w:szCs w:val="22"/>
      <w:lang w:eastAsia="en-US"/>
    </w:rPr>
  </w:style>
  <w:style w:type="paragraph" w:customStyle="1" w:styleId="NumPar2">
    <w:name w:val="NumPar 2"/>
    <w:basedOn w:val="Normal"/>
    <w:next w:val="Text1"/>
    <w:qFormat/>
    <w:rsid w:val="008D1BE3"/>
    <w:pPr>
      <w:widowControl/>
      <w:numPr>
        <w:ilvl w:val="1"/>
        <w:numId w:val="42"/>
      </w:numPr>
      <w:tabs>
        <w:tab w:val="clear" w:pos="850"/>
        <w:tab w:val="num" w:pos="851"/>
      </w:tabs>
      <w:suppressAutoHyphens/>
      <w:spacing w:before="120" w:after="120"/>
      <w:ind w:left="851" w:hanging="426"/>
      <w:jc w:val="both"/>
    </w:pPr>
    <w:rPr>
      <w:rFonts w:eastAsia="Calibri"/>
      <w:szCs w:val="22"/>
      <w:lang w:eastAsia="en-US"/>
    </w:rPr>
  </w:style>
  <w:style w:type="paragraph" w:customStyle="1" w:styleId="NumPar3">
    <w:name w:val="NumPar 3"/>
    <w:basedOn w:val="Normal"/>
    <w:next w:val="Text1"/>
    <w:qFormat/>
    <w:rsid w:val="008D1BE3"/>
    <w:pPr>
      <w:widowControl/>
      <w:numPr>
        <w:ilvl w:val="2"/>
        <w:numId w:val="42"/>
      </w:numPr>
      <w:tabs>
        <w:tab w:val="clear" w:pos="850"/>
        <w:tab w:val="num" w:pos="1276"/>
      </w:tabs>
      <w:suppressAutoHyphens/>
      <w:spacing w:before="120" w:after="120"/>
      <w:ind w:left="1276" w:hanging="425"/>
      <w:jc w:val="both"/>
    </w:pPr>
    <w:rPr>
      <w:rFonts w:eastAsia="Calibri"/>
      <w:szCs w:val="22"/>
      <w:lang w:eastAsia="en-US"/>
    </w:rPr>
  </w:style>
  <w:style w:type="paragraph" w:customStyle="1" w:styleId="NumPar4">
    <w:name w:val="NumPar 4"/>
    <w:basedOn w:val="Normal"/>
    <w:next w:val="Text1"/>
    <w:qFormat/>
    <w:rsid w:val="008D1BE3"/>
    <w:pPr>
      <w:widowControl/>
      <w:numPr>
        <w:ilvl w:val="3"/>
        <w:numId w:val="42"/>
      </w:numPr>
      <w:tabs>
        <w:tab w:val="clear" w:pos="850"/>
      </w:tabs>
      <w:suppressAutoHyphens/>
      <w:spacing w:before="120" w:after="120"/>
      <w:ind w:left="2880" w:hanging="360"/>
      <w:jc w:val="both"/>
    </w:pPr>
    <w:rPr>
      <w:rFonts w:eastAsia="Calibri"/>
      <w:szCs w:val="22"/>
      <w:lang w:eastAsia="en-US"/>
    </w:rPr>
  </w:style>
  <w:style w:type="paragraph" w:customStyle="1" w:styleId="NumPar5">
    <w:name w:val="NumPar 5"/>
    <w:basedOn w:val="Normal"/>
    <w:next w:val="Text2"/>
    <w:qFormat/>
    <w:rsid w:val="008D1BE3"/>
    <w:pPr>
      <w:widowControl/>
      <w:numPr>
        <w:ilvl w:val="4"/>
        <w:numId w:val="42"/>
      </w:numPr>
      <w:tabs>
        <w:tab w:val="clear" w:pos="1417"/>
      </w:tabs>
      <w:suppressAutoHyphens/>
      <w:spacing w:before="120" w:after="120"/>
      <w:ind w:left="3600" w:hanging="360"/>
      <w:jc w:val="both"/>
    </w:pPr>
    <w:rPr>
      <w:rFonts w:eastAsia="Calibri"/>
      <w:szCs w:val="22"/>
      <w:lang w:eastAsia="en-US"/>
    </w:rPr>
  </w:style>
  <w:style w:type="paragraph" w:customStyle="1" w:styleId="NumPar6">
    <w:name w:val="NumPar 6"/>
    <w:basedOn w:val="Normal"/>
    <w:next w:val="Text2"/>
    <w:qFormat/>
    <w:rsid w:val="008D1BE3"/>
    <w:pPr>
      <w:widowControl/>
      <w:numPr>
        <w:ilvl w:val="5"/>
        <w:numId w:val="42"/>
      </w:numPr>
      <w:tabs>
        <w:tab w:val="clear" w:pos="1417"/>
      </w:tabs>
      <w:suppressAutoHyphens/>
      <w:spacing w:before="120" w:after="120"/>
      <w:ind w:left="4320" w:hanging="360"/>
      <w:jc w:val="both"/>
    </w:pPr>
    <w:rPr>
      <w:rFonts w:eastAsia="Calibri"/>
      <w:szCs w:val="22"/>
      <w:lang w:eastAsia="en-US"/>
    </w:rPr>
  </w:style>
  <w:style w:type="paragraph" w:customStyle="1" w:styleId="NumPar7">
    <w:name w:val="NumPar 7"/>
    <w:basedOn w:val="Normal"/>
    <w:next w:val="Text2"/>
    <w:qFormat/>
    <w:rsid w:val="008D1BE3"/>
    <w:pPr>
      <w:widowControl/>
      <w:numPr>
        <w:ilvl w:val="6"/>
        <w:numId w:val="42"/>
      </w:numPr>
      <w:tabs>
        <w:tab w:val="clear" w:pos="1417"/>
      </w:tabs>
      <w:suppressAutoHyphens/>
      <w:spacing w:before="120" w:after="120"/>
      <w:ind w:left="5040" w:hanging="360"/>
      <w:jc w:val="both"/>
    </w:pPr>
    <w:rPr>
      <w:rFonts w:eastAsia="Calibri"/>
      <w:szCs w:val="22"/>
      <w:lang w:eastAsia="en-US"/>
    </w:rPr>
  </w:style>
  <w:style w:type="paragraph" w:customStyle="1" w:styleId="ManualNumPar1">
    <w:name w:val="Manual NumPar 1"/>
    <w:basedOn w:val="Normal"/>
    <w:next w:val="Text1"/>
    <w:link w:val="ManualNumPar1Char"/>
    <w:qFormat/>
    <w:rsid w:val="008D1BE3"/>
    <w:pPr>
      <w:widowControl/>
      <w:suppressAutoHyphens/>
      <w:spacing w:before="120" w:after="120"/>
      <w:ind w:left="850" w:hanging="850"/>
      <w:jc w:val="both"/>
    </w:pPr>
    <w:rPr>
      <w:lang w:val="en-GB"/>
    </w:rPr>
  </w:style>
  <w:style w:type="paragraph" w:customStyle="1" w:styleId="ManualNumPar2">
    <w:name w:val="Manual NumPar 2"/>
    <w:basedOn w:val="Normal"/>
    <w:next w:val="Text1"/>
    <w:qFormat/>
    <w:rsid w:val="008D1BE3"/>
    <w:pPr>
      <w:widowControl/>
      <w:suppressAutoHyphens/>
      <w:spacing w:before="120" w:after="120"/>
      <w:ind w:left="850" w:hanging="850"/>
      <w:jc w:val="both"/>
    </w:pPr>
    <w:rPr>
      <w:rFonts w:eastAsia="Calibri"/>
      <w:szCs w:val="22"/>
      <w:lang w:eastAsia="en-US"/>
    </w:rPr>
  </w:style>
  <w:style w:type="paragraph" w:customStyle="1" w:styleId="ManualNumPar3">
    <w:name w:val="Manual NumPar 3"/>
    <w:basedOn w:val="Normal"/>
    <w:next w:val="Text1"/>
    <w:qFormat/>
    <w:rsid w:val="008D1BE3"/>
    <w:pPr>
      <w:widowControl/>
      <w:suppressAutoHyphens/>
      <w:spacing w:before="120" w:after="120"/>
      <w:ind w:left="850" w:hanging="850"/>
      <w:jc w:val="both"/>
    </w:pPr>
    <w:rPr>
      <w:rFonts w:eastAsia="Calibri"/>
      <w:szCs w:val="22"/>
      <w:lang w:eastAsia="en-US"/>
    </w:rPr>
  </w:style>
  <w:style w:type="paragraph" w:customStyle="1" w:styleId="ManualNumPar4">
    <w:name w:val="Manual NumPar 4"/>
    <w:basedOn w:val="Normal"/>
    <w:next w:val="Text1"/>
    <w:qFormat/>
    <w:rsid w:val="008D1BE3"/>
    <w:pPr>
      <w:widowControl/>
      <w:suppressAutoHyphens/>
      <w:spacing w:before="120" w:after="120"/>
      <w:ind w:left="850" w:hanging="850"/>
      <w:jc w:val="both"/>
    </w:pPr>
    <w:rPr>
      <w:rFonts w:eastAsia="Calibri"/>
      <w:szCs w:val="22"/>
      <w:lang w:eastAsia="en-US"/>
    </w:rPr>
  </w:style>
  <w:style w:type="paragraph" w:customStyle="1" w:styleId="ManualNumPar5">
    <w:name w:val="Manual NumPar 5"/>
    <w:basedOn w:val="Normal"/>
    <w:next w:val="Text2"/>
    <w:qFormat/>
    <w:rsid w:val="008D1BE3"/>
    <w:pPr>
      <w:widowControl/>
      <w:suppressAutoHyphens/>
      <w:spacing w:before="120" w:after="120"/>
      <w:ind w:left="1417" w:hanging="1417"/>
      <w:jc w:val="both"/>
    </w:pPr>
    <w:rPr>
      <w:rFonts w:eastAsia="Calibri"/>
      <w:szCs w:val="22"/>
      <w:lang w:eastAsia="en-US"/>
    </w:rPr>
  </w:style>
  <w:style w:type="paragraph" w:customStyle="1" w:styleId="ManualNumPar6">
    <w:name w:val="Manual NumPar 6"/>
    <w:basedOn w:val="Normal"/>
    <w:next w:val="Text2"/>
    <w:qFormat/>
    <w:rsid w:val="008D1BE3"/>
    <w:pPr>
      <w:widowControl/>
      <w:suppressAutoHyphens/>
      <w:spacing w:before="120" w:after="120"/>
      <w:ind w:left="1417" w:hanging="1417"/>
      <w:jc w:val="both"/>
    </w:pPr>
    <w:rPr>
      <w:rFonts w:eastAsia="Calibri"/>
      <w:szCs w:val="22"/>
      <w:lang w:eastAsia="en-US"/>
    </w:rPr>
  </w:style>
  <w:style w:type="paragraph" w:customStyle="1" w:styleId="ManualNumPar7">
    <w:name w:val="Manual NumPar 7"/>
    <w:basedOn w:val="Normal"/>
    <w:next w:val="Text2"/>
    <w:qFormat/>
    <w:rsid w:val="008D1BE3"/>
    <w:pPr>
      <w:widowControl/>
      <w:suppressAutoHyphens/>
      <w:spacing w:before="120" w:after="120"/>
      <w:ind w:left="1417" w:hanging="1417"/>
      <w:jc w:val="both"/>
    </w:pPr>
    <w:rPr>
      <w:rFonts w:eastAsia="Calibri"/>
      <w:szCs w:val="22"/>
      <w:lang w:eastAsia="en-US"/>
    </w:rPr>
  </w:style>
  <w:style w:type="paragraph" w:customStyle="1" w:styleId="QuotedNumPar">
    <w:name w:val="Quoted NumPar"/>
    <w:basedOn w:val="Normal"/>
    <w:qFormat/>
    <w:rsid w:val="008D1BE3"/>
    <w:pPr>
      <w:widowControl/>
      <w:suppressAutoHyphens/>
      <w:spacing w:before="120" w:after="120"/>
      <w:ind w:left="1417" w:hanging="567"/>
      <w:jc w:val="both"/>
    </w:pPr>
    <w:rPr>
      <w:rFonts w:eastAsia="Calibri"/>
      <w:szCs w:val="22"/>
      <w:lang w:eastAsia="en-US"/>
    </w:rPr>
  </w:style>
  <w:style w:type="paragraph" w:customStyle="1" w:styleId="ManualHeading1">
    <w:name w:val="Manual Heading 1"/>
    <w:basedOn w:val="Normal"/>
    <w:next w:val="Text1"/>
    <w:qFormat/>
    <w:rsid w:val="008D1BE3"/>
    <w:pPr>
      <w:keepNext/>
      <w:widowControl/>
      <w:tabs>
        <w:tab w:val="left" w:pos="850"/>
      </w:tabs>
      <w:suppressAutoHyphen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qFormat/>
    <w:rsid w:val="008D1BE3"/>
    <w:pPr>
      <w:keepNext/>
      <w:widowControl/>
      <w:tabs>
        <w:tab w:val="left" w:pos="850"/>
      </w:tabs>
      <w:suppressAutoHyphen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qFormat/>
    <w:rsid w:val="008D1BE3"/>
    <w:pPr>
      <w:keepNext/>
      <w:widowControl/>
      <w:tabs>
        <w:tab w:val="left" w:pos="850"/>
      </w:tabs>
      <w:suppressAutoHyphen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qFormat/>
    <w:rsid w:val="008D1BE3"/>
    <w:pPr>
      <w:keepNext/>
      <w:widowControl/>
      <w:tabs>
        <w:tab w:val="left" w:pos="850"/>
      </w:tabs>
      <w:suppressAutoHyphen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qFormat/>
    <w:rsid w:val="008D1BE3"/>
    <w:pPr>
      <w:keepNext/>
      <w:widowControl/>
      <w:tabs>
        <w:tab w:val="left" w:pos="1417"/>
      </w:tabs>
      <w:suppressAutoHyphen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qFormat/>
    <w:rsid w:val="008D1BE3"/>
    <w:pPr>
      <w:keepNext/>
      <w:widowControl/>
      <w:tabs>
        <w:tab w:val="left" w:pos="1417"/>
      </w:tabs>
      <w:suppressAutoHyphen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qFormat/>
    <w:rsid w:val="008D1BE3"/>
    <w:pPr>
      <w:keepNext/>
      <w:widowControl/>
      <w:tabs>
        <w:tab w:val="left" w:pos="1417"/>
      </w:tabs>
      <w:suppressAutoHyphens/>
      <w:spacing w:before="120" w:after="120"/>
      <w:ind w:left="1417" w:hanging="1417"/>
      <w:jc w:val="both"/>
      <w:outlineLvl w:val="6"/>
    </w:pPr>
    <w:rPr>
      <w:rFonts w:eastAsia="Calibri"/>
      <w:szCs w:val="22"/>
      <w:lang w:eastAsia="en-US"/>
    </w:rPr>
  </w:style>
  <w:style w:type="paragraph" w:customStyle="1" w:styleId="ChapterTitle">
    <w:name w:val="ChapterTitle"/>
    <w:basedOn w:val="Heading1"/>
    <w:next w:val="Normal"/>
    <w:link w:val="ChapterTitleChar"/>
    <w:qFormat/>
    <w:rsid w:val="008D1BE3"/>
    <w:pPr>
      <w:keepLines w:val="0"/>
      <w:suppressAutoHyphens/>
      <w:spacing w:before="360" w:after="360"/>
      <w:ind w:left="0" w:firstLine="0"/>
      <w:jc w:val="center"/>
    </w:pPr>
    <w:rPr>
      <w:bCs/>
      <w:smallCaps/>
      <w:kern w:val="0"/>
      <w:sz w:val="32"/>
      <w:szCs w:val="28"/>
      <w:lang w:val="en-GB" w:eastAsia="en-GB"/>
    </w:rPr>
  </w:style>
  <w:style w:type="paragraph" w:customStyle="1" w:styleId="PartTitle">
    <w:name w:val="PartTitle"/>
    <w:basedOn w:val="Normal"/>
    <w:next w:val="ChapterTitle"/>
    <w:qFormat/>
    <w:rsid w:val="008D1BE3"/>
    <w:pPr>
      <w:keepNext/>
      <w:pageBreakBefore/>
      <w:widowControl/>
      <w:suppressAutoHyphens/>
      <w:spacing w:before="120" w:after="360"/>
      <w:jc w:val="center"/>
    </w:pPr>
    <w:rPr>
      <w:rFonts w:eastAsia="Calibri"/>
      <w:b/>
      <w:sz w:val="36"/>
      <w:szCs w:val="22"/>
      <w:lang w:eastAsia="en-US"/>
    </w:rPr>
  </w:style>
  <w:style w:type="paragraph" w:customStyle="1" w:styleId="SectionTitle">
    <w:name w:val="SectionTitle"/>
    <w:basedOn w:val="Normal"/>
    <w:next w:val="Heading1"/>
    <w:qFormat/>
    <w:rsid w:val="008D1BE3"/>
    <w:pPr>
      <w:keepNext/>
      <w:widowControl/>
      <w:suppressAutoHyphens/>
      <w:spacing w:before="120" w:after="360"/>
      <w:jc w:val="center"/>
    </w:pPr>
    <w:rPr>
      <w:rFonts w:eastAsia="Calibri"/>
      <w:b/>
      <w:smallCaps/>
      <w:sz w:val="28"/>
      <w:szCs w:val="22"/>
      <w:lang w:eastAsia="en-US"/>
    </w:rPr>
  </w:style>
  <w:style w:type="paragraph" w:customStyle="1" w:styleId="TableTitle">
    <w:name w:val="Table Title"/>
    <w:basedOn w:val="Normal"/>
    <w:next w:val="Normal"/>
    <w:qFormat/>
    <w:rsid w:val="008D1BE3"/>
    <w:pPr>
      <w:widowControl/>
      <w:suppressAutoHyphens/>
      <w:spacing w:before="120" w:after="120"/>
      <w:jc w:val="center"/>
    </w:pPr>
    <w:rPr>
      <w:rFonts w:eastAsia="Calibri"/>
      <w:b/>
      <w:szCs w:val="22"/>
      <w:lang w:eastAsia="en-US"/>
    </w:rPr>
  </w:style>
  <w:style w:type="paragraph" w:customStyle="1" w:styleId="Point0number">
    <w:name w:val="Point 0 (number)"/>
    <w:basedOn w:val="Normal"/>
    <w:qFormat/>
    <w:rsid w:val="008D1BE3"/>
    <w:pPr>
      <w:widowControl/>
      <w:tabs>
        <w:tab w:val="num" w:pos="850"/>
      </w:tabs>
      <w:suppressAutoHyphens/>
      <w:spacing w:before="120" w:after="120"/>
      <w:ind w:left="850" w:hanging="850"/>
      <w:jc w:val="both"/>
    </w:pPr>
    <w:rPr>
      <w:rFonts w:eastAsia="Calibri"/>
      <w:szCs w:val="22"/>
      <w:lang w:eastAsia="en-US"/>
    </w:rPr>
  </w:style>
  <w:style w:type="paragraph" w:customStyle="1" w:styleId="Point1number">
    <w:name w:val="Point 1 (number)"/>
    <w:basedOn w:val="Normal"/>
    <w:qFormat/>
    <w:rsid w:val="008D1BE3"/>
    <w:pPr>
      <w:widowControl/>
      <w:numPr>
        <w:ilvl w:val="2"/>
        <w:numId w:val="43"/>
      </w:numPr>
      <w:tabs>
        <w:tab w:val="clear" w:pos="1417"/>
      </w:tabs>
      <w:suppressAutoHyphens/>
      <w:spacing w:before="120" w:after="120"/>
      <w:ind w:left="2367" w:hanging="180"/>
      <w:jc w:val="both"/>
    </w:pPr>
    <w:rPr>
      <w:rFonts w:eastAsia="Calibri"/>
      <w:szCs w:val="22"/>
      <w:lang w:eastAsia="en-US"/>
    </w:rPr>
  </w:style>
  <w:style w:type="paragraph" w:customStyle="1" w:styleId="Point2number">
    <w:name w:val="Point 2 (number)"/>
    <w:basedOn w:val="Normal"/>
    <w:qFormat/>
    <w:rsid w:val="008D1BE3"/>
    <w:pPr>
      <w:widowControl/>
      <w:numPr>
        <w:ilvl w:val="4"/>
        <w:numId w:val="43"/>
      </w:numPr>
      <w:tabs>
        <w:tab w:val="clear" w:pos="1984"/>
      </w:tabs>
      <w:suppressAutoHyphens/>
      <w:spacing w:before="120" w:after="120"/>
      <w:ind w:left="3807" w:hanging="360"/>
      <w:jc w:val="both"/>
    </w:pPr>
    <w:rPr>
      <w:rFonts w:eastAsia="Calibri"/>
      <w:szCs w:val="22"/>
      <w:lang w:eastAsia="en-US"/>
    </w:rPr>
  </w:style>
  <w:style w:type="paragraph" w:customStyle="1" w:styleId="Point3number">
    <w:name w:val="Point 3 (number)"/>
    <w:basedOn w:val="Normal"/>
    <w:qFormat/>
    <w:rsid w:val="008D1BE3"/>
    <w:pPr>
      <w:widowControl/>
      <w:numPr>
        <w:ilvl w:val="6"/>
        <w:numId w:val="43"/>
      </w:numPr>
      <w:tabs>
        <w:tab w:val="clear" w:pos="2551"/>
      </w:tabs>
      <w:suppressAutoHyphens/>
      <w:spacing w:before="120" w:after="120"/>
      <w:ind w:left="5247" w:hanging="360"/>
      <w:jc w:val="both"/>
    </w:pPr>
    <w:rPr>
      <w:rFonts w:eastAsia="Calibri"/>
      <w:szCs w:val="22"/>
      <w:lang w:eastAsia="en-US"/>
    </w:rPr>
  </w:style>
  <w:style w:type="paragraph" w:customStyle="1" w:styleId="Point0letter">
    <w:name w:val="Point 0 (letter)"/>
    <w:basedOn w:val="Normal"/>
    <w:qFormat/>
    <w:rsid w:val="008D1BE3"/>
    <w:pPr>
      <w:widowControl/>
      <w:tabs>
        <w:tab w:val="num" w:pos="850"/>
      </w:tabs>
      <w:suppressAutoHyphens/>
      <w:spacing w:before="120" w:after="120"/>
      <w:ind w:left="850" w:hanging="850"/>
      <w:jc w:val="both"/>
    </w:pPr>
    <w:rPr>
      <w:rFonts w:eastAsia="Calibri"/>
      <w:szCs w:val="22"/>
      <w:lang w:eastAsia="en-US"/>
    </w:rPr>
  </w:style>
  <w:style w:type="paragraph" w:customStyle="1" w:styleId="Point1letter0">
    <w:name w:val="Point 1 (letter)"/>
    <w:basedOn w:val="Normal"/>
    <w:qFormat/>
    <w:rsid w:val="008D1BE3"/>
    <w:pPr>
      <w:widowControl/>
      <w:tabs>
        <w:tab w:val="num" w:pos="1417"/>
      </w:tabs>
      <w:suppressAutoHyphens/>
      <w:spacing w:before="120" w:after="120"/>
      <w:ind w:left="1417" w:hanging="567"/>
      <w:jc w:val="both"/>
    </w:pPr>
    <w:rPr>
      <w:rFonts w:eastAsia="Calibri"/>
      <w:szCs w:val="22"/>
      <w:lang w:eastAsia="en-US"/>
    </w:rPr>
  </w:style>
  <w:style w:type="paragraph" w:customStyle="1" w:styleId="Point2letter">
    <w:name w:val="Point 2 (letter)"/>
    <w:basedOn w:val="Normal"/>
    <w:qFormat/>
    <w:rsid w:val="008D1BE3"/>
    <w:pPr>
      <w:widowControl/>
      <w:numPr>
        <w:ilvl w:val="5"/>
        <w:numId w:val="43"/>
      </w:numPr>
      <w:tabs>
        <w:tab w:val="clear" w:pos="1984"/>
      </w:tabs>
      <w:suppressAutoHyphens/>
      <w:spacing w:before="120" w:after="120"/>
      <w:ind w:left="4527" w:hanging="180"/>
      <w:jc w:val="both"/>
    </w:pPr>
    <w:rPr>
      <w:rFonts w:eastAsia="Calibri"/>
      <w:szCs w:val="22"/>
      <w:lang w:eastAsia="en-US"/>
    </w:rPr>
  </w:style>
  <w:style w:type="paragraph" w:customStyle="1" w:styleId="Point3letter">
    <w:name w:val="Point 3 (letter)"/>
    <w:basedOn w:val="Normal"/>
    <w:qFormat/>
    <w:rsid w:val="008D1BE3"/>
    <w:pPr>
      <w:widowControl/>
      <w:numPr>
        <w:ilvl w:val="7"/>
        <w:numId w:val="43"/>
      </w:numPr>
      <w:tabs>
        <w:tab w:val="clear" w:pos="2551"/>
      </w:tabs>
      <w:suppressAutoHyphens/>
      <w:spacing w:before="120" w:after="120"/>
      <w:ind w:left="5967" w:hanging="360"/>
      <w:jc w:val="both"/>
    </w:pPr>
    <w:rPr>
      <w:rFonts w:eastAsia="Calibri"/>
      <w:szCs w:val="22"/>
      <w:lang w:eastAsia="en-US"/>
    </w:rPr>
  </w:style>
  <w:style w:type="paragraph" w:customStyle="1" w:styleId="Point4letter">
    <w:name w:val="Point 4 (letter)"/>
    <w:basedOn w:val="Normal"/>
    <w:qFormat/>
    <w:rsid w:val="008D1BE3"/>
    <w:pPr>
      <w:widowControl/>
      <w:numPr>
        <w:ilvl w:val="8"/>
        <w:numId w:val="43"/>
      </w:numPr>
      <w:tabs>
        <w:tab w:val="clear" w:pos="3118"/>
      </w:tabs>
      <w:suppressAutoHyphens/>
      <w:spacing w:before="120" w:after="120"/>
      <w:ind w:left="6687" w:hanging="180"/>
      <w:jc w:val="both"/>
    </w:pPr>
    <w:rPr>
      <w:rFonts w:eastAsia="Calibri"/>
      <w:szCs w:val="22"/>
      <w:lang w:eastAsia="en-US"/>
    </w:rPr>
  </w:style>
  <w:style w:type="paragraph" w:customStyle="1" w:styleId="Bullet0">
    <w:name w:val="Bullet 0"/>
    <w:basedOn w:val="Normal"/>
    <w:qFormat/>
    <w:rsid w:val="008D1BE3"/>
    <w:pPr>
      <w:widowControl/>
      <w:numPr>
        <w:numId w:val="44"/>
      </w:numPr>
      <w:tabs>
        <w:tab w:val="clear" w:pos="850"/>
      </w:tabs>
      <w:suppressAutoHyphens/>
      <w:spacing w:before="120" w:after="120"/>
      <w:ind w:left="720" w:hanging="360"/>
      <w:jc w:val="both"/>
    </w:pPr>
    <w:rPr>
      <w:rFonts w:eastAsia="Calibri"/>
      <w:szCs w:val="22"/>
      <w:lang w:eastAsia="en-US"/>
    </w:rPr>
  </w:style>
  <w:style w:type="paragraph" w:customStyle="1" w:styleId="Langue">
    <w:name w:val="Langue"/>
    <w:basedOn w:val="Normal"/>
    <w:next w:val="Rfrenceinterne"/>
    <w:qFormat/>
    <w:rsid w:val="008D1BE3"/>
    <w:pPr>
      <w:widowControl/>
      <w:suppressAutoHyphens/>
      <w:spacing w:after="600"/>
      <w:jc w:val="center"/>
    </w:pPr>
    <w:rPr>
      <w:rFonts w:eastAsia="Calibri"/>
      <w:b/>
      <w:caps/>
      <w:szCs w:val="22"/>
      <w:lang w:eastAsia="en-US"/>
    </w:rPr>
  </w:style>
  <w:style w:type="paragraph" w:customStyle="1" w:styleId="Nomdelinstitution">
    <w:name w:val="Nom de l'institution"/>
    <w:basedOn w:val="Normal"/>
    <w:next w:val="Emission"/>
    <w:qFormat/>
    <w:rsid w:val="008D1BE3"/>
    <w:pPr>
      <w:widowControl/>
      <w:suppressAutoHyphens/>
    </w:pPr>
    <w:rPr>
      <w:rFonts w:ascii="Arial" w:eastAsia="Calibri" w:hAnsi="Arial" w:cs="Arial"/>
      <w:szCs w:val="22"/>
      <w:lang w:eastAsia="en-US"/>
    </w:rPr>
  </w:style>
  <w:style w:type="paragraph" w:customStyle="1" w:styleId="Emission">
    <w:name w:val="Emission"/>
    <w:basedOn w:val="Normal"/>
    <w:next w:val="Rfrenceinstitutionnelle19"/>
    <w:qFormat/>
    <w:rsid w:val="008D1BE3"/>
    <w:pPr>
      <w:widowControl/>
      <w:suppressAutoHyphens/>
      <w:ind w:left="5103"/>
    </w:pPr>
    <w:rPr>
      <w:rFonts w:eastAsia="Calibri"/>
      <w:szCs w:val="22"/>
      <w:lang w:eastAsia="en-US"/>
    </w:rPr>
  </w:style>
  <w:style w:type="paragraph" w:customStyle="1" w:styleId="Rfrenceinstitutionnelle19">
    <w:name w:val="Référence institutionnelle19"/>
    <w:basedOn w:val="Normal"/>
    <w:next w:val="Confidentialit"/>
    <w:qFormat/>
    <w:rsid w:val="008D1BE3"/>
    <w:pPr>
      <w:widowControl/>
      <w:suppressAutoHyphens/>
      <w:spacing w:after="240"/>
      <w:ind w:left="5103"/>
    </w:pPr>
    <w:rPr>
      <w:rFonts w:eastAsia="Calibri"/>
      <w:szCs w:val="22"/>
      <w:lang w:eastAsia="en-US"/>
    </w:rPr>
  </w:style>
  <w:style w:type="paragraph" w:customStyle="1" w:styleId="Pagedecouverture">
    <w:name w:val="Page de couverture"/>
    <w:basedOn w:val="Normal"/>
    <w:next w:val="Normal"/>
    <w:qFormat/>
    <w:rsid w:val="008D1BE3"/>
    <w:pPr>
      <w:widowControl/>
      <w:suppressAutoHyphens/>
      <w:jc w:val="both"/>
    </w:pPr>
    <w:rPr>
      <w:rFonts w:eastAsia="Calibri"/>
      <w:szCs w:val="22"/>
      <w:lang w:eastAsia="en-US"/>
    </w:rPr>
  </w:style>
  <w:style w:type="paragraph" w:customStyle="1" w:styleId="Declassification">
    <w:name w:val="Declassification"/>
    <w:basedOn w:val="Normal"/>
    <w:next w:val="Normal"/>
    <w:qFormat/>
    <w:rsid w:val="008D1BE3"/>
    <w:pPr>
      <w:widowControl/>
      <w:suppressAutoHyphens/>
      <w:jc w:val="both"/>
    </w:pPr>
    <w:rPr>
      <w:rFonts w:eastAsia="Calibri"/>
      <w:szCs w:val="22"/>
      <w:lang w:eastAsia="en-US"/>
    </w:rPr>
  </w:style>
  <w:style w:type="paragraph" w:customStyle="1" w:styleId="Disclaimer">
    <w:name w:val="Disclaimer"/>
    <w:basedOn w:val="Normal"/>
    <w:qFormat/>
    <w:rsid w:val="008D1BE3"/>
    <w:pPr>
      <w:widowControl/>
      <w:pBdr>
        <w:top w:val="single" w:sz="6" w:space="4" w:color="000000"/>
        <w:left w:val="single" w:sz="6" w:space="7" w:color="000000"/>
        <w:bottom w:val="single" w:sz="6" w:space="4" w:color="000000"/>
        <w:right w:val="single" w:sz="6" w:space="7" w:color="000000"/>
      </w:pBdr>
      <w:shd w:val="clear" w:color="FFFFFF" w:fill="auto"/>
      <w:suppressAutoHyphens/>
      <w:spacing w:before="120" w:after="120"/>
      <w:jc w:val="both"/>
    </w:pPr>
    <w:rPr>
      <w:rFonts w:eastAsia="Calibri"/>
      <w:szCs w:val="22"/>
      <w:lang w:eastAsia="en-US"/>
    </w:rPr>
  </w:style>
  <w:style w:type="paragraph" w:customStyle="1" w:styleId="SecurityMarking">
    <w:name w:val="SecurityMarking"/>
    <w:basedOn w:val="Normal"/>
    <w:qFormat/>
    <w:rsid w:val="008D1BE3"/>
    <w:pPr>
      <w:widowControl/>
      <w:suppressAutoHyphens/>
      <w:spacing w:line="276" w:lineRule="auto"/>
      <w:ind w:left="5103"/>
    </w:pPr>
    <w:rPr>
      <w:rFonts w:eastAsia="Calibri"/>
      <w:sz w:val="28"/>
      <w:szCs w:val="22"/>
      <w:lang w:eastAsia="en-US"/>
    </w:rPr>
  </w:style>
  <w:style w:type="paragraph" w:customStyle="1" w:styleId="DateMarking">
    <w:name w:val="DateMarking"/>
    <w:basedOn w:val="Normal"/>
    <w:qFormat/>
    <w:rsid w:val="008D1BE3"/>
    <w:pPr>
      <w:widowControl/>
      <w:suppressAutoHyphens/>
      <w:spacing w:line="276" w:lineRule="auto"/>
      <w:ind w:left="5103"/>
    </w:pPr>
    <w:rPr>
      <w:rFonts w:eastAsia="Calibri"/>
      <w:i/>
      <w:sz w:val="28"/>
      <w:szCs w:val="22"/>
      <w:lang w:eastAsia="en-US"/>
    </w:rPr>
  </w:style>
  <w:style w:type="paragraph" w:customStyle="1" w:styleId="ReleasableTo">
    <w:name w:val="ReleasableTo"/>
    <w:basedOn w:val="Normal"/>
    <w:qFormat/>
    <w:rsid w:val="008D1BE3"/>
    <w:pPr>
      <w:widowControl/>
      <w:suppressAutoHyphens/>
      <w:spacing w:line="276" w:lineRule="auto"/>
      <w:ind w:left="5103"/>
    </w:pPr>
    <w:rPr>
      <w:rFonts w:eastAsia="Calibri"/>
      <w:i/>
      <w:sz w:val="28"/>
      <w:szCs w:val="22"/>
      <w:lang w:eastAsia="en-US"/>
    </w:rPr>
  </w:style>
  <w:style w:type="paragraph" w:customStyle="1" w:styleId="Annexetitreexpos">
    <w:name w:val="Annexe titre (exposé)"/>
    <w:basedOn w:val="Normal"/>
    <w:next w:val="Normal"/>
    <w:qFormat/>
    <w:rsid w:val="008D1BE3"/>
    <w:pPr>
      <w:widowControl/>
      <w:suppressAutoHyphens/>
      <w:spacing w:before="120" w:after="120"/>
      <w:jc w:val="center"/>
    </w:pPr>
    <w:rPr>
      <w:rFonts w:eastAsia="Calibri"/>
      <w:b/>
      <w:szCs w:val="22"/>
      <w:u w:val="single"/>
      <w:lang w:eastAsia="en-US"/>
    </w:rPr>
  </w:style>
  <w:style w:type="paragraph" w:customStyle="1" w:styleId="Annexetitre">
    <w:name w:val="Annexe titre"/>
    <w:basedOn w:val="Normal"/>
    <w:next w:val="Normal"/>
    <w:qFormat/>
    <w:rsid w:val="008D1BE3"/>
    <w:pPr>
      <w:widowControl/>
      <w:suppressAutoHyphens/>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qFormat/>
    <w:rsid w:val="008D1BE3"/>
    <w:pPr>
      <w:widowControl/>
      <w:suppressAutoHyphens/>
      <w:spacing w:before="120" w:after="120"/>
      <w:jc w:val="center"/>
    </w:pPr>
    <w:rPr>
      <w:rFonts w:eastAsia="Calibri"/>
      <w:b/>
      <w:szCs w:val="22"/>
      <w:u w:val="single"/>
      <w:lang w:eastAsia="en-US"/>
    </w:rPr>
  </w:style>
  <w:style w:type="paragraph" w:customStyle="1" w:styleId="Applicationdirecte">
    <w:name w:val="Application directe"/>
    <w:basedOn w:val="Normal"/>
    <w:next w:val="Fait"/>
    <w:qFormat/>
    <w:rsid w:val="008D1BE3"/>
    <w:pPr>
      <w:widowControl/>
      <w:suppressAutoHyphens/>
      <w:spacing w:before="480" w:after="120"/>
      <w:jc w:val="both"/>
    </w:pPr>
    <w:rPr>
      <w:rFonts w:eastAsia="Calibri"/>
      <w:szCs w:val="22"/>
      <w:lang w:eastAsia="en-US"/>
    </w:rPr>
  </w:style>
  <w:style w:type="paragraph" w:customStyle="1" w:styleId="Avertissementtitre">
    <w:name w:val="Avertissement titre"/>
    <w:basedOn w:val="Normal"/>
    <w:next w:val="Normal"/>
    <w:qFormat/>
    <w:rsid w:val="008D1BE3"/>
    <w:pPr>
      <w:keepNext/>
      <w:widowControl/>
      <w:suppressAutoHyphens/>
      <w:spacing w:before="480" w:after="120"/>
      <w:jc w:val="both"/>
    </w:pPr>
    <w:rPr>
      <w:rFonts w:eastAsia="Calibri"/>
      <w:szCs w:val="22"/>
      <w:u w:val="single"/>
      <w:lang w:eastAsia="en-US"/>
    </w:rPr>
  </w:style>
  <w:style w:type="paragraph" w:customStyle="1" w:styleId="Confidence">
    <w:name w:val="Confidence"/>
    <w:basedOn w:val="Normal"/>
    <w:next w:val="Normal"/>
    <w:qFormat/>
    <w:rsid w:val="008D1BE3"/>
    <w:pPr>
      <w:widowControl/>
      <w:suppressAutoHyphens/>
      <w:spacing w:before="360" w:after="120"/>
      <w:jc w:val="center"/>
    </w:pPr>
    <w:rPr>
      <w:rFonts w:eastAsia="Calibri"/>
      <w:szCs w:val="22"/>
      <w:lang w:eastAsia="en-US"/>
    </w:rPr>
  </w:style>
  <w:style w:type="paragraph" w:customStyle="1" w:styleId="Confidentialit">
    <w:name w:val="Confidentialité"/>
    <w:basedOn w:val="Normal"/>
    <w:next w:val="TypedudocumentPagedecouverture"/>
    <w:qFormat/>
    <w:rsid w:val="008D1BE3"/>
    <w:pPr>
      <w:widowControl/>
      <w:suppressAutoHyphens/>
      <w:spacing w:before="240" w:after="240"/>
      <w:ind w:left="5103"/>
    </w:pPr>
    <w:rPr>
      <w:rFonts w:eastAsia="Calibri"/>
      <w:i/>
      <w:sz w:val="32"/>
      <w:szCs w:val="22"/>
      <w:lang w:eastAsia="en-US"/>
    </w:rPr>
  </w:style>
  <w:style w:type="paragraph" w:customStyle="1" w:styleId="Considrant">
    <w:name w:val="Considérant"/>
    <w:basedOn w:val="Normal"/>
    <w:qFormat/>
    <w:rsid w:val="008D1BE3"/>
    <w:pPr>
      <w:widowControl/>
      <w:numPr>
        <w:numId w:val="45"/>
      </w:numPr>
      <w:tabs>
        <w:tab w:val="clear" w:pos="709"/>
        <w:tab w:val="num" w:pos="1134"/>
      </w:tabs>
      <w:suppressAutoHyphens/>
      <w:spacing w:before="120" w:after="120"/>
      <w:ind w:left="1134" w:hanging="283"/>
      <w:jc w:val="both"/>
    </w:pPr>
    <w:rPr>
      <w:rFonts w:eastAsia="Calibri"/>
      <w:szCs w:val="22"/>
      <w:lang w:eastAsia="en-US"/>
    </w:rPr>
  </w:style>
  <w:style w:type="paragraph" w:customStyle="1" w:styleId="Corrigendum">
    <w:name w:val="Corrigendum"/>
    <w:basedOn w:val="Normal"/>
    <w:next w:val="Normal"/>
    <w:qFormat/>
    <w:rsid w:val="008D1BE3"/>
    <w:pPr>
      <w:widowControl/>
      <w:suppressAutoHyphens/>
      <w:spacing w:after="240"/>
    </w:pPr>
    <w:rPr>
      <w:rFonts w:eastAsia="Calibri"/>
      <w:szCs w:val="22"/>
      <w:lang w:eastAsia="en-US"/>
    </w:rPr>
  </w:style>
  <w:style w:type="paragraph" w:customStyle="1" w:styleId="Datedadoption">
    <w:name w:val="Date d'adoption"/>
    <w:basedOn w:val="Normal"/>
    <w:next w:val="Titreobjet"/>
    <w:qFormat/>
    <w:rsid w:val="008D1BE3"/>
    <w:pPr>
      <w:widowControl/>
      <w:suppressAutoHyphens/>
      <w:spacing w:before="360"/>
      <w:jc w:val="center"/>
    </w:pPr>
    <w:rPr>
      <w:rFonts w:eastAsia="Calibri"/>
      <w:b/>
      <w:szCs w:val="22"/>
      <w:lang w:eastAsia="en-US"/>
    </w:rPr>
  </w:style>
  <w:style w:type="paragraph" w:customStyle="1" w:styleId="Exposdesmotifstitre">
    <w:name w:val="Exposé des motifs titre"/>
    <w:basedOn w:val="Normal"/>
    <w:next w:val="Normal"/>
    <w:qFormat/>
    <w:rsid w:val="008D1BE3"/>
    <w:pPr>
      <w:widowControl/>
      <w:suppressAutoHyphens/>
      <w:spacing w:before="120" w:after="120"/>
      <w:jc w:val="center"/>
    </w:pPr>
    <w:rPr>
      <w:rFonts w:eastAsia="Calibri"/>
      <w:b/>
      <w:szCs w:val="22"/>
      <w:u w:val="single"/>
      <w:lang w:eastAsia="en-US"/>
    </w:rPr>
  </w:style>
  <w:style w:type="paragraph" w:customStyle="1" w:styleId="Fait">
    <w:name w:val="Fait à"/>
    <w:basedOn w:val="Normal"/>
    <w:next w:val="Institutionquisigne"/>
    <w:qFormat/>
    <w:rsid w:val="008D1BE3"/>
    <w:pPr>
      <w:keepNext/>
      <w:widowControl/>
      <w:suppressAutoHyphens/>
      <w:spacing w:before="120"/>
      <w:jc w:val="both"/>
    </w:pPr>
    <w:rPr>
      <w:rFonts w:eastAsia="Calibri"/>
      <w:szCs w:val="22"/>
      <w:lang w:eastAsia="en-US"/>
    </w:rPr>
  </w:style>
  <w:style w:type="paragraph" w:customStyle="1" w:styleId="Formuledadoption">
    <w:name w:val="Formule d'adoption"/>
    <w:basedOn w:val="Normal"/>
    <w:next w:val="ArticleNRL"/>
    <w:qFormat/>
    <w:rsid w:val="008D1BE3"/>
    <w:pPr>
      <w:keepNext/>
      <w:widowControl/>
      <w:suppressAutoHyphens/>
      <w:spacing w:before="120" w:after="120"/>
      <w:jc w:val="both"/>
    </w:pPr>
    <w:rPr>
      <w:rFonts w:eastAsia="Calibri"/>
      <w:szCs w:val="22"/>
      <w:lang w:eastAsia="en-US"/>
    </w:rPr>
  </w:style>
  <w:style w:type="paragraph" w:customStyle="1" w:styleId="Institutionquiagit">
    <w:name w:val="Institution qui agit"/>
    <w:basedOn w:val="Normal"/>
    <w:next w:val="Normal"/>
    <w:qFormat/>
    <w:rsid w:val="008D1BE3"/>
    <w:pPr>
      <w:keepNext/>
      <w:widowControl/>
      <w:suppressAutoHyphens/>
      <w:spacing w:before="600" w:after="120"/>
      <w:jc w:val="both"/>
    </w:pPr>
    <w:rPr>
      <w:rFonts w:eastAsia="Calibri"/>
      <w:szCs w:val="22"/>
      <w:lang w:eastAsia="en-US"/>
    </w:rPr>
  </w:style>
  <w:style w:type="paragraph" w:customStyle="1" w:styleId="Institutionquisigne">
    <w:name w:val="Institution qui signe"/>
    <w:basedOn w:val="Normal"/>
    <w:next w:val="Personnequisigne"/>
    <w:qFormat/>
    <w:rsid w:val="008D1BE3"/>
    <w:pPr>
      <w:keepNext/>
      <w:widowControl/>
      <w:tabs>
        <w:tab w:val="left" w:pos="4252"/>
      </w:tabs>
      <w:suppressAutoHyphens/>
      <w:spacing w:before="720"/>
      <w:jc w:val="both"/>
    </w:pPr>
    <w:rPr>
      <w:rFonts w:eastAsia="Calibri"/>
      <w:i/>
      <w:szCs w:val="22"/>
      <w:lang w:eastAsia="en-US"/>
    </w:rPr>
  </w:style>
  <w:style w:type="paragraph" w:customStyle="1" w:styleId="ManualConsidrant">
    <w:name w:val="Manual Considérant"/>
    <w:basedOn w:val="Normal"/>
    <w:qFormat/>
    <w:rsid w:val="008D1BE3"/>
    <w:pPr>
      <w:widowControl/>
      <w:suppressAutoHyphens/>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qFormat/>
    <w:rsid w:val="008D1BE3"/>
    <w:pPr>
      <w:widowControl/>
      <w:tabs>
        <w:tab w:val="left" w:pos="4252"/>
      </w:tabs>
      <w:suppressAutoHyphens/>
    </w:pPr>
    <w:rPr>
      <w:rFonts w:eastAsia="Calibri"/>
      <w:i/>
      <w:szCs w:val="22"/>
      <w:lang w:eastAsia="en-US"/>
    </w:rPr>
  </w:style>
  <w:style w:type="paragraph" w:customStyle="1" w:styleId="Rfrenceinterinstitutionnelle">
    <w:name w:val="Référence interinstitutionnelle"/>
    <w:basedOn w:val="Normal"/>
    <w:next w:val="Statut"/>
    <w:qFormat/>
    <w:rsid w:val="008D1BE3"/>
    <w:pPr>
      <w:widowControl/>
      <w:suppressAutoHyphens/>
      <w:ind w:left="5103"/>
    </w:pPr>
    <w:rPr>
      <w:rFonts w:eastAsia="Calibri"/>
      <w:szCs w:val="22"/>
      <w:lang w:eastAsia="en-US"/>
    </w:rPr>
  </w:style>
  <w:style w:type="paragraph" w:customStyle="1" w:styleId="Rfrenceinterne">
    <w:name w:val="Référence interne"/>
    <w:basedOn w:val="Normal"/>
    <w:next w:val="Rfrenceinterinstitutionnelle"/>
    <w:qFormat/>
    <w:rsid w:val="008D1BE3"/>
    <w:pPr>
      <w:widowControl/>
      <w:suppressAutoHyphens/>
      <w:ind w:left="5103"/>
    </w:pPr>
    <w:rPr>
      <w:rFonts w:eastAsia="Calibri"/>
      <w:szCs w:val="22"/>
      <w:lang w:eastAsia="en-US"/>
    </w:rPr>
  </w:style>
  <w:style w:type="paragraph" w:customStyle="1" w:styleId="Statut">
    <w:name w:val="Statut"/>
    <w:basedOn w:val="Normal"/>
    <w:next w:val="Typedudocument"/>
    <w:qFormat/>
    <w:rsid w:val="008D1BE3"/>
    <w:pPr>
      <w:widowControl/>
      <w:suppressAutoHyphens/>
      <w:spacing w:before="360"/>
      <w:jc w:val="center"/>
    </w:pPr>
    <w:rPr>
      <w:rFonts w:eastAsia="Calibri"/>
      <w:szCs w:val="22"/>
      <w:lang w:eastAsia="en-US"/>
    </w:rPr>
  </w:style>
  <w:style w:type="paragraph" w:customStyle="1" w:styleId="ArticleNRL">
    <w:name w:val="Article NRL"/>
    <w:basedOn w:val="Heading2"/>
    <w:next w:val="Normal"/>
    <w:link w:val="ArticleNRLChar"/>
    <w:qFormat/>
    <w:rsid w:val="008D1BE3"/>
    <w:pPr>
      <w:numPr>
        <w:ilvl w:val="0"/>
        <w:numId w:val="0"/>
      </w:numPr>
      <w:suppressAutoHyphens/>
      <w:spacing w:before="360" w:after="120"/>
      <w:jc w:val="center"/>
    </w:pPr>
    <w:rPr>
      <w:b/>
      <w:i/>
    </w:rPr>
  </w:style>
  <w:style w:type="paragraph" w:customStyle="1" w:styleId="Titreobjet">
    <w:name w:val="Titre objet"/>
    <w:basedOn w:val="Normal"/>
    <w:next w:val="IntrtEEE"/>
    <w:qFormat/>
    <w:rsid w:val="008D1BE3"/>
    <w:pPr>
      <w:widowControl/>
      <w:suppressAutoHyphens/>
      <w:spacing w:before="360" w:after="360"/>
      <w:jc w:val="center"/>
    </w:pPr>
    <w:rPr>
      <w:rFonts w:eastAsia="Calibri"/>
      <w:b/>
      <w:szCs w:val="22"/>
      <w:lang w:eastAsia="en-US"/>
    </w:rPr>
  </w:style>
  <w:style w:type="paragraph" w:customStyle="1" w:styleId="Typedudocument">
    <w:name w:val="Type du document"/>
    <w:basedOn w:val="Normal"/>
    <w:next w:val="Titreobjet"/>
    <w:link w:val="TypedudocumentChar"/>
    <w:qFormat/>
    <w:rsid w:val="008D1BE3"/>
    <w:pPr>
      <w:widowControl/>
      <w:suppressAutoHyphens/>
      <w:spacing w:before="360"/>
      <w:jc w:val="center"/>
    </w:pPr>
    <w:rPr>
      <w:b/>
      <w:lang w:val="en-GB"/>
    </w:rPr>
  </w:style>
  <w:style w:type="paragraph" w:customStyle="1" w:styleId="Address">
    <w:name w:val="Address"/>
    <w:basedOn w:val="Normal"/>
    <w:next w:val="Normal"/>
    <w:qFormat/>
    <w:rsid w:val="008D1BE3"/>
    <w:pPr>
      <w:keepLines/>
      <w:widowControl/>
      <w:suppressAutoHyphens/>
      <w:spacing w:before="120" w:after="120" w:line="360" w:lineRule="auto"/>
      <w:ind w:left="3402"/>
    </w:pPr>
    <w:rPr>
      <w:rFonts w:eastAsia="Calibri"/>
      <w:szCs w:val="22"/>
      <w:lang w:eastAsia="en-US"/>
    </w:rPr>
  </w:style>
  <w:style w:type="paragraph" w:customStyle="1" w:styleId="Objetexterne">
    <w:name w:val="Objet externe"/>
    <w:basedOn w:val="Normal"/>
    <w:next w:val="Normal"/>
    <w:qFormat/>
    <w:rsid w:val="008D1BE3"/>
    <w:pPr>
      <w:widowControl/>
      <w:suppressAutoHyphens/>
      <w:spacing w:before="120" w:after="120"/>
      <w:jc w:val="both"/>
    </w:pPr>
    <w:rPr>
      <w:rFonts w:eastAsia="Calibri"/>
      <w:i/>
      <w:caps/>
      <w:szCs w:val="22"/>
      <w:lang w:eastAsia="en-US"/>
    </w:rPr>
  </w:style>
  <w:style w:type="paragraph" w:customStyle="1" w:styleId="Supertitre">
    <w:name w:val="Supertitre"/>
    <w:basedOn w:val="Normal"/>
    <w:next w:val="Normal"/>
    <w:qFormat/>
    <w:rsid w:val="008D1BE3"/>
    <w:pPr>
      <w:widowControl/>
      <w:suppressAutoHyphens/>
      <w:spacing w:after="600"/>
      <w:jc w:val="center"/>
    </w:pPr>
    <w:rPr>
      <w:rFonts w:eastAsia="Calibri"/>
      <w:b/>
      <w:szCs w:val="22"/>
      <w:lang w:eastAsia="en-US"/>
    </w:rPr>
  </w:style>
  <w:style w:type="paragraph" w:customStyle="1" w:styleId="Languesfaisantfoi">
    <w:name w:val="Langues faisant foi"/>
    <w:basedOn w:val="Normal"/>
    <w:next w:val="Normal"/>
    <w:qFormat/>
    <w:rsid w:val="008D1BE3"/>
    <w:pPr>
      <w:widowControl/>
      <w:suppressAutoHyphens/>
      <w:spacing w:before="360"/>
      <w:jc w:val="center"/>
    </w:pPr>
    <w:rPr>
      <w:rFonts w:eastAsia="Calibri"/>
      <w:szCs w:val="22"/>
      <w:lang w:eastAsia="en-US"/>
    </w:rPr>
  </w:style>
  <w:style w:type="paragraph" w:customStyle="1" w:styleId="Rfrencecroise">
    <w:name w:val="Référence croisée"/>
    <w:basedOn w:val="Normal"/>
    <w:qFormat/>
    <w:rsid w:val="008D1BE3"/>
    <w:pPr>
      <w:widowControl/>
      <w:suppressAutoHyphens/>
      <w:jc w:val="center"/>
    </w:pPr>
    <w:rPr>
      <w:rFonts w:eastAsia="Calibri"/>
      <w:szCs w:val="22"/>
      <w:lang w:eastAsia="en-US"/>
    </w:rPr>
  </w:style>
  <w:style w:type="paragraph" w:customStyle="1" w:styleId="Fichefinanciretitre">
    <w:name w:val="Fiche financière titre"/>
    <w:basedOn w:val="Normal"/>
    <w:next w:val="Normal"/>
    <w:qFormat/>
    <w:rsid w:val="008D1BE3"/>
    <w:pPr>
      <w:widowControl/>
      <w:suppressAutoHyphens/>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qFormat/>
    <w:rsid w:val="008D1BE3"/>
  </w:style>
  <w:style w:type="paragraph" w:customStyle="1" w:styleId="RfrenceinterinstitutionnellePagedecouverture">
    <w:name w:val="Référence interinstitutionnelle (Page de couverture)"/>
    <w:basedOn w:val="Rfrenceinterinstitutionnelle"/>
    <w:next w:val="Confidentialit"/>
    <w:qFormat/>
    <w:rsid w:val="008D1BE3"/>
  </w:style>
  <w:style w:type="paragraph" w:customStyle="1" w:styleId="StatutPagedecouverture">
    <w:name w:val="Statut (Page de couverture)"/>
    <w:basedOn w:val="Statut"/>
    <w:next w:val="TypedudocumentPagedecouverture"/>
    <w:qFormat/>
    <w:rsid w:val="008D1BE3"/>
  </w:style>
  <w:style w:type="paragraph" w:customStyle="1" w:styleId="TitreobjetPagedecouverture">
    <w:name w:val="Titre objet (Page de couverture)"/>
    <w:basedOn w:val="Titreobjet"/>
    <w:next w:val="IntrtEEEPagedecouverture"/>
    <w:qFormat/>
    <w:rsid w:val="008D1BE3"/>
  </w:style>
  <w:style w:type="paragraph" w:customStyle="1" w:styleId="TypedudocumentPagedecouverture">
    <w:name w:val="Type du document (Page de couverture)"/>
    <w:basedOn w:val="Typedudocument"/>
    <w:next w:val="TitreobjetPagedecouverture"/>
    <w:qFormat/>
    <w:rsid w:val="008D1BE3"/>
    <w:rPr>
      <w:rFonts w:eastAsia="Calibri"/>
    </w:rPr>
  </w:style>
  <w:style w:type="paragraph" w:customStyle="1" w:styleId="Volume">
    <w:name w:val="Volume"/>
    <w:basedOn w:val="Normal"/>
    <w:next w:val="Confidentialit"/>
    <w:qFormat/>
    <w:rsid w:val="008D1BE3"/>
    <w:pPr>
      <w:widowControl/>
      <w:suppressAutoHyphens/>
      <w:spacing w:after="240"/>
      <w:ind w:left="5103"/>
    </w:pPr>
    <w:rPr>
      <w:rFonts w:eastAsia="Calibri"/>
      <w:szCs w:val="22"/>
      <w:lang w:eastAsia="en-US"/>
    </w:rPr>
  </w:style>
  <w:style w:type="paragraph" w:customStyle="1" w:styleId="IntrtEEE">
    <w:name w:val="Intérêt EEE"/>
    <w:basedOn w:val="Languesfaisantfoi"/>
    <w:next w:val="Normal"/>
    <w:qFormat/>
    <w:rsid w:val="008D1BE3"/>
    <w:pPr>
      <w:spacing w:after="240"/>
    </w:pPr>
  </w:style>
  <w:style w:type="paragraph" w:customStyle="1" w:styleId="Accompagnant">
    <w:name w:val="Accompagnant"/>
    <w:basedOn w:val="Normal"/>
    <w:next w:val="Typeacteprincipal"/>
    <w:qFormat/>
    <w:rsid w:val="008D1BE3"/>
    <w:pPr>
      <w:widowControl/>
      <w:suppressAutoHyphens/>
      <w:spacing w:after="240"/>
      <w:jc w:val="center"/>
    </w:pPr>
    <w:rPr>
      <w:rFonts w:eastAsia="Calibri"/>
      <w:b/>
      <w:i/>
      <w:szCs w:val="22"/>
      <w:lang w:eastAsia="en-US"/>
    </w:rPr>
  </w:style>
  <w:style w:type="paragraph" w:customStyle="1" w:styleId="Typeacteprincipal">
    <w:name w:val="Type acte principal"/>
    <w:basedOn w:val="Normal"/>
    <w:next w:val="Objetacteprincipal"/>
    <w:qFormat/>
    <w:rsid w:val="008D1BE3"/>
    <w:pPr>
      <w:widowControl/>
      <w:suppressAutoHyphens/>
      <w:spacing w:after="240"/>
      <w:jc w:val="center"/>
    </w:pPr>
    <w:rPr>
      <w:rFonts w:eastAsia="Calibri"/>
      <w:b/>
      <w:szCs w:val="22"/>
      <w:lang w:eastAsia="en-US"/>
    </w:rPr>
  </w:style>
  <w:style w:type="paragraph" w:customStyle="1" w:styleId="Objetacteprincipal">
    <w:name w:val="Objet acte principal"/>
    <w:basedOn w:val="Normal"/>
    <w:next w:val="ArticleNRL"/>
    <w:qFormat/>
    <w:rsid w:val="008D1BE3"/>
    <w:pPr>
      <w:widowControl/>
      <w:suppressAutoHyphens/>
      <w:spacing w:after="360"/>
      <w:jc w:val="center"/>
    </w:pPr>
    <w:rPr>
      <w:rFonts w:eastAsia="Calibri"/>
      <w:b/>
      <w:szCs w:val="22"/>
      <w:lang w:eastAsia="en-US"/>
    </w:rPr>
  </w:style>
  <w:style w:type="paragraph" w:customStyle="1" w:styleId="IntrtEEEPagedecouverture">
    <w:name w:val="Intérêt EEE (Page de couverture)"/>
    <w:basedOn w:val="IntrtEEE"/>
    <w:next w:val="Rfrencecroise"/>
    <w:qFormat/>
    <w:rsid w:val="008D1BE3"/>
  </w:style>
  <w:style w:type="paragraph" w:customStyle="1" w:styleId="AccompagnantPagedecouverture">
    <w:name w:val="Accompagnant (Page de couverture)"/>
    <w:basedOn w:val="Accompagnant"/>
    <w:next w:val="TypeacteprincipalPagedecouverture"/>
    <w:qFormat/>
    <w:rsid w:val="008D1BE3"/>
  </w:style>
  <w:style w:type="paragraph" w:customStyle="1" w:styleId="TypeacteprincipalPagedecouverture">
    <w:name w:val="Type acte principal (Page de couverture)"/>
    <w:basedOn w:val="Typeacteprincipal"/>
    <w:next w:val="ObjetacteprincipalPagedecouverture"/>
    <w:qFormat/>
    <w:rsid w:val="008D1BE3"/>
  </w:style>
  <w:style w:type="paragraph" w:customStyle="1" w:styleId="ObjetacteprincipalPagedecouverture">
    <w:name w:val="Objet acte principal (Page de couverture)"/>
    <w:basedOn w:val="Objetacteprincipal"/>
    <w:next w:val="Rfrencecroise"/>
    <w:qFormat/>
    <w:rsid w:val="008D1BE3"/>
  </w:style>
  <w:style w:type="paragraph" w:customStyle="1" w:styleId="LanguesfaisantfoiPagedecouverture">
    <w:name w:val="Langues faisant foi (Page de couverture)"/>
    <w:basedOn w:val="Normal"/>
    <w:next w:val="Normal"/>
    <w:qFormat/>
    <w:rsid w:val="008D1BE3"/>
    <w:pPr>
      <w:widowControl/>
      <w:suppressAutoHyphens/>
      <w:spacing w:before="360"/>
      <w:jc w:val="center"/>
    </w:pPr>
    <w:rPr>
      <w:rFonts w:eastAsia="Calibri"/>
      <w:szCs w:val="22"/>
      <w:lang w:eastAsia="en-US"/>
    </w:rPr>
  </w:style>
  <w:style w:type="paragraph" w:customStyle="1" w:styleId="Lignefinal">
    <w:name w:val="Ligne final"/>
    <w:basedOn w:val="Normal"/>
    <w:next w:val="Normal"/>
    <w:qFormat/>
    <w:rsid w:val="008D1BE3"/>
    <w:pPr>
      <w:widowControl/>
      <w:pBdr>
        <w:bottom w:val="single" w:sz="4" w:space="0" w:color="000000"/>
      </w:pBdr>
      <w:suppressAutoHyphens/>
      <w:spacing w:before="360" w:after="120" w:line="360" w:lineRule="auto"/>
      <w:ind w:left="3400" w:right="3400"/>
      <w:jc w:val="center"/>
    </w:pPr>
    <w:rPr>
      <w:rFonts w:eastAsia="Calibri"/>
      <w:b/>
      <w:szCs w:val="22"/>
      <w:lang w:eastAsia="en-US"/>
    </w:rPr>
  </w:style>
  <w:style w:type="paragraph" w:customStyle="1" w:styleId="EntText">
    <w:name w:val="EntText"/>
    <w:basedOn w:val="Normal"/>
    <w:qFormat/>
    <w:rsid w:val="008D1BE3"/>
    <w:pPr>
      <w:widowControl/>
      <w:suppressAutoHyphens/>
      <w:spacing w:before="120" w:after="120" w:line="360" w:lineRule="auto"/>
    </w:pPr>
    <w:rPr>
      <w:rFonts w:eastAsia="Calibri"/>
      <w:szCs w:val="22"/>
      <w:lang w:eastAsia="en-US"/>
    </w:rPr>
  </w:style>
  <w:style w:type="paragraph" w:customStyle="1" w:styleId="pj">
    <w:name w:val="p.j."/>
    <w:basedOn w:val="TechnicalBlock"/>
    <w:link w:val="pjChar"/>
    <w:qFormat/>
    <w:rsid w:val="008D1BE3"/>
    <w:pPr>
      <w:suppressAutoHyphens/>
      <w:spacing w:before="1200" w:after="120"/>
      <w:ind w:left="1440" w:hanging="1440"/>
      <w:jc w:val="left"/>
    </w:pPr>
  </w:style>
  <w:style w:type="paragraph" w:customStyle="1" w:styleId="nbbordered">
    <w:name w:val="nb bordered"/>
    <w:basedOn w:val="TechnicalBlock"/>
    <w:link w:val="nbborderedChar"/>
    <w:qFormat/>
    <w:rsid w:val="008D1BE3"/>
    <w:pPr>
      <w:pBdr>
        <w:top w:val="single" w:sz="4" w:space="1" w:color="000000"/>
        <w:left w:val="single" w:sz="4" w:space="4" w:color="000000"/>
        <w:bottom w:val="single" w:sz="4" w:space="1" w:color="000000"/>
        <w:right w:val="single" w:sz="4" w:space="4" w:color="000000"/>
      </w:pBdr>
      <w:suppressAutoHyphens/>
      <w:spacing w:before="120" w:after="160"/>
      <w:ind w:left="480" w:hanging="480"/>
      <w:jc w:val="both"/>
    </w:pPr>
    <w:rPr>
      <w:b/>
    </w:rPr>
  </w:style>
  <w:style w:type="paragraph" w:customStyle="1" w:styleId="Rubrik1">
    <w:name w:val="Rubrik1"/>
    <w:basedOn w:val="Typedudocument"/>
    <w:link w:val="Rubrik1Char"/>
    <w:qFormat/>
    <w:rsid w:val="008D1BE3"/>
  </w:style>
  <w:style w:type="paragraph" w:customStyle="1" w:styleId="addition">
    <w:name w:val="addition"/>
    <w:basedOn w:val="Point0"/>
    <w:link w:val="additionChar"/>
    <w:qFormat/>
    <w:rsid w:val="008D1BE3"/>
    <w:pPr>
      <w:ind w:left="567" w:hanging="567"/>
      <w:jc w:val="left"/>
    </w:pPr>
    <w:rPr>
      <w:b/>
      <w:u w:val="single"/>
    </w:rPr>
  </w:style>
  <w:style w:type="paragraph" w:customStyle="1" w:styleId="deletion">
    <w:name w:val="deletion"/>
    <w:basedOn w:val="ManualNumPar1"/>
    <w:link w:val="deletionChar"/>
    <w:qFormat/>
    <w:rsid w:val="008D1BE3"/>
    <w:pPr>
      <w:ind w:left="567" w:hanging="567"/>
      <w:jc w:val="left"/>
    </w:pPr>
    <w:rPr>
      <w:strike/>
    </w:rPr>
  </w:style>
  <w:style w:type="table" w:customStyle="1" w:styleId="TableGrid1">
    <w:name w:val="Table Grid1"/>
    <w:basedOn w:val="TableNormal"/>
    <w:uiPriority w:val="39"/>
    <w:rsid w:val="008D1BE3"/>
    <w:pPr>
      <w:suppressAutoHyphens/>
    </w:pPr>
    <w:rPr>
      <w:rFonts w:ascii="Calibri" w:eastAsia="Calibri" w:hAnsi="Calibri" w:cs="Arial"/>
      <w:sz w:val="22"/>
      <w:szCs w:val="22"/>
      <w:lang w:val="hr-H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8D1BE3"/>
    <w:rPr>
      <w:rFonts w:ascii="TimesNewRomanPS-BoldMT" w:hAnsi="TimesNewRomanPS-BoldMT" w:cs="0" w:hint="default"/>
      <w:b/>
      <w:bCs/>
      <w:i w:val="0"/>
      <w:iCs w:val="0"/>
      <w:color w:val="000000"/>
      <w:sz w:val="24"/>
      <w:szCs w:val="24"/>
    </w:rPr>
  </w:style>
  <w:style w:type="paragraph" w:customStyle="1" w:styleId="H2">
    <w:name w:val="H2"/>
    <w:basedOn w:val="Normal"/>
    <w:qFormat/>
    <w:rsid w:val="008D1BE3"/>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8D1BE3"/>
    <w:pPr>
      <w:widowControl/>
      <w:contextualSpacing/>
    </w:pPr>
    <w:rPr>
      <w:rFonts w:ascii="Roboto Black" w:hAnsi="Roboto Black"/>
      <w:b/>
      <w:bCs/>
      <w:color w:val="003863"/>
      <w:spacing w:val="-10"/>
      <w:kern w:val="28"/>
      <w:sz w:val="60"/>
      <w:szCs w:val="60"/>
      <w:lang w:eastAsia="en-US"/>
    </w:rPr>
  </w:style>
  <w:style w:type="character" w:customStyle="1" w:styleId="FollowedHyperlink1">
    <w:name w:val="FollowedHyperlink1"/>
    <w:basedOn w:val="DefaultParagraphFont"/>
    <w:uiPriority w:val="99"/>
    <w:semiHidden/>
    <w:unhideWhenUsed/>
    <w:rsid w:val="008D1BE3"/>
    <w:rPr>
      <w:color w:val="800080"/>
      <w:u w:val="single"/>
    </w:rPr>
  </w:style>
  <w:style w:type="paragraph" w:customStyle="1" w:styleId="Strecklista">
    <w:name w:val="Strecklista"/>
    <w:basedOn w:val="ListBullet"/>
    <w:uiPriority w:val="6"/>
    <w:qFormat/>
    <w:rsid w:val="008D1BE3"/>
    <w:pPr>
      <w:widowControl/>
      <w:tabs>
        <w:tab w:val="clear" w:pos="360"/>
        <w:tab w:val="num" w:pos="709"/>
      </w:tabs>
      <w:spacing w:after="100" w:line="276" w:lineRule="auto"/>
      <w:ind w:left="709" w:hanging="709"/>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8D1BE3"/>
    <w:pPr>
      <w:tabs>
        <w:tab w:val="clear" w:pos="709"/>
        <w:tab w:val="num" w:pos="1080"/>
      </w:tabs>
      <w:ind w:left="1080" w:hanging="360"/>
    </w:pPr>
  </w:style>
  <w:style w:type="numbering" w:customStyle="1" w:styleId="Strecklistan">
    <w:name w:val="Strecklistan"/>
    <w:uiPriority w:val="99"/>
    <w:rsid w:val="008D1BE3"/>
    <w:pPr>
      <w:numPr>
        <w:numId w:val="45"/>
      </w:numPr>
    </w:pPr>
  </w:style>
  <w:style w:type="paragraph" w:customStyle="1" w:styleId="Strecklista3">
    <w:name w:val="Strecklista 3"/>
    <w:basedOn w:val="BodyText"/>
    <w:uiPriority w:val="6"/>
    <w:semiHidden/>
    <w:qFormat/>
    <w:rsid w:val="008D1BE3"/>
    <w:pPr>
      <w:tabs>
        <w:tab w:val="num" w:pos="1440"/>
        <w:tab w:val="left" w:pos="1701"/>
        <w:tab w:val="left" w:pos="3600"/>
        <w:tab w:val="left" w:pos="5387"/>
      </w:tabs>
      <w:suppressAutoHyphens w:val="0"/>
      <w:spacing w:after="100"/>
      <w:ind w:left="1440" w:hanging="360"/>
    </w:pPr>
    <w:rPr>
      <w:rFonts w:ascii="Calibri" w:hAnsi="Calibri" w:cs="Arial"/>
      <w:sz w:val="25"/>
      <w:szCs w:val="25"/>
    </w:rPr>
  </w:style>
  <w:style w:type="table" w:customStyle="1" w:styleId="ListTable5Dark-Accent51">
    <w:name w:val="List Table 5 Dark - Accent 51"/>
    <w:basedOn w:val="TableNormal"/>
    <w:next w:val="ListTable5Dark-Accent5"/>
    <w:uiPriority w:val="50"/>
    <w:rsid w:val="008D1BE3"/>
    <w:rPr>
      <w:rFonts w:ascii="Calibri" w:eastAsia="Calibri" w:hAnsi="Calibri" w:cs="Arial"/>
      <w:color w:val="FFFFFF"/>
      <w:sz w:val="25"/>
      <w:szCs w:val="25"/>
      <w:lang w:val="hr-HR"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8D1BE3"/>
  </w:style>
  <w:style w:type="paragraph" w:customStyle="1" w:styleId="Annext">
    <w:name w:val="Annex t"/>
    <w:basedOn w:val="Normal"/>
    <w:qFormat/>
    <w:rsid w:val="008D1BE3"/>
    <w:pPr>
      <w:widowControl/>
      <w:spacing w:before="120" w:after="120"/>
      <w:jc w:val="both"/>
    </w:pPr>
    <w:rPr>
      <w:rFonts w:eastAsia="Calibri"/>
      <w:b/>
      <w:szCs w:val="22"/>
      <w:lang w:eastAsia="en-US"/>
    </w:rPr>
  </w:style>
  <w:style w:type="paragraph" w:customStyle="1" w:styleId="Annextit">
    <w:name w:val="Annex tit"/>
    <w:basedOn w:val="Normal"/>
    <w:qFormat/>
    <w:rsid w:val="008D1BE3"/>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8D1BE3"/>
    <w:pPr>
      <w:suppressAutoHyphens w:val="0"/>
      <w:jc w:val="both"/>
    </w:pPr>
  </w:style>
  <w:style w:type="character" w:customStyle="1" w:styleId="Olstomnmnande1">
    <w:name w:val="Olöst omnämnande1"/>
    <w:basedOn w:val="DefaultParagraphFont"/>
    <w:uiPriority w:val="99"/>
    <w:semiHidden/>
    <w:unhideWhenUsed/>
    <w:rsid w:val="008D1BE3"/>
    <w:rPr>
      <w:color w:val="605E5C"/>
      <w:shd w:val="clear" w:color="auto" w:fill="E1DFDD"/>
    </w:rPr>
  </w:style>
  <w:style w:type="paragraph" w:customStyle="1" w:styleId="Titrearticle">
    <w:name w:val="Titre article"/>
    <w:basedOn w:val="Normal"/>
    <w:next w:val="Normal"/>
    <w:qFormat/>
    <w:rsid w:val="008D1BE3"/>
    <w:pPr>
      <w:keepNext/>
      <w:widowControl/>
      <w:spacing w:before="360" w:after="120"/>
      <w:jc w:val="center"/>
    </w:pPr>
    <w:rPr>
      <w:rFonts w:eastAsia="Calibri"/>
      <w:i/>
      <w:szCs w:val="22"/>
      <w:lang w:eastAsia="en-US"/>
    </w:rPr>
  </w:style>
  <w:style w:type="numbering" w:customStyle="1" w:styleId="Aktuelllista1">
    <w:name w:val="Aktuell lista1"/>
    <w:uiPriority w:val="99"/>
    <w:rsid w:val="008D1BE3"/>
    <w:pPr>
      <w:numPr>
        <w:numId w:val="50"/>
      </w:numPr>
    </w:pPr>
  </w:style>
  <w:style w:type="numbering" w:customStyle="1" w:styleId="Aktuelllista2">
    <w:name w:val="Aktuell lista2"/>
    <w:uiPriority w:val="99"/>
    <w:rsid w:val="008D1BE3"/>
    <w:pPr>
      <w:numPr>
        <w:numId w:val="48"/>
      </w:numPr>
    </w:pPr>
  </w:style>
  <w:style w:type="paragraph" w:styleId="PlainText">
    <w:name w:val="Plain Text"/>
    <w:basedOn w:val="Normal"/>
    <w:link w:val="PlainTextChar"/>
    <w:uiPriority w:val="99"/>
    <w:unhideWhenUsed/>
    <w:rsid w:val="008D1BE3"/>
    <w:pPr>
      <w:widowControl/>
    </w:pPr>
    <w:rPr>
      <w:rFonts w:ascii="Calibri" w:hAnsi="Calibri" w:cs="Calibri"/>
      <w:sz w:val="22"/>
      <w:szCs w:val="21"/>
      <w:lang w:eastAsia="sv-SE"/>
    </w:rPr>
  </w:style>
  <w:style w:type="character" w:customStyle="1" w:styleId="PlainTextChar">
    <w:name w:val="Plain Text Char"/>
    <w:basedOn w:val="DefaultParagraphFont"/>
    <w:link w:val="PlainText"/>
    <w:uiPriority w:val="99"/>
    <w:rsid w:val="008D1BE3"/>
    <w:rPr>
      <w:rFonts w:ascii="Calibri" w:hAnsi="Calibri" w:cs="Calibri"/>
      <w:sz w:val="22"/>
      <w:szCs w:val="21"/>
      <w:lang w:val="hr-HR" w:eastAsia="sv-SE"/>
    </w:rPr>
  </w:style>
  <w:style w:type="paragraph" w:customStyle="1" w:styleId="msonormal0">
    <w:name w:val="msonormal"/>
    <w:basedOn w:val="Normal"/>
    <w:uiPriority w:val="99"/>
    <w:qFormat/>
    <w:rsid w:val="008D1BE3"/>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8D1BE3"/>
    <w:rPr>
      <w:rFonts w:ascii="Calibri" w:eastAsia="Calibri" w:hAnsi="Calibri" w:cs="Arial"/>
      <w:color w:val="31849B"/>
      <w:sz w:val="25"/>
      <w:szCs w:val="25"/>
      <w:lang w:val="hr-HR"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8D1BE3"/>
    <w:pPr>
      <w:suppressAutoHyphens w:val="0"/>
      <w:autoSpaceDE w:val="0"/>
      <w:autoSpaceDN w:val="0"/>
      <w:adjustRightInd w:val="0"/>
    </w:pPr>
    <w:rPr>
      <w:color w:val="auto"/>
    </w:rPr>
  </w:style>
  <w:style w:type="character" w:customStyle="1" w:styleId="Bodytext1">
    <w:name w:val="Body text|1_"/>
    <w:basedOn w:val="DefaultParagraphFont"/>
    <w:link w:val="Bodytext10"/>
    <w:rsid w:val="008D1BE3"/>
    <w:rPr>
      <w:rFonts w:ascii="Arial" w:eastAsia="Arial" w:hAnsi="Arial" w:cs="Arial"/>
      <w:sz w:val="19"/>
    </w:rPr>
  </w:style>
  <w:style w:type="paragraph" w:customStyle="1" w:styleId="Bodytext10">
    <w:name w:val="Body text|1"/>
    <w:basedOn w:val="Normal"/>
    <w:link w:val="Bodytext1"/>
    <w:rsid w:val="008D1BE3"/>
    <w:pPr>
      <w:spacing w:after="160" w:line="348" w:lineRule="auto"/>
    </w:pPr>
    <w:rPr>
      <w:rFonts w:ascii="Arial" w:eastAsia="Arial" w:hAnsi="Arial" w:cs="Arial"/>
      <w:sz w:val="19"/>
      <w:lang w:val="en-GB"/>
    </w:rPr>
  </w:style>
  <w:style w:type="numbering" w:customStyle="1" w:styleId="RKNumreraderubriker">
    <w:name w:val="RK Numrerade rubriker"/>
    <w:uiPriority w:val="99"/>
    <w:rsid w:val="008D1BE3"/>
    <w:pPr>
      <w:numPr>
        <w:numId w:val="49"/>
      </w:numPr>
    </w:pPr>
  </w:style>
  <w:style w:type="numbering" w:customStyle="1" w:styleId="Strecklistan3">
    <w:name w:val="Strecklistan3"/>
    <w:uiPriority w:val="99"/>
    <w:rsid w:val="008D1BE3"/>
    <w:pPr>
      <w:numPr>
        <w:numId w:val="25"/>
      </w:numPr>
    </w:pPr>
  </w:style>
  <w:style w:type="numbering" w:customStyle="1" w:styleId="Aktuelllista14">
    <w:name w:val="Aktuell lista14"/>
    <w:uiPriority w:val="99"/>
    <w:rsid w:val="008D1BE3"/>
    <w:pPr>
      <w:numPr>
        <w:numId w:val="30"/>
      </w:numPr>
    </w:pPr>
  </w:style>
  <w:style w:type="numbering" w:customStyle="1" w:styleId="Aktuelllista23">
    <w:name w:val="Aktuell lista23"/>
    <w:uiPriority w:val="99"/>
    <w:rsid w:val="008D1BE3"/>
    <w:pPr>
      <w:numPr>
        <w:numId w:val="29"/>
      </w:numPr>
    </w:pPr>
  </w:style>
  <w:style w:type="character" w:customStyle="1" w:styleId="ListenabsatzZchn">
    <w:name w:val="Listenabsatz Zchn"/>
    <w:aliases w:val="Bullet List Zchn,Bulletr List Paragraph Zchn,Colorful List - Accent 11 Zchn,Colorful List Accent 1 Zchn,FooterText Zchn,List Paragraph2 Zchn,List Paragraph21 Zchn,Paragraphe de liste1 Zchn,numbered Zchn,リスト段落1 Zchn,列出段落 Zchn,列出段落1 Zchn"/>
    <w:basedOn w:val="DefaultParagraphFont"/>
    <w:uiPriority w:val="34"/>
    <w:locked/>
    <w:rsid w:val="008D1BE3"/>
    <w:rPr>
      <w:rFonts w:ascii="Arial" w:hAnsi="Arial" w:cs="Arial"/>
    </w:rPr>
  </w:style>
  <w:style w:type="paragraph" w:customStyle="1" w:styleId="NormalRight0">
    <w:name w:val="NormalRight"/>
    <w:basedOn w:val="Normal"/>
    <w:rsid w:val="008D1BE3"/>
    <w:pPr>
      <w:widowControl/>
      <w:jc w:val="right"/>
    </w:pPr>
    <w:rPr>
      <w:snapToGrid w:val="0"/>
    </w:rPr>
  </w:style>
  <w:style w:type="paragraph" w:customStyle="1" w:styleId="NormalBoldRight">
    <w:name w:val="NormalBoldRight"/>
    <w:basedOn w:val="NormalBold"/>
    <w:rsid w:val="008D1BE3"/>
    <w:pPr>
      <w:jc w:val="right"/>
    </w:pPr>
    <w:rPr>
      <w:bCs/>
      <w:snapToGrid w:val="0"/>
    </w:rPr>
  </w:style>
  <w:style w:type="paragraph" w:customStyle="1" w:styleId="Normal24">
    <w:name w:val="Normal24"/>
    <w:basedOn w:val="Normal"/>
    <w:rsid w:val="008D1BE3"/>
    <w:pPr>
      <w:spacing w:after="480"/>
    </w:pPr>
    <w:rPr>
      <w:snapToGrid w:val="0"/>
    </w:rPr>
  </w:style>
  <w:style w:type="paragraph" w:styleId="ListBullet">
    <w:name w:val="List Bullet"/>
    <w:basedOn w:val="Normal"/>
    <w:rsid w:val="008D1BE3"/>
    <w:pPr>
      <w:tabs>
        <w:tab w:val="num" w:pos="360"/>
      </w:tabs>
      <w:ind w:left="360" w:hanging="360"/>
      <w:contextualSpacing/>
    </w:pPr>
  </w:style>
  <w:style w:type="paragraph" w:styleId="ListBullet2">
    <w:name w:val="List Bullet 2"/>
    <w:basedOn w:val="Normal"/>
    <w:rsid w:val="008D1BE3"/>
    <w:pPr>
      <w:tabs>
        <w:tab w:val="num" w:pos="720"/>
      </w:tabs>
      <w:ind w:left="720" w:hanging="360"/>
      <w:contextualSpacing/>
    </w:pPr>
  </w:style>
  <w:style w:type="paragraph" w:styleId="ListBullet3">
    <w:name w:val="List Bullet 3"/>
    <w:basedOn w:val="Normal"/>
    <w:rsid w:val="008D1BE3"/>
    <w:pPr>
      <w:tabs>
        <w:tab w:val="num" w:pos="1080"/>
      </w:tabs>
      <w:ind w:left="1080" w:hanging="360"/>
      <w:contextualSpacing/>
    </w:pPr>
  </w:style>
  <w:style w:type="paragraph" w:styleId="ListParagraph">
    <w:name w:val="List Paragraph"/>
    <w:basedOn w:val="Normal"/>
    <w:uiPriority w:val="34"/>
    <w:qFormat/>
    <w:rsid w:val="008D1BE3"/>
    <w:pPr>
      <w:ind w:left="720"/>
      <w:contextualSpacing/>
    </w:pPr>
  </w:style>
  <w:style w:type="character" w:styleId="FollowedHyperlink">
    <w:name w:val="FollowedHyperlink"/>
    <w:basedOn w:val="DefaultParagraphFont"/>
    <w:rsid w:val="008D1BE3"/>
    <w:rPr>
      <w:color w:val="954F72" w:themeColor="followedHyperlink"/>
      <w:u w:val="single"/>
    </w:rPr>
  </w:style>
  <w:style w:type="table" w:styleId="ListTable5Dark-Accent5">
    <w:name w:val="List Table 5 Dark Accent 5"/>
    <w:basedOn w:val="TableNormal"/>
    <w:uiPriority w:val="50"/>
    <w:rsid w:val="008D1BE3"/>
    <w:rPr>
      <w:color w:val="FFFFFF" w:themeColor="background1"/>
      <w:lang w:val="hr-HR"/>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8D1BE3"/>
    <w:rPr>
      <w:color w:val="2F5496" w:themeColor="accent5" w:themeShade="BF"/>
      <w:lang w:val="hr-HR"/>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5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regional_policy/en/funding/cohesion-fund/"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c.europa.eu/regional_policy/en/funding/erdf/" TargetMode="Externa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food-farming-fisheries/key-policies/common-agricultural-policy/financing-cap/cap-funds_en" TargetMode="Externa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hyperlink" Target="https://ec.europa.eu/info/food-farming-fisheries/key-policies/common-agricultural-policy/rural-development_en"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nea.ec.europa.eu/european-maritime-fisheries-and-aquaculture-fund_en" TargetMode="External"/><Relationship Id="rId14" Type="http://schemas.openxmlformats.org/officeDocument/2006/relationships/hyperlink" Target="https://ec.europa.eu/info/business-economy-euro/recovery-coronavirus/recovery-and-resilience-facility_en"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8.xml"/></Relationships>
</file>

<file path=word/_rels/footnotes.xml.rels><?xml version="1.0" encoding="UTF-8" standalone="yes"?>
<Relationships xmlns="http://schemas.openxmlformats.org/package/2006/relationships"><Relationship Id="rId8" Type="http://schemas.openxmlformats.org/officeDocument/2006/relationships/hyperlink" Target="https://www.eca.europa.eu/Lists/ECADocuments/SR20_15/SR_Pollinators_HR.pdf" TargetMode="External"/><Relationship Id="rId3" Type="http://schemas.openxmlformats.org/officeDocument/2006/relationships/hyperlink" Target="https://circabc.europa.eu/ui/group/fcb355ee-7434-4448-a53d-5dc5d1dac678/library/4d8f2f91-7708-4ed2-ba0e-e7a945a6d56a/details" TargetMode="External"/><Relationship Id="rId7" Type="http://schemas.openxmlformats.org/officeDocument/2006/relationships/hyperlink" Target="https://doi.org/10.5281/zenodo.3831673" TargetMode="External"/><Relationship Id="rId2" Type="http://schemas.openxmlformats.org/officeDocument/2006/relationships/hyperlink" Target="https://www.un.org/sustainabledevelopment/" TargetMode="External"/><Relationship Id="rId1" Type="http://schemas.openxmlformats.org/officeDocument/2006/relationships/hyperlink" Target="https://www.cbd.int/decision/cop/?id=12268" TargetMode="External"/><Relationship Id="rId6" Type="http://schemas.openxmlformats.org/officeDocument/2006/relationships/hyperlink" Target="https://www.ipcc.ch/report/ar6/wg2/" TargetMode="External"/><Relationship Id="rId11" Type="http://schemas.openxmlformats.org/officeDocument/2006/relationships/hyperlink" Target="https://www.eea.europa.eu/data-and-maps/data/eunis-habitat-classification-1" TargetMode="External"/><Relationship Id="rId5" Type="http://schemas.openxmlformats.org/officeDocument/2006/relationships/hyperlink" Target="https://www.ipcc.ch/sr15/" TargetMode="External"/><Relationship Id="rId10" Type="http://schemas.openxmlformats.org/officeDocument/2006/relationships/hyperlink" Target="https://www.eea.europa.eu/data-and-maps/data/eunis-habitat-classification-1" TargetMode="External"/><Relationship Id="rId4" Type="http://schemas.openxmlformats.org/officeDocument/2006/relationships/hyperlink" Target="https://seea.un.org/sites/seea.un.org/files/documents/EA/seea_ea_white_cover_final.pdf" TargetMode="External"/><Relationship Id="rId9" Type="http://schemas.openxmlformats.org/officeDocument/2006/relationships/hyperlink" Target="https://ec.europa.eu/environment/nature/conservation/species/redlist/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117AC-CA13-4463-B251-1A14C1AA5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153</Pages>
  <Words>26992</Words>
  <Characters>168319</Characters>
  <Application>Microsoft Office Word</Application>
  <DocSecurity>0</DocSecurity>
  <Lines>1402</Lines>
  <Paragraphs>389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SEMEDO Teresa</cp:lastModifiedBy>
  <cp:revision>2</cp:revision>
  <cp:lastPrinted>2004-11-19T15:42:00Z</cp:lastPrinted>
  <dcterms:created xsi:type="dcterms:W3CDTF">2024-06-04T15:30:00Z</dcterms:created>
  <dcterms:modified xsi:type="dcterms:W3CDTF">2024-06-04T15:30:00Z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P9_TA(2023)0277_</vt:lpwstr>
  </property>
  <property fmtid="{D5CDD505-2E9C-101B-9397-08002B2CF9AE}" pid="4" name="&lt;Type&gt;">
    <vt:lpwstr>RR</vt:lpwstr>
  </property>
</Properties>
</file>