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07135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07135" w:rsidRDefault="00D55DFA">
            <w:pPr>
              <w:pStyle w:val="EPName"/>
            </w:pPr>
            <w:r>
              <w:t>Európsky parlament</w:t>
            </w:r>
          </w:p>
          <w:p w:rsidR="00407135" w:rsidRDefault="00D55DF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407135" w:rsidRDefault="00D55DFA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7135" w:rsidRDefault="00407135">
      <w:pPr>
        <w:pStyle w:val="LineTop"/>
      </w:pPr>
    </w:p>
    <w:p w:rsidR="00407135" w:rsidRDefault="00D55DFA">
      <w:pPr>
        <w:pStyle w:val="EPBodyTA1"/>
      </w:pPr>
      <w:r>
        <w:t>PRIJATÉ TEXTY</w:t>
      </w:r>
    </w:p>
    <w:p w:rsidR="00407135" w:rsidRDefault="00407135">
      <w:pPr>
        <w:pStyle w:val="LineBottom"/>
      </w:pPr>
    </w:p>
    <w:p w:rsidR="00407135" w:rsidRDefault="00D55DFA">
      <w:pPr>
        <w:pStyle w:val="ATHeading1"/>
      </w:pPr>
      <w:bookmarkStart w:id="0" w:name="TANumber"/>
      <w:r>
        <w:t>P9_TA(2023)0277</w:t>
      </w:r>
      <w:bookmarkEnd w:id="0"/>
    </w:p>
    <w:p w:rsidR="00407135" w:rsidRDefault="00D55DFA">
      <w:pPr>
        <w:pStyle w:val="ATHeading2"/>
      </w:pPr>
      <w:bookmarkStart w:id="1" w:name="title"/>
      <w:r>
        <w:t>Obnova prírody</w:t>
      </w:r>
      <w:bookmarkEnd w:id="1"/>
    </w:p>
    <w:p w:rsidR="00407135" w:rsidRDefault="00D55DFA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A9-0220/2023</w:instrText>
      </w:r>
      <w:bookmarkEnd w:id="2"/>
      <w:r>
        <w:rPr>
          <w:i/>
        </w:rPr>
        <w:instrText xml:space="preserve"> - Spravodajca: César Luena)"\l3 \n&gt; \* MERGEFORMAT </w:instrText>
      </w:r>
      <w:r>
        <w:rPr>
          <w:i/>
        </w:rPr>
        <w:fldChar w:fldCharType="end"/>
      </w:r>
    </w:p>
    <w:p w:rsidR="00407135" w:rsidRDefault="00D55DFA"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 w:rsidR="00407135" w:rsidRDefault="00D55DFA">
      <w:pPr>
        <w:rPr>
          <w:vanish/>
        </w:rPr>
      </w:pPr>
      <w:bookmarkStart w:id="4" w:name="PE"/>
      <w:r>
        <w:rPr>
          <w:vanish/>
        </w:rPr>
        <w:t>PE737.282</w:t>
      </w:r>
      <w:bookmarkEnd w:id="4"/>
    </w:p>
    <w:p w:rsidR="00407135" w:rsidRDefault="00D55DFA">
      <w:pPr>
        <w:pStyle w:val="ATHeading3"/>
      </w:pPr>
      <w:bookmarkStart w:id="5" w:name="Sujet"/>
      <w:r>
        <w:t>Pozmeňujúce návrhy</w:t>
      </w:r>
      <w:r>
        <w:rPr>
          <w:rStyle w:val="FootnoteReference"/>
        </w:rPr>
        <w:footnoteReference w:customMarkFollows="1" w:id="1"/>
        <w:t>*</w:t>
      </w:r>
      <w:r>
        <w:t xml:space="preserve"> prijaté Európskym parlamentom 12. júla 2023 k návrhu nariadenia Európskeho parlamentu a Rady o obnove prírody</w:t>
      </w:r>
      <w:bookmarkEnd w:id="5"/>
      <w:r>
        <w:t xml:space="preserve"> </w:t>
      </w:r>
      <w:bookmarkStart w:id="6" w:name="References"/>
      <w:r>
        <w:t>(COM(2022)0304 – C9-0208/2022 – 2022/0195(COD))</w:t>
      </w:r>
      <w:r>
        <w:rPr>
          <w:rStyle w:val="FootnoteReference"/>
        </w:rPr>
        <w:footnoteReference w:id="2"/>
      </w:r>
      <w:bookmarkEnd w:id="6"/>
    </w:p>
    <w:p w:rsidR="00407135" w:rsidRDefault="00407135"/>
    <w:p w:rsidR="00407135" w:rsidRDefault="00D55DFA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407135" w:rsidRDefault="00D55DFA">
      <w:pPr>
        <w:widowControl/>
      </w:pPr>
      <w:r>
        <w:br w:type="page"/>
      </w:r>
    </w:p>
    <w:p w:rsidR="00407135" w:rsidRDefault="00D55DFA">
      <w:pPr>
        <w:spacing w:before="720" w:after="240"/>
        <w:rPr>
          <w:b/>
        </w:rPr>
      </w:pPr>
      <w:r>
        <w:rPr>
          <w:b/>
        </w:rPr>
        <w:lastRenderedPageBreak/>
        <w:t>[Pozmeňujúci návrh 18, pokiaľ nie je uvedené inak]</w:t>
      </w:r>
    </w:p>
    <w:p w:rsidR="00407135" w:rsidRDefault="00D55DFA">
      <w:pPr>
        <w:spacing w:before="720" w:after="240"/>
        <w:jc w:val="center"/>
      </w:pPr>
      <w:r>
        <w:t>POZMEŇUJÚCE NÁVRHY EURÓPSKEHO PARLAMENTU</w:t>
      </w:r>
      <w:r>
        <w:rPr>
          <w:vertAlign w:val="superscript"/>
        </w:rPr>
        <w:footnoteReference w:customMarkFollows="1" w:id="3"/>
        <w:t>*</w:t>
      </w:r>
    </w:p>
    <w:p w:rsidR="00407135" w:rsidRDefault="00D55DFA">
      <w:pPr>
        <w:spacing w:after="240"/>
        <w:jc w:val="center"/>
      </w:pPr>
      <w:r>
        <w:t>k návrhu Komisie</w:t>
      </w:r>
    </w:p>
    <w:p w:rsidR="00407135" w:rsidRDefault="00D55DFA">
      <w:pPr>
        <w:spacing w:after="240"/>
        <w:jc w:val="center"/>
      </w:pPr>
      <w:r>
        <w:t>---------------------------------------------------------</w:t>
      </w:r>
    </w:p>
    <w:p w:rsidR="00407135" w:rsidRDefault="00D55DFA">
      <w:pPr>
        <w:suppressAutoHyphens/>
        <w:spacing w:before="360"/>
        <w:jc w:val="center"/>
        <w:rPr>
          <w:rFonts w:eastAsia="Calibri"/>
          <w:b/>
          <w:szCs w:val="24"/>
        </w:rPr>
      </w:pPr>
      <w:r>
        <w:rPr>
          <w:b/>
        </w:rPr>
        <w:t>NARIADENIA EURÓPSKEHO PARLAMENTU A RADY</w:t>
      </w:r>
    </w:p>
    <w:p w:rsidR="00407135" w:rsidRDefault="00D55DFA">
      <w:pPr>
        <w:widowControl/>
        <w:suppressAutoHyphens/>
        <w:spacing w:before="360" w:line="360" w:lineRule="auto"/>
        <w:jc w:val="center"/>
        <w:rPr>
          <w:rFonts w:eastAsia="Calibri"/>
          <w:b/>
          <w:szCs w:val="24"/>
        </w:rPr>
      </w:pPr>
      <w:r>
        <w:rPr>
          <w:b/>
        </w:rPr>
        <w:t>o obnove prírody</w:t>
      </w:r>
    </w:p>
    <w:p w:rsidR="00407135" w:rsidRDefault="00D55DFA">
      <w:pPr>
        <w:widowControl/>
        <w:suppressAutoHyphens/>
        <w:spacing w:before="360" w:after="240" w:line="360" w:lineRule="auto"/>
        <w:jc w:val="center"/>
        <w:rPr>
          <w:rFonts w:eastAsia="Calibri"/>
          <w:szCs w:val="24"/>
        </w:rPr>
      </w:pPr>
      <w:r>
        <w:t>(Text s významom pre EHP)</w:t>
      </w:r>
    </w:p>
    <w:p w:rsidR="00407135" w:rsidRDefault="00D55DFA">
      <w:pPr>
        <w:keepNext/>
        <w:widowControl/>
        <w:suppressAutoHyphens/>
        <w:spacing w:line="360" w:lineRule="auto"/>
        <w:jc w:val="both"/>
        <w:rPr>
          <w:rFonts w:eastAsia="Calibri"/>
          <w:szCs w:val="24"/>
        </w:rPr>
      </w:pPr>
      <w:r>
        <w:t>EURÓPSKY PARLAMENT A RADA EURÓPSKEJ ÚNIE,</w:t>
      </w:r>
    </w:p>
    <w:p w:rsidR="00407135" w:rsidRDefault="00D55DFA">
      <w:pPr>
        <w:widowControl/>
        <w:suppressAutoHyphens/>
        <w:spacing w:line="360" w:lineRule="auto"/>
        <w:rPr>
          <w:rFonts w:eastAsia="Calibri"/>
          <w:szCs w:val="24"/>
        </w:rPr>
      </w:pPr>
      <w:r>
        <w:t>so zreteľom n</w:t>
      </w:r>
      <w:r>
        <w:t>a Zmluvu o fungovaní Európskej únie, a najmä na jej článok 192 ods. 1,</w:t>
      </w:r>
    </w:p>
    <w:p w:rsidR="00407135" w:rsidRDefault="00D55DFA">
      <w:pPr>
        <w:widowControl/>
        <w:suppressAutoHyphens/>
        <w:spacing w:line="360" w:lineRule="auto"/>
        <w:rPr>
          <w:rFonts w:eastAsia="Calibri"/>
          <w:szCs w:val="24"/>
        </w:rPr>
      </w:pPr>
      <w:r>
        <w:t>so zreteľom na návrh Európskej komisie,</w:t>
      </w:r>
    </w:p>
    <w:p w:rsidR="00407135" w:rsidRDefault="00D55DFA">
      <w:pPr>
        <w:widowControl/>
        <w:suppressAutoHyphens/>
        <w:spacing w:line="360" w:lineRule="auto"/>
        <w:rPr>
          <w:rFonts w:eastAsia="Calibri"/>
          <w:szCs w:val="24"/>
        </w:rPr>
      </w:pPr>
      <w:r>
        <w:t>po postúpení návrhu legislatívneho aktu národným parlamentom,</w:t>
      </w:r>
    </w:p>
    <w:p w:rsidR="00407135" w:rsidRDefault="00D55DFA">
      <w:pPr>
        <w:widowControl/>
        <w:suppressAutoHyphens/>
        <w:spacing w:line="360" w:lineRule="auto"/>
        <w:rPr>
          <w:rFonts w:eastAsia="Calibri"/>
          <w:szCs w:val="24"/>
        </w:rPr>
      </w:pPr>
      <w:r>
        <w:t>so zreteľom na stanovisko Európskeho hospodárskeho a sociálneho výboru</w:t>
      </w:r>
      <w:r>
        <w:rPr>
          <w:rFonts w:eastAsia="Calibri"/>
          <w:bCs/>
          <w:szCs w:val="24"/>
          <w:vertAlign w:val="superscript"/>
          <w:lang w:eastAsia="en-US"/>
        </w:rPr>
        <w:footnoteReference w:id="4"/>
      </w:r>
      <w:r>
        <w:t>,</w:t>
      </w:r>
    </w:p>
    <w:p w:rsidR="00407135" w:rsidRDefault="00D55DFA">
      <w:pPr>
        <w:widowControl/>
        <w:suppressAutoHyphens/>
        <w:spacing w:line="360" w:lineRule="auto"/>
        <w:rPr>
          <w:rFonts w:eastAsia="Calibri"/>
          <w:szCs w:val="24"/>
        </w:rPr>
      </w:pPr>
      <w:r>
        <w:t>so zreteľo</w:t>
      </w:r>
      <w:r>
        <w:t>m na stanovisko Výboru regiónov,</w:t>
      </w:r>
    </w:p>
    <w:p w:rsidR="00407135" w:rsidRDefault="00D55DFA">
      <w:pPr>
        <w:widowControl/>
        <w:suppressAutoHyphens/>
        <w:spacing w:line="360" w:lineRule="auto"/>
        <w:rPr>
          <w:rFonts w:eastAsia="Calibri"/>
          <w:szCs w:val="24"/>
        </w:rPr>
      </w:pPr>
      <w:r>
        <w:t>konajúc v súlade s riadnym legislatívnym postupom,</w:t>
      </w:r>
    </w:p>
    <w:p w:rsidR="00407135" w:rsidRDefault="00D55DFA">
      <w:pPr>
        <w:widowControl/>
        <w:suppressAutoHyphens/>
        <w:spacing w:line="360" w:lineRule="auto"/>
        <w:rPr>
          <w:rFonts w:eastAsia="Calibri"/>
          <w:szCs w:val="24"/>
        </w:rPr>
      </w:pPr>
      <w:r>
        <w:t>keďže: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(1)</w:t>
      </w:r>
      <w:r>
        <w:tab/>
      </w:r>
      <w:r>
        <w:t>Je nevyhnutné stanoviť pravidlá na úrovni Únie týkajúce sa obnovy ekosystémov s cieľom zabezpečiť obnovu biodiverzity a odolnosti prírody na celom území Únie. Obnova ekosystémov takisto prispieva k cieľom Únie v oblasti zmierňovania zmeny klímy a adaptácie</w:t>
      </w:r>
      <w:r>
        <w:t xml:space="preserve"> na ňu.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(2)</w:t>
      </w:r>
      <w:r>
        <w:tab/>
        <w:t>V Európskej zelenej dohode</w:t>
      </w:r>
      <w:r>
        <w:rPr>
          <w:rFonts w:eastAsia="Calibri"/>
          <w:szCs w:val="24"/>
          <w:vertAlign w:val="superscript"/>
          <w:lang w:eastAsia="en-US"/>
        </w:rPr>
        <w:footnoteReference w:id="5"/>
      </w:r>
      <w:r>
        <w:t xml:space="preserve"> sa stanovuje ambiciózny plán na transformáciu Únie na spravodlivú a prosperujúcu spoločnosť s moderným a konkurencieschopným hospodárstvom, ktoré efektívne využíva zdroje, ktorého cieľom je chrániť, zachovávať a zveľaďovať prírodný kapitál Únie a chrániť </w:t>
      </w:r>
      <w:r>
        <w:t>zdravie a blaho občanov pred environmentálnymi rizikami a vplyvmi. Komisia v rámci Európskej zelenej dohody prijala stratégiu EÚ v oblasti biodiverzity do roku 2030</w:t>
      </w:r>
      <w:r>
        <w:rPr>
          <w:rFonts w:eastAsia="Calibri"/>
          <w:szCs w:val="24"/>
          <w:vertAlign w:val="superscript"/>
          <w:lang w:eastAsia="en-US"/>
        </w:rPr>
        <w:footnoteReference w:id="6"/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(3)</w:t>
      </w:r>
      <w:r>
        <w:tab/>
        <w:t>Únia a jej členské štáty ako zmluvné strany Dohovoru o biologickej diverzite schválen</w:t>
      </w:r>
      <w:r>
        <w:t>ého rozhodnutím Rady 93/626/EHS</w:t>
      </w:r>
      <w:r>
        <w:rPr>
          <w:rFonts w:eastAsia="Calibri"/>
          <w:szCs w:val="24"/>
          <w:vertAlign w:val="superscript"/>
          <w:lang w:eastAsia="en-US"/>
        </w:rPr>
        <w:footnoteReference w:id="7"/>
      </w:r>
      <w:r>
        <w:t xml:space="preserve"> sa zaviazali vykonávať dlhodobú strategickú víziu prijatú konferenciou zmluvných strán v roku 2010 rozhodnutím X/2 o strategickom pláne pre biodiverzitu na roky 2011 – 2020</w:t>
      </w:r>
      <w:r>
        <w:rPr>
          <w:rFonts w:eastAsia="Calibri"/>
          <w:szCs w:val="24"/>
          <w:vertAlign w:val="superscript"/>
          <w:lang w:eastAsia="en-US"/>
        </w:rPr>
        <w:footnoteReference w:id="8"/>
      </w:r>
      <w:r>
        <w:t>, podľa ktorej má byť biodiverzita do roku 2050 ce</w:t>
      </w:r>
      <w:r>
        <w:t>nená, chránená, obnovovaná a rozumne používaná pri zachovaní ekosystémových služieb, udržiavaní zdravej planéty a zabezpečení osohu pre všetkých ľudí.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(4)</w:t>
      </w:r>
      <w:r>
        <w:tab/>
      </w:r>
      <w:r>
        <w:rPr>
          <w:b/>
          <w:bCs/>
          <w:i/>
          <w:iCs/>
        </w:rPr>
        <w:t>Dohovor o biologickej diverzite schválený v decembri 2022 na COP 15</w:t>
      </w:r>
      <w:r>
        <w:rPr>
          <w:rFonts w:eastAsia="Calibri"/>
          <w:b/>
          <w:i/>
          <w:szCs w:val="24"/>
          <w:vertAlign w:val="superscript"/>
          <w:lang w:eastAsia="en-US"/>
        </w:rPr>
        <w:footnoteReference w:id="9"/>
      </w:r>
      <w:r>
        <w:rPr>
          <w:b/>
          <w:bCs/>
          <w:i/>
          <w:iCs/>
        </w:rPr>
        <w:t xml:space="preserve"> predstavuje </w:t>
      </w:r>
      <w:bookmarkStart w:id="8" w:name="_Hlk129711629"/>
      <w:r>
        <w:rPr>
          <w:b/>
          <w:bCs/>
          <w:i/>
          <w:iCs/>
        </w:rPr>
        <w:t xml:space="preserve">globálny rámec pre </w:t>
      </w:r>
      <w:r>
        <w:rPr>
          <w:b/>
          <w:bCs/>
          <w:i/>
          <w:iCs/>
        </w:rPr>
        <w:t xml:space="preserve">biodiverzitu, v ktorom sa stanovujú globálne ciele zamerané </w:t>
      </w:r>
      <w:r>
        <w:rPr>
          <w:b/>
          <w:bCs/>
          <w:i/>
          <w:iCs/>
          <w:shd w:val="clear" w:color="auto" w:fill="FFFFFF"/>
        </w:rPr>
        <w:t>na bezodkladné opatrenia v nasledujúcich desiatich rokoch do roku 2030</w:t>
      </w:r>
      <w:r>
        <w:rPr>
          <w:b/>
          <w:bCs/>
          <w:i/>
          <w:iCs/>
        </w:rPr>
        <w:t xml:space="preserve">, </w:t>
      </w:r>
      <w:r>
        <w:rPr>
          <w:b/>
          <w:bCs/>
          <w:i/>
          <w:iCs/>
          <w:shd w:val="clear" w:color="auto" w:fill="FFFFFF"/>
        </w:rPr>
        <w:t>ktorými sa zabezpečí, aby sa na všetky oblasti vzťahovalo priestorové plánovanie a účinné procesy riadenia, ktoré sú partici</w:t>
      </w:r>
      <w:r>
        <w:rPr>
          <w:b/>
          <w:bCs/>
          <w:i/>
          <w:iCs/>
          <w:shd w:val="clear" w:color="auto" w:fill="FFFFFF"/>
        </w:rPr>
        <w:t>patívne, integrované, zohľadňujú biodiverzitu a zaoberajú sa zmenou využívania pôdy a morí</w:t>
      </w:r>
      <w:r>
        <w:rPr>
          <w:b/>
          <w:bCs/>
          <w:i/>
          <w:iCs/>
        </w:rPr>
        <w:t>;</w:t>
      </w:r>
      <w:r>
        <w:rPr>
          <w:b/>
          <w:i/>
          <w:shd w:val="clear" w:color="auto" w:fill="FFFFFF"/>
        </w:rPr>
        <w:t xml:space="preserve"> </w:t>
      </w:r>
      <w:r>
        <w:rPr>
          <w:b/>
          <w:i/>
        </w:rPr>
        <w:t xml:space="preserve">aby sa do roku 2030 dosiahol takmer nulový úbytok oblastí s vysokým významom pre biodiverzitu vrátane ekosystémov s vysokou ekologickou integritou a </w:t>
      </w:r>
      <w:r>
        <w:rPr>
          <w:b/>
          <w:i/>
          <w:shd w:val="clear" w:color="auto" w:fill="FFFFFF"/>
        </w:rPr>
        <w:t>zároveň rešpekt</w:t>
      </w:r>
      <w:r>
        <w:rPr>
          <w:b/>
          <w:i/>
          <w:shd w:val="clear" w:color="auto" w:fill="FFFFFF"/>
        </w:rPr>
        <w:t>ovali práva pôvodného obyvateľstva a miestnych komunít,</w:t>
      </w:r>
      <w:r>
        <w:rPr>
          <w:b/>
          <w:i/>
        </w:rPr>
        <w:t xml:space="preserve"> ako sa to stanovuje v Deklarácii OSN o právach pôvodného obyvateľstva (ďalej len UNDRIP)</w:t>
      </w:r>
      <w:r>
        <w:rPr>
          <w:b/>
          <w:i/>
          <w:shd w:val="clear" w:color="auto" w:fill="FFFFFF"/>
        </w:rPr>
        <w:t xml:space="preserve">; </w:t>
      </w:r>
      <w:r>
        <w:rPr>
          <w:b/>
          <w:i/>
        </w:rPr>
        <w:t>aby sa do roku 2030 zabezpečilo zaradenie aspoň 30 % oblastí so znehodnotenými suchozemskými, vnútrozemskými v</w:t>
      </w:r>
      <w:r>
        <w:rPr>
          <w:b/>
          <w:i/>
        </w:rPr>
        <w:t>odnými, a morskými a pobrežnými ekosystémami do účinnej obnovy s cieľom posilniť biodiverzitu a ekosystémové funkcie a služby, ekologickú integritu a prepojenosť;</w:t>
      </w:r>
      <w:r>
        <w:rPr>
          <w:b/>
          <w:i/>
          <w:shd w:val="clear" w:color="auto" w:fill="FFFFFF"/>
        </w:rPr>
        <w:t xml:space="preserve"> aby sa obnovil, zachoval a zvýšil prínos prírody pre ľudí vrátane ekosystémových funkcií a sl</w:t>
      </w:r>
      <w:r>
        <w:rPr>
          <w:b/>
          <w:i/>
          <w:shd w:val="clear" w:color="auto" w:fill="FFFFFF"/>
        </w:rPr>
        <w:t>užieb, ako je regulácia ovzdušia, vody a klímy, zdravia pôdy, opeľovania a znižovania rizika chorôb, ako aj ochrana pred prírodnými nebezpečenstvami a katastrofami, a to prostredníctvom riešení blízkych prírode a/alebo ekosystémových prístupov v prospech v</w:t>
      </w:r>
      <w:r>
        <w:rPr>
          <w:b/>
          <w:i/>
          <w:shd w:val="clear" w:color="auto" w:fill="FFFFFF"/>
        </w:rPr>
        <w:t>šetkých ľudí a prírody. Globálny</w:t>
      </w:r>
      <w:r>
        <w:rPr>
          <w:b/>
          <w:i/>
        </w:rPr>
        <w:t xml:space="preserve"> rámec pre biodiverzitu umožní pokrok smerom k dosiahnutiu cieľov </w:t>
      </w:r>
      <w:r>
        <w:rPr>
          <w:b/>
          <w:i/>
          <w:shd w:val="clear" w:color="auto" w:fill="FFFFFF"/>
        </w:rPr>
        <w:t>orientovaných</w:t>
      </w:r>
      <w:r>
        <w:rPr>
          <w:b/>
          <w:i/>
        </w:rPr>
        <w:t xml:space="preserve"> na výsledky do roku 2050.</w:t>
      </w:r>
      <w:bookmarkEnd w:id="8"/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(5)</w:t>
      </w:r>
      <w:r>
        <w:tab/>
        <w:t>Ciele OSN v oblasti udržateľného rozvoja</w:t>
      </w:r>
      <w:r>
        <w:rPr>
          <w:rFonts w:eastAsia="Calibri"/>
          <w:szCs w:val="24"/>
          <w:vertAlign w:val="superscript"/>
          <w:lang w:eastAsia="en-US"/>
        </w:rPr>
        <w:footnoteReference w:id="10"/>
      </w:r>
      <w:r>
        <w:t>, najmä ciele 14.2, 15.1, 15.2 a 15.3, označujú potrebu zabezpečiť ochran</w:t>
      </w:r>
      <w:r>
        <w:t>u, obnovu a udržateľné využívanie suchozemských a vnútrozemských sladkovodných ekosystémov a ich služieb, najmä lesov, mokradí, horských a suchých oblastí.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(6)</w:t>
      </w:r>
      <w:r>
        <w:tab/>
        <w:t>Valné zhromaždenie Organizácie Spojených národov rezolúciou z 1. marca 2019</w:t>
      </w:r>
      <w:r>
        <w:rPr>
          <w:rFonts w:eastAsia="Calibri"/>
          <w:szCs w:val="24"/>
          <w:vertAlign w:val="superscript"/>
          <w:lang w:eastAsia="en-US"/>
        </w:rPr>
        <w:footnoteReference w:id="11"/>
      </w:r>
      <w:r>
        <w:t xml:space="preserve"> vyhlásilo roky 2021</w:t>
      </w:r>
      <w:r>
        <w:t> – 2030 za Dekádu OSN pre obnovu ekosystému s cieľom podporiť a rozšíriť úsilie o predchádzanie degradácii ekosystémov, jej zastavenie a zvrátenie na celom svete a o zvyšovanie informovanosti o význame obnovy ekosystémov.</w:t>
      </w:r>
    </w:p>
    <w:p w:rsidR="00407135" w:rsidRDefault="00D55DFA">
      <w:pPr>
        <w:widowControl/>
        <w:spacing w:after="200" w:line="276" w:lineRule="auto"/>
        <w:rPr>
          <w:rFonts w:eastAsia="Calibri"/>
          <w:szCs w:val="24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(7)</w:t>
      </w:r>
      <w:r>
        <w:tab/>
        <w:t>Cieľom stratégie EÚ v oblast</w:t>
      </w:r>
      <w:r>
        <w:t>i biodiverzity do roku 2030 je zabezpečiť, aby bola európska biodiverzita nasmerovaná k obnove do roku 2030 v prospech ľudí, planéty, klímy, ako aj nášho hospodárstva. Stanovuje sa v nej ambiciózny plán EÚ na obnovu prírody s niekoľkými kľúčovými záväzkami</w:t>
      </w:r>
      <w:r>
        <w:t xml:space="preserve"> vrátane záväzku predložiť návrh právne záväzných cieľov EÚ v oblasti obnovy prírody v snahe obnoviť degradované ekosystémy, najmä tie, ktoré majú najväčší potenciál zachytávať a ukladať uhlík a zabrániť vplyvu prírodných katastrof a znížiť ho.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(8)</w:t>
      </w:r>
      <w:r>
        <w:tab/>
        <w:t>Európsk</w:t>
      </w:r>
      <w:r>
        <w:t>y parlament vo svojom uznesení z 9. júna 2021</w:t>
      </w:r>
      <w:r>
        <w:rPr>
          <w:rFonts w:eastAsia="Calibri"/>
          <w:szCs w:val="24"/>
          <w:vertAlign w:val="superscript"/>
          <w:lang w:eastAsia="en-US"/>
        </w:rPr>
        <w:footnoteReference w:id="12"/>
      </w:r>
      <w:r>
        <w:t xml:space="preserve"> dôrazne privítal záväzok vypracovať legislatívny návrh so záväznými cieľmi v oblasti obnovy prírody a navyše skonštatoval, že okrem celkového cieľa obnovy by mal tento návrh zahŕňať ciele špecifické pre ekosys</w:t>
      </w:r>
      <w:r>
        <w:t>témy, biotopy a druhy, pričom by sa mal vzťahovať na lesy, trávne porasty, mokrade, rašeliniská, opeľovače, voľne tečúce rieky, pobrežné oblasti a morské ekosystémy.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(9)</w:t>
      </w:r>
      <w:r>
        <w:tab/>
        <w:t>Rada vo svojich záveroch z 23. októbra 2020</w:t>
      </w:r>
      <w:r>
        <w:rPr>
          <w:rFonts w:eastAsia="Calibri"/>
          <w:szCs w:val="24"/>
          <w:vertAlign w:val="superscript"/>
          <w:lang w:eastAsia="en-US"/>
        </w:rPr>
        <w:footnoteReference w:id="13"/>
      </w:r>
      <w:r>
        <w:t xml:space="preserve"> uznala, že zabránenie ďalšiemu zhoršovani</w:t>
      </w:r>
      <w:r>
        <w:t>u súčasného stavu biodiverzity a prírody bude nevyhnutné, ale nebude stačiť na to, aby sa príroda vrátila do našich životov. Rada opätovne potvrdila, že v súvislosti s obnovou prírody je potrebné mať vyššie ambície, ako sa to navrhuje v novom pláne EÚ na o</w:t>
      </w:r>
      <w:r>
        <w:t>bnovu prírody, ktorý zahŕňa opatrenia na ochranu a obnovu biodiverzity nad rámec chránených území. Rada takisto uviedla, že očakáva návrh na právne záväzné ciele v oblasti obnovy prírody, ktorý je podmienený posúdením vplyvu.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(10)</w:t>
      </w:r>
      <w:r>
        <w:tab/>
        <w:t>V stratégii EÚ v oblasti</w:t>
      </w:r>
      <w:r>
        <w:t xml:space="preserve"> biodiverzity do roku 2030 sa stanovuje záväzok právne chrániť aspoň 30 % pevniny vrátane vnútrozemských vôd a 30 % morí v Únii, z čoho prinajmenšom jedna tretina by mala podliehať prísnej ochrane vrátane všetkých zostávajúcich klimaxových lesov a pralesov</w:t>
      </w:r>
      <w:r>
        <w:t>itých porastov. V kritériách a usmerneniach pre členské štáty na určovanie ďalších chránených území</w:t>
      </w:r>
      <w:r>
        <w:rPr>
          <w:rFonts w:eastAsia="Calibri"/>
          <w:szCs w:val="24"/>
          <w:vertAlign w:val="superscript"/>
          <w:lang w:eastAsia="en-US"/>
        </w:rPr>
        <w:footnoteReference w:id="14"/>
      </w:r>
      <w:r>
        <w:t xml:space="preserve"> (ďalej len „kritériá a usmernenia“) vypracovaných Komisiou v spolupráci s členskými štátmi a so zainteresovanými stranami sa zdôrazňuje, že ak sú obnovené </w:t>
      </w:r>
      <w:r>
        <w:t>oblasti po prejavení sa plného účinku obnovy v súlade s kritériami pre chránené územia alebo sa očakáva, že budú v súlade s týmito kritériami, mali by tieto obnovené oblasti prispievať aj k plneniu cieľov Únie týkajúcich sa chránených území. V kritériách a</w:t>
      </w:r>
      <w:r>
        <w:t> usmerneniach sa zdôrazňuje aj skutočnosť, že chránené územia môžu predstavovať dôležitý príspevok k cieľom obnovy v rámci stratégie EÚ v oblasti biodiverzity do roku 2030 tým, že vytvoria podmienky pre úspešnosť činností zameraných na obnovu. Platí to naj</w:t>
      </w:r>
      <w:r>
        <w:t>mä v prípade oblastí, ktoré sa môžu obnovovať prirodzene tým, že sa zastavia alebo obmedzia niektoré tlaky, ktoré sú výsledkom ľudských činností. Prísna ochrana týchto oblastí vrátane morského prostredia bude v niektorých prípadoch stačiť na dosiahnutie ob</w:t>
      </w:r>
      <w:r>
        <w:t>novy prírodných hodnôt, ktoré sa v nich nachádzajú. V kritériách a usmerneniach sa navyše zdôrazňuje, že od všetkých členských štátov sa očakáva, že prispejú k dosiahnutiu cieľov Únie týkajúcich sa chránených území stanovených v stratégii EÚ v oblasti biod</w:t>
      </w:r>
      <w:r>
        <w:t>iverzity do roku 2030, a to v miere, ktorá je úmerná prírodným hodnotám, ktoré sa v nich nachádzajú, a ich potenciálu na obnovu prírody.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(11)</w:t>
      </w:r>
      <w:r>
        <w:tab/>
        <w:t>V stratégii EÚ v oblasti biodiverzity do roku 2030 sa stanovuje cieľ zabezpečiť, aby do roku 2030 nedošlo k zhorš</w:t>
      </w:r>
      <w:r>
        <w:t>eniu trendov alebo stavu ochrany chránených biotopov a druhov a aby sa aspoň 30 % druhov a biotopov, ktorých stav v súčasnosti nie je priaznivý, dostalo do uvedenej kategórie alebo vykazovalo výrazný pozitívny trend k tomu, aby sa dostali do tejto kategóri</w:t>
      </w:r>
      <w:r>
        <w:t>e. V usmernení</w:t>
      </w:r>
      <w:r>
        <w:rPr>
          <w:rFonts w:eastAsia="Calibri"/>
          <w:szCs w:val="24"/>
          <w:vertAlign w:val="superscript"/>
          <w:lang w:eastAsia="en-US"/>
        </w:rPr>
        <w:footnoteReference w:id="15"/>
      </w:r>
      <w:r>
        <w:t xml:space="preserve"> vypracovanom Komisiou v spolupráci s členskými štátmi a so zainteresovanými stranami na podporu dosiahnutia týchto cieľov sa zdôrazňuje, že úsilie o udržovanie a obnovu bude zrejme potrebné vyvinúť v prípade väčšiny uvedených biotopov a dru</w:t>
      </w:r>
      <w:r>
        <w:t>hov, a to buď prostredníctvom zastavenia ich súčasných negatívnych trendov do roku 2030, alebo prostredníctvom udržovania súčasných stabilných alebo zlepšujúcich sa trendov, či zabránením úbytku biotopov a druhov s priaznivým stavom ochrany. V usmernení sa</w:t>
      </w:r>
      <w:r>
        <w:t xml:space="preserve"> ďalej zdôrazňuje, že tieto činnosti zamerané na obnovu sa musia plánovať, vykonávať a koordinovať predovšetkým na vnútroštátnej alebo regionálnej úrovni a že pri výbere a určovaní prioritných druhov a biotopov, ktoré sa majú zlepšiť do roku 2030, sa majú </w:t>
      </w:r>
      <w:r>
        <w:t>vyžadovať synergie s inými cieľmi Únie a medzinárodnými cieľmi, najmä s environmentálnymi cieľmi alebo cieľmi politiky v oblasti zmeny klímy.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</w:pPr>
      <w:r>
        <w:t>(12)</w:t>
      </w:r>
      <w:r>
        <w:tab/>
        <w:t>Komisia v správe o stave prírody z roku 2020</w:t>
      </w:r>
      <w:r>
        <w:rPr>
          <w:rFonts w:eastAsia="Calibri"/>
          <w:szCs w:val="24"/>
          <w:vertAlign w:val="superscript"/>
          <w:lang w:eastAsia="en-US"/>
        </w:rPr>
        <w:footnoteReference w:id="16"/>
      </w:r>
      <w:r>
        <w:t xml:space="preserve"> konštatovala, že Únia zatiaľ nedokázala zastaviť zhoršovanie st</w:t>
      </w:r>
      <w:r>
        <w:t>avu chránených typov biotopov a chránených druhov, ktorých zachovanie má význam pre celú Úniu. Príčinou tohto zhoršovania stavu je najmä upúšťanie od extenzívnej poľnohospodárskej výroby, zintenzívňovanie poľnohospodárstva, úprava hydrologických režimov, u</w:t>
      </w:r>
      <w:r>
        <w:t>rbanizácia a znečisťovanie, ako aj neudržateľné lesnícke činnosti a využívanie druhov. Okrem toho hlavnú a čoraz väčšiu hrozbu pre pôvodnú flóru a faunu Únie predstavujú invázne nepôvodné druhy a zmena klímy.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</w:rPr>
      </w:pPr>
      <w:r>
        <w:rPr>
          <w:rFonts w:eastAsia="Calibri"/>
          <w:b/>
          <w:i/>
          <w:szCs w:val="24"/>
        </w:rPr>
        <w:t>(12a)</w:t>
      </w:r>
      <w:r>
        <w:rPr>
          <w:rFonts w:eastAsia="Calibri"/>
          <w:b/>
          <w:i/>
          <w:szCs w:val="24"/>
        </w:rPr>
        <w:tab/>
        <w:t>V Preskúmaní obchodnej politiky Komisie –</w:t>
      </w:r>
      <w:r>
        <w:rPr>
          <w:rFonts w:eastAsia="Calibri"/>
          <w:b/>
          <w:i/>
          <w:szCs w:val="24"/>
        </w:rPr>
        <w:t xml:space="preserve"> otvorená, udržateľná a asertívna obchodná politika</w:t>
      </w:r>
      <w:r>
        <w:rPr>
          <w:rStyle w:val="FootnoteReference"/>
          <w:rFonts w:eastAsia="Calibri"/>
          <w:b/>
          <w:i/>
          <w:szCs w:val="24"/>
        </w:rPr>
        <w:footnoteReference w:id="17"/>
      </w:r>
      <w:r>
        <w:rPr>
          <w:rFonts w:eastAsia="Calibri"/>
          <w:b/>
          <w:i/>
          <w:szCs w:val="24"/>
        </w:rPr>
        <w:t xml:space="preserve"> – sa uvádza, že Európska zelená dohoda je novou stratégiou rastu EÚ, ktorá bude hnacou silou našej konkurencieschopnosti a povedie k postupnej, ale hlbokej transformácii našich hospodárstiev, ktorá bude mať zase silný vplyv na obchodné modely, zatiaľ čo r</w:t>
      </w:r>
      <w:r>
        <w:rPr>
          <w:rFonts w:eastAsia="Calibri"/>
          <w:b/>
          <w:i/>
          <w:szCs w:val="24"/>
        </w:rPr>
        <w:t xml:space="preserve">ozsiahla sieť dvojstranných obchodných dohôd EÚ je nevyhnutnou platformou na spoluprácu s našimi partnermi v oblasti zmeny klímy a biodiverzity, a preto sa požaduje </w:t>
      </w:r>
      <w:r>
        <w:rPr>
          <w:rFonts w:eastAsia="Calibri"/>
          <w:b/>
          <w:i/>
          <w:szCs w:val="24"/>
        </w:rPr>
        <w:lastRenderedPageBreak/>
        <w:t>zavedenie tzv. zrkadlových opatrení v súlade s pravidlami WTO.</w:t>
      </w:r>
      <w:r>
        <w:rPr>
          <w:rFonts w:eastAsia="Calibri"/>
          <w:b/>
          <w:szCs w:val="24"/>
        </w:rPr>
        <w:t xml:space="preserve"> [Ústny pozmeňujúci návrh]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(1</w:t>
      </w:r>
      <w:r>
        <w:t>3)</w:t>
      </w:r>
      <w:r>
        <w:tab/>
        <w:t>Je vhodné stanoviť všeobecný cieľ týkajúci sa obnovy ekosystémov, aby sa podporila hospodárska a spoločenská transformácia, vytvorili sa kvalitné pracovné miesta a podporil sa udržateľný rast. Ak sú biologicky rozmanité ekosystémy, napríklad mokrade, sl</w:t>
      </w:r>
      <w:r>
        <w:t>adkovodné, lesné, ako aj poľnohospodárske ekosystémy, ekosystémy riedko pokryté vegetáciou, morské, pobrežné a mestské ekosystémy v dobrom stave, poskytujú rozličné základné ekosystémové služby a prínosy obnovy degradovaných ekosystémov do dobrého stavu vo</w:t>
      </w:r>
      <w:r>
        <w:t xml:space="preserve"> všetkých suchozemských a morských oblastiach vysoko presahujú náklady na obnovu. Tieto služby prispievajú k širokému spektru sociálno-ekonomických prínosov v závislosti od hospodárskych, sociálnych, kultúrnych, regionálnych a miestnych charakteristík.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(14</w:t>
      </w:r>
      <w:r>
        <w:t>)</w:t>
      </w:r>
      <w:r>
        <w:tab/>
        <w:t>Štatistická komisia OSN na svojom 52. zasadnutí v marci 2021 prijala systém integrovaného environmentálneho ekonomického účtovníctva – ekosystémové účtovníctvo (SEEA EA)</w:t>
      </w:r>
      <w:r>
        <w:rPr>
          <w:rFonts w:eastAsia="Calibri"/>
          <w:szCs w:val="24"/>
          <w:vertAlign w:val="superscript"/>
          <w:lang w:eastAsia="en-US"/>
        </w:rPr>
        <w:footnoteReference w:id="18"/>
      </w:r>
      <w:r>
        <w:t>. SEEA EA tvorí integrovaný a komplexný štatistický rámec usporiadania údajov o biot</w:t>
      </w:r>
      <w:r>
        <w:t xml:space="preserve">opoch a krajinách, prostredníctvom ktorého sa určuje rozsah, stav a služby ekosystémov, sledujú zmeny ekosystémových aktív a uvádzajú tieto informácie do súvislostí s hospodárskymi a inými ľudskými činnosťami.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(15)</w:t>
      </w:r>
      <w:r>
        <w:tab/>
        <w:t>Zabezpečenie biologicky rozmanitých ekos</w:t>
      </w:r>
      <w:r>
        <w:t>ystémov a boj proti zmene klímy sú neoddeliteľne prepojené. Príroda a riešenia blízke prírode vrátane prirodzených zásob a záchytov uhlíka sú zásadné na boj proti klimatickej kríze. Zároveň klimatická kríza už je hnacou silou zmeny suchozemských a morských</w:t>
      </w:r>
      <w:r>
        <w:t xml:space="preserve"> ekosystémov a Únia sa musí pripraviť na zvyšovanie intenzity, frekvencie a všadeprítomnosti jej účinkov. Medzivládny panel o zmene klímy (IPCC)</w:t>
      </w:r>
      <w:r>
        <w:rPr>
          <w:rFonts w:eastAsia="Calibri"/>
          <w:szCs w:val="24"/>
          <w:vertAlign w:val="superscript"/>
          <w:lang w:eastAsia="en-US"/>
        </w:rPr>
        <w:footnoteReference w:id="19"/>
      </w:r>
      <w:r>
        <w:t xml:space="preserve"> vo svojej osobitnej správe o vplyvoch globálneho otepľovania o 1,5 °C poukázal na to, že niektoré vplyvy môžu </w:t>
      </w:r>
      <w:r>
        <w:t>byť dlhotrvajúce alebo nezvratné. V šiestej hodnotiacej správe IPCC</w:t>
      </w:r>
      <w:r>
        <w:rPr>
          <w:rFonts w:eastAsia="Calibri"/>
          <w:szCs w:val="24"/>
          <w:vertAlign w:val="superscript"/>
          <w:lang w:eastAsia="en-US"/>
        </w:rPr>
        <w:footnoteReference w:id="20"/>
      </w:r>
      <w:r>
        <w:t xml:space="preserve"> </w:t>
      </w:r>
      <w:r>
        <w:lastRenderedPageBreak/>
        <w:t>sa uvádza, že obnova ekosystémov bude zásadná pre pomoc v boji proti zmene klímy, ako aj pri znižovaní rizík pre potravinovú bezpečnosť. Medzivládna vedecko-politická platforma pre biodiv</w:t>
      </w:r>
      <w:r>
        <w:t>erzitu a ekosystémové služby (IPBES) vo svojej globálnej hodnotiacej správe z roku 2019 o biodiverzite a ekosystémových službách</w:t>
      </w:r>
      <w:r>
        <w:rPr>
          <w:rFonts w:eastAsia="Calibri"/>
          <w:szCs w:val="24"/>
          <w:vertAlign w:val="superscript"/>
          <w:lang w:eastAsia="en-US"/>
        </w:rPr>
        <w:footnoteReference w:id="21"/>
      </w:r>
      <w:r>
        <w:t xml:space="preserve"> skonštatovala, že zmena klímy je hlavným faktorom spôsobujúcim zmeny v prírode, a predpokladala, že sa jej vplyvy v nasledujúc</w:t>
      </w:r>
      <w:r>
        <w:t>ich desaťročiach zintenzívnia a v niektorých prípadoch prekonajú vplyv iných faktorov spôsobujúcich zmeny ekosystémov, ako sú zmeny vo využívaní pôdy a morí.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(16)</w:t>
      </w:r>
      <w:r>
        <w:tab/>
        <w:t>V nariadení Európskeho parlamentu a Rady (EÚ) 2021/1119</w:t>
      </w:r>
      <w:r>
        <w:rPr>
          <w:rFonts w:eastAsia="Calibri"/>
          <w:szCs w:val="24"/>
          <w:vertAlign w:val="superscript"/>
          <w:lang w:eastAsia="en-US"/>
        </w:rPr>
        <w:footnoteReference w:id="22"/>
      </w:r>
      <w:r>
        <w:t xml:space="preserve"> sa stanovuje záväzný cieľ dosiahnuť</w:t>
      </w:r>
      <w:r>
        <w:t xml:space="preserve"> klimatickú neutralitu v Únii do roku 2050 a následne záporné emisie, ako aj uprednostniť rýchle a predvídateľné zníženie emisií a zároveň zintenzívniť ich odstraňovanie prirodzenými záchytmi uhlíka. Obnova ekosystémov môže predstavovať významný prínos pre</w:t>
      </w:r>
      <w:r>
        <w:t xml:space="preserve"> zachovanie, riadenie a zlepšovanie prirodzených záchytov uhlíka a zvýšenie biodiverzity a zároveň bojovať proti zmene klímy. V nariadení (EÚ) 2021/1119 sa takisto stanovuje, že príslušné inštitúcie Únie a členské štáty majú zabezpečiť nepretržitý pokrok p</w:t>
      </w:r>
      <w:r>
        <w:t>ri zlepšovaní adaptívnej kapacity, posilňovaní odolnosti a znižovaní zraniteľnosti voči zmene klímy. Okrem toho podľa uvedeného nariadenia musia členské štáty zahrnúť adaptáciu do všetkých oblastí politiky a podporovať riešenia blízke prírode</w:t>
      </w:r>
      <w:r>
        <w:rPr>
          <w:rFonts w:eastAsia="Calibri"/>
          <w:szCs w:val="24"/>
          <w:vertAlign w:val="superscript"/>
          <w:lang w:eastAsia="en-US"/>
        </w:rPr>
        <w:footnoteReference w:id="23"/>
      </w:r>
      <w:r>
        <w:t xml:space="preserve"> a adaptáciu </w:t>
      </w:r>
      <w:r>
        <w:t xml:space="preserve">založenú na ekosystémoch.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(17)</w:t>
      </w:r>
      <w:r>
        <w:tab/>
        <w:t>Komisia v oznámení o adaptácii na zmenu klímy z roku 2021</w:t>
      </w:r>
      <w:r>
        <w:rPr>
          <w:rFonts w:eastAsia="Calibri"/>
          <w:szCs w:val="24"/>
          <w:vertAlign w:val="superscript"/>
          <w:lang w:eastAsia="en-US"/>
        </w:rPr>
        <w:footnoteReference w:id="24"/>
      </w:r>
      <w:r>
        <w:t xml:space="preserve"> zdôrazňuje potrebu podporovať riešenia blízke prírode a uznáva, že nákladovo efektívnu adaptáciu na zmenu klímy možno dosiahnuť ochranou a obnovou mokradí a rašeliní</w:t>
      </w:r>
      <w:r>
        <w:t>sk, ako aj pobrežných a morských ekosystémov, rozvojom mestskej zelene, inštaláciou zelených striech a stien a podporou a udržateľným obhospodarovaním lesov a poľnohospodárskej pôdy. Väčšie množstvo biologicky rozmanitých ekosystémov vedie k vyššej odolnos</w:t>
      </w:r>
      <w:r>
        <w:t>ti proti zmene klímy a poskytuje účinnejšie formy znižovania rizika katastrof a predchádzania tomuto riziku.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(18)</w:t>
      </w:r>
      <w:r>
        <w:tab/>
        <w:t>Politika Únie v oblasti zmeny klímy sa reviduje s cieľom dodržať postup navrhnutý v nariadení (EÚ) 2021/1119 na zníženie čistých emisií do ro</w:t>
      </w:r>
      <w:r>
        <w:t>ku 2030 aspoň o 55 % v porovnaní s úrovňou v roku 1990. Konkrétne cieľom návrhu nariadenia Európskeho parlamentu a Rady, ktorým sa menia nariadenia (EÚ) 2018/841 a (EÚ) 2018/1999</w:t>
      </w:r>
      <w:r>
        <w:rPr>
          <w:rFonts w:eastAsia="Calibri"/>
          <w:szCs w:val="24"/>
          <w:vertAlign w:val="superscript"/>
          <w:lang w:eastAsia="en-US"/>
        </w:rPr>
        <w:footnoteReference w:id="25"/>
      </w:r>
      <w:r>
        <w:t>, je zvýšiť príspevok sektora pôdy k celkovej ambícii v oblasti klímy do roku</w:t>
      </w:r>
      <w:r>
        <w:t xml:space="preserve"> 2030 a zosúladiť ciele, pokiaľ ide o účtovanie emisií z využívania pôdy a ich odstraňovanie, zo zmien vo využívaní pôdy a z lesného hospodárstva, so súvisiacimi politickými iniciatívami v oblasti biodiverzity. V uvedenom návrhu sa zdôrazňuje potreba ochra</w:t>
      </w:r>
      <w:r>
        <w:t>ny a zlepšenia prírodných spôsobov odstraňovania uhlíka, zvyšovania odolnosti ekosystémov proti zmene klímy, obnovy znehodnotenej pôdy a ekosystémov a opätovného zavlažovania rašelinísk. Ďalej je jeho cieľom zlepšenie monitorovania a nahlasovania emisií sk</w:t>
      </w:r>
      <w:r>
        <w:t>leníkových plynov a ich odstraňovania z pôdy, ktorá je predmetom ochrany a obnovy. V tejto súvislosti je dôležité, aby ekosystémy vo všetkých kategóriách pôdy vrátane lesov, trávnych porastov, ornej pôdy a mokradí boli v dobrom stave, aby boli schopné účin</w:t>
      </w:r>
      <w:r>
        <w:t>ne zachytávať a ukladať uhlík.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(19)</w:t>
      </w:r>
      <w:r>
        <w:tab/>
        <w:t>Geopolitický vývoj ešte viac zdôraznil potrebu zaistiť odolnosť potravinových systémov</w:t>
      </w:r>
      <w:r>
        <w:rPr>
          <w:rFonts w:eastAsia="Calibri"/>
          <w:szCs w:val="24"/>
          <w:vertAlign w:val="superscript"/>
          <w:lang w:eastAsia="en-US"/>
        </w:rPr>
        <w:footnoteReference w:id="26"/>
      </w:r>
      <w:r>
        <w:t>.</w:t>
      </w:r>
      <w:r>
        <w:rPr>
          <w:vertAlign w:val="superscript"/>
        </w:rPr>
        <w:t xml:space="preserve"> </w:t>
      </w:r>
      <w:r>
        <w:t>Je dokázané, že obnova poľnohospodárskych ekosystémov má z dlhodobého hľadiska pozitívny vplyv na produktivitu potravín a že obnova</w:t>
      </w:r>
      <w:r>
        <w:t xml:space="preserve"> prírody pôsobí v zabezpečení dlhodobej udržateľnosti a odolnosti EÚ ako poistka.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  <w:shd w:val="clear" w:color="auto" w:fill="FFFFFF"/>
        </w:rPr>
      </w:pPr>
      <w:r>
        <w:t>(20)</w:t>
      </w:r>
      <w:r>
        <w:tab/>
        <w:t xml:space="preserve">V záverečnej správe </w:t>
      </w:r>
      <w:r>
        <w:rPr>
          <w:shd w:val="clear" w:color="auto" w:fill="FFFFFF"/>
        </w:rPr>
        <w:t>Konferencie o budúcnosti Európy</w:t>
      </w:r>
      <w:r>
        <w:t xml:space="preserve"> občania vyzývajú Úniu, aby chránila a obnovovala biodiverzitu, krajinu a oceány, odstraňovala znečistenie a podporova</w:t>
      </w:r>
      <w:r>
        <w:t>la vedomosti, informovanosť, vzdelávanie a dialógy o životnom prostredí, zmene klímy, využívaní energie a udržateľnosti</w:t>
      </w:r>
      <w:r>
        <w:rPr>
          <w:rFonts w:eastAsia="Calibri"/>
          <w:szCs w:val="24"/>
          <w:vertAlign w:val="superscript"/>
          <w:lang w:eastAsia="en-US"/>
        </w:rPr>
        <w:footnoteReference w:id="27"/>
      </w:r>
      <w:r>
        <w:t>.</w:t>
      </w:r>
    </w:p>
    <w:p w:rsidR="00407135" w:rsidRDefault="00D55DFA">
      <w:pPr>
        <w:widowControl/>
        <w:spacing w:after="200" w:line="276" w:lineRule="auto"/>
        <w:rPr>
          <w:rFonts w:eastAsia="Calibri"/>
          <w:szCs w:val="24"/>
          <w:shd w:val="clear" w:color="auto" w:fill="FFFFFF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(21)</w:t>
      </w:r>
      <w:r>
        <w:tab/>
        <w:t>Obnova ekosystémov spolu s úsilím o obmedzenie obchodu s voľne žijúcimi druhmi a ich konzumácie takisto pomôže predchádzať možn</w:t>
      </w:r>
      <w:r>
        <w:t>ým budúcim prenosným ochoreniam so zoonotickým potenciálom a budovať voči nim odolnosť, čím sa zníži riziko vypuknutia nákaz a pandémií, a prispeje k podpore európskeho a globálneho úsilia o uplatňovanie prístupu „jedno zdravie“, v ktorom sa uznáva vnútorn</w:t>
      </w:r>
      <w:r>
        <w:t>á súvislosť medzi ľudským zdravím, zdravím zvierat a zdravou a odolnou prírodou.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(22)</w:t>
      </w:r>
      <w:r>
        <w:tab/>
        <w:t>Pôda je neoddeliteľnou súčasťou suchozemských ekosystémov. Komisia v oznámení z roku 2021 s názvom Stratégia EÚ v oblasti pôdy do roku 2030</w:t>
      </w:r>
      <w:r>
        <w:rPr>
          <w:rFonts w:eastAsia="Calibri"/>
          <w:szCs w:val="24"/>
          <w:vertAlign w:val="superscript"/>
          <w:lang w:eastAsia="en-US"/>
        </w:rPr>
        <w:footnoteReference w:id="28"/>
      </w:r>
      <w:r>
        <w:t xml:space="preserve"> uvádza potrebu obnoviť degrad</w:t>
      </w:r>
      <w:r>
        <w:t>ovanú pôdu a zlepšiť biodiverzitu pôdy.</w:t>
      </w:r>
      <w:r>
        <w:rPr>
          <w:b/>
          <w:i/>
        </w:rPr>
        <w:t xml:space="preserve"> Globálny mechanizmus a sekretariát Dohovoru Organizácie Spojených národov o boji proti dezertifikácii (UNCCD) vytvorili program stanovovania cieľov v oblasti neutrality degradácie pôdy s cieľom pomôcť krajinám dosiah</w:t>
      </w:r>
      <w:r>
        <w:rPr>
          <w:b/>
          <w:i/>
        </w:rPr>
        <w:t>nuť neutralitu degradácie pôdy do roku 2030.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  <w:u w:val="single"/>
        </w:rPr>
      </w:pPr>
      <w:r>
        <w:t>(23)</w:t>
      </w:r>
      <w:r>
        <w:tab/>
        <w:t>Cieľom smernice Rady 92/43/EHS</w:t>
      </w:r>
      <w:r>
        <w:rPr>
          <w:rFonts w:eastAsia="Calibri"/>
          <w:szCs w:val="24"/>
          <w:vertAlign w:val="superscript"/>
          <w:lang w:eastAsia="en-US"/>
        </w:rPr>
        <w:footnoteReference w:id="29"/>
      </w:r>
      <w:r>
        <w:t xml:space="preserve"> a smernice Európskeho parlamentu a Rady 2009/147/ES</w:t>
      </w:r>
      <w:r>
        <w:rPr>
          <w:rFonts w:eastAsia="Calibri"/>
          <w:szCs w:val="24"/>
          <w:vertAlign w:val="superscript"/>
          <w:lang w:eastAsia="en-US"/>
        </w:rPr>
        <w:footnoteReference w:id="30"/>
      </w:r>
      <w:r>
        <w:t xml:space="preserve"> je zabezpečiť dlhodobú ochranu, zachovanie a prežitie najvzácnejších a najohrozenejších rastlinných a živočíšnych druhov </w:t>
      </w:r>
      <w:r>
        <w:t>a biotopov v Európe, ako aj európskych ekosystémov, ktorých sú súčasťou. Sústava Natura 2000, ktorá bola ustanovená v roku 1992 a je najväčšou koordinovanou sústavou chránených území na svete, predstavuje kľúčový nástroj na vykonávanie cieľov uvedených dvo</w:t>
      </w:r>
      <w:r>
        <w:t xml:space="preserve">ch smerníc. </w:t>
      </w:r>
      <w:r>
        <w:rPr>
          <w:b/>
          <w:i/>
        </w:rPr>
        <w:t>Toto nariadenie by sa, rovnako ako uvedené dve smernice, malo uplatňovať na európske územie členských štátov, na ktoré sa vzťahujú zmluvy, a malo by sa tak zosúladiť aj so smernicou 2008/56/ES.</w:t>
      </w:r>
    </w:p>
    <w:p w:rsidR="00407135" w:rsidRDefault="00D55DFA">
      <w:pPr>
        <w:widowControl/>
        <w:spacing w:after="200" w:line="276" w:lineRule="auto"/>
        <w:rPr>
          <w:szCs w:val="24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(24)</w:t>
      </w:r>
      <w:r>
        <w:tab/>
        <w:t xml:space="preserve">Na určovanie dobrého stavu typov biotopov </w:t>
      </w:r>
      <w:r>
        <w:t>chránených podľa smernice 92/43/EHS a na určovanie dostatočnej kvality a kvantity biotopov druhov, ktoré patria do rozsahu pôsobnosti uvedenej smernice, už existuje rámec a usmernenia</w:t>
      </w:r>
      <w:r>
        <w:rPr>
          <w:szCs w:val="24"/>
          <w:vertAlign w:val="superscript"/>
          <w:lang w:eastAsia="en-US"/>
        </w:rPr>
        <w:footnoteReference w:id="31"/>
      </w:r>
      <w:r>
        <w:t xml:space="preserve">. Ciele obnovy týchto typov biotopov a biotopov druhov sa môžu stanoviť </w:t>
      </w:r>
      <w:r>
        <w:t>na základe tohto rámca a usmernení. Takáto obnova však nebude postačovať na zvrátenie straty biodiverzity a obnovu všetkých ekosystémov. Stanoviť by sa preto mali dodatočné povinnosti založené na špecifických ukazovateľoch s cieľom zvýšiť biodiverzitu na ú</w:t>
      </w:r>
      <w:r>
        <w:t>rovni širších ekosystémov.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>
        <w:t>(25)</w:t>
      </w:r>
      <w:r>
        <w:tab/>
        <w:t>Vychádzajúc zo smerníc 92/43/EHS a 2009/147/ES a v záujme podpory dosiahnutia cieľov uvedených v týchto smerniciach by členské štáty mali zaviesť opatrenia na obnovu, aby sa zabezpečila obnova chránených biotopov a druhov vr</w:t>
      </w:r>
      <w:r>
        <w:t xml:space="preserve">átane voľne žijúceho vtáctva vo všetkých oblastiach Únie, ako aj v oblastiach, ktoré nepatria do sústavy Natura 2000.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(26)</w:t>
      </w:r>
      <w:r>
        <w:tab/>
        <w:t xml:space="preserve">Cieľom smernice 92/43/EHS je zachovať prirodzené biotopy a druhy voľne žijúcich živočíchov a voľne rastúcich rastlín s významom pre </w:t>
      </w:r>
      <w:r>
        <w:t>Úniu v priaznivom stave ochrany alebo obnoviť priaznivý stav ochrany týchto biotopov a druhov. Nestanovuje sa v nej však lehota na dosiahnutie tohto cieľa. Podobne sa ani v smernici 2009/147/ES nestanovuje lehota na obnovu populácií vtáctva v Únii.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(27)</w:t>
      </w:r>
      <w:r>
        <w:tab/>
        <w:t>Ma</w:t>
      </w:r>
      <w:r>
        <w:t>li by sa preto stanoviť lehoty na zavedenie opatrení na obnovu v rámci lokalít sústavy Natura 2000 a mimo nich s cieľom postupne zlepšovať stav chránených typov biotopov v celej Únii a znovu ich vytvárať dovtedy, kým sa nedosiahne priaznivá referenčná ploc</w:t>
      </w:r>
      <w:r>
        <w:t>ha potrebná na dosiahnutie priaznivého stavu ochrany uvedených typov biotopov v Únii. S cieľom poskytnúť členským štátom nevyhnutnú voľnosť, aby mohli vyvinúť rozsiahle úsilie v oblasti obnovy, je vhodné spojiť typy biotopov podľa ekosystému, do ktorého pa</w:t>
      </w:r>
      <w:r>
        <w:t>tria, a stanoviť pre skupiny typov biotopov ciele, ktoré sú časovo ohraničené a kvantifikované podľa plochy. Vďaka tomu si členské štáty budú môcť vybrať, ktoré biotopy v rámci danej skupiny obnovia ako prvé.</w:t>
      </w:r>
    </w:p>
    <w:p w:rsidR="00407135" w:rsidRDefault="00D55DFA">
      <w:pPr>
        <w:widowControl/>
        <w:spacing w:after="200" w:line="276" w:lineRule="auto"/>
        <w:rPr>
          <w:rFonts w:eastAsia="Calibri"/>
          <w:szCs w:val="24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(28)</w:t>
      </w:r>
      <w:r>
        <w:tab/>
        <w:t>Podobné požiadavky by sa mali stanoviť p</w:t>
      </w:r>
      <w:r>
        <w:t>re biotopy druhov, ktoré patria do rozsahu pôsobnosti smernice 92/43/EHS, a biotopy voľne žijúceho vtáctva, ktoré patria do rozsahu pôsobnosti smernice 2009/147/ES, s osobitným zreteľom na potrebnú prepojenosť medzi obidvomi uvedenými biotopmi, aby sa popu</w:t>
      </w:r>
      <w:r>
        <w:t>láciám druhov darilo.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(29)</w:t>
      </w:r>
      <w:r>
        <w:tab/>
        <w:t>Je nevyhnutné, aby opatrenia na obnovu typov biotopov boli primerané a vhodné na čo najrýchlejšie dosiahnutie dobrého stavu a priaznivých referenčných plôch s cieľom dosiahnuť priaznivý stav ich ochrany. Je dôležité, aby opatreni</w:t>
      </w:r>
      <w:r>
        <w:t xml:space="preserve">a na obnovu boli opatrenia, ktoré sú nevyhnutné na dosiahnutie cieľov, ktoré sú časovo ohraničené a ktorých rozsah sa určí podľa plochy. Je takisto nevyhnutné, aby opatrenia na obnovu biotopov druhov boli primerané a vhodné na čo najrýchlejšie dosiahnutie </w:t>
      </w:r>
      <w:r>
        <w:t>dostatočnej kvality a kvantity týchto biotopov s cieľom dosiahnuť priaznivý stav ochrany príslušných druhov.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bookmarkStart w:id="9" w:name="_Hlk136798909"/>
      <w:r>
        <w:rPr>
          <w:b/>
          <w:i/>
        </w:rPr>
        <w:t>(29a)</w:t>
      </w:r>
      <w:r>
        <w:rPr>
          <w:b/>
          <w:i/>
        </w:rPr>
        <w:tab/>
        <w:t>Opatrenia na obnovu podľa tohto nariadenia určené na obnovu alebo zachovanie určitých typov biotopov uvedených v prílohe I, ako sú trávne por</w:t>
      </w:r>
      <w:r>
        <w:rPr>
          <w:b/>
          <w:i/>
        </w:rPr>
        <w:t xml:space="preserve">asty, vresoviská alebo mokrade, si v určitých prípadoch môžu vyžadovať odstránenie lesa s cieľom opätovne zaviesť riadenie založené na ochrane, ktoré môže zahŕňať činnosti, ako je kosba alebo pastva. Obnova prírody aj zastavenie odlesňovania sú dôležitými </w:t>
      </w:r>
      <w:r>
        <w:rPr>
          <w:b/>
          <w:i/>
        </w:rPr>
        <w:t xml:space="preserve">a vzájomne sa posilňujúcimi environmentálnymi cieľmi. Komisia vypracuje usmernenia, ako sa uvádza v odôvodnení 36 nariadenia Európskeho parlamentu a Rady (EÚ) č. [XXXX/2023] o sprístupnení určitých komodít a výrobkov spojených s odlesňovaním a degradáciou </w:t>
      </w:r>
      <w:r>
        <w:rPr>
          <w:b/>
          <w:i/>
        </w:rPr>
        <w:t>lesov na trhu Únie a o ich vývoze z Únie, ktorým sa zrušuje nariadenie (EÚ) č. 995/2010, v ktorých objasní výklad vymedzenia pojmu „poľnohospodárske využitie“ v článku 2 uvedeného nariadenia, najmä pokiaľ ide o konverziu lesov na pôdu, ktorej účelom nie je</w:t>
      </w:r>
      <w:r>
        <w:rPr>
          <w:b/>
          <w:i/>
        </w:rPr>
        <w:t xml:space="preserve"> poľnohospodárske využitie.</w:t>
      </w:r>
    </w:p>
    <w:bookmarkEnd w:id="9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(30)</w:t>
      </w:r>
      <w:r>
        <w:tab/>
        <w:t>Je dôležité zabezpečiť, aby sa opatreniami na obnovu, ktoré boli zavedené podľa tohto nariadenia, dosiahlo konkrétne a merateľné zlepšenie stavu ekosystémov, a to aj na úrovni jednotlivých oblastí, ktoré sú predmetom obnovy</w:t>
      </w:r>
      <w:r>
        <w:t>, ako aj na vnútroštátnej úrovni a na úrovni Únie.</w:t>
      </w:r>
    </w:p>
    <w:p w:rsidR="00407135" w:rsidRDefault="00D55DFA">
      <w:pPr>
        <w:widowControl/>
        <w:spacing w:after="200" w:line="276" w:lineRule="auto"/>
        <w:rPr>
          <w:szCs w:val="24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>
        <w:lastRenderedPageBreak/>
        <w:t>(31)</w:t>
      </w:r>
      <w:r>
        <w:tab/>
        <w:t>S cieľom zabezpečiť, aby boli opatrenia na obnovu efektívne a aby ich výsledky bolo možné v priebehu času vyhodnocovať, je nevyhnutné, aby sa v oblastiach, ktoré sú predmetom takýchto opatrení, prej</w:t>
      </w:r>
      <w:r>
        <w:t>avilo neustále zlepšovanie až do dosiahnutia dobrého stavu, a to v záujme zlepšenia stavu biotopov patriacich do rozsahu pôsobnosti prílohy I k smernici 92/43/EHS, znovuvytvorenia týchto biotopov a zvýšenia ich prepojenosti.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>
        <w:t>(32)</w:t>
      </w:r>
      <w:r>
        <w:tab/>
        <w:t>Okrem toho je v záujme zvý</w:t>
      </w:r>
      <w:r>
        <w:t>šenia kvality a kvantity biotopov druhov, ktoré patria do rozsahu pôsobnosti smernice 92/43/EHS, ako aj biotopov voľne žijúceho vtáctva v rozsahu pôsobnosti smernice 2009/147/ES nevyhnutné, aby sa v oblastiach, ktoré sú predmetom opatrení na obnovu, prejav</w:t>
      </w:r>
      <w:r>
        <w:t>ilo neustále zlepšovanie s cieľom prispieť k dosiahnutiu dostatočnej kvantity a kvality biotopov týchto druhov.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4"/>
          <w:u w:val="single"/>
        </w:rPr>
      </w:pPr>
      <w:r>
        <w:t>(33)</w:t>
      </w:r>
      <w:r>
        <w:tab/>
        <w:t>Je dôležité zabezpečiť postupné zvyšovanie počtu oblastí pokrytých typmi biotopov, ktoré patria do rozsahu pôsobnosti smernice 92/43/EHS a </w:t>
      </w:r>
      <w:r>
        <w:t xml:space="preserve">ktoré sú v dobrom stave, na celom území členských štátov a Únie ako celku, až kým sa nedosiahne priaznivá referenčná plocha každého typu biotopu, pričom aspoň 90 % tejto plochy na úrovni členského štátu má byť v dobrom stave, aby sa v prípade týchto typov </w:t>
      </w:r>
      <w:r>
        <w:t>biotopov v Únii mohol dosiahnuť priaznivý stav ochrany.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>
        <w:t>(34)</w:t>
      </w:r>
      <w:r>
        <w:tab/>
        <w:t>Je dôležité zabezpečiť postupné zvyšovanie kvality a kvantity biotopov druhov, ktoré patria do rozsahu pôsobnosti smernice 92/43/EHS, ako aj biotopov voľne žijúceho vtáctva v rozsahu pôsobnosti s</w:t>
      </w:r>
      <w:r>
        <w:t>mernice 2009/147/ES na územiach všetkých členských štátov a celej Únie dovtedy, kým ich kvalita a kvantita nebudú dostatočné, aby sa zabezpečilo dlhodobé prežitie týchto druhov.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>
        <w:br w:type="page"/>
      </w:r>
      <w:r>
        <w:lastRenderedPageBreak/>
        <w:t>(35)</w:t>
      </w:r>
      <w:r>
        <w:tab/>
        <w:t xml:space="preserve">Je dôležité, aby sa </w:t>
      </w:r>
      <w:r>
        <w:rPr>
          <w:rFonts w:ascii="Arial" w:hAnsi="Arial"/>
          <w:snapToGrid w:val="0"/>
        </w:rPr>
        <w:t>▌</w:t>
      </w:r>
      <w:r>
        <w:t xml:space="preserve"> v oblastiach pokrytých typmi biotopov, ktoré patri</w:t>
      </w:r>
      <w:r>
        <w:t xml:space="preserve">a do rozsahu pôsobnosti tohto nariadenia a </w:t>
      </w:r>
      <w:r>
        <w:rPr>
          <w:b/>
          <w:bCs/>
          <w:i/>
          <w:iCs/>
        </w:rPr>
        <w:t xml:space="preserve">na ktoré sa vzťahujú opatrenia na obnovu, prejavilo ich neustále zlepšovanie až do dosiahnutia dobrého stavu, a aby následne nedošlo k významnému zhoršeniu, aby sa neohrozilo dlhodobé zachovanie alebo dosahovanie </w:t>
      </w:r>
      <w:r>
        <w:rPr>
          <w:b/>
          <w:bCs/>
          <w:i/>
          <w:iCs/>
        </w:rPr>
        <w:t>dobrého stavu.</w:t>
      </w:r>
      <w:r>
        <w:rPr>
          <w:b/>
          <w:i/>
        </w:rPr>
        <w:t xml:space="preserve"> Je takisto dôležité, aby sa členské štáty pokúsili vynaložiť úsilie s cieľom zabrániť významnému zhoršeniu v oblastiach pokrytých takýmito typmi biotopov, ktoré buď už sú v dobrom stave, alebo nie sú v dobrom stave a ešte sa na ne nevzťahujú</w:t>
      </w:r>
      <w:r>
        <w:rPr>
          <w:b/>
          <w:i/>
        </w:rPr>
        <w:t xml:space="preserve"> opatrenia na obnovu. </w:t>
      </w:r>
      <w:r>
        <w:rPr>
          <w:b/>
          <w:bCs/>
          <w:i/>
          <w:iCs/>
        </w:rPr>
        <w:t>Takéto opatrenia sú dôležité na to, aby sa zabránilo zvyšovaniu  potreby obnovy v budúcnosti, a mali by sa zamerať na oblasti typov biotopov, ktoré členské štáty stanovia vo svojich v národných plánoch obnovy prírody a ktoré je potreb</w:t>
      </w:r>
      <w:r>
        <w:rPr>
          <w:b/>
          <w:bCs/>
          <w:i/>
          <w:iCs/>
        </w:rPr>
        <w:t>né obnoviť na splnenie cieľov obnovy</w:t>
      </w:r>
      <w:r>
        <w:t xml:space="preserve">. Je vhodné </w:t>
      </w:r>
      <w:r>
        <w:rPr>
          <w:rFonts w:ascii="Arial" w:hAnsi="Arial"/>
          <w:snapToGrid w:val="0"/>
        </w:rPr>
        <w:t>▌</w:t>
      </w:r>
      <w:r>
        <w:t>zohľadniť pravdepodobnosť udalostí vyššej moci,</w:t>
      </w:r>
      <w:r>
        <w:rPr>
          <w:b/>
        </w:rPr>
        <w:t xml:space="preserve"> ako sú prírodné katastrofy</w:t>
      </w:r>
      <w:r>
        <w:t>, ktorých výsledkom by mohlo byť zhoršenie v oblastiach pokrytých uvedenými typmi biotopov, ako aj neodvrátiteľné premeny biotopu, kt</w:t>
      </w:r>
      <w:r>
        <w:t>orých priamou príčinou je zmena klímy.</w:t>
      </w:r>
      <w:r>
        <w:rPr>
          <w:b/>
          <w:i/>
        </w:rPr>
        <w:t xml:space="preserve"> </w:t>
      </w:r>
      <w:r>
        <w:t>Mimo lokalít sústavy Natura 2000 je tiež vhodné zohľadniť výsledok plánu či projektu prevažujúceho verejného záujmu, v prípade ktorých neexistujú menej škodlivé alternatívne riešenia.</w:t>
      </w:r>
      <w:r>
        <w:rPr>
          <w:i/>
        </w:rPr>
        <w:t xml:space="preserve"> </w:t>
      </w:r>
      <w:r>
        <w:rPr>
          <w:b/>
          <w:bCs/>
          <w:i/>
          <w:iCs/>
        </w:rPr>
        <w:t>V prípade oblastí, na ktoré sa vz</w:t>
      </w:r>
      <w:r>
        <w:rPr>
          <w:b/>
          <w:bCs/>
          <w:i/>
          <w:iCs/>
        </w:rPr>
        <w:t>ťahujú opatrenia na obnovu</w:t>
      </w:r>
      <w:r>
        <w:t>, by sa každý prípad mal posudzovať individuálne.</w:t>
      </w:r>
      <w:r>
        <w:rPr>
          <w:b/>
          <w:i/>
        </w:rPr>
        <w:t xml:space="preserve"> </w:t>
      </w:r>
      <w:r>
        <w:rPr>
          <w:b/>
          <w:bCs/>
          <w:i/>
          <w:iCs/>
        </w:rPr>
        <w:t>V prípade lokalít sústavy Natura 2000</w:t>
      </w:r>
      <w:r>
        <w:t xml:space="preserve"> sa plány a projekty schvaľujú v súlade s článkom 6 ods. 4 smernice 92/43/EHS.</w:t>
      </w:r>
      <w:r>
        <w:rPr>
          <w:b/>
          <w:i/>
        </w:rPr>
        <w:t xml:space="preserve"> </w:t>
      </w:r>
      <w:bookmarkStart w:id="10" w:name="_Hlk129720012"/>
      <w:r>
        <w:rPr>
          <w:b/>
          <w:i/>
        </w:rPr>
        <w:t>Ak sa oblasť transformuje z jedného typu biotopu na iný, ktorý p</w:t>
      </w:r>
      <w:r>
        <w:rPr>
          <w:b/>
          <w:i/>
        </w:rPr>
        <w:t>atrí do rozsahu pôsobnosti tohto nariadenia, pričom ide o želaný výsledok opatrenia na obnovu, táto oblasť by sa nemala považovať za zhoršujúcu sa oblasť.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i/>
          <w:szCs w:val="22"/>
        </w:rPr>
      </w:pPr>
      <w:bookmarkStart w:id="11" w:name="_Hlk136602132"/>
      <w:bookmarkStart w:id="12" w:name="_Hlk136878792"/>
      <w:bookmarkEnd w:id="10"/>
      <w:r>
        <w:br w:type="page"/>
      </w:r>
      <w:r>
        <w:lastRenderedPageBreak/>
        <w:t>(</w:t>
      </w:r>
      <w:r>
        <w:rPr>
          <w:b/>
          <w:i/>
        </w:rPr>
        <w:t>35a)</w:t>
      </w:r>
      <w:r>
        <w:rPr>
          <w:b/>
          <w:i/>
        </w:rPr>
        <w:tab/>
      </w:r>
      <w:r>
        <w:rPr>
          <w:b/>
          <w:bCs/>
          <w:i/>
          <w:iCs/>
        </w:rPr>
        <w:t xml:space="preserve">Na účely výnimiek z </w:t>
      </w:r>
      <w:bookmarkStart w:id="13" w:name="_Hlk136854307"/>
      <w:r>
        <w:rPr>
          <w:b/>
          <w:bCs/>
          <w:i/>
          <w:iCs/>
        </w:rPr>
        <w:t>povinností</w:t>
      </w:r>
      <w:bookmarkEnd w:id="13"/>
      <w:r>
        <w:rPr>
          <w:b/>
          <w:bCs/>
          <w:i/>
          <w:iCs/>
        </w:rPr>
        <w:t xml:space="preserve"> neustáleho zlepšovania a nezhoršovania stavu mimo lokalít sústa</w:t>
      </w:r>
      <w:r>
        <w:rPr>
          <w:b/>
          <w:bCs/>
          <w:i/>
          <w:iCs/>
        </w:rPr>
        <w:t>vy Natura 2000 uvedených v tomto nariadení by členské štáty mali predpokladať, že elektrárne na výrobu energie z obnoviteľných zdrojov, ich pripojenie do sústavy, samotná súvisiaca sústava a uskladňovacie zariadenia predstavujú prevažujúci verejný záujem.</w:t>
      </w:r>
      <w:r>
        <w:rPr>
          <w:b/>
          <w:i/>
        </w:rPr>
        <w:t xml:space="preserve"> </w:t>
      </w:r>
      <w:r>
        <w:rPr>
          <w:b/>
          <w:i/>
        </w:rPr>
        <w:t xml:space="preserve">Členské štáty sa môžu rozhodnúť obmedziť uplatňovanie tohto predpokladu za riadne odôvodnených a osobitných okolností, ako sú dôvody týkajúce sa národnej obrany. </w:t>
      </w:r>
      <w:bookmarkStart w:id="14" w:name="_Hlk136525305"/>
      <w:bookmarkStart w:id="15" w:name="_Hlk137545403"/>
      <w:r>
        <w:rPr>
          <w:b/>
          <w:bCs/>
          <w:i/>
          <w:iCs/>
        </w:rPr>
        <w:t>Okrem toho môžu členské štáty tieto projekty oslobodiť od povinnosti preukázať, že na účely up</w:t>
      </w:r>
      <w:r>
        <w:rPr>
          <w:b/>
          <w:bCs/>
          <w:i/>
          <w:iCs/>
        </w:rPr>
        <w:t>latňovania uvedených výnimiek neexistujú menej škodlivé alternatívne riešenia, za predpokladu, že projekty boli predmetom strategického environmentálneho hodnotenia alebo posudzovania vplyvov na životné prostredie.</w:t>
      </w:r>
      <w:bookmarkEnd w:id="14"/>
      <w:r>
        <w:rPr>
          <w:b/>
          <w:i/>
        </w:rPr>
        <w:t xml:space="preserve"> </w:t>
      </w:r>
      <w:bookmarkEnd w:id="15"/>
      <w:r>
        <w:rPr>
          <w:b/>
          <w:i/>
        </w:rPr>
        <w:t>Ak by sa predpokladalo, že takéto elektrá</w:t>
      </w:r>
      <w:r>
        <w:rPr>
          <w:b/>
          <w:i/>
        </w:rPr>
        <w:t>rne predstavujú prevažujúci verejný záujem, a prípadne by sa obmedzila požiadavka na posúdenie menej škodlivých alternatívnych riešení, mohlo by sa na takéto projekty uplatňovať zjednodušené posúdenie, pokiaľ ide o výnimky z posudzovania prevažujúceho vere</w:t>
      </w:r>
      <w:r>
        <w:rPr>
          <w:b/>
          <w:i/>
        </w:rPr>
        <w:t>jného záujmu podľa tohto nariadenia.</w:t>
      </w:r>
      <w:bookmarkEnd w:id="11"/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i/>
          <w:szCs w:val="22"/>
        </w:rPr>
      </w:pPr>
      <w:r>
        <w:rPr>
          <w:b/>
          <w:i/>
        </w:rPr>
        <w:t xml:space="preserve">(35b) </w:t>
      </w:r>
      <w:r>
        <w:rPr>
          <w:b/>
          <w:i/>
        </w:rPr>
        <w:tab/>
        <w:t>Činnosti, ktorých jediným účelom je obrana alebo národná bezpečnosť, by mali mať najvyššiu prioritu. Členské štáty preto môžu pri zavádzaní opatrení na obnovu vyňať oblasti využívané výlučne na účely národnej obr</w:t>
      </w:r>
      <w:r>
        <w:rPr>
          <w:b/>
          <w:i/>
        </w:rPr>
        <w:t xml:space="preserve">any, ak sa tieto opatrenia považujú za nezlučiteľné s pokračujúcim vojenským využívaním daných oblastí. </w:t>
      </w:r>
      <w:r>
        <w:rPr>
          <w:b/>
          <w:bCs/>
          <w:i/>
        </w:rPr>
        <w:t>Okrem toho na účely uplatňovania ustanovení o výnimkách z povinností neustáleho zlepšovania a nezhoršovania stavu mimo lokalít sústavy Natura 2000 v tom</w:t>
      </w:r>
      <w:r>
        <w:rPr>
          <w:b/>
          <w:bCs/>
          <w:i/>
        </w:rPr>
        <w:t>to nariadení by členské štáty mali mať možnosť predpokladať, že plány a projekty týkajúce sa takýchto činností predstavujú prevažujúci verejný záujem.</w:t>
      </w:r>
      <w:r>
        <w:rPr>
          <w:b/>
          <w:i/>
        </w:rPr>
        <w:t xml:space="preserve"> Členské štáty môžu tieto projekty oslobodiť aj od povinnosti preukázať, že neexistujú menej škodlivé alte</w:t>
      </w:r>
      <w:r>
        <w:rPr>
          <w:b/>
          <w:i/>
        </w:rPr>
        <w:t>rnatívne riešenia, ale v prípade, že je to vhodné a uskutočniteľné, by mali zaviesť opatrenia na zmiernenie vplyvu na príslušné typy biotopov, ak uplatňujú takúto výnimku.</w:t>
      </w:r>
    </w:p>
    <w:bookmarkEnd w:id="12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(36)</w:t>
      </w:r>
      <w:r>
        <w:tab/>
        <w:t>V stratégii EÚ v oblasti biodiverzity do roku 2030 sa zdôrazňuje potreba dôrazn</w:t>
      </w:r>
      <w:r>
        <w:t>ejších opatrení na obnovu degradovaných morských ekosystémov vrátane ekosystémov bohatých na uhlík, ako aj dôležitých neresísk a odchovní. V stratégii sa takisto oznamuje, že Komisia navrhne nový akčný plán na ochranu rybolovných zdrojov a morských ekosyst</w:t>
      </w:r>
      <w:r>
        <w:t>émov.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b/>
          <w:szCs w:val="24"/>
          <w:u w:val="single"/>
        </w:rPr>
      </w:pPr>
      <w:r>
        <w:br w:type="page"/>
      </w:r>
      <w:r>
        <w:lastRenderedPageBreak/>
        <w:t>(37)</w:t>
      </w:r>
      <w:r>
        <w:tab/>
        <w:t xml:space="preserve">Typy morských biotopov uvedené v prílohe I k smernici 92/43/EHS sa vymedzujú zoširoka a tvorí ich množstvo z ekologického hľadiska odlišných podtypov s rozličným potenciálom obnovy, v dôsledku čoho je pre členské štáty ťažšie stanovovať vhodné </w:t>
      </w:r>
      <w:r>
        <w:t>opatrenia na obnovu na úrovni týchto typov biotopov. Typy morských biotopov by sa preto mali ďalej spresniť s použitím príslušných úrovní klasifikácie morských biotopov podľa Európskeho informačného systému o prírode (EUNIS). Členské štáty by mali vytvoriť</w:t>
      </w:r>
      <w:r>
        <w:t xml:space="preserve"> priaznivé referenčné plochy na dosiahnutie priaznivého stavu ochrany každého z týchto typov biotopov, pokiaľ sa pozornosť týmto referenčným plochám nevenuje už v iných právnych predpisoch Únie.</w:t>
      </w:r>
      <w:r>
        <w:rPr>
          <w:b/>
          <w:i/>
        </w:rPr>
        <w:t xml:space="preserve"> </w:t>
      </w:r>
      <w:bookmarkStart w:id="16" w:name="_Hlk132553514"/>
      <w:r>
        <w:rPr>
          <w:b/>
          <w:i/>
        </w:rPr>
        <w:t>V morských vodách viacerých členských štátov je vo veľkej mie</w:t>
      </w:r>
      <w:r>
        <w:rPr>
          <w:b/>
          <w:i/>
        </w:rPr>
        <w:t>re zastúpená skupina biotopov jemných morských sedimentov, ktoré zodpovedajú určitým typom všeobecných bentických biotopov špecifikovaných v smernici 2008/56/ES. Členské štáty by preto mali mať možnosť obmedziť opatrenia na obnovu, ktoré sa zavádzajú postu</w:t>
      </w:r>
      <w:r>
        <w:rPr>
          <w:b/>
          <w:i/>
        </w:rPr>
        <w:t xml:space="preserve">pne, na menšiu časť plochy týchto typov biotopov, ktoré nie sú v dobrom stave, za predpokladu, že to nebráni dosiahnutiu alebo zachovaniu dobrého environmentálneho stavu určeného podľa článku 9 ods. 1 smernice 2008/56/ES, pričom sa zohľadnia najmä prahové </w:t>
      </w:r>
      <w:r>
        <w:rPr>
          <w:b/>
          <w:i/>
        </w:rPr>
        <w:t>hodnoty deskriptorov 1 a 6 stanovené v súlade s článkom 9 ods. 3 uvedenej smernice, rozsah úbytku týchto typov biotopov, nepriaznivé účinky na stav týchto typov biotopov a maximálny prípustný rozsah týchto nepriaznivých vplyvov.</w:t>
      </w:r>
    </w:p>
    <w:bookmarkEnd w:id="16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  <w:shd w:val="clear" w:color="auto" w:fill="FFFFFF"/>
        </w:rPr>
      </w:pPr>
      <w:r>
        <w:br w:type="page"/>
      </w:r>
      <w:r>
        <w:lastRenderedPageBreak/>
        <w:t>(38)</w:t>
      </w:r>
      <w:r>
        <w:tab/>
        <w:t>Ak je na ochranu pobr</w:t>
      </w:r>
      <w:r>
        <w:t>ežných a morských biotopov potrebná regulácia rybolovných alebo akvakultúrnych činností, uplatňuje sa spoločná rybárska politika. V nariadení Európskeho parlamentu a Rady (EÚ) č. 1380/2013</w:t>
      </w:r>
      <w:r>
        <w:rPr>
          <w:rFonts w:eastAsia="Calibri"/>
          <w:szCs w:val="24"/>
          <w:vertAlign w:val="superscript"/>
          <w:lang w:eastAsia="en-US"/>
        </w:rPr>
        <w:footnoteReference w:id="32"/>
      </w:r>
      <w:r>
        <w:t xml:space="preserve"> sa stanovuje najmä to, že spoločnou rybárskou politikou </w:t>
      </w:r>
      <w:r>
        <w:rPr>
          <w:shd w:val="clear" w:color="auto" w:fill="FFFFFF"/>
        </w:rPr>
        <w:t>sa má upla</w:t>
      </w:r>
      <w:r>
        <w:rPr>
          <w:shd w:val="clear" w:color="auto" w:fill="FFFFFF"/>
        </w:rPr>
        <w:t>tňovať ekosystémový prístup k riadeniu rybárstva, aby sa minimalizoval negatívny vplyv rybolovných činností na morský ekosystém. V uvedenom nariadení sa takisto stanovuje, že cieľom úsilia tejto politiky je zabezpečiť, aby sa akvakultúrnymi a rybolovnými č</w:t>
      </w:r>
      <w:r>
        <w:rPr>
          <w:shd w:val="clear" w:color="auto" w:fill="FFFFFF"/>
        </w:rPr>
        <w:t>innosťami zabránilo zhoršovaniu stavu morského prostredia.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(39)</w:t>
      </w:r>
      <w:r>
        <w:tab/>
      </w:r>
      <w:r>
        <w:rPr>
          <w:shd w:val="clear" w:color="auto" w:fill="FFFFFF"/>
        </w:rPr>
        <w:t>V záujme dosiahnutia cieľa nepretržitej, dlhodobej a trvalej obnovy biologicky rozmanitej a odolnej prírody by členské štáty mali v plnej miere využiť možnosti, ktoré poskytuje spoločná rybárs</w:t>
      </w:r>
      <w:r>
        <w:rPr>
          <w:shd w:val="clear" w:color="auto" w:fill="FFFFFF"/>
        </w:rPr>
        <w:t>ka politika. V rozsahu výlučnej právomoci Únie s ohľadom na ochranu morských biologických zdrojov majú členské štáty možnosť prijať nediskriminačné opatrenia na ochranu populácií rýb a hospodárenie s nimi a na udržovanie alebo zlepšenie stavu ochrany morsk</w:t>
      </w:r>
      <w:r>
        <w:rPr>
          <w:shd w:val="clear" w:color="auto" w:fill="FFFFFF"/>
        </w:rPr>
        <w:t xml:space="preserve">ých ekosystémov v okruhu 12 námorných míľ. Navyše členské štáty, ktoré majú priamy hospodársky záujem, majú možnosť dohodnúť sa na predložení spoločných odporúčaní na ochranné opatrenia, ktoré sú nevyhnutné na dosiahnutie súladu s povinnosťami podľa práva </w:t>
      </w:r>
      <w:r>
        <w:rPr>
          <w:shd w:val="clear" w:color="auto" w:fill="FFFFFF"/>
        </w:rPr>
        <w:t>Únie v oblasti životného prostredia. Takéto opatrenia sa budú posudzovať a prijmú sa v súlade s pravidlami a postupmi stanovenými v rámci spoločnej rybárskej politiky.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(40)</w:t>
      </w:r>
      <w:r>
        <w:tab/>
        <w:t xml:space="preserve">Podľa smernice 2008/56/ES musia členské štáty spolupracovať na dvojstrannej úrovni </w:t>
      </w:r>
      <w:r>
        <w:t>a v rámci mechanizmov regionálnej a subregionálnej spolupráce, a to aj prostredníctvom regionálnych morských dohovorov</w:t>
      </w:r>
      <w:r>
        <w:rPr>
          <w:szCs w:val="24"/>
          <w:vertAlign w:val="superscript"/>
          <w:lang w:eastAsia="en-US"/>
        </w:rPr>
        <w:footnoteReference w:id="33"/>
      </w:r>
      <w:r>
        <w:t>, a v prípade opatrení v oblasti rybolovu aj v kontexte regionálnych skupín zriadených v rámci spoločnej rybárskej politiky.</w:t>
      </w:r>
    </w:p>
    <w:p w:rsidR="00407135" w:rsidRDefault="00D55DFA">
      <w:pPr>
        <w:widowControl/>
        <w:spacing w:after="200" w:line="276" w:lineRule="auto"/>
        <w:rPr>
          <w:rFonts w:eastAsia="Calibri"/>
          <w:szCs w:val="24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(41)</w:t>
      </w:r>
      <w:r>
        <w:tab/>
      </w:r>
      <w:r>
        <w:t xml:space="preserve">Je dôležité, aby sa opatrenia na obnovu zaviedli aj v prípade biotopov určitých morských druhov, ako sú žraloky a raje, ktoré patria </w:t>
      </w:r>
      <w:r>
        <w:rPr>
          <w:b/>
          <w:i/>
        </w:rPr>
        <w:t>napríklad</w:t>
      </w:r>
      <w:r>
        <w:t xml:space="preserve"> do rozsahu pôsobnosti Dohovoru o ochrane sťahovavých druhov voľne žijúcich živočíchov </w:t>
      </w:r>
      <w:r>
        <w:rPr>
          <w:b/>
          <w:i/>
        </w:rPr>
        <w:t>alebo do zoznamov ohrozenýc</w:t>
      </w:r>
      <w:r>
        <w:rPr>
          <w:b/>
          <w:i/>
        </w:rPr>
        <w:t>h a bezprostredne ohrozených druhov európskych regionálnych morských dohovorov</w:t>
      </w:r>
      <w:r>
        <w:t>, ale nie do rozsahu pôsobnosti smernice 92/43/EHS, a to z toho dôvodu, že plnia dôležitú úlohu v ekosystéme.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(42)</w:t>
      </w:r>
      <w:r>
        <w:tab/>
        <w:t>Vzhľadom na podporu obnovy a nezhoršovania suchozemských, sladk</w:t>
      </w:r>
      <w:r>
        <w:t>ovodných, pobrežných a morských biotopov majú členské štáty možnosť určiť ďalšie oblasti ako „chránené územia“ alebo „prísne chránené územia“ s cieľom vykonať ďalšie účinné ochranné opatrenia podľa oblasti a podporiť opatrenia na ochranu pôdy v súkromnom v</w:t>
      </w:r>
      <w:r>
        <w:t>lastníctve.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bookmarkStart w:id="17" w:name="_Hlk128428834"/>
      <w:r>
        <w:t>(43)</w:t>
      </w:r>
      <w:r>
        <w:tab/>
        <w:t xml:space="preserve">Mestské ekosystémy predstavujú približne 22 % plochy pôdy v Únii a tvoria oblasť, v ktorej žije väčšina občanov Únie. K mestskej zeleni patria </w:t>
      </w:r>
      <w:r>
        <w:rPr>
          <w:b/>
          <w:bCs/>
          <w:i/>
          <w:iCs/>
        </w:rPr>
        <w:t>okrem iného</w:t>
      </w:r>
      <w:r>
        <w:t xml:space="preserve"> mestské lesy, parky a záhrady, mestské farmy, aleje, mestské lúky a mestské živé plo</w:t>
      </w:r>
      <w:r>
        <w:t>ty.</w:t>
      </w:r>
      <w:r>
        <w:rPr>
          <w:b/>
          <w:i/>
        </w:rPr>
        <w:t xml:space="preserve"> </w:t>
      </w:r>
      <w:r>
        <w:rPr>
          <w:b/>
          <w:bCs/>
          <w:i/>
          <w:iCs/>
        </w:rPr>
        <w:t>Tak ako ostatné ekosystémy, na ktoré sa vzťahuje toto nariadenie, aj mestské ekosystémy</w:t>
      </w:r>
      <w:r>
        <w:t xml:space="preserve"> poskytujú významné biotopy pre biodiverzitu, najmä pre rastliny, vtáky a hmyz vrátane opeľovačov. Okrem toho poskytujú mnohé ďalšie dôležité ekosystémové služby vrá</w:t>
      </w:r>
      <w:r>
        <w:t>tane kontroly a znižovania rizika prírodných katastrof (napr. povodne, efekt tepelných ostrovov), ochladzovania, rekreácie, filtrácie vody a vzduchu, ako aj zmierňovania zmeny klímy a adaptácie na ňu.</w:t>
      </w:r>
      <w:r>
        <w:rPr>
          <w:b/>
          <w:i/>
        </w:rPr>
        <w:t xml:space="preserve"> Rozšírenie mestskej zelene je jedným z dôležitých param</w:t>
      </w:r>
      <w:r>
        <w:rPr>
          <w:b/>
          <w:i/>
        </w:rPr>
        <w:t>etrov na zvýšenie schopnosti mestských ekosystémov poskytovať tieto dôležité služby. Rozšírenie zelenej pokrývky v danej mestskej oblasti spomaľuje odtok vody (pričom znižuje riziko znečistenia riek z pretekania dažďovej vody) a pomáha znižovať letné teplo</w:t>
      </w:r>
      <w:r>
        <w:rPr>
          <w:b/>
          <w:i/>
        </w:rPr>
        <w:t>ty, budovať odolnosť voči zmene klímy a poskytuje ďalší priestor na to, aby príroda prosperovala. Zvýšením úrovne mestskej zelene sa v mnohých prípadoch zlepší zdravie mestského ekosystému. Zdravé mestské ekosystémy sú zase nevyhnutné na podporu zdravia in</w:t>
      </w:r>
      <w:r>
        <w:rPr>
          <w:b/>
          <w:i/>
        </w:rPr>
        <w:t>ých kľúčových európskych ekosystémov – napríklad na prepojenie prírodných oblastí na okolitom vidieku, zlepšenie zdravia riek mimo mesta, poskytnutie útočiska a hniezdiska druhom vtákov a opeľovačov spojených s poľnohospodárskymi a lesnými biotopmi, ako aj</w:t>
      </w:r>
      <w:r>
        <w:rPr>
          <w:b/>
          <w:i/>
        </w:rPr>
        <w:t xml:space="preserve"> poskytovanie dôležitých biotopov pre sťahovavé vtáky.</w:t>
      </w:r>
    </w:p>
    <w:p w:rsidR="00407135" w:rsidRDefault="00D55DFA">
      <w:pPr>
        <w:widowControl/>
        <w:spacing w:after="200" w:line="276" w:lineRule="auto"/>
        <w:rPr>
          <w:rFonts w:eastAsia="Calibri"/>
          <w:szCs w:val="24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</w:pPr>
      <w:r>
        <w:lastRenderedPageBreak/>
        <w:t>(44)</w:t>
      </w:r>
      <w:bookmarkStart w:id="18" w:name="_Hlk131428298"/>
      <w:r>
        <w:tab/>
      </w:r>
      <w:bookmarkStart w:id="19" w:name="_Hlk131080068"/>
      <w:r>
        <w:t>Opatrenia na zabezpečenie toho, aby pokrytie mestskou zeleňou, najmä stromami, už nebolo ohrozované znižovaním, sa musia výrazne posilniť. Aby priestranstvá mestskej zelene naďalej poskytovali p</w:t>
      </w:r>
      <w:r>
        <w:t xml:space="preserve">otrebné ekosystémové služby, mal by sa zastaviť ich úbytok a mali by sa obnoviť a zväčšiť, okrem iného integráciou zelenej infraštruktúry a riešení blízkych prírode </w:t>
      </w:r>
      <w:r>
        <w:rPr>
          <w:rFonts w:ascii="Arial" w:hAnsi="Arial"/>
          <w:snapToGrid w:val="0"/>
        </w:rPr>
        <w:t>▌</w:t>
      </w:r>
      <w:r>
        <w:t>, ako sú zelené strechy a steny, do projektov budov.</w:t>
      </w:r>
      <w:r>
        <w:rPr>
          <w:b/>
          <w:i/>
        </w:rPr>
        <w:t xml:space="preserve"> </w:t>
      </w:r>
      <w:r>
        <w:rPr>
          <w:b/>
          <w:bCs/>
          <w:i/>
          <w:iCs/>
        </w:rPr>
        <w:t>Takáto integrácia môže prispieť niele</w:t>
      </w:r>
      <w:r>
        <w:rPr>
          <w:b/>
          <w:bCs/>
          <w:i/>
          <w:iCs/>
        </w:rPr>
        <w:t>n k ploche mestskej zelene, ale ak zahŕňa stromy, aj k ploche mestského korunového zápoja stromov</w:t>
      </w:r>
      <w:r>
        <w:t>.</w:t>
      </w:r>
      <w:bookmarkEnd w:id="18"/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</w:rPr>
      </w:pPr>
      <w:r>
        <w:rPr>
          <w:b/>
          <w:i/>
        </w:rPr>
        <w:t>(44a)</w:t>
      </w:r>
      <w:r>
        <w:tab/>
      </w:r>
      <w:r>
        <w:rPr>
          <w:b/>
          <w:i/>
        </w:rPr>
        <w:t>S rastúcim množstvom umelého svetla sa svetelné znečistenie stalo aktuálnym problémom. Medzi jeho zdroje patrí vonkajšie a vnútorné osvetlenie budov, r</w:t>
      </w:r>
      <w:r>
        <w:rPr>
          <w:b/>
          <w:i/>
        </w:rPr>
        <w:t>eklama, komerčné nehnuteľnosti, kancelárie, továrne, pouličné osvetlenie a osvetlené športové objekty. Svetelné znečistenie je príčinou úbytku hmyzu. Množstvo hmyzu je priťahovaného svetlom, ale umelé svetlá ho môžu smrteľne priťahovať. Klesajúce populácie</w:t>
      </w:r>
      <w:r>
        <w:rPr>
          <w:b/>
          <w:i/>
        </w:rPr>
        <w:t xml:space="preserve"> hmyzu majú negatívny vplyv na všetky druhy, ktoré sú od hmyzu závislé z hľadiska potravy alebo opeľovania. Niektorí predátori využívajú túto príťažlivosť vo svoj prospech a ovplyvňujú potravinové siete neočakávaným spôsobom.</w:t>
      </w:r>
      <w:r>
        <w:rPr>
          <w:b/>
        </w:rPr>
        <w:t xml:space="preserve"> [PN 2]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bookmarkStart w:id="20" w:name="_Hlk133324641"/>
      <w:bookmarkEnd w:id="17"/>
      <w:bookmarkEnd w:id="19"/>
      <w:r>
        <w:t>(45)</w:t>
      </w:r>
      <w:r>
        <w:tab/>
        <w:t>V stratégii EÚ v o</w:t>
      </w:r>
      <w:r>
        <w:t xml:space="preserve">blasti biodiverzity do roku 2030 sa vyžaduje väčšie úsilie na obnovu sladkovodných ekosystémov a prirodzených funkcií riek. Obnova sladkovodných ekosystémov by mala zahŕňať úsilie o obnovu prirodzenej </w:t>
      </w:r>
      <w:r>
        <w:rPr>
          <w:rFonts w:ascii="Arial" w:hAnsi="Arial"/>
          <w:snapToGrid w:val="0"/>
        </w:rPr>
        <w:t>▌</w:t>
      </w:r>
      <w:r>
        <w:t xml:space="preserve"> prepojenosti riek, ako aj oblastí ich brehov a záplav</w:t>
      </w:r>
      <w:r>
        <w:t>ových oblastí, a to aj odstraňovaním umelých prekážok s cieľom podporiť dosiahnutie priaznivého stavu ochrany riek, jazier a lužných biotopov a druhov žijúcich v týchto biotopoch chránených smernicami 92/43/EHS a 2009/147/ES a dosiahnutie jedného z hlavnýc</w:t>
      </w:r>
      <w:r>
        <w:t>h cieľov stratégie EÚ v oblasti biodiverzity do roku 2030, čiže obnovy aspoň 25 000 km voľne tečúcich riek v porovnaní so stavom v roku 2020, keď bola stratégia oznámená. Pri odstraňovaní prekážok by členské štáty mali v prvom rade riešiť zastarané prekážk</w:t>
      </w:r>
      <w:r>
        <w:t>y, čiže tie, ktoré už nie sú potrebné na výrobu energie z obnoviteľných zdrojov, vnútrozemskú plavbu, zásobovanie vodou alebo iné využitie.</w:t>
      </w:r>
    </w:p>
    <w:bookmarkEnd w:id="20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(46)</w:t>
      </w:r>
      <w:r>
        <w:tab/>
        <w:t xml:space="preserve">V Únii bol v posledných desaťročiach zaznamenaný prudký úbytok opeľovačov, pričom úbytok hrozí jednému z troch </w:t>
      </w:r>
      <w:r>
        <w:t xml:space="preserve">druhov včiel a motýľov a jeden z desiatich takýchto druhov je na pokraji vyhynutia. Opeľovače sú svojím opeľovaním voľne rastúcich aj pestovaných rastlín zásadné pre fungovanie suchozemských ekosystémov, dobré životné podmienky ľudí </w:t>
      </w:r>
      <w:r>
        <w:lastRenderedPageBreak/>
        <w:t>a potravinovú bezpečnos</w:t>
      </w:r>
      <w:r>
        <w:t>ť. S hmyzími opeľovačmi je priamo spojená ročná poľnohospodárska produkcia EÚ v hodnote takmer 5 000 000 000 EUR</w:t>
      </w:r>
      <w:r>
        <w:rPr>
          <w:rFonts w:eastAsia="Calibri"/>
          <w:szCs w:val="24"/>
          <w:vertAlign w:val="superscript"/>
          <w:lang w:eastAsia="en-US"/>
        </w:rPr>
        <w:footnoteReference w:id="34"/>
      </w:r>
      <w:r>
        <w:t>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b/>
          <w:szCs w:val="24"/>
          <w:u w:val="single"/>
        </w:rPr>
      </w:pPr>
      <w:r>
        <w:br w:type="page"/>
      </w:r>
      <w:r>
        <w:lastRenderedPageBreak/>
        <w:t>(47)</w:t>
      </w:r>
      <w:r>
        <w:tab/>
        <w:t>Komisia 1. júna 2018 zareagovala na výzvy Európskeho parlamentu a Rady týkajúce sa potreby riešiť úbytok opeľovačov a odštartovala inic</w:t>
      </w:r>
      <w:r>
        <w:t>iatívu EÚ zameranú na opeľovače</w:t>
      </w:r>
      <w:r>
        <w:rPr>
          <w:rFonts w:eastAsia="Calibri"/>
          <w:szCs w:val="24"/>
          <w:vertAlign w:val="superscript"/>
          <w:lang w:eastAsia="en-US"/>
        </w:rPr>
        <w:footnoteReference w:id="35"/>
      </w:r>
      <w:r>
        <w:t>. Zo správy o pokroku pri vykonávaní iniciatívy</w:t>
      </w:r>
      <w:r>
        <w:rPr>
          <w:rFonts w:eastAsia="Calibri"/>
          <w:szCs w:val="24"/>
          <w:vertAlign w:val="superscript"/>
          <w:lang w:eastAsia="en-US"/>
        </w:rPr>
        <w:footnoteReference w:id="36"/>
      </w:r>
      <w:r>
        <w:t xml:space="preserve"> vyplýva, že pri riešení faktorov spôsobujúcich úbytok opeľovačov vrátane používania pesticídov pretrvávajú značné problémy. Európsky parlament</w:t>
      </w:r>
      <w:r>
        <w:rPr>
          <w:rFonts w:eastAsia="Calibri"/>
          <w:szCs w:val="24"/>
          <w:vertAlign w:val="superscript"/>
          <w:lang w:eastAsia="en-US"/>
        </w:rPr>
        <w:footnoteReference w:id="37"/>
      </w:r>
      <w:r>
        <w:t xml:space="preserve"> a Rada</w:t>
      </w:r>
      <w:r>
        <w:rPr>
          <w:rFonts w:eastAsia="Calibri"/>
          <w:szCs w:val="24"/>
          <w:vertAlign w:val="superscript"/>
          <w:lang w:eastAsia="en-US"/>
        </w:rPr>
        <w:footnoteReference w:id="38"/>
      </w:r>
      <w:r>
        <w:t xml:space="preserve"> vyzvali na prijatie dôraznejších opatrení na riešenie úbytku opeľovačov a na vytvorenie rámca monitorovania opeľovačov v celej Únii a jasných cieľov a ukazovateľov týkajúcich sa záväzkov na zvrátenie úbytku opeľovačov. Európsky dvor audítorov odporučil Ko</w:t>
      </w:r>
      <w:r>
        <w:t>misii, aby vytvorila primerané mechanizmy riadenia a monitorovania opatrení na riešenie hrozieb pre opeľovačov</w:t>
      </w:r>
      <w:r>
        <w:rPr>
          <w:rFonts w:eastAsia="Calibri"/>
          <w:szCs w:val="24"/>
          <w:vertAlign w:val="superscript"/>
          <w:lang w:eastAsia="en-US"/>
        </w:rPr>
        <w:footnoteReference w:id="39"/>
      </w:r>
      <w:r>
        <w:t>.</w:t>
      </w:r>
      <w:r>
        <w:rPr>
          <w:b/>
          <w:i/>
        </w:rPr>
        <w:t xml:space="preserve"> Komisia 24. januára 2023 predložila revidovanú iniciatívu EÚ zameranú na opeľovače.</w:t>
      </w:r>
      <w:r>
        <w:rPr>
          <w:b/>
          <w:bCs/>
          <w:i/>
          <w:szCs w:val="24"/>
          <w:vertAlign w:val="superscript"/>
        </w:rPr>
        <w:footnoteReference w:id="40"/>
      </w:r>
      <w:r>
        <w:rPr>
          <w:b/>
          <w:i/>
        </w:rPr>
        <w:t xml:space="preserve"> V revízii sa stanovujú opatrenia, ktoré má EÚ a jej člensk</w:t>
      </w:r>
      <w:r>
        <w:rPr>
          <w:b/>
          <w:i/>
        </w:rPr>
        <w:t>é štáty prijať na zvrátenie úbytku opeľovačov do roku 2030.</w:t>
      </w:r>
    </w:p>
    <w:p w:rsidR="00407135" w:rsidRDefault="00D55DFA">
      <w:pPr>
        <w:widowControl/>
        <w:spacing w:before="120" w:after="120" w:line="360" w:lineRule="auto"/>
        <w:ind w:left="567" w:hanging="567"/>
        <w:rPr>
          <w:rFonts w:eastAsia="Calibri"/>
          <w:szCs w:val="22"/>
        </w:rPr>
      </w:pPr>
      <w:r>
        <w:t>(48)</w:t>
      </w:r>
      <w:r>
        <w:tab/>
        <w:t>Cieľom návrhu nariadenia Európskeho parlamentu a Rady o udržateľnom používaní prípravkov na ochranu rastlín [prijatie naplánované na 22. júna 2022, po zverejnení uviesť názov a číslo prijatéh</w:t>
      </w:r>
      <w:r>
        <w:t>o aktu] je regulácia jedného z faktorov spôsobujúcich úbytok opeľovačov zákazom používania pesticídov v ekologicky citlivých oblastiach. Mnohé z týchto oblastí sú predmetom tohto nariadenia, napríklad oblasti podporujúce druhy opeľovačov, ktorým podľa euró</w:t>
      </w:r>
      <w:r>
        <w:t>pskych červených zoznamov</w:t>
      </w:r>
      <w:r>
        <w:rPr>
          <w:rFonts w:eastAsia="Calibri"/>
          <w:szCs w:val="22"/>
          <w:vertAlign w:val="superscript"/>
          <w:lang w:eastAsia="en-US"/>
        </w:rPr>
        <w:footnoteReference w:id="41"/>
      </w:r>
      <w:r>
        <w:t xml:space="preserve"> hrozí vyhynutie.</w:t>
      </w:r>
    </w:p>
    <w:p w:rsidR="00407135" w:rsidRDefault="00D55DFA">
      <w:pPr>
        <w:widowControl/>
        <w:spacing w:after="200" w:line="276" w:lineRule="auto"/>
        <w:rPr>
          <w:rFonts w:eastAsia="Calibri"/>
          <w:szCs w:val="22"/>
        </w:rPr>
      </w:pPr>
      <w:r>
        <w:br w:type="page"/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(49)</w:t>
      </w:r>
      <w:r>
        <w:tab/>
        <w:t>Udržateľné, odolné a biologicky rozmanité poľnohospodárske ekosystémy sú potrebné na zabezpečenie bezpečných, udržateľných, výživných a cenovo dostupných potravín. Poľnohospodárske ekosystémy s bohatou bio</w:t>
      </w:r>
      <w:r>
        <w:t>diverzitou takisto zvyšujú odolnosť poľnohospodárstva proti zmene klímy a environmentálnym rizikám a zároveň zaisťujú bezpečnosť potravín a potravinovú bezpečnosť a vytvárajú nové pracovné miesta vo vidieckych oblastiach, a to najmä pracovné miesta spojené</w:t>
      </w:r>
      <w:r>
        <w:t xml:space="preserve"> s ekologickým poľnohospodárstvom, ako aj s agroturistikou a rekreáciou. Únia preto musí zvýšiť biodiverzitu svojej poľnohospodárskej pôdy prostredníctvom rozmanitých existujúcich postupov užitočných na posilnenie biodiverzity alebo zlučiteľných s jej posi</w:t>
      </w:r>
      <w:r>
        <w:t>lnením vrátane extenzívneho poľnohospodárstva. Extenzívne poľnohospodárstvo je podstatné na zachovanie mnohých druhov a biotopov v oblastiach s bohatou biodiverzitou. Existuje veľa postupov extenzívneho poľnohospodárstva, ktoré majú mnohoraké a významné pr</w:t>
      </w:r>
      <w:r>
        <w:t>ínosy pre ochranu biodiverzity, ekosystémových služieb a krajinných prvkov, ako je precízne poľnohospodárstvo, ekologické poľnohospodárstvo, agroekológia, agrolesníctvo a trvalý trávny porast s nízkou intenzitou.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(50)</w:t>
      </w:r>
      <w:r>
        <w:tab/>
        <w:t>Opatrenia na obnovu sa musia zaviesť s</w:t>
      </w:r>
      <w:r>
        <w:t> cieľom zvýšiť biodiverzitu poľnohospodárskych ekosystémov v celej Únii, a to aj v oblastiach, ktoré nepatria medzi typy biotopov v rozsahu pôsobnosti smernice 92/43/EHS.  Vzhľadom na to, že neexistuje spoločná metóda na posudzovanie stavu poľnohospodársky</w:t>
      </w:r>
      <w:r>
        <w:t>ch ekosystémov, ktorá by umožnila stanoviť špecifické ciele obnovy pre poľnohospodárske ekosystémy, je vhodné stanoviť všeobecnú povinnosť na zvýšenie biodiverzity v poľnohospodárskych ekosystémoch a vyhodnocovať plnenie tejto povinnosti na základe existuj</w:t>
      </w:r>
      <w:r>
        <w:t>úcich ukazovateľov.</w:t>
      </w:r>
      <w:bookmarkStart w:id="21" w:name="_Hlk135935549"/>
    </w:p>
    <w:bookmarkEnd w:id="21"/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(51)</w:t>
      </w:r>
      <w:r>
        <w:tab/>
        <w:t>Keďže vtáctvo žijúce na poľnohospodárskej pôde je známym a všeobecne uznávaným kľúčovým ukazovateľom zdravia poľnohospodárskych ekosystémov, je vhodné stanoviť ciele na jeho obnovu. Povinnosť dosiahnuť takéto ciele by sa vzťahovala</w:t>
      </w:r>
      <w:r>
        <w:t xml:space="preserve"> na členské štáty, a nie na jednotlivých poľnohospodárov. Členské štáty by mali tieto ciele dosiahnuť zavedením účinných opatrení na obnovu poľnohospodárskej pôdy, spoluprácou s poľnohospodármi a inými zainteresovanými stranami a ich podporou pri navrhovan</w:t>
      </w:r>
      <w:r>
        <w:t>í cieľov a ich praktickom vykonávaní.</w:t>
      </w:r>
    </w:p>
    <w:p w:rsidR="00407135" w:rsidRDefault="00D55DFA">
      <w:pPr>
        <w:widowControl/>
        <w:spacing w:after="200" w:line="276" w:lineRule="auto"/>
        <w:rPr>
          <w:rFonts w:eastAsia="Calibri"/>
          <w:szCs w:val="24"/>
        </w:rPr>
      </w:pPr>
      <w:r>
        <w:br w:type="page"/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</w:rPr>
      </w:pPr>
      <w:r>
        <w:lastRenderedPageBreak/>
        <w:t>(52)</w:t>
      </w:r>
      <w:r>
        <w:tab/>
        <w:t xml:space="preserve">Krajinné prvky s vysokou úrovňou diverzity nachádzajúce sa na poľnohospodárskej pôde, a to aj nárazníkové zóny, pôda ležiaca úhorom so striedaním alebo bez striedania plodín, živé ploty, jednotlivé stromy alebo </w:t>
      </w:r>
      <w:r>
        <w:t xml:space="preserve">skupiny stromov, stromoradia, medze, políčka, priekopy a priepusty, potoky, malé mokrade, terasy, kamenné mohyly, kamenné múry, malé rybníky a kultúrne prvky poskytujú priestor pre voľne rastúce rastliny a voľne žijúce živočíchy vrátane opeľovačov, bránia </w:t>
      </w:r>
      <w:r>
        <w:t>erózii a vyčerpaniu pôdy, filtrujú vzduch a vodu, podporujú zmierňovanie zmeny klímy a adaptáciu na ňu a poľnohospodársku produktivitu plodín závislých od opeľovania. Za krajinné prvky s vysokou úrovňou biodiverzity možno považovať aj produktívne stromy, k</w:t>
      </w:r>
      <w:r>
        <w:t xml:space="preserve">toré sú súčasťou agrolesníckych systémov na ornej pôde, a produktívne prvky v prípade neproduktívnych živých plotov za predpokladu, že nie sú ošetrené hnojivami alebo pesticídmi, a ak sa zber uskutočňuje len vtedy, keď neohrozí vysokú úroveň biodiverzity. </w:t>
      </w:r>
      <w:r>
        <w:t>Mala by sa preto stanoviť požiadavka na zabezpečenie vzostupného trendu podielu poľnohospodárskej pôdy s krajinnými prvkami s vysokou úrovňou diverzity. ▌Vzostupný trend by sa mal dosiahnuť aj v prípade ďalších existujúcich ukazovateľov, ako je index motýľ</w:t>
      </w:r>
      <w:r>
        <w:t>ov žijúcich v trávnych porastoch a zásoba organického uhlíka v orných minerálnych pôdach.</w:t>
      </w:r>
      <w:r>
        <w:rPr>
          <w:b/>
        </w:rPr>
        <w:t xml:space="preserve"> [PN 14]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(53)</w:t>
      </w:r>
      <w:r>
        <w:tab/>
        <w:t>Cieľom spoločnej poľnohospodárskej politiky (SPP) je podporovať a posilňovať ochranu životného prostredia vrátane biodiverzity. Jedným zo špecifických c</w:t>
      </w:r>
      <w:r>
        <w:t>ieľov tejto politiky je prispieť k zastaveniu a zvráteniu straty biodiverzity, zlepšeniu ekosystémových služieb a zachovaniu biotopov a krajinných oblastí. V novej norme kondicionality SPP č. 8 týkajúcej sa dobrého poľnohospodárskeho a environmentálneho st</w:t>
      </w:r>
      <w:r>
        <w:t>avu (GAEC 8)</w:t>
      </w:r>
      <w:r>
        <w:rPr>
          <w:rFonts w:eastAsia="Calibri"/>
          <w:szCs w:val="24"/>
          <w:vertAlign w:val="superscript"/>
          <w:lang w:eastAsia="en-US"/>
        </w:rPr>
        <w:footnoteReference w:id="42"/>
      </w:r>
      <w:r>
        <w:t xml:space="preserve"> sa vyžaduje, aby prijímatelia platieb na plochu vyčlenili na úrovni poľnohospodárskeho podniku aspoň 4 % ornej pôdy na neproduktívne plochy a prvky vrátane pôdy ležiacej úhorom a zachovali existujúce krajinné prvky. Podiel 4 %, ktorý sa má ur</w:t>
      </w:r>
      <w:r>
        <w:t>čiť na dodržiavanie uvedenej normy GAEC, možno znížiť na 3 %, ak sú splnené určité predpoklady</w:t>
      </w:r>
      <w:r>
        <w:rPr>
          <w:rFonts w:eastAsia="Calibri"/>
          <w:szCs w:val="24"/>
          <w:vertAlign w:val="superscript"/>
          <w:lang w:eastAsia="en-US"/>
        </w:rPr>
        <w:footnoteReference w:id="43"/>
      </w:r>
      <w:r>
        <w:t>. Táto povinnosť prispeje k tomu, aby členské štáty dosiahli pozitívny trend v oblasti krajinných prvkov s vysokou úrovňou diverzity na poľnohospodárskej pôde. O</w:t>
      </w:r>
      <w:r>
        <w:t>krem toho majú členské štáty v rámci SPP možnosť zaviesť ekoschémy pre poľnohospodárske postupy vykonávané poľnohospodármi na poľnohospodárskych plochách, ktoré môžu zahŕňať udržiavanie a vytváranie krajinných prvkov alebo neproduktívnych plôch. Podobne mô</w:t>
      </w:r>
      <w:r>
        <w:t>žu členské štáty do svojich strategických plánov SPP zahrnúť aj agroenvironmentálno-klimatické záväzky vrátane posilneného riadenia krajinných prvkov nad rámec kondicionality GAEC 8 a/alebo ekoschém. Projekty v rámci programu LIFE v oblasti prírody a biodi</w:t>
      </w:r>
      <w:r>
        <w:t>verzity takisto pomôžu nasmerovať európsku biodiverzitu na poľnohospodárskej pôde na cestu obnovy do roku 2030, a to podporou vykonávania smernice 92/43/EHS a smernice 2009/147/ES, ako aj stratégie EÚ v oblasti biodiverzity do roku 2030.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i/>
          <w:szCs w:val="24"/>
        </w:rPr>
      </w:pPr>
      <w:r>
        <w:br w:type="page"/>
      </w:r>
      <w:r>
        <w:lastRenderedPageBreak/>
        <w:t>(54)</w:t>
      </w:r>
      <w:r>
        <w:tab/>
        <w:t>Obnova a opä</w:t>
      </w:r>
      <w:r>
        <w:t>tovné zavlažovanie</w:t>
      </w:r>
      <w:r>
        <w:rPr>
          <w:rFonts w:eastAsia="Calibri"/>
          <w:szCs w:val="24"/>
          <w:vertAlign w:val="superscript"/>
          <w:lang w:eastAsia="en-US"/>
        </w:rPr>
        <w:footnoteReference w:id="44"/>
      </w:r>
      <w:r>
        <w:t xml:space="preserve"> organických pôd</w:t>
      </w:r>
      <w:r>
        <w:rPr>
          <w:rFonts w:eastAsia="Calibri"/>
          <w:szCs w:val="24"/>
          <w:vertAlign w:val="superscript"/>
          <w:lang w:eastAsia="en-US"/>
        </w:rPr>
        <w:footnoteReference w:id="45"/>
      </w:r>
      <w:r>
        <w:t xml:space="preserve"> využívaných na poľnohospodárske účely (t. j. v rámci využívania trávnych porastov a ornej pôdy), ktoré tvoria odvodnené rašeliniská, pomáhajú dosahovať značné prínosy v oblasti biodiverzity, významné zníženie emisií skl</w:t>
      </w:r>
      <w:r>
        <w:t xml:space="preserve">eníkových plynov a ďalšie environmentálne prínosy a zároveň prispievajú k rozmanitosti poľnohospodárskej krajiny. </w:t>
      </w:r>
      <w:bookmarkStart w:id="22" w:name="_Hlk136867766"/>
      <w:r>
        <w:t>Členské štáty si môžu vybrať zo širokého spektra opatrení na obnovu odvodnených rašelinísk používaných na poľnohospodárske účely a tieto opatr</w:t>
      </w:r>
      <w:r>
        <w:t>enia môžu siahať od premeny ornej pôdy na trvalý trávny porast a extenzifikácie, pričom ich možno doplniť o obmedzené odvodňovanie, až po úplné opätovné zavlažovanie s možnosťou paludikultúrneho využitia či vysadenie vegetácie prispievajúcej k tvorbe rašel</w:t>
      </w:r>
      <w:r>
        <w:t>iny.</w:t>
      </w:r>
      <w:bookmarkEnd w:id="22"/>
      <w:r>
        <w:t xml:space="preserve"> Najvýznamnejšími prínosmi pre klímu sú obnova a opätovné zavlažovanie ornej pôdy, za ktorými nasleduje obnova trávneho porastu s intenzívnym hospodárením. S cieľom umožniť pružné vykonávanie cieľa obnovy týkajúceho sa odvodnených rašelinísk využívanýc</w:t>
      </w:r>
      <w:r>
        <w:t>h na poľnohospodárske účely môžu členské štáty považovať opatrenia na obnovu a opätovné zavlažovanie odvodnených rašelinísk v oblastiach ťažby rašeliny, ako aj – do určitej miery – na obnovu a opätovné zavlažovanie odvodnených rašelinísk v rámci iných spôs</w:t>
      </w:r>
      <w:r>
        <w:t>obov využívania pôdy (napríklad les) za príspevok k dosiahnutiu cieľov pre odvodnené rašeliniská využívané na poľnohospodárske účely.</w:t>
      </w:r>
      <w:r>
        <w:rPr>
          <w:b/>
          <w:i/>
        </w:rPr>
        <w:t xml:space="preserve"> V riadne odôvodnených prípadoch a ak nie je možné vykonať opätovné zavlažovanie odvodnených rašelinísk využívaných na poľn</w:t>
      </w:r>
      <w:r>
        <w:rPr>
          <w:b/>
          <w:i/>
        </w:rPr>
        <w:t xml:space="preserve">ohospodárske účely z dôvodu značných negatívnych vplyvov na budovy, infraštruktúru, adaptáciu na zmenu klímy alebo iné verejné záujmy a nie je možné opätovne zavlažiť rašeliniská využívané na iné účely, môžu členské štáty stanoviť nižší rozsah rašelinísk, </w:t>
      </w:r>
      <w:r>
        <w:rPr>
          <w:b/>
          <w:i/>
        </w:rPr>
        <w:t>ktoré sa majú opätovne zavlažiť.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(55)</w:t>
      </w:r>
      <w:r>
        <w:tab/>
        <w:t>S cieľom využiť všetky prínosy biodiverzity by sa obnova a opätovné zavlažovanie oblastí odvodnených rašelinísk mali rozšíriť mimo oblastí typov mokraďových biotopov uvedených v prílohe I k smernici 92/43/EHS, ktoré s</w:t>
      </w:r>
      <w:r>
        <w:t>a majú obnoviť a znovu vytvoriť. Údaje o rozsahu organických pôd, ako aj o ich emisiách a odstraňovaní skleníkových plynov sa monitorujú a sprístupňujú v rámci vykazovania sektora LULUCF v národných inventúrach skleníkových plynov členských štátov predklad</w:t>
      </w:r>
      <w:r>
        <w:t>aných UNFCCC. Obnovené a zavlažené rašeliniská sa môžu naďalej využívať produktívne alternatívnymi spôsobmi. Napríklad paludikultúra, obhospodarovanie zaplavených rašelinísk, môže zahŕňať pestovanie rôznych druhov trstín, určitých druhov drevín, pestovanie</w:t>
      </w:r>
      <w:r>
        <w:t xml:space="preserve"> čučoriedok a brusníc, pestovanie rašelinníka a spásanie byvolmi vodnými. Podobné postupy by mali vychádzať zo zásad udržateľného obhospodarovania a mali by byť zamerané na zvyšovanie biodiverzity, aby dosahovali vysokú hodnotu z finančného aj ekologického</w:t>
      </w:r>
      <w:r>
        <w:t xml:space="preserve"> hľadiska. Paludikultúra môže byť prínosná aj pre viacero druhov, ktoré sa v Únii považujú za ohrozené, a môže uľahčiť prepojenie mokraďových oblastí a súvisiacich populácií druhov v Únii. Financovanie opatrení na obnovu a opätovné zavlažovanie odvodnených</w:t>
      </w:r>
      <w:r>
        <w:t xml:space="preserve"> rašelinísk a na kompenzáciu možných strát príjmov môže pochádzať zo širokej škály zdrojov vrátane výdavkov v rámci rozpočtu Únie a finančných programov Únie.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(56)</w:t>
      </w:r>
      <w:r>
        <w:tab/>
        <w:t>V novej stratégii EÚ pre lesy do roku 2030</w:t>
      </w:r>
      <w:r>
        <w:rPr>
          <w:rFonts w:eastAsia="Calibri"/>
          <w:szCs w:val="24"/>
          <w:vertAlign w:val="superscript"/>
          <w:lang w:eastAsia="en-US"/>
        </w:rPr>
        <w:footnoteReference w:id="46"/>
      </w:r>
      <w:r>
        <w:t xml:space="preserve"> sa opisuje potreba obnoviť lesnú biodiverzitu. L</w:t>
      </w:r>
      <w:r>
        <w:t xml:space="preserve">esy a iná lesná pôda pokrývajú vyše 43,5 % územia EÚ. Lesné ekosystémy, ktoré sú domovom bohatej biodiverzity, sú zraniteľné voči zmene klímy, ale zároveň sú aj </w:t>
      </w:r>
      <w:r>
        <w:rPr>
          <w:shd w:val="clear" w:color="auto" w:fill="FFFFFF"/>
        </w:rPr>
        <w:t xml:space="preserve">prirodzeným spojencom pri adaptácii na zmenu klímy a boji proti nej a proti rizikám súvisiacim </w:t>
      </w:r>
      <w:r>
        <w:rPr>
          <w:shd w:val="clear" w:color="auto" w:fill="FFFFFF"/>
        </w:rPr>
        <w:t>so zmenou klímy, a to aj prostredníctvom ich funkcií ukladať a zachytávať uhlík,</w:t>
      </w:r>
      <w:r>
        <w:t xml:space="preserve"> a poskytujú množstvo ďalších dôležitých ekosystémových služieb a prínosov, ako je produkcia dreva, potravín a iných produktov, ktoré nie sú z dreva, regulácia klímy, stabilizá</w:t>
      </w:r>
      <w:r>
        <w:t>cia pôdy a kontrola erózie, ako aj čistenie ovzdušia a vody.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</w:rPr>
      </w:pPr>
      <w:r>
        <w:br w:type="page"/>
      </w:r>
      <w:r>
        <w:lastRenderedPageBreak/>
        <w:t>▌</w:t>
      </w:r>
      <w:r>
        <w:rPr>
          <w:b/>
        </w:rPr>
        <w:t xml:space="preserve"> [PN 112/rev1]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(58)</w:t>
      </w:r>
      <w:r>
        <w:tab/>
      </w:r>
      <w:r>
        <w:t>Ciele a povinnosti obnovy týkajúce sa biotopov a druhov chránených podľa smerníc 92/43/EHS a 2009/147/ES, opeľovačov a sladkovodných, mestských, poľnohospodárskych a lesných ekosystémov by sa mali navzájom dopĺňať a mali by fungovať v súčinnosti s cieľom d</w:t>
      </w:r>
      <w:r>
        <w:t xml:space="preserve">osiahnuť všeobecný cieľ obnovy ekosystémov na pevnine aj v moriach </w:t>
      </w:r>
      <w:r>
        <w:rPr>
          <w:b/>
          <w:bCs/>
          <w:i/>
          <w:iCs/>
        </w:rPr>
        <w:t>všetkých členských štátov</w:t>
      </w:r>
      <w:r>
        <w:t>. Opatrenia na obnovu potrebné na dosiahnutie jedného osobitného cieľa v mnohých prípadoch prispejú k dosiahnutiu iných cieľov alebo povinností. Členské štáty by pr</w:t>
      </w:r>
      <w:r>
        <w:t>eto mali opatrenia na obnovu plánovať strategicky s cieľom maximalizovať ich účinnosť v rámci príspevku k obnove prírody v celej Únii. Opatrenia na obnovu by sa mali plánovať aj tak, aby prinášali riešenia na zmiernenie zmeny klímy a adaptáciu na túto zmen</w:t>
      </w:r>
      <w:r>
        <w:t xml:space="preserve">u, ako aj na predchádzanie vplyvu prírodných katastrof a na riadenie tohto vplyvu, </w:t>
      </w:r>
      <w:r>
        <w:rPr>
          <w:b/>
          <w:bCs/>
          <w:i/>
          <w:iCs/>
        </w:rPr>
        <w:t>ako aj degradácie pôdy</w:t>
      </w:r>
      <w:r>
        <w:t xml:space="preserve">. Mali by sa zamerať na optimalizáciu ekologických, hospodárskych a sociálnych funkcií ekosystémov vrátane ich potenciálu produktivity s prihliadnutím </w:t>
      </w:r>
      <w:r>
        <w:t xml:space="preserve">na ich príspevok k udržateľnému rozvoju príslušných regiónov a komunít. Je dôležité, aby členské štáty vypracovali podrobné národné plány obnovy prírody na základe najlepších dostupných vedeckých dôkazov. </w:t>
      </w:r>
      <w:r>
        <w:rPr>
          <w:b/>
          <w:i/>
        </w:rPr>
        <w:t>Základom rozhodnutí o priaznivej referenčnej ploche</w:t>
      </w:r>
      <w:r>
        <w:rPr>
          <w:b/>
          <w:i/>
        </w:rPr>
        <w:t xml:space="preserve"> typov biotopov by mali byť zdokumentované záznamy o historickom rozšírení a ploche, ako aj predpokladané zmeny environmentálnych podmienok v dôsledku zmeny klímy. </w:t>
      </w:r>
      <w:r>
        <w:t>Okrem toho je dôležité, aby verejnosť mala včasnú a skutočnú príležitosť zapojiť sa do prípr</w:t>
      </w:r>
      <w:r>
        <w:t>avy týchto plánov. Členské štáty by mali zohľadniť osobitné podmienky a potreby na svojich územiach, aby plány mohli byť reakciou na relevantné tlaky, hrozby a faktory spôsobujúce stratu biodiverzity, a mali by spolupracovať s cieľom zabezpečiť obnovu a ce</w:t>
      </w:r>
      <w:r>
        <w:t>zhraničnú prepojenosť.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  <w:shd w:val="clear" w:color="auto" w:fill="FFFFFF"/>
        </w:rPr>
      </w:pPr>
      <w:r>
        <w:br w:type="page"/>
      </w:r>
      <w:r>
        <w:lastRenderedPageBreak/>
        <w:t>(59)</w:t>
      </w:r>
      <w:r>
        <w:tab/>
        <w:t>S cieľom zabezpečiť synergie medzi rôznymi opatreniami, ktoré boli a majú byť zavedené na ochranu, zachovanie a obnovu prírody v Únii, by členské štáty mali pri príprave svojich národných plánov obnovy prírody zohľadniť:  ochra</w:t>
      </w:r>
      <w:r>
        <w:t>nné opatrenia stanovené pre lokality sústavy Natura 2000 a prioritné akčné rámce pripravené v súlade so smernicami 92/43/EHS a 2009/147/ES; opatrenia na dosiahnutie dobrého ekologického a chemického stavu vodných útvarov zahrnutých do plánov manažmentu pov</w:t>
      </w:r>
      <w:r>
        <w:t xml:space="preserve">odia vypracovaných v súlade so smernicou 2000/60/ES; morské stratégie na dosiahnutie dobrého environmentálneho stavu všetkých morských regiónov Únie vypracované v súlade so smernicou 2008/56/ES; národné programy riadenia znečisťovania ovzdušia vypracované </w:t>
      </w:r>
      <w:r>
        <w:t>podľa smernice (EÚ) 2016/2284; národné stratégie a akčné plány v oblasti biodiverzity vypracované v súlade s článkom 6 Dohovoru o biologickej diverzite, ako aj ochranné opatrenia prijaté v súlade s nariadením (EÚ) č. 1380/2013 a technické opatrenia prijaté</w:t>
      </w:r>
      <w:r>
        <w:t xml:space="preserve"> v súlade s </w:t>
      </w:r>
      <w:r>
        <w:rPr>
          <w:shd w:val="clear" w:color="auto" w:fill="FFFFFF"/>
        </w:rPr>
        <w:t>nariadením Európskeho parlamentu a Rady (EÚ) 2019/1241</w:t>
      </w:r>
      <w:r>
        <w:rPr>
          <w:rFonts w:eastAsia="Calibri"/>
          <w:szCs w:val="24"/>
          <w:vertAlign w:val="superscript"/>
          <w:lang w:eastAsia="en-US"/>
        </w:rPr>
        <w:footnoteReference w:id="47"/>
      </w:r>
      <w:r>
        <w:rPr>
          <w:shd w:val="clear" w:color="auto" w:fill="FFFFFF"/>
        </w:rP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(60)</w:t>
      </w:r>
      <w:r>
        <w:tab/>
        <w:t>S cieľom zabezpečiť súdržnosť medzi cieľmi tohto nariadenia a smernice (EÚ) 2018/2001</w:t>
      </w:r>
      <w:r>
        <w:rPr>
          <w:rFonts w:eastAsia="Calibri"/>
          <w:szCs w:val="24"/>
          <w:vertAlign w:val="superscript"/>
          <w:lang w:eastAsia="en-US"/>
        </w:rPr>
        <w:footnoteReference w:id="48"/>
      </w:r>
      <w:r>
        <w:t>, nariadenia (EÚ) 2018/1999</w:t>
      </w:r>
      <w:r>
        <w:rPr>
          <w:rFonts w:eastAsia="Calibri"/>
          <w:szCs w:val="24"/>
          <w:vertAlign w:val="superscript"/>
          <w:lang w:eastAsia="en-US"/>
        </w:rPr>
        <w:footnoteReference w:id="49"/>
      </w:r>
      <w:r>
        <w:t xml:space="preserve"> a smernice Európskeho parlamentu a Rady 98/70/ES, pokiaľ ide o podporu energie z obnoviteľných zdrojov</w:t>
      </w:r>
      <w:r>
        <w:rPr>
          <w:rFonts w:eastAsia="Calibri"/>
          <w:szCs w:val="24"/>
          <w:vertAlign w:val="superscript"/>
          <w:lang w:eastAsia="en-US"/>
        </w:rPr>
        <w:footnoteReference w:id="50"/>
      </w:r>
      <w:r>
        <w:t>, najmä počas prípravy národných plánov obnovy prírody, členské štáty by mali zohľadniť potenciál projektov v oblasti obnoviteľných zdrojov energie, aby</w:t>
      </w:r>
      <w:r>
        <w:t xml:space="preserve"> prispeli k plneniu cieľov v oblasti obnovy prírody.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  <w:shd w:val="clear" w:color="auto" w:fill="FFFFFF"/>
        </w:rPr>
      </w:pPr>
      <w:r>
        <w:t>(61)</w:t>
      </w:r>
      <w:r>
        <w:tab/>
      </w:r>
      <w:r>
        <w:rPr>
          <w:shd w:val="clear" w:color="auto" w:fill="FFFFFF"/>
        </w:rPr>
        <w:t>Vzhľadom na význam konzistentného riešenia dvojice problémov týkajúcich sa straty biodiverzity a zmeny klímy by sa pri obnove biodiverzity malo zohľadniť využívanie energie z obnoviteľných zdrojov a</w:t>
      </w:r>
      <w:r>
        <w:rPr>
          <w:shd w:val="clear" w:color="auto" w:fill="FFFFFF"/>
        </w:rPr>
        <w:t xml:space="preserve"> naopak. </w:t>
      </w:r>
      <w:r>
        <w:rPr>
          <w:b/>
          <w:bCs/>
          <w:i/>
          <w:shd w:val="clear" w:color="auto" w:fill="FFFFFF"/>
        </w:rPr>
        <w:t>Činnosti zamerané na obnovu prírody a zavádzanie projektov zameraných na energiu z obnoviteľných zdrojov sa smú kombinovať, vždy keď je to možné, a to aj pokiaľ ide o oblasti zrýchlenia výroby energie z obnoviteľných zdrojov a vyhradené oblasti pr</w:t>
      </w:r>
      <w:r>
        <w:rPr>
          <w:b/>
          <w:bCs/>
          <w:i/>
          <w:shd w:val="clear" w:color="auto" w:fill="FFFFFF"/>
        </w:rPr>
        <w:t>e siete.</w:t>
      </w:r>
      <w:r>
        <w:rPr>
          <w:shd w:val="clear" w:color="auto" w:fill="FFFFFF"/>
        </w:rPr>
        <w:t xml:space="preserve">  </w:t>
      </w:r>
      <w:r>
        <w:rPr>
          <w:b/>
          <w:bCs/>
          <w:i/>
          <w:shd w:val="clear" w:color="auto" w:fill="FFFFFF"/>
        </w:rPr>
        <w:t>V smernici (EÚ) 2018/2001 sa vyžaduje, aby</w:t>
      </w:r>
      <w:r>
        <w:rPr>
          <w:b/>
          <w:bCs/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členské štáty </w:t>
      </w:r>
      <w:r>
        <w:rPr>
          <w:b/>
          <w:bCs/>
          <w:i/>
          <w:shd w:val="clear" w:color="auto" w:fill="FFFFFF"/>
        </w:rPr>
        <w:t>koordinovane mapovali zavádzanie energie z obnoviteľných zdrojov na svojich územiach s cieľom určiť domáci potenciál a dostupné povrchové, podpovrchové, morské alebo vnútrozemské vody potre</w:t>
      </w:r>
      <w:r>
        <w:rPr>
          <w:b/>
          <w:bCs/>
          <w:i/>
          <w:shd w:val="clear" w:color="auto" w:fill="FFFFFF"/>
        </w:rPr>
        <w:t>bné na inštaláciu zariadení na výrobu energie z obnoviteľných zdrojov a ich súvisiacej infraštruktúry, ako sú napríklad rozvodné a skladovacie zariadenia vrátane zariadení na uskladňovanie tepla, ktoré sú potrebné na splnenie aspoň ich národných príspevkov</w:t>
      </w:r>
      <w:r>
        <w:rPr>
          <w:b/>
          <w:bCs/>
          <w:i/>
          <w:shd w:val="clear" w:color="auto" w:fill="FFFFFF"/>
        </w:rPr>
        <w:t xml:space="preserve"> k cieľu v oblasti energie z obnoviteľných zdrojov do roku 2030.</w:t>
      </w:r>
      <w:r>
        <w:rPr>
          <w:b/>
          <w:i/>
          <w:shd w:val="clear" w:color="auto" w:fill="FFFFFF"/>
        </w:rPr>
        <w:t xml:space="preserve"> </w:t>
      </w:r>
      <w:r>
        <w:rPr>
          <w:b/>
          <w:bCs/>
          <w:i/>
          <w:iCs/>
          <w:shd w:val="clear" w:color="auto" w:fill="FFFFFF"/>
        </w:rPr>
        <w:t>Takéto oblasti vrátane existujúcich zariadení a mechanizmov spolupráce musia zodpovedať odhadovaným trajektóriám a celkovému plánovanému inštalovanému výkonu technológie výroby energie z obno</w:t>
      </w:r>
      <w:r>
        <w:rPr>
          <w:b/>
          <w:bCs/>
          <w:i/>
          <w:iCs/>
          <w:shd w:val="clear" w:color="auto" w:fill="FFFFFF"/>
        </w:rPr>
        <w:t>viteľných zdrojov</w:t>
      </w:r>
      <w:r>
        <w:rPr>
          <w:shd w:val="clear" w:color="auto" w:fill="FFFFFF"/>
        </w:rPr>
        <w:t xml:space="preserve"> stanoveným v národných energetických a klimatických plánoch. </w:t>
      </w:r>
      <w:r>
        <w:rPr>
          <w:b/>
          <w:bCs/>
          <w:i/>
          <w:iCs/>
          <w:shd w:val="clear" w:color="auto" w:fill="FFFFFF"/>
        </w:rPr>
        <w:t>Členské štáty by mali označiť podmnožinu takýchto oblastí ako oblasti zrýchlenia výroby energie z obnoviteľných zdrojov</w:t>
      </w:r>
      <w:r>
        <w:rPr>
          <w:shd w:val="clear" w:color="auto" w:fill="FFFFFF"/>
        </w:rPr>
        <w:t xml:space="preserve">. </w:t>
      </w:r>
      <w:r>
        <w:t>Ide o osobitné miesta, či už na pevnine alebo na mori, k</w:t>
      </w:r>
      <w:r>
        <w:t xml:space="preserve">toré sú mimoriadne vhodné na inštaláciu zariadení na výrobu energie z obnoviteľných zdrojov </w:t>
      </w:r>
      <w:r>
        <w:rPr>
          <w:rFonts w:ascii="Arial" w:hAnsi="Arial"/>
          <w:snapToGrid w:val="0"/>
        </w:rPr>
        <w:t>▌</w:t>
      </w:r>
      <w:r>
        <w:t>, v ktorých sa neočakáva, že využívanie konkrétneho druhu energie z obnoviteľných zdrojov bude mať významný vplyv na životné prostredie vzhľadom na osobitosti vybr</w:t>
      </w:r>
      <w:r>
        <w:t>aného územia.</w:t>
      </w:r>
      <w:r>
        <w:rPr>
          <w:shd w:val="clear" w:color="auto" w:fill="FFFFFF"/>
        </w:rPr>
        <w:t xml:space="preserve"> Členské štáty by mali uprednostniť</w:t>
      </w:r>
      <w:r>
        <w:t xml:space="preserve"> umelé a zastavané povrchy, </w:t>
      </w:r>
      <w:r>
        <w:lastRenderedPageBreak/>
        <w:t xml:space="preserve">ako sú strechy </w:t>
      </w:r>
      <w:r>
        <w:rPr>
          <w:b/>
          <w:i/>
        </w:rPr>
        <w:t>a fasády budov</w:t>
      </w:r>
      <w:r>
        <w:t xml:space="preserve">, oblasti dopravnej infraštruktúry </w:t>
      </w:r>
      <w:r>
        <w:rPr>
          <w:b/>
          <w:i/>
          <w:iCs/>
        </w:rPr>
        <w:t>a ich bezprostredné okolie</w:t>
      </w:r>
      <w:r>
        <w:t xml:space="preserve">, parkovacie plochy, </w:t>
      </w:r>
      <w:r>
        <w:rPr>
          <w:b/>
          <w:i/>
        </w:rPr>
        <w:t>farmy</w:t>
      </w:r>
      <w:r>
        <w:t xml:space="preserve">, skládky odpadov, priemyselné areály, bane, umelé vnútrozemské </w:t>
      </w:r>
      <w:r>
        <w:t xml:space="preserve">vodné útvary, jazerá alebo nádrže a prípadne čistiarne komunálnych odpadových vôd, ako aj znehodnotenú pôdu, ktorá sa nevyužíva na poľnohospodárstvo. </w:t>
      </w:r>
      <w:r>
        <w:rPr>
          <w:b/>
          <w:i/>
          <w:shd w:val="clear" w:color="auto" w:fill="FFFFFF"/>
        </w:rPr>
        <w:t>Smernica (EÚ) 2018/2001 tiež stanovuje, že členské štáty môžu</w:t>
      </w:r>
      <w:r>
        <w:rPr>
          <w:b/>
          <w:i/>
        </w:rPr>
        <w:t xml:space="preserve"> </w:t>
      </w:r>
      <w:r>
        <w:rPr>
          <w:b/>
          <w:i/>
          <w:shd w:val="clear" w:color="auto" w:fill="FFFFFF"/>
        </w:rPr>
        <w:t>prijať plán alebo plány na určenie vyhradený</w:t>
      </w:r>
      <w:r>
        <w:rPr>
          <w:b/>
          <w:i/>
          <w:shd w:val="clear" w:color="auto" w:fill="FFFFFF"/>
        </w:rPr>
        <w:t xml:space="preserve">ch oblasti infraštruktúry rozvoja sietí alebo projektov uskladňovania energie, ktoré sú potrebné na integráciu energie z obnoviteľných zdrojov do elektrizačnej sústavy, ak sa neočakáva, že takýto rozvoj bude mať významný vplyv na životné prostredie, alebo </w:t>
      </w:r>
      <w:r>
        <w:rPr>
          <w:b/>
          <w:i/>
          <w:shd w:val="clear" w:color="auto" w:fill="FFFFFF"/>
        </w:rPr>
        <w:t xml:space="preserve">v prípade, že takéto vplyvy možno náležite zmierniť alebo, ak to nie je možné, kompenzovať. Cieľom takýchto oblastí je podpora a dopĺňanie oblastí zrýchlenia výroby energie z obnoviteľných zdrojov. </w:t>
      </w:r>
      <w:r>
        <w:rPr>
          <w:shd w:val="clear" w:color="auto" w:fill="FFFFFF"/>
        </w:rPr>
        <w:t>Pri určovaní oblastí zrýchlenia výroby energie z obnoviteľ</w:t>
      </w:r>
      <w:r>
        <w:rPr>
          <w:shd w:val="clear" w:color="auto" w:fill="FFFFFF"/>
        </w:rPr>
        <w:t xml:space="preserve">ných zdrojov a </w:t>
      </w:r>
      <w:r>
        <w:rPr>
          <w:b/>
          <w:bCs/>
          <w:i/>
          <w:iCs/>
          <w:shd w:val="clear" w:color="auto" w:fill="FFFFFF"/>
        </w:rPr>
        <w:t>vyhradených oblastí pre infraštruktúru</w:t>
      </w:r>
      <w:r>
        <w:rPr>
          <w:shd w:val="clear" w:color="auto" w:fill="FFFFFF"/>
        </w:rPr>
        <w:t xml:space="preserve"> by sa členské štáty mali vyhýbať chráneným územiam a prihliadať na svoje národné plány obnovy prírody. Členské štáty by mali koordinovať vypracúvanie národných plánov obnovy s </w:t>
      </w:r>
      <w:r>
        <w:rPr>
          <w:b/>
          <w:bCs/>
          <w:i/>
          <w:iCs/>
          <w:shd w:val="clear" w:color="auto" w:fill="FFFFFF"/>
        </w:rPr>
        <w:t>mapovaním oblastí potrebný</w:t>
      </w:r>
      <w:r>
        <w:rPr>
          <w:b/>
          <w:bCs/>
          <w:i/>
          <w:iCs/>
          <w:shd w:val="clear" w:color="auto" w:fill="FFFFFF"/>
        </w:rPr>
        <w:t>ch na národný príspevok k cieľu v oblasti energie z obnoviteľných zdrojov do roku 2030 a v prípade potreby s určovaním oblastí zrýchlenia [...] výroby energie z obnoviteľných zdrojov a vyhradených oblastí pre siete.</w:t>
      </w:r>
      <w:r>
        <w:rPr>
          <w:shd w:val="clear" w:color="auto" w:fill="FFFFFF"/>
        </w:rPr>
        <w:t xml:space="preserve"> Počas prípravy plánov obnovy prírody by </w:t>
      </w:r>
      <w:r>
        <w:rPr>
          <w:shd w:val="clear" w:color="auto" w:fill="FFFFFF"/>
        </w:rPr>
        <w:t xml:space="preserve">členské štáty mali zabezpečiť súčinnosť </w:t>
      </w:r>
      <w:r>
        <w:rPr>
          <w:b/>
          <w:bCs/>
          <w:i/>
          <w:iCs/>
          <w:shd w:val="clear" w:color="auto" w:fill="FFFFFF"/>
        </w:rPr>
        <w:t>s budovaním obnoviteľnej energie a energetickej infraštruktúry a s už určenými oblasťami urýchľovania obnoviteľných zdrojov energie a vyhradenými sieťovými oblasťami a zabezpečiť fungovanie týchto oblastí obnoviteľne</w:t>
      </w:r>
      <w:r>
        <w:rPr>
          <w:b/>
          <w:bCs/>
          <w:i/>
          <w:iCs/>
          <w:shd w:val="clear" w:color="auto" w:fill="FFFFFF"/>
        </w:rPr>
        <w:t>j</w:t>
      </w:r>
      <w:r>
        <w:rPr>
          <w:shd w:val="clear" w:color="auto" w:fill="FFFFFF"/>
        </w:rPr>
        <w:t xml:space="preserve"> energie</w:t>
      </w:r>
      <w:r>
        <w:t xml:space="preserve"> </w:t>
      </w:r>
      <w:r>
        <w:rPr>
          <w:rFonts w:ascii="Arial" w:hAnsi="Arial"/>
          <w:snapToGrid w:val="0"/>
        </w:rPr>
        <w:t>▌</w:t>
      </w:r>
      <w:r>
        <w:t xml:space="preserve"> </w:t>
      </w:r>
      <w:r>
        <w:rPr>
          <w:shd w:val="clear" w:color="auto" w:fill="FFFFFF"/>
        </w:rPr>
        <w:t xml:space="preserve">vrátane povoľovacích postupov uplatniteľných v týchto oblastiach obnoviteľnej energie </w:t>
      </w:r>
      <w:r>
        <w:rPr>
          <w:rFonts w:ascii="Arial" w:hAnsi="Arial"/>
          <w:snapToGrid w:val="0"/>
          <w:shd w:val="clear" w:color="auto" w:fill="FFFFFF"/>
        </w:rPr>
        <w:t>▌</w:t>
      </w:r>
      <w:r>
        <w:rPr>
          <w:shd w:val="clear" w:color="auto" w:fill="FFFFFF"/>
        </w:rPr>
        <w:t>, ktoré predpokladá smernica (EÚ) 2018/2001, zostávajú nezmenené.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>
        <w:t>(62)</w:t>
      </w:r>
      <w:r>
        <w:tab/>
        <w:t>S cieľom zabezpečiť súčinnosti s opatreniami zameranými na obnovu, ktoré už boli v čle</w:t>
      </w:r>
      <w:r>
        <w:t>nských štátoch naplánované alebo zavedené, by sa uvedené opatrenia na obnovu mali v národných plánoch obnovy prírody uznávať a zohľadňovať. Vzhľadom na naliehavosť naznačenú v správe IPCC za rok 2022 týkajúcu sa prijatia opatrení na obnovu degradovaných ek</w:t>
      </w:r>
      <w:r>
        <w:t>osystémov by členské štáty mali vykonávať tieto opatrenia súbežne s prípravou plánov obnovy prírody.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bookmarkStart w:id="23" w:name="_Hlk136778969"/>
      <w:r>
        <w:t>(63)</w:t>
      </w:r>
      <w:r>
        <w:tab/>
        <w:t xml:space="preserve">V národných plánoch obnovy prírody, </w:t>
      </w:r>
      <w:r>
        <w:rPr>
          <w:b/>
          <w:i/>
        </w:rPr>
        <w:t>v opatreniach na obnovu biotopov, ako aj v opatreniach na zabránenie zhoršeniu stavu biotopov</w:t>
      </w:r>
      <w:r>
        <w:t xml:space="preserve"> by sa mali zohľadniť aj výsledky výskumných projektov týkajúcich sa posudzovania stavu ekosystémov, identifikácie a zavádzania opatrení na obnovu a projektov na účely monitorovania </w:t>
      </w:r>
      <w:r>
        <w:rPr>
          <w:b/>
          <w:i/>
        </w:rPr>
        <w:t>a v prípade potreby by sa v nich mala zohľadňovať rozmanitosť situácií v r</w:t>
      </w:r>
      <w:r>
        <w:rPr>
          <w:b/>
          <w:i/>
        </w:rPr>
        <w:t xml:space="preserve">ôznych regiónoch Únie v súlade s článkom 191 ods. 2 Zmluvy o fungovaní Európskej únie (ZFEÚ), ako sú sociálne, </w:t>
      </w:r>
      <w:r>
        <w:rPr>
          <w:b/>
          <w:i/>
        </w:rPr>
        <w:lastRenderedPageBreak/>
        <w:t>hospodárske a kultúrne požiadavky a regionálne a miestne charakteristiky vrátane hustoty obyvateľstva.</w:t>
      </w:r>
      <w: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bookmarkStart w:id="24" w:name="_Hlk136800230"/>
      <w:bookmarkEnd w:id="23"/>
      <w:r>
        <w:br w:type="page"/>
      </w:r>
      <w:r>
        <w:lastRenderedPageBreak/>
        <w:t>(64)</w:t>
      </w:r>
      <w:r>
        <w:tab/>
        <w:t>Je vhodné zohľadniť osobitnú situác</w:t>
      </w:r>
      <w:r>
        <w:t>iu najvzdialenejších regiónov Únie uvedených v článku 349 Zmluvy o fungovaní Európskej únie (ďalej len „ZFEÚ“), v ktorom sa stanovujú osobitné opatrenia na podporu týchto regiónov. Ako sa navrhuje v stratégii EÚ v oblasti biodiverzity do roku 2030, osobitn</w:t>
      </w:r>
      <w:r>
        <w:t>á pozornosť by sa mala venovať ochrane a obnove ekosystémov v najvzdialenejších regiónoch vzhľadom na ich mimoriadne vysokú hodnotu biodiverzity.</w:t>
      </w:r>
      <w:r>
        <w:rPr>
          <w:b/>
          <w:i/>
        </w:rPr>
        <w:t xml:space="preserve"> Zároveň by sa mali zohľadniť súvisiace náklady na ochranu a obnovu týchto ekosystémov, ako aj odľahlosť, ostro</w:t>
      </w:r>
      <w:r>
        <w:rPr>
          <w:b/>
          <w:i/>
        </w:rPr>
        <w:t>vný charakter, malá rozloha, náročné topografické a klimatické podmienky najvzdialenejších regiónov, a to najmä pri príprave národných plánov obnovy prírody.</w:t>
      </w:r>
      <w:r>
        <w:rPr>
          <w:i/>
        </w:rPr>
        <w:t xml:space="preserve"> </w:t>
      </w:r>
      <w:r>
        <w:rPr>
          <w:b/>
          <w:i/>
        </w:rPr>
        <w:t>Členské štáty sa nabádajú, aby na dobrovoľnom základe zahrnuli do plánov osobitné opatrenia na obn</w:t>
      </w:r>
      <w:r>
        <w:rPr>
          <w:b/>
          <w:i/>
        </w:rPr>
        <w:t>ovu v tých najvzdialenejších regiónoch, ktoré nepatria do rozsahu pôsobnosti tohto nariadenia.</w:t>
      </w:r>
      <w:r>
        <w:t xml:space="preserve"> </w:t>
      </w:r>
    </w:p>
    <w:bookmarkEnd w:id="24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(65)</w:t>
      </w:r>
      <w:r>
        <w:tab/>
        <w:t>Európska environmentálna agentúra (EEA) by mala poskytovať podporu členským štátom pri príprave národných plánov obnovy prírody, ako aj pri monitorovaní po</w:t>
      </w:r>
      <w:r>
        <w:t>kroku pri plnení cieľov a povinností v oblasti obnovy. Komisia by mala posúdiť, či sú národné plány obnovy prírody dostatočné na dosiahnutie týchto cieľov a povinností.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(66)</w:t>
      </w:r>
      <w:r>
        <w:tab/>
        <w:t>Komisia vo svojej správe o stave prírody z roku 2020 poukázala na to, že podstatn</w:t>
      </w:r>
      <w:r>
        <w:t>á časť informácií oznámených členskými štátmi v súlade s článkom 17 smernice Rady 92/43/EHS</w:t>
      </w:r>
      <w:r>
        <w:rPr>
          <w:rFonts w:eastAsia="Calibri"/>
          <w:szCs w:val="24"/>
          <w:vertAlign w:val="superscript"/>
          <w:lang w:eastAsia="en-US"/>
        </w:rPr>
        <w:footnoteReference w:id="51"/>
      </w:r>
      <w:r>
        <w:t xml:space="preserve"> a článkom 12 smernice 2009/147/ES, ktorá sa týka najmä stavu a trendov ochrany biotopov a druhov chránených týmito smernicami, pochádza z čiastočných prieskumov al</w:t>
      </w:r>
      <w:r>
        <w:t xml:space="preserve">ebo vychádza iba z odborného posúdenia. Z tejto správy takisto vyplýva, že stav niekoľkých typov biotopov a druhov chránených podľa smernice 92/43/EHS je stále neznámy. Je nevyhnutné vyplniť uvedené medzery v poznatkoch, ako aj investovať do monitorovania </w:t>
      </w:r>
      <w:r>
        <w:t>a prieskumu s cieľom podporiť spoľahlivé a vedecky podložené národné plány obnovy prírody. S cieľom zvýšiť včasnosť, účinnosť a koherentnosť rozličných postupov monitorovania by sa pri monitorovaní a prieskume mali čo najviac využívať výsledky projektov vý</w:t>
      </w:r>
      <w:r>
        <w:t>skumu a inovácií financovaných z prostriedkov Únie, nové technológie, ako je monitorovanie na mieste a diaľkový prieskum s využitím satelitných údajov a služieb poskytovaných v rámci vesmírneho programu Únie (EGNOS/Galileo a Copernicus). Prostredníctvom mi</w:t>
      </w:r>
      <w:r>
        <w:t>sií EÚ „Obnoviť naše oceány a vody“, „Adaptácia na zmenu klímy“ a „Dohoda o pôde pre Európu“ sa podporí vykonávanie cieľov obnovy</w:t>
      </w:r>
      <w:r>
        <w:rPr>
          <w:rFonts w:eastAsia="Calibri"/>
          <w:szCs w:val="24"/>
          <w:vertAlign w:val="superscript"/>
          <w:lang w:eastAsia="en-US"/>
        </w:rPr>
        <w:footnoteReference w:id="52"/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r>
        <w:rPr>
          <w:b/>
          <w:i/>
        </w:rPr>
        <w:t xml:space="preserve">(66a) </w:t>
      </w:r>
      <w:r>
        <w:rPr>
          <w:b/>
          <w:i/>
        </w:rPr>
        <w:tab/>
        <w:t xml:space="preserve">Vzhľadom na osobitné technické a finančné výzvy spojené s mapovaním a monitorovaním morského prostredia môžu členské </w:t>
      </w:r>
      <w:r>
        <w:rPr>
          <w:b/>
          <w:i/>
        </w:rPr>
        <w:t>štáty ako základ pre extrapoláciu pri posudzovaní stavu morských biotopov uvedených v prílohe II použiť ako doplnok k informáciám nahláseným v súlade s článkom 17 smernice 92/43/EHS a v súlade s článkom 17 smernice 2008/56/ES aj informácie o tlakoch a hroz</w:t>
      </w:r>
      <w:r>
        <w:rPr>
          <w:b/>
          <w:i/>
        </w:rPr>
        <w:t>bách alebo iné relevantné informácie. Takýto prístup sa môže použiť aj ako základ pre plánovanie opatrení na obnovu morských biotopov v súlade s týmto nariadením. Celkové posúdenie stavu morských biotopov uvedených v prílohe II by malo vychádzať z najlepší</w:t>
      </w:r>
      <w:r>
        <w:rPr>
          <w:b/>
          <w:i/>
        </w:rPr>
        <w:t>ch dostupných poznatkov a najnovšieho technického a vedeckého pokroku.</w:t>
      </w:r>
    </w:p>
    <w:p w:rsidR="00407135" w:rsidRDefault="00D55DFA">
      <w:pPr>
        <w:widowControl/>
        <w:spacing w:after="200" w:line="276" w:lineRule="auto"/>
        <w:rPr>
          <w:rFonts w:eastAsia="Calibri"/>
          <w:b/>
          <w:szCs w:val="24"/>
          <w:u w:val="single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lastRenderedPageBreak/>
        <w:t>(67)</w:t>
      </w:r>
      <w:r>
        <w:tab/>
        <w:t xml:space="preserve">S cieľom monitorovať pokrok pri vykonávaní národných plánov obnovy prírody, zavedených opatrení na obnovu, oblastí, ktoré sú predmetom opatrení zameraných na obnovu, a údajov na </w:t>
      </w:r>
      <w:r>
        <w:t>zozname prekážok pre priechodnosť riek by sa mal zaviesť systém, podľa ktorého členské štáty budú musieť vytvoriť, pravidelne aktualizovať a sprístupňovať relevantné údaje o výsledkoch z uvedeného monitorovania. V rámci elektronického predkladania údajov K</w:t>
      </w:r>
      <w:r>
        <w:t xml:space="preserve">omisii by sa mal využiť systém agentúry EEA Reportnet a cieľom takéhoto predkladania by malo byť čo najväčšie zníženie administratívneho zaťaženia všetkých subjektov. Na zabezpečenie vhodnej infraštruktúry pre verejný prístup, predkladanie a výmenu údajov </w:t>
      </w:r>
      <w:r>
        <w:t>medzi verejnými orgánmi by členské štáty v náležitých prípadoch mali pri špecifikáciách údajov vychádzať zo špecifikácií uvedených v smernici Európskeho parlamentu a Rady 2003/4/ES</w:t>
      </w:r>
      <w:r>
        <w:rPr>
          <w:rFonts w:eastAsia="Calibri"/>
          <w:szCs w:val="24"/>
          <w:vertAlign w:val="superscript"/>
          <w:lang w:eastAsia="en-US"/>
        </w:rPr>
        <w:footnoteReference w:id="53"/>
      </w:r>
      <w:r>
        <w:t>, v smernici Európskeho parlamentu a Rady 2007/2/ES</w:t>
      </w:r>
      <w:r>
        <w:rPr>
          <w:rFonts w:eastAsia="Calibri"/>
          <w:szCs w:val="24"/>
          <w:vertAlign w:val="superscript"/>
          <w:lang w:eastAsia="en-US"/>
        </w:rPr>
        <w:footnoteReference w:id="54"/>
      </w:r>
      <w:r>
        <w:t xml:space="preserve"> a v smernici Európskeh</w:t>
      </w:r>
      <w:r>
        <w:t>o parlamentu a Rady (EÚ) 2019/1024</w:t>
      </w:r>
      <w:r>
        <w:rPr>
          <w:rFonts w:eastAsia="Calibri"/>
          <w:szCs w:val="24"/>
          <w:vertAlign w:val="superscript"/>
          <w:lang w:eastAsia="en-US"/>
        </w:rPr>
        <w:footnoteReference w:id="55"/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(68)</w:t>
      </w:r>
      <w:r>
        <w:tab/>
        <w:t>Na zabezpečenie účinného vykonávania tohto nariadenia by Komisia mala na požiadanie poskytovať podporu členským štátom prostredníctvom Nástroja technickej podpory</w:t>
      </w:r>
      <w:r>
        <w:rPr>
          <w:rFonts w:eastAsia="Calibri"/>
          <w:szCs w:val="24"/>
          <w:vertAlign w:val="superscript"/>
          <w:lang w:eastAsia="en-US"/>
        </w:rPr>
        <w:footnoteReference w:id="56"/>
      </w:r>
      <w:r>
        <w:t>, ktorý poskytuje individualizovanú technickú podpo</w:t>
      </w:r>
      <w:r>
        <w:t>ru na navrhovanie a vykonávanie reforiem. Technická podpora zahŕňa napríklad posilnenie administratívnych kapacít, harmonizáciu legislatívnych rámcov a výmenu príslušných najlepších postupov.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(69)</w:t>
      </w:r>
      <w:r>
        <w:tab/>
        <w:t>Komisia by mala podávať správy o pokroku členských štátov p</w:t>
      </w:r>
      <w:r>
        <w:t>ri plnení cieľov a povinností tohto nariadenia v oblasti obnovy na základe správ o pokroku pre celú Úniu vypracovaných agentúrou EEA, ako aj na základe iných analýz a správ poskytnutých členskými štátmi v príslušných oblastiach politiky, ako je politika v </w:t>
      </w:r>
      <w:r>
        <w:t>oblasti prírody, vodného hospodárstva a morská politika.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br w:type="page"/>
      </w:r>
      <w:r>
        <w:lastRenderedPageBreak/>
        <w:t>(70)</w:t>
      </w:r>
      <w:r>
        <w:tab/>
        <w:t>Na zabezpečenie dosiahnutia cieľov a povinností uvedených v tomto nariadení je mimoriadne dôležité, aby sa do obnovy investovali primerané prostriedky zo súkromných a z verejných zdrojov, člens</w:t>
      </w:r>
      <w:r>
        <w:t xml:space="preserve">ké štáty by do svojich štátnych rozpočtov mali začleniť výdavky na ciele v oblasti biodiverzity, a to aj v súvislosti s alternatívnymi nákladmi a nákladmi na transformáciu, ktoré vyplývajú z vykonávania národných plánov obnovy prírody, a mali by zohľadniť </w:t>
      </w:r>
      <w:r>
        <w:t>spôsob využívania finančných prostriedkov Únie. Pokiaľ ide o financovanie Únie, výdavky v rámci rozpočtu Únie a programov financovania Únie, ako je program pre životné prostredie a klímu (LIFE)</w:t>
      </w:r>
      <w:r>
        <w:rPr>
          <w:rFonts w:eastAsia="Calibri"/>
          <w:szCs w:val="24"/>
          <w:vertAlign w:val="superscript"/>
          <w:lang w:eastAsia="en-US"/>
        </w:rPr>
        <w:footnoteReference w:id="57"/>
      </w:r>
      <w:r>
        <w:t xml:space="preserve">, </w:t>
      </w:r>
      <w:hyperlink r:id="rId9">
        <w:r>
          <w:t>Európsky fond pre námorné rybné hospodárstvo a akvakultúru</w:t>
        </w:r>
      </w:hyperlink>
      <w:r>
        <w:t> (EMFAF),</w:t>
      </w:r>
      <w:r>
        <w:rPr>
          <w:rFonts w:eastAsia="Calibri"/>
          <w:szCs w:val="24"/>
          <w:vertAlign w:val="superscript"/>
          <w:lang w:eastAsia="en-US"/>
        </w:rPr>
        <w:footnoteReference w:id="58"/>
      </w:r>
      <w:r>
        <w:t xml:space="preserve"> </w:t>
      </w:r>
      <w:hyperlink r:id="rId10">
        <w:r>
          <w:t>Európsky poľnohospod</w:t>
        </w:r>
        <w:r>
          <w:t>ársky fond pre rozvoj vidieka</w:t>
        </w:r>
      </w:hyperlink>
      <w:r>
        <w:t> (EPFRV)</w:t>
      </w:r>
      <w:r>
        <w:rPr>
          <w:rFonts w:eastAsia="Calibri"/>
          <w:szCs w:val="24"/>
          <w:vertAlign w:val="superscript"/>
          <w:lang w:eastAsia="en-US"/>
        </w:rPr>
        <w:footnoteReference w:id="59"/>
      </w:r>
      <w:r>
        <w:t xml:space="preserve"> , </w:t>
      </w:r>
      <w:hyperlink r:id="rId11">
        <w:r>
          <w:t>Európsky poľnohospodársky záručný fond</w:t>
        </w:r>
      </w:hyperlink>
      <w:r>
        <w:t xml:space="preserve"> (EPZF), </w:t>
      </w:r>
      <w:hyperlink r:id="rId12">
        <w:r>
          <w:t>Európsky fond regionálneho rozvoja</w:t>
        </w:r>
      </w:hyperlink>
      <w:r>
        <w:t xml:space="preserve"> (EFRR), </w:t>
      </w:r>
      <w:hyperlink r:id="rId13">
        <w:r>
          <w:t>Kohézny fond</w:t>
        </w:r>
      </w:hyperlink>
      <w:r>
        <w:t xml:space="preserve"> </w:t>
      </w:r>
      <w:r>
        <w:rPr>
          <w:rFonts w:eastAsia="Calibri"/>
          <w:szCs w:val="24"/>
          <w:vertAlign w:val="superscript"/>
          <w:lang w:eastAsia="en-US"/>
        </w:rPr>
        <w:footnoteReference w:id="60"/>
      </w:r>
      <w:r>
        <w:t>a Fond spravodlivej transformácie</w:t>
      </w:r>
      <w:r>
        <w:rPr>
          <w:rFonts w:eastAsia="Calibri"/>
          <w:szCs w:val="24"/>
          <w:vertAlign w:val="superscript"/>
          <w:lang w:eastAsia="en-US"/>
        </w:rPr>
        <w:footnoteReference w:id="61"/>
      </w:r>
      <w:r>
        <w:t xml:space="preserve">, ako aj rámcový program Únie pre výskum a </w:t>
      </w:r>
      <w:r>
        <w:t>inovácie Horizon Europe</w:t>
      </w:r>
      <w:r>
        <w:rPr>
          <w:rFonts w:eastAsia="Calibri"/>
          <w:szCs w:val="24"/>
          <w:vertAlign w:val="superscript"/>
          <w:lang w:eastAsia="en-US"/>
        </w:rPr>
        <w:footnoteReference w:id="62"/>
      </w:r>
      <w:r>
        <w:t>, prispievajú k cieľom biodiverzity s ambíciou vyčleniť 7,5 % v roku 2024 a 10 % v roku 2026 a 2027 z ročných výdavkov v rámci viacročného finančného rámca</w:t>
      </w:r>
      <w:r>
        <w:rPr>
          <w:rFonts w:eastAsia="Calibri"/>
          <w:szCs w:val="24"/>
          <w:vertAlign w:val="superscript"/>
          <w:lang w:eastAsia="en-US"/>
        </w:rPr>
        <w:footnoteReference w:id="63"/>
      </w:r>
      <w:r>
        <w:t xml:space="preserve"> na roky 2021 – 2027 na ciele v oblasti biodiverzity.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/>
        <w:rPr>
          <w:rFonts w:eastAsia="Calibri"/>
          <w:szCs w:val="24"/>
        </w:rPr>
      </w:pPr>
      <w:r>
        <w:br w:type="page"/>
      </w:r>
      <w:r>
        <w:lastRenderedPageBreak/>
        <w:t>Ďalším zdrojom finan</w:t>
      </w:r>
      <w:r>
        <w:t xml:space="preserve">covania na ochranu a obnovu biodiverzity a ekosystémov je </w:t>
      </w:r>
      <w:hyperlink r:id="rId14">
        <w:r>
          <w:t>Mechanizmus na podporu obnovy a odolnosti</w:t>
        </w:r>
      </w:hyperlink>
      <w:r>
        <w:t xml:space="preserve"> (RRF)</w:t>
      </w:r>
      <w:r>
        <w:rPr>
          <w:rFonts w:eastAsia="Calibri"/>
          <w:szCs w:val="24"/>
          <w:vertAlign w:val="superscript"/>
          <w:lang w:eastAsia="en-US"/>
        </w:rPr>
        <w:footnoteReference w:id="64"/>
      </w:r>
      <w:r>
        <w:t>. S odkazom na program LIF</w:t>
      </w:r>
      <w:r>
        <w:t>E by sa osobitná pozornosť mala venovať náležitému používaniu strategických projektov v oblasti ochrany prírody ako konkrétneho nástroja, ktorý by mohol podporiť vykonávanie tohto nariadenia, a to prostredníctvom účinného a efektívneho uplatňovania dostupn</w:t>
      </w:r>
      <w:r>
        <w:t>ých finančných prostriedkov.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(71)</w:t>
      </w:r>
      <w:r>
        <w:tab/>
        <w:t>Na stimuláciu súkromného financovania je k dispozícii celý rad európskych, vnútroštátnych a súkromných iniciatív, ako je Program InvestEU</w:t>
      </w:r>
      <w:r>
        <w:rPr>
          <w:rFonts w:eastAsia="Calibri"/>
          <w:szCs w:val="24"/>
          <w:vertAlign w:val="superscript"/>
          <w:lang w:eastAsia="en-US"/>
        </w:rPr>
        <w:footnoteReference w:id="65"/>
      </w:r>
      <w:r>
        <w:t xml:space="preserve">, ktorý ponúka príležitosti na mobilizáciu verejných a súkromných finančných </w:t>
      </w:r>
      <w:r>
        <w:t>prostriedkov s cieľom podporiť okrem iného posilnenie prírody a biodiverzity prostredníctvom projektov zelenej a modrej infraštruktúry, a uhlíkové poľnohospodárstvo ako ekologický obchodný model</w:t>
      </w:r>
      <w:r>
        <w:rPr>
          <w:rFonts w:eastAsia="Calibri"/>
          <w:szCs w:val="24"/>
          <w:vertAlign w:val="superscript"/>
          <w:lang w:eastAsia="en-US"/>
        </w:rPr>
        <w:footnoteReference w:id="66"/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i/>
          <w:szCs w:val="22"/>
        </w:rPr>
      </w:pPr>
      <w:r>
        <w:rPr>
          <w:b/>
          <w:i/>
        </w:rPr>
        <w:t>(71a)</w:t>
      </w:r>
      <w:r>
        <w:rPr>
          <w:b/>
          <w:i/>
        </w:rPr>
        <w:tab/>
        <w:t>Na zabezpečenie vykonávania tohto nariadenia sú nevyh</w:t>
      </w:r>
      <w:r>
        <w:rPr>
          <w:b/>
          <w:i/>
        </w:rPr>
        <w:t>nutné primerané súkromné a verejné investície do opatrení na obnovu prírody. Komisia by preto mala do 12 mesiacov od nadobudnutia jeho účinnosti a po konzultácii s členskými štátmi predložiť správu s analýzou, v ktorej sa identifikujú prípadné nedostatky v</w:t>
      </w:r>
      <w:r>
        <w:rPr>
          <w:b/>
          <w:i/>
        </w:rPr>
        <w:t>o vykonávaní tohto nariadenia. K uvedenej správe by sa v prípade potreby mali pripojiť návrhy primeraných opatrení vrátane finančných opatrení na riešenie zistených nedostatkov, ako je napríklad zavedenie účelového financovania, a bez toho, aby boli dotknu</w:t>
      </w:r>
      <w:r>
        <w:rPr>
          <w:b/>
          <w:i/>
        </w:rPr>
        <w:t>té právomoci spoluzákonodarcov, na prijatie nasledujúceho viacročného finančného rámca na obdobie po roku 2027.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r>
        <w:br w:type="page"/>
      </w:r>
      <w:r>
        <w:rPr>
          <w:b/>
          <w:i/>
        </w:rPr>
        <w:lastRenderedPageBreak/>
        <w:t xml:space="preserve">(71b) </w:t>
      </w:r>
      <w:r>
        <w:rPr>
          <w:b/>
          <w:i/>
        </w:rPr>
        <w:tab/>
      </w:r>
      <w:r>
        <w:rPr>
          <w:b/>
          <w:i/>
        </w:rPr>
        <w:t xml:space="preserve">Podľa ustálenej judikatúry Súdneho dvora na základe zásady lojálnej spolupráce stanovenej v článku 4 ods. 3 Zmluvy o Európskej únii (ďalej len „Zmluva o EÚ“) je na súdoch členských štátov, aby zabezpečili súdnu ochranu práv osôb podľa práva Únie. V článku </w:t>
      </w:r>
      <w:r>
        <w:rPr>
          <w:b/>
          <w:i/>
        </w:rPr>
        <w:t>19 ods. 1 Zmluvy o EÚ sa navyše členským štátom ukladá povinnosť stanoviť prostriedky nápravy potrebné na zabezpečenie účinnej súdnej ochrany v oblastiach, na ktoré sa vzťahuje právo Únie. Únia a jej členské štáty sú zmluvnými stranami Dohovoru Európskej h</w:t>
      </w:r>
      <w:r>
        <w:rPr>
          <w:b/>
          <w:i/>
        </w:rPr>
        <w:t>ospodárskej komisie Organizácie Spojených národov (EHK OSN) o prístupe k informáciám, účasti verejnosti na rozhodovacom procese a prístupe k spravodlivosti v záležitostiach životného prostredia (ďalej len „Aarhuský dohovor“). Podľa Aarhuského dohovoru by č</w:t>
      </w:r>
      <w:r>
        <w:rPr>
          <w:b/>
          <w:i/>
        </w:rPr>
        <w:t xml:space="preserve">lenské štáty mali zabezpečiť, aby v súlade s príslušným vnútroštátnym právnym systémom mala dotknutá verejnosť prístup k spravodlivosti.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(72)</w:t>
      </w:r>
      <w:r>
        <w:tab/>
        <w:t>Členské štáty by pri príprave a vykonávaní svojich národných plánov obnovy prírody mali uplatňovať spravodlivý pr</w:t>
      </w:r>
      <w:r>
        <w:t xml:space="preserve">ístup zahŕňajúci celú spoločnosť, a to začlenením postupov na zapojenie verejnosti a zohľadnením potrieb miestnych komunít a zainteresovaných strán.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(73)</w:t>
      </w:r>
      <w:r>
        <w:tab/>
        <w:t>Podľa nariadenia Európskeho parlamentu a Rady (EÚ) 2021/2115</w:t>
      </w:r>
      <w:r>
        <w:rPr>
          <w:rFonts w:eastAsia="Calibri"/>
          <w:szCs w:val="24"/>
          <w:vertAlign w:val="superscript"/>
          <w:lang w:eastAsia="en-US"/>
        </w:rPr>
        <w:footnoteReference w:id="67"/>
      </w:r>
      <w:r>
        <w:t xml:space="preserve"> majú strategické plány SPP prispieť k d</w:t>
      </w:r>
      <w:r>
        <w:t xml:space="preserve">osiahnutiu dlhodobých vnútroštátnych cieľov, ktoré sú stanovené v legislatívnych aktoch uvedených v prílohe XIII k uvedenému nariadeniu alebo z nich vychádzajú, a majú byť s nimi v súlade. Toto nariadenie o obnove prírody by sa malo zohľadňovať vtedy, keď </w:t>
      </w:r>
      <w:r>
        <w:t>Komisia v súlade s článkom 159 nariadenia (EÚ) 2021/2115 do 31. decembra 2025 preskúma zoznam uvedený v prílohe XIII k uvedenému nariadeniu.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(74)</w:t>
      </w:r>
      <w:r>
        <w:tab/>
        <w:t>V súlade so záväzkom uvedeným v 8. environmentálnom akčnom programe do roku 2030</w:t>
      </w:r>
      <w:r>
        <w:rPr>
          <w:rFonts w:eastAsia="Calibri"/>
          <w:szCs w:val="24"/>
          <w:vertAlign w:val="superscript"/>
          <w:lang w:eastAsia="en-US"/>
        </w:rPr>
        <w:footnoteReference w:id="68"/>
      </w:r>
      <w:r>
        <w:t xml:space="preserve"> by členské štáty mali na vnú</w:t>
      </w:r>
      <w:r>
        <w:t>troštátnej úrovni postupne ukončiť poskytovanie dotácií škodlivých pre životné prostredie, pričom by mali čo najlepšie využiť trhovo orientované nástroje a nástroje zeleného rozpočtovania vrátane nástrojov potrebných na zabezpečenie sociálne spravodlivej t</w:t>
      </w:r>
      <w:r>
        <w:t>ransformácie a podporiť podniky a iné zainteresované strany pri vypracúvaní štandardizovaných účtovných postupov týkajúcich sa prírodného kapitálu.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(75)</w:t>
      </w:r>
      <w:r>
        <w:tab/>
        <w:t>Na zabezpečenie nevyhnutnej úpravy tohto nariadenia by sa mala na Komisiu delegovať právomoc prijímať a</w:t>
      </w:r>
      <w:r>
        <w:t xml:space="preserve">kty v súlade s článkom 290 ZFEÚ, pokiaľ ide o zmenu príloh I až VII </w:t>
      </w:r>
      <w:r>
        <w:lastRenderedPageBreak/>
        <w:t xml:space="preserve">s cieľom upraviť skupinu biotopov, </w:t>
      </w:r>
      <w:r>
        <w:rPr>
          <w:b/>
          <w:bCs/>
          <w:i/>
          <w:iCs/>
        </w:rPr>
        <w:t>upraviť zoznam druhov vtáctva využívaný na účely</w:t>
      </w:r>
      <w:r>
        <w:t xml:space="preserve"> indexu bežných druhov vtáctva žijúceho na poľnohospodárskej pôde, ako aj upraviť zoznam ukazovateľov bio</w:t>
      </w:r>
      <w:r>
        <w:t xml:space="preserve">diverzity poľnohospodárskych ekosystémov, zoznam ukazovateľov biodiverzity lesných ekosystémov a zoznamy morských biotopov a druhov </w:t>
      </w:r>
      <w:r>
        <w:rPr>
          <w:rFonts w:ascii="Arial" w:hAnsi="Arial"/>
          <w:snapToGrid w:val="0"/>
        </w:rPr>
        <w:t>▌</w:t>
      </w:r>
      <w:r>
        <w:t xml:space="preserve"> a príklady opatrení na obnovu podľa </w:t>
      </w:r>
      <w:r>
        <w:rPr>
          <w:b/>
          <w:bCs/>
          <w:i/>
          <w:iCs/>
        </w:rPr>
        <w:t xml:space="preserve">vedeckého a technického pokroku, zohľadniť skúsenosti z uplatňovania nariadenia alebo </w:t>
      </w:r>
      <w:r>
        <w:rPr>
          <w:b/>
          <w:bCs/>
          <w:i/>
          <w:iCs/>
        </w:rPr>
        <w:t>zabezpečiť súlad s typmi biotopov podľa klasifikácie EUNIS</w:t>
      </w:r>
      <w:r>
        <w:t xml:space="preserve">. Je osobitne dôležité, aby Komisia počas prípravných prác uskutočnila posúdenie vplyvu a príslušné konzultácie, a to aj na úrovni expertov, </w:t>
      </w:r>
      <w:r>
        <w:rPr>
          <w:rFonts w:ascii="Arial" w:hAnsi="Arial"/>
          <w:snapToGrid w:val="0"/>
        </w:rPr>
        <w:t>▌</w:t>
      </w:r>
      <w:r>
        <w:t xml:space="preserve">a aby tieto konzultácie vykonávala v súlade so zásadami </w:t>
      </w:r>
      <w:r>
        <w:t>stanovenými v Medziinštitucionálnej dohode z 13. apríla 2016 o lepšej tvorbe práva</w:t>
      </w:r>
      <w:r>
        <w:rPr>
          <w:rStyle w:val="FootnoteReference"/>
        </w:rPr>
        <w:footnoteReference w:id="69"/>
      </w:r>
      <w:r>
        <w:t>. Predovšetkým, v záujme rovnakého zastúpenia pri príprave delegovaných aktov, sa všetky dokumenty doručujú Európskemu parlamentu a Rade v rovnakom čase ako odborníkom z čle</w:t>
      </w:r>
      <w:r>
        <w:t>nských štátov, a odborníci Európskeho parlamentu a Rady majú systematický prístup na zasadnutia skupín odborníkov Komisie, ktoré sa zaoberajú prípravou delegovaných aktov.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(76)</w:t>
      </w:r>
      <w:r>
        <w:tab/>
        <w:t>V záujme zabezpečenia jednotných podmienok vykonávania tohto nariadenia by sa K</w:t>
      </w:r>
      <w:r>
        <w:t>omisii mali zveriť vykonávacie právomoci, aby mohla určiť metódu na monitorovanie opeľovačov, určiť metódy na monitorovanie ukazovateľov týkajúcich sa poľnohospodárskych ekosystémov uvedených v prílohe IV k tomuto nariadeniu a ukazovateľov týkajúcich sa le</w:t>
      </w:r>
      <w:r>
        <w:t xml:space="preserve">sných ekosystémov uvedených v prílohe VI k tomuto nariadeniu, stanoviť </w:t>
      </w:r>
      <w:bookmarkStart w:id="25" w:name="_Hlk133427816"/>
      <w:r>
        <w:rPr>
          <w:b/>
          <w:bCs/>
          <w:i/>
          <w:iCs/>
        </w:rPr>
        <w:t>usmerňujúce rámce na určovanie uspokojivých úrovní plochy mestskej zelene, mestského korunového zápoja stromov v mestských ekosystémoch</w:t>
      </w:r>
      <w:bookmarkEnd w:id="25"/>
      <w:r>
        <w:t>, opeľovačov, ukazovateľov týkajúcich sa poľnohosp</w:t>
      </w:r>
      <w:r>
        <w:t>odárskych ekosystémov uvedených v prílohe IV k tomuto nariadeniu a ukazovateľov týkajúcich sa lesných ekosystémov uvedených v prílohe VI k tomuto nariadeniu, stanoviť jednotný formát národných plánov obnovy prírody, stanoviť formát a štruktúru údajov a inf</w:t>
      </w:r>
      <w:r>
        <w:t>ormácií, ktoré sa majú elektronicky predkladať Komisii, a podrobné pravidlá na ich predkladanie Komisii. Tieto právomoci by sa mali vykonávať v súlade s nariadením Európskeho parlamentu a Rady (EÚ) č. 182/2011</w:t>
      </w:r>
      <w:r>
        <w:rPr>
          <w:rFonts w:eastAsia="Calibri"/>
          <w:szCs w:val="24"/>
          <w:vertAlign w:val="superscript"/>
          <w:lang w:eastAsia="en-US"/>
        </w:rPr>
        <w:footnoteReference w:id="70"/>
      </w:r>
      <w:r>
        <w:t xml:space="preserve">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(77)</w:t>
      </w:r>
      <w:r>
        <w:tab/>
        <w:t>Komisia by mala vykonať hodnotenie toh</w:t>
      </w:r>
      <w:r>
        <w:t xml:space="preserve">to nariadenia. Podľa bodu 22 Medziinštitucionálnej dohody o lepšej tvorbe práva by toto hodnotenie malo byť založené na kritériách, ktorými sú efektívnosť, účinnosť, relevantnosť, súdržnosť a pridaná hodnota EÚ, a malo by poskytovať </w:t>
      </w:r>
      <w:r>
        <w:lastRenderedPageBreak/>
        <w:t>základ pre posúdenie vp</w:t>
      </w:r>
      <w:r>
        <w:t xml:space="preserve">lyvu možností ďalších opatrení. Komisia by okrem toho mala posúdiť potrebu stanoviť dodatočné ciele obnovy založené na spoločných metódach posudzovania stavu ekosystémov neuvedených v článkoch 4 a 5, pričom by mala zohľadniť najnovšie vedecké dôkazy.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>
        <w:t>(78)</w:t>
      </w:r>
      <w:r>
        <w:tab/>
        <w:t>Keďže ciele tohto nariadenia nie je možné uspokojivo dosiahnuť na úrovni členských štátov, ale z dôvodov ich rozsahu a dôsledkov ich možno lepšie dosiahnuť na úrovni Únie, môže Únia prijať opatrenia v súlade so zásadou subsidiarity podľa článku 5 ZEÚ. V s</w:t>
      </w:r>
      <w:r>
        <w:t>úlade so zásadou proporcionality podľa uvedeného článku toto nariadenie neprekračuje rámec nevyhnutný na dosiahnutie týchto cieľov.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3400" w:hanging="567"/>
        <w:rPr>
          <w:rFonts w:eastAsia="Calibri"/>
          <w:szCs w:val="24"/>
        </w:rPr>
      </w:pPr>
      <w:r>
        <w:br w:type="page"/>
      </w:r>
    </w:p>
    <w:p w:rsidR="00407135" w:rsidRDefault="00D55DFA">
      <w:pPr>
        <w:keepNext/>
        <w:widowControl/>
        <w:suppressAutoHyphens/>
        <w:spacing w:before="120" w:after="120"/>
        <w:jc w:val="both"/>
        <w:rPr>
          <w:rFonts w:eastAsia="Calibri"/>
          <w:szCs w:val="22"/>
        </w:rPr>
      </w:pPr>
      <w:r>
        <w:lastRenderedPageBreak/>
        <w:t>PRIJALI TOTO NARIADENIE:</w:t>
      </w:r>
    </w:p>
    <w:p w:rsidR="00407135" w:rsidRDefault="00407135">
      <w:pPr>
        <w:keepNext/>
        <w:widowControl/>
        <w:suppressAutoHyphens/>
        <w:spacing w:before="360" w:after="120"/>
        <w:ind w:right="3400"/>
        <w:jc w:val="center"/>
        <w:outlineLvl w:val="1"/>
        <w:rPr>
          <w:b/>
          <w:bCs/>
          <w:szCs w:val="26"/>
          <w:lang w:eastAsia="en-US"/>
        </w:rPr>
      </w:pPr>
    </w:p>
    <w:p w:rsidR="00407135" w:rsidRDefault="00D55DFA">
      <w:pPr>
        <w:keepNext/>
        <w:widowControl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>
        <w:rPr>
          <w:b/>
          <w:smallCaps/>
          <w:sz w:val="32"/>
        </w:rPr>
        <w:t>KAPITOLA I</w:t>
      </w:r>
      <w:r>
        <w:rPr>
          <w:b/>
          <w:smallCaps/>
          <w:sz w:val="32"/>
        </w:rPr>
        <w:br/>
        <w:t>VŠEOBECNÉ USTANOVENIA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bookmarkStart w:id="26" w:name="_Hlk137037513"/>
      <w:r>
        <w:t>Článok 1</w:t>
      </w:r>
      <w:r>
        <w:br/>
      </w:r>
      <w:r>
        <w:rPr>
          <w:i/>
          <w:iCs/>
        </w:rPr>
        <w:t>Predmet úpravy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jc w:val="both"/>
        <w:rPr>
          <w:rFonts w:eastAsia="Calibri"/>
          <w:szCs w:val="22"/>
        </w:rPr>
      </w:pPr>
      <w:r>
        <w:t>1.</w:t>
      </w:r>
      <w:r>
        <w:tab/>
        <w:t xml:space="preserve">V tomto nariadení sa stanovujú </w:t>
      </w:r>
      <w:r>
        <w:t>pravidlá s cieľom prispieť k: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</w:rPr>
      </w:pPr>
      <w:r>
        <w:t>a)</w:t>
      </w:r>
      <w:r>
        <w:tab/>
        <w:t xml:space="preserve">▌biologicky </w:t>
      </w:r>
      <w:r>
        <w:rPr>
          <w:b/>
          <w:i/>
        </w:rPr>
        <w:t>rozmanitým, odolným</w:t>
      </w:r>
      <w:r>
        <w:t xml:space="preserve"> a </w:t>
      </w:r>
      <w:r>
        <w:rPr>
          <w:b/>
          <w:i/>
        </w:rPr>
        <w:t>produktívnym ekosystémom</w:t>
      </w:r>
      <w:r>
        <w:t xml:space="preserve"> v pevninských a morských oblastiach </w:t>
      </w:r>
      <w:r>
        <w:rPr>
          <w:b/>
          <w:i/>
        </w:rPr>
        <w:t>členských štátov</w:t>
      </w:r>
      <w:r>
        <w:t xml:space="preserve"> prostredníctvom obnovy </w:t>
      </w:r>
      <w:r>
        <w:rPr>
          <w:b/>
          <w:i/>
        </w:rPr>
        <w:t>degradovaných</w:t>
      </w:r>
      <w:r>
        <w:t xml:space="preserve"> ekosystémov;</w:t>
      </w:r>
      <w:r>
        <w:rPr>
          <w:b/>
        </w:rPr>
        <w:t xml:space="preserve"> [PN 113/rev1]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</w:rPr>
      </w:pPr>
      <w:r>
        <w:t>b)</w:t>
      </w:r>
      <w:r>
        <w:tab/>
      </w:r>
      <w:r>
        <w:t xml:space="preserve">dosiahnutiu všeobecných cieľov Únie v oblasti zmierňovania zmeny klímy, adaptácie na zmenu klímy, </w:t>
      </w:r>
      <w:r>
        <w:rPr>
          <w:b/>
          <w:i/>
        </w:rPr>
        <w:t xml:space="preserve">vrátane potravinovej bezpečnosti, energetickej transformácie a sociálneho bývania, </w:t>
      </w:r>
      <w:r>
        <w:rPr>
          <w:b/>
          <w:bCs/>
          <w:i/>
          <w:iCs/>
        </w:rPr>
        <w:t>a neutrality degradácie pôdy</w:t>
      </w:r>
      <w:r>
        <w:t>.</w:t>
      </w:r>
      <w:r>
        <w:rPr>
          <w:b/>
        </w:rPr>
        <w:t xml:space="preserve"> [PN 114]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jc w:val="both"/>
        <w:rPr>
          <w:rFonts w:eastAsia="Calibri"/>
          <w:szCs w:val="22"/>
        </w:rPr>
      </w:pPr>
      <w:r>
        <w:t>c)</w:t>
      </w:r>
      <w:r>
        <w:tab/>
        <w:t>plneniu medzinárodných záväzkov Ú</w:t>
      </w:r>
      <w:r>
        <w:t>nie.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</w:pPr>
      <w:r>
        <w:t>2.</w:t>
      </w:r>
      <w:r>
        <w:tab/>
        <w:t xml:space="preserve">Týmto nariadením sa stanovuje rámec, na základe ktorého členské štáty </w:t>
      </w:r>
      <w:r>
        <w:rPr>
          <w:rFonts w:ascii="Arial" w:hAnsi="Arial"/>
          <w:snapToGrid w:val="0"/>
        </w:rPr>
        <w:t>▌</w:t>
      </w:r>
      <w:r>
        <w:t>zavedú účinné opatrenia na obnovu, ktoré sa zamerajú na jednotlivé oblasti, […] s cieľom spoločne pokrývať ako cieľ Únie v oblastiach a ekosystémoch v rozsahu vymedzenom v článk</w:t>
      </w:r>
      <w:r>
        <w:t xml:space="preserve">u 2 do roku 2030 aspoň 20 % pevninských oblastí a 20 % morských oblastí </w:t>
      </w:r>
      <w:r>
        <w:rPr>
          <w:rFonts w:ascii="Arial" w:hAnsi="Arial"/>
          <w:snapToGrid w:val="0"/>
        </w:rPr>
        <w:t>▌</w:t>
      </w:r>
      <w:r>
        <w:t xml:space="preserve"> a do roku 2050 všetky ekosystémy, ktoré potrebujú obnovu.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>
        <w:rPr>
          <w:b/>
          <w:i/>
        </w:rPr>
        <w:t>2a.</w:t>
      </w:r>
      <w:r>
        <w:tab/>
      </w:r>
      <w:r>
        <w:rPr>
          <w:b/>
          <w:i/>
        </w:rPr>
        <w:t>Toto nariadenie musí vytvárať synergický účinok a byť v súlade s existujúcimi a pripravovanými právnymi predpismi, pričo</w:t>
      </w:r>
      <w:r>
        <w:rPr>
          <w:b/>
          <w:i/>
        </w:rPr>
        <w:t>m treba zohľadniť vnútroštátne právomoci a zabezpečiť ucelenosť a súdržnosť s právnymi predpismi Únie, okrem iného v oblasti energie z obnoviteľných zdrojov, prípravkov na ochranu rastlín, kritických surovín, poľnohospodárstva a lesného hospodárstva.</w:t>
      </w:r>
      <w:r>
        <w:rPr>
          <w:b/>
        </w:rPr>
        <w:t xml:space="preserve"> [PN 1</w:t>
      </w:r>
      <w:r>
        <w:rPr>
          <w:b/>
        </w:rPr>
        <w:t>16]</w:t>
      </w:r>
    </w:p>
    <w:bookmarkEnd w:id="26"/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>
        <w:rPr>
          <w:b/>
          <w:bCs/>
        </w:rPr>
        <w:t>Článok 2</w:t>
      </w:r>
      <w:r>
        <w:br/>
      </w:r>
      <w:r>
        <w:rPr>
          <w:i/>
          <w:iCs/>
        </w:rPr>
        <w:t>Geografický rozsah</w:t>
      </w:r>
    </w:p>
    <w:p w:rsidR="00407135" w:rsidRDefault="00D55DFA">
      <w:pPr>
        <w:widowControl/>
        <w:suppressAutoHyphens/>
        <w:spacing w:before="120" w:after="120" w:line="360" w:lineRule="auto"/>
        <w:ind w:right="-1"/>
        <w:rPr>
          <w:rFonts w:eastAsia="Calibri"/>
          <w:szCs w:val="22"/>
        </w:rPr>
      </w:pPr>
      <w:r>
        <w:t>Toto nariadenie sa vzťahuje na ekosystémy uvedené v článkoch 4 až 10: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jc w:val="both"/>
        <w:rPr>
          <w:rFonts w:eastAsia="Calibri"/>
          <w:b/>
          <w:szCs w:val="22"/>
          <w:u w:val="single"/>
        </w:rPr>
      </w:pPr>
      <w:r>
        <w:t>a)</w:t>
      </w:r>
      <w:r>
        <w:tab/>
        <w:t>na území členských štátov;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jc w:val="both"/>
        <w:rPr>
          <w:rFonts w:eastAsia="Calibri"/>
          <w:i/>
          <w:szCs w:val="22"/>
        </w:rPr>
      </w:pPr>
      <w:r>
        <w:rPr>
          <w:b/>
          <w:i/>
        </w:rPr>
        <w:lastRenderedPageBreak/>
        <w:t>aa)</w:t>
      </w:r>
      <w:r>
        <w:rPr>
          <w:b/>
          <w:i/>
        </w:rPr>
        <w:tab/>
        <w:t>v pobrežných vodách členských štátov, ako sú vymedzené v smernici 2000/60/ES, na ich morskom dne a v podloží;</w:t>
      </w:r>
    </w:p>
    <w:p w:rsidR="00407135" w:rsidRDefault="00D55DFA">
      <w:pPr>
        <w:widowControl/>
        <w:spacing w:before="120" w:after="120" w:line="360" w:lineRule="auto"/>
        <w:ind w:left="1134" w:hanging="567"/>
        <w:rPr>
          <w:rFonts w:eastAsia="Calibri"/>
          <w:szCs w:val="22"/>
        </w:rPr>
      </w:pPr>
      <w:r>
        <w:t>b)</w:t>
      </w:r>
      <w:r>
        <w:tab/>
        <w:t>vo vodá</w:t>
      </w:r>
      <w:r>
        <w:t xml:space="preserve">ch, na morskom dne a v podloží, ktoré sa rozprestierajú od základnej línie, od ktorej sa meria rozloha výsostných vôd, smerom k otvorenému moru a siahajú až k najvzdialenejšiemu okraju oblasti, v ktorej členský štát má alebo uplatňuje zvrchované práva </w:t>
      </w:r>
      <w:r>
        <w:rPr>
          <w:b/>
          <w:bCs/>
          <w:i/>
          <w:iCs/>
        </w:rPr>
        <w:t>aleb</w:t>
      </w:r>
      <w:r>
        <w:rPr>
          <w:b/>
          <w:bCs/>
          <w:i/>
          <w:iCs/>
        </w:rPr>
        <w:t>o jurisdikciu</w:t>
      </w:r>
      <w:r>
        <w:t xml:space="preserve"> v súlade s Dohovorom Organizácie Spojených národov o morskom práve z roku 1982.</w:t>
      </w:r>
    </w:p>
    <w:p w:rsidR="00407135" w:rsidRDefault="00D55DFA">
      <w:pPr>
        <w:widowControl/>
        <w:spacing w:before="120" w:after="120" w:line="360" w:lineRule="auto"/>
        <w:rPr>
          <w:rFonts w:ascii="Calibri" w:eastAsia="Calibri" w:hAnsi="Calibri" w:cs="Calibri"/>
          <w:b/>
          <w:i/>
          <w:sz w:val="22"/>
          <w:szCs w:val="22"/>
        </w:rPr>
      </w:pPr>
      <w:bookmarkStart w:id="27" w:name="_Hlk135939578"/>
      <w:r>
        <w:rPr>
          <w:b/>
          <w:bCs/>
          <w:i/>
          <w:iCs/>
        </w:rPr>
        <w:t>Toto nariadenie sa uplatňuje len na ekosystémy na európskom území členských štátov, na ktoré sa vzťahujú zmluvy.</w:t>
      </w:r>
      <w:bookmarkEnd w:id="27"/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 w:val="22"/>
          <w:szCs w:val="26"/>
        </w:rPr>
      </w:pPr>
      <w:r>
        <w:t>Článok 3</w:t>
      </w:r>
      <w:r>
        <w:br/>
      </w:r>
      <w:r>
        <w:rPr>
          <w:i/>
          <w:iCs/>
        </w:rPr>
        <w:t>Vymedzenie pojmov</w:t>
      </w:r>
      <w:r>
        <w:rPr>
          <w:b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right="-1"/>
        <w:rPr>
          <w:rFonts w:eastAsia="Calibri"/>
          <w:szCs w:val="22"/>
        </w:rPr>
      </w:pPr>
      <w:r>
        <w:t xml:space="preserve">Uplatňuje sa toto </w:t>
      </w:r>
      <w:r>
        <w:t>vymedzenie pojmov: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t>(1)</w:t>
      </w:r>
      <w:r>
        <w:tab/>
        <w:t>„ekosystém“ je dynamický komplex spoločenstiev rastlín, živočíchov, húb a mikroorganizmov a ich neživého prostredia, ktoré navzájom pôsobia ako funkčná jednotka, a zahŕňa typy biotopov, biotopy druhov a populácie druhov;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  <w:lang w:eastAsia="en-US"/>
        </w:rPr>
      </w:pPr>
      <w:r>
        <w:t>(2)</w:t>
      </w:r>
      <w:r>
        <w:tab/>
      </w:r>
      <w:r>
        <w:t xml:space="preserve">„biotop druhu“ […] je biotop druhov </w:t>
      </w:r>
      <w:r>
        <w:rPr>
          <w:b/>
          <w:bCs/>
          <w:i/>
          <w:iCs/>
        </w:rPr>
        <w:t xml:space="preserve">v zmysle článku 1 </w:t>
      </w:r>
      <w:bookmarkStart w:id="28" w:name="_Hlk126738941"/>
      <w:bookmarkEnd w:id="28"/>
      <w:r>
        <w:rPr>
          <w:b/>
          <w:bCs/>
          <w:i/>
          <w:iCs/>
        </w:rPr>
        <w:t>písm. f) smernice 92/43/EHS</w:t>
      </w:r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br w:type="page"/>
      </w:r>
      <w:r>
        <w:lastRenderedPageBreak/>
        <w:t>(3)</w:t>
      </w:r>
      <w:r>
        <w:tab/>
        <w:t xml:space="preserve">„obnova“ je proces aktívnej alebo pasívnej pomoci pri obnove ekosystému </w:t>
      </w:r>
      <w:r>
        <w:rPr>
          <w:b/>
          <w:bCs/>
          <w:i/>
          <w:iCs/>
        </w:rPr>
        <w:t>s cieľom zlepšiť jeho štruktúru a funkcie v záujme zachovania alebo zlepšenia biodiverzity a odo</w:t>
      </w:r>
      <w:r>
        <w:rPr>
          <w:b/>
          <w:bCs/>
          <w:i/>
          <w:iCs/>
        </w:rPr>
        <w:t>lnosti ekosystémov</w:t>
      </w:r>
      <w:r>
        <w:t>;</w:t>
      </w:r>
      <w:r>
        <w:rPr>
          <w:b/>
          <w:i/>
        </w:rPr>
        <w:t xml:space="preserve"> </w:t>
      </w:r>
      <w:r>
        <w:rPr>
          <w:b/>
          <w:bCs/>
          <w:i/>
          <w:iCs/>
        </w:rPr>
        <w:t xml:space="preserve">na účely tohto nariadenia sa obnova ekosystémov realizuje zlepšovaním typu biotopu do dobrého stavu, </w:t>
      </w:r>
      <w:r>
        <w:rPr>
          <w:rFonts w:ascii="Arial" w:hAnsi="Arial"/>
          <w:b/>
          <w:bCs/>
          <w:i/>
          <w:iCs/>
          <w:snapToGrid w:val="0"/>
        </w:rPr>
        <w:t>▌</w:t>
      </w:r>
      <w:r>
        <w:rPr>
          <w:b/>
          <w:bCs/>
          <w:i/>
          <w:iCs/>
        </w:rPr>
        <w:t>jeho znovuvytvorením ako priaznivej referenčnej plochy a zlepšením biotopu druhu v dostatočnej kvalite a kvantite […] v súlade s článk</w:t>
      </w:r>
      <w:r>
        <w:rPr>
          <w:b/>
          <w:bCs/>
          <w:i/>
          <w:iCs/>
        </w:rPr>
        <w:t>om 4 ods. 1, 2 a 3 a článkom 5 ods. 1, 2 a 3 […] a splnením cieľov a povinností podľa článku 6 až 10 vrátane dosiahnutia […] uspokojivých úrovní ukazovateľov uvedených podľa článkov 8 ods. 1, 9 ods. 2 a 10 ods. 2</w:t>
      </w:r>
      <w:r>
        <w:t xml:space="preserve"> ako spôsobu zachovania a zlepšenia biodiver</w:t>
      </w:r>
      <w:r>
        <w:t xml:space="preserve">zity a odolnosti ekosystémov; 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szCs w:val="22"/>
        </w:rPr>
      </w:pPr>
      <w:r>
        <w:t>(4)</w:t>
      </w:r>
      <w:r>
        <w:tab/>
        <w:t>„dobrý stav“</w:t>
      </w:r>
      <w:r>
        <w:rPr>
          <w:b/>
          <w:bCs/>
          <w:i/>
          <w:iCs/>
        </w:rPr>
        <w:t xml:space="preserve"> typu biotopu je stav, v ktorom jeho kľúčové vlastnosti, </w:t>
      </w:r>
      <w:r>
        <w:rPr>
          <w:rFonts w:ascii="Arial" w:hAnsi="Arial"/>
          <w:b/>
          <w:bCs/>
          <w:i/>
          <w:iCs/>
          <w:snapToGrid w:val="0"/>
        </w:rPr>
        <w:t>▌</w:t>
      </w:r>
      <w:r>
        <w:rPr>
          <w:b/>
          <w:bCs/>
          <w:i/>
          <w:iCs/>
        </w:rPr>
        <w:t>najmä jeho  štruktúra  a funkcie a jeho typické druhy alebo druhové zloženie odzrkadľujú vysokú úroveň ekologickej integrity, stability a odolnosti, kt</w:t>
      </w:r>
      <w:r>
        <w:rPr>
          <w:b/>
          <w:bCs/>
          <w:i/>
          <w:iCs/>
        </w:rPr>
        <w:t xml:space="preserve">oré sú potrebné na zabezpečenie jeho dlhodobého zachovania, a tým prispievajú k dosiahnutiu alebo zachovaniu priaznivého stavu ochrany v súlade s článkom 1 písm. e) smernice 92/43/EHS, ak sa dotknutý typ biotopu uvádza v prílohe I k uvedenej smernici, a v </w:t>
      </w:r>
      <w:r>
        <w:rPr>
          <w:b/>
          <w:bCs/>
          <w:i/>
          <w:iCs/>
        </w:rPr>
        <w:t>prípade morských ekosystémov prispievajú k dosiahnutiu alebo zachovaniu dobrého environmentálneho stavu podľa článku 3 ods. 5 smernice 2008/56/ES</w:t>
      </w:r>
      <w:bookmarkStart w:id="29" w:name="_Hlk132368424"/>
      <w:bookmarkEnd w:id="29"/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b/>
          <w:szCs w:val="22"/>
          <w:u w:val="single"/>
        </w:rPr>
      </w:pPr>
      <w:r>
        <w:br w:type="page"/>
      </w:r>
      <w:r>
        <w:lastRenderedPageBreak/>
        <w:t>(5)</w:t>
      </w:r>
      <w:r>
        <w:tab/>
        <w:t>„priaznivá referenčná plocha“ je celková rozloha typu biotopu v danom biogeografickom regióne alebo mors</w:t>
      </w:r>
      <w:r>
        <w:t xml:space="preserve">kom regióne na vnútroštátnej úrovni, ktorá sa považuje za minimum potrebné na zabezpečenie dlhodobej životaschopnosti daného typu biotopu a jeho typických druhov alebo </w:t>
      </w:r>
      <w:r>
        <w:rPr>
          <w:b/>
          <w:bCs/>
          <w:i/>
          <w:iCs/>
        </w:rPr>
        <w:t>typického druhového zloženia</w:t>
      </w:r>
      <w:r>
        <w:t>, a všetky jeho významné ekologické variácie v jeho prirodze</w:t>
      </w:r>
      <w:r>
        <w:t xml:space="preserve">nom areáli, a ktorá pozostáva z oblasti typu biotopu a – ak táto oblasť nie je dostatočná – z oblasti potrebnej na znovuvytvorenie typu biotopu; </w:t>
      </w:r>
      <w:r>
        <w:rPr>
          <w:b/>
          <w:i/>
        </w:rPr>
        <w:t>ak sa dotknutý typ biotopu uvádza v prílohe I k smernici 92/43/EHS, takéto znovuvytvorenie prispieva k dosiahnu</w:t>
      </w:r>
      <w:r>
        <w:rPr>
          <w:b/>
          <w:i/>
        </w:rPr>
        <w:t>tiu priaznivého stavu ochrany podľa článku 1 písm. e) k uvedenej smernici, a v prípade morských ekosystémov takéto znovuvytvorenie prispieva k dosiahnutiu alebo zachovaniu dobrého environmentálneho stavu podľa článku 3 ods. 5 smernice 2008/56/ES;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t>(6)</w:t>
      </w:r>
      <w:r>
        <w:tab/>
        <w:t>„dost</w:t>
      </w:r>
      <w:r>
        <w:t xml:space="preserve">atočná kvalita biotopu“ je kvalita biotopu druhu umožňujúca splnenie ekologických požiadaviek, ktoré má určitý druh v ktorejkoľvek fáze svojho biologického cyklu, aby sa dlhodobo zachoval ako životaschopná zložka svojho biotopu v jeho prirodzenom areáli, </w:t>
      </w:r>
      <w:r>
        <w:rPr>
          <w:b/>
          <w:bCs/>
          <w:i/>
          <w:iCs/>
        </w:rPr>
        <w:t>p</w:t>
      </w:r>
      <w:r>
        <w:rPr>
          <w:b/>
          <w:bCs/>
          <w:i/>
          <w:iCs/>
        </w:rPr>
        <w:t>rispieval k dosiahnutiu alebo udržaniu dobrého environmentálneho stavu druhov podľa článku 1 písm. i) smernice 92/43/EHS v prípade druhov uvedených v prílohe II, IV a V k uvedenej smernici a zabezpečoval populácie druhov voľne žijúceho vtáctva, na ktoré sa</w:t>
      </w:r>
      <w:r>
        <w:rPr>
          <w:b/>
          <w:bCs/>
          <w:i/>
          <w:iCs/>
        </w:rPr>
        <w:t xml:space="preserve"> vzťahuje smernica 2009/147/ES, a okrem toho v prípade morských ekosystémov prispieval k dosiahnutiu alebo udržaniu dobrého environmentálneho stavu podľa článku 3 ods. 5 smernice 2008/56/ES</w:t>
      </w:r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</w:pPr>
      <w:r>
        <w:br w:type="page"/>
      </w:r>
      <w:r>
        <w:lastRenderedPageBreak/>
        <w:t>(7)</w:t>
      </w:r>
      <w:r>
        <w:tab/>
        <w:t>„dostatočná kvalita biotopu“ je kvalita biotopu druhu umožňu</w:t>
      </w:r>
      <w:r>
        <w:t xml:space="preserve">júca splnenie ekologických požiadaviek, ktoré má určitý druh v ktorejkoľvek fáze svojho biologického cyklu, aby sa dlhodobo zachoval ako životaschopná zložka svojho biotopu v jeho prirodzenom areáli, </w:t>
      </w:r>
      <w:r>
        <w:rPr>
          <w:b/>
          <w:bCs/>
          <w:i/>
          <w:iCs/>
        </w:rPr>
        <w:t>prispieval k dosiahnutiu alebo udržaniu dobrého environm</w:t>
      </w:r>
      <w:r>
        <w:rPr>
          <w:b/>
          <w:bCs/>
          <w:i/>
          <w:iCs/>
        </w:rPr>
        <w:t xml:space="preserve">entálneho stavu druhov podľa článku 1 písm. i) smernice 92/43/EHS v prípade druhov uvedených v prílohe II, IV a V k uvedenej smernici a zabezpečoval populácie druhov voľne žijúceho vtáctva, na ktoré sa vzťahuje smernica 2009/147/ES, a okrem toho v prípade </w:t>
      </w:r>
      <w:r>
        <w:rPr>
          <w:b/>
          <w:bCs/>
          <w:i/>
          <w:iCs/>
        </w:rPr>
        <w:t>morských ekosystémov prispieval k dosiahnutiu alebo udržaniu dobrého environmentálneho stavu podľa článku 3 ods. 5 smernice 2008/56/ES</w:t>
      </w:r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b/>
          <w:szCs w:val="22"/>
        </w:rPr>
      </w:pPr>
      <w:r>
        <w:rPr>
          <w:b/>
          <w:i/>
        </w:rPr>
        <w:t>(7a)</w:t>
      </w:r>
      <w:r>
        <w:tab/>
      </w:r>
      <w:r>
        <w:rPr>
          <w:b/>
          <w:i/>
        </w:rPr>
        <w:t>„zhoršenie“ je vyvolanie čistého nepriaznivého účinku na typy biotopov a biotopy druhov, na ktoré sa vzťahuje článo</w:t>
      </w:r>
      <w:r>
        <w:rPr>
          <w:b/>
          <w:i/>
        </w:rPr>
        <w:t>k 4 ods. 6 a 7 a článok 5 ods. 6 a 7, pokiaľ by tento účinok mohol byť významný vo vzťahu k celkovému cieľu článkov 4 a 5, ktorým je zachovať takéto typy biotopov a biotopy druhov v priaznivom stave ochrany na vnútroštátnej úrovni a v závislosti od typu bi</w:t>
      </w:r>
      <w:r>
        <w:rPr>
          <w:b/>
          <w:i/>
        </w:rPr>
        <w:t>otopu alebo biotopu príslušného druhu na biogeografickej úrovni alebo ich do takéhoto stavu obnoviť.</w:t>
      </w:r>
      <w:r>
        <w:rPr>
          <w:b/>
        </w:rPr>
        <w:t xml:space="preserve"> [PN 117/rev1]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t>(8)</w:t>
      </w:r>
      <w:r>
        <w:tab/>
        <w:t xml:space="preserve">„opeľovač“ je voľne žijúci </w:t>
      </w:r>
      <w:r>
        <w:rPr>
          <w:b/>
          <w:bCs/>
          <w:i/>
          <w:iCs/>
        </w:rPr>
        <w:t>hmyz</w:t>
      </w:r>
      <w:r>
        <w:t>, ktorý prenáša peľ z peľnice jednej rastliny na bliznu inej rastliny, čo umožňuje oplodnenie a tvorbu sem</w:t>
      </w:r>
      <w:r>
        <w:t>ien;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b/>
          <w:szCs w:val="22"/>
          <w:u w:val="single"/>
        </w:rPr>
      </w:pPr>
      <w:r>
        <w:t>(9)</w:t>
      </w:r>
      <w:r>
        <w:tab/>
        <w:t>„úbytok populácií opeľovačov“ je zníženie početnosti alebo rozmanitosti opeľovačov, prípadne oboch týchto aspektov;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i/>
          <w:szCs w:val="22"/>
          <w:shd w:val="clear" w:color="auto" w:fill="FFFFFF"/>
        </w:rPr>
      </w:pPr>
      <w:r>
        <w:rPr>
          <w:b/>
          <w:i/>
        </w:rPr>
        <w:t>(9a)</w:t>
      </w:r>
      <w:r>
        <w:rPr>
          <w:b/>
          <w:i/>
        </w:rPr>
        <w:tab/>
      </w:r>
      <w:r>
        <w:rPr>
          <w:b/>
          <w:bCs/>
          <w:i/>
          <w:iCs/>
        </w:rPr>
        <w:t xml:space="preserve">„pôvodný druh stromov“ je druh stromov vyskytujúci sa vo svojom prirodzenom areáli </w:t>
      </w:r>
      <w:bookmarkStart w:id="30" w:name="_Hlk131598940"/>
      <w:r>
        <w:rPr>
          <w:b/>
          <w:bCs/>
          <w:i/>
          <w:iCs/>
        </w:rPr>
        <w:t>(minulom alebo prítomnom) a potenciáli šíre</w:t>
      </w:r>
      <w:r>
        <w:rPr>
          <w:b/>
          <w:bCs/>
          <w:i/>
          <w:iCs/>
        </w:rPr>
        <w:t>nia (t. j. v rozsahu, v akom sa vyskytuje alebo by sa mohol vyskytovať bez priamej alebo nepriamej ľudskej introdukcie alebo starostlivosti);</w:t>
      </w:r>
      <w:r>
        <w:rPr>
          <w:b/>
          <w:i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t>(10)</w:t>
      </w:r>
      <w:r>
        <w:tab/>
        <w:t>„lokálna administratívna jednotka“ alebo „LAU“ je administratívny útvar na nižšej úrovni v členskom štáte, n</w:t>
      </w:r>
      <w:r>
        <w:t>ež je administratívny útvar provincie, regiónu alebo štátu, zriadený v súlade s článkom 4 nariadenia Európskeho parlamentu a Rady (ES) č. 1059/2003</w:t>
      </w:r>
      <w:r>
        <w:rPr>
          <w:rFonts w:eastAsia="Calibri"/>
          <w:szCs w:val="24"/>
          <w:vertAlign w:val="superscript"/>
          <w:lang w:eastAsia="en-US"/>
        </w:rPr>
        <w:footnoteReference w:id="71"/>
      </w:r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b/>
          <w:i/>
          <w:szCs w:val="22"/>
        </w:rPr>
      </w:pPr>
      <w:r>
        <w:br w:type="page"/>
      </w:r>
      <w:r>
        <w:rPr>
          <w:b/>
          <w:i/>
        </w:rPr>
        <w:lastRenderedPageBreak/>
        <w:t>(10a)</w:t>
      </w:r>
      <w:r>
        <w:rPr>
          <w:b/>
          <w:i/>
        </w:rPr>
        <w:tab/>
      </w:r>
      <w:r>
        <w:rPr>
          <w:b/>
          <w:bCs/>
          <w:i/>
          <w:iCs/>
        </w:rPr>
        <w:t>„mestské centrá“ a „mestské zoskupenia“ sú územné jednotky klasifikované vo veľkých a malých mestác</w:t>
      </w:r>
      <w:r>
        <w:rPr>
          <w:b/>
          <w:bCs/>
          <w:i/>
          <w:iCs/>
        </w:rPr>
        <w:t xml:space="preserve">h a predmestiach pomocou sieťovej typológie stanovenej v súlade s článkom 4b ods. 2 </w:t>
      </w:r>
      <w:bookmarkStart w:id="31" w:name="_Hlk136856956"/>
      <w:r>
        <w:rPr>
          <w:b/>
          <w:bCs/>
          <w:i/>
          <w:iCs/>
        </w:rPr>
        <w:t>nariadenia (ES) č. 1059/2003</w:t>
      </w:r>
      <w:bookmarkEnd w:id="31"/>
      <w:r>
        <w:rPr>
          <w:b/>
          <w:bCs/>
          <w:i/>
          <w:iCs/>
        </w:rP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t>(11)</w:t>
      </w:r>
      <w:r>
        <w:tab/>
        <w:t xml:space="preserve">„veľké mestá“ sú lokálne administratívne jednotky, v ktorých aspoň 50 % obyvateľstva žije v jednom alebo viacerých mestských centrách, a </w:t>
      </w:r>
      <w:r>
        <w:t>to podľa merania pomocou stupňa urbanizácie stanoveného v súlade s článkom 4b ods. 3 písm. a) nariadenia (ES) č. 1059/2003;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t>(12)</w:t>
      </w:r>
      <w:r>
        <w:tab/>
      </w:r>
      <w:r>
        <w:t xml:space="preserve">„malé mestá a predmestia“ sú lokálne administratívne jednotky, v ktorých menej ako 50 % obyvateľstva žije v mestskom centre, ale najmenej 50 % obyvateľstva žije v mestskom zoskupení, a to podľa merania </w:t>
      </w:r>
      <w:r>
        <w:rPr>
          <w:shd w:val="clear" w:color="auto" w:fill="FFFFFF"/>
        </w:rPr>
        <w:t>pomocou stupňa urbanizácie</w:t>
      </w:r>
      <w:r>
        <w:t xml:space="preserve"> stanoveného </w:t>
      </w:r>
      <w:r>
        <w:rPr>
          <w:shd w:val="clear" w:color="auto" w:fill="FFFFFF"/>
        </w:rPr>
        <w:t>v súlade s člán</w:t>
      </w:r>
      <w:r>
        <w:rPr>
          <w:shd w:val="clear" w:color="auto" w:fill="FFFFFF"/>
        </w:rPr>
        <w:t>kom 4b ods. 3 písm. a)</w:t>
      </w:r>
      <w:r>
        <w:t xml:space="preserve"> nariadenia (ES) č. 1059/2003;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b/>
          <w:i/>
          <w:szCs w:val="22"/>
        </w:rPr>
      </w:pPr>
      <w:r>
        <w:rPr>
          <w:b/>
          <w:i/>
        </w:rPr>
        <w:t xml:space="preserve">(12a) </w:t>
      </w:r>
      <w:r>
        <w:rPr>
          <w:b/>
          <w:i/>
        </w:rPr>
        <w:tab/>
        <w:t>„prímestské oblasti“ sú oblasti susediace s mestskými centrami alebo mestskými zoskupeniami, ktoré zahŕňajú minimálne všetky oblasti do 1 kilometra merané od vonkajších hraníc týchto mestských cen</w:t>
      </w:r>
      <w:r>
        <w:rPr>
          <w:b/>
          <w:i/>
        </w:rPr>
        <w:t>tier alebo mestských zoskupení, ktoré sa nachádzajú v tom istom veľkom meste alebo tom istom malom meste a predmestí ako tieto mestské centrá alebo mestské zoskupenia;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t>(13)</w:t>
      </w:r>
      <w:r>
        <w:tab/>
        <w:t>„mestská zeleň“ je celková plocha stromov, kríkov, krovín, trvalej bylinnej vegetác</w:t>
      </w:r>
      <w:r>
        <w:t>ie, lišajníkov a machov, rybníkov a vodných tokov, ktoré sa nachádzajú vo veľkých alebo malých mestách a predmestiach, vypočítaná na základe údajov, ktoré poskytla služba monitorovania krajiny Copernicus zriadená nariadením Európskeho parlamentu a Rady (EÚ</w:t>
      </w:r>
      <w:r>
        <w:t>) 2021/696</w:t>
      </w:r>
      <w:r>
        <w:rPr>
          <w:rFonts w:eastAsia="Calibri"/>
          <w:szCs w:val="22"/>
          <w:vertAlign w:val="superscript"/>
          <w:lang w:eastAsia="en-US"/>
        </w:rPr>
        <w:footnoteReference w:id="72"/>
      </w:r>
      <w:r>
        <w:t xml:space="preserve">, a, </w:t>
      </w:r>
      <w:r>
        <w:rPr>
          <w:b/>
          <w:bCs/>
          <w:i/>
          <w:iCs/>
        </w:rPr>
        <w:t>ak sú v prípade dotknutého členského štátu dostupné, na základe iných vhodných doplňujúcich údajov, ktoré poskytol daný členský</w:t>
      </w:r>
      <w:r>
        <w:t xml:space="preserve"> štát</w:t>
      </w:r>
      <w:bookmarkStart w:id="32" w:name="_Hlk133232176"/>
      <w:bookmarkEnd w:id="32"/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>
        <w:br w:type="page"/>
      </w:r>
      <w:r>
        <w:lastRenderedPageBreak/>
        <w:t>(14)</w:t>
      </w:r>
      <w:r>
        <w:tab/>
      </w:r>
      <w:bookmarkStart w:id="33" w:name="_Hlk133171975"/>
      <w:r>
        <w:t>„mestský korunový zápoj stromov“ je celková plocha pokrytá korunami stromov vo veľkých aj malých mes</w:t>
      </w:r>
      <w:r>
        <w:t xml:space="preserve">tách a na predmestiach, vypočítaná na základe údajov o hustote pokrytia korunami stromov, ktoré poskytla služba monitorovania krajiny programu Copernicus zriadená nariadením Európskeho parlamentu a Rady (EÚ) 2021/696, </w:t>
      </w:r>
      <w:r>
        <w:rPr>
          <w:b/>
          <w:bCs/>
          <w:i/>
          <w:iCs/>
        </w:rPr>
        <w:t>a, ak sú v prípade dotknutého členskéh</w:t>
      </w:r>
      <w:r>
        <w:rPr>
          <w:b/>
          <w:bCs/>
          <w:i/>
          <w:iCs/>
        </w:rPr>
        <w:t>o štátu dostupné, na základe iných vhodných doplňujúcich údajov, ktoré poskytol daný členský štát</w:t>
      </w:r>
      <w:r>
        <w:t>;</w:t>
      </w:r>
      <w:bookmarkEnd w:id="33"/>
    </w:p>
    <w:bookmarkEnd w:id="30"/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i/>
          <w:sz w:val="28"/>
          <w:szCs w:val="24"/>
        </w:rPr>
      </w:pPr>
      <w:r>
        <w:rPr>
          <w:b/>
          <w:i/>
        </w:rPr>
        <w:t>(14a)</w:t>
      </w:r>
      <w:r>
        <w:rPr>
          <w:b/>
          <w:i/>
        </w:rPr>
        <w:tab/>
        <w:t xml:space="preserve">„voľne tečúca rieka“ je rieka alebo úsek rieky, ktorej pozdĺžne, laterálne a vertikálne prepojenie nebrzdia umelé štruktúry tvoriace prekážku a ktorej </w:t>
      </w:r>
      <w:r>
        <w:rPr>
          <w:b/>
          <w:i/>
        </w:rPr>
        <w:t>prirodzené funkcie sú vo veľkej miere nedotknuté;</w:t>
      </w:r>
      <w:r>
        <w:rPr>
          <w:i/>
          <w:sz w:val="28"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i/>
          <w:szCs w:val="22"/>
        </w:rPr>
      </w:pPr>
      <w:bookmarkStart w:id="34" w:name="_Hlk133242023"/>
      <w:r>
        <w:rPr>
          <w:b/>
          <w:i/>
        </w:rPr>
        <w:t>(14b)</w:t>
      </w:r>
      <w:r>
        <w:rPr>
          <w:i/>
        </w:rPr>
        <w:tab/>
      </w:r>
      <w:r>
        <w:rPr>
          <w:b/>
          <w:i/>
        </w:rPr>
        <w:t>„opätovné zavlažovanie rašelinísk“ je proces premeny odvodnenej rašelinovej pôdy na mokrú pôdu;</w:t>
      </w:r>
    </w:p>
    <w:bookmarkEnd w:id="34"/>
    <w:p w:rsidR="00407135" w:rsidRDefault="00D55DFA">
      <w:pPr>
        <w:widowControl/>
        <w:spacing w:after="200" w:line="276" w:lineRule="auto"/>
        <w:ind w:left="851" w:hanging="851"/>
        <w:rPr>
          <w:rFonts w:eastAsia="Calibri"/>
          <w:szCs w:val="22"/>
        </w:rPr>
      </w:pPr>
      <w:r>
        <w:t>(15)</w:t>
      </w:r>
      <w:r>
        <w:tab/>
        <w:t xml:space="preserve">„oblasť </w:t>
      </w:r>
      <w:r>
        <w:rPr>
          <w:b/>
          <w:i/>
        </w:rPr>
        <w:t>zrýchlenia výroby</w:t>
      </w:r>
      <w:r>
        <w:t xml:space="preserve"> energie z obnoviteľných zdrojov“ je oblasť </w:t>
      </w:r>
      <w:r>
        <w:rPr>
          <w:b/>
          <w:i/>
        </w:rPr>
        <w:t>zrýchlenia</w:t>
      </w:r>
      <w:r>
        <w:t xml:space="preserve"> výroby energie z o</w:t>
      </w:r>
      <w:r>
        <w:t>bnoviteľných zdrojov v zmysle vymedzenia v článku 2 bode 9 písm. a) smernice Európskeho parlamentu a Rady 2018/2001/EÚ</w:t>
      </w:r>
      <w:r>
        <w:rPr>
          <w:rFonts w:eastAsia="Calibri"/>
          <w:szCs w:val="22"/>
          <w:vertAlign w:val="superscript"/>
          <w:lang w:eastAsia="en-US"/>
        </w:rPr>
        <w:footnoteReference w:id="73"/>
      </w:r>
      <w:r>
        <w:t>.</w:t>
      </w:r>
      <w:r>
        <w:rPr>
          <w:b/>
          <w:u w:val="single"/>
        </w:rPr>
        <w:t xml:space="preserve"> </w:t>
      </w:r>
      <w:r>
        <w:br w:type="page"/>
      </w:r>
    </w:p>
    <w:p w:rsidR="00407135" w:rsidRDefault="00D55DFA">
      <w:pPr>
        <w:keepNext/>
        <w:widowControl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>
        <w:rPr>
          <w:b/>
          <w:smallCaps/>
          <w:sz w:val="32"/>
        </w:rPr>
        <w:lastRenderedPageBreak/>
        <w:t>KAPITOLA II</w:t>
      </w:r>
      <w:r>
        <w:rPr>
          <w:b/>
          <w:smallCaps/>
          <w:sz w:val="32"/>
        </w:rPr>
        <w:br/>
        <w:t>CIELE A POVINNOSTI TÝKAJÚCE SA OBNOVY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140"/>
        <w:jc w:val="center"/>
        <w:outlineLvl w:val="1"/>
        <w:rPr>
          <w:i/>
          <w:szCs w:val="26"/>
        </w:rPr>
      </w:pPr>
      <w:r>
        <w:rPr>
          <w:b/>
          <w:bCs/>
        </w:rPr>
        <w:t>Článok 4</w:t>
      </w:r>
      <w:r>
        <w:br/>
      </w:r>
      <w:r>
        <w:rPr>
          <w:i/>
          <w:iCs/>
        </w:rPr>
        <w:t>Obnova suchozemských, pobrežných a sladkovodných ekosystémov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Cs/>
          <w:i/>
          <w:szCs w:val="22"/>
        </w:rPr>
      </w:pPr>
      <w:r>
        <w:t>1.</w:t>
      </w:r>
      <w:r>
        <w:tab/>
        <w:t>Členské št</w:t>
      </w:r>
      <w:r>
        <w:t xml:space="preserve">áty </w:t>
      </w:r>
      <w:r>
        <w:rPr>
          <w:b/>
          <w:i/>
        </w:rPr>
        <w:t>sa snažia zaviesť</w:t>
      </w:r>
      <w:r>
        <w:t xml:space="preserve"> opatrenia na obnovu </w:t>
      </w:r>
      <w:r>
        <w:rPr>
          <w:b/>
          <w:i/>
        </w:rPr>
        <w:t>v sústavách Natura 2000</w:t>
      </w:r>
      <w:r>
        <w:t xml:space="preserve">, ktoré sú potrebné na dosiahnutie </w:t>
      </w:r>
      <w:r>
        <w:rPr>
          <w:b/>
          <w:i/>
        </w:rPr>
        <w:t>priaznivého</w:t>
      </w:r>
      <w:r>
        <w:t xml:space="preserve"> stavu </w:t>
      </w:r>
      <w:r>
        <w:rPr>
          <w:b/>
          <w:i/>
        </w:rPr>
        <w:t>ochrany</w:t>
      </w:r>
      <w:r>
        <w:t xml:space="preserve"> oblastí typov biotopov uvedených v prílohe I, ktoré nie sú v dobrom stave. Tieto opatrenia sa zavedú </w:t>
      </w:r>
      <w:r>
        <w:rPr>
          <w:b/>
          <w:i/>
        </w:rPr>
        <w:t>v oblasti sústavy Natura 2000</w:t>
      </w:r>
      <w:r>
        <w:t xml:space="preserve"> typov biotopov uvedených v prílohe I, ktorá nie je v dobrom stave, ako sa kvantifikuje v národnom pláne obnovy prírody uvedenom v článku 12</w:t>
      </w:r>
      <w:r>
        <w:rPr>
          <w:b/>
          <w:bCs/>
          <w:i/>
          <w:iCs/>
        </w:rPr>
        <w:t xml:space="preserve">. </w:t>
      </w:r>
      <w:r>
        <w:rPr>
          <w:b/>
          <w:bCs/>
        </w:rPr>
        <w:t>[PN 21]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t>2.</w:t>
      </w:r>
      <w:r>
        <w:tab/>
      </w:r>
      <w:r>
        <w:t xml:space="preserve">Členské štáty zavedú opatrenia na obnovu, ktoré sú potrebné na znovuvytvorenie typov biotopov uvedených v prílohe I v oblastiach, v ktorých sa tieto typy biotopov nevyskytujú </w:t>
      </w:r>
      <w:r>
        <w:rPr>
          <w:b/>
          <w:bCs/>
          <w:i/>
          <w:iCs/>
        </w:rPr>
        <w:t>s cieľom dosiahnuť ich priaznivú referenčnú plochu</w:t>
      </w:r>
      <w:r>
        <w:t xml:space="preserve">. Takéto opatrenia sa zavedú ▌ </w:t>
      </w:r>
      <w:r>
        <w:t xml:space="preserve">v oblastiach </w:t>
      </w:r>
      <w:r>
        <w:rPr>
          <w:b/>
          <w:i/>
        </w:rPr>
        <w:t>potrebných</w:t>
      </w:r>
      <w:r>
        <w:t xml:space="preserve"> na </w:t>
      </w:r>
      <w:r>
        <w:rPr>
          <w:b/>
          <w:i/>
        </w:rPr>
        <w:t>zabezpečenie plnenia cieľov stanovených</w:t>
      </w:r>
      <w:r>
        <w:t xml:space="preserve"> v </w:t>
      </w:r>
      <w:r>
        <w:rPr>
          <w:b/>
          <w:i/>
        </w:rPr>
        <w:t xml:space="preserve">odseku 1 tohto </w:t>
      </w:r>
      <w:r>
        <w:t>článku ▌.</w:t>
      </w:r>
      <w:r>
        <w:rPr>
          <w:b/>
        </w:rPr>
        <w:t xml:space="preserve"> [PN 99]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br w:type="page"/>
      </w:r>
      <w:r>
        <w:lastRenderedPageBreak/>
        <w:t>3.</w:t>
      </w:r>
      <w:r>
        <w:tab/>
        <w:t>Členské štáty zavedú opatrenia na obnovu týkajúce sa suchozemských, pobrežných a sladkovodných biotopov druhov uvedených v prílohách II, IV a V k smer</w:t>
      </w:r>
      <w:r>
        <w:t xml:space="preserve">nici 92/43/EHS a suchozemských, pobrežných a sladkovodných biotopov voľne žijúceho vtáctva, na ktoré sa vzťahuje smernica 2009/147/ES, </w:t>
      </w:r>
      <w:r>
        <w:rPr>
          <w:b/>
          <w:bCs/>
          <w:i/>
          <w:iCs/>
        </w:rPr>
        <w:t>ktoré sú okrem opatrení na obnovu podľa odsekov 1 a 2 tohto článku</w:t>
      </w:r>
      <w:r>
        <w:t xml:space="preserve"> potrebné na zlepšenie kvality a kvantity týchto biotop</w:t>
      </w:r>
      <w:r>
        <w:t>ov vrátane ich znovuvytvorenia a na zlepšenie prepojenia, až kým sa nedosiahne dostatočná kvalita a kvantita týchto biotopov.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>
        <w:t>4.</w:t>
      </w:r>
      <w:bookmarkStart w:id="35" w:name="_Hlk136791385"/>
      <w:r>
        <w:tab/>
        <w:t>Určenie najvhodnejších oblastí pre opatrenia na obnovu v súlade s odsekmi 1, 2 a 3 tohto článku sa zakladá na najlepších dostup</w:t>
      </w:r>
      <w:r>
        <w:t>ných poznatkoch a najnovších vedeckých dôkazoch o stave typov biotopov uvedených v prílohe I, zameranom podľa štruktúry a funkcií, ktoré sú potrebné na ich dlhodobé zachovanie vrátane ich typických druhov, ako sa uvádza v článku 1 písm. e) smernice 92/43/E</w:t>
      </w:r>
      <w:r>
        <w:t xml:space="preserve">HS, ako aj o kvalite a kvantite biotopov druhov uvedených v odseku 3 tohto článku, </w:t>
      </w:r>
      <w:r>
        <w:rPr>
          <w:b/>
          <w:bCs/>
          <w:i/>
          <w:iCs/>
        </w:rPr>
        <w:t>s využitím informácií nahlásených podľa článku 17 smernice 92/43/EHS a článku 12 smernice 2009/147/ES</w:t>
      </w:r>
      <w:bookmarkStart w:id="36" w:name="_Hlk136423483"/>
      <w:r>
        <w:rPr>
          <w:b/>
          <w:bCs/>
          <w:i/>
          <w:iCs/>
        </w:rPr>
        <w:t xml:space="preserve"> a v prípade potreby s ohľadom na rozmanitosť situácií v rôznych regióno</w:t>
      </w:r>
      <w:r>
        <w:rPr>
          <w:b/>
          <w:bCs/>
          <w:i/>
          <w:iCs/>
        </w:rPr>
        <w:t>ch Únie, ako sa uvádza v článku 11 ods.</w:t>
      </w:r>
      <w:bookmarkEnd w:id="35"/>
      <w:bookmarkEnd w:id="36"/>
      <w:r>
        <w:rPr>
          <w:b/>
          <w:bCs/>
          <w:i/>
          <w:iCs/>
        </w:rPr>
        <w:t xml:space="preserve"> 9a.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4a.</w:t>
      </w:r>
      <w:r>
        <w:rPr>
          <w:b/>
          <w:i/>
        </w:rPr>
        <w:tab/>
        <w:t>Členské štáty najneskôr do roku 2030 zabezpečia, aby bol známy stav aspoň 90 % plochy všetkých typov biotopov uvedených v prílohe I. Stav všetkých oblastí typov biotopov uvedených v prílohe I musí byť známy d</w:t>
      </w:r>
      <w:r>
        <w:rPr>
          <w:b/>
          <w:i/>
        </w:rPr>
        <w:t>o roku 2040.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5.</w:t>
      </w:r>
      <w:r>
        <w:tab/>
        <w:t>V opatreniach na obnovu uvedených v odsekoch 1 a 2 sa zohľadní potreba zlepšiť prepojenie medzi typmi biotopov uvedenými v prílohe I a do úvahy sa vezmú ekologické požiadavky druhov uvedených v odseku 3, ktoré sa v týchto typoch biotopov vy</w:t>
      </w:r>
      <w:r>
        <w:t>skytujú.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br w:type="page"/>
      </w:r>
      <w:r>
        <w:lastRenderedPageBreak/>
        <w:t>6.</w:t>
      </w:r>
      <w:r>
        <w:tab/>
      </w:r>
      <w:bookmarkStart w:id="37" w:name="_Hlk133571049"/>
      <w:bookmarkEnd w:id="37"/>
      <w:r>
        <w:t xml:space="preserve">Členské štáty </w:t>
      </w:r>
      <w:r>
        <w:rPr>
          <w:b/>
          <w:i/>
        </w:rPr>
        <w:t>sa</w:t>
      </w:r>
      <w:r>
        <w:t xml:space="preserve"> </w:t>
      </w:r>
      <w:r>
        <w:rPr>
          <w:b/>
          <w:i/>
        </w:rPr>
        <w:t>usilujú zabezpečiť</w:t>
      </w:r>
      <w:r>
        <w:t xml:space="preserve">, aby </w:t>
      </w:r>
      <w:r>
        <w:rPr>
          <w:b/>
          <w:i/>
        </w:rPr>
        <w:t>sa</w:t>
      </w:r>
      <w:r>
        <w:t xml:space="preserve">  v </w:t>
      </w:r>
      <w:r>
        <w:rPr>
          <w:b/>
          <w:i/>
        </w:rPr>
        <w:t>prípade</w:t>
      </w:r>
      <w:r>
        <w:t xml:space="preserve">  biotopov druhov uvedených v </w:t>
      </w:r>
      <w:r>
        <w:rPr>
          <w:b/>
          <w:i/>
        </w:rPr>
        <w:t>odsekoch 1</w:t>
      </w:r>
      <w:r>
        <w:t xml:space="preserve">, </w:t>
      </w:r>
      <w:r>
        <w:rPr>
          <w:b/>
          <w:i/>
        </w:rPr>
        <w:t>2 a 3 celková vnútroštátna plocha v dobrom stave</w:t>
      </w:r>
      <w:r>
        <w:t xml:space="preserve"> a </w:t>
      </w:r>
      <w:r>
        <w:rPr>
          <w:b/>
          <w:i/>
        </w:rPr>
        <w:t>celková plocha s dostatočnou kvalitou časom výrazne nezmenšovala</w:t>
      </w:r>
      <w:r>
        <w:t>.</w:t>
      </w:r>
      <w:r>
        <w:rPr>
          <w:b/>
        </w:rPr>
        <w:t xml:space="preserve"> [PN 100]</w:t>
      </w:r>
    </w:p>
    <w:p w:rsidR="00407135" w:rsidRDefault="00D55DFA">
      <w:pPr>
        <w:widowControl/>
        <w:suppressAutoHyphens/>
        <w:spacing w:before="120" w:after="120" w:line="360" w:lineRule="auto"/>
        <w:ind w:left="567" w:hanging="567"/>
        <w:rPr>
          <w:rFonts w:eastAsia="Calibri"/>
          <w:b/>
          <w:szCs w:val="24"/>
        </w:rPr>
      </w:pPr>
      <w:bookmarkStart w:id="38" w:name="_Hlk137239464"/>
      <w:r>
        <w:t>▌</w:t>
      </w:r>
      <w:bookmarkStart w:id="39" w:name="_Hlk129768019"/>
      <w:bookmarkEnd w:id="38"/>
      <w:r>
        <w:rPr>
          <w:b/>
        </w:rPr>
        <w:t xml:space="preserve"> [PN 25, 101 a 121]</w:t>
      </w:r>
    </w:p>
    <w:bookmarkEnd w:id="39"/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8.</w:t>
      </w:r>
      <w:r>
        <w:tab/>
      </w:r>
      <w:bookmarkStart w:id="40" w:name="_Hlk130196760"/>
      <w:r>
        <w:t xml:space="preserve">V prípade, že nejde o lokality sústavy Natura 2000, nesplnenie povinností stanovených v odseku </w:t>
      </w:r>
      <w:r>
        <w:rPr>
          <w:rFonts w:ascii="Arial" w:hAnsi="Arial"/>
          <w:snapToGrid w:val="0"/>
        </w:rPr>
        <w:t>▌</w:t>
      </w:r>
      <w:r>
        <w:t xml:space="preserve"> je odôvodnené, ak je spôsobené:</w:t>
      </w:r>
      <w:bookmarkEnd w:id="40"/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a)</w:t>
      </w:r>
      <w:r>
        <w:tab/>
        <w:t xml:space="preserve">vyššou mocou </w:t>
      </w:r>
      <w:r>
        <w:rPr>
          <w:b/>
          <w:bCs/>
          <w:i/>
          <w:iCs/>
        </w:rPr>
        <w:t>vrátane prírodných katastrof</w:t>
      </w:r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b)</w:t>
      </w:r>
      <w:r>
        <w:tab/>
        <w:t xml:space="preserve">nevyhnutnými transformáciami biotopov, ktoré priamo spôsobila zmena klímy; </w:t>
      </w:r>
      <w:r>
        <w:rPr>
          <w:rFonts w:ascii="Arial" w:hAnsi="Arial"/>
          <w:snapToGrid w:val="0"/>
        </w:rPr>
        <w:t>▌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u w:val="single"/>
        </w:rPr>
      </w:pPr>
      <w:r>
        <w:t>c)</w:t>
      </w:r>
      <w:r>
        <w:tab/>
        <w:t>plánom alebo projektom prevažujúceho verejného záujmu, pre ktorý neexistujú žiadne menej škodlivé alternatívne riešenia, pričom každý prípad sa posudzuje individuálne;</w:t>
      </w:r>
      <w:bookmarkStart w:id="41" w:name="_Hlk135735405"/>
      <w:r>
        <w:rPr>
          <w:b/>
          <w:i/>
        </w:rPr>
        <w:t xml:space="preserve"> </w:t>
      </w:r>
      <w:bookmarkEnd w:id="41"/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szCs w:val="22"/>
        </w:rPr>
      </w:pPr>
      <w:r>
        <w:rPr>
          <w:b/>
          <w:i/>
        </w:rPr>
        <w:t>ca)</w:t>
      </w:r>
      <w:r>
        <w:tab/>
      </w:r>
      <w:r>
        <w:rPr>
          <w:b/>
          <w:i/>
        </w:rPr>
        <w:t>za výnimočných okolností súvisiacich s realizáciou alebo pokračovaním činností</w:t>
      </w:r>
      <w:r>
        <w:rPr>
          <w:b/>
          <w:i/>
        </w:rPr>
        <w:t xml:space="preserve"> vo verejnom záujme je nesplnenie povinností stanovených v odseku 6 odôvodnené za predpokladu, že sa ním neohrozí dosiahnutie cieľov obnovy stanovených v odsekoch 1, 2 a 3. Členské štáty informujú Komisiu o takýchto výnimočných okolnostiach a bezodkladne i</w:t>
      </w:r>
      <w:r>
        <w:rPr>
          <w:b/>
          <w:i/>
        </w:rPr>
        <w:t>ch náležite zdôvodnia;</w:t>
      </w:r>
      <w:r>
        <w:rPr>
          <w:b/>
        </w:rPr>
        <w:t xml:space="preserve"> </w:t>
      </w:r>
      <w:r>
        <w:rPr>
          <w:b/>
          <w:i/>
        </w:rPr>
        <w:t>alebo</w:t>
      </w:r>
      <w:r>
        <w:rPr>
          <w:u w:val="single"/>
        </w:rPr>
        <w:t xml:space="preserve"> </w:t>
      </w:r>
      <w:r>
        <w:rPr>
          <w:b/>
        </w:rPr>
        <w:t>[PN 6]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d)</w:t>
      </w:r>
      <w:r>
        <w:rPr>
          <w:b/>
          <w:i/>
        </w:rPr>
        <w:tab/>
        <w:t>činnosťou alebo nečinnosťou tretích krajín, za ktoré dotknutý členský štát nie je zodpovedný.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bookmarkStart w:id="42" w:name="_Hlk129768082"/>
      <w:r>
        <w:br w:type="page"/>
      </w:r>
      <w:r>
        <w:rPr>
          <w:b/>
          <w:i/>
        </w:rPr>
        <w:lastRenderedPageBreak/>
        <w:t>8a.</w:t>
      </w:r>
      <w:r>
        <w:rPr>
          <w:b/>
          <w:i/>
        </w:rPr>
        <w:tab/>
      </w:r>
      <w:r>
        <w:rPr>
          <w:b/>
          <w:i/>
        </w:rPr>
        <w:t xml:space="preserve">V prípade, že nejde o lokality sústavy Natura 2000, sa povinnosť zaviesť potrebné opatrenia uvedené v odseku 7 nevzťahuje na zhoršenie spôsobené: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a)</w:t>
      </w:r>
      <w:r>
        <w:rPr>
          <w:b/>
          <w:i/>
        </w:rPr>
        <w:tab/>
        <w:t>vyššou mocou vrátane prírodných katastrof;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  <w:t>nevyhnutnými transformáciami biotopov, ktoré priamo spôsobil</w:t>
      </w:r>
      <w:r>
        <w:rPr>
          <w:b/>
          <w:i/>
        </w:rPr>
        <w:t xml:space="preserve">a zmena klímy;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c)</w:t>
      </w:r>
      <w:r>
        <w:rPr>
          <w:b/>
          <w:i/>
        </w:rPr>
        <w:tab/>
      </w:r>
      <w:bookmarkStart w:id="43" w:name="_Hlk129963122"/>
      <w:bookmarkEnd w:id="43"/>
      <w:r>
        <w:rPr>
          <w:b/>
          <w:bCs/>
          <w:i/>
          <w:iCs/>
        </w:rPr>
        <w:t>plánmi alebo projektami prevažujúceho verejného záujmu, pre ktorý neexistujú menej škodlivé alternatívne riešenia</w:t>
      </w:r>
      <w:bookmarkEnd w:id="42"/>
      <w:r>
        <w:t>;</w:t>
      </w:r>
      <w:r>
        <w:rPr>
          <w:b/>
          <w:i/>
        </w:rPr>
        <w:t xml:space="preserve"> alebo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d)</w:t>
      </w:r>
      <w:r>
        <w:rPr>
          <w:b/>
          <w:i/>
        </w:rPr>
        <w:tab/>
        <w:t>činnosťou alebo nečinnosťou tretích krajín, za ktoré dotknutý členský štát nie je zodpovedný.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9.</w:t>
      </w:r>
      <w:r>
        <w:tab/>
        <w:t>V prípade, že id</w:t>
      </w:r>
      <w:r>
        <w:t xml:space="preserve">e o lokality sústavy Natura 2000, nesplnenie povinností stanovených v odsekoch 6 a 7 je odôvodnené, ak je spôsobené: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bookmarkStart w:id="44" w:name="_Hlk129703452"/>
      <w:r>
        <w:t>a)</w:t>
      </w:r>
      <w:r>
        <w:tab/>
        <w:t xml:space="preserve">vyššou mocou </w:t>
      </w:r>
      <w:r>
        <w:rPr>
          <w:b/>
          <w:bCs/>
          <w:i/>
          <w:iCs/>
        </w:rPr>
        <w:t>vrátane prírodných katastrof;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b)</w:t>
      </w:r>
      <w:r>
        <w:tab/>
        <w:t>nevyhnutnými transformáciami biotopov, ktoré priamo spôsobila zmena klímy; alebo</w:t>
      </w:r>
    </w:p>
    <w:bookmarkEnd w:id="44"/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c)</w:t>
      </w:r>
      <w:r>
        <w:tab/>
        <w:t>pláno</w:t>
      </w:r>
      <w:r>
        <w:t>m alebo projektom schváleným v súlade s článkom 6 ods. 4 smernice 92/43/EHS.</w:t>
      </w:r>
    </w:p>
    <w:p w:rsidR="00407135" w:rsidRDefault="00D55DFA">
      <w:pPr>
        <w:widowControl/>
        <w:spacing w:after="200" w:line="276" w:lineRule="auto"/>
        <w:rPr>
          <w:rFonts w:eastAsia="Calibri"/>
          <w:szCs w:val="22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lastRenderedPageBreak/>
        <w:t>10.</w:t>
      </w:r>
      <w:r>
        <w:tab/>
        <w:t xml:space="preserve">Členské štáty zabezpečia: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a)</w:t>
      </w:r>
      <w:r>
        <w:tab/>
        <w:t>zväčšenie plochy biotopu v dobrom stave v prípade typov biotopov uvedených v prílohe II, pokým aspoň 90 % nebude v dobrom stave a pokým sa nedo</w:t>
      </w:r>
      <w:r>
        <w:t>siahne priaznivá referenčná plocha pre každý typ biotopu v každom biogeografickom regióne dotknutého členského štátu;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b/>
          <w:u w:val="single"/>
        </w:rPr>
      </w:pPr>
      <w:r>
        <w:t>b)</w:t>
      </w:r>
      <w:r>
        <w:tab/>
        <w:t>stúpajúci trend smerom k dostatočnej kvalite a kvantite suchozemských, pobrežných a sladkovodných biotopov druhov uvedených v prílohách</w:t>
      </w:r>
      <w:r>
        <w:t xml:space="preserve"> II, IV a V k smernici 92/43/EHS a druhov, na ktoré sa vzťahuje smernica 2009/147/ES.</w:t>
      </w:r>
      <w:r>
        <w:rPr>
          <w:b/>
          <w:u w:val="single"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>
        <w:rPr>
          <w:b/>
          <w:i/>
        </w:rPr>
        <w:t>10a.</w:t>
      </w:r>
      <w:r>
        <w:tab/>
      </w:r>
      <w:r>
        <w:rPr>
          <w:b/>
          <w:i/>
        </w:rPr>
        <w:t>Pri opatreniach, ktoré sa majú prijať podľa tohto článku, členské štáty zohľadnia hospodárske, sociálne a kultúrne požiadavky a regionálne a miestne osobitosti v sú</w:t>
      </w:r>
      <w:r>
        <w:rPr>
          <w:b/>
          <w:i/>
        </w:rPr>
        <w:t>lade s článkom 2 ods. 3 smernice 92/43/EHS.</w:t>
      </w:r>
      <w:r>
        <w:rPr>
          <w:b/>
        </w:rPr>
        <w:t xml:space="preserve"> [PN 27]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140"/>
        <w:jc w:val="center"/>
        <w:outlineLvl w:val="1"/>
        <w:rPr>
          <w:b/>
          <w:bCs/>
          <w:szCs w:val="26"/>
        </w:rPr>
      </w:pPr>
      <w:bookmarkStart w:id="45" w:name="_Hlk135978410"/>
      <w:r>
        <w:rPr>
          <w:b/>
          <w:bCs/>
        </w:rPr>
        <w:t>Článok 5</w:t>
      </w:r>
      <w:r>
        <w:br/>
      </w:r>
      <w:r>
        <w:rPr>
          <w:i/>
          <w:iCs/>
        </w:rPr>
        <w:t>Obnova morských ekosystémov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>
        <w:t>1.</w:t>
      </w:r>
      <w:r>
        <w:tab/>
      </w:r>
      <w:bookmarkStart w:id="46" w:name="_Hlk132205287"/>
      <w:r>
        <w:t xml:space="preserve">Členské štáty zavedú opatrenia na obnovu, ktoré sú potrebné na dosiahnutie dobrého stavu oblastí typov biotopov uvedených v prílohe II, ktoré nie sú v dobrom stave. </w:t>
      </w:r>
      <w:bookmarkStart w:id="47" w:name="_Hlk131583277"/>
      <w:bookmarkEnd w:id="46"/>
      <w:r>
        <w:t>Tieto opatrenia sa zavedú aspoň v takomto rozsahu</w:t>
      </w:r>
      <w:bookmarkEnd w:id="47"/>
      <w:r>
        <w:t>: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a)</w:t>
      </w:r>
      <w:r>
        <w:rPr>
          <w:b/>
          <w:i/>
        </w:rPr>
        <w:tab/>
        <w:t>do roku 2030 aspoň na 30 % celkovej p</w:t>
      </w:r>
      <w:r>
        <w:rPr>
          <w:b/>
          <w:i/>
        </w:rPr>
        <w:t>lochy typov biotopov skupín 1 až 6 uvedených v prílohe II, ktorá nie je v dobrom stave, ako sa kvantifikuje v národnom pláne obnovy prírody uvedenom v článku 12;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i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  <w:t>do roku 2040 aspoň na 60 % a do roku 2050 aspoň na 90 % plochy každej zo skupín typov bioto</w:t>
      </w:r>
      <w:r>
        <w:rPr>
          <w:b/>
          <w:i/>
        </w:rPr>
        <w:t>pov 1 až 6 uvedených v prílohe II, ktorá nie je v dobrom stave, ako sa kvantifikuje v národnom pláne obnovy prírody uvedenom v článku 12.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br w:type="page"/>
      </w:r>
      <w:r>
        <w:rPr>
          <w:b/>
          <w:i/>
        </w:rPr>
        <w:lastRenderedPageBreak/>
        <w:t>c)</w:t>
      </w:r>
      <w:r>
        <w:rPr>
          <w:b/>
          <w:i/>
        </w:rPr>
        <w:tab/>
      </w:r>
      <w:bookmarkStart w:id="48" w:name="_Hlk135990781"/>
      <w:bookmarkEnd w:id="48"/>
      <w:r>
        <w:rPr>
          <w:b/>
          <w:bCs/>
          <w:i/>
          <w:iCs/>
        </w:rPr>
        <w:t>do roku 2040 na dve tretiny percentuálneho podielu uvedeného v písmene d) vzťahujúceho sa na plochu typov biotopov</w:t>
      </w:r>
      <w:r>
        <w:rPr>
          <w:b/>
          <w:bCs/>
          <w:i/>
          <w:iCs/>
        </w:rPr>
        <w:t xml:space="preserve"> skupiny 7 uvedených v prílohe II, ktorá nie je v dobrom stave, ako sa kvantifikuje v národnom pláne obnovy prírody uvedenom v článku 12;</w:t>
      </w:r>
      <w:r>
        <w:t xml:space="preserve"> </w:t>
      </w:r>
      <w:r>
        <w:rPr>
          <w:b/>
          <w:i/>
        </w:rPr>
        <w:t xml:space="preserve"> a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bCs/>
          <w:i/>
          <w:szCs w:val="22"/>
        </w:rPr>
      </w:pPr>
      <w:r>
        <w:rPr>
          <w:b/>
          <w:i/>
        </w:rPr>
        <w:t>d)</w:t>
      </w:r>
      <w:r>
        <w:rPr>
          <w:b/>
          <w:i/>
        </w:rPr>
        <w:tab/>
        <w:t>do roku 2050 na percentuálny podiel stanovený v súlade s článkom 11 od. 2a) vzťahujúci sa na plochu typov biotop</w:t>
      </w:r>
      <w:r>
        <w:rPr>
          <w:b/>
          <w:i/>
        </w:rPr>
        <w:t xml:space="preserve">ov skupiny 7 uvedených v prílohe II, ktorá nie je v dobrom stave, ako sa kvantifikuje v národnom pláne obnovy prírody uvedenom v článku 12; </w:t>
      </w:r>
    </w:p>
    <w:bookmarkEnd w:id="45"/>
    <w:p w:rsidR="00407135" w:rsidRDefault="00D55DFA">
      <w:pPr>
        <w:widowControl/>
        <w:suppressAutoHyphens/>
        <w:spacing w:before="120" w:after="120" w:line="360" w:lineRule="auto"/>
        <w:ind w:left="567" w:right="140"/>
        <w:rPr>
          <w:rFonts w:eastAsia="Calibri"/>
          <w:b/>
          <w:bCs/>
          <w:i/>
          <w:szCs w:val="22"/>
        </w:rPr>
      </w:pPr>
      <w:r>
        <w:rPr>
          <w:b/>
          <w:i/>
        </w:rPr>
        <w:t>Percentuálny podiel uvedený v písmene d) tohto odseku sa stanoví tak, aby sa nebránilo dosiahnutiu alebo zachovaniu</w:t>
      </w:r>
      <w:r>
        <w:rPr>
          <w:b/>
          <w:i/>
        </w:rPr>
        <w:t xml:space="preserve"> dobrého environmentálneho stavu určeného podľa článku 9 ods. 1 smernice 2008/56/ES.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t>▌</w:t>
      </w:r>
      <w:r>
        <w:rPr>
          <w:b/>
        </w:rPr>
        <w:t xml:space="preserve"> [PN 29]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3.</w:t>
      </w:r>
      <w:r>
        <w:tab/>
        <w:t>Členské štáty zavedú opatrenia na obnovu morských biotopov druhov uvedených v prílohe III a v prílohách II, IV a V k smernici 92/43/EHS a morských biotopov vo</w:t>
      </w:r>
      <w:r>
        <w:t xml:space="preserve">ľne žijúceho vtáctva, na ktoré sa vzťahuje smernica 2009/147/ES, </w:t>
      </w:r>
      <w:r>
        <w:rPr>
          <w:b/>
          <w:bCs/>
          <w:i/>
          <w:iCs/>
        </w:rPr>
        <w:t>ktoré sú okrem opatrení obnovy zavedených podľa odsekov 1 a 2 tohto článku</w:t>
      </w:r>
      <w:r>
        <w:t xml:space="preserve"> potrebné na zlepšenie kvality a kvantity týchto biotopov vrátane ich znovuvytvorenia a na zlepšenie prepojenia, až kým sa nedosiahne dostatočná kvalita a kvantita týchto biotopov.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>
        <w:br w:type="page"/>
      </w:r>
      <w:r>
        <w:lastRenderedPageBreak/>
        <w:t>4.</w:t>
      </w:r>
      <w:r>
        <w:tab/>
        <w:t>Určenie najvhodnejších oblastí pre opatrenia na obnovu v súlade s odsek</w:t>
      </w:r>
      <w:r>
        <w:t xml:space="preserve">mi 1, 2 a 3 tohto článku sa zakladá na najlepších dostupných poznatkoch a najnovšom technickom a vedeckom pokroku pri určení stavu typov biotopov uvedených v prílohe II  </w:t>
      </w:r>
      <w:r>
        <w:rPr>
          <w:rFonts w:ascii="Arial" w:hAnsi="Arial"/>
          <w:snapToGrid w:val="0"/>
        </w:rPr>
        <w:t>▌</w:t>
      </w:r>
      <w:r>
        <w:t xml:space="preserve"> a kvality a kvantity biotopov druhov uvedených v odseku 3 tohto článku s </w:t>
      </w:r>
      <w:r>
        <w:rPr>
          <w:b/>
          <w:bCs/>
          <w:i/>
          <w:iCs/>
        </w:rPr>
        <w:t>využitím in</w:t>
      </w:r>
      <w:r>
        <w:rPr>
          <w:b/>
          <w:bCs/>
          <w:i/>
          <w:iCs/>
        </w:rPr>
        <w:t>formácií nahlásených podľa článku 17 smernice 92/43/EHS, článku 12 smernice 2009/147/ES a článku 17 smernice 2008/56/ES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4a.</w:t>
      </w:r>
      <w:r>
        <w:rPr>
          <w:b/>
          <w:i/>
        </w:rPr>
        <w:tab/>
      </w:r>
      <w:bookmarkStart w:id="49" w:name="_Hlk137460418"/>
      <w:r>
        <w:rPr>
          <w:b/>
          <w:i/>
        </w:rPr>
        <w:t>Členské štáty najneskôr do roku 2030 zabezpečia, aby bol známy stav aspoň 50 % plochy všetkých typov biotopov uvedených v skupinách</w:t>
      </w:r>
      <w:r>
        <w:rPr>
          <w:b/>
          <w:i/>
        </w:rPr>
        <w:t xml:space="preserve"> 1 až 6 prílohy II. Stav všetkých oblastí skupín 1 až 6 typov biotopov uvedených v prílohe II musí byť známy do roku 2040. </w:t>
      </w:r>
      <w:bookmarkEnd w:id="49"/>
      <w:r>
        <w:rPr>
          <w:b/>
          <w:i/>
        </w:rPr>
        <w:t>Členské štáty najneskôr do roku 2040 tiež zabezpečia, aby bol známy stav aspoň 50 % plochy všetkých typov biotopov uvedených v skupin</w:t>
      </w:r>
      <w:r>
        <w:rPr>
          <w:b/>
          <w:i/>
        </w:rPr>
        <w:t xml:space="preserve">e 7 prílohy II. Stav všetkých oblastí skupiny 7 typov biotopov uvedených v prílohe II musí byť známy do roku 2050. 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5.</w:t>
      </w:r>
      <w:r>
        <w:tab/>
        <w:t xml:space="preserve">V opatreniach na obnovu uvedených v odsekoch 1 a 2 sa zohľadní potreba zlepšiť </w:t>
      </w:r>
      <w:r>
        <w:rPr>
          <w:b/>
          <w:bCs/>
          <w:i/>
          <w:iCs/>
        </w:rPr>
        <w:t>ekologický súlad</w:t>
      </w:r>
      <w:r>
        <w:t xml:space="preserve"> a prepojenie medzi typmi biotopov uvedený</w:t>
      </w:r>
      <w:r>
        <w:t>mi v prílohe II a zohľadnia sa ekologické požiadavky druhov uvedených v odseku 3, ktoré sa v týchto typoch biotopov vyskytujú.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t>6.</w:t>
      </w:r>
      <w:r>
        <w:tab/>
        <w:t xml:space="preserve">Členské štáty </w:t>
      </w:r>
      <w:r>
        <w:rPr>
          <w:b/>
          <w:i/>
        </w:rPr>
        <w:t>sa usilujú zabezpečiť</w:t>
      </w:r>
      <w:r>
        <w:t>, aby oblasti, na ktoré sa vzťahujú opatrenia na obnovu v súlade s odsekmi 1, 2 a 3, vykazo</w:t>
      </w:r>
      <w:r>
        <w:t xml:space="preserve">vali neustále zlepšovanie stavu typov biotopov uvedených v prílohe II až do dosiahnutia dobrého stavu a neustále zlepšovanie kvality biotopov druhov uvedených v odseku 3 až do dosiahnutia dostatočnej kvality týchto biotopov. </w:t>
      </w:r>
      <w:r>
        <w:rPr>
          <w:b/>
          <w:i/>
        </w:rPr>
        <w:t xml:space="preserve">Ak je to možné, </w:t>
      </w:r>
      <w:r>
        <w:t xml:space="preserve">členské štáty </w:t>
      </w:r>
      <w:r>
        <w:rPr>
          <w:b/>
          <w:i/>
        </w:rPr>
        <w:t>s</w:t>
      </w:r>
      <w:r>
        <w:rPr>
          <w:b/>
          <w:i/>
        </w:rPr>
        <w:t>a usilujú zavádzať potrebné opatrenia s cieľom zabrániť tomu</w:t>
      </w:r>
      <w:r>
        <w:t xml:space="preserve">, aby sa oblasti, v ktorých sa dosiahol dobrý stav a v ktorých sa dosiahla dostatočná kvalita biotopov druhov, </w:t>
      </w:r>
      <w:r>
        <w:rPr>
          <w:b/>
          <w:i/>
        </w:rPr>
        <w:t>na vnútroštátnej úrovni výrazne</w:t>
      </w:r>
      <w:r>
        <w:t>nezhoršili.</w:t>
      </w:r>
      <w:r>
        <w:rPr>
          <w:b/>
        </w:rPr>
        <w:t xml:space="preserve"> [PN 125/rev1]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br w:type="page"/>
      </w:r>
      <w:r>
        <w:lastRenderedPageBreak/>
        <w:t>▌</w:t>
      </w:r>
      <w:r>
        <w:rPr>
          <w:b/>
        </w:rPr>
        <w:t xml:space="preserve"> [PN 32, 104 a 126/rev1]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8</w:t>
      </w:r>
      <w:r>
        <w:t>.</w:t>
      </w:r>
      <w:r>
        <w:tab/>
        <w:t xml:space="preserve">V prípade, že nejde o lokality sústavy Natura 2000, nesplnenie povinností stanovených v odseku 6 je odôvodnené </w:t>
      </w:r>
      <w:r>
        <w:rPr>
          <w:rFonts w:ascii="Arial" w:hAnsi="Arial"/>
          <w:snapToGrid w:val="0"/>
        </w:rPr>
        <w:t>▌</w:t>
      </w:r>
      <w:r>
        <w:t>, ak je spôsobené: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a)</w:t>
      </w:r>
      <w:r>
        <w:tab/>
        <w:t xml:space="preserve">vyššou mocou </w:t>
      </w:r>
      <w:r>
        <w:rPr>
          <w:b/>
          <w:bCs/>
          <w:i/>
          <w:iCs/>
        </w:rPr>
        <w:t>vrátane prírodných katastrof;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b)</w:t>
      </w:r>
      <w:r>
        <w:tab/>
      </w:r>
      <w:r>
        <w:t xml:space="preserve">nevyhnutnými transformáciami biotopov, ktoré priamo spôsobila zmena klímy; </w:t>
      </w:r>
      <w:r>
        <w:rPr>
          <w:rFonts w:ascii="Arial" w:hAnsi="Arial"/>
          <w:snapToGrid w:val="0"/>
        </w:rPr>
        <w:t>▌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b/>
          <w:szCs w:val="22"/>
        </w:rPr>
      </w:pPr>
      <w:r>
        <w:rPr>
          <w:b/>
          <w:i/>
        </w:rPr>
        <w:t>▌ca)</w:t>
      </w:r>
      <w:r>
        <w:tab/>
      </w:r>
      <w:r>
        <w:rPr>
          <w:b/>
          <w:i/>
        </w:rPr>
        <w:t>za výnimočných okolností súvisiacich s realizáciou alebo pokračovaním činností vo verejnom záujme je nesplnenie povinností stanovených v odseku 6 odôvodnené za predpokladu, ž</w:t>
      </w:r>
      <w:r>
        <w:rPr>
          <w:b/>
          <w:i/>
        </w:rPr>
        <w:t>e sa ním neohrozí dosiahnutie cieľov obnovy stanovených v odsekoch 1, 2 a 3. Členské štáty informujú Komisiu o takýchto výnimočných okolnostiach a bezodkladne ich náležite zdôvodnia;</w:t>
      </w:r>
      <w:r>
        <w:rPr>
          <w:b/>
        </w:rPr>
        <w:t xml:space="preserve"> [PN 7]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d)</w:t>
      </w:r>
      <w:r>
        <w:rPr>
          <w:i/>
        </w:rPr>
        <w:tab/>
      </w:r>
      <w:r>
        <w:rPr>
          <w:b/>
          <w:i/>
        </w:rPr>
        <w:t>činnosťou alebo nečinnosťou tretích krajín, za ktoré dotknutý č</w:t>
      </w:r>
      <w:r>
        <w:rPr>
          <w:b/>
          <w:i/>
        </w:rPr>
        <w:t>lenský štát nie je zodpovedný.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8a.</w:t>
      </w:r>
      <w:r>
        <w:rPr>
          <w:b/>
          <w:i/>
        </w:rPr>
        <w:tab/>
        <w:t xml:space="preserve">V prípade, že nejde o lokality sústavy Natura 2000, sa povinnosť zaviesť potrebné opatrenia uvedené v odseku 7 nevzťahuje na zhoršenie spôsobené: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a)</w:t>
      </w:r>
      <w:r>
        <w:rPr>
          <w:b/>
          <w:i/>
        </w:rPr>
        <w:tab/>
        <w:t>vyššou mocou vrátane prírodných katastrof;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  <w:t>nevyhnutnými transformáci</w:t>
      </w:r>
      <w:r>
        <w:rPr>
          <w:b/>
          <w:i/>
        </w:rPr>
        <w:t xml:space="preserve">ami biotopov, ktoré priamo spôsobila zmena klímy;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c)</w:t>
      </w:r>
      <w:r>
        <w:rPr>
          <w:b/>
          <w:i/>
        </w:rPr>
        <w:tab/>
        <w:t>plánmi alebo projektami prevažujúceho verejného záujmu, pre ktorý neexistujú menej škodlivé alternatívne riešenia, alebo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d)</w:t>
      </w:r>
      <w:r>
        <w:rPr>
          <w:b/>
          <w:i/>
        </w:rPr>
        <w:tab/>
        <w:t>činnosťou alebo nečinnosťou tretích krajín, za ktoré dotknutý členský štát nie</w:t>
      </w:r>
      <w:r>
        <w:rPr>
          <w:b/>
          <w:i/>
        </w:rPr>
        <w:t xml:space="preserve"> je zodpovedný.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br w:type="page"/>
      </w:r>
      <w:r>
        <w:lastRenderedPageBreak/>
        <w:t>9.</w:t>
      </w:r>
      <w:r>
        <w:tab/>
        <w:t>V prípade, že ide o lokality sústavy Natura 2000, nesplnenie povinností stanovených v odsekoch 6 a 7 je odôvodnené, ak je spôsobené: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a)</w:t>
      </w:r>
      <w:r>
        <w:tab/>
        <w:t>vyššou mocou vrátane prírodných katastrof;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b)</w:t>
      </w:r>
      <w:r>
        <w:tab/>
        <w:t>nevyhnutnými transformáciami biotopov, ktoré priamo sp</w:t>
      </w:r>
      <w:r>
        <w:t>ôsobila zmena klímy; alebo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c)</w:t>
      </w:r>
      <w:r>
        <w:tab/>
        <w:t>plánom alebo projektom schváleným v súlade s článkom 6 ods. 4 smernice 92/43/EHS.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10.</w:t>
      </w:r>
      <w:r>
        <w:tab/>
        <w:t>Členské štáty zabezpečia: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>
        <w:t>a)</w:t>
      </w:r>
      <w:r>
        <w:tab/>
        <w:t>zväčšenie plochy biotopu v dobrom stave v prípade typov biotopov skupín 1 až 6 uvedených v prílohe II, pokým as</w:t>
      </w:r>
      <w:r>
        <w:t>poň 90 % nebude v dobrom stave a pokým sa nedosiahne priaznivá referenčná plocha pre každý typ biotopu v každom biogeografickom regióne dotknutého členského štátu;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aa)</w:t>
      </w:r>
      <w:r>
        <w:rPr>
          <w:b/>
          <w:i/>
        </w:rPr>
        <w:tab/>
        <w:t>zväčšenie plochy biotopu v dobrom stave v prípade typov biotopov uvedených v skupine 7 p</w:t>
      </w:r>
      <w:r>
        <w:rPr>
          <w:b/>
          <w:i/>
        </w:rPr>
        <w:t>rílohy II, pokým aspoň percentuálny podiel uvedený v odseku 1 písm. d) nebude v dobrom stave a pokým sa nedosiahne priaznivá referenčná plocha pre každý typ biotopu v každom biogeografickom regióne dotknutého členského štátu;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szCs w:val="22"/>
          <w:u w:val="single"/>
        </w:rPr>
      </w:pPr>
      <w:r>
        <w:t>b)</w:t>
      </w:r>
      <w:r>
        <w:tab/>
        <w:t xml:space="preserve">pozitívny trend smerom k </w:t>
      </w:r>
      <w:r>
        <w:t>dostatočnej kvalite a kvantite morských biotopov druhov uvedených v prílohe III a v prílohách II, IV a V k smernici 92/43/EHS a druhov, na ktoré sa vzťahuje smernica 2009/147/ES.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140"/>
        <w:jc w:val="center"/>
        <w:outlineLvl w:val="1"/>
        <w:rPr>
          <w:i/>
          <w:szCs w:val="26"/>
        </w:rPr>
      </w:pPr>
      <w:r>
        <w:br w:type="page"/>
      </w:r>
      <w:r>
        <w:rPr>
          <w:b/>
          <w:i/>
        </w:rPr>
        <w:lastRenderedPageBreak/>
        <w:t>Článok 5a</w:t>
      </w:r>
      <w:r>
        <w:rPr>
          <w:b/>
          <w:i/>
        </w:rPr>
        <w:br/>
        <w:t xml:space="preserve">Energia z obnoviteľných zdrojov </w:t>
      </w:r>
    </w:p>
    <w:p w:rsidR="00407135" w:rsidRDefault="00D55DFA">
      <w:pPr>
        <w:widowControl/>
        <w:spacing w:before="120" w:after="120" w:line="360" w:lineRule="auto"/>
        <w:rPr>
          <w:rFonts w:eastAsia="Calibri"/>
          <w:b/>
          <w:i/>
          <w:szCs w:val="22"/>
        </w:rPr>
      </w:pPr>
      <w:bookmarkStart w:id="50" w:name="_Hlk137545325"/>
      <w:r>
        <w:rPr>
          <w:b/>
          <w:i/>
        </w:rPr>
        <w:t xml:space="preserve">Na účely článku 4 ods. 8 a 8a a </w:t>
      </w:r>
      <w:r>
        <w:rPr>
          <w:b/>
          <w:i/>
        </w:rPr>
        <w:t>článku 5 ods. 8 a 8a sa predpokladá, že plánovanie, výstavba a prevádzka elektrární na výrobu energie z obnoviteľných zdrojov, ich pripojenie do sústavy a samotná súvisiaca sústava a uskladňovacie zariadenia sú v prevažujúcom verejnom záujme. Členské štáty</w:t>
      </w:r>
      <w:r>
        <w:rPr>
          <w:b/>
          <w:i/>
        </w:rPr>
        <w:t xml:space="preserve"> ich môžu oslobodiť od požiadavky preukázať, že neexistujú menej škodlivé alternatívne riešenia podľa článku 4 ods. 8 a 8a a článku 5 ods. 8 a 8a, ak bolo vykonané strategické environmentálne hodnotenie v súlade s podmienkami stanovenými v smernici 2001/42</w:t>
      </w:r>
      <w:r>
        <w:rPr>
          <w:b/>
          <w:i/>
        </w:rPr>
        <w:t>/ES alebo ak boli predmetom posudzovania vplyvov na životné prostredie v súlade s podmienkami uvedenými v smernici (EÚ) 2011/92. Členské štáty môžu za riadne odôvodnených a osobitných okolností obmedziť uplatňovanie týchto ustanovení na určité časti svojho</w:t>
      </w:r>
      <w:r>
        <w:rPr>
          <w:b/>
          <w:i/>
        </w:rPr>
        <w:t xml:space="preserve"> územia, ako aj na určité typy technológií alebo na projekty s určitými technickými charakteristikami podľa priorít stanovených vo svojich národných integrovaných energetických a klimatických plánoch podľa nariadenia (EÚ) 2018/1999. Členské informujú Komis</w:t>
      </w:r>
      <w:r>
        <w:rPr>
          <w:b/>
          <w:i/>
        </w:rPr>
        <w:t>iu o uplatňovaných obmedzeniach a zdôvodnia ich.</w:t>
      </w:r>
      <w:bookmarkEnd w:id="50"/>
    </w:p>
    <w:p w:rsidR="00407135" w:rsidRDefault="00D55DFA">
      <w:pPr>
        <w:keepNext/>
        <w:widowControl/>
        <w:suppressAutoHyphens/>
        <w:spacing w:before="360" w:after="120" w:line="360" w:lineRule="auto"/>
        <w:ind w:right="140"/>
        <w:jc w:val="center"/>
        <w:outlineLvl w:val="1"/>
        <w:rPr>
          <w:i/>
          <w:szCs w:val="26"/>
        </w:rPr>
      </w:pPr>
      <w:r>
        <w:rPr>
          <w:b/>
          <w:i/>
        </w:rPr>
        <w:t>Článok 5b</w:t>
      </w:r>
      <w:r>
        <w:rPr>
          <w:b/>
          <w:i/>
        </w:rPr>
        <w:br/>
        <w:t>Národná obrana</w:t>
      </w:r>
    </w:p>
    <w:p w:rsidR="00407135" w:rsidRDefault="00D55DFA">
      <w:pPr>
        <w:widowControl/>
        <w:spacing w:before="120" w:after="120" w:line="360" w:lineRule="auto"/>
        <w:ind w:left="567" w:hanging="567"/>
        <w:rPr>
          <w:b/>
          <w:i/>
          <w:szCs w:val="26"/>
        </w:rPr>
      </w:pPr>
      <w:bookmarkStart w:id="51" w:name="_Hlk136767680"/>
      <w:r>
        <w:rPr>
          <w:b/>
          <w:i/>
        </w:rPr>
        <w:t>1.</w:t>
      </w:r>
      <w:r>
        <w:rPr>
          <w:b/>
          <w:i/>
        </w:rPr>
        <w:tab/>
        <w:t xml:space="preserve">Pri zavádzaní opatrení na obnovu na účely článku 4 ods. 1, 2 a 3 a článku 5 ods. 1, 2 a 3 môžu členské štáty vyňať oblasti využívané výlučne na účely národnej obrany, ak sa tieto </w:t>
      </w:r>
      <w:r>
        <w:rPr>
          <w:b/>
          <w:i/>
        </w:rPr>
        <w:t>opatrenia považujú za nezlučiteľné s pokračujúcim vojenským využívaním daných oblastí.</w:t>
      </w:r>
    </w:p>
    <w:p w:rsidR="00407135" w:rsidRDefault="00D55DFA">
      <w:pPr>
        <w:widowControl/>
        <w:spacing w:before="120" w:after="120" w:line="360" w:lineRule="auto"/>
        <w:ind w:left="567" w:hanging="567"/>
        <w:rPr>
          <w:b/>
          <w:i/>
          <w:szCs w:val="26"/>
        </w:rPr>
      </w:pPr>
      <w:r>
        <w:rPr>
          <w:b/>
          <w:i/>
        </w:rPr>
        <w:t>2.</w:t>
      </w:r>
      <w:r>
        <w:rPr>
          <w:b/>
          <w:i/>
        </w:rPr>
        <w:tab/>
        <w:t xml:space="preserve">Na účely článku 4 ods. 8 a 8a a článku 5 ods. 8 a 8a môžu členské štáty stanoviť, plány a projekty výlučne na účely národnej obrany sa považujú za plány a projekty s </w:t>
      </w:r>
      <w:r>
        <w:rPr>
          <w:b/>
          <w:i/>
        </w:rPr>
        <w:t>prevažujúcim verejným záujmom. Na účely článku 4 ods. 8 a 8a a článku 5 ods. 8 a 8a môžu členské štáty takéto plány a projekty takisto oslobodiť od povinnosti preukázať, že neexistujú menej škodlivé alternatívne riešenia. Pokiaľ sa však táto výnimka uplatň</w:t>
      </w:r>
      <w:r>
        <w:rPr>
          <w:b/>
          <w:i/>
        </w:rPr>
        <w:t>uje, dotknutý členský štát v prípade, že je to vhodné a uskutočniteľné, zavedie opatrenia s cieľom zmierniť vplyvy na typy biotopov.</w:t>
      </w:r>
      <w:bookmarkEnd w:id="51"/>
    </w:p>
    <w:p w:rsidR="00407135" w:rsidRDefault="00D55DFA">
      <w:pPr>
        <w:keepNext/>
        <w:widowControl/>
        <w:suppressAutoHyphens/>
        <w:spacing w:before="360" w:after="120" w:line="360" w:lineRule="auto"/>
        <w:ind w:left="567" w:right="140" w:hanging="567"/>
        <w:jc w:val="center"/>
        <w:outlineLvl w:val="1"/>
        <w:rPr>
          <w:bCs/>
          <w:i/>
          <w:szCs w:val="26"/>
        </w:rPr>
      </w:pPr>
      <w:r>
        <w:rPr>
          <w:b/>
          <w:bCs/>
        </w:rPr>
        <w:t>Článok 6</w:t>
      </w:r>
      <w:r>
        <w:br/>
      </w:r>
      <w:r>
        <w:rPr>
          <w:i/>
          <w:iCs/>
        </w:rPr>
        <w:t>Obnova morských ekosystémov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>
        <w:t>1.</w:t>
      </w:r>
      <w:r>
        <w:tab/>
      </w:r>
      <w:bookmarkStart w:id="52" w:name="_Hlk135912547"/>
      <w:bookmarkStart w:id="53" w:name="_Hlk135848367"/>
      <w:bookmarkStart w:id="54" w:name="_Hlk135923333"/>
      <w:bookmarkStart w:id="55" w:name="_Hlk131595365"/>
      <w:bookmarkStart w:id="56" w:name="_Hlk131436010"/>
      <w:bookmarkEnd w:id="52"/>
      <w:r>
        <w:t xml:space="preserve">Členské štáty zabezpečia, aby k 31. decembru 2030 v porovnaní s </w:t>
      </w:r>
      <w:r>
        <w:rPr>
          <w:b/>
          <w:bCs/>
          <w:i/>
          <w:iCs/>
        </w:rPr>
        <w:t>[rok nadobudnutia ú</w:t>
      </w:r>
      <w:r>
        <w:rPr>
          <w:b/>
          <w:bCs/>
          <w:i/>
          <w:iCs/>
        </w:rPr>
        <w:t>činnosti tohto nariadenia] nedošlo k čistému úbytku celkovej vnútroštátnej plochy mestskej zelene</w:t>
      </w:r>
      <w:r>
        <w:t xml:space="preserve"> a mestského korunového zápoja stromov v mestských ekosystémových </w:t>
      </w:r>
      <w:r>
        <w:lastRenderedPageBreak/>
        <w:t>oblastiach určených podľa článku 11 ods. 2b.</w:t>
      </w:r>
      <w:bookmarkStart w:id="57" w:name="_Hlk131430592"/>
      <w:r>
        <w:rPr>
          <w:b/>
          <w:i/>
        </w:rPr>
        <w:t xml:space="preserve"> </w:t>
      </w:r>
      <w:bookmarkStart w:id="58" w:name="_Hlk136519769"/>
      <w:bookmarkEnd w:id="53"/>
      <w:r>
        <w:rPr>
          <w:b/>
          <w:bCs/>
          <w:i/>
          <w:iCs/>
        </w:rPr>
        <w:t>Na účely tejto povinnosti môžu členské štáty vyl</w:t>
      </w:r>
      <w:r>
        <w:rPr>
          <w:b/>
          <w:bCs/>
          <w:i/>
          <w:iCs/>
        </w:rPr>
        <w:t>účiť z tejto celkovej vnútroštátnej plochy mestské ekosystémové oblasti, v ktorých podiel mestskej zelene v mestských centrách a mestských zoskupeniach presahuje 45 % a podiel a mestského korunového zápoja stromov v nich presahuje 10 %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bookmarkStart w:id="59" w:name="_Hlk132474340"/>
      <w:bookmarkEnd w:id="54"/>
      <w:bookmarkEnd w:id="57"/>
      <w:bookmarkEnd w:id="58"/>
      <w:r>
        <w:t>2.</w:t>
      </w:r>
      <w:r>
        <w:tab/>
        <w:t>Členské štáty ná</w:t>
      </w:r>
      <w:r>
        <w:t>sledne dosiahnu stúpajúci trend, pokiaľ ide o celkovú vnútroštátnu plochu mestskej zelene,</w:t>
      </w:r>
      <w:r>
        <w:rPr>
          <w:b/>
          <w:bCs/>
          <w:i/>
          <w:iCs/>
        </w:rPr>
        <w:t xml:space="preserve"> a to aj prostredníctvom integrácie mestskej zelene do budov a infraštruktúry v mestských ekosystémových oblastiach určených podľa článku 11 ods. 2b, meranú každých š</w:t>
      </w:r>
      <w:r>
        <w:rPr>
          <w:b/>
          <w:bCs/>
          <w:i/>
          <w:iCs/>
        </w:rPr>
        <w:t>esť rokov po 31. decembri 2030, kým sa nedosiahne uspokojivá úroveň podľa článku 11 ods. 3</w:t>
      </w:r>
      <w:r>
        <w:t xml:space="preserve">. </w:t>
      </w:r>
    </w:p>
    <w:bookmarkEnd w:id="59"/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rPr>
          <w:b/>
          <w:i/>
        </w:rPr>
        <w:t>3.</w:t>
      </w:r>
      <w:r>
        <w:rPr>
          <w:b/>
          <w:i/>
        </w:rPr>
        <w:tab/>
      </w:r>
      <w:r>
        <w:t>Členské štáty</w:t>
      </w:r>
      <w:r>
        <w:rPr>
          <w:b/>
          <w:bCs/>
          <w:i/>
          <w:iCs/>
        </w:rPr>
        <w:t xml:space="preserve"> dosiahnu v každej oblasti mestského ekosystému určenej v súlade s článkom 11 ods 2b</w:t>
      </w:r>
      <w:r>
        <w:t xml:space="preserve"> stúpajúci trend mestského korunového zápoja stromov meraného k</w:t>
      </w:r>
      <w:r>
        <w:t>aždých šesť rokov po 31. decembri 2030, kým sa nedosiahne uspokojivá úroveň podľa článku 11 ods. 3.</w:t>
      </w:r>
    </w:p>
    <w:bookmarkEnd w:id="55"/>
    <w:bookmarkEnd w:id="56"/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jc w:val="both"/>
        <w:rPr>
          <w:b/>
          <w:bCs/>
          <w:szCs w:val="26"/>
        </w:rPr>
      </w:pPr>
      <w:r>
        <w:br w:type="page"/>
      </w:r>
    </w:p>
    <w:p w:rsidR="00407135" w:rsidRDefault="00D55DFA">
      <w:pPr>
        <w:keepNext/>
        <w:widowControl/>
        <w:shd w:val="clear" w:color="auto" w:fill="FFFFFF"/>
        <w:suppressAutoHyphens/>
        <w:spacing w:before="120" w:after="120" w:line="360" w:lineRule="auto"/>
        <w:ind w:right="140"/>
        <w:jc w:val="center"/>
        <w:outlineLvl w:val="1"/>
        <w:rPr>
          <w:b/>
          <w:bCs/>
          <w:szCs w:val="26"/>
        </w:rPr>
      </w:pPr>
      <w:r>
        <w:rPr>
          <w:b/>
          <w:bCs/>
        </w:rPr>
        <w:lastRenderedPageBreak/>
        <w:t>Článok 7</w:t>
      </w:r>
      <w:r>
        <w:br/>
      </w:r>
      <w:bookmarkStart w:id="60" w:name="_Hlk136862171"/>
      <w:r>
        <w:rPr>
          <w:i/>
          <w:iCs/>
        </w:rPr>
        <w:t>Obnova prirodzeného prepojenia riek a prírodných funkcií súvisiacich záplavových oblastí</w:t>
      </w:r>
      <w:r>
        <w:rPr>
          <w:b/>
        </w:rPr>
        <w:t xml:space="preserve"> </w:t>
      </w:r>
      <w:bookmarkEnd w:id="60"/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1.</w:t>
      </w:r>
      <w:r>
        <w:tab/>
        <w:t xml:space="preserve">Členské štáty vypracujú zoznam umelých prekážok </w:t>
      </w:r>
      <w:r>
        <w:rPr>
          <w:rFonts w:ascii="Arial" w:hAnsi="Arial"/>
          <w:snapToGrid w:val="0"/>
        </w:rPr>
        <w:t>▌</w:t>
      </w:r>
      <w:r>
        <w:t xml:space="preserve"> prepojenia povrchových vôd s prihliadnutím na ich socio-ekonomické funkcie, určia prekážky, ktoré treba odstrániť, aby sa prispelo k dosiahnutiu cieľov obnovy stanovených v článku 4 tohto nariadenia, ako aj k dosiahnutiu cieľa obnoviť do roku 2030 v Únii </w:t>
      </w:r>
      <w:r>
        <w:t>aspoň 25 000 km voľne tečúcich riek, a to bez toho, aby bola dotknutá smernica 2000/60/ES, najmä jej článok 4 ods. 3, 5 a 7, a nariadenie 1315/2013, najmä jeho článok 15.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2.</w:t>
      </w:r>
      <w:r>
        <w:tab/>
        <w:t xml:space="preserve">Členské štáty odstránia umelé prekážky </w:t>
      </w:r>
      <w:r>
        <w:rPr>
          <w:rFonts w:ascii="Arial" w:hAnsi="Arial"/>
          <w:snapToGrid w:val="0"/>
        </w:rPr>
        <w:t>▌</w:t>
      </w:r>
      <w:r>
        <w:t xml:space="preserve"> prepojenia povrchových vôd na základe zoz</w:t>
      </w:r>
      <w:r>
        <w:t xml:space="preserve">namu podľa odseku 1 tohto článku v súlade s plánom ich odstránenia uvedeným v článku 12 ods. 2 </w:t>
      </w:r>
      <w:r>
        <w:rPr>
          <w:b/>
          <w:bCs/>
          <w:i/>
          <w:iCs/>
        </w:rPr>
        <w:t>písm. e) a f)</w:t>
      </w:r>
      <w:r>
        <w:t>. Členské štáty pri odstraňovaní prekážok v prvom rade riešia zastarané prekážky, čiže tie, ktoré už nie sú potrebné na výrobu energie z obnoviteľný</w:t>
      </w:r>
      <w:r>
        <w:t xml:space="preserve">ch zdrojov, vnútrozemskú plavbu, zásobovanie vodou, </w:t>
      </w:r>
      <w:r>
        <w:rPr>
          <w:b/>
          <w:bCs/>
          <w:i/>
          <w:iCs/>
        </w:rPr>
        <w:t>protipovodňovú ochranu</w:t>
      </w:r>
      <w:r>
        <w:t xml:space="preserve"> alebo iné využitie.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3.</w:t>
      </w:r>
      <w:r>
        <w:tab/>
        <w:t>Členské štáty doplnia odstránenie prekážok v zmysle odseku 2 o opatrenia potrebné na zlepšenie prirodzených funkcií súvisiacich záplavových oblastí.</w:t>
      </w:r>
    </w:p>
    <w:p w:rsidR="00407135" w:rsidRDefault="00D55DFA">
      <w:pPr>
        <w:widowControl/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4.</w:t>
      </w:r>
      <w:r>
        <w:rPr>
          <w:b/>
          <w:i/>
        </w:rPr>
        <w:tab/>
        <w:t>Člensk</w:t>
      </w:r>
      <w:r>
        <w:rPr>
          <w:b/>
          <w:i/>
        </w:rPr>
        <w:t>é štáty zabezpečia zachovanie prirodzenej prepojenosti riek a prirodzených funkcií súvisiacich záplavových oblastí obnovených podľa odsekov 2 a 3.</w:t>
      </w:r>
    </w:p>
    <w:p w:rsidR="00407135" w:rsidRDefault="00D55DFA">
      <w:pPr>
        <w:keepNext/>
        <w:widowControl/>
        <w:suppressAutoHyphens/>
        <w:spacing w:before="120" w:after="120" w:line="360" w:lineRule="auto"/>
        <w:ind w:right="140"/>
        <w:jc w:val="center"/>
        <w:outlineLvl w:val="1"/>
        <w:rPr>
          <w:b/>
          <w:bCs/>
          <w:szCs w:val="26"/>
        </w:rPr>
      </w:pPr>
      <w:r>
        <w:rPr>
          <w:b/>
          <w:bCs/>
        </w:rPr>
        <w:t>Článok 8</w:t>
      </w:r>
      <w:r>
        <w:br/>
      </w:r>
      <w:r>
        <w:rPr>
          <w:i/>
          <w:iCs/>
        </w:rPr>
        <w:t>Obnova populácií opeľovačov</w:t>
      </w:r>
      <w:r>
        <w:rPr>
          <w:b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t>1.</w:t>
      </w:r>
      <w:r>
        <w:tab/>
        <w:t xml:space="preserve">Členské štáty </w:t>
      </w:r>
      <w:r>
        <w:rPr>
          <w:b/>
          <w:i/>
        </w:rPr>
        <w:t xml:space="preserve">najneskôr </w:t>
      </w:r>
      <w:r>
        <w:t xml:space="preserve">do roku 2030 </w:t>
      </w:r>
      <w:r>
        <w:rPr>
          <w:b/>
          <w:i/>
        </w:rPr>
        <w:t>zavedú vhodné a účinné opatreni</w:t>
      </w:r>
      <w:r>
        <w:rPr>
          <w:b/>
          <w:i/>
        </w:rPr>
        <w:t>a na zlepšenie rozmanitosti opeľovačov a zvrátenie poklesu</w:t>
      </w:r>
      <w:r>
        <w:t xml:space="preserve"> populácií opeľovačov a následne dosiahnu ich rastúci trend</w:t>
      </w:r>
      <w:r>
        <w:rPr>
          <w:b/>
          <w:i/>
        </w:rPr>
        <w:t>, po nadobudnutí účinnosti tohto nariadenia</w:t>
      </w:r>
      <w:r>
        <w:t>, ktorý sa po roku 2030 bude merať každých</w:t>
      </w:r>
      <w:r>
        <w:rPr>
          <w:b/>
          <w:bCs/>
          <w:i/>
          <w:iCs/>
        </w:rPr>
        <w:t xml:space="preserve"> šesť</w:t>
      </w:r>
      <w:r>
        <w:t xml:space="preserve"> rokov, až kým sa nedosiahnu uspokojivé úrovne stanovené v súlade s článkom 11 ods. 3.</w:t>
      </w:r>
      <w:r>
        <w:rPr>
          <w:b/>
        </w:rPr>
        <w:t xml:space="preserve"> [PN 88]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bookmarkStart w:id="61" w:name="_Hlk135772528"/>
      <w:r>
        <w:t>2.</w:t>
      </w:r>
      <w:r>
        <w:tab/>
      </w:r>
      <w:r>
        <w:rPr>
          <w:b/>
          <w:i/>
        </w:rPr>
        <w:t>Do ... [9 mesiacov od nadobudnutia účinnosti tohto nariadenia] Komisia prijme delegované akty</w:t>
      </w:r>
      <w:r>
        <w:t xml:space="preserve"> v súlade s </w:t>
      </w:r>
      <w:r>
        <w:rPr>
          <w:b/>
          <w:i/>
        </w:rPr>
        <w:t>článkom 20</w:t>
      </w:r>
      <w:r>
        <w:t xml:space="preserve"> s cieľom stanoviť</w:t>
      </w:r>
      <w:r>
        <w:rPr>
          <w:b/>
          <w:i/>
        </w:rPr>
        <w:t xml:space="preserve"> vedeckú</w:t>
      </w:r>
      <w:r>
        <w:t xml:space="preserve"> metódu monitorov</w:t>
      </w:r>
      <w:r>
        <w:t>ania</w:t>
      </w:r>
      <w:r>
        <w:rPr>
          <w:b/>
          <w:i/>
        </w:rPr>
        <w:t xml:space="preserve"> rozmanitosti a</w:t>
      </w:r>
      <w:r>
        <w:t> populácií opeľovačov.</w:t>
      </w:r>
      <w:r>
        <w:rPr>
          <w:b/>
        </w:rPr>
        <w:t xml:space="preserve"> [PN 89]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b/>
        </w:rPr>
      </w:pPr>
      <w:r>
        <w:t>3.</w:t>
      </w:r>
      <w:r>
        <w:tab/>
        <w:t xml:space="preserve">Metódou uvedenou v odseku 2 sa </w:t>
      </w:r>
      <w:r>
        <w:rPr>
          <w:b/>
          <w:i/>
        </w:rPr>
        <w:t>členským štátom poskytuje usmernenie na účely vymedzenia uspokojivých úrovní podľa článku 11 ods. 3 a</w:t>
      </w:r>
      <w:r>
        <w:t xml:space="preserve"> štandardizovaný prístup k zberu ročných údajov o početnosti a rozmanit</w:t>
      </w:r>
      <w:r>
        <w:t xml:space="preserve">osti druhov opeľovačov </w:t>
      </w:r>
      <w:r>
        <w:rPr>
          <w:b/>
          <w:i/>
        </w:rPr>
        <w:t>vo všetkých ekosystémoch,</w:t>
      </w:r>
      <w:r>
        <w:t xml:space="preserve"> k posudzovaniu populačných trendov opeľovačov </w:t>
      </w:r>
      <w:r>
        <w:rPr>
          <w:b/>
          <w:i/>
        </w:rPr>
        <w:t>a účinnosti opatrení na obnovu prijatých členskými štátmi v súlade s odsekom 1 tohto článku</w:t>
      </w:r>
      <w:r>
        <w:t>.</w:t>
      </w:r>
      <w:r>
        <w:rPr>
          <w:b/>
        </w:rPr>
        <w:t xml:space="preserve"> [PN 90]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b/>
        </w:rPr>
      </w:pPr>
      <w:r>
        <w:rPr>
          <w:b/>
          <w:i/>
        </w:rPr>
        <w:lastRenderedPageBreak/>
        <w:t>3a.</w:t>
      </w:r>
      <w:r>
        <w:rPr>
          <w:b/>
          <w:i/>
        </w:rPr>
        <w:tab/>
        <w:t>Členské štáty a Komisia zabezpečia, aby údaje z monitoro</w:t>
      </w:r>
      <w:r>
        <w:rPr>
          <w:b/>
          <w:i/>
        </w:rPr>
        <w:t>vania pochádzali z primeraného počtu miest s cieľom zabezpečiť reprezentatívnosť na celom území. Členské štáty zabezpečia dostatočné zdroje na toto monitorovanie a podporu občianskej vedy.</w:t>
      </w:r>
      <w:r>
        <w:rPr>
          <w:b/>
        </w:rPr>
        <w:t xml:space="preserve"> [PN 91]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rPr>
          <w:b/>
          <w:i/>
        </w:rPr>
        <w:t>3b.</w:t>
      </w:r>
      <w:r>
        <w:rPr>
          <w:b/>
          <w:i/>
        </w:rPr>
        <w:tab/>
        <w:t>Komisia a príslušné agentúry Únie, najmä EEA, EFSA a EC</w:t>
      </w:r>
      <w:r>
        <w:rPr>
          <w:b/>
          <w:i/>
        </w:rPr>
        <w:t>HA, spoločne riešia hlavné tlaky, ktorým opeľovače čelia, a podporujú členské štáty na ich žiadosť.</w:t>
      </w:r>
      <w:r>
        <w:rPr>
          <w:b/>
        </w:rPr>
        <w:t xml:space="preserve"> [PN 92]</w:t>
      </w:r>
    </w:p>
    <w:bookmarkEnd w:id="61"/>
    <w:p w:rsidR="00407135" w:rsidRDefault="00D55DFA">
      <w:pPr>
        <w:widowControl/>
        <w:rPr>
          <w:b/>
          <w:bCs/>
        </w:rPr>
      </w:pPr>
      <w:r>
        <w:rPr>
          <w:b/>
          <w:bCs/>
        </w:rP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140"/>
        <w:rPr>
          <w:rFonts w:eastAsia="Calibri"/>
          <w:b/>
          <w:szCs w:val="22"/>
        </w:rPr>
      </w:pPr>
      <w:bookmarkStart w:id="62" w:name="_Hlk136866050"/>
      <w:bookmarkStart w:id="63" w:name="_Hlk133342661"/>
      <w:bookmarkEnd w:id="62"/>
      <w:r>
        <w:rPr>
          <w:b/>
        </w:rPr>
        <w:lastRenderedPageBreak/>
        <w:t xml:space="preserve"> ▌[PN 34]</w:t>
      </w:r>
    </w:p>
    <w:bookmarkEnd w:id="63"/>
    <w:p w:rsidR="00407135" w:rsidRDefault="00D55DFA">
      <w:pPr>
        <w:widowControl/>
        <w:spacing w:after="200" w:line="276" w:lineRule="auto"/>
        <w:rPr>
          <w:rFonts w:eastAsia="Calibri"/>
          <w:b/>
          <w:szCs w:val="22"/>
          <w:u w:val="single"/>
        </w:rPr>
      </w:pPr>
      <w:r>
        <w:br w:type="page"/>
      </w:r>
    </w:p>
    <w:p w:rsidR="00407135" w:rsidRDefault="00D55DFA">
      <w:pPr>
        <w:keepNext/>
        <w:widowControl/>
        <w:suppressAutoHyphens/>
        <w:spacing w:before="120" w:after="120" w:line="360" w:lineRule="auto"/>
        <w:ind w:right="140"/>
        <w:jc w:val="center"/>
        <w:outlineLvl w:val="1"/>
        <w:rPr>
          <w:bCs/>
          <w:i/>
          <w:szCs w:val="26"/>
        </w:rPr>
      </w:pPr>
      <w:r>
        <w:rPr>
          <w:b/>
          <w:bCs/>
        </w:rPr>
        <w:lastRenderedPageBreak/>
        <w:t>Článok 10</w:t>
      </w:r>
      <w:r>
        <w:br/>
      </w:r>
      <w:r>
        <w:rPr>
          <w:i/>
          <w:iCs/>
        </w:rPr>
        <w:t>Obnova lesných ekosystémov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>
        <w:t>1.</w:t>
      </w:r>
      <w:r>
        <w:tab/>
        <w:t xml:space="preserve">Okrem oblastí, na ktoré sa vzťahujú opatrenia na obnovu podľa článku 4 ods. 1, 2 a 3, zavedú </w:t>
      </w:r>
      <w:r>
        <w:t>členské štáty opatrenia na obnovu potrebné na zlepšenie biodiverzity lesných ekosystémov.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szCs w:val="22"/>
        </w:rPr>
      </w:pPr>
      <w:r>
        <w:t>2.</w:t>
      </w:r>
      <w:r>
        <w:tab/>
        <w:t xml:space="preserve">Členské štáty musia na vnútroštátnej úrovni dosiahnuť stúpajúci trend, pokiaľ ide o každý z týchto ukazovateľov v lesných ekosystémoch, ako sa bližšie stanovuje v </w:t>
      </w:r>
      <w:r>
        <w:t>prílohe VI, meraných v období od dátumu nadobudnutia účinnosti tohto nariadenia do 31. decembra 2030 a potom každých šesť rokov až do dosiahnutia uspokojivých úrovní určených v súlade s článkom 11 ods. 3: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b/>
          <w:szCs w:val="22"/>
        </w:rPr>
      </w:pPr>
      <w:r>
        <w:t>▌</w:t>
      </w:r>
      <w:r>
        <w:rPr>
          <w:b/>
        </w:rPr>
        <w:t xml:space="preserve"> [PN 129/rev1]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b/>
          <w:szCs w:val="22"/>
        </w:rPr>
      </w:pPr>
      <w:r>
        <w:t>▌</w:t>
      </w:r>
      <w:r>
        <w:rPr>
          <w:b/>
        </w:rPr>
        <w:t xml:space="preserve"> [PN 130/rev1]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szCs w:val="22"/>
        </w:rPr>
      </w:pPr>
      <w:r>
        <w:rPr>
          <w:rFonts w:ascii="Arial" w:hAnsi="Arial"/>
          <w:snapToGrid w:val="0"/>
        </w:rPr>
        <w:t>▌</w:t>
      </w:r>
      <w: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szCs w:val="22"/>
        </w:rPr>
      </w:pPr>
      <w:r>
        <w:rPr>
          <w:rFonts w:ascii="Arial" w:hAnsi="Arial"/>
          <w:snapToGrid w:val="0"/>
        </w:rPr>
        <w:t>▌</w:t>
      </w:r>
      <w: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szCs w:val="22"/>
        </w:rPr>
      </w:pPr>
      <w:r>
        <w:rPr>
          <w:b/>
          <w:i/>
        </w:rPr>
        <w:t>c</w:t>
      </w:r>
      <w:r>
        <w:t>)</w:t>
      </w:r>
      <w:r>
        <w:tab/>
        <w:t>index bežn</w:t>
      </w:r>
      <w:r>
        <w:t>ých druhov lesného vtáctva.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szCs w:val="22"/>
        </w:rPr>
      </w:pPr>
      <w:r>
        <w:rPr>
          <w:rFonts w:ascii="Arial" w:hAnsi="Arial"/>
          <w:snapToGrid w:val="0"/>
        </w:rPr>
        <w:t>▌</w:t>
      </w:r>
      <w:r>
        <w:t xml:space="preserve"> </w:t>
      </w:r>
    </w:p>
    <w:p w:rsidR="00407135" w:rsidRDefault="00D55DFA">
      <w:pPr>
        <w:widowControl/>
        <w:spacing w:after="200" w:line="276" w:lineRule="auto"/>
        <w:rPr>
          <w:rFonts w:eastAsia="Calibri"/>
          <w:szCs w:val="22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b/>
          <w:i/>
          <w:szCs w:val="22"/>
        </w:rPr>
      </w:pPr>
      <w:r>
        <w:rPr>
          <w:b/>
          <w:i/>
          <w:sz w:val="23"/>
        </w:rPr>
        <w:lastRenderedPageBreak/>
        <w:t>2a.</w:t>
      </w:r>
      <w:r>
        <w:rPr>
          <w:b/>
          <w:i/>
          <w:sz w:val="23"/>
        </w:rPr>
        <w:tab/>
      </w:r>
      <w:r>
        <w:rPr>
          <w:b/>
          <w:i/>
        </w:rPr>
        <w:t xml:space="preserve">Členské štáty dosiahnu na vnútroštátnej úrovni stúpajúci trend troch z nasledujúcich ukazovateľov v lesných ekosystémoch, ako sa ďalej stanovuje v prílohe VI, vybraných na základe ich schopnosti preukázať zlepšenie </w:t>
      </w:r>
      <w:r>
        <w:rPr>
          <w:b/>
          <w:i/>
        </w:rPr>
        <w:t>biodiverzity lesných ekosystémov v rámci dotknutého členského štátu. Tento trend sa meria od dátumu nadobudnutia účinnosti tohto nariadenia do 31. decembra 2030 a potom každých šesť rokov až do dosiahnutia uspokojivých úrovní určených v súlade s článkom 11</w:t>
      </w:r>
      <w:r>
        <w:rPr>
          <w:b/>
          <w:i/>
        </w:rPr>
        <w:t xml:space="preserve"> ods. 3: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b/>
          <w:i/>
          <w:szCs w:val="22"/>
        </w:rPr>
      </w:pPr>
      <w:bookmarkStart w:id="64" w:name="_Hlk128839216"/>
      <w:r>
        <w:t>a)</w:t>
      </w:r>
      <w:r>
        <w:rPr>
          <w:b/>
          <w:i/>
        </w:rPr>
        <w:tab/>
        <w:t>podiel lesov s nerovnomernou vekovou štruktúrou;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b/>
          <w:i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  <w:t xml:space="preserve">celistvosť lesov;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jc w:val="both"/>
        <w:rPr>
          <w:rFonts w:eastAsia="Calibri"/>
          <w:b/>
          <w:i/>
          <w:szCs w:val="22"/>
        </w:rPr>
      </w:pPr>
      <w:r>
        <w:rPr>
          <w:b/>
          <w:i/>
        </w:rPr>
        <w:t>c)</w:t>
      </w:r>
      <w:r>
        <w:rPr>
          <w:b/>
          <w:i/>
        </w:rPr>
        <w:tab/>
        <w:t>zásoby organického uhlíka.</w:t>
      </w:r>
    </w:p>
    <w:bookmarkEnd w:id="64"/>
    <w:p w:rsidR="00407135" w:rsidRDefault="00D55DFA">
      <w:pPr>
        <w:widowControl/>
        <w:suppressAutoHyphens/>
        <w:spacing w:after="120" w:line="360" w:lineRule="auto"/>
        <w:ind w:right="140" w:firstLine="567"/>
        <w:rPr>
          <w:rFonts w:eastAsia="Calibri"/>
          <w:b/>
          <w:i/>
          <w:szCs w:val="24"/>
        </w:rPr>
      </w:pPr>
      <w:r>
        <w:rPr>
          <w:b/>
          <w:i/>
          <w:sz w:val="23"/>
        </w:rPr>
        <w:t xml:space="preserve">d) </w:t>
      </w:r>
      <w:r>
        <w:rPr>
          <w:b/>
          <w:i/>
          <w:sz w:val="23"/>
        </w:rPr>
        <w:tab/>
      </w:r>
      <w:r>
        <w:rPr>
          <w:b/>
          <w:i/>
        </w:rPr>
        <w:t>podiel lesov, v ktorých prevládajú pôvodné druhy stromov;</w:t>
      </w:r>
    </w:p>
    <w:p w:rsidR="00407135" w:rsidRDefault="00D55DFA">
      <w:pPr>
        <w:widowControl/>
        <w:suppressAutoHyphens/>
        <w:spacing w:before="120" w:after="240" w:line="360" w:lineRule="auto"/>
        <w:ind w:right="142" w:firstLine="567"/>
        <w:rPr>
          <w:rFonts w:eastAsia="Calibri"/>
          <w:b/>
          <w:i/>
          <w:sz w:val="23"/>
          <w:szCs w:val="23"/>
        </w:rPr>
      </w:pPr>
      <w:r>
        <w:rPr>
          <w:b/>
          <w:i/>
          <w:sz w:val="23"/>
        </w:rPr>
        <w:t xml:space="preserve">e) </w:t>
      </w:r>
      <w:r>
        <w:rPr>
          <w:b/>
          <w:i/>
          <w:sz w:val="23"/>
        </w:rPr>
        <w:tab/>
        <w:t>rozmanitosť druhov stromov.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3.</w:t>
      </w:r>
      <w:r>
        <w:rPr>
          <w:b/>
          <w:i/>
        </w:rPr>
        <w:tab/>
        <w:t>Nesplnenie povinností stanovených v odseku 2 a</w:t>
      </w:r>
      <w:r>
        <w:rPr>
          <w:b/>
          <w:i/>
        </w:rPr>
        <w:t xml:space="preserve"> 2a je odôvodnené, ak je spôsobené: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a)</w:t>
      </w:r>
      <w:r>
        <w:rPr>
          <w:b/>
          <w:i/>
        </w:rPr>
        <w:tab/>
        <w:t>zásahom vyššej moci veľkého rozsahu vrátane prírodných katastrof, najmä neplánovaných a nekontrolovaných lesných požiarov; alebo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  <w:t>nevyhnutnými transformáciami biotopov, ktoré priamo spôsobila zmena klímy.</w:t>
      </w:r>
    </w:p>
    <w:p w:rsidR="00407135" w:rsidRDefault="00D55DFA">
      <w:pPr>
        <w:widowControl/>
        <w:spacing w:after="200" w:line="276" w:lineRule="auto"/>
        <w:rPr>
          <w:rFonts w:eastAsia="Calibri"/>
          <w:b/>
          <w:szCs w:val="22"/>
          <w:u w:val="single"/>
        </w:rPr>
      </w:pPr>
      <w:r>
        <w:br w:type="page"/>
      </w:r>
    </w:p>
    <w:p w:rsidR="00407135" w:rsidRDefault="00D55DFA">
      <w:pPr>
        <w:widowControl/>
        <w:suppressAutoHyphens/>
        <w:spacing w:line="360" w:lineRule="auto"/>
        <w:jc w:val="center"/>
        <w:rPr>
          <w:b/>
          <w:i/>
        </w:rPr>
      </w:pPr>
      <w:r>
        <w:rPr>
          <w:b/>
          <w:i/>
        </w:rPr>
        <w:lastRenderedPageBreak/>
        <w:t>Článok 1</w:t>
      </w:r>
      <w:r>
        <w:rPr>
          <w:b/>
          <w:i/>
        </w:rPr>
        <w:t>0a</w:t>
      </w:r>
      <w:r>
        <w:rPr>
          <w:b/>
          <w:i/>
        </w:rPr>
        <w:br/>
        <w:t>Výsadba troch miliárd ďalších stromov</w:t>
      </w:r>
    </w:p>
    <w:p w:rsidR="00407135" w:rsidRDefault="00D55DFA">
      <w:pPr>
        <w:widowControl/>
        <w:suppressAutoHyphens/>
        <w:spacing w:line="360" w:lineRule="auto"/>
        <w:ind w:left="851" w:hanging="851"/>
        <w:rPr>
          <w:b/>
          <w:i/>
        </w:rPr>
      </w:pPr>
      <w:r>
        <w:rPr>
          <w:b/>
          <w:i/>
        </w:rPr>
        <w:t xml:space="preserve">1. </w:t>
      </w:r>
      <w:r>
        <w:rPr>
          <w:b/>
          <w:i/>
        </w:rPr>
        <w:tab/>
        <w:t>Pri určovaní a vykonávaní opatrení na obnovu s cieľom splniť ciele a povinnosti stanovené v článkoch 4, 6, 9 a 10 členské štáty prispievajú k dosiahnutiu cieľa Únie vysadiť do roku 2030 aspoň tri miliardy ďalšíc</w:t>
      </w:r>
      <w:r>
        <w:rPr>
          <w:b/>
          <w:i/>
        </w:rPr>
        <w:t>h stromov.</w:t>
      </w:r>
    </w:p>
    <w:p w:rsidR="00407135" w:rsidRDefault="00D55DFA">
      <w:pPr>
        <w:widowControl/>
        <w:suppressAutoHyphens/>
        <w:spacing w:line="360" w:lineRule="auto"/>
        <w:ind w:left="851" w:hanging="851"/>
        <w:rPr>
          <w:b/>
          <w:i/>
        </w:rPr>
      </w:pPr>
      <w:r>
        <w:rPr>
          <w:b/>
          <w:i/>
        </w:rPr>
        <w:t xml:space="preserve">2. </w:t>
      </w:r>
      <w:r>
        <w:rPr>
          <w:b/>
          <w:i/>
        </w:rPr>
        <w:tab/>
        <w:t>Členské štáty zabezpečia, aby sa cieľ stanovený v odseku 1 dosiahol pri plnom dodržiavaní ekologických zásad, zabezpečení druhovej rozmanitosti, uprednostňovaní pôvodných druhov stromov s výnimkou, vo veľmi špecifických prípadoch a podmienka</w:t>
      </w:r>
      <w:r>
        <w:rPr>
          <w:b/>
          <w:i/>
        </w:rPr>
        <w:t>ch, nepôvodných druhov prispôsobených miestnej pôde, klimatickým a ekologickým podmienkam a podmienkam biotopov, ktoré zohrávajú úlohu pri podpore zvýšenej odolnosti proti zmene klímy. Opatrenia na dosiahnutie tohto cieľa sa zameriavajú na zvýšenie prepoje</w:t>
      </w:r>
      <w:r>
        <w:rPr>
          <w:b/>
          <w:i/>
        </w:rPr>
        <w:t>nosti a sú založené na zalesňovaní, udržateľnom zalesňovaní a ekologizácii mestských oblastí.</w:t>
      </w:r>
    </w:p>
    <w:p w:rsidR="00407135" w:rsidRDefault="00D55DFA">
      <w:pPr>
        <w:widowControl/>
        <w:suppressAutoHyphens/>
        <w:spacing w:line="360" w:lineRule="auto"/>
        <w:ind w:left="851" w:hanging="851"/>
        <w:rPr>
          <w:b/>
        </w:rPr>
      </w:pPr>
      <w:r>
        <w:rPr>
          <w:b/>
          <w:i/>
        </w:rPr>
        <w:t xml:space="preserve">3. </w:t>
      </w:r>
      <w:r>
        <w:rPr>
          <w:b/>
          <w:i/>
        </w:rPr>
        <w:tab/>
        <w:t xml:space="preserve">Stromy vysadené na účely ťažby sa do cieľa stanoveného v odseku 1 tohto článku nezapočítavajú. </w:t>
      </w:r>
      <w:r>
        <w:rPr>
          <w:b/>
        </w:rPr>
        <w:t>[PN 80]</w:t>
      </w:r>
    </w:p>
    <w:p w:rsidR="00407135" w:rsidRDefault="00D55DFA">
      <w:pPr>
        <w:widowControl/>
      </w:pPr>
      <w:r>
        <w:br w:type="page"/>
      </w:r>
    </w:p>
    <w:p w:rsidR="00407135" w:rsidRDefault="00D55DFA">
      <w:pPr>
        <w:widowControl/>
        <w:suppressAutoHyphens/>
        <w:spacing w:line="360" w:lineRule="auto"/>
        <w:jc w:val="center"/>
        <w:rPr>
          <w:rFonts w:eastAsia="Calibri"/>
          <w:szCs w:val="22"/>
        </w:rPr>
      </w:pPr>
      <w:r>
        <w:lastRenderedPageBreak/>
        <w:t>KAPITOLA III</w:t>
      </w:r>
      <w:r>
        <w:br/>
        <w:t>NÁRODNÉ PLÁNY OBNOVY PRÍRODY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>
        <w:rPr>
          <w:b/>
          <w:bCs/>
        </w:rPr>
        <w:t>Článok 11</w:t>
      </w:r>
      <w:r>
        <w:br/>
      </w:r>
      <w:r>
        <w:rPr>
          <w:i/>
          <w:iCs/>
        </w:rPr>
        <w:t>P</w:t>
      </w:r>
      <w:r>
        <w:rPr>
          <w:i/>
          <w:iCs/>
        </w:rPr>
        <w:t>ríprava národných plánov obnovy prírody</w:t>
      </w:r>
      <w:r>
        <w:rPr>
          <w:b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>
        <w:t>1.</w:t>
      </w:r>
      <w:r>
        <w:tab/>
        <w:t xml:space="preserve">Členské štáty pripravia národné plány obnovy prírody a vykonajú prípravné monitorovanie a výskum na určenie opatrení na obnovu, ktoré sú potrebné na </w:t>
      </w:r>
      <w:r>
        <w:rPr>
          <w:b/>
          <w:i/>
        </w:rPr>
        <w:t>prispenie k dosiahnutiu</w:t>
      </w:r>
      <w:r>
        <w:t xml:space="preserve"> cieľov </w:t>
      </w:r>
      <w:r>
        <w:rPr>
          <w:b/>
          <w:i/>
        </w:rPr>
        <w:t xml:space="preserve">Únie </w:t>
      </w:r>
      <w:r>
        <w:t xml:space="preserve">a </w:t>
      </w:r>
      <w:r>
        <w:rPr>
          <w:b/>
          <w:i/>
        </w:rPr>
        <w:t>na dosiahnutie</w:t>
      </w:r>
      <w:r>
        <w:t xml:space="preserve"> povinností stanovených v článkoch 4 až 10, pričom zohľadnia najnovšie vedecké dôkazy, </w:t>
      </w:r>
      <w:r>
        <w:rPr>
          <w:b/>
          <w:i/>
        </w:rPr>
        <w:t>potreby miestnych komunít vrátane mestských, najúčinnejšie opatrenia a spoločensko-hospodárske vplyvy týchto opatrení.</w:t>
      </w:r>
      <w:r>
        <w:t xml:space="preserve"> </w:t>
      </w:r>
      <w:r>
        <w:rPr>
          <w:b/>
          <w:i/>
        </w:rPr>
        <w:t>V každej fáze procesu je potrebné primerané zapoje</w:t>
      </w:r>
      <w:r>
        <w:rPr>
          <w:b/>
          <w:i/>
        </w:rPr>
        <w:t>nie zainteresovaných strán vrátane vlastníkov pôdy a pôdohospodárov</w:t>
      </w:r>
      <w:r>
        <w:t>.</w:t>
      </w:r>
      <w:r>
        <w:rPr>
          <w:b/>
        </w:rPr>
        <w:t xml:space="preserve"> [PN 35]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2.</w:t>
      </w:r>
      <w:r>
        <w:tab/>
        <w:t>Členské štáty kvantifikujú oblasť, ktorá sa musí obnoviť, aby sa dosiahli ciele obnovy stanovené v článkoch 4 a 5, pričom zohľadnia stav typov biotopov uvedených v článku 4 ods</w:t>
      </w:r>
      <w:r>
        <w:t xml:space="preserve">. 1 a 2, článku 5 ods. 1 a 2, ako aj kvalitu a kvantitu biotopov druhov uvedených v článku 4 ods. 3 a článku 5 ods. 3 </w:t>
      </w:r>
      <w:r>
        <w:rPr>
          <w:rFonts w:ascii="Arial" w:hAnsi="Arial"/>
          <w:snapToGrid w:val="0"/>
        </w:rPr>
        <w:t>▌</w:t>
      </w:r>
      <w:r>
        <w:t>. Kvantifikácia sa zakladá okrem iného na týchto informáciách: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a)</w:t>
      </w:r>
      <w:r>
        <w:tab/>
        <w:t>v prípade každého typu biotopu: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>
        <w:t>i)</w:t>
      </w:r>
      <w:r>
        <w:tab/>
        <w:t xml:space="preserve">celková plocha biotopu a mapa jeho </w:t>
      </w:r>
      <w:r>
        <w:t>súčasného výskytu;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>
        <w:t>ii)</w:t>
      </w:r>
      <w:r>
        <w:tab/>
        <w:t>plocha biotopu, ktorá nie je v dobrom stave;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szCs w:val="24"/>
        </w:rPr>
      </w:pPr>
      <w:r>
        <w:t>iii)</w:t>
      </w:r>
      <w:r>
        <w:tab/>
        <w:t xml:space="preserve">priaznivá referenčná plocha zohľadňujúca </w:t>
      </w:r>
      <w:r>
        <w:rPr>
          <w:b/>
          <w:bCs/>
          <w:i/>
          <w:iCs/>
        </w:rPr>
        <w:t>záznamy historického rozšírenia</w:t>
      </w:r>
      <w:r>
        <w:t xml:space="preserve"> a predpokladané zmeny environmentálnych podmienok v dôsledku zmeny klímy;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b/>
          <w:szCs w:val="24"/>
        </w:rPr>
      </w:pPr>
      <w:r>
        <w:t>▌</w:t>
      </w:r>
      <w:r>
        <w:rPr>
          <w:b/>
        </w:rPr>
        <w:t xml:space="preserve"> [PN 37]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>
        <w:br w:type="page"/>
      </w:r>
      <w:r>
        <w:lastRenderedPageBreak/>
        <w:t>b)</w:t>
      </w:r>
      <w:r>
        <w:tab/>
        <w:t>dostatočná kvalita a k</w:t>
      </w:r>
      <w:r>
        <w:t xml:space="preserve">vantita biotopov druhov potrebných na dosiahnutie ich priaznivého stavu ochrany, berúc do úvahy oblasti, ktoré sú </w:t>
      </w:r>
      <w:r>
        <w:rPr>
          <w:b/>
          <w:i/>
        </w:rPr>
        <w:t>pre tieto biotopy</w:t>
      </w:r>
      <w:r>
        <w:t xml:space="preserve">  najvhodnejšie, </w:t>
      </w:r>
      <w:r>
        <w:rPr>
          <w:b/>
          <w:i/>
        </w:rPr>
        <w:t>vzhľadom na zmeny v dôsledku zmeny klímy</w:t>
      </w:r>
      <w:r>
        <w:t xml:space="preserve">, </w:t>
      </w:r>
      <w:r>
        <w:rPr>
          <w:b/>
          <w:i/>
        </w:rPr>
        <w:t>ako aj funkcie, ktoré pôda zohráva v oblasti výroby potravín, a ko</w:t>
      </w:r>
      <w:r>
        <w:rPr>
          <w:b/>
          <w:i/>
        </w:rPr>
        <w:t>nkurenčné potreby biotopov a druhov;</w:t>
      </w:r>
      <w:r>
        <w:rPr>
          <w:b/>
        </w:rPr>
        <w:t>[PN 38]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ba)</w:t>
      </w:r>
      <w:r>
        <w:rPr>
          <w:b/>
          <w:i/>
        </w:rPr>
        <w:tab/>
        <w:t>na účely kvantifikácie plochy každého typu biotopov, ktorú je potrebné obnoviť, aby sa dosiahli ciele obnovy stanovené v článku 4 ods. 1 písm. a) a článku 5 ods. 1 písm. a), plocha biotopov, ktorá nie je v do</w:t>
      </w:r>
      <w:r>
        <w:rPr>
          <w:b/>
          <w:i/>
        </w:rPr>
        <w:t xml:space="preserve">brom stave uvedená v písmene a) bode ii), zahŕňa len tie oblasti, pre ktoré je stav známy;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b/>
          <w:i/>
        </w:rPr>
      </w:pPr>
      <w:r>
        <w:rPr>
          <w:b/>
          <w:i/>
        </w:rPr>
        <w:t>bb)</w:t>
      </w:r>
      <w:r>
        <w:rPr>
          <w:b/>
          <w:i/>
        </w:rPr>
        <w:tab/>
        <w:t>na účely kvantifikácie plochy každého typu biotopov, ktorú je potrebné obnoviť, aby sa dosiahli ciele obnovy stanovené v článku 4 ods. 1 písm. b) a v článku 5 o</w:t>
      </w:r>
      <w:r>
        <w:rPr>
          <w:b/>
          <w:i/>
        </w:rPr>
        <w:t>ds. 1 písm. b), c) a d), plocha biotopov, ktorá nie je v dobrom stave, uvedená v písmene a) bode ii) tohto odseku zahŕňa len tie oblasti, v prípade ktorých je stav známy alebo má byť známy podľa článku 4 ods. 4a a článku 5 ods. 4a;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b/>
        </w:rPr>
      </w:pPr>
      <w:r>
        <w:rPr>
          <w:b/>
          <w:i/>
        </w:rPr>
        <w:t>bc)</w:t>
      </w:r>
      <w:r>
        <w:tab/>
      </w:r>
      <w:r>
        <w:rPr>
          <w:b/>
          <w:i/>
        </w:rPr>
        <w:t>uskutočniteľnosť obn</w:t>
      </w:r>
      <w:r>
        <w:rPr>
          <w:b/>
          <w:i/>
        </w:rPr>
        <w:t>ovy, nákladová efektívnosť a protichodné sociálno-ekonomické záujmy;</w:t>
      </w:r>
      <w:r>
        <w:rPr>
          <w:b/>
        </w:rPr>
        <w:t xml:space="preserve"> [PN 39]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b/>
        </w:rPr>
      </w:pPr>
      <w:r>
        <w:rPr>
          <w:b/>
          <w:i/>
        </w:rPr>
        <w:t>bd)</w:t>
      </w:r>
      <w:r>
        <w:tab/>
      </w:r>
      <w:r>
        <w:rPr>
          <w:b/>
          <w:i/>
        </w:rPr>
        <w:t>hustota obyvateľstva a nedostatok priestoru v členskom štáte.</w:t>
      </w:r>
      <w:r>
        <w:rPr>
          <w:b/>
        </w:rPr>
        <w:t xml:space="preserve"> [PN 40]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>
        <w:rPr>
          <w:rFonts w:eastAsia="Calibri"/>
          <w:b/>
          <w:i/>
          <w:szCs w:val="22"/>
        </w:rPr>
        <w:t>2a.</w:t>
      </w:r>
      <w:r>
        <w:rPr>
          <w:rFonts w:eastAsia="Calibri"/>
          <w:b/>
          <w:i/>
          <w:szCs w:val="22"/>
        </w:rPr>
        <w:tab/>
      </w:r>
      <w:r>
        <w:rPr>
          <w:b/>
          <w:i/>
        </w:rPr>
        <w:t>Financovanie medzier vo financovaní v súvislosti s vykonávaním tohto nariadenia sa zabezpečí bez použ</w:t>
      </w:r>
      <w:r>
        <w:rPr>
          <w:b/>
          <w:i/>
        </w:rPr>
        <w:t>itia akýchkoľvek finančných prostriedkov z SPP, SRP alebo iných zdrojov financovania v oblasti poľnohospodárstva a rybárstva.</w:t>
      </w:r>
      <w:r>
        <w:rPr>
          <w:b/>
        </w:rPr>
        <w:t xml:space="preserve"> [PN 134]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2b.</w:t>
      </w:r>
      <w:r>
        <w:rPr>
          <w:b/>
          <w:i/>
        </w:rPr>
        <w:tab/>
        <w:t>Pokiaľ ide o skupinu 7 typov biotopov uvedených v prílohe II, členské štáty stanovia percentuálny podiel uvedený v čl</w:t>
      </w:r>
      <w:r>
        <w:rPr>
          <w:b/>
          <w:i/>
        </w:rPr>
        <w:t xml:space="preserve">ánku 5 ods. 1 písm. d). </w:t>
      </w:r>
    </w:p>
    <w:p w:rsidR="00407135" w:rsidRDefault="00407135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  <w:lang w:eastAsia="en-US"/>
        </w:rPr>
      </w:pP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br w:type="page"/>
      </w:r>
      <w:r>
        <w:rPr>
          <w:b/>
          <w:i/>
        </w:rPr>
        <w:lastRenderedPageBreak/>
        <w:t>2c.</w:t>
      </w:r>
      <w:r>
        <w:rPr>
          <w:b/>
          <w:i/>
        </w:rPr>
        <w:tab/>
        <w:t>Členské štáty určia a zmapujú mestské ekosystémové oblasti uvedené v článku 6 pre všetky svoje veľké a malé mestá a predmestia.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/>
        <w:rPr>
          <w:rFonts w:eastAsia="Calibri"/>
          <w:b/>
          <w:i/>
          <w:szCs w:val="22"/>
        </w:rPr>
      </w:pPr>
      <w:r>
        <w:rPr>
          <w:b/>
          <w:i/>
        </w:rPr>
        <w:t>Mestská ekosystémová oblasť veľkého alebo malého mesta alebo predmestia zahŕňa: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a)</w:t>
      </w:r>
      <w:r>
        <w:rPr>
          <w:b/>
          <w:i/>
        </w:rPr>
        <w:tab/>
        <w:t>celé veľké ale</w:t>
      </w:r>
      <w:r>
        <w:rPr>
          <w:b/>
          <w:i/>
        </w:rPr>
        <w:t>bo malé mesto a predmestie alebo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  <w:t>časti veľkého alebo malého mesta a predmestia, ktoré zahŕňajú aspoň jeho mestské centrum, mestské zoskupenia, a ak to dotknuté členské štáty považujú za vhodné, prímestské oblasti.</w:t>
      </w:r>
    </w:p>
    <w:p w:rsidR="00407135" w:rsidRDefault="00D55DFA">
      <w:pPr>
        <w:widowControl/>
        <w:suppressAutoHyphens/>
        <w:spacing w:before="120" w:after="120" w:line="360" w:lineRule="auto"/>
        <w:ind w:left="567"/>
        <w:rPr>
          <w:rFonts w:eastAsia="Calibri"/>
          <w:i/>
          <w:szCs w:val="22"/>
        </w:rPr>
      </w:pPr>
      <w:r>
        <w:rPr>
          <w:b/>
          <w:i/>
        </w:rPr>
        <w:t xml:space="preserve">Členské štáty môžu zlúčiť mestské </w:t>
      </w:r>
      <w:r>
        <w:rPr>
          <w:b/>
          <w:i/>
        </w:rPr>
        <w:t>ekosystémové oblasti dvoch alebo viacerých priľahlých veľkých alebo malých miest a predmestí do jednej mestskej ekosystémovej oblasti, ktorá je pre tieto veľké alebo malé mestá a predmestia spoločná.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3.</w:t>
      </w:r>
      <w:r>
        <w:tab/>
      </w:r>
      <w:bookmarkStart w:id="65" w:name="_Hlk132370883"/>
      <w:bookmarkEnd w:id="65"/>
      <w:r>
        <w:t>Členské štáty stanovia najneskôr do roku 2030 uspokoj</w:t>
      </w:r>
      <w:r>
        <w:t xml:space="preserve">ivé úrovne </w:t>
      </w:r>
      <w:r>
        <w:rPr>
          <w:b/>
          <w:bCs/>
          <w:i/>
          <w:iCs/>
        </w:rPr>
        <w:t>pre každý z ukazovateľov uvedených v článku 8 ods. 1, článku 9 ods. 2, […] článku 10 ods. 2, pre každý zvolený ukazovateľ uvedený v článku 10 ods. 2a a pre mestskú zeleň uvedenú v článku 6 ods. 2 a mestský korunový zápoj stromov uvedený v článku</w:t>
      </w:r>
      <w:r>
        <w:rPr>
          <w:b/>
          <w:bCs/>
          <w:i/>
          <w:iCs/>
        </w:rPr>
        <w:t xml:space="preserve"> 6 ods. 3</w:t>
      </w:r>
      <w:r>
        <w:t xml:space="preserve">, a to prostredníctvom otvoreného a účinného procesu a posúdenia na základe najnovších vedeckých dôkazov </w:t>
      </w:r>
      <w:r>
        <w:rPr>
          <w:rFonts w:ascii="Arial" w:hAnsi="Arial"/>
          <w:snapToGrid w:val="0"/>
        </w:rPr>
        <w:t>▌</w:t>
      </w:r>
      <w:r>
        <w:t xml:space="preserve">, usmerňujúceho rámca uvedeného v článku 17 ods. 9a </w:t>
      </w:r>
      <w:r>
        <w:rPr>
          <w:b/>
          <w:i/>
        </w:rPr>
        <w:t xml:space="preserve"> </w:t>
      </w:r>
      <w:r>
        <w:rPr>
          <w:b/>
          <w:bCs/>
          <w:i/>
          <w:iCs/>
        </w:rPr>
        <w:t>a usmerňujúceho rámca uvedeného v článku 17 ods. 9, ak je tento rámec k dispozícii.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4.</w:t>
      </w:r>
      <w:r>
        <w:tab/>
      </w:r>
      <w:r>
        <w:t>Členské štáty identifikujú a zmapujú poľnohospodárske a lesné oblasti, ktoré potrebujú obnovu, najmä oblasti, ktoré si v dôsledku intenzifikácie alebo iných faktorov hospodárenia vyžadujú lepšie prepojenie a krajinnú rozmanitosť.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bookmarkStart w:id="66" w:name="_Hlk133570615"/>
      <w:r>
        <w:br w:type="page"/>
      </w:r>
      <w:r>
        <w:rPr>
          <w:b/>
          <w:i/>
        </w:rPr>
        <w:lastRenderedPageBreak/>
        <w:t>4a.</w:t>
      </w:r>
      <w:r>
        <w:rPr>
          <w:b/>
          <w:i/>
        </w:rPr>
        <w:tab/>
        <w:t>Členské štáty môžu do</w:t>
      </w:r>
      <w:r>
        <w:rPr>
          <w:b/>
          <w:i/>
        </w:rPr>
        <w:t xml:space="preserve"> jedného roka od nadobudnutia účinnosti tohto nariadenia vypracovať metodiku na doplnenie metodiky uvedenej v prílohe IV, ktorou sa budú monitorovať krajinné prvky s vysokou úrovňou diverzity, na ktoré sa nevzťahuje spoločná metóda uvedená v opise krajinný</w:t>
      </w:r>
      <w:r>
        <w:rPr>
          <w:b/>
          <w:i/>
        </w:rPr>
        <w:t>ch prvkov s vysokou úrovňou diverzity v uvedenej prílohe. Komisia poskytne usmernenia týkajúce sa rámca pre vypracovanie takejto metodiky do jedného mesiaca od nadobudnutia účinnosti tohto nariadenia.</w:t>
      </w:r>
    </w:p>
    <w:bookmarkEnd w:id="66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 xml:space="preserve">4b. </w:t>
      </w:r>
      <w:r>
        <w:rPr>
          <w:b/>
          <w:i/>
        </w:rPr>
        <w:tab/>
        <w:t>Členské štáty v prípade potreby určia zníženie roz</w:t>
      </w:r>
      <w:r>
        <w:rPr>
          <w:b/>
          <w:i/>
        </w:rPr>
        <w:t xml:space="preserve">sahu opätovného zavlažovania rašelinísk, ako sa uvádza v článku 9 ods. 4 piatom pododseku.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5.</w:t>
      </w:r>
      <w:r>
        <w:tab/>
        <w:t xml:space="preserve">Členské štáty určia synergie so zmierňovaním zmeny klímy, adaptáciou na zmenu klímy, </w:t>
      </w:r>
      <w:r>
        <w:rPr>
          <w:b/>
          <w:bCs/>
          <w:i/>
          <w:iCs/>
        </w:rPr>
        <w:t>neutralitou degradácie pôdy</w:t>
      </w:r>
      <w:r>
        <w:t xml:space="preserve"> a predchádzaním katastrofám a podľa toho určia p</w:t>
      </w:r>
      <w:r>
        <w:t>riority opatrení na obnovu. Členské štáty takisto zohľadnia: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a)</w:t>
      </w:r>
      <w:r>
        <w:tab/>
        <w:t>svoj integrovaný národný energetický a klimatický plán uvedený v článku 3 nariadenia (EÚ) 2018/1999;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b)</w:t>
      </w:r>
      <w:r>
        <w:tab/>
        <w:t>svoju dlhodobú stratégiu uvedenú v článku 15 nariadenia (EÚ) 2018/1999;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>
        <w:t>c)</w:t>
      </w:r>
      <w:r>
        <w:tab/>
      </w:r>
      <w:bookmarkStart w:id="67" w:name="_Hlk129957164"/>
      <w:bookmarkEnd w:id="67"/>
      <w:r>
        <w:t xml:space="preserve">záväzný cieľ </w:t>
      </w:r>
      <w:r>
        <w:t>Únie na rok 2030 stanovený v článku 3 smernice Európskeho parlamentu a Rady 2018/2001/EÚ.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  <w:u w:val="single"/>
        </w:rPr>
      </w:pPr>
      <w:r>
        <w:t>6.</w:t>
      </w:r>
      <w:r>
        <w:tab/>
      </w:r>
      <w:r>
        <w:rPr>
          <w:shd w:val="clear" w:color="auto" w:fill="FFFFFF"/>
        </w:rPr>
        <w:t xml:space="preserve">Členské štáty koordinujú vypracúvanie národných plánov obnovy s </w:t>
      </w:r>
      <w:r>
        <w:rPr>
          <w:b/>
          <w:bCs/>
          <w:i/>
          <w:iCs/>
          <w:shd w:val="clear" w:color="auto" w:fill="FFFFFF"/>
        </w:rPr>
        <w:t>mapovaním oblastí, ktoré sú potrebné na splnenie aspoň ich národných príspevkov k cieľu v oblasti e</w:t>
      </w:r>
      <w:r>
        <w:rPr>
          <w:b/>
          <w:bCs/>
          <w:i/>
          <w:iCs/>
          <w:shd w:val="clear" w:color="auto" w:fill="FFFFFF"/>
        </w:rPr>
        <w:t>nergie z obnoviteľných zdrojov do roku 2030, a v prípade potreby s určovaním oblastí zrýchlenia výroby energie z obnoviteľných zdrojov a vyhradených oblastí pre infraštruktúru</w:t>
      </w:r>
      <w:r>
        <w:rPr>
          <w:shd w:val="clear" w:color="auto" w:fill="FFFFFF"/>
        </w:rPr>
        <w:t xml:space="preserve">. </w:t>
      </w:r>
      <w:r>
        <w:t>Počas prípravy plánov obnovy prírody členské štáty zabezpečia synergie s budova</w:t>
      </w:r>
      <w:r>
        <w:t xml:space="preserve">ním infraštruktúry pre energiu z obnoviteľných zdrojov a energetickej infraštruktúry a už určenými oblasťami zrýchlenia výroby energie z obnoviteľných zdrojov a vyhradenými </w:t>
      </w:r>
      <w:r>
        <w:rPr>
          <w:rFonts w:ascii="Arial" w:hAnsi="Arial"/>
          <w:snapToGrid w:val="0"/>
        </w:rPr>
        <w:t>▌</w:t>
      </w:r>
      <w:r>
        <w:t>oblasťami pre infraštruktúru a zabezpečia, aby fungovanie týchto oblastí zrýchleni</w:t>
      </w:r>
      <w:r>
        <w:t xml:space="preserve">a výroby energie z obnoviteľných zdrojov </w:t>
      </w:r>
      <w:r>
        <w:rPr>
          <w:rFonts w:ascii="Arial" w:hAnsi="Arial"/>
          <w:snapToGrid w:val="0"/>
        </w:rPr>
        <w:t>▌</w:t>
      </w:r>
      <w:r>
        <w:t xml:space="preserve"> vrátane povoľovacích postupov uplatniteľných na tieto oblasti v zmysle smernice (EÚ) 2018/2001, </w:t>
      </w:r>
      <w:r>
        <w:rPr>
          <w:b/>
          <w:bCs/>
          <w:i/>
          <w:iCs/>
        </w:rPr>
        <w:t>ako aj fungovanie projektov v oblasti sústav, ktoré sú potrebné na integráciu energie z obnoviteľných zdrojov do elek</w:t>
      </w:r>
      <w:r>
        <w:rPr>
          <w:b/>
          <w:bCs/>
          <w:i/>
          <w:iCs/>
        </w:rPr>
        <w:t>trizačnej sústavy, vrátane príslušných povoľovacích postupov, zostalo nezmenené</w:t>
      </w:r>
      <w:r>
        <w:t>.</w:t>
      </w:r>
      <w:r>
        <w:rPr>
          <w:shd w:val="clear" w:color="auto" w:fill="FFFFFF"/>
        </w:rPr>
        <w:t xml:space="preserve"> </w:t>
      </w:r>
    </w:p>
    <w:p w:rsidR="00407135" w:rsidRDefault="00407135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  <w:u w:val="single"/>
          <w:lang w:eastAsia="en-US"/>
        </w:rPr>
      </w:pP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br w:type="page"/>
      </w:r>
      <w:r>
        <w:lastRenderedPageBreak/>
        <w:t>7.</w:t>
      </w:r>
      <w:r>
        <w:tab/>
        <w:t>Členské štáty pri príprave svojich národných plánov obnovy prírody zohľadnia najmä tieto aspekty: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a)</w:t>
      </w:r>
      <w:r>
        <w:tab/>
        <w:t>ochranné opatrenia stanovené pre lokality sústavy Natura 2000 v súla</w:t>
      </w:r>
      <w:r>
        <w:t>de so smernicou 92/43/EHS;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b)</w:t>
      </w:r>
      <w:r>
        <w:tab/>
        <w:t>prioritné akčné rámce vypracované v súlade so smernicou 92/43/EHS;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c)</w:t>
      </w:r>
      <w:r>
        <w:tab/>
      </w:r>
      <w:bookmarkStart w:id="68" w:name="_Hlk127344364"/>
      <w:bookmarkStart w:id="69" w:name="_Hlk129948351"/>
      <w:bookmarkStart w:id="70" w:name="_Hlk127347856"/>
      <w:bookmarkEnd w:id="68"/>
      <w:bookmarkEnd w:id="69"/>
      <w:bookmarkEnd w:id="70"/>
      <w:r>
        <w:t>opatrenia na dosiahnutie dobrého kvantitatívneho, ekologického a chemického stavu vodných útvarov zahrnutých do programov opatrení a plánov manažmentu povod</w:t>
      </w:r>
      <w:r>
        <w:t>ia vypracovaných v súlade so smernicou 2000/60/ES a do plánov manažmentu povodňových rizík vypracovaných v súlade so smernicou 2000</w:t>
      </w:r>
      <w:r>
        <w:t>/60/ES;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d)</w:t>
      </w:r>
      <w:r>
        <w:tab/>
        <w:t xml:space="preserve">v prípade potreby morské stratégie na dosiahnutie dobrého environmentálneho stavu všetkých morských regiónov Únie </w:t>
      </w:r>
      <w:r>
        <w:t>vypracované v súlade so smernicou 2008/56/ES;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e)</w:t>
      </w:r>
      <w:r>
        <w:tab/>
        <w:t>národné programy riadenia znečisťovania ovzdušia vypracované podľa smernice (EÚ) 2016/2284;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f)</w:t>
      </w:r>
      <w:r>
        <w:tab/>
        <w:t>národné stratégie a akčné plány v oblasti biodiverzity vypracované v súlade s článkom 6 Dohovoru o biologickej d</w:t>
      </w:r>
      <w:r>
        <w:t>iverzite;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t>g)</w:t>
      </w:r>
      <w:r>
        <w:tab/>
        <w:t>v prípade potreby ochranné a riadiace opatrenia prijaté v rámci spoločnej rybárskej politiky;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4"/>
        </w:rPr>
      </w:pPr>
      <w:r>
        <w:rPr>
          <w:b/>
          <w:i/>
        </w:rPr>
        <w:t>h)</w:t>
      </w:r>
      <w:r>
        <w:rPr>
          <w:b/>
          <w:i/>
        </w:rPr>
        <w:tab/>
        <w:t>strategické plány SPP vypracované v súlade s nariadením (EÚ) 2021/2115.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8.</w:t>
      </w:r>
      <w:r>
        <w:tab/>
        <w:t>Členské štáty môžu pri príprave národných plánov obnovy prírody použijú</w:t>
      </w:r>
      <w:r>
        <w:t xml:space="preserve"> rôzne príklady opatrení na obnovu uvedených v prílohe VII, a to v závislosti od osobitných vnútroštátnych a miestnych podmienok, ako aj najnovších vedeckých dôkazov.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bookmarkStart w:id="71" w:name="_Hlk135687517"/>
      <w:r>
        <w:br w:type="page"/>
      </w:r>
      <w:r>
        <w:lastRenderedPageBreak/>
        <w:t>9.</w:t>
      </w:r>
      <w:r>
        <w:tab/>
        <w:t xml:space="preserve">Členské štáty sa pri príprave národných plánov obnovy zameriavajú na optimalizáciu </w:t>
      </w:r>
      <w:r>
        <w:t>ekologických, hospodárskych a sociálnych funkcií ekosystémov, ako aj ich príspevku k udržateľnému rozvoju príslušných regiónov a komunít.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bookmarkStart w:id="72" w:name="_Hlk136791496"/>
      <w:r>
        <w:rPr>
          <w:b/>
          <w:i/>
        </w:rPr>
        <w:t>9a.</w:t>
      </w:r>
      <w:r>
        <w:rPr>
          <w:b/>
          <w:i/>
        </w:rPr>
        <w:tab/>
        <w:t xml:space="preserve">Členské štáty môžu pri príprave národných plánov obnovy prírody zohľadniť rozmanitosť situácií v rôznych regiónoch </w:t>
      </w:r>
      <w:r>
        <w:rPr>
          <w:b/>
          <w:i/>
        </w:rPr>
        <w:t>v súvislosti so sociálnymi, hospodárskymi a kultúrnymi požiadavkami, regionálnymi a miestnymi charakteristikami a hustotou obyvateľstva.</w:t>
      </w:r>
      <w:r>
        <w:rPr>
          <w:i/>
        </w:rPr>
        <w:t xml:space="preserve"> </w:t>
      </w:r>
      <w:r>
        <w:rPr>
          <w:b/>
          <w:i/>
        </w:rPr>
        <w:t>V náležitých prípadoch by sa mala zohľadniť aj osobitná situácia najvzdialenejších regiónov Únie, ako ich odľahlosť, ostrovný charakter, malá rozloha, náročné topografické a klimatické podmienky, ako aj ich bohatá biodiverzita a súvisiace náklady na ochran</w:t>
      </w:r>
      <w:r>
        <w:rPr>
          <w:b/>
          <w:i/>
        </w:rPr>
        <w:t xml:space="preserve">u a obnovu týchto ekosystémov. </w:t>
      </w:r>
      <w:bookmarkEnd w:id="71"/>
      <w:bookmarkEnd w:id="72"/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10.</w:t>
      </w:r>
      <w:r>
        <w:tab/>
        <w:t xml:space="preserve">Členské štáty podľa možnosti podporujú synergie s národnými plánmi obnovy prírody iných členských štátov, najmä pokiaľ ide o cezhraničné ekosystémy </w:t>
      </w:r>
      <w:r>
        <w:rPr>
          <w:b/>
          <w:bCs/>
          <w:i/>
          <w:iCs/>
        </w:rPr>
        <w:t>alebo ak sa členské štáty delia o morský región alebo subregión v zmysle</w:t>
      </w:r>
      <w:r>
        <w:rPr>
          <w:b/>
          <w:bCs/>
          <w:i/>
          <w:iCs/>
        </w:rPr>
        <w:t xml:space="preserve"> smernice 2008/56/ES</w:t>
      </w:r>
      <w:r>
        <w:t>.</w:t>
      </w:r>
    </w:p>
    <w:p w:rsidR="00407135" w:rsidRDefault="00D55DFA">
      <w:pPr>
        <w:widowControl/>
        <w:tabs>
          <w:tab w:val="left" w:pos="567"/>
        </w:tabs>
        <w:suppressAutoHyphens/>
        <w:spacing w:after="140" w:line="360" w:lineRule="auto"/>
        <w:ind w:left="567" w:right="-1" w:hanging="567"/>
        <w:rPr>
          <w:rFonts w:eastAsia="Calibri"/>
          <w:b/>
          <w:i/>
          <w:szCs w:val="24"/>
        </w:rPr>
      </w:pPr>
      <w:r>
        <w:rPr>
          <w:b/>
          <w:i/>
        </w:rPr>
        <w:t>10a.</w:t>
      </w:r>
      <w:r>
        <w:rPr>
          <w:b/>
          <w:i/>
        </w:rPr>
        <w:tab/>
        <w:t>Ak je to praktické a vhodné, môžu členské štáty na účely vypracovania a vykonávania národných plánov obnovy prírody v súvislosti s obnovou a znovuvytvorením morských ekosystémov využívať existujúce regionálne inštitucionálne štru</w:t>
      </w:r>
      <w:r>
        <w:rPr>
          <w:b/>
          <w:i/>
        </w:rPr>
        <w:t>ktúry spolupráce.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i/>
          <w:sz w:val="16"/>
          <w:szCs w:val="16"/>
        </w:rPr>
      </w:pPr>
      <w:r>
        <w:rPr>
          <w:b/>
          <w:i/>
        </w:rPr>
        <w:t>10b.</w:t>
      </w:r>
      <w:r>
        <w:rPr>
          <w:b/>
          <w:i/>
        </w:rPr>
        <w:tab/>
      </w:r>
      <w:bookmarkStart w:id="73" w:name="_Hlk133316754"/>
      <w:bookmarkEnd w:id="73"/>
      <w:r>
        <w:rPr>
          <w:b/>
          <w:bCs/>
          <w:i/>
          <w:iCs/>
        </w:rPr>
        <w:t>Ak členské štáty zistia problém, ktorý môže zabrániť splneniu povinností obnoviť a znovu vytvoriť morské ekosystémy a ktorý si vyžaduje opatrenia, ktoré nie sú príslušné prijímať, jednotlivo alebo spoločne sa obrátia na dotknuté člen</w:t>
      </w:r>
      <w:r>
        <w:rPr>
          <w:b/>
          <w:bCs/>
          <w:i/>
          <w:iCs/>
        </w:rPr>
        <w:t>ské štáty, Komisiu alebo medzinárodné organizácie s opisom zisteného problému […] a možných opatrení na účely ich zváženia a prípadného prijatia.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>
        <w:t>11.</w:t>
      </w:r>
      <w:r>
        <w:tab/>
        <w:t xml:space="preserve">Členské štáty zabezpečia, aby príprava plánu obnovy prírody bola otvorená, </w:t>
      </w:r>
      <w:r>
        <w:rPr>
          <w:b/>
          <w:i/>
        </w:rPr>
        <w:t xml:space="preserve">transparentná, </w:t>
      </w:r>
      <w:r>
        <w:t>inkluzívna a úči</w:t>
      </w:r>
      <w:r>
        <w:t>nná a aby sa verejnosti</w:t>
      </w:r>
      <w:r>
        <w:rPr>
          <w:b/>
          <w:i/>
        </w:rPr>
        <w:t>, najmä vlastníkom pôdy, správcom pôdy, zainteresovaným stranám v námornej oblasti a iným príslušným subjektom, ako sú poradenské a konzultačné služby, v súlade so zásadou predchádzajúceho a informovaného súhlasu</w:t>
      </w:r>
      <w:r>
        <w:t xml:space="preserve"> poskytli včasné a úč</w:t>
      </w:r>
      <w:r>
        <w:t xml:space="preserve">inné príležitosti zúčastniť sa na </w:t>
      </w:r>
      <w:r>
        <w:rPr>
          <w:b/>
          <w:i/>
        </w:rPr>
        <w:t>príprave plánu</w:t>
      </w:r>
      <w:r>
        <w:t xml:space="preserve">. </w:t>
      </w:r>
      <w:r>
        <w:rPr>
          <w:b/>
          <w:i/>
        </w:rPr>
        <w:t>Miestne a regionálne orgány, ako aj príslušné riadiace orgány musia byť riadne zapojené do prípravy plánu</w:t>
      </w:r>
      <w:r>
        <w:t>. Konzultácie musia byť v súlade s požiadavkami stanovenými v smernici 2001/42/ES.</w:t>
      </w:r>
      <w:r>
        <w:rPr>
          <w:b/>
        </w:rPr>
        <w:t xml:space="preserve"> [PN 12]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>
        <w:br w:type="page"/>
      </w:r>
      <w:r>
        <w:rPr>
          <w:b/>
          <w:bCs/>
        </w:rPr>
        <w:lastRenderedPageBreak/>
        <w:t>Článok 12</w:t>
      </w:r>
      <w:r>
        <w:br/>
      </w:r>
      <w:r>
        <w:rPr>
          <w:i/>
          <w:iCs/>
        </w:rPr>
        <w:t>Obsah národných plánov obnovy prírody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bookmarkStart w:id="74" w:name="_Hlk133481561"/>
      <w:r>
        <w:t>1.</w:t>
      </w:r>
      <w:r>
        <w:tab/>
      </w:r>
      <w:bookmarkStart w:id="75" w:name="_Hlk127379600"/>
      <w:r>
        <w:t>Národný plán obnovy prírody sa vzťahuje na obdobie do roku 2050 a obsahuje priebežné lehoty zodpovedajúce cieľom a povinnostiam stanoveným v článkoch 4 až 10.</w:t>
      </w:r>
      <w:r>
        <w:rPr>
          <w:b/>
          <w:u w:val="single"/>
        </w:rPr>
        <w:t xml:space="preserve"> </w:t>
      </w:r>
      <w:bookmarkEnd w:id="75"/>
    </w:p>
    <w:bookmarkEnd w:id="74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1a.</w:t>
      </w:r>
      <w:r>
        <w:rPr>
          <w:b/>
          <w:i/>
        </w:rPr>
        <w:tab/>
      </w:r>
      <w:bookmarkStart w:id="76" w:name="_Hlk133481151"/>
      <w:r>
        <w:rPr>
          <w:b/>
          <w:i/>
        </w:rPr>
        <w:t>Odchylne od odseku 1 sa národný plán obnovy prírod</w:t>
      </w:r>
      <w:r>
        <w:rPr>
          <w:b/>
          <w:i/>
        </w:rPr>
        <w:t>y, ktorý sa má predložiť v súlade s článkom 13 a článkom 14 ods. 6, môže, pokiaľ ide o obdobie po júni 2032, a do preskúmania v súlade s článkom 15 ods. 1 obmedziť na strategický prehľad: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/>
        <w:rPr>
          <w:rFonts w:eastAsia="Calibri"/>
          <w:b/>
          <w:i/>
          <w:szCs w:val="22"/>
        </w:rPr>
      </w:pPr>
      <w:r>
        <w:rPr>
          <w:b/>
          <w:i/>
        </w:rPr>
        <w:t>a)</w:t>
      </w:r>
      <w:r>
        <w:rPr>
          <w:b/>
          <w:i/>
        </w:rPr>
        <w:tab/>
        <w:t>prvkov uvedených v odseku 2 a</w:t>
      </w:r>
    </w:p>
    <w:p w:rsidR="00407135" w:rsidRDefault="00D55DFA">
      <w:pPr>
        <w:widowControl/>
        <w:suppressAutoHyphens/>
        <w:spacing w:before="120" w:after="120" w:line="360" w:lineRule="auto"/>
        <w:ind w:left="567" w:firstLine="3"/>
        <w:rPr>
          <w:rFonts w:eastAsia="Calibri"/>
          <w:b/>
          <w:i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  <w:t xml:space="preserve">obsahu uvedeného v odsekoch 3 a </w:t>
      </w:r>
      <w:r>
        <w:rPr>
          <w:b/>
          <w:i/>
        </w:rPr>
        <w:t>3a.</w:t>
      </w:r>
    </w:p>
    <w:p w:rsidR="00407135" w:rsidRDefault="00D55DFA">
      <w:pPr>
        <w:widowControl/>
        <w:suppressAutoHyphens/>
        <w:spacing w:before="120" w:after="120" w:line="360" w:lineRule="auto"/>
        <w:ind w:left="567" w:firstLine="3"/>
        <w:rPr>
          <w:rFonts w:eastAsia="Calibri"/>
          <w:b/>
          <w:i/>
          <w:szCs w:val="22"/>
        </w:rPr>
      </w:pPr>
      <w:r>
        <w:rPr>
          <w:b/>
          <w:i/>
        </w:rPr>
        <w:t>Revidovaný národný plán obnovy prírody vyplývajúci z preskúmania, ktoré sa má vykonať pred júlom 2032 v súlade s článkom 15 ods. 1, sa môže, pokiaľ ide o obdobie po júni 2042, a do preskúmania pred júlom 2042 v súlade s článkom 15 ods. 1 obmedziť na st</w:t>
      </w:r>
      <w:r>
        <w:rPr>
          <w:b/>
          <w:i/>
        </w:rPr>
        <w:t xml:space="preserve">rategický prehľad uvedených prvkov a obsahu. </w:t>
      </w:r>
    </w:p>
    <w:bookmarkEnd w:id="76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2.</w:t>
      </w:r>
      <w:r>
        <w:tab/>
        <w:t>Členské štáty pomocou jednotného formátu stanoveného v súlade s odsekom 4 tohto článku zahrnú do svojich národných plánov obnovy prírody tieto prvky: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a)</w:t>
      </w:r>
      <w:r>
        <w:tab/>
      </w:r>
      <w:bookmarkStart w:id="77" w:name="_Hlk127366959"/>
      <w:bookmarkStart w:id="78" w:name="_Hlk127366922"/>
      <w:bookmarkEnd w:id="77"/>
      <w:r>
        <w:t xml:space="preserve">kvantifikáciu oblastí, ktoré sa majú obnoviť na účely </w:t>
      </w:r>
      <w:r>
        <w:t>splnenia cieľov obnovy stanovených v článkoch 4 až 10, a to na základe prípravných prác vykonaných v súlade s článkom 11 a orientačných máp potenciálnych oblastí, ktoré sa majú obnoviť</w:t>
      </w:r>
      <w:bookmarkEnd w:id="78"/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b)</w:t>
      </w:r>
      <w:r>
        <w:tab/>
        <w:t>opis plánovaných alebo zavedených opatrení na obnovu na účely splne</w:t>
      </w:r>
      <w:r>
        <w:t>nia cieľov obnovy a povinností stanovených v článkoch 4 až 10, a konkretizáciu toho, ktoré z uvedených opatrení na obnovu sú naplánované alebo zavedené v rámci sústavy Natura 2000 zriadenej v súlade so smernicou 92/43/EHS;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b/>
          <w:i/>
        </w:rPr>
        <w:lastRenderedPageBreak/>
        <w:t>ba)</w:t>
      </w:r>
      <w:r>
        <w:rPr>
          <w:b/>
          <w:i/>
        </w:rPr>
        <w:tab/>
        <w:t>osobitný oddiel, v ktorom s</w:t>
      </w:r>
      <w:r>
        <w:rPr>
          <w:b/>
          <w:i/>
        </w:rPr>
        <w:t xml:space="preserve">a stanovujú opatrenia na dosiahnutie povinností uvedených v článku 4 ods. 4a a článku 5 ods. 4a;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</w:rPr>
      </w:pPr>
      <w:r>
        <w:t>▌</w:t>
      </w:r>
      <w:r>
        <w:rPr>
          <w:b/>
        </w:rPr>
        <w:t xml:space="preserve"> [PN 41]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</w:rPr>
      </w:pPr>
      <w:r>
        <w:t>▌</w:t>
      </w:r>
      <w:r>
        <w:rPr>
          <w:b/>
        </w:rPr>
        <w:t xml:space="preserve"> [PN 42]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>
        <w:t>e)</w:t>
      </w:r>
      <w:r>
        <w:tab/>
        <w:t>zoznam prekážok a určenie tých prekážok, ktoré sa majú odstrániť v súlade s článkom 7 ods. 1, plán ich odstránenia v súlade s článkom 7</w:t>
      </w:r>
      <w:r>
        <w:t xml:space="preserve"> ods. 2 a </w:t>
      </w:r>
      <w:r>
        <w:rPr>
          <w:rFonts w:ascii="Arial" w:hAnsi="Arial"/>
          <w:snapToGrid w:val="0"/>
        </w:rPr>
        <w:t>▌</w:t>
      </w:r>
      <w:r>
        <w:t xml:space="preserve"> dĺžky voľne tečúcich riek, ktorá sa dosiahne odstránením týchto prekážok odhadovanej od roku 2020 do roku 2030 a </w:t>
      </w:r>
      <w:r>
        <w:rPr>
          <w:rFonts w:ascii="Arial" w:hAnsi="Arial"/>
          <w:snapToGrid w:val="0"/>
        </w:rPr>
        <w:t>▌</w:t>
      </w:r>
      <w:r>
        <w:t xml:space="preserve"> roku 2050, a akékoľvek ďalšie opatrenia na znovuvytvorenie prirodzených funkcií záplavových oblastí v súlade s článkom 7 ods. 3;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ea)</w:t>
      </w:r>
      <w:r>
        <w:rPr>
          <w:b/>
          <w:i/>
        </w:rPr>
        <w:tab/>
        <w:t xml:space="preserve">prípadné odôvodnenie opätovného zavlažovania rašelinísk v menšom rozsahu, ako je rozsah stanovený v článku 9 ods. 4 prvom pododseku písm. a) až c);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eb)</w:t>
      </w:r>
      <w:r>
        <w:rPr>
          <w:b/>
          <w:i/>
        </w:rPr>
        <w:tab/>
        <w:t>opis ukazovateľov pre lesné ekosystémy zvolených podľa článku 10 ods. 2a a ich vhodnosť na preukáza</w:t>
      </w:r>
      <w:r>
        <w:rPr>
          <w:b/>
          <w:i/>
        </w:rPr>
        <w:t>nie zlepšenia biodiverzity v lesných ekosystémoch v rámci dotknutého členského štátu;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br w:type="page"/>
      </w:r>
      <w:r>
        <w:lastRenderedPageBreak/>
        <w:t>f)</w:t>
      </w:r>
      <w:r>
        <w:tab/>
        <w:t>harmonogram realizácie opatrení na obnovu v súlade s článkami 4 až 10;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g)</w:t>
      </w:r>
      <w:r>
        <w:tab/>
        <w:t>osobitný oddiel, v ktorom sa podľa potreby stanovia prispôsobené opatrenia na obnovu pre ich</w:t>
      </w:r>
      <w:r>
        <w:t xml:space="preserve"> najvzdialenejšie regióny;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h)</w:t>
      </w:r>
      <w:r>
        <w:tab/>
        <w:t>monitorovanie oblastí, ktoré sa majú obnoviť v súlade s článkami 4 a 5, proces posudzovania účinnosti opatrení na obnovu zavedených v súlade s článkami 4 až 10 a proces revízie týchto opatrení, ak je to potrebné na zabezpečeni</w:t>
      </w:r>
      <w:r>
        <w:t>e splnenia cieľov a povinností stanovených v článkoch 4 až 10;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i)</w:t>
      </w:r>
      <w:r>
        <w:tab/>
        <w:t>konkretizácia ustanovení na zabezpečenie trvalých, dlhodobých a udržateľných účinkov opatrení na obnovu uvedených v článkoch 4 až 10;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</w:pPr>
      <w:r>
        <w:t>j)</w:t>
      </w:r>
      <w:r>
        <w:tab/>
        <w:t>odhadované súvisiace prínosy pre zmiernenie zmeny klí</w:t>
      </w:r>
      <w:r>
        <w:t>my a neutralitu degradácie pôdy spojené s opatreniami na obnovu v priebehu času, ako aj širšie sociálno-ekonomické prínosy týchto opatrení;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</w:rPr>
      </w:pPr>
      <w:r>
        <w:rPr>
          <w:b/>
          <w:i/>
        </w:rPr>
        <w:t>ja)</w:t>
      </w:r>
      <w:r>
        <w:tab/>
      </w:r>
      <w:r>
        <w:rPr>
          <w:b/>
          <w:i/>
        </w:rPr>
        <w:t>odhadovaný sociálno-ekonomický vplyv vykonávania opatrení na obnovu;</w:t>
      </w:r>
      <w:r>
        <w:rPr>
          <w:b/>
        </w:rPr>
        <w:t xml:space="preserve"> [PN 69]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k)</w:t>
      </w:r>
      <w:r>
        <w:tab/>
        <w:t>osobitný oddiel, v ktorom sa uvá</w:t>
      </w:r>
      <w:r>
        <w:t>dza, ako sa v národnom pláne obnovy prírody zohľadňuje: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>
        <w:t>i)</w:t>
      </w:r>
      <w:r>
        <w:tab/>
        <w:t>relevantnosť scenárov zmeny klímy pre plánovanie typu opatrení na obnovu a ich situovania;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>
        <w:t>ii)</w:t>
      </w:r>
      <w:r>
        <w:tab/>
      </w:r>
      <w:bookmarkStart w:id="79" w:name="_Hlk127911096"/>
      <w:bookmarkEnd w:id="79"/>
      <w:r>
        <w:t>potenciál opatrení na obnovu s cieľom minimalizovať vplyvy zmeny klímy na prírodu, predchádzať prírodn</w:t>
      </w:r>
      <w:r>
        <w:t>ým katastrofám alebo zmierniť ich vplyv a podporovať adaptáciu;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>
        <w:t>iii)</w:t>
      </w:r>
      <w:r>
        <w:tab/>
        <w:t>synergie s národnými adaptačnými stratégiami alebo plánmi a vnútroštátnymi správami o posúdení rizika katastrof;</w:t>
      </w:r>
    </w:p>
    <w:p w:rsidR="00407135" w:rsidRDefault="00D55DFA">
      <w:pPr>
        <w:widowControl/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>
        <w:t>iv)</w:t>
      </w:r>
      <w:r>
        <w:tab/>
        <w:t xml:space="preserve">prehľad súhry opatrení zahrnutých do národného plánu obnovy prírody a </w:t>
      </w:r>
      <w:r>
        <w:t>národného energetického a klimatického plánu;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br w:type="page"/>
      </w:r>
      <w:r>
        <w:lastRenderedPageBreak/>
        <w:t>l)</w:t>
      </w:r>
      <w:r>
        <w:tab/>
        <w:t>odhadované finančné potreby na vykonávanie opatrení na obnovu, ktoré zahŕňajú opis podpory pre zainteresované strany, ktorých sa týkajú opatrenia na obnovu alebo iné nové povinnosti vyplývajúce z tohto nari</w:t>
      </w:r>
      <w:r>
        <w:t>adenia, a prostriedky plánovaného verejného alebo súkromného financovania vrátane (spolu)financovania prostredníctvom finančných nástrojov Únie;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m)</w:t>
      </w:r>
      <w:r>
        <w:tab/>
        <w:t>subvencie, ktoré negatívne ovplyvňujú dosahovanie cieľov a plnenie povinností stanovených v tomto nariadení;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n)</w:t>
      </w:r>
      <w:r>
        <w:tab/>
        <w:t>zhrnutie procesu prípravy a vypracovania národného plánu obnovy prírody vrátane informácií o účasti verejnosti a o spôsobe zohľadnenia potrieb miestnych komunít a zainteresovaných strán;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o)</w:t>
      </w:r>
      <w:r>
        <w:tab/>
        <w:t>osobitný oddiel, v ktorom sa uvedie, ako boli v súlade s článk</w:t>
      </w:r>
      <w:r>
        <w:t>om 14 ods. 5 zohľadnené pripomienky Komisie k návrhu národného plánu obnovy prírody, na ktoré sa odkazuje v článku 14 ods. 4.  Ak dotknutý členský štát pripomienky Komisie alebo ich podstatnú časť nezohľadní, uvedie svoje dôvody.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r>
        <w:t>3.</w:t>
      </w:r>
      <w:r>
        <w:tab/>
        <w:t xml:space="preserve">Národné plány obnovy </w:t>
      </w:r>
      <w:r>
        <w:t>prírody v náležitých prípadoch zahŕňajú ochranné a riadiace opatrenia, ktoré má členský štát v úmysle prijať v rámci spoločnej rybárskej politiky, a to aj ochranné opatrenia v rámci spoločných odporúčaní, ktoré má členský štát v úmysle iniciovať v súlade s</w:t>
      </w:r>
      <w:r>
        <w:t xml:space="preserve"> postupom stanoveným v nariadení (EÚ) č. 1380/2013, a všetky relevantné informácie o týchto opatreniach.</w:t>
      </w:r>
    </w:p>
    <w:p w:rsidR="00407135" w:rsidRDefault="00D55DFA">
      <w:pPr>
        <w:widowControl/>
        <w:tabs>
          <w:tab w:val="left" w:pos="4536"/>
        </w:tabs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rPr>
          <w:b/>
          <w:i/>
        </w:rPr>
        <w:t>3a.</w:t>
      </w:r>
      <w:r>
        <w:rPr>
          <w:b/>
          <w:i/>
        </w:rPr>
        <w:tab/>
      </w:r>
      <w:bookmarkStart w:id="80" w:name="_Hlk135811882"/>
      <w:bookmarkEnd w:id="80"/>
      <w:r>
        <w:rPr>
          <w:b/>
          <w:bCs/>
          <w:i/>
          <w:iCs/>
        </w:rPr>
        <w:t>Národné plány obnovy prírody obsahujú prehľad vzájomného pôsobenia medzi opatreniami zahrnutými v národnom pláne obnovy prírody a národným strategi</w:t>
      </w:r>
      <w:r>
        <w:rPr>
          <w:b/>
          <w:bCs/>
          <w:i/>
          <w:iCs/>
        </w:rPr>
        <w:t>ckým plánom v rámci spoločnej poľnohospodárskej politiky.</w:t>
      </w:r>
    </w:p>
    <w:p w:rsidR="00407135" w:rsidRDefault="00D55DFA">
      <w:pPr>
        <w:widowControl/>
        <w:tabs>
          <w:tab w:val="left" w:pos="4536"/>
        </w:tabs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br w:type="page"/>
      </w:r>
      <w:r>
        <w:rPr>
          <w:b/>
          <w:i/>
        </w:rPr>
        <w:lastRenderedPageBreak/>
        <w:t>3b.</w:t>
      </w:r>
      <w:r>
        <w:rPr>
          <w:b/>
          <w:i/>
        </w:rPr>
        <w:tab/>
        <w:t>Národné plány obnovy prírody obsahujú v prípade potreby prehľad aspektov týkajúcich sa rozmanitosti situácií v rôznych regiónoch, ako sa uvádza v článku 11 ods. 9a.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4.</w:t>
      </w:r>
      <w:r>
        <w:tab/>
        <w:t>Komisia prijme vykonávacie</w:t>
      </w:r>
      <w:r>
        <w:t xml:space="preserve"> akty s cieľom stanoviť jednotný formát národných plánov obnovy prírody. Uvedené vykonávacie akty sa prijmú v súlade s postupom preskúmania uvedeným v článku 21 ods. 2. Komisii pri zostavovaní jednotného formátu pomáha Európska environmentálna agentúra (EE</w:t>
      </w:r>
      <w:r>
        <w:t>A).</w:t>
      </w:r>
      <w:r>
        <w:rPr>
          <w:b/>
          <w:i/>
        </w:rPr>
        <w:t xml:space="preserve"> Komisia do [dátum = prvý deň mesiaca nasledujúceho po 3 mesiacoch odo dňa nadobudnutia účinnosti tohto nariadenia] predloží návrhy vykonávacích aktov výboru uvedenému v článku 21 ods. 1.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>
        <w:rPr>
          <w:b/>
          <w:bCs/>
        </w:rPr>
        <w:t>Článok 13</w:t>
      </w:r>
      <w:r>
        <w:br/>
      </w:r>
      <w:r>
        <w:rPr>
          <w:i/>
          <w:iCs/>
        </w:rPr>
        <w:t>Predloženie návrhu národného plánu obnovy prírody</w:t>
      </w:r>
    </w:p>
    <w:p w:rsidR="00407135" w:rsidRDefault="00D55DFA">
      <w:pPr>
        <w:widowControl/>
        <w:suppressAutoHyphens/>
        <w:spacing w:before="120" w:after="120" w:line="360" w:lineRule="auto"/>
        <w:ind w:right="-1"/>
        <w:rPr>
          <w:rFonts w:eastAsia="Calibri"/>
          <w:i/>
          <w:szCs w:val="22"/>
        </w:rPr>
      </w:pPr>
      <w:r>
        <w:t>Člens</w:t>
      </w:r>
      <w:r>
        <w:t>ké štáty predložia Komisii návrh národného plánu obnovy prírody uvedeného v článkoch 11 a 12 do ... [</w:t>
      </w:r>
      <w:r>
        <w:rPr>
          <w:i/>
          <w:iCs/>
        </w:rPr>
        <w:t>Úrad pre publikácie – vložiť dátum = prvý deň mesiaca nasledujúceho po uplynutí 24 mesiacov od dátumu nadobudnutia účinnosti tohto nariadenia</w:t>
      </w:r>
      <w:r>
        <w:t>].</w:t>
      </w:r>
      <w:r>
        <w:rPr>
          <w:i/>
        </w:rPr>
        <w:t xml:space="preserve"> 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bookmarkStart w:id="81" w:name="_Hlk133532019"/>
      <w:r>
        <w:rPr>
          <w:b/>
          <w:bCs/>
        </w:rPr>
        <w:t xml:space="preserve">Článok </w:t>
      </w:r>
      <w:r>
        <w:rPr>
          <w:b/>
          <w:bCs/>
        </w:rPr>
        <w:t>14</w:t>
      </w:r>
      <w:r>
        <w:br/>
      </w:r>
      <w:r>
        <w:rPr>
          <w:i/>
          <w:iCs/>
        </w:rPr>
        <w:t>Posúdenie národných plánov obnovy prírody</w:t>
      </w:r>
      <w:r>
        <w:rPr>
          <w:b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1.</w:t>
      </w:r>
      <w:r>
        <w:tab/>
        <w:t>Komisia posúdi návrhy národných plánov obnovy prírody do šiestich mesiacov od dátumu ich doručenia. Pri vykonávaní tohto posúdenia Komisia koná v úzkej spolupráci s dotknutým členským štátom.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b/>
          <w:szCs w:val="24"/>
        </w:rPr>
      </w:pPr>
      <w:r>
        <w:br w:type="page"/>
      </w:r>
      <w:r>
        <w:lastRenderedPageBreak/>
        <w:t>2.</w:t>
      </w:r>
      <w:r>
        <w:tab/>
        <w:t>Pri posúdení ▌</w:t>
      </w:r>
      <w:r>
        <w:t>národného plánu obnovy prírody Komisia vyhodnotí jeho súlad s článkom 12, ako aj jeho primeranosť vzhľadom na splnenie cieľov a povinností stanovených v článkoch 4 až 10, ako aj všeobecných cieľov Únie uvedených v článku 1 a špecifických cieľov uvedených v</w:t>
      </w:r>
      <w:r>
        <w:t xml:space="preserve"> článku 7 ods. 1 obnoviť v Únii do roku </w:t>
      </w:r>
      <w:r>
        <w:rPr>
          <w:b/>
          <w:i/>
        </w:rPr>
        <w:t>2035</w:t>
      </w:r>
      <w:r>
        <w:t xml:space="preserve"> aspoň </w:t>
      </w:r>
      <w:r>
        <w:rPr>
          <w:b/>
          <w:i/>
        </w:rPr>
        <w:t>20</w:t>
      </w:r>
      <w:r>
        <w:t xml:space="preserve"> 000 km voľne tečúcich riek. </w:t>
      </w:r>
      <w:r>
        <w:rPr>
          <w:b/>
          <w:i/>
        </w:rPr>
        <w:t>Komisia takisto zohľadňuje sociálno-ekonomický vplyv, najmä na vidiecke oblasti,</w:t>
      </w:r>
      <w:r>
        <w:t xml:space="preserve"> a </w:t>
      </w:r>
      <w:r>
        <w:rPr>
          <w:b/>
          <w:i/>
        </w:rPr>
        <w:t xml:space="preserve">vplyv národného plánu obnovy prírody, najmä na poľnohospodársku a lesnícku výrobu, aby sa </w:t>
      </w:r>
      <w:r>
        <w:rPr>
          <w:b/>
          <w:i/>
        </w:rPr>
        <w:t>zabezpečilo, že nebude mať za následok presun výroby mimo Únie</w:t>
      </w:r>
      <w:r>
        <w:t>.</w:t>
      </w:r>
      <w:r>
        <w:rPr>
          <w:b/>
        </w:rPr>
        <w:t xml:space="preserve"> [PN 43]</w:t>
      </w:r>
      <w:r>
        <w:t xml:space="preserve">. </w:t>
      </w:r>
    </w:p>
    <w:bookmarkEnd w:id="81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3.</w:t>
      </w:r>
      <w:r>
        <w:tab/>
        <w:t>Na účely posúdenia návrhov národných plánov obnovy prírody Komisii pomáhajú odborníci alebo EEA.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4.</w:t>
      </w:r>
      <w:r>
        <w:tab/>
        <w:t>Komisia môže členským štátom adresovať pripomienky do šiestich mesiacov od dátu</w:t>
      </w:r>
      <w:r>
        <w:t>mu doručenia návrhu národného plánu obnovy prírody.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5.</w:t>
      </w:r>
      <w:r>
        <w:tab/>
        <w:t xml:space="preserve">Členské štáty </w:t>
      </w:r>
      <w:r>
        <w:rPr>
          <w:rFonts w:ascii="Arial" w:hAnsi="Arial"/>
          <w:snapToGrid w:val="0"/>
        </w:rPr>
        <w:t>▌</w:t>
      </w:r>
      <w:r>
        <w:t>vo svojom konečnom národnom pláne obnovy prírody zohľadnia všetky pripomienky Komisie […].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</w:pPr>
      <w:r>
        <w:t>6.</w:t>
      </w:r>
      <w:r>
        <w:tab/>
        <w:t>Členské štáty národný plán obnovy prírody dokončia, uverejnia a predložia Komisii do šiestic</w:t>
      </w:r>
      <w:r>
        <w:t>h mesiacov od dátumu doručenia pripomienok Komisie.</w:t>
      </w:r>
    </w:p>
    <w:p w:rsidR="00407135" w:rsidRDefault="00D55DFA">
      <w:pPr>
        <w:widowControl/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jc w:val="center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lastRenderedPageBreak/>
        <w:t>Article14a</w:t>
      </w:r>
      <w:r>
        <w:rPr>
          <w:rFonts w:eastAsia="Calibri"/>
          <w:b/>
          <w:i/>
          <w:szCs w:val="22"/>
        </w:rPr>
        <w:br/>
        <w:t>Vykonávanie opatrení na obnovu morských ekosystémov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1. </w:t>
      </w:r>
      <w:r>
        <w:rPr>
          <w:rFonts w:eastAsia="Calibri"/>
          <w:b/>
          <w:i/>
          <w:szCs w:val="22"/>
        </w:rPr>
        <w:tab/>
      </w:r>
      <w:r>
        <w:rPr>
          <w:rFonts w:eastAsia="Calibri"/>
          <w:b/>
          <w:i/>
          <w:szCs w:val="22"/>
        </w:rPr>
        <w:t>Členské štáty, ktorých národné plány obnovy prírody obsahujú ochranné opatrenia v rámci spoločnej rybárskej politiky, ktoré si vyžadujú predloženie spoločných odporúčaní, konzultujú s ostatnými členskými štátmi, ktoré majú priamy hospodársky záujem v súlad</w:t>
      </w:r>
      <w:r>
        <w:rPr>
          <w:rFonts w:eastAsia="Calibri"/>
          <w:b/>
          <w:i/>
          <w:szCs w:val="22"/>
        </w:rPr>
        <w:t xml:space="preserve">e s článkami 11 a 18 nariadenia (EÚ) č. 1380/2013, a predložia odporúčania spoločne s ostatnými členskými štátmi s priamym hospodárskym záujmom: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a) </w:t>
      </w:r>
      <w:r>
        <w:rPr>
          <w:rFonts w:eastAsia="Calibri"/>
          <w:b/>
          <w:i/>
          <w:szCs w:val="22"/>
        </w:rPr>
        <w:tab/>
        <w:t>najneskôr 12 mesiacov po konečnom predložení svojho národného plánu obnovy prírody v prípade opatrení týka</w:t>
      </w:r>
      <w:r>
        <w:rPr>
          <w:rFonts w:eastAsia="Calibri"/>
          <w:b/>
          <w:i/>
          <w:szCs w:val="22"/>
        </w:rPr>
        <w:t xml:space="preserve">júcich sa článku 5 ods. 3;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b) </w:t>
      </w:r>
      <w:r>
        <w:rPr>
          <w:rFonts w:eastAsia="Calibri"/>
          <w:b/>
          <w:i/>
          <w:szCs w:val="22"/>
        </w:rPr>
        <w:tab/>
        <w:t xml:space="preserve">najneskôr do 1. januára 2028 v prípade opatrení na obnovu, ktoré sú potrebné na zaručenie cieľov stanovených na rok 2030;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c) </w:t>
      </w:r>
      <w:r>
        <w:rPr>
          <w:rFonts w:eastAsia="Calibri"/>
          <w:b/>
          <w:i/>
          <w:szCs w:val="22"/>
        </w:rPr>
        <w:tab/>
        <w:t xml:space="preserve">najneskôr do 1. januára 2036 v prípade opatrení na obnovu, ktoré sú potrebné na zaručenie cieľov </w:t>
      </w:r>
      <w:r>
        <w:rPr>
          <w:rFonts w:eastAsia="Calibri"/>
          <w:b/>
          <w:i/>
          <w:szCs w:val="22"/>
        </w:rPr>
        <w:t xml:space="preserve">stanovených na rok 2040;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d) </w:t>
      </w:r>
      <w:r>
        <w:rPr>
          <w:rFonts w:eastAsia="Calibri"/>
          <w:b/>
          <w:i/>
          <w:szCs w:val="22"/>
        </w:rPr>
        <w:tab/>
        <w:t xml:space="preserve">najneskôr do 1. januára 2046 v prípade opatrení na obnovu, ktoré sú potrebné na zaručenie cieľov stanovených na rok 2050.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2. </w:t>
      </w:r>
      <w:r>
        <w:rPr>
          <w:rFonts w:eastAsia="Calibri"/>
          <w:b/>
          <w:i/>
          <w:szCs w:val="22"/>
        </w:rPr>
        <w:tab/>
        <w:t>Komisia monitoruje pokrok v súvislosti s lehotami na prijatie opatrení, ktoré si vyžadujú predložen</w:t>
      </w:r>
      <w:r>
        <w:rPr>
          <w:rFonts w:eastAsia="Calibri"/>
          <w:b/>
          <w:i/>
          <w:szCs w:val="22"/>
        </w:rPr>
        <w:t xml:space="preserve">ie spoločných odporúčaní v rámci spoločnej politiky v oblasti rybného hospodárstva.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>
        <w:rPr>
          <w:rFonts w:eastAsia="Calibri"/>
          <w:b/>
          <w:i/>
          <w:szCs w:val="22"/>
        </w:rPr>
        <w:t xml:space="preserve">3. </w:t>
      </w:r>
      <w:r>
        <w:rPr>
          <w:rFonts w:eastAsia="Calibri"/>
          <w:b/>
          <w:i/>
          <w:szCs w:val="22"/>
        </w:rPr>
        <w:tab/>
        <w:t>Ak členské štáty nepredložia spoločné odporúčania stanovené v nariadení (EÚ) č. 1380/2013 včas, Komisia prijme opatrenia najneskôr do 12 mesiacov po uplynutí lehoty na</w:t>
      </w:r>
      <w:r>
        <w:rPr>
          <w:rFonts w:eastAsia="Calibri"/>
          <w:b/>
          <w:i/>
          <w:szCs w:val="22"/>
        </w:rPr>
        <w:t xml:space="preserve"> predloženie spoločného odporúčania stanovenej v odseku 1 tohto článku, pričom použije nástroje stanovené v článku 11 ods. 4 nariadenia (EÚ) č. 1380/2013, ak neexistuje spoločné odporúčanie.</w:t>
      </w:r>
      <w:r>
        <w:rPr>
          <w:rFonts w:eastAsia="Calibri"/>
          <w:b/>
          <w:szCs w:val="22"/>
        </w:rPr>
        <w:t xml:space="preserve"> [PN 15]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>
        <w:br w:type="page"/>
      </w:r>
      <w:r>
        <w:rPr>
          <w:b/>
          <w:bCs/>
        </w:rPr>
        <w:lastRenderedPageBreak/>
        <w:t>Článok 15</w:t>
      </w:r>
      <w:r>
        <w:br/>
      </w:r>
      <w:r>
        <w:rPr>
          <w:i/>
          <w:iCs/>
        </w:rPr>
        <w:t>Preskúmanie národných plánov obnovy prírody</w:t>
      </w:r>
      <w:r>
        <w:rPr>
          <w:b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bookmarkStart w:id="82" w:name="_Hlk130200924"/>
      <w:r>
        <w:t>1</w:t>
      </w:r>
      <w:r>
        <w:t>.</w:t>
      </w:r>
      <w:r>
        <w:tab/>
      </w:r>
      <w:bookmarkStart w:id="83" w:name="_Hlk130121139"/>
      <w:r>
        <w:t>Členské štáty do júla 2032 a do júla 2042 preskúmajú a zrevidujú svoje národné plány obnovy prírody a zahrnú do nich doplňujúce opatrenia.</w:t>
      </w:r>
      <w:bookmarkStart w:id="84" w:name="_Hlk129763910"/>
      <w:bookmarkEnd w:id="84"/>
      <w:r>
        <w:rPr>
          <w:b/>
          <w:i/>
        </w:rPr>
        <w:t xml:space="preserve"> </w:t>
      </w:r>
      <w:r>
        <w:t xml:space="preserve">Aspoň raz za 10 rokov </w:t>
      </w:r>
      <w:r>
        <w:rPr>
          <w:b/>
          <w:bCs/>
          <w:i/>
          <w:iCs/>
        </w:rPr>
        <w:t>preskúmajú svoj národný plán obnovy prírody a podľa potreby ho zrevidujú a zahrnú doň doplňuj</w:t>
      </w:r>
      <w:r>
        <w:rPr>
          <w:b/>
          <w:bCs/>
          <w:i/>
          <w:iCs/>
        </w:rPr>
        <w:t>úce opatrenia.</w:t>
      </w:r>
      <w:r>
        <w:t xml:space="preserve"> Preskúmania sa uskutočnia v súlade s článkami 11 a 12, pričom sa v nich zohľadní pokrok dosiahnutý pri vykonávaní plánov, najlepšie dostupné vedecké dôkazy, ako aj dostupné poznatky o vzniknutých alebo očakávaných zmenách environmentálnych p</w:t>
      </w:r>
      <w:r>
        <w:t>odmienok v dôsledku zmeny klímy.</w:t>
      </w:r>
      <w:r>
        <w:rPr>
          <w:b/>
          <w:i/>
        </w:rPr>
        <w:t xml:space="preserve"> Pri preskúmaniach, ktoré sa majú uskutočniť pred júlom 2032 a pred júlom 2042, členské štáty zohľadnia poznatky o stave typov biotopov uvedených v prílohách I a II získané v súlade s povinnosťami uvedenými v článku 4 ods. 4</w:t>
      </w:r>
      <w:r>
        <w:rPr>
          <w:b/>
          <w:i/>
        </w:rPr>
        <w:t xml:space="preserve">a a článku 5 ods. 4a. </w:t>
      </w:r>
      <w:bookmarkStart w:id="85" w:name="_Hlk129597487"/>
      <w:bookmarkStart w:id="86" w:name="_Hlk130122214"/>
      <w:r>
        <w:rPr>
          <w:b/>
          <w:bCs/>
          <w:i/>
          <w:iCs/>
        </w:rPr>
        <w:t xml:space="preserve">Členské štáty uverejnia svoje revidované národné plány obnovy prírody a oznámia ich </w:t>
      </w:r>
      <w:bookmarkEnd w:id="85"/>
      <w:r>
        <w:rPr>
          <w:b/>
          <w:bCs/>
          <w:i/>
          <w:iCs/>
        </w:rPr>
        <w:t>Komisii</w:t>
      </w:r>
      <w:bookmarkEnd w:id="86"/>
      <w:r>
        <w:rPr>
          <w:b/>
          <w:bCs/>
          <w:i/>
          <w:iCs/>
        </w:rPr>
        <w:t>.</w:t>
      </w:r>
      <w:bookmarkEnd w:id="83"/>
      <w:r>
        <w:rPr>
          <w:b/>
          <w:i/>
        </w:rPr>
        <w:t xml:space="preserve"> </w:t>
      </w:r>
    </w:p>
    <w:bookmarkEnd w:id="82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2.</w:t>
      </w:r>
      <w:r>
        <w:tab/>
      </w:r>
      <w:r>
        <w:rPr>
          <w:b/>
          <w:bCs/>
          <w:i/>
          <w:iCs/>
        </w:rPr>
        <w:t>Ak sa pri monitorovaní v súlade s článkom 17 ukáže,</w:t>
      </w:r>
      <w:r>
        <w:t xml:space="preserve"> že opatrenia stanovené v národnom pláne obnovy prírody nebudú na splnenie cieľov a po</w:t>
      </w:r>
      <w:r>
        <w:t>vinností stanovených v článkoch 4 až 10 dostatočné, […] členský štát […] preskúma národný plán obnovy prírody a v prípade potreby ho zreviduje a zahrnie doň doplňujúce opatrenia.</w:t>
      </w:r>
      <w:r>
        <w:rPr>
          <w:b/>
          <w:i/>
        </w:rPr>
        <w:t xml:space="preserve"> Členské štáty uverejnia revidované národné plány obnovy prírody a oznámia ich</w:t>
      </w:r>
      <w:r>
        <w:rPr>
          <w:b/>
          <w:i/>
        </w:rPr>
        <w:t xml:space="preserve"> Komisii.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i/>
          <w:szCs w:val="22"/>
        </w:rPr>
      </w:pPr>
      <w:r>
        <w:br w:type="page"/>
      </w:r>
      <w:r>
        <w:lastRenderedPageBreak/>
        <w:t>3.</w:t>
      </w:r>
      <w:r>
        <w:tab/>
        <w:t>Ak sa Komisia na základe informácií uvedených v článku 18 ods. 1 a 2 a posúdenia uvedeného v článku 18 ods. 4 a 5 domnieva, že pokrok, ktorý členský štát dosiahol, nepostačuje na splnenie cieľov a povinností stanovených v článkoch 4 až 10, mô</w:t>
      </w:r>
      <w:r>
        <w:t xml:space="preserve">že sa po konzultácii s dotknutým členským štátom na dotknutý členský štát obrátiť s požiadavkou, aby predložil </w:t>
      </w:r>
      <w:r>
        <w:rPr>
          <w:rFonts w:ascii="Arial" w:hAnsi="Arial"/>
          <w:snapToGrid w:val="0"/>
        </w:rPr>
        <w:t>▌</w:t>
      </w:r>
      <w:r>
        <w:t xml:space="preserve"> revidovaný návrh národného plánu obnovy prírody s doplňujúcimi opatreniami. Revidovaný národný plán obnovy prírody s doplňujúcimi opatreniami s</w:t>
      </w:r>
      <w:r>
        <w:t>a uverejní a predloží do šiestich mesiacov od dátumu doručenia požiadavky Komisie.</w:t>
      </w:r>
      <w:r>
        <w:rPr>
          <w:b/>
          <w:i/>
        </w:rPr>
        <w:t xml:space="preserve"> Na žiadosť dotknutého členského štátu a v riadne odôvodnených prípadoch môže Komisia túto lehotu predĺžiť o ďalších šesť mesiacov.</w:t>
      </w:r>
    </w:p>
    <w:p w:rsidR="00407135" w:rsidRDefault="00D55DFA">
      <w:pPr>
        <w:widowControl/>
        <w:suppressAutoHyphens/>
        <w:spacing w:before="120" w:after="120" w:line="360" w:lineRule="auto"/>
        <w:ind w:right="-1"/>
        <w:rPr>
          <w:rFonts w:eastAsia="Calibri"/>
          <w:b/>
          <w:szCs w:val="24"/>
        </w:rPr>
      </w:pPr>
      <w:r>
        <w:rPr>
          <w:sz w:val="22"/>
        </w:rPr>
        <w:t>▌</w:t>
      </w:r>
      <w:r>
        <w:rPr>
          <w:b/>
          <w:sz w:val="22"/>
        </w:rPr>
        <w:t xml:space="preserve"> </w:t>
      </w:r>
      <w:r>
        <w:rPr>
          <w:b/>
          <w:szCs w:val="24"/>
        </w:rPr>
        <w:t>[PN 18cp a 44]</w:t>
      </w:r>
    </w:p>
    <w:p w:rsidR="00407135" w:rsidRDefault="00D55DFA">
      <w:pPr>
        <w:keepNext/>
        <w:widowControl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>
        <w:rPr>
          <w:b/>
          <w:smallCaps/>
          <w:sz w:val="32"/>
        </w:rPr>
        <w:t>KAPITOLA IV</w:t>
      </w:r>
      <w:r>
        <w:rPr>
          <w:b/>
          <w:smallCaps/>
          <w:sz w:val="32"/>
        </w:rPr>
        <w:br/>
        <w:t>MONITOROVANIE</w:t>
      </w:r>
      <w:r>
        <w:rPr>
          <w:b/>
          <w:smallCaps/>
          <w:sz w:val="32"/>
        </w:rPr>
        <w:t xml:space="preserve"> A PODÁVANIE SPRÁV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Cs/>
          <w:i/>
          <w:szCs w:val="26"/>
        </w:rPr>
      </w:pPr>
      <w:r>
        <w:rPr>
          <w:b/>
          <w:bCs/>
        </w:rPr>
        <w:t>Článok 17</w:t>
      </w:r>
      <w:r>
        <w:br/>
      </w:r>
      <w:r>
        <w:rPr>
          <w:i/>
          <w:iCs/>
        </w:rPr>
        <w:t>Monitorovanie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jc w:val="both"/>
        <w:rPr>
          <w:rFonts w:eastAsia="Calibri"/>
          <w:szCs w:val="22"/>
        </w:rPr>
      </w:pPr>
      <w:r>
        <w:t>1.</w:t>
      </w:r>
      <w:r>
        <w:tab/>
        <w:t>Členské štáty monitorujú: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szCs w:val="22"/>
        </w:rPr>
      </w:pPr>
      <w:r>
        <w:t>a)</w:t>
      </w:r>
      <w:r>
        <w:tab/>
        <w:t xml:space="preserve">stav a vývoj stavu typov biotopov a kvalitu a vývoj kvality biotopov druhov uvedených v článkoch 4 a 5 v oblastiach, na ktoré sa vzťahujú opatrenia na obnovu, na základe </w:t>
      </w:r>
      <w:r>
        <w:t>monitorovania uvedeného v článku 12 ods. 2 písm. h);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szCs w:val="22"/>
        </w:rPr>
      </w:pPr>
      <w:r>
        <w:t>b)</w:t>
      </w:r>
      <w:r>
        <w:tab/>
        <w:t xml:space="preserve">plochu mestskej zelene a korunového zápoja stromov </w:t>
      </w:r>
      <w:r>
        <w:rPr>
          <w:b/>
          <w:bCs/>
          <w:i/>
          <w:iCs/>
        </w:rPr>
        <w:t>v rámci mestských ekosystémových oblastí určených v súlade s článkom 11 ods. 2b</w:t>
      </w:r>
      <w:r>
        <w:t>, ako sa uvádza v článku 6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szCs w:val="22"/>
        </w:rPr>
      </w:pPr>
      <w:r>
        <w:t>c)</w:t>
      </w:r>
      <w:r>
        <w:tab/>
        <w:t>ukazovatele biodiverzity v poľnohospodár</w:t>
      </w:r>
      <w:r>
        <w:t>skych ekosystémoch uvedené v prílohe IV;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d)</w:t>
      </w:r>
      <w:r>
        <w:tab/>
        <w:t>populácie bežných druhov vtáctva žijúceho na poľnohospodárskej pôde uvedených v prílohe V;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>
        <w:t>e)</w:t>
      </w:r>
      <w:r>
        <w:tab/>
        <w:t xml:space="preserve">tri ukazovatele biodiverzity v lesných ekosystémoch uvedené v </w:t>
      </w:r>
      <w:r>
        <w:rPr>
          <w:b/>
          <w:bCs/>
          <w:i/>
          <w:iCs/>
        </w:rPr>
        <w:t>článku 10 ods. 2</w:t>
      </w:r>
      <w:r>
        <w:t xml:space="preserve">;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>
        <w:br w:type="page"/>
      </w:r>
      <w:r>
        <w:rPr>
          <w:b/>
          <w:i/>
        </w:rPr>
        <w:lastRenderedPageBreak/>
        <w:t>ea)</w:t>
      </w:r>
      <w:r>
        <w:rPr>
          <w:b/>
          <w:i/>
        </w:rPr>
        <w:tab/>
        <w:t xml:space="preserve">tri z ukazovateľov biodiverzity </w:t>
      </w:r>
      <w:r>
        <w:rPr>
          <w:b/>
          <w:i/>
        </w:rPr>
        <w:t>v lesných ekosystémoch uvedených v článku 10 ods. 2a, ktoré vybral členský štát;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szCs w:val="22"/>
        </w:rPr>
      </w:pPr>
      <w:r>
        <w:t>f)</w:t>
      </w:r>
      <w:r>
        <w:tab/>
        <w:t>početnosť a rozmanitosť druhov opeľovačov podľa metódy stanovenej v súlade s článkom 8 ods. 2;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g)</w:t>
      </w:r>
      <w:r>
        <w:tab/>
        <w:t>oblasť a stav oblastí, na ktoré sa vzťahujú typy biotopov uvedené v príloh</w:t>
      </w:r>
      <w:r>
        <w:t xml:space="preserve">ách I a II </w:t>
      </w:r>
      <w:r>
        <w:rPr>
          <w:rFonts w:ascii="Arial" w:hAnsi="Arial"/>
          <w:snapToGrid w:val="0"/>
        </w:rPr>
        <w:t>▌</w:t>
      </w:r>
      <w:r>
        <w:t>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h)</w:t>
      </w:r>
      <w:r>
        <w:tab/>
        <w:t xml:space="preserve">plochu a kvalitu biotopov druhov uvedených v článku 4 ods. 3 a článku 5 ods. 3 </w:t>
      </w:r>
      <w:r>
        <w:rPr>
          <w:rFonts w:ascii="Arial" w:hAnsi="Arial"/>
          <w:snapToGrid w:val="0"/>
        </w:rPr>
        <w:t>▌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2.</w:t>
      </w:r>
      <w:r>
        <w:tab/>
        <w:t>Monitorovanie v súlade s odsekom 1 písm. a) sa začne hneď po zavedení opatrení na obnovu.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3.</w:t>
      </w:r>
      <w:r>
        <w:tab/>
        <w:t xml:space="preserve">Monitorovanie v súlade s odsekom 1 písm. b), c), d), e) </w:t>
      </w:r>
      <w:r>
        <w:rPr>
          <w:b/>
          <w:bCs/>
          <w:u w:val="single"/>
        </w:rPr>
        <w:t>a ea)</w:t>
      </w:r>
      <w:r>
        <w:t xml:space="preserve"> sa začne [</w:t>
      </w:r>
      <w:r>
        <w:rPr>
          <w:i/>
          <w:iCs/>
        </w:rPr>
        <w:t>Úrad pre publikácie: vložiť dátum nadobudnutia účinnosti tohto nariadenia</w:t>
      </w:r>
      <w:r>
        <w:t>].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4.</w:t>
      </w:r>
      <w:r>
        <w:tab/>
        <w:t>Monitorovanie v súlade s odsekom 1 písm. f) tohto článku sa začne jeden rok po nadobudnutí účinnosti vykonávacieho aktu uvedeného v článku 8 ods. 2.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szCs w:val="22"/>
          <w:u w:val="single"/>
        </w:rPr>
      </w:pPr>
      <w:r>
        <w:br w:type="page"/>
      </w:r>
      <w:r>
        <w:lastRenderedPageBreak/>
        <w:t>5.</w:t>
      </w:r>
      <w:r>
        <w:tab/>
        <w:t>Monitorovanie</w:t>
      </w:r>
      <w:r>
        <w:t xml:space="preserve"> v súlade s odsekom 1 písm. a) a b) sa uskutočňuje </w:t>
      </w:r>
      <w:r>
        <w:rPr>
          <w:b/>
          <w:bCs/>
          <w:i/>
          <w:iCs/>
        </w:rPr>
        <w:t>najmenej každých šesť rokov</w:t>
      </w:r>
      <w:r>
        <w:t>.</w:t>
      </w:r>
      <w:r>
        <w:rPr>
          <w:b/>
          <w:i/>
        </w:rPr>
        <w:t xml:space="preserve"> </w:t>
      </w:r>
      <w:r>
        <w:rPr>
          <w:b/>
          <w:i/>
          <w:iCs/>
        </w:rPr>
        <w:t>Monitorovanie v súlade s odsekom 1 písm.</w:t>
      </w:r>
      <w:r>
        <w:t xml:space="preserve"> </w:t>
      </w:r>
      <w:r>
        <w:rPr>
          <w:rFonts w:ascii="Arial" w:hAnsi="Arial"/>
          <w:snapToGrid w:val="0"/>
        </w:rPr>
        <w:t>▌</w:t>
      </w:r>
      <w:r>
        <w:t xml:space="preserve"> c), pokiaľ ide o zásoby organického uhlíka v orných minerálnych pôdach a podiel poľnohospodárskej pôdy s krajinnými prvkami s vysokou úrovňou diverzity, a písm. e), pokiaľ ide o stojace </w:t>
      </w:r>
      <w:r>
        <w:rPr>
          <w:b/>
          <w:i/>
        </w:rPr>
        <w:t>a</w:t>
      </w:r>
      <w:r>
        <w:t xml:space="preserve">[…] ležiace mŕtve drevo </w:t>
      </w:r>
      <w:r>
        <w:rPr>
          <w:b/>
          <w:i/>
        </w:rPr>
        <w:t>a v prípade potreby</w:t>
      </w:r>
      <w:r>
        <w:t xml:space="preserve"> podiel lesov s nerovnome</w:t>
      </w:r>
      <w:r>
        <w:t xml:space="preserve">rnou vekovou štruktúrou, celistvosť lesov, </w:t>
      </w:r>
      <w:r>
        <w:rPr>
          <w:b/>
          <w:i/>
        </w:rPr>
        <w:t>podiel lesov, v ktorých prevládajú pôvodné druhy stromov, rozmanitosť druhov stromov</w:t>
      </w:r>
      <w:r>
        <w:t xml:space="preserve"> a zásoby organického uhlíka, sa vykonáva aspoň </w:t>
      </w:r>
      <w:r>
        <w:rPr>
          <w:b/>
          <w:i/>
        </w:rPr>
        <w:t>šesť</w:t>
      </w:r>
      <w:r>
        <w:t xml:space="preserve"> rokov </w:t>
      </w:r>
      <w:r>
        <w:rPr>
          <w:b/>
          <w:bCs/>
          <w:i/>
        </w:rPr>
        <w:t>alebo v prípade potreby v kratšom intervale s cieľom zhodnotiť dosahov</w:t>
      </w:r>
      <w:r>
        <w:rPr>
          <w:b/>
          <w:bCs/>
          <w:i/>
        </w:rPr>
        <w:t>anie stúpajúcich trendov do roku 2030</w:t>
      </w:r>
      <w:r>
        <w:t xml:space="preserve">. </w:t>
      </w:r>
      <w:bookmarkStart w:id="87" w:name="_Hlk133507155"/>
      <w:bookmarkEnd w:id="87"/>
      <w:r>
        <w:t>Monitorovanie v súlade s odsekom 1 písm. c), pokiaľ ide o index motýľov žijúcich v trávnych porastoch, v súlade s odsekom 1 písm. d) a e), pokiaľ ide o index bežných druhov lesného vtáctva, a v súlade s odsekom 1 písm</w:t>
      </w:r>
      <w:r>
        <w:t xml:space="preserve">. f), pokiaľ ide o druhy opeľovačov, sa vykonáva každý rok. Monitorovanie v súlade s odsekom 1 písm. g) a h) sa vykonáva aspoň každých šesť rokov a koordinuje sa s cyklom podávania správ podľa článku 17 smernice 92/43/EHS </w:t>
      </w:r>
      <w:r>
        <w:rPr>
          <w:b/>
          <w:bCs/>
          <w:i/>
          <w:iCs/>
        </w:rPr>
        <w:t>a počiatočným posúdením podľa člán</w:t>
      </w:r>
      <w:r>
        <w:rPr>
          <w:b/>
          <w:bCs/>
          <w:i/>
          <w:iCs/>
        </w:rPr>
        <w:t>ku 17 smernice 2008/56/ES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r>
        <w:t>6.</w:t>
      </w:r>
      <w:r>
        <w:tab/>
        <w:t>Členské štáty zabezpečia, aby sa ukazovatele týkajúce sa poľnohospodárskych ekosystémov uvedené v článku 9 ods. 2 písm. b) a ukazovatele týkajúce sa lesných ekosystémov uvedené v článku 10 ods. 2 písm. a), b)</w:t>
      </w:r>
      <w:r>
        <w:rPr>
          <w:b/>
          <w:bCs/>
          <w:i/>
          <w:iCs/>
        </w:rPr>
        <w:t xml:space="preserve"> a článku 10 ods. </w:t>
      </w:r>
      <w:r>
        <w:rPr>
          <w:b/>
          <w:bCs/>
          <w:i/>
          <w:iCs/>
        </w:rPr>
        <w:t>2a písm. c)</w:t>
      </w:r>
      <w:r>
        <w:t xml:space="preserve"> tohto nariadenia monitorovali spôsobom, ktorý je v súlade s monitorovaním požadovaným podľa nariadení (EÚ) 2018/841 a (EÚ) 2018/1999.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7.</w:t>
      </w:r>
      <w:r>
        <w:tab/>
        <w:t>Členské štáty zverejnia údaje získané monitorovaním vykonávaným podľa tohto článku v súlade so smernicou Eu</w:t>
      </w:r>
      <w:r>
        <w:t>rópskeho parlamentu a Rady 2007/2/ES a v súlade s frekvenciou monitorovania stanovenou v odseku 5.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br w:type="page"/>
      </w:r>
      <w:r>
        <w:lastRenderedPageBreak/>
        <w:t>8.</w:t>
      </w:r>
      <w:r>
        <w:tab/>
        <w:t xml:space="preserve">Monitorovacie systémy členských štátov fungujú na základe elektronických databáz a geografických informačných systémov a maximalizujú prístup k údajom a </w:t>
      </w:r>
      <w:r>
        <w:t xml:space="preserve">službám z technológií diaľkového prieskumu Zeme, pozorovania Zeme (služby programu Copernicus), snímačov a zariadení in situ alebo údajov získaných v rámci občianskej vedy a využívajú tieto údaje a služby, pričom využívajú príležitosti, ktoré ponúka umelá </w:t>
      </w:r>
      <w:r>
        <w:t>inteligencia, ako aj pokročilá analýza a spracovanie údajov.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jc w:val="both"/>
        <w:rPr>
          <w:rFonts w:eastAsia="Calibri"/>
          <w:szCs w:val="22"/>
        </w:rPr>
      </w:pPr>
      <w:r>
        <w:t>9.</w:t>
      </w:r>
      <w:r>
        <w:tab/>
        <w:t>Komisia môže prijať vykonávacie akty s cieľom: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a)</w:t>
      </w:r>
      <w:r>
        <w:tab/>
        <w:t>určiť metódy monitorovania ukazovateľov týkajúcich sa poľnohospodárskych ekosystémov uvedených v prílohe IV;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bCs/>
          <w:szCs w:val="22"/>
          <w:u w:val="single"/>
        </w:rPr>
      </w:pPr>
      <w:r>
        <w:t>b)</w:t>
      </w:r>
      <w:r>
        <w:tab/>
        <w:t>určiť metódy monitorovania uka</w:t>
      </w:r>
      <w:r>
        <w:t>zovateľov týkajúcich sa lesných ekosystémov uvedených v prílohe VI;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bCs/>
          <w:szCs w:val="22"/>
          <w:u w:val="single"/>
        </w:rPr>
      </w:pPr>
      <w:r>
        <w:t>c)</w:t>
      </w:r>
      <w:r>
        <w:tab/>
        <w:t xml:space="preserve">zriadiť usmerňujúci rámec na stanovenie uspokojivých úrovní uvedených v </w:t>
      </w:r>
      <w:r>
        <w:rPr>
          <w:b/>
          <w:bCs/>
          <w:i/>
          <w:iCs/>
        </w:rPr>
        <w:t>článku 10 ods. 2 a 10 ods. 2a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i/>
          <w:szCs w:val="22"/>
        </w:rPr>
      </w:pPr>
      <w:r>
        <w:rPr>
          <w:b/>
          <w:i/>
        </w:rPr>
        <w:t>9a.</w:t>
      </w:r>
      <w:r>
        <w:rPr>
          <w:b/>
          <w:i/>
        </w:rPr>
        <w:tab/>
        <w:t xml:space="preserve">Komisia do roku 2028 prijme vykonávacie akty s cieľom zriadiť usmerňujúci </w:t>
      </w:r>
      <w:r>
        <w:rPr>
          <w:b/>
          <w:i/>
        </w:rPr>
        <w:t>rámec na stanovenie uspokojivých úrovní uvedených v článku 6 ods. 2, článku 6 ods. 3, článku 8 ods. 1 a článku 9 ods. 2.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rPr>
          <w:b/>
          <w:i/>
        </w:rPr>
        <w:t>9b.</w:t>
      </w:r>
      <w:r>
        <w:tab/>
        <w:t>▌</w:t>
      </w:r>
      <w:r>
        <w:rPr>
          <w:b/>
          <w:bCs/>
          <w:i/>
          <w:iCs/>
        </w:rPr>
        <w:t>Vykonávacie akty podľa odsekov 9 a 9a</w:t>
      </w:r>
      <w:r>
        <w:t xml:space="preserve"> sa prijmú v súlade s postupom preskúmania uvedeným v článku 21 ods. 2.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>
        <w:br w:type="page"/>
      </w:r>
      <w:r>
        <w:rPr>
          <w:b/>
          <w:bCs/>
        </w:rPr>
        <w:lastRenderedPageBreak/>
        <w:t>Článok 18</w:t>
      </w:r>
      <w:r>
        <w:br/>
      </w:r>
      <w:r>
        <w:rPr>
          <w:i/>
          <w:iCs/>
        </w:rPr>
        <w:t xml:space="preserve">Podávanie </w:t>
      </w:r>
      <w:r>
        <w:rPr>
          <w:i/>
          <w:iCs/>
        </w:rPr>
        <w:t>správ</w:t>
      </w:r>
      <w:r>
        <w:rPr>
          <w:b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1.</w:t>
      </w:r>
      <w:r>
        <w:tab/>
        <w:t xml:space="preserve">Členské štáty podávajú Komisii elektronicky správy o oblasti, na ktorú sa vzťahujú opatrenia na obnovu uvedené v článkoch 4 až 10, a o prekážkach uvedených v článku 7, ktoré boli odstránené, </w:t>
      </w:r>
      <w:r>
        <w:rPr>
          <w:b/>
          <w:bCs/>
          <w:i/>
          <w:iCs/>
        </w:rPr>
        <w:t>najmenej každé tri rok</w:t>
      </w:r>
      <w:bookmarkStart w:id="88" w:name="_Hlk134702956"/>
      <w:r>
        <w:rPr>
          <w:b/>
          <w:bCs/>
          <w:i/>
          <w:iCs/>
        </w:rPr>
        <w:t>y</w:t>
      </w:r>
      <w:r>
        <w:t>.</w:t>
      </w:r>
      <w:r>
        <w:rPr>
          <w:b/>
          <w:i/>
        </w:rPr>
        <w:t xml:space="preserve"> Prvú správu predložia v júni 2</w:t>
      </w:r>
      <w:r>
        <w:rPr>
          <w:b/>
          <w:i/>
        </w:rPr>
        <w:t>028.</w:t>
      </w:r>
    </w:p>
    <w:bookmarkEnd w:id="88"/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2.</w:t>
      </w:r>
      <w:r>
        <w:tab/>
        <w:t xml:space="preserve">Členské štáty s pomocou EEA oznamujú Komisii elektronicky aspoň raz za </w:t>
      </w:r>
      <w:r>
        <w:rPr>
          <w:b/>
          <w:bCs/>
          <w:i/>
          <w:iCs/>
        </w:rPr>
        <w:t>šes</w:t>
      </w:r>
      <w:r>
        <w:t>ť rokov tieto údaje a informácie: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a)</w:t>
      </w:r>
      <w:r>
        <w:tab/>
        <w:t>pokrok pri vykonávaní národného plánu obnovy prírody, pri zavádzaní opatrení na obnovu a pokrok pri plnení cieľov a povinností stanovenýc</w:t>
      </w:r>
      <w:r>
        <w:t>h v súlade s článkami 4 až 10;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b)</w:t>
      </w:r>
      <w:r>
        <w:tab/>
        <w:t>výsledky monitorovania vykonaného v súlade s článkom 17. Predkladajú sa správy o výsledkoch monitorovania vykonaného v súlade s článkom 17 ods. 1 písm. g) a h), ktoré obsahujú zemepisné referenčné mapy;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c)</w:t>
      </w:r>
      <w:r>
        <w:tab/>
        <w:t xml:space="preserve">polohu a rozsah </w:t>
      </w:r>
      <w:r>
        <w:t>oblastí, na ktoré sa vzťahujú opatrenia na obnovu uvedené v článkoch 4 a 5 a v článku 9 ods. 4, vrátane zemepisnej referenčnej mapy týchto oblastí;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d)</w:t>
      </w:r>
      <w:r>
        <w:tab/>
        <w:t>aktualizovaný zoznam prekážok uvedený v článku 7 ods. 1;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t>e)</w:t>
      </w:r>
      <w:r>
        <w:tab/>
        <w:t xml:space="preserve">informácie o pokroku dosiahnutom pri plnení </w:t>
      </w:r>
      <w:r>
        <w:t>finančných potrieb v súlade s článkom 12 ods. 2 písm. l) vrátane preskúmania skutočných investícií v porovnaní s počiatočnými investičnými predpokladmi.</w:t>
      </w:r>
    </w:p>
    <w:p w:rsidR="00407135" w:rsidRDefault="00D55DFA">
      <w:pPr>
        <w:widowControl/>
        <w:suppressAutoHyphens/>
        <w:spacing w:before="120" w:after="120" w:line="360" w:lineRule="auto"/>
        <w:ind w:right="-1"/>
        <w:rPr>
          <w:rFonts w:eastAsia="Calibri"/>
          <w:szCs w:val="22"/>
        </w:rPr>
      </w:pPr>
      <w:r>
        <w:t>Prvé správy sa predložia v júni 2031 za obdobie do roku 2030.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br w:type="page"/>
      </w:r>
      <w:r>
        <w:lastRenderedPageBreak/>
        <w:t>3.</w:t>
      </w:r>
      <w:r>
        <w:tab/>
        <w:t>Komisia prijme vykonávacie akty s cie</w:t>
      </w:r>
      <w:r>
        <w:t>ľom stanoviť formát, štruktúru a podrobné pravidlá na predkladanie informácií uvedených v odsekoch 1 a 2 tohto článku. Uvedené vykonávacie akty sa prijmú v súlade s postupom preskúmania uvedeným v článku 21 ods. 2. Komisii pri vypracúvaní formátu, štruktúr</w:t>
      </w:r>
      <w:r>
        <w:t>y a podrobných pravidiel na elektronické podávanie správ pomáha EEA.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4.</w:t>
      </w:r>
      <w:r>
        <w:tab/>
        <w:t xml:space="preserve">EEA poskytne Komisii </w:t>
      </w:r>
      <w:r>
        <w:rPr>
          <w:b/>
          <w:bCs/>
          <w:i/>
          <w:iCs/>
        </w:rPr>
        <w:t>každé tri roky</w:t>
      </w:r>
      <w:r>
        <w:t xml:space="preserve"> </w:t>
      </w:r>
      <w:r>
        <w:rPr>
          <w:rFonts w:ascii="Arial" w:hAnsi="Arial"/>
          <w:snapToGrid w:val="0"/>
        </w:rPr>
        <w:t>▌</w:t>
      </w:r>
      <w:r>
        <w:t xml:space="preserve">technický prehľad týkajúci sa pokroku pri plnení cieľov a povinností stanovených v tomto nariadení na základe údajov poskytnutých členskými štátmi </w:t>
      </w:r>
      <w:r>
        <w:t>v súlade s odsekom 1 tohto článku a článkom 17 ods. 7.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5.</w:t>
      </w:r>
      <w:r>
        <w:tab/>
        <w:t>EEA poskytne Komisii celoúnijnú technickú správu o pokroku pri plnení cieľov a povinností stanovených v tomto nariadení na základe údajov poskytnutých členskými štátmi v súlade s odsekmi 1, 2 a 3 to</w:t>
      </w:r>
      <w:r>
        <w:t xml:space="preserve">hto článku. Môže použiť aj informácie nahlásené podľa článku 17 smernice 92/43/EHS, článku 15 smernice 2000/60/ES, článku 12 smernice 2009/147/ES a článku </w:t>
      </w:r>
      <w:r>
        <w:rPr>
          <w:b/>
          <w:bCs/>
          <w:i/>
          <w:iCs/>
        </w:rPr>
        <w:t>17</w:t>
      </w:r>
      <w:r>
        <w:t xml:space="preserve"> smernice 2008/56/ES. Správa sa predloží do júna 2032 a následné správy sa potom predkladajú každýc</w:t>
      </w:r>
      <w:r>
        <w:t>h šesť rokov.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6.</w:t>
      </w:r>
      <w:r>
        <w:tab/>
        <w:t xml:space="preserve">Komisia od </w:t>
      </w:r>
      <w:r>
        <w:rPr>
          <w:b/>
          <w:bCs/>
          <w:i/>
          <w:iCs/>
        </w:rPr>
        <w:t>[štyri roky po dátume nadobudnutia účinnosti tohto nariadenia]</w:t>
      </w:r>
      <w:r>
        <w:t xml:space="preserve"> predkladá Európskemu parlamentu a Rade každých šesť rokov roky správu o vykonávaní tohto nariadenia.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b/>
          <w:i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b/>
          <w:i/>
        </w:rPr>
      </w:pPr>
      <w:r>
        <w:rPr>
          <w:b/>
          <w:i/>
        </w:rPr>
        <w:lastRenderedPageBreak/>
        <w:t>6a.</w:t>
      </w:r>
      <w:r>
        <w:rPr>
          <w:b/>
          <w:i/>
        </w:rPr>
        <w:tab/>
        <w:t>Komisia do 12 mesiacov od nadobudnutia účinnosti tohto nar</w:t>
      </w:r>
      <w:r>
        <w:rPr>
          <w:b/>
          <w:i/>
        </w:rPr>
        <w:t>iadenia a po konzultácii s členskými štátmi predloží Európskemu parlamentu a Rade správu, ktorá obsahuje:</w:t>
      </w:r>
    </w:p>
    <w:p w:rsidR="00407135" w:rsidRDefault="00D55DFA">
      <w:pPr>
        <w:widowControl/>
        <w:spacing w:line="360" w:lineRule="auto"/>
        <w:ind w:left="1134" w:hanging="567"/>
        <w:rPr>
          <w:b/>
          <w:i/>
        </w:rPr>
      </w:pPr>
      <w:r>
        <w:rPr>
          <w:b/>
          <w:i/>
        </w:rPr>
        <w:t xml:space="preserve">a) </w:t>
      </w:r>
      <w:r>
        <w:rPr>
          <w:b/>
          <w:i/>
        </w:rPr>
        <w:tab/>
        <w:t>prehľad finančných zdrojov dostupných na úrovni Únie na účely vykonávania tohto nariadenia;</w:t>
      </w:r>
    </w:p>
    <w:p w:rsidR="00407135" w:rsidRDefault="00D55DFA">
      <w:pPr>
        <w:widowControl/>
        <w:spacing w:line="360" w:lineRule="auto"/>
        <w:ind w:left="1134" w:hanging="567"/>
        <w:rPr>
          <w:b/>
          <w:i/>
        </w:rPr>
      </w:pPr>
      <w:r>
        <w:rPr>
          <w:b/>
          <w:i/>
        </w:rPr>
        <w:t xml:space="preserve">b) </w:t>
      </w:r>
      <w:r>
        <w:rPr>
          <w:b/>
          <w:i/>
        </w:rPr>
        <w:tab/>
        <w:t xml:space="preserve">posúdenie potrieb financovania na vykonávanie </w:t>
      </w:r>
      <w:r>
        <w:rPr>
          <w:b/>
          <w:i/>
        </w:rPr>
        <w:t>článkov 4 až 10 a na dosiahnutie cieľa stanoveného v článku 1 ods. 2;</w:t>
      </w:r>
    </w:p>
    <w:p w:rsidR="00407135" w:rsidRDefault="00D55DFA">
      <w:pPr>
        <w:widowControl/>
        <w:spacing w:line="360" w:lineRule="auto"/>
        <w:ind w:left="1134" w:hanging="567"/>
        <w:rPr>
          <w:b/>
          <w:i/>
        </w:rPr>
      </w:pPr>
      <w:r>
        <w:rPr>
          <w:b/>
          <w:i/>
        </w:rPr>
        <w:t xml:space="preserve">c) </w:t>
      </w:r>
      <w:r>
        <w:rPr>
          <w:b/>
          <w:i/>
        </w:rPr>
        <w:tab/>
        <w:t>analýzu, ktorou sa identifikujú akékoľvek medzery vo financovaní, ktoré sa zistia pri plnení povinností stanovených v tomto nariadení, vrátane finančnej kompenzácie potenciálnych str</w:t>
      </w:r>
      <w:r>
        <w:rPr>
          <w:b/>
          <w:i/>
        </w:rPr>
        <w:t>át vlastníkov pôdy a správcov pôdy priamo v dôsledku vykonávania tohto nariadenia;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bCs/>
          <w:i/>
          <w:szCs w:val="22"/>
        </w:rPr>
      </w:pPr>
      <w:r>
        <w:rPr>
          <w:b/>
          <w:i/>
        </w:rPr>
        <w:t>d)</w:t>
      </w:r>
      <w:r>
        <w:rPr>
          <w:b/>
          <w:i/>
        </w:rPr>
        <w:tab/>
        <w:t xml:space="preserve">v prípade potreby návrhy primeraných doplnkových opatrení vrátane finančných opatrení na riešenie zistených nedostatkov, ako je zavedenie účelového nástroja, a bez toho, </w:t>
      </w:r>
      <w:r>
        <w:rPr>
          <w:b/>
          <w:i/>
        </w:rPr>
        <w:t>aby boli dotknuté právomoci spoluzákonodarcov, na prijatie viacročného finančného rámca na obdobie po roku 2027.</w:t>
      </w:r>
      <w:r>
        <w:rPr>
          <w:b/>
        </w:rPr>
        <w:t xml:space="preserve"> [PN 11]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lang w:eastAsia="en-US"/>
        </w:rPr>
      </w:pPr>
      <w:r>
        <w:t>7.</w:t>
      </w:r>
      <w:r>
        <w:tab/>
        <w:t>Členské štáty zabezpečia, aby informácie uvedené v odsekoch 1 a 2 boli primerané a aktuálne a aby boli prístupné verejnosti v súlade</w:t>
      </w:r>
      <w:r>
        <w:t xml:space="preserve"> so smernicami Európskeho parlamentu a Rady 2003/4/ES, 2007/2/ES a (EÚ) 2019/1024.</w:t>
      </w:r>
    </w:p>
    <w:p w:rsidR="00407135" w:rsidRDefault="00D55DFA">
      <w:pPr>
        <w:keepNext/>
        <w:widowControl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>
        <w:rPr>
          <w:b/>
          <w:smallCaps/>
          <w:sz w:val="32"/>
        </w:rPr>
        <w:br w:type="page"/>
      </w:r>
      <w:r>
        <w:rPr>
          <w:b/>
          <w:smallCaps/>
          <w:sz w:val="32"/>
        </w:rPr>
        <w:lastRenderedPageBreak/>
        <w:t>KAPITOLA V</w:t>
      </w:r>
      <w:r>
        <w:rPr>
          <w:b/>
          <w:smallCaps/>
          <w:sz w:val="32"/>
        </w:rPr>
        <w:br/>
        <w:t xml:space="preserve">DELEGOVANIE PRÁVOMOCI A POSTUP VÝBORU 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Cs/>
          <w:i/>
          <w:szCs w:val="26"/>
        </w:rPr>
      </w:pPr>
      <w:r>
        <w:rPr>
          <w:b/>
          <w:bCs/>
        </w:rPr>
        <w:t>Článok 19</w:t>
      </w:r>
      <w:r>
        <w:br/>
      </w:r>
      <w:r>
        <w:rPr>
          <w:i/>
          <w:iCs/>
        </w:rPr>
        <w:t>Zmena príloh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1.</w:t>
      </w:r>
      <w:r>
        <w:tab/>
        <w:t>Komisia je splnomocnená prijímať delegované akty v súlade s článkom 20 s cieľom zmeniť prílohu I</w:t>
      </w:r>
      <w:r>
        <w:t xml:space="preserve"> na účely úpravy spôsobu </w:t>
      </w:r>
      <w:r>
        <w:rPr>
          <w:rFonts w:ascii="Arial" w:hAnsi="Arial"/>
          <w:snapToGrid w:val="0"/>
        </w:rPr>
        <w:t>▌</w:t>
      </w:r>
      <w:r>
        <w:t xml:space="preserve"> </w:t>
      </w:r>
      <w:r>
        <w:rPr>
          <w:b/>
          <w:bCs/>
          <w:i/>
          <w:iCs/>
        </w:rPr>
        <w:t>zoskupovania typov biotopov podľa vedecko-technického pokroku a zohľadnenia skúseností získaných pri uplatňovaní tohto nariadenia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r>
        <w:t>2.</w:t>
      </w:r>
      <w:r>
        <w:tab/>
        <w:t>Komisia je splnomocnená prijať delegované akty v súlade s článkom 20 s cieľom zmeniť prílohu II</w:t>
      </w:r>
      <w:r>
        <w:t xml:space="preserve"> tak, aby upravila</w:t>
      </w:r>
      <w:r>
        <w:rPr>
          <w:b/>
          <w:bCs/>
          <w:u w:val="single"/>
        </w:rPr>
        <w:t>: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>
        <w:rPr>
          <w:b/>
          <w:i/>
        </w:rPr>
        <w:t>a)</w:t>
      </w:r>
      <w:r>
        <w:tab/>
        <w:t xml:space="preserve">zoznam typov biotopov </w:t>
      </w:r>
      <w:r>
        <w:rPr>
          <w:b/>
          <w:bCs/>
          <w:i/>
          <w:iCs/>
        </w:rPr>
        <w:t>s cieľom zabezpečiť súlad s aktualizovanou klasifikáciou biotopov podľa Európskeho informačného systému o prírode (EUNIS)</w:t>
      </w:r>
      <w:r>
        <w:t xml:space="preserve"> a </w:t>
      </w:r>
    </w:p>
    <w:p w:rsidR="00407135" w:rsidRDefault="00D55DF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>
        <w:rPr>
          <w:b/>
          <w:i/>
        </w:rPr>
        <w:t>b)</w:t>
      </w:r>
      <w:r>
        <w:rPr>
          <w:b/>
          <w:i/>
        </w:rPr>
        <w:tab/>
      </w:r>
      <w:r>
        <w:t xml:space="preserve">spôsob </w:t>
      </w:r>
      <w:r>
        <w:rPr>
          <w:rFonts w:ascii="Arial" w:hAnsi="Arial"/>
          <w:snapToGrid w:val="0"/>
        </w:rPr>
        <w:t>▌</w:t>
      </w:r>
      <w:r>
        <w:t>z</w:t>
      </w:r>
      <w:r>
        <w:rPr>
          <w:b/>
          <w:bCs/>
          <w:i/>
          <w:iCs/>
        </w:rPr>
        <w:t xml:space="preserve">oskupovania typov biotopov podľa vedecko-technického pokroku a zohľadnila </w:t>
      </w:r>
      <w:r>
        <w:rPr>
          <w:b/>
          <w:bCs/>
          <w:i/>
          <w:iCs/>
        </w:rPr>
        <w:t>skúsenosti získané pri uplatňovaní tohto nariadenia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3.</w:t>
      </w:r>
      <w:r>
        <w:tab/>
        <w:t xml:space="preserve">Komisia je splnomocnená prijímať delegované akty v súlade s článkom 20 s cieľom zmeniť prílohu III na účely úpravy zoznamu morských druhov uvedených v článku 5 </w:t>
      </w:r>
      <w:r>
        <w:rPr>
          <w:b/>
          <w:bCs/>
          <w:i/>
          <w:iCs/>
        </w:rPr>
        <w:t>podľa vedecko-technického pokroku.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4.</w:t>
      </w:r>
      <w:r>
        <w:tab/>
        <w:t>Ko</w:t>
      </w:r>
      <w:r>
        <w:t xml:space="preserve">misia je splnomocnená prijímať delegované akty v súlade s článkom 20 s cieľom zmeniť prílohu IV na účely úpravy opisu, jednotky a metodiky ukazovateľov týkajúcich sa poľnohospodárskych ekosystémov </w:t>
      </w:r>
      <w:r>
        <w:rPr>
          <w:b/>
          <w:bCs/>
          <w:i/>
          <w:iCs/>
        </w:rPr>
        <w:t>podľa vedecko-technického pokroku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br w:type="page"/>
      </w:r>
      <w:r>
        <w:lastRenderedPageBreak/>
        <w:t>5.</w:t>
      </w:r>
      <w:r>
        <w:tab/>
        <w:t>Komisia je splnomocn</w:t>
      </w:r>
      <w:r>
        <w:t xml:space="preserve">ená prijímať delegované akty v súlade s článkom 20 s cieľom upraviť prílohu V na účely aktualizácie zoznamu druhov, ktorý sa v členských štátoch používa pre index bežných druhov vtáctva žijúceho na poľnohospodárskej pôde, </w:t>
      </w:r>
      <w:r>
        <w:rPr>
          <w:b/>
          <w:bCs/>
          <w:i/>
          <w:iCs/>
        </w:rPr>
        <w:t>podľa vedecko-technického pokroku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6.</w:t>
      </w:r>
      <w:r>
        <w:tab/>
        <w:t xml:space="preserve">Komisia je splnomocnená prijímať delegované akty v súlade s článkom 20 s cieľom zmeniť prílohu VI na účely úpravy opisu, jednotky a metodiky ukazovateľov týkajúcich sa lesných ekosystémov </w:t>
      </w:r>
      <w:r>
        <w:rPr>
          <w:b/>
          <w:bCs/>
          <w:i/>
          <w:iCs/>
        </w:rPr>
        <w:t>podľa vedecko-technického pokroku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7.</w:t>
      </w:r>
      <w:r>
        <w:tab/>
        <w:t>Komisia je splnomocnená pr</w:t>
      </w:r>
      <w:r>
        <w:t xml:space="preserve">ijímať delegované akty v súlade s článkom 20 s cieľom zmeniť prílohu VII na účely úpravy zoznamu príkladov opatrení na obnovu </w:t>
      </w:r>
      <w:r>
        <w:rPr>
          <w:b/>
          <w:bCs/>
          <w:i/>
          <w:iCs/>
        </w:rPr>
        <w:t>podľa vedecko-technického pokroku a zohľadnenia skúseností získaných pri uplatňovaní tohto nariadenia.</w:t>
      </w:r>
    </w:p>
    <w:p w:rsidR="00407135" w:rsidRDefault="00407135">
      <w:pPr>
        <w:widowControl/>
        <w:suppressAutoHyphens/>
        <w:spacing w:before="120" w:after="120" w:line="360" w:lineRule="auto"/>
        <w:ind w:right="-1"/>
        <w:rPr>
          <w:rFonts w:eastAsia="Calibri"/>
          <w:szCs w:val="22"/>
          <w:lang w:eastAsia="en-US"/>
        </w:rPr>
      </w:pP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Cs/>
          <w:i/>
          <w:szCs w:val="26"/>
        </w:rPr>
      </w:pPr>
      <w:r>
        <w:t>Článok 20</w:t>
      </w:r>
      <w:r>
        <w:br/>
      </w:r>
      <w:r>
        <w:rPr>
          <w:i/>
          <w:iCs/>
        </w:rPr>
        <w:t xml:space="preserve">Vykonávanie </w:t>
      </w:r>
      <w:r>
        <w:rPr>
          <w:i/>
          <w:iCs/>
        </w:rPr>
        <w:t>delegovania právomoci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1.</w:t>
      </w:r>
      <w:r>
        <w:tab/>
        <w:t>Komisii sa udeľuje právomoc prijímať delegované akty za podmienok stanovených v tomto článku.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2.</w:t>
      </w:r>
      <w:r>
        <w:tab/>
        <w:t>Právomoc prijímať delegované akty uvedené v článku 19 sa Komisii udeľuje na obdobie 5 rokov od ... [</w:t>
      </w:r>
      <w:r>
        <w:rPr>
          <w:i/>
          <w:iCs/>
        </w:rPr>
        <w:t xml:space="preserve">Úrad pre publikácie: vložiť dátum </w:t>
      </w:r>
      <w:r>
        <w:rPr>
          <w:i/>
          <w:iCs/>
        </w:rPr>
        <w:t>nadobudnutia účinnosti tohto nariadenia</w:t>
      </w:r>
      <w:r>
        <w:t>]. Komisia vypracuje správu týkajúcu sa delegovania právomoci najneskôr deväť mesiacov pred uplynutím tohto päťročného obdobia. Delegovanie právomoci sa automaticky predlžuje o rovnako dlhé obdobia, pokiaľ Európsky pa</w:t>
      </w:r>
      <w:r>
        <w:t>rlament alebo Rada nevznesú voči takémuto predĺženiu námietku najneskôr tri mesiace pred koncom každého obdobia.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br w:type="page"/>
      </w:r>
      <w:r>
        <w:lastRenderedPageBreak/>
        <w:t>3.</w:t>
      </w:r>
      <w:r>
        <w:tab/>
        <w:t>Delegovanie právomoci uvedené v článku 19 môže Európsky parlament alebo Rada kedykoľvek odvolať. Rozhodnutím o odvolaní sa ukončuje delegov</w:t>
      </w:r>
      <w:r>
        <w:t>anie právomoci, ktoré sa v ňom uvádza. Rozhodnutie nadobúda účinnosť dňom nasledujúcim po jeho uverejnení v </w:t>
      </w:r>
      <w:r>
        <w:rPr>
          <w:i/>
          <w:iCs/>
        </w:rPr>
        <w:t>Úradnom vestníku Európskej únie</w:t>
      </w:r>
      <w:r>
        <w:t xml:space="preserve"> alebo k neskoršiemu dátumu, ktorý je v ňom určený. Nie je ním dotknutá platnosť delegovaných aktov, ktoré už nadobud</w:t>
      </w:r>
      <w:r>
        <w:t>li účinnosť.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4.</w:t>
      </w:r>
      <w:r>
        <w:tab/>
        <w:t>Komisia pred prijatím delegovaného aktu konzultuje s expertmi určenými jednotlivými členskými štátmi v súlade so zásadami stanovenými v Medziinštitucionálnej dohode z 13. apríla 2016 o lepšej tvorbe práva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5.</w:t>
      </w:r>
      <w:r>
        <w:tab/>
        <w:t>Komisia oznamuje delegovaný ak</w:t>
      </w:r>
      <w:r>
        <w:t xml:space="preserve">t </w:t>
      </w:r>
      <w:bookmarkStart w:id="89" w:name="_GoBack"/>
      <w:bookmarkEnd w:id="89"/>
      <w:r>
        <w:t>hneď po jeho prijatí súčasne Európskemu parlamentu a Rade.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6.</w:t>
      </w:r>
      <w:r>
        <w:tab/>
        <w:t>Delegovaný akt prijatý podľa článku 19 nadobudne účinnosť, len ak Európsky parlament alebo Rada voči nemu nevzniesli námietku v lehote dvoch mesiacov odo dňa oznámenia uvedeného aktu Európskem</w:t>
      </w:r>
      <w:r>
        <w:t>u parlamentu a Rade alebo ak pred uplynutím uvedenej lehoty Európsky parlament a Rada informovali Komisiu o svojom rozhodnutí nevzniesť námietku. Na podnet Európskeho parlamentu alebo Rady sa táto lehota predĺži o dva mesiace.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>
        <w:br w:type="page"/>
      </w:r>
      <w:r>
        <w:lastRenderedPageBreak/>
        <w:t>Článok 21</w:t>
      </w:r>
      <w:r>
        <w:br/>
      </w:r>
      <w:r>
        <w:rPr>
          <w:i/>
          <w:iCs/>
        </w:rPr>
        <w:t>Postup výboru</w:t>
      </w:r>
      <w:r>
        <w:rPr>
          <w:b/>
        </w:rPr>
        <w:t xml:space="preserve"> 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1.</w:t>
      </w:r>
      <w:r>
        <w:tab/>
      </w:r>
      <w:r>
        <w:t>Komisii pomáha výbor. Uvedený výbor je výborom v zmysle nariadenia (EÚ) č. 182/2011.</w:t>
      </w:r>
    </w:p>
    <w:p w:rsidR="00407135" w:rsidRDefault="00D55DF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>
        <w:t>2.</w:t>
      </w:r>
      <w:r>
        <w:tab/>
        <w:t>Ak sa odkazuje na tento odsek, uplatňuje sa článok 5 nariadenia (EÚ) č. 182/2011.</w:t>
      </w:r>
    </w:p>
    <w:p w:rsidR="00407135" w:rsidRDefault="00407135">
      <w:pPr>
        <w:widowControl/>
        <w:spacing w:after="200" w:line="276" w:lineRule="auto"/>
        <w:rPr>
          <w:b/>
          <w:bCs/>
          <w:smallCaps/>
          <w:sz w:val="32"/>
          <w:szCs w:val="28"/>
          <w:lang w:eastAsia="en-US"/>
        </w:rPr>
      </w:pPr>
    </w:p>
    <w:p w:rsidR="00407135" w:rsidRDefault="00D55DFA">
      <w:pPr>
        <w:keepNext/>
        <w:widowControl/>
        <w:suppressAutoHyphens/>
        <w:spacing w:before="240" w:after="24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>
        <w:rPr>
          <w:b/>
          <w:smallCaps/>
          <w:sz w:val="32"/>
        </w:rPr>
        <w:t>KAPITOLA VI</w:t>
      </w:r>
      <w:r>
        <w:rPr>
          <w:b/>
          <w:smallCaps/>
          <w:sz w:val="32"/>
        </w:rPr>
        <w:br/>
        <w:t>ZÁVEREČNÉ USTANOVENIA</w:t>
      </w:r>
    </w:p>
    <w:p w:rsidR="00407135" w:rsidRDefault="00D55DFA">
      <w:pPr>
        <w:keepNext/>
        <w:widowControl/>
        <w:suppressAutoHyphens/>
        <w:spacing w:before="360" w:after="360" w:line="360" w:lineRule="auto"/>
        <w:jc w:val="center"/>
        <w:outlineLvl w:val="0"/>
        <w:rPr>
          <w:b/>
          <w:i/>
          <w:szCs w:val="26"/>
        </w:rPr>
      </w:pPr>
      <w:bookmarkStart w:id="90" w:name="_Hlk136767184"/>
      <w:r>
        <w:rPr>
          <w:b/>
          <w:i/>
        </w:rPr>
        <w:t>Článok 21a</w:t>
      </w:r>
      <w:r>
        <w:rPr>
          <w:b/>
          <w:i/>
        </w:rPr>
        <w:br/>
        <w:t>Zmeny nariadenia (EÚ) 2022/869</w:t>
      </w:r>
    </w:p>
    <w:p w:rsidR="00407135" w:rsidRDefault="00D55DFA">
      <w:pPr>
        <w:widowControl/>
        <w:spacing w:before="120" w:after="120" w:line="360" w:lineRule="auto"/>
        <w:rPr>
          <w:rFonts w:eastAsia="Calibri"/>
          <w:b/>
          <w:i/>
          <w:szCs w:val="22"/>
        </w:rPr>
      </w:pPr>
      <w:r>
        <w:rPr>
          <w:b/>
          <w:i/>
        </w:rPr>
        <w:t xml:space="preserve">Článok 7 </w:t>
      </w:r>
      <w:r>
        <w:rPr>
          <w:b/>
          <w:i/>
        </w:rPr>
        <w:t>ods. 8 prvý pododsek nariadenia (EÚ) 2022/869 sa nahrádza takto:</w:t>
      </w:r>
    </w:p>
    <w:p w:rsidR="00407135" w:rsidRDefault="00D55DFA">
      <w:pPr>
        <w:widowControl/>
        <w:spacing w:before="120" w:after="120" w:line="360" w:lineRule="auto"/>
        <w:rPr>
          <w:rFonts w:eastAsia="Calibri"/>
          <w:b/>
          <w:i/>
          <w:szCs w:val="22"/>
        </w:rPr>
      </w:pPr>
      <w:bookmarkStart w:id="91" w:name="_Hlk135897854"/>
      <w:r>
        <w:rPr>
          <w:b/>
          <w:i/>
        </w:rPr>
        <w:t>„Pokiaľ ide o vplyvy na životné prostredie uvedené v článku 6 ods. 4 smernice 92/43/EHS, článku 4 ods. 7 smernice 2000/60/ES, článku 4 ods. 8 a 8a a článku 5 ods. 8 a 8a [návrhu nariadenia Eu</w:t>
      </w:r>
      <w:r>
        <w:rPr>
          <w:b/>
          <w:i/>
        </w:rPr>
        <w:t>rópskeho parlamentu a Rady o obnove prírody], projekty na zozname Únie sa považujú za projekty vo verejnom záujme z hľadiska energetickej politiky a môžu sa považovať za projekty nadradeného verejného záujmu za predpokladu, že sú splnené všetky podmienky u</w:t>
      </w:r>
      <w:r>
        <w:rPr>
          <w:b/>
          <w:i/>
        </w:rPr>
        <w:t>vedené v týchto smerniciach.“</w:t>
      </w:r>
      <w:bookmarkEnd w:id="91"/>
    </w:p>
    <w:bookmarkEnd w:id="90"/>
    <w:p w:rsidR="00407135" w:rsidRDefault="00D55DFA">
      <w:pPr>
        <w:keepNext/>
        <w:widowControl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>
        <w:br w:type="page"/>
      </w:r>
      <w:r>
        <w:lastRenderedPageBreak/>
        <w:t>Článok 22</w:t>
      </w:r>
      <w:r>
        <w:br/>
      </w:r>
      <w:r>
        <w:rPr>
          <w:i/>
          <w:iCs/>
        </w:rPr>
        <w:t>Preskúmanie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>
        <w:t>1.</w:t>
      </w:r>
      <w:r>
        <w:tab/>
        <w:t xml:space="preserve">Komisia vyhodnotí </w:t>
      </w:r>
      <w:r>
        <w:rPr>
          <w:b/>
          <w:i/>
        </w:rPr>
        <w:t>toto nariadenie</w:t>
      </w:r>
      <w:r>
        <w:t xml:space="preserve"> do 31. decembra </w:t>
      </w:r>
      <w:r>
        <w:rPr>
          <w:b/>
          <w:i/>
        </w:rPr>
        <w:t xml:space="preserve">2030 a potom každé dva roky s cieľom posúdiť vplyv tohto nariadenia, najmä na poľnohospodársky sektor a dodávky bezpečných a spoľahlivých potravín, </w:t>
      </w:r>
      <w:r>
        <w:rPr>
          <w:b/>
          <w:i/>
        </w:rPr>
        <w:t>ako aj sociálno-ekonomický vplyv tohto nariadenia, najmä na vidiecke oblasti</w:t>
      </w:r>
      <w:r>
        <w:t>.</w:t>
      </w:r>
      <w:r>
        <w:rPr>
          <w:b/>
        </w:rPr>
        <w:t xml:space="preserve"> [PN 45]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b/>
        </w:rPr>
      </w:pPr>
      <w:r>
        <w:t>2.</w:t>
      </w:r>
      <w:r>
        <w:tab/>
        <w:t>Správu o hlavných zisteniach hodnotenia Komisia predloží Európskemu parlamentu, Rade, Európskemu hospodárskemu a sociálnemu výboru a Výboru regiónov. Komisia v prípade</w:t>
      </w:r>
      <w:r>
        <w:t xml:space="preserve"> potreby k správe pripojí legislatívny návrh na zmenu príslušných ustanovení tohto nariadenia s prihliadnutím na potrebu stanoviť dodatočné ciele obnovy </w:t>
      </w:r>
      <w:r>
        <w:rPr>
          <w:b/>
          <w:i/>
        </w:rPr>
        <w:t xml:space="preserve">– vrátane aktualizovaných cieľov na rok 2040 a 2050 – </w:t>
      </w:r>
      <w:r>
        <w:t>založené na spoločných metódach posudzovania stav</w:t>
      </w:r>
      <w:r>
        <w:t xml:space="preserve">u ekosystémov, na ktoré sa nevzťahujú články 4 a 5, </w:t>
      </w:r>
      <w:r>
        <w:rPr>
          <w:b/>
          <w:i/>
        </w:rPr>
        <w:t>hodnotení uvedenom v odseku 1 tohto článku</w:t>
      </w:r>
      <w:r>
        <w:t xml:space="preserve"> a na najnovších vedeckých dôkazoch.</w:t>
      </w:r>
      <w:r>
        <w:rPr>
          <w:b/>
        </w:rPr>
        <w:t xml:space="preserve"> [PN 17]</w:t>
      </w:r>
    </w:p>
    <w:p w:rsidR="00407135" w:rsidRDefault="00D55DFA">
      <w:pPr>
        <w:widowControl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br w:type="page"/>
      </w:r>
    </w:p>
    <w:p w:rsidR="00407135" w:rsidRDefault="00D55DFA">
      <w:pPr>
        <w:widowControl/>
        <w:suppressAutoHyphens/>
        <w:spacing w:before="120" w:after="120" w:line="360" w:lineRule="auto"/>
        <w:ind w:right="140"/>
        <w:jc w:val="center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lastRenderedPageBreak/>
        <w:t>Článok 22a</w:t>
      </w:r>
      <w:r>
        <w:rPr>
          <w:rFonts w:eastAsia="Calibri"/>
          <w:b/>
          <w:i/>
          <w:szCs w:val="22"/>
        </w:rPr>
        <w:br/>
        <w:t>Odklad cieľov podľa tohto nariadenia v prípade výnimočných sociálno-ekonomických dôsledkov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1. </w:t>
      </w:r>
      <w:r>
        <w:rPr>
          <w:rFonts w:eastAsia="Calibri"/>
          <w:b/>
          <w:i/>
          <w:szCs w:val="22"/>
        </w:rPr>
        <w:tab/>
        <w:t>Do ... [1</w:t>
      </w:r>
      <w:r>
        <w:rPr>
          <w:rFonts w:eastAsia="Calibri"/>
          <w:b/>
          <w:i/>
          <w:szCs w:val="22"/>
        </w:rPr>
        <w:t xml:space="preserve"> rok odo dňa nadobudnutia účinnosti tohto nariadenia] a potom každý rok Komisia uverejní v Úradnom vestníku Európskej únie oznámenie o tom, či sa uplatňuje jedna alebo viacero z týchto podmienok: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a) </w:t>
      </w:r>
      <w:r>
        <w:rPr>
          <w:rFonts w:eastAsia="Calibri"/>
          <w:b/>
          <w:i/>
          <w:szCs w:val="22"/>
        </w:rPr>
        <w:tab/>
        <w:t>povoľovacie postupy v jednom alebo viacerých členských š</w:t>
      </w:r>
      <w:r>
        <w:rPr>
          <w:rFonts w:eastAsia="Calibri"/>
          <w:b/>
          <w:i/>
          <w:szCs w:val="22"/>
        </w:rPr>
        <w:t>tátoch zaostávajú v dôsledku obmedzení vyplývajúcich z právnych predpisov Únie v oblasti ochrany prírody, pokiaľ ide o tieto oblasti:</w:t>
      </w:r>
    </w:p>
    <w:p w:rsidR="00407135" w:rsidRDefault="00D55DFA">
      <w:pPr>
        <w:widowControl/>
        <w:suppressAutoHyphens/>
        <w:spacing w:before="120" w:after="120" w:line="360" w:lineRule="auto"/>
        <w:ind w:left="1701" w:right="140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>i) výstavba a prestavba domov, najmä v sektore sociálneho bývania;</w:t>
      </w:r>
    </w:p>
    <w:p w:rsidR="00407135" w:rsidRDefault="00D55DFA">
      <w:pPr>
        <w:widowControl/>
        <w:suppressAutoHyphens/>
        <w:spacing w:before="120" w:after="120" w:line="360" w:lineRule="auto"/>
        <w:ind w:left="1701" w:right="140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>ii) zavádzanie projektov v oblasti energie z obnoviteľn</w:t>
      </w:r>
      <w:r>
        <w:rPr>
          <w:rFonts w:eastAsia="Calibri"/>
          <w:b/>
          <w:i/>
          <w:szCs w:val="22"/>
        </w:rPr>
        <w:t>ých zdrojov v súvislosti s dosiahnutím cieľov stanovených v nariadení (EÚ) 2021/1119 [európsky právny predpis v oblasti klímy];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b) </w:t>
      </w:r>
      <w:r>
        <w:rPr>
          <w:rFonts w:eastAsia="Calibri"/>
          <w:b/>
          <w:i/>
          <w:szCs w:val="22"/>
        </w:rPr>
        <w:tab/>
        <w:t>priemerná cena potravín sa v priebehu jedného roka zvýšila o 10 %;</w:t>
      </w:r>
    </w:p>
    <w:p w:rsidR="00407135" w:rsidRDefault="00D55DFA">
      <w:pPr>
        <w:widowControl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>
        <w:rPr>
          <w:rFonts w:eastAsia="Calibri"/>
          <w:b/>
          <w:i/>
          <w:szCs w:val="22"/>
        </w:rPr>
        <w:t xml:space="preserve">c) </w:t>
      </w:r>
      <w:r>
        <w:rPr>
          <w:rFonts w:eastAsia="Calibri"/>
          <w:b/>
          <w:i/>
          <w:szCs w:val="22"/>
        </w:rPr>
        <w:tab/>
        <w:t xml:space="preserve">celková výroba potravín v Únii sa v priebehu jedného </w:t>
      </w:r>
      <w:r>
        <w:rPr>
          <w:rFonts w:eastAsia="Calibri"/>
          <w:b/>
          <w:i/>
          <w:szCs w:val="22"/>
        </w:rPr>
        <w:t>roka znížila o 5 %.</w:t>
      </w:r>
    </w:p>
    <w:p w:rsidR="00407135" w:rsidRDefault="00D55DFA">
      <w:pPr>
        <w:widowControl/>
        <w:suppressAutoHyphens/>
        <w:spacing w:before="120" w:after="120" w:line="360" w:lineRule="auto"/>
        <w:ind w:left="567" w:right="140" w:hanging="567"/>
        <w:rPr>
          <w:b/>
          <w:bCs/>
        </w:rPr>
      </w:pPr>
      <w:r>
        <w:rPr>
          <w:rFonts w:eastAsia="Calibri"/>
          <w:b/>
          <w:i/>
          <w:szCs w:val="22"/>
        </w:rPr>
        <w:t xml:space="preserve">2. </w:t>
      </w:r>
      <w:r>
        <w:rPr>
          <w:rFonts w:eastAsia="Calibri"/>
          <w:b/>
          <w:i/>
          <w:szCs w:val="22"/>
        </w:rPr>
        <w:tab/>
        <w:t>Ak sa uplatňuje jedna alebo viacero podmienok uvedených v odseku 1, ciele podľa tohto nariadenia sa odložia dovtedy, kým sa neprestanú uplatňovať všetky podmienky uvedené v danom odseku.</w:t>
      </w:r>
      <w:r>
        <w:rPr>
          <w:b/>
          <w:bCs/>
        </w:rPr>
        <w:t xml:space="preserve"> [PN 131]</w:t>
      </w:r>
    </w:p>
    <w:p w:rsidR="00407135" w:rsidRDefault="00D55DFA">
      <w:pPr>
        <w:keepNext/>
        <w:widowControl/>
        <w:suppressAutoHyphens/>
        <w:spacing w:before="360" w:after="120" w:line="360" w:lineRule="auto"/>
        <w:ind w:right="140"/>
        <w:jc w:val="center"/>
        <w:outlineLvl w:val="1"/>
        <w:rPr>
          <w:b/>
          <w:bCs/>
          <w:i/>
          <w:iCs/>
          <w:szCs w:val="26"/>
        </w:rPr>
      </w:pPr>
      <w:r>
        <w:rPr>
          <w:b/>
          <w:bCs/>
        </w:rPr>
        <w:t>Článok 23</w:t>
      </w:r>
      <w:r>
        <w:rPr>
          <w:b/>
          <w:bCs/>
        </w:rPr>
        <w:br/>
      </w:r>
      <w:r>
        <w:rPr>
          <w:i/>
          <w:iCs/>
        </w:rPr>
        <w:t>Nadobudnutie účinnosti</w:t>
      </w:r>
    </w:p>
    <w:p w:rsidR="00407135" w:rsidRDefault="00D55DFA">
      <w:pPr>
        <w:widowControl/>
        <w:suppressAutoHyphens/>
        <w:spacing w:before="120" w:after="120" w:line="360" w:lineRule="auto"/>
        <w:ind w:right="140"/>
      </w:pPr>
      <w:r>
        <w:t xml:space="preserve">Toto nariadenie nadobúda účinnosť dvadsiatym dňom nasledujúcim po jeho uverejnení v </w:t>
      </w:r>
      <w:r>
        <w:rPr>
          <w:i/>
        </w:rPr>
        <w:t>Úradnom vestníku Európskej únie</w:t>
      </w:r>
      <w:r>
        <w:t>.</w:t>
      </w:r>
    </w:p>
    <w:p w:rsidR="00407135" w:rsidRDefault="00D55DFA">
      <w:pPr>
        <w:widowControl/>
        <w:suppressAutoHyphens/>
        <w:spacing w:before="120" w:after="120" w:line="360" w:lineRule="auto"/>
        <w:ind w:right="140"/>
        <w:rPr>
          <w:b/>
        </w:rPr>
      </w:pPr>
      <w:r>
        <w:rPr>
          <w:b/>
          <w:i/>
        </w:rPr>
        <w:t>Uplatňuje sa odo dňa, keď Komisia poskytla Európskemu parlamentu a Rade spoľahlivé a vedecké údaje o podmienkach potrebných na zaručenie dl</w:t>
      </w:r>
      <w:r>
        <w:rPr>
          <w:b/>
          <w:i/>
        </w:rPr>
        <w:t xml:space="preserve">hodobej potravinovej bezpečnosti, čím sa rešpektuje potreba ornej pôdy v konvenčnom a ekologickom poľnohospodárstve, vplyv obnovy prírody na výrobu potravín, dostupnosť potravín a ceny potravín. Komisia uverejní v Úradnom vestníku Európskej únie oznámenie </w:t>
      </w:r>
      <w:r>
        <w:rPr>
          <w:b/>
          <w:i/>
        </w:rPr>
        <w:t>s uvedením dátumu, od ktorého sa toto nariadenie uplatňuje.</w:t>
      </w:r>
      <w:r>
        <w:rPr>
          <w:b/>
        </w:rPr>
        <w:t xml:space="preserve"> [PN 135]</w:t>
      </w:r>
    </w:p>
    <w:p w:rsidR="00407135" w:rsidRDefault="00D55DFA">
      <w:pPr>
        <w:widowControl/>
        <w:suppressAutoHyphens/>
        <w:spacing w:before="120" w:after="120" w:line="360" w:lineRule="auto"/>
        <w:ind w:right="140"/>
        <w:rPr>
          <w:rFonts w:eastAsia="Calibri"/>
          <w:b/>
          <w:szCs w:val="24"/>
        </w:rPr>
      </w:pPr>
      <w:r>
        <w:rPr>
          <w:b/>
          <w:i/>
        </w:rPr>
        <w:t>Uplatňuje sa odo dňa, keď je splnená podmienka stanovená v článku 11 ods. 2a. Komisia uverejní v Úradnom vestníku Európskej únie oznámenie s uvedením dátumu, od ktorého sa toto nariadenie</w:t>
      </w:r>
      <w:r>
        <w:rPr>
          <w:b/>
          <w:i/>
        </w:rPr>
        <w:t xml:space="preserve"> uplatňuje.</w:t>
      </w:r>
      <w:r>
        <w:rPr>
          <w:b/>
        </w:rPr>
        <w:t xml:space="preserve"> [PN 136]</w:t>
      </w:r>
    </w:p>
    <w:p w:rsidR="00407135" w:rsidRDefault="00D55DFA">
      <w:pPr>
        <w:widowControl/>
        <w:suppressAutoHyphens/>
        <w:spacing w:before="480" w:after="120" w:line="360" w:lineRule="auto"/>
        <w:ind w:right="140"/>
        <w:rPr>
          <w:rFonts w:eastAsia="Calibri"/>
          <w:szCs w:val="22"/>
        </w:rPr>
      </w:pPr>
      <w:r>
        <w:lastRenderedPageBreak/>
        <w:t>Toto nariadenie je záväzné v celom rozsahu a priamo uplatniteľné vo všetkých členských štátoch.</w:t>
      </w:r>
    </w:p>
    <w:p w:rsidR="00407135" w:rsidRDefault="00D55DFA">
      <w:pPr>
        <w:keepNext/>
        <w:widowControl/>
        <w:suppressAutoHyphens/>
        <w:spacing w:before="120" w:line="360" w:lineRule="auto"/>
        <w:jc w:val="both"/>
        <w:rPr>
          <w:rFonts w:eastAsia="Calibri"/>
          <w:szCs w:val="22"/>
        </w:rPr>
      </w:pPr>
      <w:r>
        <w:t>V Bruseli</w:t>
      </w:r>
    </w:p>
    <w:p w:rsidR="00407135" w:rsidRDefault="00D55DFA">
      <w:pPr>
        <w:keepNext/>
        <w:widowControl/>
        <w:tabs>
          <w:tab w:val="left" w:pos="4252"/>
        </w:tabs>
        <w:suppressAutoHyphens/>
        <w:spacing w:before="720" w:line="360" w:lineRule="auto"/>
        <w:jc w:val="both"/>
        <w:rPr>
          <w:rFonts w:eastAsia="Calibri"/>
          <w:i/>
          <w:szCs w:val="22"/>
        </w:rPr>
      </w:pPr>
      <w:r>
        <w:rPr>
          <w:i/>
        </w:rPr>
        <w:t>Za Európsky parlament</w:t>
      </w:r>
      <w:r>
        <w:rPr>
          <w:i/>
        </w:rPr>
        <w:tab/>
        <w:t>Za Radu</w:t>
      </w:r>
    </w:p>
    <w:p w:rsidR="00407135" w:rsidRDefault="00D55DFA">
      <w:pPr>
        <w:widowControl/>
        <w:tabs>
          <w:tab w:val="left" w:pos="4253"/>
        </w:tabs>
        <w:spacing w:before="120" w:after="120" w:line="360" w:lineRule="auto"/>
        <w:rPr>
          <w:rFonts w:eastAsia="Calibri"/>
          <w:szCs w:val="22"/>
        </w:rPr>
        <w:sectPr w:rsidR="00407135"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  <w:r>
        <w:rPr>
          <w:i/>
        </w:rPr>
        <w:t>predseda/predsedníčka</w:t>
      </w:r>
      <w:r>
        <w:rPr>
          <w:i/>
        </w:rPr>
        <w:tab/>
        <w:t>predseda/predsedníčka</w:t>
      </w:r>
      <w:r>
        <w:rPr>
          <w:i/>
        </w:rPr>
        <w:br/>
      </w:r>
    </w:p>
    <w:p w:rsidR="00407135" w:rsidRDefault="00D55DFA">
      <w:pPr>
        <w:widowControl/>
        <w:suppressAutoHyphens/>
        <w:spacing w:before="120" w:after="120" w:line="360" w:lineRule="auto"/>
        <w:jc w:val="center"/>
        <w:rPr>
          <w:rFonts w:eastAsia="Calibri"/>
          <w:i/>
          <w:szCs w:val="22"/>
        </w:rPr>
      </w:pPr>
      <w:r>
        <w:rPr>
          <w:smallCaps/>
          <w:u w:val="single"/>
        </w:rPr>
        <w:lastRenderedPageBreak/>
        <w:t>PRÍLOHA I</w:t>
      </w:r>
      <w:r>
        <w:rPr>
          <w:smallCaps/>
          <w:u w:val="single"/>
        </w:rPr>
        <w:br/>
      </w:r>
      <w:r>
        <w:rPr>
          <w:smallCaps/>
          <w:u w:val="single"/>
        </w:rPr>
        <w:br/>
        <w:t xml:space="preserve">SUCHOZEMSKÉ, POBREŽNÉ </w:t>
      </w:r>
      <w:r>
        <w:rPr>
          <w:smallCaps/>
          <w:u w:val="single"/>
        </w:rPr>
        <w:t>A SLADKOVODNÉ EKOSYSTÉMY – TYPY BIOTOPOV A SKUPINY TYPOV BIOTOPOV UVEDENÉ V ČLÁNKU 4 ODS. 1 A 2</w:t>
      </w:r>
    </w:p>
    <w:p w:rsidR="00407135" w:rsidRDefault="00407135">
      <w:pPr>
        <w:widowControl/>
        <w:suppressAutoHyphens/>
        <w:spacing w:before="120" w:after="120" w:line="360" w:lineRule="auto"/>
        <w:rPr>
          <w:rFonts w:eastAsia="Calibri"/>
          <w:noProof/>
          <w:szCs w:val="24"/>
          <w:lang w:eastAsia="en-US"/>
        </w:rPr>
      </w:pP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noProof/>
          <w:szCs w:val="24"/>
        </w:rPr>
      </w:pPr>
      <w:r>
        <w:t>Zoznam uvedený ďalej zahŕňa všetky typy suchozemských, pobrežných a sladkovodných biotopov uvedené v prílohe I k smernici 92/43/EHS, ako sa uvádzajú v článku 4</w:t>
      </w:r>
      <w:r>
        <w:t xml:space="preserve"> ods. 1 a 2, ako aj šesť skupín týchto typov biotopov, a to 1. mokrade (pobrežné a vnútrozemské); 2. trávne porasty a iné pastevné biotopy; 3. riečne, jazerné, aluviálne a príbrežné biotopy; 4. lesy; 5. stepné, vresové a krovinové biotopy a 6. skalnaté a d</w:t>
      </w:r>
      <w:r>
        <w:t xml:space="preserve">unové biotopy. </w:t>
      </w:r>
    </w:p>
    <w:p w:rsidR="00407135" w:rsidRDefault="00D55DFA">
      <w:pPr>
        <w:keepNext/>
        <w:widowControl/>
        <w:spacing w:before="120" w:after="120"/>
        <w:ind w:left="850" w:hanging="850"/>
        <w:jc w:val="both"/>
        <w:outlineLvl w:val="1"/>
        <w:rPr>
          <w:b/>
          <w:bCs/>
          <w:szCs w:val="26"/>
        </w:rPr>
      </w:pPr>
      <w:r>
        <w:rPr>
          <w:b/>
        </w:rPr>
        <w:t>1.</w:t>
      </w:r>
      <w:r>
        <w:rPr>
          <w:b/>
        </w:rPr>
        <w:tab/>
        <w:t>SKUPINA 1: Mokrade (pobrežné a vnútrozemské)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55"/>
        <w:gridCol w:w="7508"/>
      </w:tblGrid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Kód typu biotopu podľa prílohy I k smernici Rady 92/43/EHS 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Názov typu biotopu podľa prílohy I k smernici Rady 92/43/EHS</w:t>
            </w:r>
          </w:p>
        </w:tc>
      </w:tr>
      <w:tr w:rsidR="00407135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Pobrežné a slaniskové biotopy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1130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Ústia riek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i/>
                <w:noProof/>
              </w:rPr>
            </w:pPr>
            <w:r>
              <w:rPr>
                <w:b/>
                <w:i/>
              </w:rPr>
              <w:t>1140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Bažiny a piesčiny</w:t>
            </w:r>
            <w:r>
              <w:t xml:space="preserve"> nepokryté morskou vodou pri nízkom prílive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1150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Pobrežné lagúny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1310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Porasty slanorožca (Salicornia spp.) a ďalších jednoročných rastlín kolonizujúcich bahno a piesok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1320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Trávnaté porasty druhov rodu Spartina (</w:t>
            </w:r>
            <w:r>
              <w:rPr>
                <w:i/>
                <w:iCs/>
              </w:rPr>
              <w:t>Spartinion maritimae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1330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Atlantické </w:t>
            </w:r>
            <w:r>
              <w:t>slané lúky (</w:t>
            </w:r>
            <w:r>
              <w:rPr>
                <w:i/>
                <w:iCs/>
              </w:rPr>
              <w:t>Glauco-Puccinellietalia maritimae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1340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Vnútrozemské slané lúky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1410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Stredozemné slané lúky (</w:t>
            </w:r>
            <w:r>
              <w:rPr>
                <w:i/>
                <w:iCs/>
              </w:rPr>
              <w:t>Juncetalia maritimi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1420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Stredozemné a termoatlantické halofilné kroviny (</w:t>
            </w:r>
            <w:r>
              <w:rPr>
                <w:i/>
                <w:iCs/>
              </w:rPr>
              <w:t>Sarcocornetea fruticosi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1530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Panónske slané stepi a slaniská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1650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Boreálne baltské úzke zátoky</w:t>
            </w:r>
          </w:p>
        </w:tc>
      </w:tr>
      <w:tr w:rsidR="00407135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Vlhké vresoviská a lúky na rašeliniskách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lastRenderedPageBreak/>
              <w:t>4010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Severoatlantické vlhké vresoviská s </w:t>
            </w:r>
            <w:r>
              <w:rPr>
                <w:i/>
                <w:iCs/>
              </w:rPr>
              <w:t>Erica tetralix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4020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Atlantické vlhké vresoviská mierneho pásma s </w:t>
            </w:r>
            <w:r>
              <w:rPr>
                <w:i/>
                <w:iCs/>
              </w:rPr>
              <w:t>Erica ciliaris</w:t>
            </w:r>
            <w:r>
              <w:t xml:space="preserve"> a </w:t>
            </w:r>
            <w:r>
              <w:rPr>
                <w:i/>
                <w:iCs/>
              </w:rPr>
              <w:t>Erica tetralix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6460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Lúky na rašeliniskách Troodosu</w:t>
            </w:r>
          </w:p>
        </w:tc>
      </w:tr>
      <w:tr w:rsidR="00407135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Bažiny,</w:t>
            </w:r>
            <w:r>
              <w:rPr>
                <w:b/>
              </w:rPr>
              <w:t xml:space="preserve"> rašeliniská a močiare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7110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Aktívne zvýšené rašeliniská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7120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Degradované zvýšené rašeliniská (stále schopné prirodzenej regenerácie)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7130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Kobercové rašeliniská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7140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Prechodné bažiny a trasoviská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7150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Prehĺbeniny na rašelinových substrátoch (</w:t>
            </w:r>
            <w:r>
              <w:rPr>
                <w:i/>
                <w:iCs/>
              </w:rPr>
              <w:t>Rhynchosporion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7160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Fínsko-škandinávske prameniská a prameniskové slatiny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7210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Vápenaté močiare s </w:t>
            </w:r>
            <w:r>
              <w:rPr>
                <w:i/>
                <w:iCs/>
              </w:rPr>
              <w:t>Cladium mariscus</w:t>
            </w:r>
            <w:r>
              <w:t xml:space="preserve"> a </w:t>
            </w:r>
            <w:r>
              <w:rPr>
                <w:i/>
                <w:iCs/>
              </w:rPr>
              <w:t>Carex davalliana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7220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Skamenené pukliny s tufovými útvarmi (</w:t>
            </w:r>
            <w:r>
              <w:rPr>
                <w:i/>
                <w:iCs/>
              </w:rPr>
              <w:t>Cratoneurion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7230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Alkalické močiare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7240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Alpské prvotné útvary </w:t>
            </w:r>
            <w:r>
              <w:rPr>
                <w:i/>
                <w:iCs/>
              </w:rPr>
              <w:t xml:space="preserve">Caricion </w:t>
            </w:r>
            <w:r>
              <w:rPr>
                <w:i/>
                <w:iCs/>
              </w:rPr>
              <w:t>bicoloris-atrofuscae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7310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Rašeliniská aapa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7320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Palsové rašeliniská</w:t>
            </w:r>
          </w:p>
        </w:tc>
      </w:tr>
      <w:tr w:rsidR="00407135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pageBreakBefore/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lastRenderedPageBreak/>
              <w:t>Vlhké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9080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Fínsko-škandinávske listnaté močiarne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91D0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Rašelinové lesy</w:t>
            </w:r>
          </w:p>
        </w:tc>
      </w:tr>
    </w:tbl>
    <w:p w:rsidR="00407135" w:rsidRDefault="00D55DFA">
      <w:pPr>
        <w:keepNext/>
        <w:widowControl/>
        <w:tabs>
          <w:tab w:val="left" w:pos="851"/>
        </w:tabs>
        <w:spacing w:before="120" w:after="120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2.</w:t>
      </w:r>
      <w:r>
        <w:rPr>
          <w:b/>
        </w:rPr>
        <w:tab/>
        <w:t>SKUPINA 2: Trávne porasty a iné pastevné biotopy</w:t>
      </w:r>
    </w:p>
    <w:tbl>
      <w:tblPr>
        <w:tblStyle w:val="TableGrid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7512"/>
      </w:tblGrid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Kód typu biotopu podľa prílohy I k smernici Rady 92/43/EHS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Názov typu biotopu podľa prílohy I k smernici Rady 92/43/EHS</w:t>
            </w:r>
          </w:p>
        </w:tc>
      </w:tr>
      <w:tr w:rsidR="00407135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Pobrežné a dunové biotopy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1630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Boreálne baltské pobrežné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Machéry</w:t>
            </w:r>
          </w:p>
        </w:tc>
      </w:tr>
      <w:tr w:rsidR="00407135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Vresové a krovinové biotopy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4030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 xml:space="preserve">Európske suché </w:t>
            </w:r>
            <w:r>
              <w:t>vresoviská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Suché atlantické pobrežné vresoviská s </w:t>
            </w:r>
            <w:r>
              <w:rPr>
                <w:i/>
                <w:iCs/>
              </w:rPr>
              <w:t>Erica vagans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Endemické stredozemné vresoviská s hlodášovým kríkom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Porasty </w:t>
            </w:r>
            <w:r>
              <w:rPr>
                <w:i/>
                <w:iCs/>
              </w:rPr>
              <w:t>Juniperus communis</w:t>
            </w:r>
            <w:r>
              <w:t xml:space="preserve"> na vápenatých vresoviskách alebo lúkach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Vápencové chodníky</w:t>
            </w:r>
          </w:p>
        </w:tc>
      </w:tr>
      <w:tr w:rsidR="00407135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Trávne porasty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6110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 xml:space="preserve">Krasové </w:t>
            </w:r>
            <w:r>
              <w:t>vápencové lúky (</w:t>
            </w:r>
            <w:r>
              <w:rPr>
                <w:i/>
                <w:iCs/>
              </w:rPr>
              <w:t>Alysso-Sedion albi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Suché pieskové vápencové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Kalaminárske lúky s </w:t>
            </w:r>
            <w:r>
              <w:rPr>
                <w:i/>
                <w:iCs/>
              </w:rPr>
              <w:t>Violetalia calaminariae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Kremičité pyrenejské lúky s </w:t>
            </w:r>
            <w:r>
              <w:rPr>
                <w:i/>
                <w:iCs/>
              </w:rPr>
              <w:t>Festuca eskia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Kremičité alpské a boreálne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Kremičité iberské lúky </w:t>
            </w:r>
            <w:r>
              <w:rPr>
                <w:i/>
                <w:iCs/>
              </w:rPr>
              <w:t>Festuca indigesta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Alpské a subalpské vápencové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Makaronézske horské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6190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Panónske skalné lúky (</w:t>
            </w:r>
            <w:r>
              <w:rPr>
                <w:i/>
                <w:iCs/>
              </w:rPr>
              <w:t>Stipo-Festucetalia pallentis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6210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Na vápenatých substrátoch (</w:t>
            </w:r>
            <w:r>
              <w:rPr>
                <w:i/>
                <w:iCs/>
              </w:rPr>
              <w:t>Festuco Brometalia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Pseudostep s trávami a ročnými porastmi (</w:t>
            </w:r>
            <w:r>
              <w:rPr>
                <w:i/>
                <w:iCs/>
              </w:rPr>
              <w:t>Thero-Brachypodietea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Lúky bohaté na druhy </w:t>
            </w:r>
            <w:r>
              <w:rPr>
                <w:i/>
                <w:iCs/>
              </w:rPr>
              <w:t>Nardus</w:t>
            </w:r>
            <w:r>
              <w:t xml:space="preserve"> na kremičitých substrátoch v horských oblastiach (a podhorské oblasti v kontinentálnej Európe)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Subpanónske stepné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Panónske stepné lúky na spraši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Panónske stepi na pieskoch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Fínsko-škandinávske </w:t>
            </w:r>
            <w:r>
              <w:t>nížinné druhovo bohaté suché až stredne vlhké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Severské alvary a ploché skaly z prekambrického vápenca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Východné substredozemné suchomilné lúky (</w:t>
            </w:r>
            <w:r>
              <w:rPr>
                <w:i/>
                <w:iCs/>
              </w:rPr>
              <w:t>Scorzoneratalia villosae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62B0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Cyperské serpentinofilné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62C0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Pontosarmatské stepi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62D0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Oro-moézske acidofilné lúky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Lúky s porastom </w:t>
            </w:r>
            <w:r>
              <w:rPr>
                <w:i/>
                <w:iCs/>
              </w:rPr>
              <w:t>molinia</w:t>
            </w:r>
            <w:r>
              <w:t xml:space="preserve"> na kriede alebo hline (</w:t>
            </w:r>
            <w:r>
              <w:rPr>
                <w:i/>
                <w:iCs/>
              </w:rPr>
              <w:t>Molinion caeruleae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Stredozemné lúky s vysokým bylinným a rákosovým porastom (</w:t>
            </w:r>
            <w:r>
              <w:rPr>
                <w:i/>
                <w:iCs/>
              </w:rPr>
              <w:t>Molinio-Holoschoenion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Nížinné senové lúky (</w:t>
            </w:r>
            <w:r>
              <w:rPr>
                <w:i/>
                <w:iCs/>
              </w:rPr>
              <w:t>Alopecurus pratensis, Sanguisorba officin</w:t>
            </w:r>
            <w:r>
              <w:rPr>
                <w:i/>
                <w:iCs/>
              </w:rPr>
              <w:t>alis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6520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Horské senové lúky</w:t>
            </w:r>
          </w:p>
        </w:tc>
      </w:tr>
      <w:tr w:rsidR="00407135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7135" w:rsidRDefault="00D55DFA">
            <w:pPr>
              <w:pageBreakBefore/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lastRenderedPageBreak/>
              <w:t>Tuholisté spásané lesy (dehesy) a lúky s drevinami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6310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Tuholisté spásané lesy (dehesy) so vždyzelenými dubmi (</w:t>
            </w:r>
            <w:r>
              <w:rPr>
                <w:i/>
                <w:iCs/>
              </w:rPr>
              <w:t>Quercus spp</w:t>
            </w:r>
            <w:r>
              <w:t>.)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6530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Fínsko-škandinávske lúky s drevinami</w:t>
            </w:r>
          </w:p>
        </w:tc>
      </w:tr>
      <w:tr w:rsidR="00407135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9070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Fínsko-škandinávske pasienky porastené drevinami</w:t>
            </w:r>
          </w:p>
        </w:tc>
      </w:tr>
    </w:tbl>
    <w:p w:rsidR="00407135" w:rsidRDefault="00D55DFA">
      <w:pPr>
        <w:keepNext/>
        <w:widowControl/>
        <w:spacing w:before="120" w:after="120"/>
        <w:ind w:left="850" w:hanging="850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3.</w:t>
      </w:r>
      <w:r>
        <w:rPr>
          <w:b/>
        </w:rPr>
        <w:tab/>
        <w:t xml:space="preserve">SKUPINA 3: Riečne, jazerné, aluviálne a príbrežné biotopy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55"/>
        <w:gridCol w:w="7508"/>
      </w:tblGrid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Kód typu biotopu podľa prílohy I k smernici Rady 92/43/EHS 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Názov typu biotopu podľa prílohy I k smernici Rady 92/43/EHS</w:t>
            </w:r>
          </w:p>
        </w:tc>
      </w:tr>
      <w:tr w:rsidR="00407135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Rieky a jazerá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3110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 xml:space="preserve">Oligotrofné vody obsahujúce veľmi malé množstvo </w:t>
            </w:r>
            <w:r>
              <w:t>minerálov pieskových rovín (</w:t>
            </w:r>
            <w:r>
              <w:rPr>
                <w:i/>
                <w:iCs/>
              </w:rPr>
              <w:t>Littorelletalia uniflorarae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3120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Oligotrofné vody obsahujúce veľmi malé množstvo minerálov západných stredozemných pieskových rovín s </w:t>
            </w:r>
            <w:r>
              <w:rPr>
                <w:i/>
                <w:iCs/>
              </w:rPr>
              <w:t>Isoetes spp</w:t>
            </w:r>
            <w:r>
              <w:t>.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3130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 xml:space="preserve">Oligotrofné až mezotrofné stojaté vody s vegetáciou typu </w:t>
            </w:r>
            <w:r>
              <w:rPr>
                <w:i/>
                <w:iCs/>
              </w:rPr>
              <w:t xml:space="preserve">Littorelletea </w:t>
            </w:r>
            <w:r>
              <w:rPr>
                <w:i/>
                <w:iCs/>
              </w:rPr>
              <w:t>uniflorae</w:t>
            </w:r>
            <w:r>
              <w:t xml:space="preserve"> a/alebo </w:t>
            </w:r>
            <w:r>
              <w:rPr>
                <w:i/>
                <w:iCs/>
              </w:rPr>
              <w:t>Isoëto-Nanojuncetea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3140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 xml:space="preserve">Tvrdé oligomezotrofné vody s bentickou vegetáciou formácie </w:t>
            </w:r>
            <w:r>
              <w:rPr>
                <w:i/>
                <w:iCs/>
              </w:rPr>
              <w:t>Chara</w:t>
            </w:r>
            <w:r>
              <w:t xml:space="preserve"> spp.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3150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 xml:space="preserve">Prírodné eutrofické jazerá s vegetáciou typu </w:t>
            </w:r>
            <w:r>
              <w:rPr>
                <w:i/>
                <w:iCs/>
              </w:rPr>
              <w:t>Magnopotamion</w:t>
            </w:r>
            <w:r>
              <w:t xml:space="preserve"> alebo </w:t>
            </w:r>
            <w:r>
              <w:rPr>
                <w:i/>
                <w:iCs/>
              </w:rPr>
              <w:t>Hydrocharition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3160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Prírodné dystrofické jazerá a rybníky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3170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</w:t>
            </w:r>
            <w:r>
              <w:t>zemné dočasné rybníky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3180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Turlofy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3190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Jazerá sadrovcových krasov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31A0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Transylvánske porasty lekna v horúcich prameňoch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3210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Fínsko-škandinávske prirodzené rieky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3220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Alpské rieky a bylinná vegetácia pozdĺž ich brehov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3230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Alpské rieky a ich </w:t>
            </w:r>
            <w:r>
              <w:t>drevnatá vegetácia s </w:t>
            </w:r>
            <w:r>
              <w:rPr>
                <w:i/>
                <w:iCs/>
              </w:rPr>
              <w:t>Myricaria germanica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3240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Alpské rieky a ich drevnatá vegetácia so </w:t>
            </w:r>
            <w:r>
              <w:rPr>
                <w:i/>
                <w:iCs/>
              </w:rPr>
              <w:t>Salix elaeagnos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lastRenderedPageBreak/>
              <w:t>3250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Stredozemné rieky s kontinuálnym prietokom s </w:t>
            </w:r>
            <w:r>
              <w:rPr>
                <w:i/>
                <w:iCs/>
              </w:rPr>
              <w:t>Glaucium flavum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3260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Plávajúca vegetácia typu </w:t>
            </w:r>
            <w:r>
              <w:rPr>
                <w:i/>
                <w:iCs/>
              </w:rPr>
              <w:t>Ranunculion fluitantis</w:t>
            </w:r>
            <w:r>
              <w:t xml:space="preserve"> a </w:t>
            </w:r>
            <w:r>
              <w:rPr>
                <w:i/>
                <w:iCs/>
              </w:rPr>
              <w:t>Callitricho-Batrachion</w:t>
            </w:r>
            <w:r>
              <w:t xml:space="preserve"> rovinných a podhorských riek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3270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Bahnité riečne brehy s vegetáciou zväzov </w:t>
            </w:r>
            <w:r>
              <w:rPr>
                <w:i/>
                <w:iCs/>
              </w:rPr>
              <w:t>Chenopodion rubri</w:t>
            </w:r>
            <w:r>
              <w:t xml:space="preserve"> p. p. a </w:t>
            </w:r>
            <w:r>
              <w:rPr>
                <w:i/>
                <w:iCs/>
              </w:rPr>
              <w:t>Bidention</w:t>
            </w:r>
            <w:r>
              <w:t xml:space="preserve"> p. p.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3280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Stredozemné rieky s kontinuálnym prietokom s </w:t>
            </w:r>
            <w:r>
              <w:rPr>
                <w:i/>
                <w:iCs/>
              </w:rPr>
              <w:t>Paspalo-Agrostidion</w:t>
            </w:r>
            <w:r>
              <w:t xml:space="preserve"> a visiace opony </w:t>
            </w:r>
            <w:r>
              <w:rPr>
                <w:i/>
                <w:iCs/>
              </w:rPr>
              <w:t>Salix</w:t>
            </w:r>
            <w:r>
              <w:t xml:space="preserve"> a </w:t>
            </w:r>
            <w:r>
              <w:rPr>
                <w:i/>
                <w:iCs/>
              </w:rPr>
              <w:t>Populus alba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3290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Stredozemné rieky s dis</w:t>
            </w:r>
            <w:r>
              <w:t>kontinuálnym prietokom (</w:t>
            </w:r>
            <w:r>
              <w:rPr>
                <w:i/>
                <w:iCs/>
              </w:rPr>
              <w:t>Paspalo-Agrostidion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32A0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Tufové kaskády krasových riek v Dinárskom pohorí</w:t>
            </w:r>
          </w:p>
        </w:tc>
      </w:tr>
      <w:tr w:rsidR="00407135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Aluviálne lúky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6430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Vlhkomilné vysokobylinné lemové spoločenstvá nížin a horského až alpského stupňa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6440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Lúky podliehajúce záplavám s </w:t>
            </w:r>
            <w:r>
              <w:rPr>
                <w:i/>
                <w:iCs/>
              </w:rPr>
              <w:t>Cnidion dubii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6450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Severné boreálne aluviálne lúky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6540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Substredozemné lúky s </w:t>
            </w:r>
            <w:r>
              <w:rPr>
                <w:i/>
                <w:iCs/>
              </w:rPr>
              <w:t>Molinio-Hordeion secalini</w:t>
            </w:r>
          </w:p>
        </w:tc>
      </w:tr>
      <w:tr w:rsidR="00407135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rPr>
                <w:b/>
              </w:rPr>
              <w:t>Aluviálne/Príbrežné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Subatlantické a stredoeurópske dubové alebo dubovo-hrabové lesy </w:t>
            </w:r>
            <w:r>
              <w:rPr>
                <w:i/>
                <w:iCs/>
              </w:rPr>
              <w:t>Carpinion betuli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91E0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Zvyškové naplaveninové lesy </w:t>
            </w:r>
            <w:r>
              <w:rPr>
                <w:i/>
                <w:iCs/>
              </w:rPr>
              <w:t>Alnus glutinosa</w:t>
            </w:r>
            <w:r>
              <w:t xml:space="preserve"> a </w:t>
            </w:r>
            <w:r>
              <w:rPr>
                <w:i/>
                <w:iCs/>
              </w:rPr>
              <w:t>Fraxinus excelsior</w:t>
            </w:r>
            <w:r>
              <w:t xml:space="preserve"> (</w:t>
            </w:r>
            <w:r>
              <w:rPr>
                <w:i/>
                <w:iCs/>
              </w:rPr>
              <w:t>Alno-Padion, Alnion incanae, Salicion albae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91F0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Zmiešané dubovo-brestovo-jaseňové lesy pri veľkých riekach (</w:t>
            </w:r>
            <w:r>
              <w:rPr>
                <w:i/>
                <w:iCs/>
              </w:rPr>
              <w:t>Quercus robur, Ulmus laevis</w:t>
            </w:r>
            <w:r>
              <w:t xml:space="preserve"> a </w:t>
            </w:r>
            <w:r>
              <w:rPr>
                <w:i/>
                <w:iCs/>
              </w:rPr>
              <w:t>Ulmus minor, Fraxinus excelsior</w:t>
            </w:r>
            <w:r>
              <w:t xml:space="preserve"> alebo </w:t>
            </w:r>
            <w:r>
              <w:rPr>
                <w:i/>
                <w:iCs/>
              </w:rPr>
              <w:t>Fraxinus angustifolia, Ulmenion minoris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92A0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Plošiny </w:t>
            </w:r>
            <w:r>
              <w:rPr>
                <w:i/>
                <w:iCs/>
              </w:rPr>
              <w:t>Sa</w:t>
            </w:r>
            <w:r>
              <w:rPr>
                <w:i/>
                <w:iCs/>
              </w:rPr>
              <w:t>lix alba</w:t>
            </w:r>
            <w:r>
              <w:t xml:space="preserve"> a </w:t>
            </w:r>
            <w:r>
              <w:rPr>
                <w:i/>
                <w:iCs/>
              </w:rPr>
              <w:t>Populus alba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92B0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Pobrežné porasty pozdĺž riek s diskontinuálnym tokom v stredozemnej oblasti s </w:t>
            </w:r>
            <w:r>
              <w:rPr>
                <w:i/>
                <w:iCs/>
              </w:rPr>
              <w:t>Rhododendron ponticum, Salix</w:t>
            </w:r>
            <w:r>
              <w:t xml:space="preserve"> a inými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92C0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Lesy platanu orientálneho (</w:t>
            </w:r>
            <w:r>
              <w:rPr>
                <w:i/>
                <w:iCs/>
              </w:rPr>
              <w:t>Platanion orientalis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92D0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Teplé stredozemné pobrežné plošiny (</w:t>
            </w:r>
            <w:r>
              <w:rPr>
                <w:i/>
                <w:iCs/>
              </w:rPr>
              <w:t>Nerio-Tamariceteae</w:t>
            </w:r>
            <w:r>
              <w:t>) a juhozápadné pobrežné plošiny na Iberskom polostrove (</w:t>
            </w:r>
            <w:r>
              <w:rPr>
                <w:i/>
                <w:iCs/>
              </w:rPr>
              <w:t>Securinegion tinctoriae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9370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Palmové háje Phoenix</w:t>
            </w:r>
          </w:p>
        </w:tc>
      </w:tr>
    </w:tbl>
    <w:p w:rsidR="00407135" w:rsidRDefault="00D55DFA">
      <w:pPr>
        <w:keepNext/>
        <w:widowControl/>
        <w:spacing w:before="120" w:after="120"/>
        <w:ind w:left="850" w:hanging="850"/>
        <w:jc w:val="both"/>
        <w:outlineLvl w:val="1"/>
        <w:rPr>
          <w:b/>
          <w:bCs/>
          <w:noProof/>
          <w:szCs w:val="26"/>
        </w:rPr>
      </w:pPr>
      <w:r>
        <w:rPr>
          <w:b/>
        </w:rPr>
        <w:lastRenderedPageBreak/>
        <w:t>4.</w:t>
      </w:r>
      <w:r>
        <w:rPr>
          <w:b/>
        </w:rPr>
        <w:tab/>
        <w:t>SKUPINA 4: Lesy</w:t>
      </w:r>
    </w:p>
    <w:tbl>
      <w:tblPr>
        <w:tblStyle w:val="TableGrid1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7512"/>
      </w:tblGrid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Kód typu biotopu podľa prílohy I k smernici Rady 92/43/EHS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Názov typu biotopu podľa prílohy I k smernici </w:t>
            </w:r>
            <w:r>
              <w:rPr>
                <w:b/>
              </w:rPr>
              <w:t>Rady 92/43/EHS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Boreálne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9010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Západná tajga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9020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Fínsko-škandinávske hemiboreálne prirodzené staré listnaté lesy (dub </w:t>
            </w:r>
            <w:r>
              <w:rPr>
                <w:i/>
                <w:iCs/>
              </w:rPr>
              <w:t>Quercus spp</w:t>
            </w:r>
            <w:r>
              <w:t xml:space="preserve">., lipa </w:t>
            </w:r>
            <w:r>
              <w:rPr>
                <w:i/>
                <w:iCs/>
              </w:rPr>
              <w:t>Tilia spp</w:t>
            </w:r>
            <w:r>
              <w:t xml:space="preserve">., javor </w:t>
            </w:r>
            <w:r>
              <w:rPr>
                <w:i/>
                <w:iCs/>
              </w:rPr>
              <w:t>Acer spp</w:t>
            </w:r>
            <w:r>
              <w:t xml:space="preserve">., jaseň </w:t>
            </w:r>
            <w:r>
              <w:rPr>
                <w:i/>
                <w:iCs/>
              </w:rPr>
              <w:t>Fraxinus spp</w:t>
            </w:r>
            <w:r>
              <w:t xml:space="preserve">. alebo brest </w:t>
            </w:r>
            <w:r>
              <w:rPr>
                <w:i/>
                <w:iCs/>
              </w:rPr>
              <w:t>Ulmus spp</w:t>
            </w:r>
            <w:r>
              <w:t>.)  bohaté na epifyty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9030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Prirodzené </w:t>
            </w:r>
            <w:r>
              <w:t>lesy v štádiu primárnej sukcesie na vyzdvihnutom morskom pobreží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9040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Severské subalpské/subarktické lesy s brezou </w:t>
            </w:r>
            <w:r>
              <w:rPr>
                <w:i/>
                <w:iCs/>
              </w:rPr>
              <w:t>Betula pubescens</w:t>
            </w:r>
            <w:r>
              <w:t xml:space="preserve"> ssp. </w:t>
            </w:r>
            <w:r>
              <w:rPr>
                <w:i/>
                <w:iCs/>
              </w:rPr>
              <w:t>czerepanovii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9050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Fínsko-škandinávske lesy s bohatou bylinnou vegetáciou a smrekom obyčajným (</w:t>
            </w:r>
            <w:r>
              <w:rPr>
                <w:i/>
                <w:iCs/>
              </w:rPr>
              <w:t>Picea abies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9060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Ihli</w:t>
            </w:r>
            <w:r>
              <w:t>čnaté lesy na glaciofluviálnych morénových valoch alebo s nimi spojené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Lesy mierneho pásma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Bukové lesy </w:t>
            </w:r>
            <w:r>
              <w:rPr>
                <w:i/>
                <w:iCs/>
              </w:rPr>
              <w:t>Luzulo-Fagetum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Atlantické acidofilné bukové lesy v krovinnom podraste s cezmínou (</w:t>
            </w:r>
            <w:r>
              <w:rPr>
                <w:i/>
                <w:iCs/>
              </w:rPr>
              <w:t>Ilex</w:t>
            </w:r>
            <w:r>
              <w:t>) a niekedy tiež s tisom (Taxus) (</w:t>
            </w:r>
            <w:r>
              <w:rPr>
                <w:i/>
                <w:iCs/>
              </w:rPr>
              <w:t xml:space="preserve">Quercion </w:t>
            </w:r>
            <w:r>
              <w:rPr>
                <w:i/>
                <w:iCs/>
              </w:rPr>
              <w:t>robori-petraeae</w:t>
            </w:r>
            <w:r>
              <w:t xml:space="preserve"> alebo </w:t>
            </w:r>
            <w:r>
              <w:rPr>
                <w:i/>
                <w:iCs/>
              </w:rPr>
              <w:t>Ilici-Fagenion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Bukové lesy </w:t>
            </w:r>
            <w:r>
              <w:rPr>
                <w:i/>
                <w:iCs/>
              </w:rPr>
              <w:t>Asperulo-Fagetum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Stredoeurópske subalpské bukové lesy s javorom (</w:t>
            </w:r>
            <w:r>
              <w:rPr>
                <w:i/>
                <w:iCs/>
              </w:rPr>
              <w:t>Acer</w:t>
            </w:r>
            <w:r>
              <w:t xml:space="preserve"> spp.) a štiavcom áronolistým (</w:t>
            </w:r>
            <w:r>
              <w:rPr>
                <w:i/>
                <w:iCs/>
              </w:rPr>
              <w:t>Rumex arifolius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Stredoeurópske bukové lesy na vápenatom podklade (</w:t>
            </w:r>
            <w:r>
              <w:rPr>
                <w:i/>
                <w:iCs/>
              </w:rPr>
              <w:t>Cephalanthero-Fagion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Dubovo-hrabové lesy </w:t>
            </w:r>
            <w:r>
              <w:rPr>
                <w:i/>
                <w:iCs/>
              </w:rPr>
              <w:t>Galio-Carpinetum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Zalesnené rokliny </w:t>
            </w:r>
            <w:r>
              <w:rPr>
                <w:i/>
                <w:iCs/>
              </w:rPr>
              <w:t>Tilio-Acerion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Staré acidofilné dubové lesy s </w:t>
            </w:r>
            <w:r>
              <w:rPr>
                <w:i/>
                <w:iCs/>
              </w:rPr>
              <w:t>Quercus robur</w:t>
            </w:r>
            <w:r>
              <w:t xml:space="preserve"> na pieskových rovinách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Staré dubové lesy s </w:t>
            </w:r>
            <w:r>
              <w:rPr>
                <w:i/>
                <w:iCs/>
              </w:rPr>
              <w:t>Ilex</w:t>
            </w:r>
            <w:r>
              <w:t xml:space="preserve"> a </w:t>
            </w:r>
            <w:r>
              <w:rPr>
                <w:i/>
                <w:iCs/>
              </w:rPr>
              <w:t>Blechnum</w:t>
            </w:r>
            <w:r>
              <w:t xml:space="preserve"> na Britských ostrovoch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lastRenderedPageBreak/>
              <w:t>91B0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Fraxinus angustifolia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91G0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Panónske dubovo-hrabové lesy (</w:t>
            </w:r>
            <w:r>
              <w:rPr>
                <w:i/>
                <w:iCs/>
              </w:rPr>
              <w:t>Quercus petraea</w:t>
            </w:r>
            <w:r>
              <w:t xml:space="preserve"> a </w:t>
            </w:r>
            <w:r>
              <w:rPr>
                <w:i/>
                <w:iCs/>
              </w:rPr>
              <w:t>Carpinus betulus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91H0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Panónske dubové lesy s dubom plstnatým (</w:t>
            </w:r>
            <w:r>
              <w:rPr>
                <w:i/>
                <w:iCs/>
              </w:rPr>
              <w:t>Quercus pubescens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91I0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Eurosibírske stepné dubové lesy (</w:t>
            </w:r>
            <w:r>
              <w:rPr>
                <w:i/>
                <w:iCs/>
              </w:rPr>
              <w:t>Quercus</w:t>
            </w:r>
            <w:r>
              <w:t xml:space="preserve"> spp.)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91J0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Tisové lesy s tisom obyčajným (</w:t>
            </w:r>
            <w:r>
              <w:rPr>
                <w:i/>
                <w:iCs/>
              </w:rPr>
              <w:t>Taxus baccata</w:t>
            </w:r>
            <w:r>
              <w:t>) na Britských os</w:t>
            </w:r>
            <w:r>
              <w:t>trovoch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91K0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Ilýrske lesy s bukom lesným (</w:t>
            </w:r>
            <w:r>
              <w:rPr>
                <w:i/>
                <w:iCs/>
              </w:rPr>
              <w:t>Aremonio-Fagion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91L0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Ilýrske dubovo-hrabové lesy (</w:t>
            </w:r>
            <w:r>
              <w:rPr>
                <w:i/>
                <w:iCs/>
              </w:rPr>
              <w:t>Erythronio-Carpinion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91M0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Panónsko-balkánske lesy s dubom cerovým a dubom zimným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91P0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Jedľový les Svätého kríža (</w:t>
            </w:r>
            <w:r>
              <w:rPr>
                <w:i/>
                <w:iCs/>
              </w:rPr>
              <w:t>Abietum polonicum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91Q0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Západokarpatské </w:t>
            </w:r>
            <w:r>
              <w:t>vápnomilné lesy borovice lesnej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91R0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Borovicové lesy Dinárskych dolomitov (</w:t>
            </w:r>
            <w:r>
              <w:rPr>
                <w:i/>
                <w:iCs/>
              </w:rPr>
              <w:t>Genisto januensis-Pinetum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91S0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Západopontské bukové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91T0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Stredoeurópske lišajníkovo-borovicové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91U0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Borovicový les sarmatskej stepi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91V0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Dácke bukové lesy (</w:t>
            </w:r>
            <w:r>
              <w:rPr>
                <w:i/>
                <w:iCs/>
              </w:rPr>
              <w:t>Symphyto-Fagion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91W0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Moézske bukové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91X0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Dobrogejské bukové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91Y0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Dácke dubovo-hrabové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91Z0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Moézske lesy s lipou striebristou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91AA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Východné lesy s dubom bielym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91BA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Moézske lesy s </w:t>
            </w:r>
            <w:r>
              <w:rPr>
                <w:i/>
                <w:iCs/>
              </w:rPr>
              <w:t>Abies alba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t>91CA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Borovicové lesy balkánsko-rodopskej </w:t>
            </w:r>
            <w:r>
              <w:t>oblasti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pageBreakBefore/>
              <w:widowControl/>
              <w:spacing w:before="120" w:after="120"/>
              <w:rPr>
                <w:bCs/>
                <w:noProof/>
              </w:rPr>
            </w:pPr>
            <w:r>
              <w:rPr>
                <w:b/>
              </w:rPr>
              <w:lastRenderedPageBreak/>
              <w:t>Stredozemné a makaronézske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Apeninské bukové lesy s </w:t>
            </w:r>
            <w:r>
              <w:rPr>
                <w:i/>
                <w:iCs/>
              </w:rPr>
              <w:t>Taxus</w:t>
            </w:r>
            <w:r>
              <w:t xml:space="preserve"> a </w:t>
            </w:r>
            <w:r>
              <w:rPr>
                <w:i/>
                <w:iCs/>
              </w:rPr>
              <w:t>Ilex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Apeninské bukové lesy s </w:t>
            </w:r>
            <w:r>
              <w:rPr>
                <w:i/>
                <w:iCs/>
              </w:rPr>
              <w:t>Abies alba</w:t>
            </w:r>
            <w:r>
              <w:t xml:space="preserve"> a bukové lesy s </w:t>
            </w:r>
            <w:r>
              <w:rPr>
                <w:i/>
                <w:iCs/>
              </w:rPr>
              <w:t>Abies nebrodensis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Galícijsko-portugalské dubové lesy s </w:t>
            </w:r>
            <w:r>
              <w:rPr>
                <w:i/>
                <w:iCs/>
              </w:rPr>
              <w:t>Quercus robur</w:t>
            </w:r>
            <w:r>
              <w:t xml:space="preserve"> a </w:t>
            </w:r>
            <w:r>
              <w:rPr>
                <w:i/>
                <w:iCs/>
              </w:rPr>
              <w:t>Quercus pyrenaica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 xml:space="preserve">Quercus </w:t>
            </w:r>
            <w:r>
              <w:rPr>
                <w:i/>
                <w:iCs/>
              </w:rPr>
              <w:t>faginea</w:t>
            </w:r>
            <w:r>
              <w:t xml:space="preserve"> a </w:t>
            </w:r>
            <w:r>
              <w:rPr>
                <w:i/>
                <w:iCs/>
              </w:rPr>
              <w:t>Quercus canariensis</w:t>
            </w:r>
            <w:r>
              <w:t xml:space="preserve"> (Iberský polostrov)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Quercus trojana</w:t>
            </w:r>
            <w:r>
              <w:t xml:space="preserve"> (Taliansko a Grécko)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Gaštanové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Helénske bukové lesy s </w:t>
            </w:r>
            <w:r>
              <w:rPr>
                <w:i/>
                <w:iCs/>
              </w:rPr>
              <w:t>Abies borisii-regis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Quercus frainetto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9290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Cyprusové lesy (</w:t>
            </w:r>
            <w:r>
              <w:rPr>
                <w:i/>
                <w:iCs/>
              </w:rPr>
              <w:t>Acero-Cupresion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 xml:space="preserve">Quercus </w:t>
            </w:r>
            <w:r>
              <w:rPr>
                <w:i/>
                <w:iCs/>
              </w:rPr>
              <w:t>brachyphylla</w:t>
            </w:r>
            <w:r>
              <w:t xml:space="preserve"> na Kréte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Olea</w:t>
            </w:r>
            <w:r>
              <w:t xml:space="preserve"> a </w:t>
            </w:r>
            <w:r>
              <w:rPr>
                <w:i/>
                <w:iCs/>
              </w:rPr>
              <w:t>Ceratonia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Quercus suber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Quercus ilex</w:t>
            </w:r>
            <w:r>
              <w:t xml:space="preserve"> a </w:t>
            </w:r>
            <w:r>
              <w:rPr>
                <w:i/>
                <w:iCs/>
              </w:rPr>
              <w:t>Quercus rotundifolia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Quercus macrolepis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Makaronézske vavrínové lesy (</w:t>
            </w:r>
            <w:r>
              <w:rPr>
                <w:i/>
                <w:iCs/>
              </w:rPr>
              <w:t>Laurus, Ocotea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9380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Ilex aquifolium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Kroviny a nízka </w:t>
            </w:r>
            <w:r>
              <w:t>lesná vegetácia s </w:t>
            </w:r>
            <w:r>
              <w:rPr>
                <w:i/>
                <w:iCs/>
              </w:rPr>
              <w:t>Quercus alnifolia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93A0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Lesy s </w:t>
            </w:r>
            <w:r>
              <w:rPr>
                <w:i/>
                <w:iCs/>
              </w:rPr>
              <w:t>Quercus infectoria</w:t>
            </w:r>
            <w:r>
              <w:t xml:space="preserve"> (</w:t>
            </w:r>
            <w:r>
              <w:rPr>
                <w:i/>
                <w:iCs/>
              </w:rPr>
              <w:t>Anagyro foetidae-Quercetum infectoriae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Horské ihličnaté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Acidofilné lesy (</w:t>
            </w:r>
            <w:r>
              <w:rPr>
                <w:i/>
                <w:iCs/>
              </w:rPr>
              <w:t>Vaccinio-Piceetea</w:t>
            </w:r>
            <w:r>
              <w:t>) s </w:t>
            </w:r>
            <w:r>
              <w:rPr>
                <w:i/>
                <w:iCs/>
              </w:rPr>
              <w:t>Picea</w:t>
            </w:r>
            <w:r>
              <w:t xml:space="preserve"> na horských a alpínskych úrovniach (</w:t>
            </w:r>
            <w:r>
              <w:rPr>
                <w:i/>
                <w:iCs/>
              </w:rPr>
              <w:t>Vaccinio-Piceetea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Alpské lesy so smrekovcom a/alebo </w:t>
            </w:r>
            <w:r>
              <w:rPr>
                <w:i/>
                <w:iCs/>
              </w:rPr>
              <w:t>Pinus cembra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Pinus uncinata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9510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Cs/>
                <w:noProof/>
              </w:rPr>
            </w:pPr>
            <w:r>
              <w:t>Apeninské lesy Abies alba a Picea excelsa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Abies pinsapo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9530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(Sub-) Mediteránne borovicové lesy s endemickým výskytom borovice čiernej 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Mediteránne borovicové </w:t>
            </w:r>
            <w:r>
              <w:t>lesy s endemickými mezogejskými borovicami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Kanárske endemické borovicové lesy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Endemické lesy s porastmi borievky (Juniperus spp.)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Lesy </w:t>
            </w:r>
            <w:r>
              <w:rPr>
                <w:i/>
                <w:iCs/>
              </w:rPr>
              <w:t>Tetraclinis articulata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Mediteránne lesy </w:t>
            </w:r>
            <w:r>
              <w:rPr>
                <w:i/>
                <w:iCs/>
              </w:rPr>
              <w:t>Taxus baccata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Lesy s Cedrus brevifolia (</w:t>
            </w:r>
            <w:r>
              <w:rPr>
                <w:i/>
                <w:iCs/>
              </w:rPr>
              <w:t xml:space="preserve">Cedrosetum </w:t>
            </w:r>
            <w:r>
              <w:rPr>
                <w:i/>
                <w:iCs/>
              </w:rPr>
              <w:t>brevifoliae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95A0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Borovicové lesy v stredozemnej oblasti</w:t>
            </w:r>
          </w:p>
        </w:tc>
      </w:tr>
    </w:tbl>
    <w:p w:rsidR="00407135" w:rsidRDefault="00D55DFA">
      <w:pPr>
        <w:keepNext/>
        <w:widowControl/>
        <w:tabs>
          <w:tab w:val="left" w:pos="851"/>
        </w:tabs>
        <w:spacing w:before="120" w:after="120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5.</w:t>
      </w:r>
      <w:r>
        <w:rPr>
          <w:b/>
        </w:rPr>
        <w:tab/>
        <w:t>SKUPINA 5: Stepné, vresové a krovinové biotopy</w:t>
      </w:r>
    </w:p>
    <w:tbl>
      <w:tblPr>
        <w:tblStyle w:val="TableGrid1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7512"/>
      </w:tblGrid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Kód typu biotopu podľa prílohy I k smernici Rady 92/43/EHS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Názov typu biotopu podľa prílohy I k smernici Rady 92/43/EHS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Slané a sadrovcové stepi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Iberská halonitrofilná kosodrevina (</w:t>
            </w:r>
            <w:r>
              <w:rPr>
                <w:i/>
                <w:iCs/>
              </w:rPr>
              <w:t>Pegano-Salsoletea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Stredozemné slané stepi (</w:t>
            </w:r>
            <w:r>
              <w:rPr>
                <w:i/>
                <w:iCs/>
              </w:rPr>
              <w:t>Limonietalia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1520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Iberské sadrovcové stepi (</w:t>
            </w:r>
            <w:r>
              <w:rPr>
                <w:i/>
                <w:iCs/>
              </w:rPr>
              <w:t>Gypsophiletalia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Vresoviská a kroviny mierneho pásma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4050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Endemické makaronézske vresoviská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Alpské a subalpské</w:t>
            </w:r>
            <w:r>
              <w:t xml:space="preserve"> (boreálne) vresoviská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Kosodrevina s </w:t>
            </w:r>
            <w:r>
              <w:rPr>
                <w:i/>
                <w:iCs/>
              </w:rPr>
              <w:t>Pinus mugo</w:t>
            </w:r>
            <w:r>
              <w:t xml:space="preserve"> a </w:t>
            </w:r>
            <w:r>
              <w:rPr>
                <w:i/>
                <w:iCs/>
              </w:rPr>
              <w:t>Rhododendron</w:t>
            </w:r>
            <w:r>
              <w:t xml:space="preserve"> </w:t>
            </w:r>
            <w:r>
              <w:rPr>
                <w:i/>
                <w:iCs/>
              </w:rPr>
              <w:t>hirsutum</w:t>
            </w:r>
            <w:r>
              <w:t xml:space="preserve"> (</w:t>
            </w:r>
            <w:r>
              <w:rPr>
                <w:i/>
                <w:iCs/>
              </w:rPr>
              <w:t>Mugo-Rhododenretum hirsuti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Subarktická vŕbová kosodrevina </w:t>
            </w:r>
            <w:r>
              <w:rPr>
                <w:i/>
                <w:iCs/>
              </w:rPr>
              <w:t>Salix</w:t>
            </w:r>
            <w:r>
              <w:t xml:space="preserve"> spp.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Subkontinentálne peripanónske kroviny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40B0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Húštiny vavrínu bobkového (</w:t>
            </w:r>
            <w:r>
              <w:rPr>
                <w:i/>
                <w:iCs/>
              </w:rPr>
              <w:t>Laurus nobilis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40C0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Pontosarmatské listnaté húštiny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7135" w:rsidRDefault="00D55DFA">
            <w:pPr>
              <w:pageBreakBefore/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lastRenderedPageBreak/>
              <w:t>Sklerofylná kosodrevina (matorral)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Stabilné porasty </w:t>
            </w:r>
            <w:r>
              <w:rPr>
                <w:i/>
                <w:iCs/>
              </w:rPr>
              <w:t>Buxus sempervirens</w:t>
            </w:r>
            <w:r>
              <w:t xml:space="preserve"> na vápenatých skalných svahoch (</w:t>
            </w:r>
            <w:r>
              <w:rPr>
                <w:i/>
                <w:iCs/>
              </w:rPr>
              <w:t>Berberidion</w:t>
            </w:r>
            <w:r>
              <w:t xml:space="preserve"> p. p.)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Horské porasty </w:t>
            </w:r>
            <w:r>
              <w:rPr>
                <w:i/>
                <w:iCs/>
              </w:rPr>
              <w:t>Cytisus purgans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Porasty </w:t>
            </w:r>
            <w:r>
              <w:rPr>
                <w:i/>
                <w:iCs/>
              </w:rPr>
              <w:t>Cistus palhinhae</w:t>
            </w:r>
            <w:r>
              <w:t xml:space="preserve"> na morských mokrých vresoviskách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i/>
                <w:noProof/>
              </w:rPr>
            </w:pPr>
            <w:r>
              <w:rPr>
                <w:b/>
                <w:i/>
              </w:rPr>
              <w:t>5210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i/>
                <w:iCs/>
                <w:noProof/>
              </w:rPr>
            </w:pPr>
            <w:r>
              <w:rPr>
                <w:b/>
                <w:i/>
              </w:rPr>
              <w:t>Matorral s Juniperus spp.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Matorral so </w:t>
            </w:r>
            <w:r>
              <w:rPr>
                <w:i/>
                <w:iCs/>
              </w:rPr>
              <w:t>Zyziphus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Matorral s </w:t>
            </w:r>
            <w:r>
              <w:rPr>
                <w:i/>
                <w:iCs/>
              </w:rPr>
              <w:t>Laurus nobilis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Vavrínové kroviny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Nízke porasty pryšca v blízkosti útesov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5330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Teplé stredozemné a predpúštne kroviny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i/>
                <w:iCs/>
              </w:rPr>
              <w:t>Astragalo-Plantaginetum subulatae phryganas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i/>
              </w:rPr>
              <w:t>Sarcopoterium spinosum</w:t>
            </w:r>
            <w:r>
              <w:t xml:space="preserve"> phryganas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5430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Krétske porasty (</w:t>
            </w:r>
            <w:r>
              <w:rPr>
                <w:i/>
                <w:iCs/>
              </w:rPr>
              <w:t>Euphorbieto-Verbascion</w:t>
            </w:r>
            <w:r>
              <w:t>)</w:t>
            </w:r>
          </w:p>
        </w:tc>
      </w:tr>
    </w:tbl>
    <w:p w:rsidR="00407135" w:rsidRDefault="00D55DFA">
      <w:pPr>
        <w:keepNext/>
        <w:widowControl/>
        <w:spacing w:before="120" w:after="120"/>
        <w:ind w:left="850" w:hanging="850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6.</w:t>
      </w:r>
      <w:r>
        <w:rPr>
          <w:b/>
        </w:rPr>
        <w:tab/>
        <w:t>SKUPINA 6: Skalnaté a dunové biotopy</w:t>
      </w: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Kód typu biotopu podľa prílohy I k smernici Rady 92/43/EHS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 xml:space="preserve">Názov typu biotopu podľa </w:t>
            </w:r>
            <w:r>
              <w:rPr>
                <w:b/>
              </w:rPr>
              <w:t>prílohy I k smernici Rady 92/43/EHS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rPr>
                <w:b/>
              </w:rPr>
              <w:t>Morské útesy, pláže a ostrovčeky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Jednoročná vegetácia na naplavených líniách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Viacročná vegetácia na kamenných brehoch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Vegetáciou porastené morské útesy atlantického a baltského pobrežia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Vegetáciou porastené morské útesy stredozemného pobrežia s endemickými druhmi rodu limonka (</w:t>
            </w:r>
            <w:r>
              <w:rPr>
                <w:i/>
                <w:iCs/>
              </w:rPr>
              <w:t>Limonium</w:t>
            </w:r>
            <w:r>
              <w:t xml:space="preserve"> spp.)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1250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t>Vegetáciou porastené morské útesy makaronézskeho pobrežia s endemickou flórou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1610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Baltské morénové ostrovy s vegetáciou piesočnatých, </w:t>
            </w:r>
            <w:r>
              <w:t>kamenitých a štrkových pláží a so sublitorálnou vegetáciou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1620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Boreálne baltské ostrovčeky a malé ostrovy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1640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Boreálne baltské piesočnaté pláže s trvácou vegetáciou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Pobrežné a kontinentálne duny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Embryonálne pohyblivé duny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Pohyblivé duny </w:t>
            </w:r>
            <w:r>
              <w:t>pozdĺž pobrežnej čiary s </w:t>
            </w:r>
            <w:r>
              <w:rPr>
                <w:i/>
                <w:iCs/>
              </w:rPr>
              <w:t>Ammophila arenaria</w:t>
            </w:r>
            <w:r>
              <w:t xml:space="preserve"> („biele duny“)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Pevné duny s bylinnou vegetáciou („sivé duny“)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Odvápnené pevné duny s </w:t>
            </w:r>
            <w:r>
              <w:rPr>
                <w:i/>
                <w:iCs/>
              </w:rPr>
              <w:t>Empetrum nigrum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Eu-atlantické odvápnené pevné duny (</w:t>
            </w:r>
            <w:r>
              <w:rPr>
                <w:i/>
                <w:iCs/>
              </w:rPr>
              <w:t>Calluno-Ulicetea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Duny s </w:t>
            </w:r>
            <w:r>
              <w:rPr>
                <w:i/>
                <w:iCs/>
              </w:rPr>
              <w:t>Hippophaë rhamnoides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Duny so </w:t>
            </w:r>
            <w:r>
              <w:rPr>
                <w:i/>
                <w:iCs/>
              </w:rPr>
              <w:t>Salix repens</w:t>
            </w:r>
            <w:r>
              <w:t xml:space="preserve"> ssp. argentea (</w:t>
            </w:r>
            <w:r>
              <w:rPr>
                <w:i/>
                <w:iCs/>
              </w:rPr>
              <w:t>Salicion arenariae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Zalesnené duny atlantickej, vnútrozemskej a boreálnej oblasti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2190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Vlhké dunové previsy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Crucianellion maritimae, pevné pieskové duny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Duny s </w:t>
            </w:r>
            <w:r>
              <w:rPr>
                <w:i/>
                <w:iCs/>
              </w:rPr>
              <w:t>Euphorbia terracina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Duny s trávnatým porastom </w:t>
            </w:r>
            <w:r>
              <w:rPr>
                <w:i/>
                <w:iCs/>
              </w:rPr>
              <w:t>Malcolmietalia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Duny s trávnatým porastom </w:t>
            </w:r>
            <w:r>
              <w:rPr>
                <w:i/>
                <w:iCs/>
              </w:rPr>
              <w:t>Brachypodietalia</w:t>
            </w:r>
            <w:r>
              <w:t xml:space="preserve"> s jednoročnými rastlinami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Pobrežné duny s porastmi borievky (</w:t>
            </w:r>
            <w:r>
              <w:rPr>
                <w:i/>
                <w:iCs/>
              </w:rPr>
              <w:t>Juniperus</w:t>
            </w:r>
            <w:r>
              <w:t xml:space="preserve"> spp.)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2260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</w:pPr>
            <w:r>
              <w:t>Duny so skleorofylnou kosodrevinou (</w:t>
            </w:r>
            <w:r>
              <w:rPr>
                <w:i/>
                <w:iCs/>
              </w:rPr>
              <w:t>Cisto-Lavenduletalia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2270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Zalesnené </w:t>
            </w:r>
            <w:r>
              <w:t>duny s </w:t>
            </w:r>
            <w:r>
              <w:rPr>
                <w:i/>
                <w:iCs/>
              </w:rPr>
              <w:t>Pinus pinea</w:t>
            </w:r>
            <w:r>
              <w:t xml:space="preserve"> a/alebo </w:t>
            </w:r>
            <w:r>
              <w:rPr>
                <w:i/>
                <w:iCs/>
              </w:rPr>
              <w:t>Pinus pinaster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Suché pieskové vresoviská s </w:t>
            </w:r>
            <w:r>
              <w:rPr>
                <w:i/>
                <w:iCs/>
              </w:rPr>
              <w:t>Calluna</w:t>
            </w:r>
            <w:r>
              <w:t xml:space="preserve"> a </w:t>
            </w:r>
            <w:r>
              <w:rPr>
                <w:i/>
                <w:iCs/>
              </w:rPr>
              <w:t>Genista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Suché pieskové vresoviská s </w:t>
            </w:r>
            <w:r>
              <w:rPr>
                <w:i/>
                <w:iCs/>
              </w:rPr>
              <w:t>Calluna</w:t>
            </w:r>
            <w:r>
              <w:t xml:space="preserve"> a </w:t>
            </w:r>
            <w:r>
              <w:rPr>
                <w:i/>
                <w:iCs/>
              </w:rPr>
              <w:t>Empetrum nigrum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2330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Otvorené lúky kontinentálnych dún s </w:t>
            </w:r>
            <w:r>
              <w:rPr>
                <w:i/>
                <w:iCs/>
              </w:rPr>
              <w:t>Corynephorus</w:t>
            </w:r>
            <w:r>
              <w:t xml:space="preserve"> a </w:t>
            </w:r>
            <w:r>
              <w:rPr>
                <w:i/>
                <w:iCs/>
              </w:rPr>
              <w:t>Agrostis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2340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Kontinentálne panónske duny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9</w:t>
            </w:r>
            <w:r>
              <w:t>1N0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Panónske vnútrozemské húštiny borievky a topoľa bieleho na piesočných dunách (</w:t>
            </w:r>
            <w:r>
              <w:rPr>
                <w:i/>
                <w:iCs/>
              </w:rPr>
              <w:t>Junipero-Populetum albae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lastRenderedPageBreak/>
              <w:t>Skalnaté biotopy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Kremičité sutiny horského stupňa po hranicu snehu (</w:t>
            </w:r>
            <w:r>
              <w:rPr>
                <w:i/>
                <w:iCs/>
              </w:rPr>
              <w:t>Androsacetalia alpinae</w:t>
            </w:r>
            <w:r>
              <w:t xml:space="preserve"> a </w:t>
            </w:r>
            <w:r>
              <w:rPr>
                <w:i/>
                <w:iCs/>
              </w:rPr>
              <w:t>Galeopsietalia ladani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Vápenaté sutiny od </w:t>
            </w:r>
            <w:r>
              <w:t>horského po alpský stupeň (</w:t>
            </w:r>
            <w:r>
              <w:rPr>
                <w:i/>
                <w:iCs/>
              </w:rPr>
              <w:t>Thlaspietea rotundifolii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Západostredozemné a alpské termofilné sutiny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Východostredozemné sutiny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Stredoeurópske kremičité sutiny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8160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Stredoeurópske vápencové sutiny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Vápencové skalnaté svahy </w:t>
            </w:r>
            <w:r>
              <w:t>s chazmofytickou vegetáciou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Kremičité skalnaté svahy s chazmofytickou vegetáciou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Prvotná vegetácia na povrchoch skál (</w:t>
            </w:r>
            <w:r>
              <w:rPr>
                <w:i/>
                <w:iCs/>
              </w:rPr>
              <w:t>Sedo-Scleranthion</w:t>
            </w:r>
            <w:r>
              <w:t xml:space="preserve"> alebo </w:t>
            </w:r>
            <w:r>
              <w:rPr>
                <w:i/>
                <w:iCs/>
              </w:rPr>
              <w:t>Sedo albi-Veronicion dillenii</w:t>
            </w:r>
            <w:r>
              <w:t>)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Jaskyne neprístupné verejnosti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Polia lávy a prírodné prehĺb</w:t>
            </w:r>
            <w:r>
              <w:t>eniny</w:t>
            </w:r>
          </w:p>
        </w:tc>
      </w:tr>
      <w:tr w:rsidR="00407135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8340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Permanentné ľadovce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Cs w:val="22"/>
          <w:lang w:eastAsia="en-US"/>
        </w:rPr>
      </w:pPr>
    </w:p>
    <w:p w:rsidR="00407135" w:rsidRDefault="00D55DFA">
      <w:pPr>
        <w:widowControl/>
        <w:suppressAutoHyphens/>
        <w:spacing w:before="120" w:after="120"/>
        <w:rPr>
          <w:bCs/>
          <w:smallCaps/>
          <w:noProof/>
          <w:szCs w:val="28"/>
          <w:u w:val="single"/>
        </w:rPr>
      </w:pPr>
      <w:r>
        <w:br w:type="page"/>
      </w:r>
    </w:p>
    <w:p w:rsidR="00407135" w:rsidRDefault="00D55DFA">
      <w:pPr>
        <w:widowControl/>
        <w:suppressAutoHyphens/>
        <w:spacing w:before="120" w:after="120" w:line="360" w:lineRule="auto"/>
        <w:jc w:val="center"/>
        <w:rPr>
          <w:rFonts w:eastAsia="Calibri"/>
          <w:b/>
          <w:noProof/>
          <w:szCs w:val="22"/>
          <w:u w:val="single"/>
        </w:rPr>
      </w:pPr>
      <w:r>
        <w:rPr>
          <w:b/>
          <w:u w:val="single"/>
        </w:rPr>
        <w:lastRenderedPageBreak/>
        <w:t>PRÍLOHA II</w:t>
      </w:r>
      <w:r>
        <w:rPr>
          <w:b/>
          <w:u w:val="single"/>
        </w:rPr>
        <w:br/>
        <w:t>MORSKÉ EKOSYSTÉMY – TYPY BIOTOPOV A SKUPINY TYPOV BIOTOPOV UVEDENÉ V ČLÁNKU 5 ODS. 1 A 2</w:t>
      </w:r>
    </w:p>
    <w:p w:rsidR="00407135" w:rsidRDefault="00407135">
      <w:pPr>
        <w:widowControl/>
        <w:suppressAutoHyphens/>
        <w:spacing w:before="120" w:after="120" w:line="360" w:lineRule="auto"/>
        <w:rPr>
          <w:rFonts w:eastAsia="Calibri"/>
          <w:noProof/>
          <w:szCs w:val="22"/>
          <w:lang w:eastAsia="en-US"/>
        </w:rPr>
      </w:pP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noProof/>
          <w:szCs w:val="24"/>
        </w:rPr>
      </w:pPr>
      <w:r>
        <w:t xml:space="preserve">Zoznam uvedený ďalej zahŕňa typy morských biotopov uvedené v článku 5 ods. 1 a 2, ako aj sedem skupín týchto typov </w:t>
      </w:r>
      <w:r>
        <w:t>biotopov, a to 1. dná zarastené morskou trávou; 2. makroriasové lesy; 3. dná osídlené mäkkýšmi; 4. maerlové dná; 5. kolónie hubiek, koralov a koralogénne dná, 6. prieduchy a priesaky a 7. mäkké sedimenty (nad 1 000 metrov hĺbky). Uvádza sa aj vzťah k typom</w:t>
      </w:r>
      <w:r>
        <w:t xml:space="preserve"> biotopov uvedeným v prílohe I k smernici 92/43/EHS.</w:t>
      </w: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i/>
          <w:noProof/>
          <w:szCs w:val="22"/>
        </w:rPr>
      </w:pPr>
      <w:r>
        <w:t>Klasifikácia používaných typov morských biotopov rozlíšených podľa morských biogeografických regiónov sa riadi podľa Európskeho informačného systému o prírode (EUNIS) v znení revízie typológie morských b</w:t>
      </w:r>
      <w:r>
        <w:t>iotopov, ktorú uskutočnila Európska environmentálna agentúra (EEA) v roku 2022. Informácie o súvisiacich biotopoch uvedených v prílohe I k smernici Rady 92/43/EHS vychádzajú z porovnávacieho dokumentu, ktorý agentúra EEA uverejnila v roku 2021</w:t>
      </w:r>
      <w:r>
        <w:rPr>
          <w:rFonts w:eastAsia="Calibri"/>
          <w:noProof/>
          <w:szCs w:val="22"/>
          <w:vertAlign w:val="superscript"/>
          <w:lang w:eastAsia="en-US"/>
        </w:rPr>
        <w:footnoteReference w:id="74"/>
      </w:r>
      <w:r>
        <w:t xml:space="preserve">. </w:t>
      </w:r>
    </w:p>
    <w:p w:rsidR="00407135" w:rsidRDefault="00D55DFA">
      <w:pPr>
        <w:keepNext/>
        <w:widowControl/>
        <w:suppressAutoHyphens/>
        <w:spacing w:before="120" w:after="120"/>
        <w:ind w:left="851" w:hanging="851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1.</w:t>
      </w:r>
      <w:r>
        <w:rPr>
          <w:b/>
        </w:rPr>
        <w:tab/>
      </w:r>
      <w:r>
        <w:rPr>
          <w:b/>
        </w:rPr>
        <w:t>Skupina 1: Dná zarastené morskou trávou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24"/>
        <w:gridCol w:w="80"/>
        <w:gridCol w:w="6101"/>
        <w:gridCol w:w="2110"/>
      </w:tblGrid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Kód EUNIS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Názov typu biotopu v klasifikácii EUNIS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 xml:space="preserve">Kód súvisiaceho typu biotopu podľa prílohy I k smernici Rady 92/43/EHS </w:t>
            </w:r>
          </w:p>
        </w:tc>
      </w:tr>
      <w:tr w:rsidR="00407135">
        <w:trPr>
          <w:cantSplit/>
          <w:trHeight w:val="283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Atlantik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MA522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Dná zarastené morskou trávou na atlantickom litorálnom piesku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1140; 1160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MA623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Dná zarastené morskou trávou na atlantickom litorálnom bahne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1140; 1160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MB522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Dná zarastené morskou trávou na atlantickom infralitorálnom piesku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1150; 1160</w:t>
            </w:r>
          </w:p>
        </w:tc>
      </w:tr>
      <w:tr w:rsidR="00407135">
        <w:trPr>
          <w:cantSplit/>
          <w:trHeight w:val="283"/>
        </w:trPr>
        <w:tc>
          <w:tcPr>
            <w:tcW w:w="7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pageBreakBefore/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lastRenderedPageBreak/>
              <w:t>Baltské more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MA332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Baltský hydrolitorálny hrubý sediment charakterizovaný ponorenou </w:t>
            </w:r>
            <w:r>
              <w:t>vegetáciou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1130; 1160; 1610; 1620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MA432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Baltský hydrolitorálny zmiešaný sediment charakterizovaný ponorenou vegetáciou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1130; 1140; 1160; 1610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MA532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hydrolitorálny piesok charakterizovaný ponorenými zakorenenými rastlinami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1130; 1140; 1160; 1610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MA632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Baltské hydrolitorálne bahno s prevládajúcimi ponorenými zakorenenými rastlinami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1130; 1140; 1160; 1650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MB332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infralitorálny hrubý sediment charakterizovaný ponorenými zakorenenými rastlinami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MB432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Baltský infralitorálny </w:t>
            </w:r>
            <w:r>
              <w:t>zmiešaný sediment charakterizovaný ponorenými zakorenenými rastlinami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1160; 1650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infralitorálny piesok charakterizovaný ponorenými zakorenenými rastlinami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1150; 1160</w:t>
            </w:r>
          </w:p>
        </w:tc>
      </w:tr>
      <w:tr w:rsidR="00407135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MB632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infralitorálny bahenný sediment charakteri</w:t>
            </w:r>
            <w:r>
              <w:t>zovaný ponorenými zakorenenými rastlinami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1130; 1150; 1160; 1650</w:t>
            </w:r>
          </w:p>
        </w:tc>
      </w:tr>
      <w:tr w:rsidR="00407135">
        <w:trPr>
          <w:cantSplit/>
          <w:trHeight w:val="283"/>
        </w:trPr>
        <w:tc>
          <w:tcPr>
            <w:tcW w:w="7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Čierne more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MB546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Morská tráva a porasty rizomatických rias v infralitorálnych bahnových pieskoch Čierneho mora ovplyvnených sladkou vodou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MB547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Porasty morskej trávy </w:t>
            </w:r>
            <w:r>
              <w:t>v Čiernom mori na mierne exponovaných vrchných infralitorálnych čistých pieskoch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MB548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Porasty morskej trávy v Čiernom mori na spodných infralitorálnych pieskoch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7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Stredozemné more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MB252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Biocenóza morskej trávy </w:t>
            </w:r>
            <w:r>
              <w:rPr>
                <w:i/>
                <w:iCs/>
              </w:rPr>
              <w:t>Posidonia oceanica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1120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MB2521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Ekomorfóza pásovitých porastov morskej trávy </w:t>
            </w:r>
            <w:r>
              <w:rPr>
                <w:i/>
                <w:iCs/>
              </w:rPr>
              <w:t>Posidonia oceanica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1120;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MB2522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Ekomorfóza „bariérových“ porastov morskej trávy </w:t>
            </w:r>
            <w:r>
              <w:rPr>
                <w:i/>
                <w:iCs/>
              </w:rPr>
              <w:t>Posidonia oceanica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1120;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MB2523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Fácie odumretých „spletí“ morskej trávy </w:t>
            </w:r>
            <w:r>
              <w:rPr>
                <w:i/>
                <w:iCs/>
              </w:rPr>
              <w:t>Posidonia oceanica</w:t>
            </w:r>
            <w:r>
              <w:t xml:space="preserve"> bez veľkého podielu epifytickej flóry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1120;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MB2524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 riasou </w:t>
            </w:r>
            <w:r>
              <w:rPr>
                <w:i/>
                <w:iCs/>
              </w:rPr>
              <w:t>Caulerpa prolifera</w:t>
            </w:r>
            <w:r>
              <w:t xml:space="preserve"> na dnách zarastených morskou trávou </w:t>
            </w:r>
            <w:r>
              <w:rPr>
                <w:i/>
                <w:iCs/>
              </w:rPr>
              <w:t>Posidonia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1120;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MB5521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 morskou trávou </w:t>
            </w:r>
            <w:r>
              <w:rPr>
                <w:i/>
                <w:iCs/>
              </w:rPr>
              <w:t>Cymodocea nodosa</w:t>
            </w:r>
            <w:r>
              <w:t xml:space="preserve"> na čistom jemnom piesku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MB5534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 morskou trávou </w:t>
            </w:r>
            <w:r>
              <w:rPr>
                <w:i/>
                <w:iCs/>
              </w:rPr>
              <w:t>Cymodocea nodosa</w:t>
            </w:r>
            <w:r>
              <w:t xml:space="preserve"> na povrchových bahenných pieskoch v chránených vodách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MB5535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 morskou trávou </w:t>
            </w:r>
            <w:r>
              <w:rPr>
                <w:i/>
                <w:iCs/>
              </w:rPr>
              <w:t>Zostera noltei</w:t>
            </w:r>
            <w:r>
              <w:t xml:space="preserve"> na povrchových bahenných pieskoch v chránených vodách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MB5541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 rastlinou </w:t>
            </w:r>
            <w:r>
              <w:rPr>
                <w:i/>
                <w:iCs/>
              </w:rPr>
              <w:t>Ruppia cirrhosa</w:t>
            </w:r>
            <w:r>
              <w:t xml:space="preserve"> a/alebo </w:t>
            </w:r>
            <w:r>
              <w:rPr>
                <w:i/>
                <w:iCs/>
              </w:rPr>
              <w:t>Ruppia maritima</w:t>
            </w:r>
            <w:r>
              <w:t xml:space="preserve"> na piesku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MB5544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 morskou trávou </w:t>
            </w:r>
            <w:r>
              <w:rPr>
                <w:i/>
                <w:iCs/>
              </w:rPr>
              <w:t>Zostera noltei</w:t>
            </w:r>
            <w:r>
              <w:t xml:space="preserve"> v euryhalínnom a eurytermálnom prostredí na piesku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MB5545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 morskou trávou </w:t>
            </w:r>
            <w:r>
              <w:rPr>
                <w:i/>
                <w:iCs/>
              </w:rPr>
              <w:t>Zostera marina</w:t>
            </w:r>
            <w:r>
              <w:t xml:space="preserve"> v eur</w:t>
            </w:r>
            <w:r>
              <w:t>yhalínnom a eurytermálnom prostredí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</w:t>
            </w:r>
          </w:p>
        </w:tc>
      </w:tr>
    </w:tbl>
    <w:p w:rsidR="00407135" w:rsidRDefault="00D55DFA">
      <w:pPr>
        <w:keepNext/>
        <w:widowControl/>
        <w:tabs>
          <w:tab w:val="left" w:pos="851"/>
        </w:tabs>
        <w:suppressAutoHyphens/>
        <w:spacing w:before="120" w:after="120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2.</w:t>
      </w:r>
      <w:r>
        <w:rPr>
          <w:b/>
        </w:rPr>
        <w:tab/>
        <w:t>Skupina 2: Makroriasové lesy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418"/>
      </w:tblGrid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Kód 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Názov typu biotopu v klasifikácii EUNIS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Súvisiace kódy prílohy I (smernica o biotopoch)</w:t>
            </w:r>
          </w:p>
        </w:tc>
      </w:tr>
      <w:tr w:rsidR="00407135">
        <w:trPr>
          <w:cantSplit/>
          <w:trHeight w:val="283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Atlantik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MA123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Spoločenstvá morských rias na litorálnych skalách </w:t>
            </w:r>
            <w:r>
              <w:t>Atlantiku s plnou salinitou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1170; 1130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MA125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Fukoidy na litorálnych skalách Atlantiku s variabilnou salinitou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1130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Spoločenstvá kelpu a morských rias na infralitorálnych skalách 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Spoločenstvá kelpu a morských </w:t>
            </w:r>
            <w:r>
              <w:t>rias na infralitorálnych skalách Atlantiku zasiahnutých alebo narušených sedimentom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Spoločenstvá kelpu na infralitorálnych skalách Atlantiku s variabilnou salinitou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1130;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MB321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Spoločenstvá kelpu a morských rias na infralitorá</w:t>
            </w:r>
            <w:r>
              <w:t>lnom hrubom sedimente 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MB521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Spoločenstvá kelpu a morských rias na infralitorálnom piesku 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MB621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Vegetačné spoločenstvá na infralitorálnom bahne 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pageBreakBefore/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lastRenderedPageBreak/>
              <w:t>Baltské more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MA131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Baltské hydrolitorálne skaly a balvany </w:t>
            </w:r>
            <w:r>
              <w:t>charakterizované viacročnými riasami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1170; 1130; 1610; 1620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MB131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Viacročné riasy na baltských infralitorálnych skalách a balvanoch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Baltské infralitorálne dno charakterizované štrkom zo schránok živočíchov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1110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MB333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</w:t>
            </w:r>
            <w:r>
              <w:t xml:space="preserve"> infralitorálny hrubý sediment charakterizovaný viacročnými riasami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MB433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infralitorálny zmiešaný sediment charakterizovaný viacročnými riasami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1130; 1160; 1170</w:t>
            </w: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Čierne more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Nechránené vrchné infralitorálne skaly Čierneho </w:t>
            </w:r>
            <w:r>
              <w:t>mora s prevahou lastúrnikov z čeľade Mytilidae a s hnedými riasami radu Fucales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MB149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Mierne chránené vrchné infralitorálne skaly Čierneho mora s prevahou lastúrnikov z čeľade Mytilidae a s hnedými riasami radu Fucales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MB14A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Hnedé </w:t>
            </w:r>
            <w:r>
              <w:t>riasy radu Fucales a iné riasy na chránených vrchných infralitorálnych skalách Čierneho mora s dobrým prístupom svetla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Stredozemné more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MA1548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Fucus virsoides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tamariscifolia</w:t>
            </w:r>
            <w:r>
              <w:t xml:space="preserve"> a </w:t>
            </w:r>
            <w:r>
              <w:rPr>
                <w:i/>
                <w:iCs/>
              </w:rPr>
              <w:t xml:space="preserve">Saccorhiza </w:t>
            </w:r>
            <w:r>
              <w:rPr>
                <w:i/>
                <w:iCs/>
              </w:rPr>
              <w:t>polyschides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amentacea</w:t>
            </w:r>
            <w:r>
              <w:t xml:space="preserve"> (var. </w:t>
            </w:r>
            <w:r>
              <w:rPr>
                <w:i/>
                <w:iCs/>
              </w:rPr>
              <w:t>amentacea</w:t>
            </w:r>
            <w:r>
              <w:t xml:space="preserve">, var. </w:t>
            </w:r>
            <w:r>
              <w:rPr>
                <w:i/>
                <w:iCs/>
              </w:rPr>
              <w:t>stricta</w:t>
            </w:r>
            <w:r>
              <w:t xml:space="preserve">, var. </w:t>
            </w:r>
            <w:r>
              <w:rPr>
                <w:i/>
                <w:iCs/>
              </w:rPr>
              <w:t>spicata</w:t>
            </w:r>
            <w:r>
              <w:t>)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MB151F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brachycarpa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MB151G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crinita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MB151H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 xml:space="preserve">Cystoseira </w:t>
            </w:r>
            <w:r>
              <w:rPr>
                <w:i/>
                <w:iCs/>
              </w:rPr>
              <w:t>crinitophylla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MB151J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sauvageauana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MB151K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spinosa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MB151L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so </w:t>
            </w:r>
            <w:r>
              <w:rPr>
                <w:i/>
                <w:iCs/>
              </w:rPr>
              <w:t>Sargassum vulgare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MB151M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Dictyopteris polypodioides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MB151W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compressa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MB1524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barbata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zosteroides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usneoides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Cystoseira dubia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</w:t>
            </w:r>
            <w:r>
              <w:rPr>
                <w:i/>
                <w:iCs/>
              </w:rPr>
              <w:t> Cystoseira</w:t>
            </w:r>
            <w:r>
              <w:rPr>
                <w:i/>
                <w:iCs/>
              </w:rPr>
              <w:t xml:space="preserve"> corniculata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Skupina so </w:t>
            </w:r>
            <w:r>
              <w:rPr>
                <w:i/>
                <w:iCs/>
              </w:rPr>
              <w:t xml:space="preserve">Sargassum </w:t>
            </w:r>
            <w:r>
              <w:t>spp.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MC1518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Laminaria ochroleuca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MC3517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</w:t>
            </w:r>
            <w:r>
              <w:rPr>
                <w:i/>
                <w:iCs/>
              </w:rPr>
              <w:t>Laminaria rodriguezii</w:t>
            </w:r>
            <w:r>
              <w:t xml:space="preserve"> na detritických dnách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</w:tbl>
    <w:p w:rsidR="00407135" w:rsidRDefault="00D55DFA">
      <w:pPr>
        <w:keepNext/>
        <w:widowControl/>
        <w:suppressAutoHyphens/>
        <w:spacing w:before="120" w:after="120"/>
        <w:ind w:left="851" w:hanging="851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3.</w:t>
      </w:r>
      <w:r>
        <w:rPr>
          <w:b/>
        </w:rPr>
        <w:tab/>
        <w:t>Skupina 3: Dná s výskytom mäkkýšov, kôrovcov a ostnatokožcov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96"/>
        <w:gridCol w:w="77"/>
        <w:gridCol w:w="5873"/>
        <w:gridCol w:w="2583"/>
      </w:tblGrid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 xml:space="preserve">Kód </w:t>
            </w:r>
            <w:r>
              <w:rPr>
                <w:b/>
              </w:rPr>
              <w:t>EUNIS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Názov typu biotopu v klasifikácii EUNIS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Súvisiace kódy prílohy I (smernica o biotopoch)</w:t>
            </w:r>
          </w:p>
        </w:tc>
      </w:tr>
      <w:tr w:rsidR="00407135">
        <w:trPr>
          <w:cantSplit/>
          <w:trHeight w:val="283"/>
        </w:trPr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Atlantik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MA122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Spoločenstvá </w:t>
            </w:r>
            <w:r>
              <w:rPr>
                <w:i/>
                <w:iCs/>
              </w:rPr>
              <w:t>Mytilus edulis</w:t>
            </w:r>
            <w:r>
              <w:t xml:space="preserve"> a/alebo fúzonôžok na litorálnych skalách Atlantiku vystavených vlnám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MA124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Spoločenstvá slávok a/alebo </w:t>
            </w:r>
            <w:r>
              <w:t>fúzonôžok s morskými riasami na litorálnych skalách 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MA227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Útesy s lastúrnikmi v litorálnej zóne 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1140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MB222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Útesy s lastúrnikmi v infralitorálnej zóne 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1130;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MC223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Útesy s lastúrnikmi v cirkalitorá</w:t>
            </w:r>
            <w:r>
              <w:t>lnej zóne 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7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Baltské more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Baltské infralitorálne dná, v ktorých prevládajú epibentické lastúrniky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MC231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Baltské cirkalitorálne dná, v ktorých prevládajú epibentické lastúrniky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1160; 1110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MD231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Baltské príbrežné </w:t>
            </w:r>
            <w:r>
              <w:t>cirkalitorálne biogénne dná charakterizované epibentickými lastúrnikmi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MD232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Baltské príbrežné cirkalitorálne dná so štrkom zo schránok živočíchov charakterizované lastúrnikmi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MD431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Baltské príbrežné cirkalitorálne zmiešané dná charakterizované</w:t>
            </w:r>
            <w:r>
              <w:t xml:space="preserve"> makroskopickými epibentickými biotickými štruktúrami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MD531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príbrežný cirkalitorálny piesok charakterizovaný makroskopickými epibentickými biotickými štruktúrami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MD631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Baltské príbrežné cirkalitorálne bahno charakterizované epibentickými </w:t>
            </w:r>
            <w:r>
              <w:t>lastúrnikmi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7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Čierne more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MB141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Spodné infralitorálne skaly Čierneho mora s prevládajúcimi bezstavovcami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MB143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Nechránené vrchné infralitorálne skaly Čierneho mora s prevahou lastúrnikov z čeľade Mytilidae a s listnatými riasami (bez hnedých rias </w:t>
            </w:r>
            <w:r>
              <w:t>radu Fucales)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MB148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Mierne chránené infralitorálne skaly Čierneho mora s prevahou lastúrnikov z čeľade Mytilidae a s listnatými riasami (inými ako hnedé riasy radu Fucales)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MB242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Dná so slávkami v infralitorálnej zóne Čierneho mora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1130; 1160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MB243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Ustricové útesy na spodných infralitorálnych skalách Čierneho mora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MB642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Infralitorálne terigénne bahná Čierneho mora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MC141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Cirkalitorálne skaly Čierneho mora s prevládajúcimi bezstavovcami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MC241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Dná so slávkami na</w:t>
            </w:r>
            <w:r>
              <w:t xml:space="preserve"> cirkalitorálnych terigénnych bahnách Čierneho mora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MC645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Spodné cirkalitorálne bahno Čierneho mora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7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 xml:space="preserve">Stredozemné more 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MA1544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Mytilus galloprovincialis</w:t>
            </w:r>
            <w:r>
              <w:t xml:space="preserve"> vo vodách obohatených o organickú hmotu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MB1514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 xml:space="preserve">Mytilus </w:t>
            </w:r>
            <w:r>
              <w:rPr>
                <w:i/>
                <w:iCs/>
              </w:rPr>
              <w:t>galloprovincialis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i/>
                <w:noProof/>
              </w:rPr>
            </w:pPr>
            <w:r>
              <w:rPr>
                <w:b/>
                <w:i/>
                <w:sz w:val="22"/>
              </w:rPr>
              <w:t>Stredomorské infralitorálne ustricové lôžka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i/>
                <w:noProof/>
              </w:rPr>
            </w:pPr>
            <w:r>
              <w:rPr>
                <w:b/>
                <w:i/>
              </w:rPr>
              <w:t>Stredomorské cirkalitorálne ustricové lôžka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</w:tbl>
    <w:p w:rsidR="00407135" w:rsidRDefault="00D55DFA">
      <w:pPr>
        <w:keepNext/>
        <w:pageBreakBefore/>
        <w:widowControl/>
        <w:suppressAutoHyphens/>
        <w:spacing w:before="120" w:after="120"/>
        <w:jc w:val="both"/>
        <w:outlineLvl w:val="1"/>
        <w:rPr>
          <w:b/>
          <w:bCs/>
          <w:noProof/>
          <w:szCs w:val="26"/>
        </w:rPr>
      </w:pPr>
      <w:r>
        <w:rPr>
          <w:b/>
        </w:rPr>
        <w:lastRenderedPageBreak/>
        <w:t>4.</w:t>
      </w:r>
      <w:r>
        <w:rPr>
          <w:b/>
        </w:rPr>
        <w:tab/>
        <w:t>Skupina 4: Maerlové dná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073"/>
      </w:tblGrid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Kód 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Názov typu biotopu v klasifikácii 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Súvisiace kódy prílohy I (smernica o biotopoch)</w:t>
            </w:r>
          </w:p>
        </w:tc>
      </w:tr>
      <w:tr w:rsidR="00407135">
        <w:trPr>
          <w:cantSplit/>
          <w:trHeight w:val="283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Atlantik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MB322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Maerlové dná na infralitorálnom hrubom sedimente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MB421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Maerlové dná na infralitorálnom zmiešanom sedimente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MB622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Maerlové dná na infralitorálnom bahennom sedimente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Stredozemné more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MB3511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rodolitmi v hrubých pieskoch a jemných štrkoch zmiešaných vlnami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MB3521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rodolitmi v hrubých pieskoch a jemných štrkoch pod vplyvom spodných prúdov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MB3522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maerlom (= skupina s </w:t>
            </w:r>
            <w:r>
              <w:rPr>
                <w:i/>
                <w:iCs/>
              </w:rPr>
              <w:t>Lithothamnion corallioides</w:t>
            </w:r>
            <w:r>
              <w:t xml:space="preserve"> a </w:t>
            </w:r>
            <w:r>
              <w:rPr>
                <w:i/>
                <w:iCs/>
              </w:rPr>
              <w:t>Phymatolithon calcareum</w:t>
            </w:r>
            <w:r>
              <w:t>)   na stredomorských hrubých pieskoch a štrku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MC3521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rodolitmi na pobrežných detritických dnách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MC3523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Skupina s maerlom (= skupina s </w:t>
            </w:r>
            <w:r>
              <w:rPr>
                <w:i/>
                <w:iCs/>
              </w:rPr>
              <w:t>Lithothamnion corallioides</w:t>
            </w:r>
            <w:r>
              <w:t xml:space="preserve"> a </w:t>
            </w:r>
            <w:r>
              <w:rPr>
                <w:i/>
                <w:iCs/>
              </w:rPr>
              <w:t>Phymatolithon calcareum</w:t>
            </w:r>
            <w:r>
              <w:t>)  na pobrežných dendritických dnách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1110</w:t>
            </w:r>
          </w:p>
        </w:tc>
      </w:tr>
    </w:tbl>
    <w:p w:rsidR="00407135" w:rsidRDefault="00D55DFA">
      <w:pPr>
        <w:keepNext/>
        <w:widowControl/>
        <w:suppressAutoHyphens/>
        <w:spacing w:before="120" w:after="120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5.</w:t>
      </w:r>
      <w:r>
        <w:rPr>
          <w:b/>
        </w:rPr>
        <w:tab/>
        <w:t>Skupina 5: Kolónie hubiek, koralov a koralogénne dná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073"/>
      </w:tblGrid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Kód 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Názov typu biotopu v klasifikácii 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Súvisiace kódy prílohy I (smernica o biotopoch)</w:t>
            </w:r>
          </w:p>
        </w:tc>
      </w:tr>
      <w:tr w:rsidR="00407135">
        <w:trPr>
          <w:cantSplit/>
          <w:trHeight w:val="283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Atlantik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Spoločenstvá </w:t>
            </w:r>
            <w:r>
              <w:t>živočíšnych organizmov na cirkalitorálnych skalách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Spoločenstvá živočíchov na cirkalitorálnych skalách Atlantiku s variabilnou salinitou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1130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MC126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Spoločenstvá cirkalitorálnych jaskýň a previsov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8330; 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MC222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Studenovodné koralové útesy v cirkalitorálnej zóne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Spoločenstvá hubiek na príbrežných cirkalitorálnych skalách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MD221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Studenovodné koralové útesy v príbrežnej cirkalitorálnej zóne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ME122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Spoločenstvá </w:t>
            </w:r>
            <w:r>
              <w:t>hubiek na vrchných batyálnych skalách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ME123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Zmiešané studenovodné koralové spoločenstvá na vrchných batyálnych skalách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ME221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Vrchný batyálny studenovodný koralový útes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ME322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Zmiešané studenovodné koralové </w:t>
            </w:r>
            <w:r>
              <w:t>spoločenstvo na vrchnom batyálnom hrubom sedimente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ME324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Zhluk hubiek na vrchnom batyálnom hrubom sedimente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ME422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Zhluk hubiek na vrchnom batyálnom zmiešanom sedimente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ME623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Zhluk hubiek na vrchnom batyálnom bahne </w:t>
            </w:r>
            <w:r>
              <w:t>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ME624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Vztýčené koralové pole na vrchnom batyálnom bahne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Zmiešané studenovodné koralové spoločenstvo na spodných batyálnych skalách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MF221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Spodný batyálny studenovodný koralový útes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MF321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Zmiešané</w:t>
            </w:r>
            <w:r>
              <w:t xml:space="preserve"> studenovodné koralové spoločenstvo na spodnom batyálnom hrubom sedimente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MF622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Zhluk hubiek na spodnom batyálnom bahne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MF623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Vztýčené koralové pole na spodnom batyálnom bahne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Baltské more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MB138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Baltské infralitorálne </w:t>
            </w:r>
            <w:r>
              <w:t>skaly a balvany charakterizované epibentickými hubkami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MB43A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infralitorálny zmiešaný sediment charakterizovaný epibentickými hubkami (Porifera)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MC133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Baltské cirkalitorálne skaly a balvany charakterizované epibentickými </w:t>
            </w:r>
            <w:r>
              <w:t>pŕhlivcami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MC136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Baltské cirkalitorálne skaly a balvany charakterizované epibentickými hubkami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MC433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Baltský cirkalitorálny zmiešaný sediment charakterizovaný epibentickými pŕhlivcami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1160; 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MC436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Baltský cirkalitorálny </w:t>
            </w:r>
            <w:r>
              <w:t>zmiešaný sediment charakterizovaný epibentickými hubkami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Čierne more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MD24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Príbrežné cirkalitorálne biogénne biotopy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Vrchné batyálne skaly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ME24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Vrchný batyálny biogénny biotop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Spodné batyálne skaly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Stredozemné more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MB151E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Cladocora caespitosa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MB151Q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Astroides calycularis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MB151α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a skupina koralogénnej biocenózy (v enkláve)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MC1519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 xml:space="preserve">Eunicella </w:t>
            </w:r>
            <w:r>
              <w:rPr>
                <w:i/>
                <w:iCs/>
              </w:rPr>
              <w:t>cavolini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MC151A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Eunicella singularis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MC151B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Paramuricea clavata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MC151E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Leptogorgia sarmentosa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MC151F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Anthipatella subpinnata</w:t>
            </w:r>
            <w:r>
              <w:t xml:space="preserve"> a riedkymi červenými riasami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MC151G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mohutnými hubkami a riedkymi červenými riasami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MC1522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Corallium rubrum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8330; 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MC1523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s </w:t>
            </w:r>
            <w:r>
              <w:rPr>
                <w:i/>
                <w:iCs/>
              </w:rPr>
              <w:t>Leptopsammia pruvoti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8330; 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MC251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Koralogénne platformy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MC6514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lepkavých bahien s </w:t>
            </w:r>
            <w:r>
              <w:rPr>
                <w:i/>
                <w:iCs/>
              </w:rPr>
              <w:t>Alcyonium palmatum</w:t>
            </w:r>
            <w:r>
              <w:t xml:space="preserve"> a </w:t>
            </w:r>
            <w:r>
              <w:rPr>
                <w:i/>
                <w:iCs/>
              </w:rPr>
              <w:t>Parastichopus regalis</w:t>
            </w:r>
            <w:r>
              <w:t xml:space="preserve"> na cirkalitorálnom bahne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MD151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Biocenóza stredomorských skál na okraji šelfu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MD25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Príbrežné cirkalitorálne biogénne biotopy Stredozemného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MD6512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Fácie lepkavých bahien s </w:t>
            </w:r>
            <w:r>
              <w:rPr>
                <w:i/>
                <w:iCs/>
              </w:rPr>
              <w:t>Alcyonium palmatum</w:t>
            </w:r>
            <w:r>
              <w:t xml:space="preserve"> a </w:t>
            </w:r>
            <w:r>
              <w:rPr>
                <w:i/>
                <w:iCs/>
              </w:rPr>
              <w:t>Parastichopus regali</w:t>
            </w:r>
            <w:r>
              <w:rPr>
                <w:i/>
                <w:iCs/>
              </w:rPr>
              <w:t>s</w:t>
            </w:r>
            <w:r>
              <w:t xml:space="preserve"> na spodnom cirkalitorálnom bahne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ME1511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Stredomorské vrchné batyálne útesy koralu </w:t>
            </w:r>
            <w:r>
              <w:rPr>
                <w:i/>
                <w:iCs/>
              </w:rPr>
              <w:t>Lophelia pertusa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Stredomorské vrchné batyálne útesy koralu </w:t>
            </w:r>
            <w:r>
              <w:rPr>
                <w:i/>
                <w:iCs/>
              </w:rPr>
              <w:t>Madrepora oculata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Stredomorské vrchné batyálne útesy koralov </w:t>
            </w:r>
            <w:r>
              <w:rPr>
                <w:i/>
                <w:iCs/>
              </w:rPr>
              <w:t>Madrepora oculata</w:t>
            </w:r>
            <w:r>
              <w:t xml:space="preserve"> a </w:t>
            </w:r>
            <w:r>
              <w:rPr>
                <w:i/>
                <w:iCs/>
              </w:rPr>
              <w:t>Lophelia pertusa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ME6514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Stredomorské vrchné batyálne fácie s </w:t>
            </w:r>
            <w:r>
              <w:rPr>
                <w:i/>
                <w:iCs/>
              </w:rPr>
              <w:t>Pheronema carpenteri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MF1511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Stredomorské spodné batyálne útesy koralu </w:t>
            </w:r>
            <w:r>
              <w:rPr>
                <w:i/>
                <w:iCs/>
              </w:rPr>
              <w:t>Lophelia pertusa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Stredomorské spodné batyálne útesy koralu </w:t>
            </w:r>
            <w:r>
              <w:rPr>
                <w:i/>
                <w:iCs/>
              </w:rPr>
              <w:t>Madrepora oculata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Stredomorské spodné batyálne útesy koralov </w:t>
            </w:r>
            <w:r>
              <w:rPr>
                <w:i/>
                <w:iCs/>
              </w:rPr>
              <w:t>Madrepora oculata</w:t>
            </w:r>
            <w:r>
              <w:t xml:space="preserve"> a </w:t>
            </w:r>
            <w:r>
              <w:rPr>
                <w:i/>
                <w:iCs/>
              </w:rPr>
              <w:t>Lophelia pertusa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MF6511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Stredomorské spodné batyálne fácie piesočnatých bahien s </w:t>
            </w:r>
            <w:r>
              <w:rPr>
                <w:i/>
                <w:iCs/>
              </w:rPr>
              <w:t>Thenea muricata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MF6513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Stredomorské spodné batyálne fácie kompaktných bahien s </w:t>
            </w:r>
            <w:r>
              <w:rPr>
                <w:i/>
                <w:iCs/>
              </w:rPr>
              <w:t>Isidella elongata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</w:tbl>
    <w:p w:rsidR="00407135" w:rsidRDefault="00D55DFA">
      <w:pPr>
        <w:keepNext/>
        <w:widowControl/>
        <w:suppressAutoHyphens/>
        <w:spacing w:before="120" w:after="120"/>
        <w:jc w:val="both"/>
        <w:outlineLvl w:val="1"/>
        <w:rPr>
          <w:b/>
          <w:bCs/>
          <w:noProof/>
          <w:szCs w:val="26"/>
        </w:rPr>
      </w:pPr>
      <w:r>
        <w:rPr>
          <w:b/>
        </w:rPr>
        <w:t>6.</w:t>
      </w:r>
      <w:r>
        <w:rPr>
          <w:b/>
        </w:rPr>
        <w:tab/>
      </w:r>
      <w:r>
        <w:rPr>
          <w:b/>
        </w:rPr>
        <w:t>Skupina 6: Prieduchy a priesaky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96"/>
        <w:gridCol w:w="6120"/>
        <w:gridCol w:w="2073"/>
      </w:tblGrid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Kód EUNIS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Názov typu biotopu v klasifikácii 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noProof/>
              </w:rPr>
            </w:pPr>
            <w:r>
              <w:rPr>
                <w:b/>
              </w:rPr>
              <w:t>Súvisiace kódy prílohy I (smernica o biotopoch)</w:t>
            </w:r>
          </w:p>
        </w:tc>
      </w:tr>
      <w:tr w:rsidR="00407135">
        <w:trPr>
          <w:cantSplit/>
          <w:trHeight w:val="283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</w:rPr>
            </w:pPr>
            <w:r>
              <w:rPr>
                <w:b/>
              </w:rPr>
              <w:t>Atlantik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MB128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Prieduchy a priesaky v infralitorálnych skalách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1160; 1180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MB627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Prieduchy a priesaky </w:t>
            </w:r>
            <w:r>
              <w:t>v infralitorálnom bahne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1130;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MC127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Prieduchy a priesaky v cirkalitorálnych skalách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1170; 1180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MC622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Prieduchy a priesaky v cirkalitorálnom bahne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lastRenderedPageBreak/>
              <w:t>MD122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 xml:space="preserve">Prieduchy a priesaky na príbrežných cirkalitorálnych skalách </w:t>
            </w:r>
            <w:r>
              <w:t>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MD622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Prieduchy a priesaky v príbrežnom cirkalitorálnom bahne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</w:tbl>
    <w:p w:rsidR="00407135" w:rsidRDefault="00D55DFA">
      <w:pPr>
        <w:keepNext/>
        <w:widowControl/>
        <w:suppressAutoHyphens/>
        <w:spacing w:before="120" w:after="120"/>
        <w:jc w:val="both"/>
        <w:outlineLvl w:val="1"/>
        <w:rPr>
          <w:b/>
          <w:szCs w:val="24"/>
        </w:rPr>
      </w:pPr>
      <w:r>
        <w:rPr>
          <w:b/>
        </w:rPr>
        <w:t>7.</w:t>
      </w:r>
      <w:r>
        <w:rPr>
          <w:b/>
        </w:rPr>
        <w:tab/>
        <w:t>Skupina 7: Mäkké sedimenty (nad 1 000 metrov hĺbky)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073"/>
      </w:tblGrid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</w:rPr>
            </w:pPr>
            <w:r>
              <w:rPr>
                <w:b/>
              </w:rPr>
              <w:t>Kód 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  <w:rPr>
                <w:b/>
              </w:rPr>
            </w:pPr>
            <w:r>
              <w:rPr>
                <w:b/>
              </w:rPr>
              <w:t>Názov typu biotopu v klasifikácii 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</w:rPr>
            </w:pPr>
            <w:r>
              <w:rPr>
                <w:b/>
              </w:rPr>
              <w:t>Súvisiace kódy prílohy I (smernica o biotopoch)</w:t>
            </w:r>
          </w:p>
        </w:tc>
      </w:tr>
      <w:tr w:rsidR="00407135">
        <w:trPr>
          <w:cantSplit/>
          <w:trHeight w:val="283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7135" w:rsidRDefault="00D55DFA">
            <w:pPr>
              <w:widowControl/>
              <w:spacing w:before="120" w:after="120"/>
              <w:rPr>
                <w:b/>
              </w:rPr>
            </w:pPr>
            <w:r>
              <w:rPr>
                <w:b/>
              </w:rPr>
              <w:t>Atlantik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Litorálny hrubý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Litorálny zmiešaný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Litorálny piesok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Litorálne bahno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Infralitorálny hrubý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Infralitorálny zmiešaný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1130; 1150;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Infralitorálny piesok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1130; 1150;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Infralitorálne bahno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Cirkalitorálny hrubý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</w:t>
            </w:r>
            <w:r>
              <w:t xml:space="preserve">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Cirkalitorálny zmiešaný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Cirkalitorálny piesok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Cirkalitorálne bahno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Príbrežný cirkalitorálny hrubý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Príbrežný cirkalitorálny zmiešaný </w:t>
            </w:r>
            <w:r>
              <w:t>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Príbrežný cirkalitorálny piesok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Príbrežné cirkalitorálne bahno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ME32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Vrchný batyálny hrubý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ME42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Vrchný batyálny zmiešaný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lastRenderedPageBreak/>
              <w:t>ME52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Vrchný batyálny piesok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ME62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Vrchné batyálne bahno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Spodný batyálny hrubý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Spodný batyálny zmiešaný sediment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Spodný batyálny piesok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Spodné batyálne bahno 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</w:rPr>
            </w:pPr>
            <w:r>
              <w:rPr>
                <w:b/>
              </w:rPr>
              <w:t>Baltské more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 xml:space="preserve">Baltský </w:t>
            </w:r>
            <w:r>
              <w:t>hydrolitorálny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1160; 1610; 1620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Baltský hydrolitorálny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1160; 1610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Baltský hydrolitorálny piesok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1160; 1610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Baltské hydrolitorálne bahno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1160; 1650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Baltský </w:t>
            </w:r>
            <w:r>
              <w:t>infralitorálny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1150;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Baltský infralitorálny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1130; 1150; 1160; 1170; 1650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Baltský infralitorálny piesok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1130; 1150;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Baltské infralitorálne bahno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1130; 1150; 1160; 1650 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</w:t>
            </w:r>
            <w:r>
              <w:t>tský cirkalitorálny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Baltský cirkalitorálny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1160; 1170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Baltský cirkalitorálny piesok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Baltské cirkalitorálne bahno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1160; 1650</w:t>
            </w: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Baltský príbrežný cirkalitorálny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Baltský príbrežný cirkalitorálny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Baltský príbrežný cirkalitorálny piesok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Baltské príbrežné cirkalitorálne bahno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</w:rPr>
            </w:pPr>
            <w:r>
              <w:rPr>
                <w:b/>
              </w:rPr>
              <w:lastRenderedPageBreak/>
              <w:t>Čierne more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Litorálny hrubý sediment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 xml:space="preserve">Litorálny zmiešaný sediment </w:t>
            </w:r>
            <w:r>
              <w:t>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Litorálny piesok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Litorálne bahno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Infralitorálny hrubý sediment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Infralitorálny zmiešaný sediment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1170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Infralitorálny piesok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1130;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Infralitorálne bahno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Cirkalitorálny hrubý sediment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Cirkalitorálny zmiešaný sediment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Cirkalitorálny piesok Čierneho mora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Cirkalitorálne bahno Čierneho mora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Príbrežný cirkalitorálny hrubý sediment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Príbrežný cirkalitorálny zmiešaný sediment Čierneho mora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Príbrežný cirkalitorálny piesok Čierneho mora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Príbrežné cirkalitorálne bahno Čierneho mora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7135" w:rsidRDefault="00D55DFA">
            <w:pPr>
              <w:widowControl/>
              <w:spacing w:before="120" w:after="120"/>
              <w:rPr>
                <w:b/>
              </w:rPr>
            </w:pPr>
            <w:r>
              <w:rPr>
                <w:b/>
              </w:rPr>
              <w:t>Stredozemné more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07135" w:rsidRDefault="00407135">
            <w:pPr>
              <w:widowControl/>
              <w:spacing w:before="120" w:after="120"/>
              <w:rPr>
                <w:b/>
              </w:rPr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Stredomorský 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1160; 1130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MA45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135" w:rsidRDefault="00D55DFA">
            <w:pPr>
              <w:widowControl/>
              <w:spacing w:before="120" w:after="120"/>
            </w:pPr>
            <w:r>
              <w:t>Stredomorský 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1140;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Stredomorský </w:t>
            </w:r>
            <w:r>
              <w:t>litorálny piesok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MA65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Stredomorské litorálne bahno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1140; 1150;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infralitorálny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infralitorálny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MB55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infralitorálny piesok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1110; </w:t>
            </w:r>
            <w:r>
              <w:t>1130; 1150;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lastRenderedPageBreak/>
              <w:t>MB65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Stredomorské infralitorálne bahno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1150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cirkalitorálny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cirkalitorálny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Stredomorský cirkalitorálny piesok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1110;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MC65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Stredomorské cirkalitorálne bahno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1130; 1160</w:t>
            </w: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príbrežný cirkalitorálny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príbrežný cirkalitorálny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Stredomorský príbrežný cirkalitorálny piesok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MD65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Stredomorské príbrežné cirkalitorálne bahno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ME35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vrchný batyálny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ME45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vrchný batyálny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ME55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vrchný batyálny piesok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ME65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Stredomorské vrchné batyálne bahno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 xml:space="preserve">Stredomorský </w:t>
            </w:r>
            <w:r>
              <w:t>spodný batyálny hrubý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spodný batyálny zmiešaný sediment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Stredomorský spodný batyálny piesok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</w:pPr>
          </w:p>
        </w:tc>
      </w:tr>
      <w:tr w:rsidR="00407135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</w:pPr>
            <w:r>
              <w:t>MF65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</w:rPr>
            </w:pPr>
            <w:r>
              <w:t>Stredomorské spodné batyálne bahno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407135">
            <w:pPr>
              <w:widowControl/>
              <w:spacing w:before="120" w:after="120"/>
              <w:rPr>
                <w:noProof/>
              </w:rPr>
            </w:pPr>
          </w:p>
        </w:tc>
      </w:tr>
    </w:tbl>
    <w:p w:rsidR="00407135" w:rsidRDefault="00407135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</w:p>
    <w:p w:rsidR="00407135" w:rsidRDefault="00407135">
      <w:pPr>
        <w:widowControl/>
        <w:spacing w:before="120" w:after="120" w:line="360" w:lineRule="auto"/>
        <w:rPr>
          <w:rFonts w:eastAsia="Calibri"/>
          <w:szCs w:val="22"/>
          <w:lang w:eastAsia="en-US"/>
        </w:rPr>
        <w:sectPr w:rsidR="00407135"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:rsidR="00407135" w:rsidRDefault="00D55DFA">
      <w:pPr>
        <w:widowControl/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>
        <w:rPr>
          <w:b/>
          <w:u w:val="single"/>
        </w:rPr>
        <w:lastRenderedPageBreak/>
        <w:t>PRÍLOHA III</w:t>
      </w:r>
      <w:r>
        <w:rPr>
          <w:b/>
          <w:u w:val="single"/>
        </w:rPr>
        <w:br/>
      </w:r>
      <w:r>
        <w:rPr>
          <w:b/>
          <w:u w:val="single"/>
        </w:rPr>
        <w:br/>
        <w:t xml:space="preserve">MORSKÉ DRUHY UVEDENÉ V ČLÁNKU 5 ODS. 3 </w:t>
      </w:r>
    </w:p>
    <w:p w:rsidR="00407135" w:rsidRDefault="00D55DFA">
      <w:pPr>
        <w:widowControl/>
        <w:tabs>
          <w:tab w:val="num" w:pos="1560"/>
        </w:tabs>
        <w:suppressAutoHyphens/>
        <w:spacing w:before="120" w:after="120"/>
        <w:jc w:val="both"/>
        <w:rPr>
          <w:rFonts w:eastAsia="Calibri"/>
          <w:noProof/>
          <w:szCs w:val="22"/>
        </w:rPr>
      </w:pPr>
      <w:r>
        <w:rPr>
          <w:rFonts w:ascii="Arial" w:hAnsi="Arial"/>
          <w:snapToGrid w:val="0"/>
        </w:rPr>
        <w:t>▌</w:t>
      </w:r>
    </w:p>
    <w:p w:rsidR="00407135" w:rsidRDefault="00D55DFA">
      <w:pPr>
        <w:widowControl/>
        <w:suppressAutoHyphens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>
        <w:t>(2)</w:t>
      </w:r>
      <w:r>
        <w:tab/>
      </w:r>
      <w:r>
        <w:t>piliar trpasličí (</w:t>
      </w:r>
      <w:r>
        <w:rPr>
          <w:i/>
          <w:iCs/>
        </w:rPr>
        <w:t>Pristis clavata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(3)</w:t>
      </w:r>
      <w:r>
        <w:tab/>
        <w:t>piliar drobnozubý (</w:t>
      </w:r>
      <w:r>
        <w:rPr>
          <w:i/>
          <w:iCs/>
        </w:rPr>
        <w:t>Pristis pectinata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(4)</w:t>
      </w:r>
      <w:r>
        <w:tab/>
        <w:t>piliar veľký (</w:t>
      </w:r>
      <w:r>
        <w:rPr>
          <w:i/>
          <w:iCs/>
        </w:rPr>
        <w:t>Pristis pristis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rPr>
          <w:rFonts w:ascii="Arial" w:hAnsi="Arial"/>
          <w:snapToGrid w:val="0"/>
        </w:rPr>
        <w:t>▌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(6)</w:t>
      </w:r>
      <w:r>
        <w:tab/>
        <w:t>obroň sťahovavý (</w:t>
      </w:r>
      <w:r>
        <w:rPr>
          <w:i/>
          <w:iCs/>
        </w:rPr>
        <w:t>Cetorhinus maximus</w:t>
      </w:r>
      <w:r>
        <w:t>)  a lamna veľká (</w:t>
      </w:r>
      <w:r>
        <w:rPr>
          <w:i/>
          <w:iCs/>
        </w:rPr>
        <w:t>Carcharodon carcharias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(7)</w:t>
      </w:r>
      <w:r>
        <w:tab/>
        <w:t>svetloň malý (</w:t>
      </w:r>
      <w:r>
        <w:rPr>
          <w:i/>
          <w:iCs/>
        </w:rPr>
        <w:t>Etmopterus pusillus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(8)</w:t>
      </w:r>
      <w:r>
        <w:tab/>
        <w:t>manta príbrež</w:t>
      </w:r>
      <w:r>
        <w:t>ná (</w:t>
      </w:r>
      <w:r>
        <w:rPr>
          <w:i/>
          <w:iCs/>
        </w:rPr>
        <w:t>Manta alfredi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t>(9)</w:t>
      </w:r>
      <w:r>
        <w:tab/>
        <w:t xml:space="preserve">manta </w:t>
      </w:r>
      <w:r>
        <w:rPr>
          <w:i/>
          <w:iCs/>
        </w:rPr>
        <w:t>Manta birostris</w:t>
      </w:r>
      <w:r>
        <w:t>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t>(10)</w:t>
      </w:r>
      <w:r>
        <w:tab/>
        <w:t>mobula veľká (</w:t>
      </w:r>
      <w:r>
        <w:rPr>
          <w:i/>
          <w:iCs/>
        </w:rPr>
        <w:t>Mobula mobular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t>(11)</w:t>
      </w:r>
      <w:r>
        <w:tab/>
        <w:t>mobula guinejská (</w:t>
      </w:r>
      <w:r>
        <w:rPr>
          <w:i/>
          <w:iCs/>
        </w:rPr>
        <w:t>Mobula rochebrunei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(12)</w:t>
      </w:r>
      <w:r>
        <w:tab/>
        <w:t>mobula japonská (</w:t>
      </w:r>
      <w:r>
        <w:rPr>
          <w:i/>
          <w:iCs/>
        </w:rPr>
        <w:t>Mobula japanica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(13)</w:t>
      </w:r>
      <w:r>
        <w:tab/>
        <w:t>mobula hladkochvostá (</w:t>
      </w:r>
      <w:r>
        <w:rPr>
          <w:i/>
          <w:iCs/>
        </w:rPr>
        <w:t>Mobula thurstoni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(14)</w:t>
      </w:r>
      <w:r>
        <w:tab/>
        <w:t>mobula malá (</w:t>
      </w:r>
      <w:r>
        <w:rPr>
          <w:i/>
          <w:iCs/>
        </w:rPr>
        <w:t>Mobula eregoodootenkee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rPr>
          <w:rFonts w:ascii="Arial" w:hAnsi="Arial"/>
          <w:snapToGrid w:val="0"/>
        </w:rPr>
        <w:t>▌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(16)</w:t>
      </w:r>
      <w:r>
        <w:tab/>
        <w:t>mobula čilská (</w:t>
      </w:r>
      <w:r>
        <w:rPr>
          <w:i/>
          <w:iCs/>
        </w:rPr>
        <w:t>Mobula tarapacana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(17)</w:t>
      </w:r>
      <w:r>
        <w:tab/>
        <w:t>mobula krátkoplutvá (</w:t>
      </w:r>
      <w:r>
        <w:rPr>
          <w:i/>
          <w:iCs/>
        </w:rPr>
        <w:t>Mobula kuhlii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t>(18)</w:t>
      </w:r>
      <w:r>
        <w:tab/>
        <w:t>mobula západoatlantická (</w:t>
      </w:r>
      <w:r>
        <w:rPr>
          <w:i/>
          <w:iCs/>
        </w:rPr>
        <w:t>Mobula hypostoma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t>(19)</w:t>
      </w:r>
      <w:r>
        <w:tab/>
        <w:t>raja nórska (</w:t>
      </w:r>
      <w:r>
        <w:rPr>
          <w:i/>
          <w:iCs/>
        </w:rPr>
        <w:t>Dipturus nidarosiensis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t>(20)</w:t>
      </w:r>
      <w:r>
        <w:tab/>
        <w:t>raja biela (</w:t>
      </w:r>
      <w:r>
        <w:rPr>
          <w:i/>
          <w:iCs/>
        </w:rPr>
        <w:t>Raja alba</w:t>
      </w:r>
      <w:r>
        <w:t xml:space="preserve">); </w:t>
      </w:r>
    </w:p>
    <w:p w:rsidR="00407135" w:rsidRDefault="00D55DFA">
      <w:pPr>
        <w:widowControl/>
        <w:suppressAutoHyphens/>
        <w:spacing w:before="120" w:after="120"/>
        <w:ind w:left="851" w:hanging="851"/>
        <w:jc w:val="both"/>
        <w:rPr>
          <w:rFonts w:eastAsia="Calibri"/>
          <w:szCs w:val="22"/>
        </w:rPr>
      </w:pPr>
      <w:r>
        <w:t>(21)</w:t>
      </w:r>
      <w:r>
        <w:tab/>
        <w:t>gitarovcovité (</w:t>
      </w:r>
      <w:r>
        <w:rPr>
          <w:i/>
          <w:iCs/>
        </w:rPr>
        <w:t>Rhinobatidae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szCs w:val="22"/>
        </w:rPr>
      </w:pPr>
      <w:r>
        <w:t>(22)</w:t>
      </w:r>
      <w:r>
        <w:tab/>
        <w:t xml:space="preserve">poloraja </w:t>
      </w:r>
      <w:r>
        <w:t>európska (</w:t>
      </w:r>
      <w:r>
        <w:rPr>
          <w:i/>
          <w:iCs/>
        </w:rPr>
        <w:t>Squatina squatina</w:t>
      </w:r>
      <w:r>
        <w:t>);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(23)</w:t>
      </w:r>
      <w:r>
        <w:tab/>
        <w:t>losos atlantický (</w:t>
      </w:r>
      <w:r>
        <w:rPr>
          <w:i/>
          <w:iCs/>
        </w:rPr>
        <w:t>Salmo salar</w:t>
      </w:r>
      <w:r>
        <w:t xml:space="preserve">); </w:t>
      </w:r>
    </w:p>
    <w:p w:rsidR="00407135" w:rsidRDefault="00D55DFA">
      <w:pPr>
        <w:widowControl/>
        <w:suppressAutoHyphens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>
        <w:t>(24)</w:t>
      </w:r>
      <w:r>
        <w:tab/>
        <w:t>pstruh morský (</w:t>
      </w:r>
      <w:r>
        <w:rPr>
          <w:i/>
          <w:iCs/>
        </w:rPr>
        <w:t>Salmo trutta</w:t>
      </w:r>
      <w:r>
        <w:t>);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  <w:sectPr w:rsidR="00407135"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  <w:r>
        <w:t>(25)</w:t>
      </w:r>
      <w:r>
        <w:tab/>
        <w:t>sih ostronosý (</w:t>
      </w:r>
      <w:r>
        <w:rPr>
          <w:i/>
          <w:iCs/>
        </w:rPr>
        <w:t>Coregonus oxyrhynchus</w:t>
      </w:r>
      <w:r>
        <w:t>).</w:t>
      </w:r>
    </w:p>
    <w:p w:rsidR="00407135" w:rsidRDefault="00D55DFA">
      <w:pPr>
        <w:widowControl/>
        <w:spacing w:before="120" w:after="120" w:line="360" w:lineRule="auto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lastRenderedPageBreak/>
        <w:t>▌ [PN 47]</w:t>
      </w:r>
    </w:p>
    <w:p w:rsidR="00407135" w:rsidRDefault="00407135">
      <w:pPr>
        <w:widowControl/>
        <w:spacing w:before="120" w:after="120" w:line="360" w:lineRule="auto"/>
        <w:rPr>
          <w:rFonts w:eastAsia="Calibri"/>
          <w:b/>
          <w:szCs w:val="22"/>
          <w:lang w:eastAsia="en-US"/>
        </w:rPr>
        <w:sectPr w:rsidR="00407135">
          <w:headerReference w:type="default" r:id="rId15"/>
          <w:footerReference w:type="default" r:id="rId16"/>
          <w:footnotePr>
            <w:numRestart w:val="eachSect"/>
          </w:footnotePr>
          <w:pgSz w:w="16839" w:h="11907" w:orient="landscape"/>
          <w:pgMar w:top="1134" w:right="1134" w:bottom="1134" w:left="1134" w:header="567" w:footer="567" w:gutter="0"/>
          <w:cols w:space="720"/>
          <w:docGrid w:linePitch="360"/>
        </w:sectPr>
      </w:pPr>
    </w:p>
    <w:p w:rsidR="00407135" w:rsidRDefault="00D55DFA">
      <w:pPr>
        <w:widowControl/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>
        <w:rPr>
          <w:b/>
          <w:u w:val="single"/>
        </w:rPr>
        <w:lastRenderedPageBreak/>
        <w:t>PRÍLOHA V</w:t>
      </w:r>
      <w:r>
        <w:rPr>
          <w:b/>
          <w:u w:val="single"/>
        </w:rPr>
        <w:br/>
      </w:r>
      <w:r>
        <w:rPr>
          <w:b/>
          <w:u w:val="single"/>
        </w:rPr>
        <w:br/>
        <w:t>INDEX BEŽNÝCH DRUHOV VTÁCTVA ŽIJÚCEHO NA POĽNOHOSPODÁRSKEJ PÔDE NA VNÚTROŠTÁTNEJ ÚROVNI</w:t>
      </w: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b/>
          <w:bCs/>
          <w:noProof/>
          <w:szCs w:val="22"/>
        </w:rPr>
      </w:pPr>
      <w:r>
        <w:rPr>
          <w:b/>
        </w:rPr>
        <w:t>Opis</w:t>
      </w: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noProof/>
          <w:szCs w:val="22"/>
        </w:rPr>
      </w:pPr>
      <w:r>
        <w:t>Index vtáctva žijúceho na poľnohospodárskej pôde (Farmland Bird Index – FBI) zhŕňa populačné trendy bežných a rozšírených druhov</w:t>
      </w:r>
      <w:r>
        <w:t xml:space="preserve"> vtáctva žijúcich na poľnohospodárskej pôde a má slúžiť ako zástupný údaj na posúdenie stavu biodiverzity poľnohospodárskych ekosystémov v Európe. Národný index FBI je zložený, viacdruhový index, ktorým sa meria miera zmeny pomernej početnosti druhov vtáct</w:t>
      </w:r>
      <w:r>
        <w:t>va žijúceho na poľnohospodárskej pôde vo vybraných prieskumných lokalitách na vnútroštátnej úrovni. Index je založený na osobitne vybraných druhoch, ktoré sú pri získavaní potravy a hniezdení závislé od poľnohospodárskych biotopov. Národné indexy bežných d</w:t>
      </w:r>
      <w:r>
        <w:t>ruhov vtáctva žijúceho na poľnohospodárskej pôde sú založené na súboroch druhov, ktoré sú relevantné pre jednotlivé členské štáty.  Index sa vypočítava vo vzťahu k základnému roku, v ktorom je hodnota indexu zvyčajne stanovená na 100. Hodnoty trendov vyjad</w:t>
      </w:r>
      <w:r>
        <w:t>rujú celkovú zmenu veľkosti populácie, ktorá sa v populáciách základných druhov vtáctva žijúceho na poľnohospodárskej pôde prejaví v priebehu rokov.</w:t>
      </w: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b/>
          <w:bCs/>
          <w:noProof/>
          <w:szCs w:val="22"/>
        </w:rPr>
      </w:pPr>
      <w:r>
        <w:rPr>
          <w:b/>
        </w:rPr>
        <w:t xml:space="preserve">Metodika: </w:t>
      </w:r>
      <w:r>
        <w:t>Brlík a kol. (2021): Long-term and large-scale multispecies dataset tracking population changes o</w:t>
      </w:r>
      <w:r>
        <w:t>f common European breeding birds (Súbory údajov zo sledovania dlhodobých a rozsiahlych populačných zmien viacerých druhov bežných európskych hniezdiacich vtákov). Sci Data 8, 21. https://doi.org/10.1038/s41597-021-00804-2.</w:t>
      </w: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noProof/>
          <w:szCs w:val="22"/>
        </w:rPr>
      </w:pPr>
      <w:r>
        <w:rPr>
          <w:b/>
        </w:rPr>
        <w:t xml:space="preserve"> </w:t>
      </w:r>
      <w:r>
        <w:t>„Členské štáty s historicky viac</w:t>
      </w:r>
      <w:r>
        <w:t xml:space="preserve"> zredukovanými populáciami vtáctva žijúceho na poľnohospodárskej pôde“ sú členské štáty, v ktorých sa najmenej polovica druhov patriacich do národného indexu bežných druhov vtáctva žijúceho na poľnohospodárskej pôde vyznačuje negatívnym dlhodobým populačný</w:t>
      </w:r>
      <w:r>
        <w:t>m trendom. V členských štátoch, v ktorých pre niektoré druhy nie sú k dispozícii informácie o dlhodobých populačných trendoch, sa používajú informácie o stave druhov na európskej úrovni.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 xml:space="preserve">Ide o tieto členské štáty: 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Česko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Dánsko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Estónsko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Fínsko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Francúzsko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N</w:t>
      </w:r>
      <w:r>
        <w:t>emecko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Maďarsko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lastRenderedPageBreak/>
        <w:t>Taliansko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Luxembursko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Holandsko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Španielsko</w:t>
      </w:r>
    </w:p>
    <w:p w:rsidR="00407135" w:rsidRDefault="00D55DFA">
      <w:pPr>
        <w:widowControl/>
        <w:suppressAutoHyphens/>
        <w:spacing w:before="120" w:after="120" w:line="360" w:lineRule="auto"/>
        <w:rPr>
          <w:rFonts w:eastAsia="Calibri"/>
          <w:noProof/>
          <w:szCs w:val="22"/>
        </w:rPr>
      </w:pPr>
      <w:r>
        <w:t>„Členské štáty s historicky menej zredukovanými populáciami vtáctva žijúceho na poľnohospodárskej pôde“ sú členské štáty, v ktorých sa negatívnym dlhodobým populačným trendom vyznačuje menej ako po</w:t>
      </w:r>
      <w:r>
        <w:t>lovica druhov patriacich do národného indexu bežných druhov vtáctva žijúceho na poľnohospodárskej pôde.</w:t>
      </w:r>
      <w:r>
        <w:rPr>
          <w:b/>
        </w:rPr>
        <w:t xml:space="preserve"> </w:t>
      </w:r>
      <w:r>
        <w:t>V členských štátoch, v ktorých pre niektoré druhy nie sú k dispozícii informácie o dlhodobých populačných trendoch, sa používajú informácie o stave druh</w:t>
      </w:r>
      <w:r>
        <w:t xml:space="preserve">ov na európskej úrovni. 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Ide o tieto členské štáty: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Rakúsko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Belgicko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Bulharsko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Chorvátsko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Cyprus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Grécko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Írsko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Lotyšsko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Litva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Malta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Poľsko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Portugalsko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Rumunsko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Slovensko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Slovinsko</w:t>
      </w:r>
    </w:p>
    <w:p w:rsidR="00407135" w:rsidRDefault="00D55DFA">
      <w:pPr>
        <w:widowControl/>
        <w:suppressAutoHyphens/>
        <w:spacing w:before="120" w:after="120"/>
        <w:rPr>
          <w:rFonts w:eastAsia="Calibri"/>
          <w:noProof/>
          <w:szCs w:val="22"/>
        </w:rPr>
      </w:pPr>
      <w:r>
        <w:t>Švédsko</w:t>
      </w:r>
    </w:p>
    <w:p w:rsidR="00407135" w:rsidRDefault="00407135">
      <w:pPr>
        <w:widowControl/>
        <w:suppressAutoHyphens/>
        <w:spacing w:before="120" w:after="120"/>
        <w:rPr>
          <w:rFonts w:eastAsia="Calibri"/>
          <w:noProof/>
          <w:szCs w:val="22"/>
          <w:lang w:eastAsia="en-US"/>
        </w:rPr>
      </w:pPr>
    </w:p>
    <w:p w:rsidR="00407135" w:rsidRDefault="00D55DFA">
      <w:pPr>
        <w:widowControl/>
        <w:suppressAutoHyphens/>
        <w:spacing w:before="120" w:after="120"/>
        <w:ind w:right="-5811"/>
        <w:rPr>
          <w:rFonts w:eastAsia="Calibri"/>
          <w:b/>
          <w:bCs/>
          <w:noProof/>
          <w:szCs w:val="22"/>
        </w:rPr>
      </w:pPr>
      <w:r>
        <w:rPr>
          <w:b/>
        </w:rPr>
        <w:br w:type="page"/>
      </w:r>
      <w:r>
        <w:rPr>
          <w:b/>
        </w:rPr>
        <w:lastRenderedPageBreak/>
        <w:t xml:space="preserve">Zoznam druhov používaných v členských štátoch v indexe bežných </w:t>
      </w:r>
      <w:r>
        <w:rPr>
          <w:b/>
        </w:rPr>
        <w:t>druhov vtáctva žijúceho na poľnohospodárskej pôde</w:t>
      </w:r>
    </w:p>
    <w:p w:rsidR="00407135" w:rsidRDefault="00407135">
      <w:pPr>
        <w:widowControl/>
        <w:suppressAutoHyphens/>
        <w:spacing w:before="120" w:after="120"/>
        <w:rPr>
          <w:rFonts w:eastAsia="Calibri"/>
          <w:noProof/>
          <w:szCs w:val="22"/>
          <w:lang w:eastAsia="en-US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Rakúsko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Acrocephalus palustris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spinoletta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trivialis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Jynx torquilla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Lullula arborea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oenanthe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citrinella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Turdus pilaris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tbl>
      <w:tblPr>
        <w:tblW w:w="5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2977"/>
      </w:tblGrid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Belgicko – Flámsko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Belgicko – Valónsko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lastRenderedPageBreak/>
              <w:t>Alauda arvensis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frugilegus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Haematopus ostralegus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Hippolais icterina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Falco </w:t>
            </w:r>
            <w:r>
              <w:rPr>
                <w:i/>
                <w:sz w:val="22"/>
              </w:rPr>
              <w:t>tinnunculus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Limosa limosa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Linaria cannabina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alba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Numenius arquata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Perdix </w:t>
            </w:r>
            <w:r>
              <w:rPr>
                <w:i/>
                <w:sz w:val="22"/>
              </w:rPr>
              <w:t>perdix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Phoenicurus ochruros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  <w:tr w:rsidR="00407135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407135">
            <w:pPr>
              <w:widowControl/>
              <w:suppressAutoHyphens/>
              <w:spacing w:before="120" w:after="120"/>
              <w:rPr>
                <w:i/>
                <w:noProof/>
                <w:sz w:val="22"/>
                <w:lang w:eastAsia="en-IE"/>
              </w:rPr>
            </w:pP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tbl>
      <w:tblPr>
        <w:tblW w:w="3573" w:type="dxa"/>
        <w:tblInd w:w="-5" w:type="dxa"/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Bulharsko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Corvus </w:t>
            </w:r>
            <w:r>
              <w:rPr>
                <w:i/>
                <w:sz w:val="22"/>
              </w:rPr>
              <w:t>frugilegus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melanocephala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lastRenderedPageBreak/>
              <w:t>Galerida cristata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Motacilla flava 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</w:tbl>
    <w:p w:rsidR="00407135" w:rsidRDefault="00407135">
      <w:pPr>
        <w:widowControl/>
        <w:suppressAutoHyphens/>
        <w:spacing w:before="120" w:after="120" w:line="360" w:lineRule="auto"/>
        <w:rPr>
          <w:rFonts w:eastAsia="Calibri"/>
          <w:szCs w:val="22"/>
          <w:lang w:eastAsia="en-US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Chorvátsko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campestris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trivialis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cirlus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melanocephala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Jynx torquilla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senator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Lullula arborea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lastRenderedPageBreak/>
              <w:t>Luscinia megarhynchos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hispanica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Oriolus oriolus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Pica pica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</w:t>
            </w:r>
            <w:r>
              <w:rPr>
                <w:i/>
                <w:sz w:val="22"/>
              </w:rPr>
              <w:t xml:space="preserve"> epops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Cyprus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Alectoris chukar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Athene noctua 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Cisticola juncidis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Clamator glandarius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Columba palumbus             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Coracias garrulus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corone cornix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calandra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</w:t>
            </w:r>
            <w:r>
              <w:rPr>
                <w:i/>
                <w:sz w:val="22"/>
              </w:rPr>
              <w:t>melanocephala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Francolinus francolinus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lastRenderedPageBreak/>
              <w:t>Galerida cristata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Chloris chloris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Iduna pallida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Linaria cannabina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cypriaca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Parus major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hispaniolensis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Pica pica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conspicillata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Sylvia melanocephala 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Česko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Ciconia ciconia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frugilegus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</w:t>
            </w:r>
            <w:r>
              <w:rPr>
                <w:i/>
                <w:sz w:val="22"/>
              </w:rPr>
              <w:t xml:space="preserve"> perdix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lastRenderedPageBreak/>
              <w:t>Saxicola torquatus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Dánsko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corone cornix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Corvus </w:t>
            </w:r>
            <w:r>
              <w:rPr>
                <w:i/>
                <w:sz w:val="22"/>
              </w:rPr>
              <w:t>frugilegus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Gallinago gallinago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alba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oenanthe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Sylvia </w:t>
            </w:r>
            <w:r>
              <w:rPr>
                <w:i/>
                <w:sz w:val="22"/>
              </w:rPr>
              <w:t>curruca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lastRenderedPageBreak/>
              <w:t>Turdus pilaris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D55DFA">
      <w:pPr>
        <w:widowControl/>
        <w:suppressAutoHyphens/>
        <w:spacing w:before="120" w:after="120"/>
        <w:rPr>
          <w:noProof/>
          <w:sz w:val="22"/>
        </w:rPr>
      </w:pPr>
      <w:r>
        <w:br w:type="page"/>
      </w: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lastRenderedPageBreak/>
              <w:t>Estónsko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frugilegus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Linaria cannabina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lastRenderedPageBreak/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rFonts w:ascii="Arial" w:hAnsi="Arial"/>
                <w:snapToGrid w:val="0"/>
              </w:rPr>
              <w:t>▌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Fínsko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monedula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Crex crex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Delichon urbica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Numenius arquata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rubertra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Turdus pilaris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Francúzsko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Alectoris rufa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campestris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Buteo buteo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Corvus </w:t>
            </w:r>
            <w:r>
              <w:rPr>
                <w:i/>
                <w:sz w:val="22"/>
              </w:rPr>
              <w:t>frugilegus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cirlus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Lullula arborea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Melanocorypha calandra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oenanthe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Nemecko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Athene noctua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Limosa limosa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Lullula arborea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Milvus milvus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Grécko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Apus apus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Athene noctua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Calandrella brachydactyla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chloris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Ciconia ciconia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corone cornix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monedula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Delichon urbicum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cirlus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melanocephala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naumanni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daurica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minor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senator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Lullula arborea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Luscinia megarhynchos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Melanocorypha calandra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Motacilla </w:t>
            </w:r>
            <w:r>
              <w:rPr>
                <w:i/>
                <w:sz w:val="22"/>
              </w:rPr>
              <w:t>flava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hispanica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oenanthe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domesticus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hispaniolensis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Pica pica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decaocto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melanocephala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Maďarsko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campestris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calandra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minor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Locustella naevia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Merops apiaster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nisoria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Írsko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Columba oenas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Columba palumbus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cornix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frugilegus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monedula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Fringilla coelebs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Chloris </w:t>
            </w:r>
            <w:r>
              <w:rPr>
                <w:i/>
                <w:sz w:val="22"/>
              </w:rPr>
              <w:t>chloris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alba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domesticus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Phasianus colchicus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Pica pica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Taliansko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campestris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Calandrella brachydactyla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chloris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cornix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</w:t>
            </w:r>
            <w:r>
              <w:rPr>
                <w:i/>
                <w:sz w:val="22"/>
              </w:rPr>
              <w:t>calandra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Jynx torquilla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Luscinia megarhynchos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Melanocorypha calandra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alba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Oriolus oriolus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domesticus italiae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Passer </w:t>
            </w:r>
            <w:r>
              <w:rPr>
                <w:i/>
                <w:sz w:val="22"/>
              </w:rPr>
              <w:t>hispaniolensis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Pica pica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unicolor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Lotyšsko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Acrocephalus palustris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Carpodacus </w:t>
            </w:r>
            <w:r>
              <w:rPr>
                <w:i/>
                <w:sz w:val="22"/>
              </w:rPr>
              <w:t>erythrinus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Ciconia ciconia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Crex crex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citrinella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Locustella naevia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Litva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</w:t>
            </w:r>
            <w:r>
              <w:rPr>
                <w:i/>
                <w:sz w:val="22"/>
              </w:rPr>
              <w:t xml:space="preserve"> carduelis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Ciconia ciconia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Crex crex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citrinella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 xml:space="preserve">Luxembursko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Alauda arvensis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Carduelis cannabina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citrinella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Lanius collurio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Passer montanus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Sylvia communis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b/>
                <w:sz w:val="22"/>
              </w:rPr>
              <w:t>Malta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Calandrella brachydactyla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Linaria cannabina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Cettia cetti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Cisticola juncidis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calandra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senator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Monticola </w:t>
            </w:r>
            <w:r>
              <w:rPr>
                <w:i/>
                <w:sz w:val="22"/>
              </w:rPr>
              <w:t>solitarius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hispaniolensis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decaocto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conspicillata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melanocephala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noProof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Holandsko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Athene noctua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Calidris pugnax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frugilegus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citrinella 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Gallinago gallinago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Haematopus ostralegus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Hippolais icterina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Limosa limosa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 ava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Numenius arquata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Spatula clypeata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Tringa totanus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Turdus viscivorus</w:t>
            </w:r>
          </w:p>
        </w:tc>
      </w:tr>
      <w:tr w:rsidR="00407135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Poľsko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Ciconia </w:t>
            </w:r>
            <w:r>
              <w:rPr>
                <w:i/>
                <w:sz w:val="22"/>
              </w:rPr>
              <w:t>ciconia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Limosa limosa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  <w:tr w:rsidR="00407135">
        <w:trPr>
          <w:trHeight w:val="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Portugalsko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Athene noctua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Bubulcus ibis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Chloris chloris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Ciconia ciconia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Cisticola juncidis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Delichon urbicum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</w:t>
            </w:r>
            <w:r>
              <w:rPr>
                <w:i/>
                <w:sz w:val="22"/>
              </w:rPr>
              <w:t>cirlus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meridionalis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Linaria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Merops apiaster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Miliaria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Milvus migrans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domesticus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Pica pica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unicolor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Rumunsko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campestris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Calandrella brachydactyla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Ciconia ciconia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frugilegus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melanocephala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Lanius </w:t>
            </w:r>
            <w:r>
              <w:rPr>
                <w:i/>
                <w:sz w:val="22"/>
              </w:rPr>
              <w:t>collurio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minor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Linaria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Melanocorypha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Perdix perdix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p w:rsidR="00407135" w:rsidRDefault="00D55DFA">
      <w:pPr>
        <w:widowControl/>
        <w:spacing w:before="120" w:after="120" w:line="360" w:lineRule="auto"/>
        <w:rPr>
          <w:rFonts w:eastAsia="Calibri"/>
          <w:szCs w:val="22"/>
        </w:rPr>
      </w:pPr>
      <w:r>
        <w:br w:type="page"/>
      </w: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Slovensko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Chloris chloris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Locustella naevia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Passer montanus 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Saxicola </w:t>
            </w:r>
            <w:r>
              <w:rPr>
                <w:i/>
                <w:sz w:val="22"/>
              </w:rPr>
              <w:t>torquatus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nisoria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p w:rsidR="00407135" w:rsidRDefault="00D55DFA">
      <w:pPr>
        <w:widowControl/>
        <w:spacing w:before="120" w:after="120" w:line="360" w:lineRule="auto"/>
        <w:rPr>
          <w:rFonts w:eastAsia="Calibri"/>
          <w:szCs w:val="22"/>
        </w:rPr>
      </w:pPr>
      <w:r>
        <w:br w:type="page"/>
      </w: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Slovinsko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Acrocephalus palustris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trivialis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Carduelis carduelis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Columba oenas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Columba</w:t>
            </w:r>
            <w:r>
              <w:rPr>
                <w:i/>
                <w:sz w:val="22"/>
              </w:rPr>
              <w:t xml:space="preserve"> palumbus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cirlus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citrinella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Jynx torquilla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Lullula arborea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Luscinia megarhynchos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flava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Phoenicurus phoenicurus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Picus viridis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torquatus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Serinus serinus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Španielsko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Alectoris rufa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Athene noctua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Calandrella brachydactyla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Carduelis </w:t>
            </w:r>
            <w:r>
              <w:rPr>
                <w:i/>
                <w:sz w:val="22"/>
              </w:rPr>
              <w:t>carduelis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Cisticola juncidis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monedula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Coturnix coturnix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Galerida cristata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Hirundo 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Linaria cannabina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Melanocorypha calandra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Merops apiaster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Oenanthe hispanica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domesticus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Pica pica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Pterocles orientalis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Streptopelia turtur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unicolor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Tetrax tetrax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Upupa epops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 w:val="22"/>
          <w:lang w:eastAsia="en-US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>
              <w:rPr>
                <w:b/>
                <w:sz w:val="22"/>
              </w:rPr>
              <w:t>Švédsko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Alauda arvensis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Anthus pratensis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Carduelis cannabina 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Corvus frugilegus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Emberiza citrinella 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Emberiza hortulana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Falco tinnunculus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 xml:space="preserve">Hirundo </w:t>
            </w:r>
            <w:r>
              <w:rPr>
                <w:i/>
                <w:sz w:val="22"/>
              </w:rPr>
              <w:t>rustica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Lanius collurio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Motacilla fl ava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Passer montanus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Saxicola rubetra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Sturnus vulgaris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Sylvia communis</w:t>
            </w:r>
          </w:p>
        </w:tc>
      </w:tr>
      <w:tr w:rsidR="00407135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135" w:rsidRDefault="00D55DFA">
            <w:pPr>
              <w:widowControl/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Vanellus vanellus</w:t>
            </w:r>
          </w:p>
        </w:tc>
      </w:tr>
    </w:tbl>
    <w:p w:rsidR="00407135" w:rsidRDefault="00407135">
      <w:pPr>
        <w:widowControl/>
        <w:spacing w:before="120" w:after="120" w:line="360" w:lineRule="auto"/>
        <w:rPr>
          <w:rFonts w:eastAsia="Calibri"/>
          <w:szCs w:val="22"/>
          <w:lang w:eastAsia="en-US"/>
        </w:rPr>
        <w:sectPr w:rsidR="00407135">
          <w:headerReference w:type="default" r:id="rId17"/>
          <w:footerReference w:type="default" r:id="rId18"/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:rsidR="00407135" w:rsidRDefault="00D55DFA">
      <w:pPr>
        <w:widowControl/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>
        <w:rPr>
          <w:b/>
          <w:u w:val="single"/>
        </w:rPr>
        <w:t>PRÍLOHA VI</w:t>
      </w:r>
      <w:r>
        <w:rPr>
          <w:b/>
        </w:rPr>
        <w:br/>
      </w:r>
      <w:r>
        <w:rPr>
          <w:b/>
        </w:rPr>
        <w:br/>
      </w:r>
      <w:r>
        <w:rPr>
          <w:b/>
          <w:u w:val="single"/>
        </w:rPr>
        <w:t>ZOZNAM UKAZOVATEĽOV BIODIVERZITY PRE LESNÉ EKOSYSTÉMY PODĽA ČLÁNKU 10 ODS. 2 A 2a</w:t>
      </w:r>
      <w:r>
        <w:rPr>
          <w:b/>
          <w:u w:val="double"/>
        </w:rPr>
        <w:t xml:space="preserve"> </w:t>
      </w:r>
    </w:p>
    <w:p w:rsidR="00407135" w:rsidRDefault="00407135">
      <w:pPr>
        <w:widowControl/>
        <w:suppressAutoHyphens/>
        <w:spacing w:before="120" w:after="120"/>
        <w:jc w:val="center"/>
        <w:rPr>
          <w:rFonts w:eastAsia="Calibri"/>
          <w:b/>
          <w:noProof/>
          <w:szCs w:val="22"/>
          <w:lang w:eastAsia="en-US"/>
        </w:rPr>
      </w:pPr>
    </w:p>
    <w:tbl>
      <w:tblPr>
        <w:tblStyle w:val="TableGrid1"/>
        <w:tblW w:w="14567" w:type="dxa"/>
        <w:tblLayout w:type="fixed"/>
        <w:tblLook w:val="04A0" w:firstRow="1" w:lastRow="0" w:firstColumn="1" w:lastColumn="0" w:noHBand="0" w:noVBand="1"/>
      </w:tblPr>
      <w:tblGrid>
        <w:gridCol w:w="2830"/>
        <w:gridCol w:w="11737"/>
      </w:tblGrid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jc w:val="center"/>
              <w:rPr>
                <w:b/>
                <w:noProof/>
                <w:szCs w:val="24"/>
              </w:rPr>
            </w:pPr>
            <w:r>
              <w:rPr>
                <w:b/>
              </w:rPr>
              <w:t>Ukazovateľ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135" w:rsidRDefault="00D55DFA">
            <w:pPr>
              <w:widowControl/>
              <w:spacing w:before="120" w:after="120"/>
              <w:jc w:val="center"/>
              <w:rPr>
                <w:b/>
                <w:noProof/>
                <w:szCs w:val="24"/>
              </w:rPr>
            </w:pPr>
            <w:r>
              <w:rPr>
                <w:b/>
              </w:rPr>
              <w:t>Opis, jednotky a metodika určovania a monitorovania ukazovateľa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t xml:space="preserve">Stojace mŕtve drevo 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Opis</w:t>
            </w:r>
            <w:r>
              <w:t xml:space="preserve">: Tento ukazovateľ znázorňuje množstvo neživej stojacej drevnej biomasy v lese a na inej lesnej pôde.  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Jednotka</w:t>
            </w:r>
            <w:r>
              <w:t>: m</w:t>
            </w:r>
            <w:r>
              <w:rPr>
                <w:vertAlign w:val="superscript"/>
              </w:rPr>
              <w:t>3</w:t>
            </w:r>
            <w:r>
              <w:t xml:space="preserve">/ha. 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</w:rPr>
              <w:t xml:space="preserve">Metodika: </w:t>
            </w:r>
            <w:r>
              <w:t xml:space="preserve">vyvinutá a použitá </w:t>
            </w:r>
            <w:r>
              <w:t xml:space="preserve">v publikácii FOREST EUROPE, State of Europe’s Forests 2020 (Stav európskych lesov v roku 2020), FOREST EUROPE 2020, a v opise národných inventarizácií lesov v publikácii Tomppo E. et al., National Forest Inventories, Pathways for Common Reporting (Národné </w:t>
            </w:r>
            <w:r>
              <w:t>inventarizácie lesov, spôsoby spoločného vykazovania), Springer, 2010, pričom sa berie do úvahy metodika stanovená v prílohe V k nariadeniu 2018/1999 v súlade s usmerneniami panela IPCC pre národné inventúry skleníkových plynov z roku 2006.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t xml:space="preserve">Ležiace mŕtve </w:t>
            </w:r>
            <w:r>
              <w:t>drevo</w:t>
            </w:r>
          </w:p>
          <w:p w:rsidR="00407135" w:rsidRDefault="00407135">
            <w:pPr>
              <w:widowControl/>
              <w:spacing w:before="120" w:after="120" w:line="360" w:lineRule="auto"/>
              <w:rPr>
                <w:szCs w:val="24"/>
              </w:rPr>
            </w:pPr>
          </w:p>
          <w:p w:rsidR="00407135" w:rsidRDefault="00407135">
            <w:pPr>
              <w:widowControl/>
              <w:spacing w:before="120" w:after="120" w:line="360" w:lineRule="auto"/>
              <w:rPr>
                <w:szCs w:val="24"/>
              </w:rPr>
            </w:pPr>
          </w:p>
          <w:p w:rsidR="00407135" w:rsidRDefault="00407135">
            <w:pPr>
              <w:widowControl/>
              <w:spacing w:before="120" w:after="120" w:line="360" w:lineRule="auto"/>
              <w:rPr>
                <w:szCs w:val="24"/>
              </w:rPr>
            </w:pPr>
          </w:p>
          <w:p w:rsidR="00407135" w:rsidRDefault="00407135">
            <w:pPr>
              <w:widowControl/>
              <w:spacing w:before="120" w:after="120" w:line="360" w:lineRule="auto"/>
              <w:rPr>
                <w:szCs w:val="24"/>
              </w:rPr>
            </w:pPr>
          </w:p>
          <w:p w:rsidR="00407135" w:rsidRDefault="00407135">
            <w:pPr>
              <w:widowControl/>
              <w:spacing w:before="120" w:after="120" w:line="360" w:lineRule="auto"/>
              <w:rPr>
                <w:szCs w:val="24"/>
              </w:rPr>
            </w:pPr>
          </w:p>
          <w:p w:rsidR="00407135" w:rsidRDefault="00407135">
            <w:pPr>
              <w:widowControl/>
              <w:spacing w:before="120" w:after="120" w:line="360" w:lineRule="auto"/>
              <w:ind w:firstLine="567"/>
              <w:rPr>
                <w:szCs w:val="24"/>
              </w:rPr>
            </w:pP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Opis</w:t>
            </w:r>
            <w:r>
              <w:t xml:space="preserve">: Tento ukazovateľ znázorňuje množstvo neživej drevnej biomasy ležiacej na zemi v lese a na inej lesnej pôde.  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Jednotka</w:t>
            </w:r>
            <w:r>
              <w:t>: m</w:t>
            </w:r>
            <w:r>
              <w:rPr>
                <w:vertAlign w:val="superscript"/>
              </w:rPr>
              <w:t>3</w:t>
            </w:r>
            <w:r>
              <w:t xml:space="preserve">/ha. </w:t>
            </w:r>
          </w:p>
          <w:p w:rsidR="00407135" w:rsidRDefault="00D55DFA">
            <w:pPr>
              <w:widowControl/>
              <w:spacing w:before="120" w:after="120"/>
              <w:rPr>
                <w:b/>
                <w:noProof/>
                <w:szCs w:val="24"/>
              </w:rPr>
            </w:pPr>
            <w:r>
              <w:rPr>
                <w:b/>
              </w:rPr>
              <w:t xml:space="preserve">Metodika: </w:t>
            </w:r>
            <w:r>
              <w:t>vyvinutá a použitá v publikácii FOREST EUROPE, State of Europe’s Forests 2020 (Stav európskych lesov</w:t>
            </w:r>
            <w:r>
              <w:t xml:space="preserve"> v roku 2020), FOREST EUROPE 2020, a v opise národných inventarizácií lesov v publikácii Tomppo E. et al., National Forest Inventories, Pathways for Common Reporting (Národné inventarizácie lesov, spôsoby spoločného vykazovania), Springer, 2010, pričom sa </w:t>
            </w:r>
            <w:r>
              <w:t>berie do úvahy metodika stanovená v prílohe V k nariadeniu 2018/1999 v súlade s usmerneniami panela IPCC pre národné inventúry skleníkových plynov z roku 2006.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pageBreakBefore/>
              <w:widowControl/>
              <w:spacing w:before="120" w:after="120"/>
              <w:rPr>
                <w:b/>
                <w:noProof/>
                <w:szCs w:val="24"/>
              </w:rPr>
            </w:pPr>
            <w:r>
              <w:t>Podiel lesov s nerovnomernou vekovou štruktúrou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</w:rPr>
              <w:t xml:space="preserve">Opis: </w:t>
            </w:r>
            <w:r>
              <w:t xml:space="preserve">Tento ukazovateľ označuje podiel lesov, ktoré sú dostupné na získavanie dreva a ktoré sa vyznačujú nerovnomernou vekovou štruktúrou, v porovnaní s lesmi, ktoré sa vyznačujú rovnomernou vekovou štruktúrou. 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Jednotka</w:t>
            </w:r>
            <w:r>
              <w:rPr>
                <w:b/>
              </w:rPr>
              <w:t xml:space="preserve">: </w:t>
            </w:r>
            <w:r>
              <w:t>podiel lesov dostupných na získavanie dr</w:t>
            </w:r>
            <w:r>
              <w:t>eva a vyznačujúcich sa nerovnomernou vekovou štruktúrou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</w:rPr>
              <w:t xml:space="preserve">Metodika: </w:t>
            </w:r>
            <w:r>
              <w:t>vyvinutá a použitá v publikácii FOREST EUROPE, State of Europe’s Forests 2020 (Stav európskych lesov v roku 2020), FOREST EUROPE 2020, a v opise národných inventarizácií lesov v publikácii T</w:t>
            </w:r>
            <w:r>
              <w:t>omppo E. et al., National Forest Inventories, Pathways for Common Reporting (Národné inventarizácie lesov, spôsoby spoločného vykazovania), Springer, 2010.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t>Celistvosť lesov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</w:rPr>
              <w:t>Opis:</w:t>
            </w:r>
            <w:r>
              <w:t xml:space="preserve"> Celistvosť lesov je stupeň kompaktnosti zalesnených oblastí. Vymedzuje sa v </w:t>
            </w:r>
            <w:r>
              <w:t>rozsahu od 0 do 100.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Jednotka</w:t>
            </w:r>
            <w:r>
              <w:rPr>
                <w:b/>
              </w:rPr>
              <w:t xml:space="preserve">: </w:t>
            </w:r>
            <w:r>
              <w:t xml:space="preserve">index 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</w:rPr>
              <w:t>Metodika:</w:t>
            </w:r>
            <w:r>
              <w:t xml:space="preserve"> vypracovaná v publikácii FAO, Vogt P., et al., FAO – State of the World’s Forests:</w:t>
            </w:r>
            <w:r>
              <w:rPr>
                <w:i/>
              </w:rPr>
              <w:t xml:space="preserve"> Forest Fragmentation</w:t>
            </w:r>
            <w:r>
              <w:t xml:space="preserve"> (FAO – Stav svetových lesov: fragmentácia lesov), technická správa JRC, Úrad pre vydávanie publikácií Eu</w:t>
            </w:r>
            <w:r>
              <w:t>rópskej únie, Luxemburg, 2019.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t xml:space="preserve">Index bežných druhov lesného vtáctva 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</w:rPr>
              <w:t xml:space="preserve">Opis: </w:t>
            </w:r>
            <w:r>
              <w:t>Ukazovateľ druhov lesného vtáctva opisuje trendy početnosti bežných druhov lesného vtáctva v priebehu času v celej Európe. Ide o zložený index vytvorený na základe údajov získaných</w:t>
            </w:r>
            <w:r>
              <w:t xml:space="preserve"> pozorovaním druhov vtákov charakteristických pre lesné biotopy v Európe. Index je založený na osobitnom zozname druhov v každom členskom štáte.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Jednotka</w:t>
            </w:r>
            <w:r>
              <w:rPr>
                <w:b/>
              </w:rPr>
              <w:t xml:space="preserve">: </w:t>
            </w:r>
            <w:r>
              <w:t>index</w:t>
            </w:r>
          </w:p>
          <w:p w:rsidR="00407135" w:rsidRDefault="00D55DFA">
            <w:pPr>
              <w:widowControl/>
              <w:spacing w:before="120" w:after="120"/>
              <w:rPr>
                <w:b/>
                <w:noProof/>
                <w:szCs w:val="24"/>
              </w:rPr>
            </w:pPr>
            <w:r>
              <w:rPr>
                <w:b/>
              </w:rPr>
              <w:t xml:space="preserve">Metodika: </w:t>
            </w:r>
            <w:r>
              <w:t>Brlík et al.: Long-term and large-scale multispecies dataset tracking population chan</w:t>
            </w:r>
            <w:r>
              <w:t xml:space="preserve">ges of common European breeding birds (Súbory údajov zo sledovania dlhodobých a rozsiahlych populačných zmien viacerých druhov bežných európskych hniezdiacich vtákov). Sci Data 8, 21. 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pageBreakBefore/>
              <w:widowControl/>
              <w:spacing w:before="120" w:after="120"/>
              <w:rPr>
                <w:noProof/>
                <w:szCs w:val="24"/>
              </w:rPr>
            </w:pPr>
            <w:r>
              <w:t xml:space="preserve">Zásoby organického uhlíka  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Opis</w:t>
            </w:r>
            <w:r>
              <w:t>: Tento ukazovateľ opisuje zásoby orga</w:t>
            </w:r>
            <w:r>
              <w:t>nického uhlíka v hrabanke a minerálnych pôdach lesných ekosystémov v hĺbke 0 až 30 cm.</w:t>
            </w:r>
          </w:p>
          <w:p w:rsidR="00407135" w:rsidRDefault="00D55DFA">
            <w:pPr>
              <w:widowControl/>
              <w:spacing w:before="120" w:after="120"/>
              <w:rPr>
                <w:noProof/>
                <w:szCs w:val="24"/>
              </w:rPr>
            </w:pPr>
            <w:r>
              <w:rPr>
                <w:b/>
                <w:bCs/>
              </w:rPr>
              <w:t>Jednotka</w:t>
            </w:r>
            <w:r>
              <w:t>: tony organického uhlíka/ha</w:t>
            </w:r>
          </w:p>
          <w:p w:rsidR="00407135" w:rsidRDefault="00D55DFA">
            <w:pPr>
              <w:widowControl/>
              <w:spacing w:before="120" w:after="120"/>
              <w:rPr>
                <w:b/>
                <w:bCs/>
                <w:noProof/>
                <w:szCs w:val="24"/>
              </w:rPr>
            </w:pPr>
            <w:r>
              <w:rPr>
                <w:b/>
              </w:rPr>
              <w:t>Metodika:</w:t>
            </w:r>
            <w:r>
              <w:t xml:space="preserve"> ako sa stanovuje v prílohe V k nariadeniu 2018/1999 v súlade s usmerneniami IPCC pre národné inventúry skleníkových plynov</w:t>
            </w:r>
            <w:r>
              <w:t xml:space="preserve"> z roku 2006 a s podporou rámcového štatistického prehľadu pôdy a jej využitia (Land Use and Coverage Area frame Survey – LUCAS) Soil, Jones A. et al., LUCAS Soil 2022, technická správa JRC, Úrad pre vydávanie publikácií Európskej únie, 2021.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Podiel </w:t>
            </w:r>
            <w:r>
              <w:rPr>
                <w:b/>
                <w:i/>
              </w:rPr>
              <w:t>lesov, v ktorých prevládajú pôvodné druhy stromov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Opis: Podiel lesa a inej zalesnenej pôdy, v ktorej prevládajú pôvodné druhy stromov (&gt; 50 % pokrytia) </w:t>
            </w:r>
          </w:p>
          <w:p w:rsidR="00407135" w:rsidRDefault="00D55DFA">
            <w:pPr>
              <w:widowControl/>
              <w:spacing w:before="120" w:after="120"/>
              <w:rPr>
                <w:b/>
                <w:i/>
                <w:szCs w:val="24"/>
              </w:rPr>
            </w:pPr>
            <w:r>
              <w:rPr>
                <w:b/>
                <w:bCs/>
                <w:i/>
              </w:rPr>
              <w:t>Jednotka</w:t>
            </w:r>
            <w:r>
              <w:rPr>
                <w:b/>
                <w:i/>
              </w:rPr>
              <w:t>: %</w:t>
            </w:r>
          </w:p>
          <w:p w:rsidR="00407135" w:rsidRDefault="00D55DFA">
            <w:pPr>
              <w:widowControl/>
              <w:spacing w:before="120" w:after="120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Metodika: vyvinutá a použitá v publikácii FOREST EUROPE, State of Europe’s Forests 2020 (St</w:t>
            </w:r>
            <w:r>
              <w:rPr>
                <w:b/>
                <w:i/>
              </w:rPr>
              <w:t>av európskych lesov v roku 2020), FOREST EUROPE 2020, a v opise národných inventarizácií lesov v publikácii Tomppo E. et al., National Forest Inventories, Pathways for Common Reporting (Národné inventarizácie lesov, spôsoby spoločného vykazovania), Springe</w:t>
            </w:r>
            <w:r>
              <w:rPr>
                <w:b/>
                <w:i/>
              </w:rPr>
              <w:t>r, 2010.</w:t>
            </w:r>
          </w:p>
        </w:tc>
      </w:tr>
      <w:tr w:rsidR="0040713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Rozmanitosť druhov stromov.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35" w:rsidRDefault="00D55DFA">
            <w:pPr>
              <w:widowControl/>
              <w:spacing w:before="120" w:after="120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Opis: Tento ukazovateľ opisuje priemerný počet druhov stromov vyskytujúcich sa v lesných oblastiach.</w:t>
            </w:r>
          </w:p>
          <w:p w:rsidR="00407135" w:rsidRDefault="00D55DFA">
            <w:pPr>
              <w:widowControl/>
              <w:spacing w:before="120" w:after="120"/>
              <w:rPr>
                <w:b/>
                <w:i/>
                <w:szCs w:val="24"/>
              </w:rPr>
            </w:pPr>
            <w:r>
              <w:rPr>
                <w:b/>
                <w:bCs/>
                <w:i/>
              </w:rPr>
              <w:t>Jednotka</w:t>
            </w:r>
            <w:r>
              <w:rPr>
                <w:b/>
                <w:i/>
              </w:rPr>
              <w:t xml:space="preserve">: index </w:t>
            </w:r>
          </w:p>
          <w:p w:rsidR="00407135" w:rsidRDefault="00D55DFA">
            <w:pPr>
              <w:widowControl/>
              <w:spacing w:before="120" w:after="120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Metodika: založená na publikácii FOREST EUROPE, </w:t>
            </w:r>
            <w:r>
              <w:rPr>
                <w:b/>
                <w:i/>
                <w:iCs/>
              </w:rPr>
              <w:t>State of Europe’s Forests 2020</w:t>
            </w:r>
            <w:r>
              <w:rPr>
                <w:b/>
                <w:i/>
              </w:rPr>
              <w:t xml:space="preserve"> (Stav európskych leso</w:t>
            </w:r>
            <w:r>
              <w:rPr>
                <w:b/>
                <w:i/>
              </w:rPr>
              <w:t xml:space="preserve">v v roku 2020), FOREST EUROPE 2020, a v opise národných inventarizácií lesov v publikácii </w:t>
            </w:r>
            <w:r>
              <w:rPr>
                <w:b/>
                <w:i/>
                <w:iCs/>
              </w:rPr>
              <w:t>Tomppo E. et al., National Forest Inventories, Pathways for Common Reporting</w:t>
            </w:r>
            <w:r>
              <w:rPr>
                <w:b/>
                <w:i/>
              </w:rPr>
              <w:t xml:space="preserve"> (Národné inventarizácie lesov, spôsoby spoločného vykazovania), Springer, 2010.</w:t>
            </w:r>
          </w:p>
        </w:tc>
      </w:tr>
    </w:tbl>
    <w:p w:rsidR="00407135" w:rsidRDefault="00407135">
      <w:pPr>
        <w:widowControl/>
        <w:suppressAutoHyphens/>
        <w:spacing w:before="120" w:after="120"/>
        <w:rPr>
          <w:rFonts w:eastAsia="Calibri"/>
          <w:noProof/>
          <w:szCs w:val="22"/>
          <w:lang w:eastAsia="en-US"/>
        </w:rPr>
      </w:pPr>
    </w:p>
    <w:p w:rsidR="00407135" w:rsidRDefault="00407135">
      <w:pPr>
        <w:widowControl/>
        <w:spacing w:before="120" w:after="120" w:line="360" w:lineRule="auto"/>
        <w:rPr>
          <w:rFonts w:eastAsia="Calibri"/>
          <w:szCs w:val="22"/>
          <w:lang w:eastAsia="en-US"/>
        </w:rPr>
        <w:sectPr w:rsidR="00407135">
          <w:headerReference w:type="default" r:id="rId19"/>
          <w:footerReference w:type="default" r:id="rId20"/>
          <w:footnotePr>
            <w:numRestart w:val="eachSect"/>
          </w:footnotePr>
          <w:pgSz w:w="16839" w:h="11907" w:orient="landscape"/>
          <w:pgMar w:top="1134" w:right="1134" w:bottom="1134" w:left="1134" w:header="567" w:footer="567" w:gutter="0"/>
          <w:cols w:space="720"/>
          <w:docGrid w:linePitch="360"/>
        </w:sectPr>
      </w:pPr>
    </w:p>
    <w:p w:rsidR="00407135" w:rsidRDefault="00D55DFA">
      <w:pPr>
        <w:widowControl/>
        <w:suppressAutoHyphens/>
        <w:spacing w:before="120" w:after="120" w:line="360" w:lineRule="auto"/>
        <w:ind w:left="851" w:hanging="851"/>
        <w:jc w:val="center"/>
        <w:rPr>
          <w:rFonts w:eastAsia="Calibri"/>
          <w:b/>
          <w:noProof/>
          <w:szCs w:val="22"/>
          <w:u w:val="single"/>
        </w:rPr>
      </w:pPr>
      <w:r>
        <w:rPr>
          <w:b/>
          <w:u w:val="single"/>
        </w:rPr>
        <w:t>PRÍLOHA VII</w:t>
      </w:r>
    </w:p>
    <w:p w:rsidR="00407135" w:rsidRDefault="00D55DFA">
      <w:pPr>
        <w:widowControl/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  <w:shd w:val="clear" w:color="auto" w:fill="FFFFFF"/>
        </w:rPr>
      </w:pPr>
      <w:r>
        <w:rPr>
          <w:b/>
          <w:u w:val="single"/>
          <w:shd w:val="clear" w:color="auto" w:fill="FFFFFF"/>
        </w:rPr>
        <w:t xml:space="preserve">ZOZNAM PRÍKLADOV OPATRENÍ NA OBNOVU PODĽA ČLÁNKU 11 ODS. 8 </w:t>
      </w:r>
    </w:p>
    <w:p w:rsidR="00407135" w:rsidRDefault="00D55DFA">
      <w:pPr>
        <w:widowControl/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>
        <w:rPr>
          <w:b/>
          <w:u w:val="single"/>
          <w:shd w:val="clear" w:color="auto" w:fill="FFFFFF"/>
        </w:rPr>
        <w:t>článok 11 ods. 8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(1)</w:t>
      </w:r>
      <w:r>
        <w:tab/>
        <w:t xml:space="preserve">Obnova mokradí opätovným zavlažovaním odvodnených rašelinísk, odstránením drenážnych štruktúr rašelinísk alebo odstránením poldrov </w:t>
      </w:r>
      <w:r>
        <w:t>a ukončením ťažby rašeliny.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(2)</w:t>
      </w:r>
      <w:r>
        <w:tab/>
        <w:t xml:space="preserve">Zlepšenie hydrologických podmienok zvýšením kvantity, kvality a dynamiky povrchových vôd a úrovne podzemnej vody v prírodných a poloprírodných ekosystémoch.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noProof/>
          <w:szCs w:val="22"/>
        </w:rPr>
      </w:pPr>
      <w:r>
        <w:t>(3)</w:t>
      </w:r>
      <w:r>
        <w:tab/>
        <w:t>Odstránenie neželaného prenikania krovín alebo nepôvodných kul</w:t>
      </w:r>
      <w:r>
        <w:t>túr do trávnych porastov, mokradí, lesov a na územia riedko pokryté vegetáciou.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(4)</w:t>
      </w:r>
      <w:r>
        <w:tab/>
        <w:t xml:space="preserve">Aplikácia paludikultúry.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noProof/>
          <w:szCs w:val="24"/>
        </w:rPr>
      </w:pPr>
      <w:r>
        <w:t>(5)</w:t>
      </w:r>
      <w:r>
        <w:tab/>
        <w:t xml:space="preserve">Obnova meandrov riek a opätovné prepojenie umelo prerušených meandrov alebo mŕtvych ramien.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(6)</w:t>
      </w:r>
      <w:r>
        <w:tab/>
        <w:t>Odstránenie pozdĺžnych a priečnych bariér (ak</w:t>
      </w:r>
      <w:r>
        <w:t>o sú hrádze a priehrady), poskytnutie väčšieho priestoru dynamike riek a obnova ich úsekov s voľným tokom.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(7)</w:t>
      </w:r>
      <w:r>
        <w:tab/>
        <w:t>Renaturalizácia riečnych dien a jazier a nížinných vodných tokov, napr. odstránením umelého spevnenia dna, optimalizáciou zloženia substrátu, zle</w:t>
      </w:r>
      <w:r>
        <w:t xml:space="preserve">pšením alebo vytvorením pokrytia biotopom.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(8)</w:t>
      </w:r>
      <w:r>
        <w:tab/>
        <w:t>Obnova procesov prirodzenej sedimentácie.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(9)</w:t>
      </w:r>
      <w:r>
        <w:tab/>
        <w:t xml:space="preserve">Vytvorenie príbrežných zón, napr. príbrežných lesov, nárazníkových zón, lúk alebo pastvín.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(10)</w:t>
      </w:r>
      <w:r>
        <w:tab/>
        <w:t>Zvýšenie množstva ekologických prvkov v lesoch, ako sú veľké, sta</w:t>
      </w:r>
      <w:r>
        <w:t>ré a odumierajúce stromy (stromové biotopy) a množstvo ležiaceho a stojaceho mŕtveho dreva.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b/>
          <w:noProof/>
          <w:szCs w:val="22"/>
          <w:u w:val="single"/>
        </w:rPr>
      </w:pPr>
      <w:r>
        <w:t>(11)</w:t>
      </w:r>
      <w:r>
        <w:tab/>
        <w:t>Úsilie o diverzifikáciu štruktúry lesov, pokiaľ ide o napríklad druhové zloženie a vek, umožnenie prirodzenej obnovy a sukcesie druhov stromov.</w:t>
      </w:r>
    </w:p>
    <w:p w:rsidR="00407135" w:rsidRDefault="00D55DFA">
      <w:pPr>
        <w:widowControl/>
        <w:suppressAutoHyphens/>
        <w:spacing w:before="120" w:after="120" w:line="360" w:lineRule="auto"/>
        <w:ind w:left="851" w:hanging="851"/>
        <w:rPr>
          <w:rFonts w:eastAsia="Calibri"/>
          <w:b/>
          <w:i/>
          <w:szCs w:val="22"/>
        </w:rPr>
      </w:pPr>
      <w:r>
        <w:rPr>
          <w:b/>
          <w:i/>
        </w:rPr>
        <w:t>11a)</w:t>
      </w:r>
      <w:r>
        <w:rPr>
          <w:b/>
          <w:i/>
        </w:rPr>
        <w:tab/>
        <w:t xml:space="preserve">Pomoc pri </w:t>
      </w:r>
      <w:r>
        <w:rPr>
          <w:b/>
          <w:i/>
        </w:rPr>
        <w:t>migrácii miest pôvodu a druhov tam, kde to môže byť v dôsledku zmeny klímy potrebné.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(12)</w:t>
      </w:r>
      <w:r>
        <w:tab/>
        <w:t xml:space="preserve">Posilnenie rozmanitosti lesov obnovou mozaík nelesných biotopov, ako sú otvorené plochy trávnych porastov alebo vresovísk, rybníkov alebo skalnatých oblastí.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(13)</w:t>
      </w:r>
      <w:r>
        <w:tab/>
        <w:t>Vy</w:t>
      </w:r>
      <w:r>
        <w:t>užívanie prírode blízkeho hospodárenia v lesoch alebo hospodárenia založeného na trvalej pokrývke; vysádzanie pôvodných druhov stromov.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(14)</w:t>
      </w:r>
      <w:r>
        <w:tab/>
        <w:t>Posilnenie rozvoja pôvodných pralesovitých porastov a dospelých porastov (napr. rušením ťažby alebo aktívnym riaden</w:t>
      </w:r>
      <w:r>
        <w:t>ím, ktoré podporuje rozvoj samoregulačných funkcií a primeranej odolnosti).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(15)</w:t>
      </w:r>
      <w:r>
        <w:tab/>
        <w:t>Zavádzanie krajinných prvkov s vysokou úrovňou diverzity na ornej pôde a intenzívne využívaných trávnych porastoch, ako sú nárazníkové zóny, medze s pôvodnými kvetmi, živé plo</w:t>
      </w:r>
      <w:r>
        <w:t xml:space="preserve">ty, stromy, lesíky, oporné múry, rybníky, koridory biotopov a spojovacie prvky na uľahčenie pohybu v biotope atď.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noProof/>
          <w:szCs w:val="22"/>
        </w:rPr>
      </w:pPr>
      <w:r>
        <w:t>(16)</w:t>
      </w:r>
      <w:r>
        <w:tab/>
        <w:t>Zväčšenie poľnohospodárskej plochy s agroekologickým hospodárením, ako sú ekologické poľnohospodárstvo alebo agrolesníctvo, súčasné pest</w:t>
      </w:r>
      <w:r>
        <w:t>ovanie viacerých plodín a ich striedanie, integrovaná ochrana proti škodcom a integrované hospodárenie so živinami.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(17)</w:t>
      </w:r>
      <w:r>
        <w:tab/>
        <w:t>Prípadné zníženie intenzity pastvy alebo obmedzenie režimov kosby na trávnych porastoch a obnova extenzívnej pastvy s domácimi hospodár</w:t>
      </w:r>
      <w:r>
        <w:t xml:space="preserve">skymi zvieratami a extenzívnych režimov kosby tam, kde sa od nich upustilo.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bookmarkStart w:id="92" w:name="_Hlk132894426"/>
      <w:r>
        <w:t>(18)</w:t>
      </w:r>
      <w:r>
        <w:tab/>
        <w:t>Zastavenie alebo obmedzenie používania chemických pesticídov, ako aj chemických hnojív a živočíšneho hnoja.</w:t>
      </w:r>
    </w:p>
    <w:bookmarkEnd w:id="92"/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(19)</w:t>
      </w:r>
      <w:r>
        <w:tab/>
      </w:r>
      <w:r>
        <w:t xml:space="preserve">Zastavenie preorávania trávnych porastov a vysievania semien produktívnych tráv.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(20)</w:t>
      </w:r>
      <w:r>
        <w:tab/>
        <w:t>Odstránenie kultúr na bývalých dynamických systémoch vnútrozemských dún s cieľom znovu umožniť prirodzenú dynamiku vetra v prospech otvorených biotopov.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(21)</w:t>
      </w:r>
      <w:r>
        <w:tab/>
        <w:t>Zlepšenie p</w:t>
      </w:r>
      <w:r>
        <w:t xml:space="preserve">repojenia medzi biotopmi s cieľom umožniť rozvoj populácií druhov a dostatočnú individuálnu alebo genetickú výmenu, ako aj migráciu druhov a adaptáciu na zmenu klímy.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(22)</w:t>
      </w:r>
      <w:r>
        <w:tab/>
        <w:t>Umožnenie rozvoja vlastnej prirodzenej dynamiky ekosystémov, napríklad upustením od</w:t>
      </w:r>
      <w:r>
        <w:t xml:space="preserve"> zberu úrody a podporou prirodzenosti, prírodnosti.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br w:type="page"/>
        <w:t>(23)</w:t>
      </w:r>
      <w:r>
        <w:tab/>
        <w:t xml:space="preserve">Odstraňovanie a kontrola inváznych nepôvodných druhov a predchádzanie ich opätovnej introdukcii alebo jej minimalizácia.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(24)</w:t>
      </w:r>
      <w:r>
        <w:tab/>
        <w:t>Minimalizácia negatívnych vplyvov rybolovných činností na morský ekosy</w:t>
      </w:r>
      <w:r>
        <w:t>stém, napríklad používaním výstroja s menším vplyvom na morské dno.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(25)</w:t>
      </w:r>
      <w:r>
        <w:tab/>
        <w:t>Obnova dôležitých neresísk a odchovní.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(26)</w:t>
      </w:r>
      <w:r>
        <w:tab/>
        <w:t xml:space="preserve">Poskytovanie štruktúr alebo substrátov na podporu návratu morského života, napríklad koralových/ustricových/balvanových útesov.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(27)</w:t>
      </w:r>
      <w:r>
        <w:tab/>
      </w:r>
      <w:r>
        <w:t>Obnova porastov morskej trávy a kelpových lesov aktívnou stabilizáciou morského dna, znižovaním a podľa možnosti odstraňovaním tlakov alebo aktívnym množením a výsadbou.</w:t>
      </w:r>
    </w:p>
    <w:p w:rsidR="00407135" w:rsidRDefault="00D55DFA">
      <w:pPr>
        <w:widowControl/>
        <w:suppressAutoHyphens/>
        <w:spacing w:before="120" w:after="120" w:line="360" w:lineRule="auto"/>
        <w:ind w:left="851" w:hanging="851"/>
        <w:rPr>
          <w:rFonts w:eastAsia="Calibri"/>
          <w:b/>
          <w:bCs/>
          <w:i/>
          <w:noProof/>
          <w:szCs w:val="22"/>
        </w:rPr>
      </w:pPr>
      <w:r>
        <w:rPr>
          <w:b/>
          <w:i/>
        </w:rPr>
        <w:t>27a)</w:t>
      </w:r>
      <w:r>
        <w:rPr>
          <w:b/>
          <w:i/>
        </w:rPr>
        <w:tab/>
        <w:t>Obnova alebo zlepšenie stavu populácií charakteristických pôvodných druhov, ktoré</w:t>
      </w:r>
      <w:r>
        <w:rPr>
          <w:b/>
          <w:i/>
        </w:rPr>
        <w:t xml:space="preserve"> sú životne dôležité pre ekológiu morských biotopov, vykonávaním pasívnych alebo aktívnych opatrení na obnovu, napr. introdukovaním mladých jedincov.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(28)</w:t>
      </w:r>
      <w:r>
        <w:tab/>
        <w:t>Obmedzovanie rôznych foriem znečistenia morí, ako napríklad zaťaženia živinami, podmorského hluku a p</w:t>
      </w:r>
      <w:r>
        <w:t xml:space="preserve">lastového odpadu.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(29)</w:t>
      </w:r>
      <w:r>
        <w:tab/>
        <w:t xml:space="preserve">Rozšírenie priestranstiev mestskej zelene s ekologickými prvkami, ako sú parky, stromy a lesné plochy </w:t>
      </w:r>
      <w:r>
        <w:rPr>
          <w:rFonts w:ascii="Arial" w:hAnsi="Arial"/>
          <w:snapToGrid w:val="0"/>
        </w:rPr>
        <w:t>▌</w:t>
      </w:r>
      <w:r>
        <w:t>, zelené strechy, trávne porasty s poľnými kvetmi, záhrady, pestovanie rastlín v mestách, ulice s alejami stromov, mestské lúky a</w:t>
      </w:r>
      <w:r>
        <w:t xml:space="preserve"> živé ploty, rybníky a vodné toky, </w:t>
      </w:r>
      <w:bookmarkStart w:id="93" w:name="_Hlk133182370"/>
      <w:r>
        <w:rPr>
          <w:b/>
          <w:bCs/>
          <w:i/>
          <w:iCs/>
        </w:rPr>
        <w:t>pričom sa okrem iného prihliadne na rozmanitosť druhov, pôvodné druhy, miestne podmienky a odolnosť voči zmene klímy</w:t>
      </w:r>
      <w:bookmarkEnd w:id="93"/>
      <w:r>
        <w:t>.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>
        <w:t>(30)</w:t>
      </w:r>
      <w:r>
        <w:tab/>
        <w:t>Zastavenie, obmedzenie alebo náprava znečistenia spôsobeného liekmi, nebezpečnými chemikáliami, ko</w:t>
      </w:r>
      <w:r>
        <w:t xml:space="preserve">munálnymi a priemyselnými odpadovými vodami a iným odpadom vrátane odpadkov a plastov, ako aj svetlom vo všetkých ekosystémoch. </w:t>
      </w:r>
    </w:p>
    <w:p w:rsidR="00407135" w:rsidRDefault="00D55DFA">
      <w:pPr>
        <w:widowControl/>
        <w:spacing w:before="120" w:after="120" w:line="360" w:lineRule="auto"/>
        <w:ind w:left="851" w:hanging="851"/>
        <w:rPr>
          <w:rFonts w:eastAsia="Calibri"/>
          <w:szCs w:val="22"/>
        </w:rPr>
      </w:pPr>
      <w:r>
        <w:t>(31)</w:t>
      </w:r>
      <w:r>
        <w:tab/>
        <w:t>Premena opustených priemyselných pozemkov, bývalých priemyselných oblastí a lomov na prírodné lokality.</w:t>
      </w:r>
    </w:p>
    <w:p w:rsidR="00407135" w:rsidRDefault="00407135">
      <w:pPr>
        <w:widowControl/>
        <w:pBdr>
          <w:bottom w:val="single" w:sz="4" w:space="0" w:color="000000"/>
        </w:pBdr>
        <w:spacing w:before="360" w:after="120" w:line="360" w:lineRule="auto"/>
        <w:ind w:left="3400" w:right="3400"/>
        <w:jc w:val="center"/>
        <w:rPr>
          <w:rFonts w:eastAsia="Calibri"/>
          <w:b/>
          <w:szCs w:val="22"/>
          <w:lang w:eastAsia="en-US"/>
        </w:rPr>
      </w:pPr>
    </w:p>
    <w:p w:rsidR="00407135" w:rsidRDefault="00407135">
      <w:pPr>
        <w:widowControl/>
        <w:spacing w:before="120" w:after="120" w:line="360" w:lineRule="auto"/>
        <w:rPr>
          <w:rFonts w:eastAsia="Calibri"/>
          <w:szCs w:val="22"/>
          <w:lang w:eastAsia="en-US"/>
        </w:rPr>
      </w:pPr>
    </w:p>
    <w:p w:rsidR="00407135" w:rsidRDefault="00407135">
      <w:pPr>
        <w:spacing w:before="240" w:after="240"/>
        <w:jc w:val="right"/>
      </w:pPr>
    </w:p>
    <w:sectPr w:rsidR="0040713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135" w:rsidRDefault="00D55DFA">
      <w:r>
        <w:separator/>
      </w:r>
    </w:p>
  </w:endnote>
  <w:endnote w:type="continuationSeparator" w:id="0">
    <w:p w:rsidR="00407135" w:rsidRDefault="00D5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0">
    <w:altName w:val="Cambria"/>
    <w:panose1 w:val="00000000000000000000"/>
    <w:charset w:val="00"/>
    <w:family w:val="roman"/>
    <w:notTrueType/>
    <w:pitch w:val="default"/>
  </w:font>
  <w:font w:name="Roboto Black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>
    <w:pPr>
      <w:pStyle w:val="EPFooter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>
    <w:pPr>
      <w:pStyle w:val="EPFooter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135" w:rsidRDefault="00D55DFA">
      <w:r>
        <w:separator/>
      </w:r>
    </w:p>
  </w:footnote>
  <w:footnote w:type="continuationSeparator" w:id="0">
    <w:p w:rsidR="00407135" w:rsidRDefault="00D55DFA">
      <w:r>
        <w:continuationSeparator/>
      </w:r>
    </w:p>
  </w:footnote>
  <w:footnote w:id="1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t>*</w:t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>Odkazmi na „cp“ v nadpisoch prijatých pozmeňujúcich návrhov sa rozumie zodpovedajúca časť príslušných pozmeňujúcich návrhov.</w:t>
      </w:r>
    </w:p>
  </w:footnote>
  <w:footnote w:id="2">
    <w:p w:rsidR="00407135" w:rsidRDefault="00D55DFA">
      <w:pPr>
        <w:ind w:left="851" w:hanging="851"/>
        <w:rPr>
          <w:szCs w:val="24"/>
        </w:rPr>
      </w:pPr>
      <w:r>
        <w:rPr>
          <w:rStyle w:val="FootnoteReference"/>
          <w:szCs w:val="24"/>
        </w:rPr>
        <w:footnoteRef/>
      </w:r>
      <w:r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  <w:lang w:eastAsia="fr-FR"/>
        </w:rPr>
        <w:t>Vec bola vrátená gestorskému výboru na medziinštitucionálne rokovania podľa článku 59 ods. 4 štvrtého pododseku (A9-0220/2023).</w:t>
      </w:r>
    </w:p>
  </w:footnote>
  <w:footnote w:id="3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t>*</w:t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Pozmeňujúce návrhy: nový alebo zmenený text je vyznačený hrubou kurzívou; vypustenia sa označujú symbolom ▌.</w:t>
      </w:r>
    </w:p>
  </w:footnote>
  <w:footnote w:id="4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Ú. v. EÚ C …, …, s. ….</w:t>
      </w:r>
    </w:p>
  </w:footnote>
  <w:footnote w:id="5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Oznámenie Komisie Európskemu parlamentu, Európskej Rade, Rade, Európskemu hospodárskemu a sociálnemu výboru a Výboru </w:t>
      </w:r>
      <w:r>
        <w:rPr>
          <w:sz w:val="24"/>
          <w:szCs w:val="24"/>
          <w:lang w:val="sk-SK"/>
        </w:rPr>
        <w:t>regiónov, Európska zelená dohoda, 11. 12. 2019 [COM(2019) 640 final].</w:t>
      </w:r>
    </w:p>
  </w:footnote>
  <w:footnote w:id="6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Oznámenie Komisie Európskemu parlamentu, Rade, Európskemu hospodárskemu a sociálnemu výboru a Výboru regiónov, Stratégia EÚ v oblasti biodiverzity do roku 2030, Prinavrátenie prírody d</w:t>
      </w:r>
      <w:r>
        <w:rPr>
          <w:sz w:val="24"/>
          <w:szCs w:val="24"/>
          <w:lang w:val="sk-SK"/>
        </w:rPr>
        <w:t>o našich životov, 20. 5. 2020 [COM(2020) 380 final].</w:t>
      </w:r>
    </w:p>
  </w:footnote>
  <w:footnote w:id="7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Rozhodnutie Rady 93/626/EHS z 25. októbra 1993 o uzavretí Dohovoru o biologickej diverzite (Ú. v. ES L 309, 13.12.1993, s. 1).</w:t>
      </w:r>
    </w:p>
  </w:footnote>
  <w:footnote w:id="8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hyperlink r:id="rId1">
        <w:r>
          <w:rPr>
            <w:rStyle w:val="Internetlnk"/>
            <w:sz w:val="24"/>
            <w:szCs w:val="24"/>
            <w:lang w:val="sk-SK"/>
          </w:rPr>
          <w:tab/>
        </w:r>
        <w:r>
          <w:rPr>
            <w:rStyle w:val="Internetlnk"/>
            <w:sz w:val="24"/>
            <w:szCs w:val="24"/>
            <w:lang w:val="sk-SK"/>
          </w:rPr>
          <w:t>https://www.cbd.int/decision/cop/?id=12268</w:t>
        </w:r>
      </w:hyperlink>
      <w:r>
        <w:rPr>
          <w:sz w:val="24"/>
          <w:szCs w:val="24"/>
          <w:lang w:val="sk-SK"/>
        </w:rPr>
        <w:t>.</w:t>
      </w:r>
    </w:p>
  </w:footnote>
  <w:footnote w:id="9">
    <w:p w:rsidR="00407135" w:rsidRDefault="00D55DFA">
      <w:pPr>
        <w:pStyle w:val="FootnoteText"/>
        <w:ind w:left="851" w:hanging="851"/>
        <w:rPr>
          <w:rStyle w:val="FootnoteCharacters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rStyle w:val="FootnoteCharacters"/>
          <w:sz w:val="24"/>
          <w:szCs w:val="24"/>
          <w:lang w:val="sk-SK"/>
        </w:rPr>
        <w:t xml:space="preserve"> </w:t>
      </w:r>
      <w:r>
        <w:rPr>
          <w:rStyle w:val="FootnoteCharacters"/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>Globálny rámec pre biodiverzitu Kunming – Montreal. Návrh</w:t>
      </w:r>
      <w:r>
        <w:rPr>
          <w:rStyle w:val="FootnoteCharacters"/>
          <w:sz w:val="24"/>
          <w:szCs w:val="24"/>
          <w:lang w:val="sk-SK"/>
        </w:rPr>
        <w:t xml:space="preserve"> rozhodnutia, ktorý predložil predseda, CBD/COP/DEC/15/4, 19. decembra 2022. </w:t>
      </w:r>
    </w:p>
  </w:footnote>
  <w:footnote w:id="10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hyperlink r:id="rId2">
        <w:r>
          <w:rPr>
            <w:rStyle w:val="Internetlnk"/>
            <w:sz w:val="24"/>
            <w:szCs w:val="24"/>
            <w:lang w:val="sk-SK"/>
          </w:rPr>
          <w:tab/>
          <w:t>Organizáci</w:t>
        </w:r>
        <w:r>
          <w:rPr>
            <w:rStyle w:val="Internetlnk"/>
            <w:sz w:val="24"/>
            <w:szCs w:val="24"/>
            <w:lang w:val="sk-SK"/>
          </w:rPr>
          <w:t>a Spojených národov, Udržateľný rozvoj – 17 cieľov týkajúcich sa transformácie nášho sveta</w:t>
        </w:r>
      </w:hyperlink>
      <w:r>
        <w:rPr>
          <w:sz w:val="24"/>
          <w:szCs w:val="24"/>
          <w:lang w:val="sk-SK"/>
        </w:rPr>
        <w:t>.</w:t>
      </w:r>
    </w:p>
  </w:footnote>
  <w:footnote w:id="11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Rezolúcia 73/284 z 1. marca 2019 o Dekáde Organizácie Spojených národov pre obnovu ekosystému (2021 – 2030).</w:t>
      </w:r>
    </w:p>
  </w:footnote>
  <w:footnote w:id="12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Uznesenie Európskeho parlamentu z 9. júna 2021 o st</w:t>
      </w:r>
      <w:r>
        <w:rPr>
          <w:sz w:val="24"/>
          <w:szCs w:val="24"/>
          <w:lang w:val="sk-SK"/>
        </w:rPr>
        <w:t>ratégii EÚ v oblasti biodiverzity do roku 2030: Prinavrátenie prírody do našich životov [2020/2273(INI)].</w:t>
      </w:r>
    </w:p>
  </w:footnote>
  <w:footnote w:id="13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Závery Rady – Biodiverzita – je nutné bezodkladne konať, 12210/20.</w:t>
      </w:r>
    </w:p>
  </w:footnote>
  <w:footnote w:id="14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Pracovný dokument útvarov Komisie, Criteria and guidance for protected areas de</w:t>
      </w:r>
      <w:r>
        <w:rPr>
          <w:sz w:val="24"/>
          <w:szCs w:val="24"/>
          <w:lang w:val="sk-SK"/>
        </w:rPr>
        <w:t>signations (Kritériá a usmernenia týkajúce sa určovania chránených území) (SWD(2022) 23 final).</w:t>
      </w:r>
    </w:p>
  </w:footnote>
  <w:footnote w:id="15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K dispozícii na adrese </w:t>
      </w:r>
      <w:hyperlink r:id="rId3">
        <w:r>
          <w:rPr>
            <w:rStyle w:val="Internetlnk"/>
            <w:sz w:val="24"/>
            <w:szCs w:val="24"/>
            <w:lang w:val="sk-SK"/>
          </w:rPr>
          <w:t>Circabc (europa.eu)</w:t>
        </w:r>
      </w:hyperlink>
      <w:r>
        <w:rPr>
          <w:sz w:val="24"/>
          <w:szCs w:val="24"/>
          <w:lang w:val="sk-SK"/>
        </w:rPr>
        <w:t xml:space="preserve"> [doplniť odkaz].</w:t>
      </w:r>
    </w:p>
  </w:footnote>
  <w:footnote w:id="16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Správa Komisie Európskemu parlamentu, Rade a Európskemu hospodárskemu a sociálnemu výboru, Stav prírody v Európskej únii – Správa o stave a trendoch druhov a typov biotopov, ktoré sú chránené smernicou o vták</w:t>
      </w:r>
      <w:r>
        <w:rPr>
          <w:sz w:val="24"/>
          <w:szCs w:val="24"/>
          <w:lang w:val="sk-SK"/>
        </w:rPr>
        <w:t>och a smernicou o biotopoch, za obdobie 2013 – 2018 [COM(2020) 635 final].</w:t>
      </w:r>
    </w:p>
  </w:footnote>
  <w:footnote w:id="17">
    <w:p w:rsidR="00407135" w:rsidRDefault="00D55DFA">
      <w:pPr>
        <w:pStyle w:val="FootnoteText"/>
        <w:ind w:left="851" w:hanging="851"/>
        <w:rPr>
          <w:b/>
          <w:i/>
          <w:sz w:val="24"/>
          <w:szCs w:val="24"/>
          <w:lang w:val="sk-SK"/>
        </w:rPr>
      </w:pPr>
      <w:r>
        <w:rPr>
          <w:rStyle w:val="FootnoteReference"/>
          <w:b/>
          <w:i/>
          <w:sz w:val="24"/>
          <w:szCs w:val="24"/>
          <w:lang w:val="sk-SK"/>
        </w:rPr>
        <w:footnoteRef/>
      </w:r>
      <w:r>
        <w:rPr>
          <w:b/>
          <w:i/>
          <w:sz w:val="24"/>
          <w:szCs w:val="24"/>
          <w:lang w:val="sk-SK"/>
        </w:rPr>
        <w:t xml:space="preserve"> </w:t>
      </w:r>
      <w:r>
        <w:rPr>
          <w:b/>
          <w:i/>
          <w:sz w:val="24"/>
          <w:szCs w:val="24"/>
          <w:lang w:val="sk-SK"/>
        </w:rPr>
        <w:tab/>
        <w:t>Oznámenie Komisie Európskemu parlamentu, Rade, Európskemu hospodárskemu a sociálnemu výboru a Výboru regiónov, Preskúmanie obchodnej politiky – otvorená, udržateľná a asertívna o</w:t>
      </w:r>
      <w:r>
        <w:rPr>
          <w:b/>
          <w:i/>
          <w:sz w:val="24"/>
          <w:szCs w:val="24"/>
          <w:lang w:val="sk-SK"/>
        </w:rPr>
        <w:t>bchodná politika (COM(2021)0066, Brusel, 18.2.2021 COM(2021)0066 final.</w:t>
      </w:r>
    </w:p>
  </w:footnote>
  <w:footnote w:id="18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hyperlink r:id="rId4">
        <w:r>
          <w:rPr>
            <w:rStyle w:val="Internetlnk"/>
            <w:sz w:val="24"/>
            <w:szCs w:val="24"/>
            <w:lang w:val="sk-SK"/>
          </w:rPr>
          <w:tab/>
          <w:t>https://seea.un.org/sites/seea.un.org/files/documents/EA/seea_ea_white_cover</w:t>
        </w:r>
        <w:r>
          <w:rPr>
            <w:rStyle w:val="Internetlnk"/>
            <w:sz w:val="24"/>
            <w:szCs w:val="24"/>
            <w:lang w:val="sk-SK"/>
          </w:rPr>
          <w:t>_final.pdf</w:t>
        </w:r>
      </w:hyperlink>
      <w:r>
        <w:rPr>
          <w:sz w:val="24"/>
          <w:szCs w:val="24"/>
          <w:lang w:val="sk-SK"/>
        </w:rPr>
        <w:t>.</w:t>
      </w:r>
    </w:p>
  </w:footnote>
  <w:footnote w:id="19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Medzivládny panel o zmene klímy (IPCC): </w:t>
      </w:r>
      <w:r>
        <w:rPr>
          <w:i/>
          <w:iCs/>
          <w:sz w:val="24"/>
          <w:szCs w:val="24"/>
          <w:lang w:val="sk-SK"/>
        </w:rPr>
        <w:t>Special Report on the impacts of global warming of 1.5°C and related global greenhouse gas emission pathways, in the context of strengthening the global response to the threat of climate change, sustain</w:t>
      </w:r>
      <w:r>
        <w:rPr>
          <w:i/>
          <w:iCs/>
          <w:sz w:val="24"/>
          <w:szCs w:val="24"/>
          <w:lang w:val="sk-SK"/>
        </w:rPr>
        <w:t>able development, and efforts to eradicate poverty</w:t>
      </w:r>
      <w:r>
        <w:rPr>
          <w:sz w:val="24"/>
          <w:szCs w:val="24"/>
          <w:lang w:val="sk-SK"/>
        </w:rPr>
        <w:t xml:space="preserve"> (Osobitná správa o vplyvoch globálneho otepľovania o 1,5 °C a súvisiacich postupoch znižovania emisií skleníkových plynov v kontexte posilnenia globálnej reakcie na hrozbu zmeny klímy, udržateľného rozvoja a úsilia o odstránenie chudoby) [Masson-Delmotte,</w:t>
      </w:r>
      <w:r>
        <w:rPr>
          <w:sz w:val="24"/>
          <w:szCs w:val="24"/>
          <w:lang w:val="sk-SK"/>
        </w:rPr>
        <w:t xml:space="preserve"> V., Zhai, P., Pörtner, H.-O.,  Roberts, D., Skea, J., Shukla, P.R.,  Pirani, A., Moufouma-Okia, W., Péan, C., Pidcock, R., Connors, S., Matthews, J.B.R., Chen, Y., Zhou, X., Gomis, M.I.,  Lonnoy, E., Maycock, T., Tignorn, M. a Waterfield, T. (editori)]  </w:t>
      </w:r>
      <w:hyperlink r:id="rId5">
        <w:r>
          <w:rPr>
            <w:rStyle w:val="Internetlnk"/>
            <w:sz w:val="24"/>
            <w:szCs w:val="24"/>
            <w:lang w:val="sk-SK"/>
          </w:rPr>
          <w:t>https://www.ipcc.ch/sr15/</w:t>
        </w:r>
      </w:hyperlink>
      <w:r>
        <w:rPr>
          <w:rStyle w:val="Internetlnk"/>
          <w:sz w:val="24"/>
          <w:szCs w:val="24"/>
          <w:lang w:val="sk-SK"/>
        </w:rPr>
        <w:t xml:space="preserve"> </w:t>
      </w:r>
    </w:p>
  </w:footnote>
  <w:footnote w:id="20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hyperlink r:id="rId6">
        <w:r>
          <w:rPr>
            <w:rStyle w:val="Internetlnk"/>
            <w:sz w:val="24"/>
            <w:szCs w:val="24"/>
            <w:lang w:val="sk-SK"/>
          </w:rPr>
          <w:tab/>
          <w:t>Climate Change 2022:</w:t>
        </w:r>
      </w:hyperlink>
      <w:hyperlink r:id="rId7">
        <w:r>
          <w:rPr>
            <w:rStyle w:val="Internetlnk"/>
            <w:sz w:val="24"/>
            <w:szCs w:val="24"/>
            <w:lang w:val="sk-SK"/>
          </w:rPr>
          <w:t xml:space="preserve"> Impacts, Adaptation and Vulnerability | Climate Chan</w:t>
        </w:r>
        <w:r>
          <w:rPr>
            <w:rStyle w:val="Internetlnk"/>
            <w:sz w:val="24"/>
            <w:szCs w:val="24"/>
            <w:lang w:val="sk-SK"/>
          </w:rPr>
          <w:t>ge 2022:</w:t>
        </w:r>
      </w:hyperlink>
      <w:hyperlink r:id="rId8">
        <w:r>
          <w:rPr>
            <w:rStyle w:val="Internetlnk"/>
            <w:sz w:val="24"/>
            <w:szCs w:val="24"/>
            <w:lang w:val="sk-SK"/>
          </w:rPr>
          <w:t xml:space="preserve"> Impacts, Adaptation and Vulnerability (ipcc.ch)</w:t>
        </w:r>
      </w:hyperlink>
      <w:r>
        <w:rPr>
          <w:sz w:val="24"/>
          <w:szCs w:val="24"/>
          <w:lang w:val="sk-SK"/>
        </w:rPr>
        <w:t xml:space="preserve"> (Zmena klímy 2022: Dôsledky, adaptácia a zraniteľnosť (ipcc.ch).dôsledky, adaptácia a zraniteľnosť (ipcc.ch).</w:t>
      </w:r>
    </w:p>
  </w:footnote>
  <w:footnote w:id="21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shd w:val="clear" w:color="auto" w:fill="FFFFFF"/>
          <w:lang w:val="sk-SK"/>
        </w:rPr>
        <w:tab/>
        <w:t xml:space="preserve">IPBES (2019): Global assessment </w:t>
      </w:r>
      <w:r>
        <w:rPr>
          <w:sz w:val="24"/>
          <w:szCs w:val="24"/>
          <w:shd w:val="clear" w:color="auto" w:fill="FFFFFF"/>
          <w:lang w:val="sk-SK"/>
        </w:rPr>
        <w:t>report on biodiversity and ecosystem services of the Intergovernmental Science-Policy Platform on Biodiversity and Ecosystem Services. E. S. Brondizio, J. Settele, S. Díaz, and H. T. Ngo (editori). IPBES secretariat, Bonn, Germany. 1148 strán. </w:t>
      </w:r>
      <w:hyperlink r:id="rId9" w:tgtFrame="_blank">
        <w:r>
          <w:rPr>
            <w:rStyle w:val="Internetlnk"/>
            <w:color w:val="000000"/>
            <w:sz w:val="24"/>
            <w:szCs w:val="24"/>
            <w:shd w:val="clear" w:color="auto" w:fill="FFFFFF"/>
            <w:lang w:val="sk-SK"/>
          </w:rPr>
          <w:t>https://doi.org/10.5281/zenodo.3831673</w:t>
        </w:r>
      </w:hyperlink>
      <w:r>
        <w:rPr>
          <w:sz w:val="24"/>
          <w:szCs w:val="24"/>
          <w:lang w:val="sk-SK"/>
        </w:rPr>
        <w:t>.</w:t>
      </w:r>
    </w:p>
  </w:footnote>
  <w:footnote w:id="22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  <w:rPr>
          <w:rFonts w:eastAsia="Times New Roman"/>
          <w:color w:val="444444"/>
        </w:rPr>
      </w:pPr>
      <w:r>
        <w:rPr>
          <w:rStyle w:val="FootnoteCharacters"/>
          <w:vertAlign w:val="superscript"/>
        </w:rPr>
        <w:footnoteRef/>
      </w:r>
      <w:r>
        <w:tab/>
        <w:t>Nariadenie Európskeho parlamentu a Rady (EÚ) 2021/1119 z 30. júna 2021, ktorým sa stanovuje rámec na dosiahnutie klimatickej neutrality a menia nariadenia (</w:t>
      </w:r>
      <w:r>
        <w:t>ES) č. 401/2009 a (EÚ) 2018/1999 (európsky právny predpis v oblasti klímy) (Ú. v. EÚ L 243, 9.7.2021, s. 1).</w:t>
      </w:r>
    </w:p>
  </w:footnote>
  <w:footnote w:id="23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tab/>
        <w:t>Riešenia blízke prírode sú riešenia inšpirované a podporované prírodou, ktoré sú nákladovo efektívne a zároveň poskytujú environmentálne, sociáln</w:t>
      </w:r>
      <w:r>
        <w:t>e a hospodárske prínosy a pomáhajú budovať odolnosť. Takéto riešenia prinášajú do miest, krajiny a morského prostredia čoraz rozmanitejšiu prírodu a prírodné prvky a procesy prostredníctvom systémových intervencií prispôsobených miestnym podmienkam a efekt</w:t>
      </w:r>
      <w:r>
        <w:t>ívne využívajúcich zdroje. Riešenia blízke prírode teda musia byť prínosom pre biodiverzitu a musia podporovať fungovanie širokého okruhu ekosystémových služieb.</w:t>
      </w:r>
    </w:p>
  </w:footnote>
  <w:footnote w:id="24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  <w:rPr>
          <w:rFonts w:eastAsia="Times New Roman"/>
        </w:rPr>
      </w:pPr>
      <w:r>
        <w:rPr>
          <w:rStyle w:val="FootnoteCharacters"/>
          <w:vertAlign w:val="superscript"/>
        </w:rPr>
        <w:footnoteRef/>
      </w:r>
      <w:r>
        <w:rPr>
          <w:vertAlign w:val="superscript"/>
        </w:rPr>
        <w:t xml:space="preserve"> </w:t>
      </w:r>
      <w:r>
        <w:tab/>
        <w:t>Oznámenie Komisie Európskemu parlamentu, Rade, Európskemu hospodárskemu a sociálnemu výboru</w:t>
      </w:r>
      <w:r>
        <w:t xml:space="preserve"> a Výboru regiónov:  Budovanie Európy odolnej proti zmene klímy – nová stratégia EÚ pre adaptáciu na zmenu klímy [COM(2021) 82 final].</w:t>
      </w:r>
    </w:p>
  </w:footnote>
  <w:footnote w:id="25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tab/>
        <w:t>Návrh nariadenia Európskeho parlamentu a Rady, ktorým sa mení nariadenie (EÚ) 2018/841, pokiaľ ide o rozsah pôsobnosti,</w:t>
      </w:r>
      <w:r>
        <w:t xml:space="preserve"> zjednodušenie pravidiel týkajúcich sa dodržiavania záväzkov, stanovenie cieľov členských štátov na rok 2030 a záväzok spoločne dosiahnuť klimatickú neutralitu do roku 2035 v sektore využívania pôdy, lesného hospodárstva a poľnohospodárstva, a nariadenie (</w:t>
      </w:r>
      <w:r>
        <w:t>EÚ) 2018/1999, pokiaľ ide o zlepšenie monitorovania, podávania správ, sledovania pokroku a preskúmania [COM(2021) 554 final].</w:t>
      </w:r>
    </w:p>
  </w:footnote>
  <w:footnote w:id="26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tab/>
        <w:t>Oznámenie Komisie Európskemu parlamentu, Európskej Rade, Rade, Európskemu hospodárskemu a sociálnemu výboru a Výboru regiónov, Z</w:t>
      </w:r>
      <w:r>
        <w:t xml:space="preserve">aistenie potravinovej bezpečnosti a posilnenie odolnosti potravinových systémov [COM(2022) 133 final]. </w:t>
      </w:r>
    </w:p>
  </w:footnote>
  <w:footnote w:id="27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tab/>
        <w:t>Konferencia o budúcnosti Európy – správa o konečnom výsledku, máj 2022, návrh 2 (1, 4, 5), s.  44, návrh 6 (6), s. 48. 48.</w:t>
      </w:r>
    </w:p>
  </w:footnote>
  <w:footnote w:id="28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rPr>
          <w:vertAlign w:val="superscript"/>
        </w:rPr>
        <w:t xml:space="preserve"> </w:t>
      </w:r>
      <w:r>
        <w:tab/>
        <w:t>Oznámenie Komisie Európs</w:t>
      </w:r>
      <w:r>
        <w:t>kemu parlamentu, Rade, Európskemu hospodárskemu a sociálnemu výboru a Výboru regiónov: Stratégia EÚ v oblasti pôdy do roku 2030 Využívanie prínosov zdravej pôdy v prospech ľudí, potravín, prírody a klímy (COM/2021/699 final).</w:t>
      </w:r>
    </w:p>
  </w:footnote>
  <w:footnote w:id="29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tab/>
        <w:t>Smernica Rady 92/43/EHS z 21</w:t>
      </w:r>
      <w:r>
        <w:t>. mája 1992 o ochrane prirodzených biotopov a voľne žijúcich živočíchov a rastlín (Ú. v. ES L 206, 22.7.1992, s. 7).</w:t>
      </w:r>
    </w:p>
  </w:footnote>
  <w:footnote w:id="30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tab/>
        <w:t>Smernica Európskeho parlamentu a Rady 2009/147/ES z 30. novembra 2009 o ochrane voľne žijúceho vtáctva (Ú. v. EÚ L 20, 26.1.2010, s. 7).</w:t>
      </w:r>
    </w:p>
  </w:footnote>
  <w:footnote w:id="31">
    <w:p w:rsidR="00407135" w:rsidRDefault="00D55DFA">
      <w:pPr>
        <w:pStyle w:val="NormalWeb"/>
        <w:shd w:val="clear" w:color="auto" w:fill="FFFFFF"/>
        <w:suppressAutoHyphens w:val="0"/>
        <w:spacing w:before="0" w:after="0"/>
        <w:ind w:left="851" w:hanging="851"/>
        <w:jc w:val="left"/>
      </w:pPr>
      <w:r>
        <w:rPr>
          <w:rStyle w:val="FootnoteCharacters"/>
          <w:vertAlign w:val="superscript"/>
        </w:rPr>
        <w:footnoteRef/>
      </w:r>
      <w:r>
        <w:rPr>
          <w:vertAlign w:val="superscript"/>
        </w:rPr>
        <w:t xml:space="preserve"> </w:t>
      </w:r>
      <w:r>
        <w:tab/>
        <w:t xml:space="preserve">GR pre životné prostredie, Explanatory notes and guidelines for the period 2013-2018 (Podávanie správ podľa článku 17 smernice o biotopoch – Vysvetlivky a usmernenia na obdobie 2013 – 2018), 2017; Interpretation manual of European Union habitats Eur 28 </w:t>
      </w:r>
      <w:r>
        <w:t>(Výkladová príručka biotopov Európskej únie, EUR 28), 2013.</w:t>
      </w:r>
    </w:p>
  </w:footnote>
  <w:footnote w:id="32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č. 1380/2013 z 11. decembra 2013 o spoločnej rybárskej politike, ktorým sa menia nariadenia Rady (ES) č. 1954/2003 a (ES) č. 1224/2009 a zrušujú nari</w:t>
      </w:r>
      <w:r>
        <w:rPr>
          <w:sz w:val="24"/>
          <w:szCs w:val="24"/>
          <w:lang w:val="sk-SK"/>
        </w:rPr>
        <w:t>adenia Rady (ES) č. 2371/2002 a (ES) č. 639/2004 a rozhodnutie Rady 2004/585/ES (Ú. v. EÚ L 354, 28.12.2013, s. 22).</w:t>
      </w:r>
    </w:p>
  </w:footnote>
  <w:footnote w:id="33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Dohovor o ochrane morského prostredia severovýchodného Atlantiku z roku 1992 (dohovor OSPAR), Dohovor o ochrane morského prostredia oblas</w:t>
      </w:r>
      <w:r>
        <w:rPr>
          <w:sz w:val="24"/>
          <w:szCs w:val="24"/>
          <w:lang w:val="sk-SK"/>
        </w:rPr>
        <w:t>ti Baltského mora, 1992 (helsinský dohovor – HELCOM), Dohovor o ochrane morského prostredia a pobrežných oblastí Stredozemného mora z roku 1995 [Barcelonský dohovor (UNEP-MAP)] a Dohovor o ochrane Čierneho mora pred znečistením z roku 1992 (Bukureštský doh</w:t>
      </w:r>
      <w:r>
        <w:rPr>
          <w:sz w:val="24"/>
          <w:szCs w:val="24"/>
          <w:lang w:val="sk-SK"/>
        </w:rPr>
        <w:t>ovor). Vysna, V., Maes, J., Petersen, J.E., La Notte, A., Vallecillo, S., Aizpurua, N., Ivits, E., Teller, A., Accounting for ecosystems and their services in the European Union (INCA).</w:t>
      </w:r>
    </w:p>
  </w:footnote>
  <w:footnote w:id="34"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Vysna, V., Maes, J., Petersen, J.E., La Notte, A., Vallecillo, S., A</w:t>
      </w:r>
      <w:r>
        <w:rPr>
          <w:sz w:val="24"/>
          <w:szCs w:val="24"/>
          <w:lang w:val="sk-SK"/>
        </w:rPr>
        <w:t xml:space="preserve">izpurua, N., Ivits, E., Teller, A., Accounting for ecosystems and their services in the European Union (INCA). Final report from phase II of the INCA </w:t>
      </w:r>
      <w:r>
        <w:rPr>
          <w:color w:val="000000"/>
          <w:sz w:val="24"/>
          <w:szCs w:val="24"/>
          <w:lang w:val="sk-SK"/>
        </w:rPr>
        <w:t>project aiming to develop a pilot for an integrated system of ecosystem accounts for the EU. Statistical r</w:t>
      </w:r>
      <w:r>
        <w:rPr>
          <w:color w:val="000000"/>
          <w:sz w:val="24"/>
          <w:szCs w:val="24"/>
          <w:lang w:val="sk-SK"/>
        </w:rPr>
        <w:t>eport. Publications office of the European Union, Luxembourg, 2021.</w:t>
      </w:r>
    </w:p>
  </w:footnote>
  <w:footnote w:id="35"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color w:val="000000"/>
          <w:sz w:val="24"/>
          <w:szCs w:val="24"/>
          <w:shd w:val="clear" w:color="auto" w:fill="FFFFFF"/>
          <w:lang w:val="sk-SK"/>
        </w:rPr>
        <w:tab/>
        <w:t xml:space="preserve">Oznámenie Komisie Európskemu parlamentu, Rade, Európskemu hospodárskemu a sociálnemu výboru a Výboru regiónov: EU Pollinators Initiative </w:t>
      </w:r>
      <w:r>
        <w:rPr>
          <w:color w:val="000000"/>
          <w:sz w:val="24"/>
          <w:szCs w:val="24"/>
          <w:lang w:val="sk-SK"/>
        </w:rPr>
        <w:t>(COM/2018/395 final).</w:t>
      </w:r>
    </w:p>
  </w:footnote>
  <w:footnote w:id="36"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vertAlign w:val="superscript"/>
          <w:lang w:val="sk-SK"/>
        </w:rPr>
        <w:t xml:space="preserve"> </w:t>
      </w:r>
      <w:r>
        <w:rPr>
          <w:sz w:val="24"/>
          <w:szCs w:val="24"/>
          <w:lang w:val="sk-SK"/>
        </w:rPr>
        <w:tab/>
        <w:t>Správa Komisie Európskem</w:t>
      </w:r>
      <w:r>
        <w:rPr>
          <w:sz w:val="24"/>
          <w:szCs w:val="24"/>
          <w:lang w:val="sk-SK"/>
        </w:rPr>
        <w:t>u parlamentu, Rade, Európskemu hospodárskemu a sociálnemu výboru a Výboru regiónov:</w:t>
      </w:r>
      <w:r>
        <w:rPr>
          <w:color w:val="000000"/>
          <w:sz w:val="24"/>
          <w:szCs w:val="24"/>
          <w:lang w:val="sk-SK"/>
        </w:rPr>
        <w:t xml:space="preserve">  Pokrok pri vykonávaní iniciatívy EÚ zameranej na opeľovače [COM(2021) 261 final].</w:t>
      </w:r>
    </w:p>
  </w:footnote>
  <w:footnote w:id="37"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Uznesenie Európskeho parlamentu z 9. júna 2021 o stratégii EÚ v oblasti biodiverzity do</w:t>
      </w:r>
      <w:r>
        <w:rPr>
          <w:sz w:val="24"/>
          <w:szCs w:val="24"/>
          <w:lang w:val="sk-SK"/>
        </w:rPr>
        <w:t xml:space="preserve"> roku 2030:</w:t>
      </w:r>
      <w:r>
        <w:rPr>
          <w:color w:val="000000"/>
          <w:sz w:val="24"/>
          <w:szCs w:val="24"/>
          <w:lang w:val="sk-SK"/>
        </w:rPr>
        <w:t xml:space="preserve"> Prinavrátenie prírody do našich životov [2020/2273(INI)], k dispozícii na adrese https://www.europarl.europa.eu/doceo/document/TA-9-2021-0277_SK.pdf.</w:t>
      </w:r>
    </w:p>
  </w:footnote>
  <w:footnote w:id="38"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Závery Rady zo 17. decembra 2020 o osobitnej správe Európskeho dvora audítorov č. 15/2020 s </w:t>
      </w:r>
      <w:r>
        <w:rPr>
          <w:sz w:val="24"/>
          <w:szCs w:val="24"/>
          <w:lang w:val="sk-SK"/>
        </w:rPr>
        <w:t>názvom Ochrana voľne žijúcich opeľovačov v EÚ:</w:t>
      </w:r>
      <w:r>
        <w:rPr>
          <w:color w:val="000000"/>
          <w:sz w:val="24"/>
          <w:szCs w:val="24"/>
          <w:lang w:val="sk-SK"/>
        </w:rPr>
        <w:t xml:space="preserve">  Iniciatívy Komisie nepriniesli ovocie (14168/20).</w:t>
      </w:r>
    </w:p>
  </w:footnote>
  <w:footnote w:id="39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Osobitná správa č. 15/2020, </w:t>
      </w:r>
      <w:hyperlink r:id="rId10">
        <w:r>
          <w:rPr>
            <w:rStyle w:val="Internetlnk"/>
            <w:sz w:val="24"/>
            <w:szCs w:val="24"/>
            <w:lang w:val="sk-SK"/>
          </w:rPr>
          <w:t>https://www.eca.europa.eu/Lists/EC</w:t>
        </w:r>
        <w:r>
          <w:rPr>
            <w:rStyle w:val="Internetlnk"/>
            <w:sz w:val="24"/>
            <w:szCs w:val="24"/>
            <w:lang w:val="sk-SK"/>
          </w:rPr>
          <w:t>ADocuments/SR20_15/SR_Pollinators_EN.pdf</w:t>
        </w:r>
      </w:hyperlink>
      <w:r>
        <w:rPr>
          <w:sz w:val="24"/>
          <w:szCs w:val="24"/>
          <w:lang w:val="sk-SK"/>
        </w:rPr>
        <w:t> </w:t>
      </w:r>
    </w:p>
  </w:footnote>
  <w:footnote w:id="40">
    <w:p w:rsidR="00407135" w:rsidRDefault="00D55DFA">
      <w:pPr>
        <w:pStyle w:val="FootnoteText"/>
        <w:ind w:left="851" w:hanging="851"/>
        <w:rPr>
          <w:b/>
          <w:i/>
          <w:sz w:val="24"/>
          <w:szCs w:val="24"/>
          <w:lang w:val="sk-SK"/>
        </w:rPr>
      </w:pPr>
      <w:r>
        <w:rPr>
          <w:rStyle w:val="FootnoteReference"/>
          <w:bCs/>
          <w:i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 </w:t>
      </w:r>
      <w:r>
        <w:rPr>
          <w:sz w:val="24"/>
          <w:szCs w:val="24"/>
          <w:lang w:val="sk-SK"/>
        </w:rPr>
        <w:tab/>
      </w:r>
      <w:r>
        <w:rPr>
          <w:color w:val="000000"/>
          <w:sz w:val="24"/>
          <w:szCs w:val="24"/>
          <w:shd w:val="clear" w:color="auto" w:fill="FFFFFF"/>
          <w:lang w:val="sk-SK"/>
        </w:rPr>
        <w:t>Oznámenie Komisie Európskemu parlamentu, Rade, Európskemu hospodárskemu a sociálnemu výboru a Výboru regiónov: Revízia iniciatívy EÚ zameranej na opeľovače. Nový prístup k opeľovačom (COM(2023) 35 final).</w:t>
      </w:r>
    </w:p>
  </w:footnote>
  <w:footnote w:id="41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hyperlink r:id="rId11">
        <w:r>
          <w:rPr>
            <w:rStyle w:val="Internetlnk"/>
            <w:sz w:val="24"/>
            <w:szCs w:val="24"/>
            <w:lang w:val="sk-SK"/>
          </w:rPr>
          <w:tab/>
          <w:t>Európsky červený zoznam – Životné prostredie – Európska komisia (europa.eu)</w:t>
        </w:r>
      </w:hyperlink>
    </w:p>
  </w:footnote>
  <w:footnote w:id="42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2021/2115 z 2. decembra 2021, kto</w:t>
      </w:r>
      <w:r>
        <w:rPr>
          <w:sz w:val="24"/>
          <w:szCs w:val="24"/>
          <w:lang w:val="sk-SK"/>
        </w:rPr>
        <w:t>rým sa stanovujú pravidlá podpory strategických plánov, ktoré majú zostaviť členské štáty v rámci spoločnej poľnohospodárskej politiky (strategické plány SPP) a ktoré sú financované z Európskeho poľnohospodárskeho záručného fondu (EPZF) a Európskeho poľnoh</w:t>
      </w:r>
      <w:r>
        <w:rPr>
          <w:sz w:val="24"/>
          <w:szCs w:val="24"/>
          <w:lang w:val="sk-SK"/>
        </w:rPr>
        <w:t>ospodárskeho fondu pre rozvoj vidieka (EPFRV), a ktorým sa zrušujú nariadenia (EÚ) č. 1305/2013 a (EÚ) č. 1307/2013, Ú. v. EÚ L 435, 6.12.2021, s. 1.</w:t>
      </w:r>
    </w:p>
  </w:footnote>
  <w:footnote w:id="43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Ak sa poľnohospodár zaviaže vyčleniť aspoň 7 % svojej ornej pôdy na neproduktívne plochy alebo prvky vrá</w:t>
      </w:r>
      <w:r>
        <w:rPr>
          <w:sz w:val="24"/>
          <w:szCs w:val="24"/>
          <w:lang w:val="sk-SK"/>
        </w:rPr>
        <w:t>tane pôdy ležiacej úhorom v rámci posilnenej ekoschémy, alebo ak existuje minimálny podiel aspoň 7 % ornej pôdy na úrovni poľnohospodárskeho podniku, ktorý zahŕňa aj medziplodiny alebo plodiny, ktoré viažu dusík, pestované bez použitia prípravkov na ochran</w:t>
      </w:r>
      <w:r>
        <w:rPr>
          <w:sz w:val="24"/>
          <w:szCs w:val="24"/>
          <w:lang w:val="sk-SK"/>
        </w:rPr>
        <w:t>u rastlín.</w:t>
      </w:r>
    </w:p>
  </w:footnote>
  <w:footnote w:id="44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Opätovné zavlažovanie je proces premeny odvodnenej pôdy na mokrú pôdu. Kapitola 1 správy IPCC z roku 2014, 2013 a doplnok k usmerneniam 2006 IPCC Guidelines for National Greenhouse Gas Inventories: Wetlands (Usmernenia IPCC pre národné inventú</w:t>
      </w:r>
      <w:r>
        <w:rPr>
          <w:sz w:val="24"/>
          <w:szCs w:val="24"/>
          <w:lang w:val="sk-SK"/>
        </w:rPr>
        <w:t>ry skleníkových plynov z roku 2006: Mokrade). Hiraishi, T., Krug, T., Tanabe, K., Srivastava, N., Baasansuren, J., Fukuda, M. a Troxler, T.G. (editori).</w:t>
      </w:r>
    </w:p>
  </w:footnote>
  <w:footnote w:id="45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Vymedzenie pojmu „organická pôda“ sa uvádza v správe IPCC z roku 2006, usmerneniach 2006 IPCC Guideli</w:t>
      </w:r>
      <w:r>
        <w:rPr>
          <w:sz w:val="24"/>
          <w:szCs w:val="24"/>
          <w:lang w:val="sk-SK"/>
        </w:rPr>
        <w:t>nes for National Greenhouse Gas Inventories (Usmernenia IPCC pre národné inventúry skleníkových plynov z roku 2006), vypracovaných v rámci programu pre národné inventúry skleníkových plynov.</w:t>
      </w:r>
    </w:p>
  </w:footnote>
  <w:footnote w:id="46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 xml:space="preserve">Oznámenie Komisie Európskemu parlamentu, Rade, Európskemu hospodárskemu a sociálnemu výboru </w:t>
      </w:r>
      <w:r>
        <w:rPr>
          <w:sz w:val="24"/>
          <w:szCs w:val="24"/>
          <w:lang w:val="sk-SK"/>
        </w:rPr>
        <w:tab/>
        <w:t>a Výboru regiónov. Nová stratégia EÚ pre lesy do roku 2030 [COM(2021) 572 final].</w:t>
      </w:r>
    </w:p>
  </w:footnote>
  <w:footnote w:id="47"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2019/1241 z 20. júna 2019 o zachov</w:t>
      </w:r>
      <w:r>
        <w:rPr>
          <w:sz w:val="24"/>
          <w:szCs w:val="24"/>
          <w:lang w:val="sk-SK"/>
        </w:rPr>
        <w:t>aní rybolovných zdrojov a ochrane morských ekosystémov prostredníctvom technických opatrení, ktorým sa menia nariadenia Rady (ES) č. 1967/2006, (ES) č. 1224/2009 a nariadenia Európskeho parlamentu a Rady (EÚ) č. 1380/2013, (EÚ) 2016/1139, (EÚ) 2018/973, (E</w:t>
      </w:r>
      <w:r>
        <w:rPr>
          <w:sz w:val="24"/>
          <w:szCs w:val="24"/>
          <w:lang w:val="sk-SK"/>
        </w:rPr>
        <w:t>Ú) 2019/472 a (EÚ) 2019/1022 a ktorým sa zrušujú nariadenia Rady (ES) č. 894/97, (ES) č. 850/98, (ES) č. 2549/2000, (ES) č. 254/2002, (ES) č. 812/2004 a (ES) č. 2187/2005 (Ú. v. EÚ L 198, 25.7.2019, s. 105).</w:t>
      </w:r>
    </w:p>
  </w:footnote>
  <w:footnote w:id="48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vertAlign w:val="superscript"/>
          <w:lang w:val="sk-SK"/>
        </w:rPr>
        <w:t xml:space="preserve"> </w:t>
      </w:r>
      <w:r>
        <w:rPr>
          <w:sz w:val="24"/>
          <w:szCs w:val="24"/>
          <w:lang w:val="sk-SK"/>
        </w:rPr>
        <w:tab/>
        <w:t>Smernica (EÚ) Európskeho parlamentu a Rady 20</w:t>
      </w:r>
      <w:r>
        <w:rPr>
          <w:sz w:val="24"/>
          <w:szCs w:val="24"/>
          <w:lang w:val="sk-SK"/>
        </w:rPr>
        <w:t>18/2001 z 11. decembra 2018 o podpore využívania energie z obnoviteľných zdrojov</w:t>
      </w:r>
      <w:r>
        <w:rPr>
          <w:color w:val="000000"/>
          <w:sz w:val="24"/>
          <w:szCs w:val="24"/>
          <w:lang w:val="sk-SK"/>
        </w:rPr>
        <w:t xml:space="preserve"> (Ú. v. EÚ L 328, 21.12.2018, s. 82).</w:t>
      </w:r>
    </w:p>
  </w:footnote>
  <w:footnote w:id="49"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2018/1999 z 11. decembra 2018 o riadení energetickej únie a opatrení v oblasti klímy, ktorý</w:t>
      </w:r>
      <w:r>
        <w:rPr>
          <w:sz w:val="24"/>
          <w:szCs w:val="24"/>
          <w:lang w:val="sk-SK"/>
        </w:rPr>
        <w:t>m sa menia nariadenia Európskeho parlamentu a Rady (ES) č. 663/2009 a (ES) č. 715/2009, smernice Európskeho parlamentu a Rady 94/22/ES, 98/70/ES, 2009/31/ES, 2009/73/ES, 2010/31/EÚ, 2012/27/EÚ a 2013/30/EÚ, smernice Rady 2009/119/ES a (EÚ) 2015/652 a ktorý</w:t>
      </w:r>
      <w:r>
        <w:rPr>
          <w:sz w:val="24"/>
          <w:szCs w:val="24"/>
          <w:lang w:val="sk-SK"/>
        </w:rPr>
        <w:t>m sa zrušuje nariadenie Európskeho parlamentu a Rady (EÚ) č. 525/2013 (Ú. v. EÚ L 328, 21.12.2018, s. 1).</w:t>
      </w:r>
    </w:p>
  </w:footnote>
  <w:footnote w:id="50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Smernica Európskeho parlamentu a Rady 98/70/ES z 13. októbra 1998 týkajúca sa kvality benzínu a naftových palív, a ktorou sa mení a dopĺňa smernica</w:t>
      </w:r>
      <w:r>
        <w:rPr>
          <w:sz w:val="24"/>
          <w:szCs w:val="24"/>
          <w:lang w:val="sk-SK"/>
        </w:rPr>
        <w:t xml:space="preserve"> Rady 93/12/EHS (Ú. v. ES L 350, 28.12.1998, s. 58). </w:t>
      </w:r>
    </w:p>
    <w:p w:rsidR="00407135" w:rsidRDefault="00D55DFA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>
        <w:rPr>
          <w:snapToGrid w:val="0"/>
          <w:sz w:val="24"/>
          <w:szCs w:val="24"/>
          <w:lang w:val="sk-SK"/>
        </w:rPr>
        <w:t>▌</w:t>
      </w:r>
    </w:p>
  </w:footnote>
  <w:footnote w:id="51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Smernica Rady 92/43/EHS z 21. mája 1992 o ochrane prirodzených biotopov a voľne žijúcich živočíchov a rastlín (Ú. v. ES L 206, 22.7.1992, s. 7).</w:t>
      </w:r>
    </w:p>
  </w:footnote>
  <w:footnote w:id="52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Oznámenie Komisie Európskemu parlamentu, Rade, Euró</w:t>
      </w:r>
      <w:r>
        <w:rPr>
          <w:sz w:val="24"/>
          <w:szCs w:val="24"/>
          <w:lang w:val="sk-SK"/>
        </w:rPr>
        <w:t>pskemu hospodárskemu a sociálnemu výboru a Výboru regiónov o európskych misiách [COM(2021) 609 final].</w:t>
      </w:r>
    </w:p>
  </w:footnote>
  <w:footnote w:id="53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Smernica Európskeho parlamentu a Rady 2003/4/ES z 28. januára 2003 o prístupe verejnosti k informáciám o životnom prostredí, ktorou sa zrušuje smernica</w:t>
      </w:r>
      <w:r>
        <w:rPr>
          <w:sz w:val="24"/>
          <w:szCs w:val="24"/>
          <w:lang w:val="sk-SK"/>
        </w:rPr>
        <w:t xml:space="preserve"> Rady 90/313/EHS (Ú. v. EÚ L 41, 14.2.2003, s. 26).</w:t>
      </w:r>
    </w:p>
  </w:footnote>
  <w:footnote w:id="54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Smernica Európskeho parlamentu a Rady 2007/2/ES zo 14. marca 2007, ktorou sa zriaďuje Infraštruktúra pre priestorové informácie v Európskom spoločenstve (INSPIRE) (Ú. v. EÚ L 108, 25.4.2007, s. 1). </w:t>
      </w:r>
    </w:p>
  </w:footnote>
  <w:footnote w:id="55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S</w:t>
      </w:r>
      <w:r>
        <w:rPr>
          <w:sz w:val="24"/>
          <w:szCs w:val="24"/>
          <w:lang w:val="sk-SK"/>
        </w:rPr>
        <w:t>mernica Európskeho parlamentu a Rady (EÚ) 2019/1024 z 20. júna 2019 o otvorených dátach a opakovanom použití informácií verejného sektora (Ú. v. EÚ L 172, 26.6.2019, s. 56).</w:t>
      </w:r>
    </w:p>
  </w:footnote>
  <w:footnote w:id="56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Nariadenie Európskeho parlamentu a Rady (EÚ) 2021/240 </w:t>
      </w:r>
      <w:r>
        <w:rPr>
          <w:sz w:val="24"/>
          <w:szCs w:val="24"/>
          <w:shd w:val="clear" w:color="auto" w:fill="FFFFFF"/>
          <w:lang w:val="sk-SK"/>
        </w:rPr>
        <w:t>z</w:t>
      </w:r>
      <w:r>
        <w:rPr>
          <w:color w:val="000000"/>
          <w:sz w:val="24"/>
          <w:szCs w:val="24"/>
          <w:shd w:val="clear" w:color="auto" w:fill="FFFFFF"/>
          <w:lang w:val="sk-SK"/>
        </w:rPr>
        <w:t> 10. februára 2021, ktorý</w:t>
      </w:r>
      <w:r>
        <w:rPr>
          <w:color w:val="000000"/>
          <w:sz w:val="24"/>
          <w:szCs w:val="24"/>
          <w:shd w:val="clear" w:color="auto" w:fill="FFFFFF"/>
          <w:lang w:val="sk-SK"/>
        </w:rPr>
        <w:t xml:space="preserve">m sa zriaďuje Nástroj technickej podpory </w:t>
      </w:r>
      <w:r>
        <w:rPr>
          <w:rStyle w:val="Betonad"/>
          <w:i w:val="0"/>
          <w:color w:val="000000"/>
          <w:sz w:val="24"/>
          <w:szCs w:val="24"/>
          <w:shd w:val="clear" w:color="auto" w:fill="FFFFFF"/>
          <w:lang w:val="sk-SK"/>
        </w:rPr>
        <w:t>(</w:t>
      </w:r>
      <w:r>
        <w:rPr>
          <w:rStyle w:val="Betonad"/>
          <w:i w:val="0"/>
          <w:color w:val="444444"/>
          <w:sz w:val="24"/>
          <w:szCs w:val="24"/>
          <w:shd w:val="clear" w:color="auto" w:fill="FFFFFF"/>
          <w:lang w:val="sk-SK"/>
        </w:rPr>
        <w:t>Ú. v. EÚ L 57, 18.2.2021, s. 1</w:t>
      </w:r>
      <w:r>
        <w:rPr>
          <w:rStyle w:val="Betonad"/>
          <w:color w:val="444444"/>
          <w:sz w:val="24"/>
          <w:szCs w:val="24"/>
          <w:shd w:val="clear" w:color="auto" w:fill="FFFFFF"/>
          <w:lang w:val="sk-SK"/>
        </w:rPr>
        <w:t>)</w:t>
      </w:r>
      <w:r>
        <w:rPr>
          <w:sz w:val="24"/>
          <w:szCs w:val="24"/>
          <w:shd w:val="clear" w:color="auto" w:fill="FFFFFF"/>
          <w:lang w:val="sk-SK"/>
        </w:rPr>
        <w:t>.</w:t>
      </w:r>
    </w:p>
  </w:footnote>
  <w:footnote w:id="57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Nariadenie Európskeho parlamentu a Rady (EÚ) 2021/783 z 29. apríla 2021, ktorým sa zriaďuje Program pre životné prostredie a ochranu klímy (LIFE) a zrušuje nariadenie (EÚ) </w:t>
      </w:r>
      <w:r>
        <w:rPr>
          <w:sz w:val="24"/>
          <w:szCs w:val="24"/>
          <w:lang w:val="sk-SK"/>
        </w:rPr>
        <w:t>č. 1293/2013 (Ú. v. EÚ L 172, 17.5.2021, s. 53).</w:t>
      </w:r>
    </w:p>
  </w:footnote>
  <w:footnote w:id="58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2021/1139 zo 7. júla 2021, ktorým sa zriaďuje Európsky námorný, rybolovný a akvakultúrny fond a ktorým sa mení nariadenie (EÚ) 2017/1004 (Ú. v. EÚ L 247, 13.7.2</w:t>
      </w:r>
      <w:r>
        <w:rPr>
          <w:sz w:val="24"/>
          <w:szCs w:val="24"/>
          <w:lang w:val="sk-SK"/>
        </w:rPr>
        <w:t>021, s. 1).</w:t>
      </w:r>
    </w:p>
  </w:footnote>
  <w:footnote w:id="59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Nariadenie Európskeho parlamentu a Rady (EÚ) 2020/2220 z 23. decembra 2020, ktorým sa stanovujú určité prechodné ustanovenia týkajúce sa podpory z Európskeho poľnohospodárskeho fondu pre rozvoj vidieka (EPFRV) a Európskeho poľnohospodárskeho </w:t>
      </w:r>
      <w:r>
        <w:rPr>
          <w:sz w:val="24"/>
          <w:szCs w:val="24"/>
          <w:lang w:val="sk-SK"/>
        </w:rPr>
        <w:t>záručného fondu (EPZF) v rokoch 2021 a 2022 a ktorým sa menia nariadenia (EÚ) č. 1305/2013, (EÚ) č. 1306/2013 a (EÚ) č. 1307/2013, pokiaľ ide o zdroje a uplatňovanie v rokoch 2021 a 2022, a nariadenie (EÚ) č. 1308/2013, pokiaľ ide o zdroje a distribúciu te</w:t>
      </w:r>
      <w:r>
        <w:rPr>
          <w:sz w:val="24"/>
          <w:szCs w:val="24"/>
          <w:lang w:val="sk-SK"/>
        </w:rPr>
        <w:t>jto podpory v rokoch 2021 a 2022 (Ú. v. EÚ L 437, 28.12.2020, s. 1).</w:t>
      </w:r>
    </w:p>
  </w:footnote>
  <w:footnote w:id="60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2021/1058 z 24. júna 2021 o Európskom fonde regionálneho rozvoja a Kohéznom fonde (Ú. v. EÚ L 231, 30.6.2021, s. 60).</w:t>
      </w:r>
    </w:p>
  </w:footnote>
  <w:footnote w:id="61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</w:t>
      </w:r>
      <w:r>
        <w:rPr>
          <w:sz w:val="24"/>
          <w:szCs w:val="24"/>
          <w:lang w:val="sk-SK"/>
        </w:rPr>
        <w:t>o parlamentu a Rady (EÚ) 2021/1056 z 24. júna 2021, ktorým sa zriaďuje Fond na spravodlivú transformáciu (Ú. v. EÚ L 231, 30.6.2021, s. 1).</w:t>
      </w:r>
    </w:p>
  </w:footnote>
  <w:footnote w:id="62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2021/695 z 28. apríla 2021, ktorým sa zriaďuje Horizont Európa – rámc</w:t>
      </w:r>
      <w:r>
        <w:rPr>
          <w:sz w:val="24"/>
          <w:szCs w:val="24"/>
          <w:lang w:val="sk-SK"/>
        </w:rPr>
        <w:t>ový program pre výskum a inovácie, stanovujú jeho pravidlá účasti a šírenia a zrušujú nariadenia (EÚ) č. 1290/2013 a (EÚ) č. 1291/2013 (Ú. v. EÚ L 170, 12.5.2021, s. 1).</w:t>
      </w:r>
    </w:p>
  </w:footnote>
  <w:footnote w:id="63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Rady (EÚ, Euratom) 2020/2093 zo 17. decembra 2020, ktorým sa stanovuje vi</w:t>
      </w:r>
      <w:r>
        <w:rPr>
          <w:sz w:val="24"/>
          <w:szCs w:val="24"/>
          <w:lang w:val="sk-SK"/>
        </w:rPr>
        <w:t>acročný finančný rámec na roky 2021 až 2027 (Ú. v. EÚ L 433I, 22.12.2020, s. 11).</w:t>
      </w:r>
    </w:p>
  </w:footnote>
  <w:footnote w:id="64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Nariadenie Európskeho parlamentu a Rady (EÚ) 2021/241 z 12. februára 2021, ktorým sa zriaďuje Mechanizmus na podporu obnovy a odolnosti (Ú. v. EÚ L 57, 18.2.2021, s. 17).</w:t>
      </w:r>
    </w:p>
  </w:footnote>
  <w:footnote w:id="65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color w:val="444444"/>
          <w:sz w:val="24"/>
          <w:szCs w:val="24"/>
          <w:shd w:val="clear" w:color="auto" w:fill="FFFFFF"/>
          <w:lang w:val="sk-SK"/>
        </w:rPr>
        <w:tab/>
        <w:t xml:space="preserve">Nariadenie Európskeho parlamentu a Rady (EÚ) 2021/523 z 24. marca 2021, ktorým sa zriaďuje Program InvestEU a ktorým sa mení nariadenie (EÚ) 2015/1017 </w:t>
      </w:r>
      <w:r>
        <w:rPr>
          <w:rStyle w:val="Betonad"/>
          <w:color w:val="444444"/>
          <w:sz w:val="24"/>
          <w:szCs w:val="24"/>
          <w:shd w:val="clear" w:color="auto" w:fill="FFFFFF"/>
          <w:lang w:val="sk-SK"/>
        </w:rPr>
        <w:t>(Ú. v. EÚ L 107, 26.3.2021, s. 30).</w:t>
      </w:r>
    </w:p>
  </w:footnote>
  <w:footnote w:id="66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Oznámenie Komisie Európskemu parlamentu a Rade, Udržateľný kolobe</w:t>
      </w:r>
      <w:r>
        <w:rPr>
          <w:sz w:val="24"/>
          <w:szCs w:val="24"/>
          <w:lang w:val="sk-SK"/>
        </w:rPr>
        <w:t>h uhlíka [COM(2021) 800 final].</w:t>
      </w:r>
    </w:p>
  </w:footnote>
  <w:footnote w:id="67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2021/2115 z 2. decembra 2021, ktorým sa stanovujú pravidlá podpory strategických plánov, ktoré majú zostaviť členské štáty v rámci spoločnej poľnohospodárskej politiky (strategi</w:t>
      </w:r>
      <w:r>
        <w:rPr>
          <w:sz w:val="24"/>
          <w:szCs w:val="24"/>
          <w:lang w:val="sk-SK"/>
        </w:rPr>
        <w:t>cké plány SPP) a ktoré sú financované z Európskeho poľnohospodárskeho záručného fondu (EPZF) a Európskeho poľnohospodárskeho fondu pre rozvoj vidieka (EPFRV), a ktorým sa zrušujú nariadenia (EÚ) č. 1305/2013 a (EÚ) č. 1307/2013 (</w:t>
      </w:r>
      <w:r>
        <w:rPr>
          <w:iCs/>
          <w:sz w:val="24"/>
          <w:szCs w:val="24"/>
          <w:lang w:val="sk-SK"/>
        </w:rPr>
        <w:t xml:space="preserve">Ú. v. EÚ L 435, 6.12.2021, </w:t>
      </w:r>
      <w:r>
        <w:rPr>
          <w:iCs/>
          <w:sz w:val="24"/>
          <w:szCs w:val="24"/>
          <w:lang w:val="sk-SK"/>
        </w:rPr>
        <w:t>s. 1</w:t>
      </w:r>
      <w:r>
        <w:rPr>
          <w:sz w:val="24"/>
          <w:szCs w:val="24"/>
          <w:lang w:val="sk-SK"/>
        </w:rPr>
        <w:t>).</w:t>
      </w:r>
    </w:p>
  </w:footnote>
  <w:footnote w:id="68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[Odkaz sa vloží po uverejnení 8. environmentálneho akčného programu].</w:t>
      </w:r>
    </w:p>
  </w:footnote>
  <w:footnote w:id="69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bCs/>
          <w:sz w:val="24"/>
          <w:szCs w:val="24"/>
          <w:lang w:val="sk-SK"/>
        </w:rPr>
        <w:t>Medziinštitucionálna dohoda medzi Európskym parlamentom, Radou Európskej únie a Európskou komisiou o lepšej tvorbe práva (</w:t>
      </w:r>
      <w:r>
        <w:rPr>
          <w:iCs/>
          <w:sz w:val="24"/>
          <w:szCs w:val="24"/>
          <w:lang w:val="sk-SK"/>
        </w:rPr>
        <w:t>Ú. v. EÚ L 123, 12.5.2016, s. 1</w:t>
      </w:r>
      <w:r>
        <w:rPr>
          <w:i/>
          <w:iCs/>
          <w:sz w:val="24"/>
          <w:szCs w:val="24"/>
          <w:lang w:val="sk-SK"/>
        </w:rPr>
        <w:t>).</w:t>
      </w:r>
    </w:p>
  </w:footnote>
  <w:footnote w:id="70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 xml:space="preserve">Nariadenie </w:t>
      </w:r>
      <w:r>
        <w:rPr>
          <w:sz w:val="24"/>
          <w:szCs w:val="24"/>
          <w:lang w:val="sk-SK"/>
        </w:rPr>
        <w:t>Európskeho parlamentu a Rady (EÚ) č. 182/2011 zo 16. februára 2011, ktorým sa ustanovujú pravidlá a všeobecné zásady mechanizmu, na základe ktorého členské štáty kontrolujú vykonávanie vykonávacích právomocí Komisie (Ú. v. EÚ L 55, 28.2.2011, s. 13).</w:t>
      </w:r>
    </w:p>
  </w:footnote>
  <w:footnote w:id="71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color w:val="000000"/>
          <w:sz w:val="24"/>
          <w:szCs w:val="24"/>
          <w:shd w:val="clear" w:color="auto" w:fill="FFFFFF"/>
          <w:lang w:val="sk-SK"/>
        </w:rPr>
        <w:tab/>
        <w:t>Nar</w:t>
      </w:r>
      <w:r>
        <w:rPr>
          <w:color w:val="000000"/>
          <w:sz w:val="24"/>
          <w:szCs w:val="24"/>
          <w:shd w:val="clear" w:color="auto" w:fill="FFFFFF"/>
          <w:lang w:val="sk-SK"/>
        </w:rPr>
        <w:t>iadenie Európskeho parlamentu a Rady (ES) č. 1059/2003 z 26. mája 2003 o zostavení spoločnej nomenklatúry územných jednotiek pre štatistické účely (NUTS) (</w:t>
      </w:r>
      <w:r>
        <w:rPr>
          <w:i/>
          <w:iCs/>
          <w:sz w:val="24"/>
          <w:szCs w:val="24"/>
          <w:shd w:val="clear" w:color="auto" w:fill="FFFFFF"/>
          <w:lang w:val="sk-SK"/>
        </w:rPr>
        <w:t>Ú. v. EÚ L 154,</w:t>
      </w:r>
      <w:r>
        <w:rPr>
          <w:rStyle w:val="Betonad"/>
          <w:color w:val="444444"/>
          <w:sz w:val="24"/>
          <w:szCs w:val="24"/>
          <w:shd w:val="clear" w:color="auto" w:fill="FFFFFF"/>
          <w:lang w:val="sk-SK"/>
        </w:rPr>
        <w:t xml:space="preserve"> 21.6.2003, s. 1).</w:t>
      </w:r>
    </w:p>
  </w:footnote>
  <w:footnote w:id="72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Characters"/>
          <w:sz w:val="24"/>
          <w:szCs w:val="24"/>
          <w:vertAlign w:val="superscript"/>
          <w:lang w:val="sk-SK"/>
        </w:rPr>
        <w:footnoteRef/>
      </w:r>
      <w:r>
        <w:rPr>
          <w:sz w:val="24"/>
          <w:szCs w:val="24"/>
          <w:lang w:val="sk-SK"/>
        </w:rPr>
        <w:tab/>
        <w:t>Nariadenie Európskeho parlamentu a Rady (EÚ) 2021/696 z 28. apríl</w:t>
      </w:r>
      <w:r>
        <w:rPr>
          <w:sz w:val="24"/>
          <w:szCs w:val="24"/>
          <w:lang w:val="sk-SK"/>
        </w:rPr>
        <w:t>a 2021, ktorým sa zriaďuje Vesmírny program Únie a Agentúra Európskej únie pre vesmírny program a ktorým sa zrušujú nariadenia (EÚ) č. 912/2010, (EÚ) č. 1285/2013 a (EÚ) č. 377/2014 a rozhodnutie č. 541/2014/EÚ (Ú. v. EÚ L 170, 12.5.2021, s. 69).</w:t>
      </w:r>
    </w:p>
  </w:footnote>
  <w:footnote w:id="73">
    <w:p w:rsidR="00407135" w:rsidRDefault="00D55DFA">
      <w:pPr>
        <w:pStyle w:val="Point0number"/>
        <w:tabs>
          <w:tab w:val="clear" w:pos="850"/>
        </w:tabs>
        <w:suppressAutoHyphens w:val="0"/>
        <w:spacing w:before="0" w:after="0"/>
        <w:ind w:left="851" w:hanging="851"/>
        <w:jc w:val="left"/>
        <w:rPr>
          <w:szCs w:val="24"/>
        </w:rPr>
      </w:pPr>
      <w:r>
        <w:rPr>
          <w:rStyle w:val="FootnoteCharacters"/>
          <w:szCs w:val="24"/>
          <w:vertAlign w:val="superscript"/>
        </w:rPr>
        <w:footnoteRef/>
      </w:r>
      <w:r>
        <w:rPr>
          <w:szCs w:val="24"/>
        </w:rPr>
        <w:tab/>
        <w:t xml:space="preserve">Návrh </w:t>
      </w:r>
      <w:r>
        <w:rPr>
          <w:szCs w:val="24"/>
        </w:rPr>
        <w:t>smernice Európskeho parlamentu a Rady, ktorou sa mení smernica (EÚ) 2018/2001 o podpore využívania energie z obnoviteľných zdrojov, smernica 2010/31/EÚ o energetickej hospodárnosti budov a smernica 2012/27/EÚ o energetickej efektívnosti [COM(2022) 222 fina</w:t>
      </w:r>
      <w:r>
        <w:rPr>
          <w:szCs w:val="24"/>
        </w:rPr>
        <w:t>l].</w:t>
      </w:r>
    </w:p>
  </w:footnote>
  <w:footnote w:id="74">
    <w:p w:rsidR="00407135" w:rsidRDefault="00D55DFA"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ab/>
      </w:r>
      <w:hyperlink r:id="rId12" w:history="1">
        <w:r>
          <w:rPr>
            <w:rStyle w:val="Hyperlink"/>
            <w:sz w:val="24"/>
            <w:szCs w:val="24"/>
            <w:lang w:val="sk-SK"/>
          </w:rPr>
          <w:t>Klasifikácia morských biotopov EUNIS 2022.</w:t>
        </w:r>
      </w:hyperlink>
      <w:hyperlink r:id="rId13" w:history="1">
        <w:r>
          <w:rPr>
            <w:rStyle w:val="Hyperlink"/>
            <w:sz w:val="24"/>
            <w:szCs w:val="24"/>
            <w:lang w:val="sk-SK"/>
          </w:rPr>
          <w:t>Európska environmentálna agentúra.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135" w:rsidRDefault="004071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50A"/>
    <w:multiLevelType w:val="multilevel"/>
    <w:tmpl w:val="8F9CF8A6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6BA3735"/>
    <w:multiLevelType w:val="multilevel"/>
    <w:tmpl w:val="3D0C48D4"/>
    <w:lvl w:ilvl="0">
      <w:start w:val="1"/>
      <w:numFmt w:val="bullet"/>
      <w:pStyle w:val="Tiret1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FD71F5"/>
    <w:multiLevelType w:val="multilevel"/>
    <w:tmpl w:val="2F4CFA44"/>
    <w:styleLink w:val="Aktuelllista1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0D15729"/>
    <w:multiLevelType w:val="multilevel"/>
    <w:tmpl w:val="1A20A4CA"/>
    <w:styleLink w:val="RKPunktlista"/>
    <w:lvl w:ilvl="0">
      <w:start w:val="1"/>
      <w:numFmt w:val="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E193E"/>
    <w:multiLevelType w:val="multilevel"/>
    <w:tmpl w:val="29EA3E90"/>
    <w:lvl w:ilvl="0">
      <w:start w:val="1"/>
      <w:numFmt w:val="bullet"/>
      <w:pStyle w:val="Tiret4"/>
      <w:lvlText w:val=""/>
      <w:lvlJc w:val="left"/>
      <w:pPr>
        <w:tabs>
          <w:tab w:val="num" w:pos="3118"/>
        </w:tabs>
        <w:ind w:left="3118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6F31907"/>
    <w:multiLevelType w:val="multilevel"/>
    <w:tmpl w:val="B93E0D4E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2" w15:restartNumberingAfterBreak="0">
    <w:nsid w:val="1B3C78B8"/>
    <w:multiLevelType w:val="multilevel"/>
    <w:tmpl w:val="2ED4F4D0"/>
    <w:styleLink w:val="Aktuelllista1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1480B22"/>
    <w:multiLevelType w:val="multilevel"/>
    <w:tmpl w:val="B5AE76E8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A98393D"/>
    <w:multiLevelType w:val="multilevel"/>
    <w:tmpl w:val="16A2AF26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2B730CFD"/>
    <w:multiLevelType w:val="multilevel"/>
    <w:tmpl w:val="0BFC2A2C"/>
    <w:lvl w:ilvl="0">
      <w:start w:val="1"/>
      <w:numFmt w:val="bullet"/>
      <w:pStyle w:val="Tiret3"/>
      <w:lvlText w:val=""/>
      <w:lvlJc w:val="left"/>
      <w:pPr>
        <w:tabs>
          <w:tab w:val="num" w:pos="2551"/>
        </w:tabs>
        <w:ind w:left="2551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C9B0453"/>
    <w:multiLevelType w:val="multilevel"/>
    <w:tmpl w:val="1A20A4CA"/>
    <w:numStyleLink w:val="RKPunktlista"/>
  </w:abstractNum>
  <w:abstractNum w:abstractNumId="20" w15:restartNumberingAfterBreak="0">
    <w:nsid w:val="315257A4"/>
    <w:multiLevelType w:val="multilevel"/>
    <w:tmpl w:val="F3FE0882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1" w15:restartNumberingAfterBreak="0">
    <w:nsid w:val="38EF5EB8"/>
    <w:multiLevelType w:val="multilevel"/>
    <w:tmpl w:val="11100894"/>
    <w:lvl w:ilvl="0">
      <w:start w:val="1"/>
      <w:numFmt w:val="bullet"/>
      <w:pStyle w:val="Tiret2"/>
      <w:lvlText w:val=""/>
      <w:lvlJc w:val="left"/>
      <w:pPr>
        <w:tabs>
          <w:tab w:val="num" w:pos="1984"/>
        </w:tabs>
        <w:ind w:left="1984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E464C48"/>
    <w:multiLevelType w:val="multilevel"/>
    <w:tmpl w:val="47D0704A"/>
    <w:lvl w:ilvl="0">
      <w:start w:val="1"/>
      <w:numFmt w:val="bullet"/>
      <w:pStyle w:val="Tiret5"/>
      <w:lvlText w:val=""/>
      <w:lvlJc w:val="left"/>
      <w:pPr>
        <w:tabs>
          <w:tab w:val="num" w:pos="3685"/>
        </w:tabs>
        <w:ind w:left="3685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01A7262"/>
    <w:multiLevelType w:val="multilevel"/>
    <w:tmpl w:val="F998E014"/>
    <w:styleLink w:val="Strecklistan3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A6558FC"/>
    <w:multiLevelType w:val="multilevel"/>
    <w:tmpl w:val="0BE0E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B8A3A2B"/>
    <w:multiLevelType w:val="hybridMultilevel"/>
    <w:tmpl w:val="299C9EA4"/>
    <w:lvl w:ilvl="0" w:tplc="3A7E468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25C2C890">
      <w:start w:val="1"/>
      <w:numFmt w:val="lowerLetter"/>
      <w:lvlText w:val="%2."/>
      <w:lvlJc w:val="left"/>
      <w:pPr>
        <w:ind w:left="1440" w:hanging="360"/>
      </w:pPr>
    </w:lvl>
    <w:lvl w:ilvl="2" w:tplc="B7F6CEDA">
      <w:start w:val="1"/>
      <w:numFmt w:val="lowerRoman"/>
      <w:lvlText w:val="%3."/>
      <w:lvlJc w:val="right"/>
      <w:pPr>
        <w:ind w:left="2160" w:hanging="180"/>
      </w:pPr>
    </w:lvl>
    <w:lvl w:ilvl="3" w:tplc="1598C998">
      <w:start w:val="1"/>
      <w:numFmt w:val="decimal"/>
      <w:lvlText w:val="%4."/>
      <w:lvlJc w:val="left"/>
      <w:pPr>
        <w:ind w:left="2880" w:hanging="360"/>
      </w:pPr>
    </w:lvl>
    <w:lvl w:ilvl="4" w:tplc="75768B24">
      <w:start w:val="1"/>
      <w:numFmt w:val="lowerLetter"/>
      <w:lvlText w:val="%5."/>
      <w:lvlJc w:val="left"/>
      <w:pPr>
        <w:ind w:left="3600" w:hanging="360"/>
      </w:pPr>
    </w:lvl>
    <w:lvl w:ilvl="5" w:tplc="8814054E">
      <w:start w:val="1"/>
      <w:numFmt w:val="lowerRoman"/>
      <w:lvlText w:val="%6."/>
      <w:lvlJc w:val="right"/>
      <w:pPr>
        <w:ind w:left="4320" w:hanging="180"/>
      </w:pPr>
    </w:lvl>
    <w:lvl w:ilvl="6" w:tplc="F69C7EDC">
      <w:start w:val="1"/>
      <w:numFmt w:val="decimal"/>
      <w:lvlText w:val="%7."/>
      <w:lvlJc w:val="left"/>
      <w:pPr>
        <w:ind w:left="5040" w:hanging="360"/>
      </w:pPr>
    </w:lvl>
    <w:lvl w:ilvl="7" w:tplc="3F7617A2">
      <w:start w:val="1"/>
      <w:numFmt w:val="lowerLetter"/>
      <w:lvlText w:val="%8."/>
      <w:lvlJc w:val="left"/>
      <w:pPr>
        <w:ind w:left="5760" w:hanging="360"/>
      </w:pPr>
    </w:lvl>
    <w:lvl w:ilvl="8" w:tplc="19ECF7D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93654D"/>
    <w:multiLevelType w:val="multilevel"/>
    <w:tmpl w:val="264A3694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E50B93"/>
    <w:multiLevelType w:val="multilevel"/>
    <w:tmpl w:val="563A858C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0C70BCF"/>
    <w:multiLevelType w:val="multilevel"/>
    <w:tmpl w:val="723E4EF2"/>
    <w:styleLink w:val="Aktuelllista23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4A12FA4"/>
    <w:multiLevelType w:val="multilevel"/>
    <w:tmpl w:val="428ECF3E"/>
    <w:name w:val="Heading"/>
    <w:styleLink w:val="Aktuelllista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5C754F5"/>
    <w:multiLevelType w:val="multilevel"/>
    <w:tmpl w:val="12386B6E"/>
    <w:lvl w:ilvl="0">
      <w:start w:val="1"/>
      <w:numFmt w:val="bullet"/>
      <w:pStyle w:val="ListDash1"/>
      <w:lvlText w:val="–"/>
      <w:lvlJc w:val="left"/>
      <w:pPr>
        <w:tabs>
          <w:tab w:val="num" w:pos="1133"/>
        </w:tabs>
        <w:ind w:left="113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 w15:restartNumberingAfterBreak="0">
    <w:nsid w:val="6C7E640E"/>
    <w:multiLevelType w:val="multilevel"/>
    <w:tmpl w:val="982A2036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32A6128"/>
    <w:multiLevelType w:val="multilevel"/>
    <w:tmpl w:val="19F8A77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754E0D1C"/>
    <w:multiLevelType w:val="multilevel"/>
    <w:tmpl w:val="288CDC98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D027953"/>
    <w:multiLevelType w:val="multilevel"/>
    <w:tmpl w:val="89EED0BC"/>
    <w:styleLink w:val="Strecklistan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7FCA35A4"/>
    <w:multiLevelType w:val="multilevel"/>
    <w:tmpl w:val="3358008A"/>
    <w:lvl w:ilvl="0">
      <w:start w:val="1"/>
      <w:numFmt w:val="bullet"/>
      <w:pStyle w:val="Tiret0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22"/>
  </w:num>
  <w:num w:numId="3">
    <w:abstractNumId w:val="40"/>
  </w:num>
  <w:num w:numId="4">
    <w:abstractNumId w:val="2"/>
  </w:num>
  <w:num w:numId="5">
    <w:abstractNumId w:val="41"/>
  </w:num>
  <w:num w:numId="6">
    <w:abstractNumId w:val="33"/>
  </w:num>
  <w:num w:numId="7">
    <w:abstractNumId w:val="5"/>
  </w:num>
  <w:num w:numId="8">
    <w:abstractNumId w:val="45"/>
  </w:num>
  <w:num w:numId="9">
    <w:abstractNumId w:val="47"/>
  </w:num>
  <w:num w:numId="10">
    <w:abstractNumId w:val="29"/>
  </w:num>
  <w:num w:numId="11">
    <w:abstractNumId w:val="43"/>
  </w:num>
  <w:num w:numId="12">
    <w:abstractNumId w:val="37"/>
  </w:num>
  <w:num w:numId="13">
    <w:abstractNumId w:val="26"/>
  </w:num>
  <w:num w:numId="14">
    <w:abstractNumId w:val="13"/>
  </w:num>
  <w:num w:numId="15">
    <w:abstractNumId w:val="11"/>
  </w:num>
  <w:num w:numId="16">
    <w:abstractNumId w:val="38"/>
  </w:num>
  <w:num w:numId="17">
    <w:abstractNumId w:val="46"/>
  </w:num>
  <w:num w:numId="18">
    <w:abstractNumId w:val="1"/>
  </w:num>
  <w:num w:numId="19">
    <w:abstractNumId w:val="15"/>
  </w:num>
  <w:num w:numId="20">
    <w:abstractNumId w:val="10"/>
  </w:num>
  <w:num w:numId="21">
    <w:abstractNumId w:val="16"/>
  </w:num>
  <w:num w:numId="22">
    <w:abstractNumId w:val="31"/>
  </w:num>
  <w:num w:numId="23">
    <w:abstractNumId w:val="7"/>
  </w:num>
  <w:num w:numId="24">
    <w:abstractNumId w:val="19"/>
  </w:num>
  <w:num w:numId="25">
    <w:abstractNumId w:val="24"/>
  </w:num>
  <w:num w:numId="26">
    <w:abstractNumId w:val="44"/>
  </w:num>
  <w:num w:numId="27">
    <w:abstractNumId w:val="17"/>
  </w:num>
  <w:num w:numId="28">
    <w:abstractNumId w:val="36"/>
  </w:num>
  <w:num w:numId="29">
    <w:abstractNumId w:val="34"/>
  </w:num>
  <w:num w:numId="30">
    <w:abstractNumId w:val="6"/>
  </w:num>
  <w:num w:numId="31">
    <w:abstractNumId w:val="39"/>
  </w:num>
  <w:num w:numId="32">
    <w:abstractNumId w:val="9"/>
  </w:num>
  <w:num w:numId="33">
    <w:abstractNumId w:val="30"/>
  </w:num>
  <w:num w:numId="34">
    <w:abstractNumId w:val="14"/>
  </w:num>
  <w:num w:numId="35">
    <w:abstractNumId w:val="0"/>
  </w:num>
  <w:num w:numId="36">
    <w:abstractNumId w:val="49"/>
  </w:num>
  <w:num w:numId="37">
    <w:abstractNumId w:val="3"/>
  </w:num>
  <w:num w:numId="38">
    <w:abstractNumId w:val="21"/>
  </w:num>
  <w:num w:numId="39">
    <w:abstractNumId w:val="18"/>
  </w:num>
  <w:num w:numId="40">
    <w:abstractNumId w:val="8"/>
  </w:num>
  <w:num w:numId="41">
    <w:abstractNumId w:val="23"/>
  </w:num>
  <w:num w:numId="42">
    <w:abstractNumId w:val="20"/>
  </w:num>
  <w:num w:numId="43">
    <w:abstractNumId w:val="32"/>
  </w:num>
  <w:num w:numId="44">
    <w:abstractNumId w:val="42"/>
  </w:num>
  <w:num w:numId="45">
    <w:abstractNumId w:val="48"/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5"/>
  </w:num>
  <w:num w:numId="49">
    <w:abstractNumId w:val="25"/>
  </w:num>
  <w:num w:numId="50">
    <w:abstractNumId w:val="12"/>
  </w:num>
  <w:num w:numId="51">
    <w:abstractNumId w:val="27"/>
  </w:num>
  <w:num w:numId="52">
    <w:abstractNumId w:val="28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20/2023"/>
    <w:docVar w:name="dvlangue" w:val="SK"/>
    <w:docVar w:name="dvnumam" w:val="1"/>
    <w:docVar w:name="dvpe" w:val="737.282"/>
    <w:docVar w:name="dvrapporteur" w:val="Spravodajca: "/>
    <w:docVar w:name="dvstar" w:val="***I"/>
    <w:docVar w:name="dvtitre" w:val="Legislatívne uznesenie Európskeho parlamentu z xx. júla 2023 o návrhu nariadenia Európskeho parlamentu a Rady o obnove prírody(COM(2022)0304 – C9-0208/2022 – 2022/0195(COD))"/>
  </w:docVars>
  <w:rsids>
    <w:rsidRoot w:val="00407135"/>
    <w:rsid w:val="00407135"/>
    <w:rsid w:val="00D5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15F86"/>
  <w15:chartTrackingRefBased/>
  <w15:docId w15:val="{4CE1B0DC-C680-450D-A9C4-BEAA889E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uiPriority="99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table of figures" w:uiPriority="99" w:qFormat="1"/>
    <w:lsdException w:name="footnote reference" w:uiPriority="99"/>
    <w:lsdException w:name="annotation reference" w:uiPriority="99" w:qFormat="1"/>
    <w:lsdException w:name="page number" w:qFormat="1"/>
    <w:lsdException w:name="endnote reference" w:uiPriority="99"/>
    <w:lsdException w:name="endnote text" w:uiPriority="99"/>
    <w:lsdException w:name="List" w:uiPriority="99"/>
    <w:lsdException w:name="List Number" w:uiPriority="99" w:qFormat="1"/>
    <w:lsdException w:name="List Bullet 4" w:uiPriority="99" w:qFormat="1"/>
    <w:lsdException w:name="List Number 2" w:uiPriority="99" w:qFormat="1"/>
    <w:lsdException w:name="List Number 3" w:uiPriority="99" w:qFormat="1"/>
    <w:lsdException w:name="List Number 4" w:uiPriority="99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 w:qFormat="1"/>
    <w:lsdException w:name="Normal Table" w:semiHidden="1" w:unhideWhenUsed="1"/>
    <w:lsdException w:name="annotation subject" w:uiPriority="99" w:qFormat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qFormat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Pr>
      <w:sz w:val="22"/>
      <w:lang w:val="fr-FR" w:eastAsia="fr-FR"/>
    </w:rPr>
  </w:style>
  <w:style w:type="character" w:styleId="PageNumber">
    <w:name w:val="page number"/>
    <w:qFormat/>
  </w:style>
  <w:style w:type="paragraph" w:styleId="TOC2">
    <w:name w:val="toc 2"/>
    <w:basedOn w:val="Normal"/>
    <w:next w:val="Normal"/>
    <w:autoRedefine/>
    <w:uiPriority w:val="39"/>
    <w:qFormat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qFormat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24"/>
      <w:lang w:val="sk-SK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Pr>
      <w:sz w:val="24"/>
      <w:lang w:val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Centered">
    <w:name w:val="Normal Centered"/>
    <w:basedOn w:val="Normal"/>
    <w:qFormat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qFormat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qFormat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qFormat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qFormat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qFormat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qFormat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qFormat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qFormat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qFormat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qFormat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qFormat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qFormat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qFormat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qFormat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qFormat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qFormat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qFormat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qFormat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qFormat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qFormat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qFormat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qFormat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qFormat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qFormat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qFormat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qFormat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qFormat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qFormat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qFormat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qFormat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qFormat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qFormat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qFormat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qFormat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qFormat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qFormat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qFormat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qFormat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qFormat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qFormat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qFormat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qFormat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qFormat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qFormat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qFormat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qFormat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qFormat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qFormat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qFormat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qFormat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qFormat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qFormat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qFormat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qFormat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qFormat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qFormat/>
    <w:pPr>
      <w:jc w:val="center"/>
    </w:pPr>
  </w:style>
  <w:style w:type="paragraph" w:customStyle="1" w:styleId="Jardin">
    <w:name w:val="Jardin"/>
    <w:basedOn w:val="Normal"/>
    <w:qFormat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qFormat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qFormat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qFormat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qFormat/>
    <w:rPr>
      <w:b/>
    </w:rPr>
  </w:style>
  <w:style w:type="paragraph" w:customStyle="1" w:styleId="Annex">
    <w:name w:val="Annex"/>
    <w:basedOn w:val="Normal"/>
    <w:next w:val="Normal"/>
    <w:qFormat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qFormat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qFormat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qFormat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qFormat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qFormat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qFormat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qFormat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qFormat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qFormat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numbering" w:customStyle="1" w:styleId="RKPunktlista">
    <w:name w:val="RK Punktlista"/>
    <w:uiPriority w:val="99"/>
    <w:pPr>
      <w:numPr>
        <w:numId w:val="23"/>
      </w:numPr>
    </w:pPr>
  </w:style>
  <w:style w:type="paragraph" w:customStyle="1" w:styleId="ListBullet10">
    <w:name w:val="List Bullet1"/>
    <w:basedOn w:val="Normal"/>
    <w:next w:val="ListBullet"/>
    <w:uiPriority w:val="99"/>
    <w:qFormat/>
    <w:pPr>
      <w:widowControl/>
      <w:numPr>
        <w:numId w:val="24"/>
      </w:numPr>
      <w:tabs>
        <w:tab w:val="clear" w:pos="425"/>
        <w:tab w:val="num" w:pos="1134"/>
      </w:tabs>
      <w:spacing w:after="100" w:line="276" w:lineRule="auto"/>
      <w:ind w:left="1134" w:hanging="567"/>
      <w:contextualSpacing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qFormat/>
    <w:pPr>
      <w:widowControl/>
      <w:numPr>
        <w:ilvl w:val="1"/>
        <w:numId w:val="24"/>
      </w:numPr>
      <w:tabs>
        <w:tab w:val="clear" w:pos="851"/>
        <w:tab w:val="num" w:pos="1134"/>
      </w:tabs>
      <w:spacing w:after="100" w:line="276" w:lineRule="auto"/>
      <w:ind w:left="850" w:hanging="425"/>
      <w:contextualSpacing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qFormat/>
    <w:pPr>
      <w:widowControl/>
      <w:numPr>
        <w:ilvl w:val="2"/>
        <w:numId w:val="24"/>
      </w:numPr>
      <w:tabs>
        <w:tab w:val="clear" w:pos="1276"/>
        <w:tab w:val="num" w:pos="1134"/>
      </w:tabs>
      <w:spacing w:after="100" w:line="276" w:lineRule="auto"/>
      <w:ind w:left="1134" w:hanging="567"/>
      <w:contextualSpacing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ListParagraphCharCharChar1">
    <w:name w:val="List Paragraph Char Char Char1"/>
    <w:basedOn w:val="Normal"/>
    <w:next w:val="ListParagraph"/>
    <w:link w:val="ListParagraphChar"/>
    <w:uiPriority w:val="34"/>
    <w:qFormat/>
    <w:pPr>
      <w:widowControl/>
      <w:spacing w:after="280" w:line="276" w:lineRule="auto"/>
      <w:ind w:left="720"/>
      <w:contextualSpacing/>
    </w:pPr>
    <w:rPr>
      <w:rFonts w:ascii="Calibri" w:eastAsia="Calibri" w:hAnsi="Calibri" w:cs="Arial"/>
      <w:sz w:val="25"/>
      <w:szCs w:val="25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="Arial" w:hAnsi="Arial"/>
      <w:sz w:val="24"/>
      <w:lang w:val="sk-SK"/>
    </w:rPr>
  </w:style>
  <w:style w:type="paragraph" w:styleId="NoSpacing">
    <w:name w:val="No Spacing"/>
    <w:uiPriority w:val="1"/>
    <w:qFormat/>
    <w:pPr>
      <w:jc w:val="both"/>
    </w:pPr>
    <w:rPr>
      <w:rFonts w:eastAsia="Calibri" w:cs="Arial"/>
      <w:sz w:val="24"/>
      <w:lang w:val="sk-SK" w:eastAsia="sv-SE"/>
    </w:rPr>
  </w:style>
  <w:style w:type="paragraph" w:customStyle="1" w:styleId="CM1">
    <w:name w:val="CM1"/>
    <w:basedOn w:val="Default"/>
    <w:next w:val="Default"/>
    <w:uiPriority w:val="99"/>
    <w:pPr>
      <w:suppressAutoHyphens w:val="0"/>
      <w:autoSpaceDE w:val="0"/>
      <w:autoSpaceDN w:val="0"/>
      <w:adjustRightInd w:val="0"/>
    </w:pPr>
    <w:rPr>
      <w:color w:val="auto"/>
    </w:rPr>
  </w:style>
  <w:style w:type="character" w:customStyle="1" w:styleId="Fotnotstecken">
    <w:name w:val="Fotnotstecken"/>
    <w:basedOn w:val="DefaultParagraphFont"/>
    <w:uiPriority w:val="99"/>
    <w:unhideWhenUsed/>
    <w:qFormat/>
    <w:rPr>
      <w:b/>
      <w:shd w:val="clear" w:color="auto" w:fill="auto"/>
      <w:vertAlign w:val="superscript"/>
    </w:rPr>
  </w:style>
  <w:style w:type="character" w:customStyle="1" w:styleId="Fotnotsankare">
    <w:name w:val="Fotnotsankare"/>
    <w:qFormat/>
    <w:rPr>
      <w:vertAlign w:val="superscript"/>
    </w:rPr>
  </w:style>
  <w:style w:type="character" w:customStyle="1" w:styleId="Slutnotstecken">
    <w:name w:val="Slutnotstecken"/>
    <w:basedOn w:val="DefaultParagraphFont"/>
    <w:uiPriority w:val="99"/>
    <w:semiHidden/>
    <w:unhideWhenUsed/>
    <w:qFormat/>
    <w:rPr>
      <w:vertAlign w:val="superscript"/>
    </w:rPr>
  </w:style>
  <w:style w:type="character" w:customStyle="1" w:styleId="Slutnotsankare">
    <w:name w:val="Slutnotsankare"/>
    <w:qFormat/>
    <w:rPr>
      <w:vertAlign w:val="superscript"/>
    </w:rPr>
  </w:style>
  <w:style w:type="character" w:customStyle="1" w:styleId="TOCHeadingChar">
    <w:name w:val="TOC Heading Char"/>
    <w:uiPriority w:val="39"/>
    <w:qFormat/>
    <w:rPr>
      <w:rFonts w:ascii="Times New Roman" w:hAnsi="Times New Roman" w:cs="Times New Roman"/>
      <w:b/>
      <w:sz w:val="28"/>
      <w:lang w:val="sk-SK"/>
    </w:rPr>
  </w:style>
  <w:style w:type="character" w:customStyle="1" w:styleId="Internetlnk">
    <w:name w:val="Internetlänk"/>
    <w:uiPriority w:val="99"/>
    <w:qFormat/>
    <w:rPr>
      <w:color w:val="0000FF"/>
      <w:u w:val="single"/>
    </w:rPr>
  </w:style>
  <w:style w:type="character" w:styleId="CommentReference">
    <w:name w:val="annotation reference"/>
    <w:uiPriority w:val="99"/>
    <w:qFormat/>
    <w:rPr>
      <w:rFonts w:cs="Times New Roman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</w:style>
  <w:style w:type="character" w:customStyle="1" w:styleId="CommentSubjectChar">
    <w:name w:val="Comment Subject Char"/>
    <w:basedOn w:val="CommentTextChar"/>
    <w:link w:val="CommentSubject"/>
    <w:uiPriority w:val="99"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Tahoma" w:hAnsi="Tahoma" w:cs="Tahoma"/>
      <w:sz w:val="16"/>
      <w:szCs w:val="16"/>
      <w:lang w:val="sk-SK"/>
    </w:rPr>
  </w:style>
  <w:style w:type="character" w:customStyle="1" w:styleId="tw4winMark">
    <w:name w:val="tw4winMark"/>
    <w:qFormat/>
    <w:rPr>
      <w:vanish/>
      <w:color w:val="800080"/>
      <w:vertAlign w:val="subscript"/>
    </w:rPr>
  </w:style>
  <w:style w:type="character" w:customStyle="1" w:styleId="AnvndInternetlnk">
    <w:name w:val="Använd Internetlänk"/>
    <w:qFormat/>
    <w:rPr>
      <w:color w:val="800080"/>
      <w:u w:val="single"/>
    </w:rPr>
  </w:style>
  <w:style w:type="character" w:customStyle="1" w:styleId="FooterCoverPageChar">
    <w:name w:val="Footer Cover Page Char"/>
    <w:link w:val="FooterCoverPage"/>
    <w:qFormat/>
    <w:rPr>
      <w:rFonts w:eastAsia="Calibri"/>
      <w:sz w:val="24"/>
    </w:rPr>
  </w:style>
  <w:style w:type="character" w:customStyle="1" w:styleId="HeaderCoverPageChar">
    <w:name w:val="Header Cover Page Char"/>
    <w:link w:val="HeaderCoverPage"/>
    <w:qFormat/>
    <w:rPr>
      <w:rFonts w:eastAsia="Calibri"/>
      <w:sz w:val="24"/>
    </w:rPr>
  </w:style>
  <w:style w:type="character" w:customStyle="1" w:styleId="ListParagraphChar">
    <w:name w:val="List Paragraph Char"/>
    <w:aliases w:val="1st level - Bullet List Paragraph Char,Bullet Points Char,Dot pt Char,F5 List Paragraph Char,Heading 2_sj Char,Indicator Text Char,List Paragraph1 Char,List Paragraph12 Char,MAIN CONTENT Char,No Spacing1 Char,Numbered Para 1 Char"/>
    <w:basedOn w:val="DefaultParagraphFont"/>
    <w:link w:val="ListParagraphCharCharChar1"/>
    <w:uiPriority w:val="34"/>
    <w:qFormat/>
    <w:locked/>
    <w:rPr>
      <w:rFonts w:ascii="Calibri" w:eastAsia="Calibri" w:hAnsi="Calibri" w:cs="Arial"/>
      <w:sz w:val="25"/>
      <w:szCs w:val="25"/>
      <w:lang w:val="sk-SK" w:eastAsia="en-US"/>
    </w:rPr>
  </w:style>
  <w:style w:type="character" w:customStyle="1" w:styleId="normaltextrun">
    <w:name w:val="normaltextrun"/>
    <w:basedOn w:val="DefaultParagraphFont"/>
    <w:qFormat/>
  </w:style>
  <w:style w:type="character" w:customStyle="1" w:styleId="eop">
    <w:name w:val="eop"/>
    <w:basedOn w:val="DefaultParagraphFont"/>
    <w:qFormat/>
  </w:style>
  <w:style w:type="character" w:customStyle="1" w:styleId="bold">
    <w:name w:val="bold"/>
    <w:basedOn w:val="DefaultParagraphFont"/>
    <w:qFormat/>
  </w:style>
  <w:style w:type="character" w:customStyle="1" w:styleId="oj-italic">
    <w:name w:val="oj-italic"/>
    <w:basedOn w:val="DefaultParagraphFont"/>
    <w:qFormat/>
  </w:style>
  <w:style w:type="character" w:customStyle="1" w:styleId="Bodytext2">
    <w:name w:val="Body text|2"/>
    <w:basedOn w:val="DefaultParagraphFont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231F20"/>
      <w:spacing w:val="0"/>
      <w:u w:val="none"/>
      <w:effect w:val="none"/>
      <w:lang w:eastAsia="en-US"/>
    </w:rPr>
  </w:style>
  <w:style w:type="character" w:customStyle="1" w:styleId="Betonad">
    <w:name w:val="Betonad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ighlight">
    <w:name w:val="highlight"/>
    <w:basedOn w:val="DefaultParagraphFont"/>
    <w:qFormat/>
  </w:style>
  <w:style w:type="character" w:customStyle="1" w:styleId="oj-super">
    <w:name w:val="oj-super"/>
    <w:basedOn w:val="DefaultParagraphFont"/>
    <w:qFormat/>
  </w:style>
  <w:style w:type="character" w:customStyle="1" w:styleId="findhit">
    <w:name w:val="findhit"/>
    <w:basedOn w:val="DefaultParagraphFont"/>
    <w:qFormat/>
  </w:style>
  <w:style w:type="character" w:customStyle="1" w:styleId="Marker2">
    <w:name w:val="Marker2"/>
    <w:basedOn w:val="DefaultParagraphFont"/>
    <w:qFormat/>
    <w:rPr>
      <w:color w:val="FF0000"/>
      <w:shd w:val="clear" w:color="auto" w:fill="auto"/>
    </w:rPr>
  </w:style>
  <w:style w:type="character" w:customStyle="1" w:styleId="Added">
    <w:name w:val="Added"/>
    <w:basedOn w:val="DefaultParagraphFont"/>
    <w:qFormat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qFormat/>
    <w:rPr>
      <w:strike w:val="0"/>
      <w:dstrike w:val="0"/>
      <w:shd w:val="clear" w:color="auto" w:fill="auto"/>
    </w:rPr>
  </w:style>
  <w:style w:type="character" w:customStyle="1" w:styleId="pjChar">
    <w:name w:val="p.j. Char"/>
    <w:basedOn w:val="TechnicalBlockChar"/>
    <w:link w:val="pj"/>
    <w:qFormat/>
    <w:rPr>
      <w:rFonts w:eastAsia="Calibri"/>
      <w:sz w:val="24"/>
      <w:szCs w:val="22"/>
      <w:lang w:val="sk-SK" w:eastAsia="en-US"/>
    </w:rPr>
  </w:style>
  <w:style w:type="character" w:customStyle="1" w:styleId="nbborderedChar">
    <w:name w:val="nb bordered Char"/>
    <w:basedOn w:val="TechnicalBlockChar"/>
    <w:link w:val="nbbordered"/>
    <w:qFormat/>
    <w:rPr>
      <w:rFonts w:eastAsia="Calibri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link w:val="HeaderCouncil"/>
    <w:qFormat/>
    <w:rPr>
      <w:rFonts w:eastAsia="Calibri"/>
      <w:sz w:val="2"/>
      <w:szCs w:val="22"/>
      <w:lang w:val="sk-SK" w:eastAsia="en-US"/>
    </w:rPr>
  </w:style>
  <w:style w:type="character" w:customStyle="1" w:styleId="FooterCouncilChar">
    <w:name w:val="Footer Council Char"/>
    <w:basedOn w:val="DefaultParagraphFont"/>
    <w:link w:val="FooterCouncil"/>
    <w:qFormat/>
    <w:rPr>
      <w:rFonts w:eastAsia="Calibri"/>
      <w:sz w:val="2"/>
      <w:szCs w:val="22"/>
      <w:lang w:val="sk-SK" w:eastAsia="en-US"/>
    </w:rPr>
  </w:style>
  <w:style w:type="character" w:customStyle="1" w:styleId="ArticleNRLChar">
    <w:name w:val="Article NRL Char"/>
    <w:basedOn w:val="Heading2Char"/>
    <w:link w:val="ArticleNRL"/>
    <w:qFormat/>
    <w:rPr>
      <w:sz w:val="24"/>
      <w:lang w:val="fr-FR" w:eastAsia="fr-FR"/>
    </w:rPr>
  </w:style>
  <w:style w:type="character" w:customStyle="1" w:styleId="TypedudocumentChar">
    <w:name w:val="Type du document Char"/>
    <w:basedOn w:val="DefaultParagraphFont"/>
    <w:link w:val="Typedudocument"/>
    <w:qFormat/>
    <w:rPr>
      <w:b/>
      <w:sz w:val="24"/>
    </w:rPr>
  </w:style>
  <w:style w:type="character" w:customStyle="1" w:styleId="Rubrik1Char">
    <w:name w:val="Rubrik1 Char"/>
    <w:basedOn w:val="TypedudocumentChar"/>
    <w:link w:val="Rubrik1"/>
    <w:qFormat/>
    <w:rPr>
      <w:b/>
      <w:sz w:val="24"/>
    </w:rPr>
  </w:style>
  <w:style w:type="character" w:customStyle="1" w:styleId="ChapterTitleChar">
    <w:name w:val="ChapterTitle Char"/>
    <w:basedOn w:val="DefaultParagraphFont"/>
    <w:link w:val="ChapterTitle"/>
    <w:qFormat/>
    <w:rPr>
      <w:b/>
      <w:bCs/>
      <w:smallCaps/>
      <w:sz w:val="32"/>
      <w:szCs w:val="28"/>
    </w:rPr>
  </w:style>
  <w:style w:type="character" w:customStyle="1" w:styleId="Point0Char">
    <w:name w:val="Point 0 Char"/>
    <w:basedOn w:val="DefaultParagraphFont"/>
    <w:link w:val="Point0"/>
    <w:qFormat/>
    <w:rPr>
      <w:sz w:val="24"/>
    </w:rPr>
  </w:style>
  <w:style w:type="character" w:customStyle="1" w:styleId="additionChar">
    <w:name w:val="addition Char"/>
    <w:basedOn w:val="Point0Char"/>
    <w:link w:val="addition"/>
    <w:qFormat/>
    <w:rPr>
      <w:b/>
      <w:sz w:val="24"/>
      <w:u w:val="single"/>
    </w:rPr>
  </w:style>
  <w:style w:type="character" w:customStyle="1" w:styleId="ManualNumPar1Char">
    <w:name w:val="Manual NumPar 1 Char"/>
    <w:basedOn w:val="DefaultParagraphFont"/>
    <w:link w:val="ManualNumPar1"/>
    <w:qFormat/>
    <w:rPr>
      <w:sz w:val="24"/>
    </w:rPr>
  </w:style>
  <w:style w:type="character" w:customStyle="1" w:styleId="deletionChar">
    <w:name w:val="deletion Char"/>
    <w:basedOn w:val="ManualNumPar1Char"/>
    <w:link w:val="deletion"/>
    <w:qFormat/>
    <w:rPr>
      <w:strike/>
      <w:sz w:val="24"/>
    </w:rPr>
  </w:style>
  <w:style w:type="character" w:styleId="Hyperlink">
    <w:name w:val="Hyperlink"/>
    <w:uiPriority w:val="99"/>
    <w:rPr>
      <w:color w:val="000080"/>
      <w:u w:val="single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widowControl/>
      <w:suppressAutoHyphens/>
      <w:spacing w:before="240" w:after="120" w:line="360" w:lineRule="auto"/>
    </w:pPr>
    <w:rPr>
      <w:rFonts w:ascii="Carlito" w:eastAsia="Noto Sans SC Regular" w:hAnsi="Carlito" w:cs="Noto Sans Devanagari"/>
      <w:sz w:val="28"/>
      <w:szCs w:val="28"/>
      <w:lang w:eastAsia="en-US"/>
    </w:rPr>
  </w:style>
  <w:style w:type="paragraph" w:styleId="BodyText">
    <w:name w:val="Body Text"/>
    <w:basedOn w:val="Normal"/>
    <w:link w:val="BodyTextChar"/>
    <w:pPr>
      <w:widowControl/>
      <w:suppressAutoHyphens/>
      <w:spacing w:after="140" w:line="276" w:lineRule="auto"/>
    </w:pPr>
    <w:rPr>
      <w:rFonts w:eastAsia="Calibr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Pr>
      <w:rFonts w:eastAsia="Calibri"/>
      <w:sz w:val="24"/>
      <w:szCs w:val="22"/>
      <w:lang w:val="sk-SK" w:eastAsia="en-US"/>
    </w:rPr>
  </w:style>
  <w:style w:type="paragraph" w:styleId="List">
    <w:name w:val="List"/>
    <w:basedOn w:val="Normal"/>
    <w:uiPriority w:val="99"/>
    <w:unhideWhenUsed/>
    <w:pPr>
      <w:widowControl/>
      <w:suppressAutoHyphens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Caption">
    <w:name w:val="caption"/>
    <w:basedOn w:val="Normal"/>
    <w:next w:val="Normal"/>
    <w:uiPriority w:val="35"/>
    <w:qFormat/>
    <w:pPr>
      <w:widowControl/>
      <w:suppressAutoHyphens/>
      <w:spacing w:before="120" w:after="120"/>
      <w:jc w:val="both"/>
    </w:pPr>
    <w:rPr>
      <w:b/>
      <w:bCs/>
      <w:sz w:val="20"/>
    </w:rPr>
  </w:style>
  <w:style w:type="paragraph" w:customStyle="1" w:styleId="Index">
    <w:name w:val="Index"/>
    <w:basedOn w:val="Normal"/>
    <w:qFormat/>
    <w:pPr>
      <w:widowControl/>
      <w:suppressLineNumbers/>
      <w:suppressAutoHyphens/>
      <w:spacing w:before="120" w:after="120" w:line="360" w:lineRule="auto"/>
    </w:pPr>
    <w:rPr>
      <w:rFonts w:eastAsia="Calibri" w:cs="Noto Sans Devanagari"/>
      <w:szCs w:val="22"/>
      <w:lang w:eastAsia="en-US"/>
    </w:rPr>
  </w:style>
  <w:style w:type="paragraph" w:styleId="Title">
    <w:name w:val="Title"/>
    <w:basedOn w:val="Normal"/>
    <w:next w:val="BodyText"/>
    <w:link w:val="TitleChar"/>
    <w:qFormat/>
    <w:pPr>
      <w:keepNext/>
      <w:widowControl/>
      <w:suppressAutoHyphens/>
      <w:spacing w:before="240" w:after="120" w:line="360" w:lineRule="auto"/>
    </w:pPr>
    <w:rPr>
      <w:rFonts w:ascii="Carlito" w:eastAsia="Noto Sans SC Regular" w:hAnsi="Carlito" w:cs="Noto Sans Devanagari"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Pr>
      <w:rFonts w:ascii="Carlito" w:eastAsia="Noto Sans SC Regular" w:hAnsi="Carlito" w:cs="Noto Sans Devanagari"/>
      <w:sz w:val="28"/>
      <w:szCs w:val="28"/>
      <w:lang w:val="sk-SK" w:eastAsia="en-US"/>
    </w:rPr>
  </w:style>
  <w:style w:type="paragraph" w:customStyle="1" w:styleId="Frteckning">
    <w:name w:val="Förteckning"/>
    <w:basedOn w:val="Normal"/>
    <w:qFormat/>
    <w:pPr>
      <w:widowControl/>
      <w:suppressLineNumbers/>
      <w:suppressAutoHyphens/>
      <w:spacing w:before="120" w:after="120" w:line="360" w:lineRule="auto"/>
    </w:pPr>
    <w:rPr>
      <w:rFonts w:eastAsia="Calibri" w:cs="Noto Sans Devanagari"/>
      <w:szCs w:val="22"/>
      <w:lang w:eastAsia="en-US"/>
    </w:rPr>
  </w:style>
  <w:style w:type="paragraph" w:customStyle="1" w:styleId="Sidhuvudochsidfot">
    <w:name w:val="Sidhuvud och sidfot"/>
    <w:basedOn w:val="Normal"/>
    <w:qFormat/>
    <w:pPr>
      <w:widowControl/>
      <w:suppressAutoHyphens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andFooter">
    <w:name w:val="Header and Footer"/>
    <w:basedOn w:val="Normal"/>
    <w:qFormat/>
    <w:pPr>
      <w:widowControl/>
      <w:suppressAutoHyphens/>
      <w:spacing w:before="120" w:after="120" w:line="360" w:lineRule="auto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qFormat/>
    <w:pPr>
      <w:widowControl/>
      <w:numPr>
        <w:numId w:val="26"/>
      </w:numPr>
      <w:suppressAutoHyphens/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qFormat/>
    <w:pPr>
      <w:widowControl/>
      <w:numPr>
        <w:numId w:val="30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qFormat/>
    <w:pPr>
      <w:widowControl/>
      <w:numPr>
        <w:numId w:val="25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qFormat/>
    <w:pPr>
      <w:widowControl/>
      <w:numPr>
        <w:numId w:val="27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qFormat/>
    <w:pPr>
      <w:widowControl/>
      <w:numPr>
        <w:numId w:val="28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qFormat/>
    <w:pPr>
      <w:widowControl/>
      <w:numPr>
        <w:numId w:val="29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qFormat/>
    <w:pPr>
      <w:widowControl/>
      <w:tabs>
        <w:tab w:val="left" w:pos="1417"/>
      </w:tabs>
      <w:suppressAutoHyphens/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qFormat/>
    <w:pPr>
      <w:widowControl/>
      <w:tabs>
        <w:tab w:val="left" w:pos="2126"/>
      </w:tabs>
      <w:suppressAutoHyphens/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qFormat/>
    <w:pPr>
      <w:widowControl/>
      <w:tabs>
        <w:tab w:val="left" w:pos="2835"/>
      </w:tabs>
      <w:suppressAutoHyphens/>
      <w:spacing w:before="120" w:after="120"/>
      <w:ind w:left="2835" w:hanging="709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qFormat/>
    <w:pPr>
      <w:widowControl/>
      <w:numPr>
        <w:numId w:val="34"/>
      </w:numPr>
      <w:suppressAutoHyphens/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qFormat/>
    <w:pPr>
      <w:widowControl/>
      <w:numPr>
        <w:numId w:val="35"/>
      </w:numPr>
      <w:suppressAutoHyphens/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qFormat/>
    <w:pPr>
      <w:widowControl/>
      <w:tabs>
        <w:tab w:val="num" w:pos="1560"/>
      </w:tabs>
      <w:suppressAutoHyphens/>
      <w:spacing w:before="120" w:after="120"/>
      <w:ind w:left="1560" w:hanging="709"/>
      <w:jc w:val="both"/>
    </w:pPr>
    <w:rPr>
      <w:szCs w:val="22"/>
    </w:rPr>
  </w:style>
  <w:style w:type="paragraph" w:customStyle="1" w:styleId="ListDash3">
    <w:name w:val="List Dash 3"/>
    <w:basedOn w:val="Normal"/>
    <w:qFormat/>
    <w:pPr>
      <w:widowControl/>
      <w:numPr>
        <w:numId w:val="31"/>
      </w:numPr>
      <w:suppressAutoHyphens/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qFormat/>
    <w:pPr>
      <w:widowControl/>
      <w:numPr>
        <w:numId w:val="32"/>
      </w:numPr>
      <w:suppressAutoHyphens/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qFormat/>
    <w:pPr>
      <w:numPr>
        <w:numId w:val="33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qFormat/>
    <w:pPr>
      <w:numPr>
        <w:ilvl w:val="1"/>
        <w:numId w:val="33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qFormat/>
    <w:pPr>
      <w:numPr>
        <w:ilvl w:val="1"/>
        <w:numId w:val="34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qFormat/>
    <w:pPr>
      <w:numPr>
        <w:ilvl w:val="1"/>
        <w:numId w:val="35"/>
      </w:numPr>
      <w:tabs>
        <w:tab w:val="clear" w:pos="2268"/>
        <w:tab w:val="num" w:pos="2835"/>
      </w:tabs>
      <w:suppressAutoHyphens/>
      <w:ind w:left="1701" w:firstLine="0"/>
    </w:pPr>
  </w:style>
  <w:style w:type="paragraph" w:customStyle="1" w:styleId="ListNumber4Level2">
    <w:name w:val="List Number 4 (Level 2)"/>
    <w:basedOn w:val="Text4"/>
    <w:qFormat/>
    <w:pPr>
      <w:tabs>
        <w:tab w:val="num" w:pos="2268"/>
      </w:tabs>
      <w:suppressAutoHyphens/>
      <w:spacing w:line="240" w:lineRule="auto"/>
      <w:ind w:hanging="708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qFormat/>
    <w:pPr>
      <w:tabs>
        <w:tab w:val="left" w:pos="2977"/>
      </w:tabs>
      <w:suppressAutoHyphens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qFormat/>
    <w:pPr>
      <w:numPr>
        <w:ilvl w:val="2"/>
        <w:numId w:val="34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qFormat/>
    <w:pPr>
      <w:numPr>
        <w:ilvl w:val="2"/>
        <w:numId w:val="35"/>
      </w:numPr>
      <w:tabs>
        <w:tab w:val="clear" w:pos="2977"/>
        <w:tab w:val="num" w:pos="2835"/>
      </w:tabs>
      <w:suppressAutoHyphens/>
      <w:ind w:left="1701" w:firstLine="0"/>
    </w:pPr>
  </w:style>
  <w:style w:type="paragraph" w:customStyle="1" w:styleId="ListNumber4Level3">
    <w:name w:val="List Number 4 (Level 3)"/>
    <w:basedOn w:val="Text4"/>
    <w:qFormat/>
    <w:pPr>
      <w:tabs>
        <w:tab w:val="num" w:pos="2977"/>
      </w:tabs>
      <w:suppressAutoHyphens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qFormat/>
    <w:pPr>
      <w:numPr>
        <w:ilvl w:val="3"/>
        <w:numId w:val="33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qFormat/>
    <w:pPr>
      <w:numPr>
        <w:ilvl w:val="3"/>
        <w:numId w:val="34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qFormat/>
    <w:pPr>
      <w:numPr>
        <w:ilvl w:val="3"/>
        <w:numId w:val="35"/>
      </w:numPr>
      <w:tabs>
        <w:tab w:val="clear" w:pos="3686"/>
        <w:tab w:val="num" w:pos="2835"/>
      </w:tabs>
      <w:suppressAutoHyphens/>
      <w:ind w:left="1701" w:firstLine="0"/>
    </w:pPr>
  </w:style>
  <w:style w:type="paragraph" w:customStyle="1" w:styleId="ListNumber4Level4">
    <w:name w:val="List Number 4 (Level 4)"/>
    <w:basedOn w:val="Text4"/>
    <w:qFormat/>
    <w:pPr>
      <w:tabs>
        <w:tab w:val="num" w:pos="3686"/>
      </w:tabs>
      <w:suppressAutoHyphens/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qFormat/>
    <w:pPr>
      <w:widowControl/>
      <w:suppressAutoHyphens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qFormat/>
    <w:pPr>
      <w:widowControl/>
      <w:suppressAutoHyphens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qFormat/>
    <w:pPr>
      <w:widowControl/>
      <w:suppressAutoHyphens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qFormat/>
    <w:pPr>
      <w:widowControl/>
      <w:suppressAutoHyphens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qFormat/>
    <w:pPr>
      <w:widowControl/>
      <w:suppressAutoHyphens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qFormat/>
    <w:pPr>
      <w:widowControl/>
      <w:suppressAutoHyphens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qFormat/>
    <w:pPr>
      <w:widowControl/>
      <w:suppressAutoHyphens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qFormat/>
    <w:pPr>
      <w:widowControl/>
      <w:suppressAutoHyphens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qFormat/>
    <w:pPr>
      <w:widowControl/>
      <w:suppressAutoHyphens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qFormat/>
    <w:pPr>
      <w:widowControl/>
      <w:suppressAutoHyphens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qFormat/>
    <w:pPr>
      <w:widowControl/>
      <w:suppressAutoHyphens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qFormat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styleId="CommentText">
    <w:name w:val="annotation text"/>
    <w:basedOn w:val="Normal"/>
    <w:link w:val="CommentTextChar"/>
    <w:uiPriority w:val="99"/>
    <w:qFormat/>
    <w:pPr>
      <w:widowControl/>
      <w:suppressAutoHyphens/>
      <w:spacing w:before="120" w:after="120"/>
      <w:jc w:val="both"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Pr>
      <w:b/>
      <w:bCs/>
    </w:rPr>
  </w:style>
  <w:style w:type="character" w:customStyle="1" w:styleId="CommentSubjectChar1">
    <w:name w:val="Comment Subject Char1"/>
    <w:basedOn w:val="CommentTextChar1"/>
    <w:uiPriority w:val="99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qFormat/>
    <w:pPr>
      <w:widowControl/>
      <w:suppressAutoHyphens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rPr>
      <w:rFonts w:ascii="Segoe UI" w:hAnsi="Segoe UI" w:cs="Segoe UI"/>
      <w:sz w:val="18"/>
      <w:szCs w:val="18"/>
      <w:lang w:val="sk-SK"/>
    </w:rPr>
  </w:style>
  <w:style w:type="paragraph" w:styleId="TableofFigures">
    <w:name w:val="table of figures"/>
    <w:basedOn w:val="Normal"/>
    <w:next w:val="Normal"/>
    <w:uiPriority w:val="99"/>
    <w:qFormat/>
    <w:pPr>
      <w:widowControl/>
      <w:suppressAutoHyphens/>
      <w:spacing w:before="120" w:after="120"/>
      <w:jc w:val="both"/>
    </w:pPr>
    <w:rPr>
      <w:szCs w:val="22"/>
    </w:rPr>
  </w:style>
  <w:style w:type="paragraph" w:customStyle="1" w:styleId="Sous-titreobjet">
    <w:name w:val="Sous-titre objet"/>
    <w:basedOn w:val="Normal"/>
    <w:qFormat/>
    <w:pPr>
      <w:widowControl/>
      <w:suppressAutoHyphens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qFormat/>
  </w:style>
  <w:style w:type="paragraph" w:customStyle="1" w:styleId="FooterCoverPage">
    <w:name w:val="Footer Cover Page"/>
    <w:basedOn w:val="Normal"/>
    <w:link w:val="FooterCoverPageChar"/>
    <w:qFormat/>
    <w:pPr>
      <w:widowControl/>
      <w:tabs>
        <w:tab w:val="center" w:pos="4535"/>
        <w:tab w:val="right" w:pos="9071"/>
        <w:tab w:val="right" w:pos="9921"/>
      </w:tabs>
      <w:suppressAutoHyphens/>
      <w:spacing w:before="360"/>
      <w:ind w:left="-850" w:right="-850"/>
    </w:pPr>
    <w:rPr>
      <w:rFonts w:eastAsia="Calibri"/>
      <w:lang w:val="en-GB"/>
    </w:rPr>
  </w:style>
  <w:style w:type="paragraph" w:customStyle="1" w:styleId="HeaderCoverPage">
    <w:name w:val="Header Cover Page"/>
    <w:basedOn w:val="Normal"/>
    <w:link w:val="HeaderCoverPageChar"/>
    <w:qFormat/>
    <w:pPr>
      <w:widowControl/>
      <w:tabs>
        <w:tab w:val="center" w:pos="4535"/>
        <w:tab w:val="right" w:pos="9071"/>
      </w:tabs>
      <w:suppressAutoHyphens/>
      <w:spacing w:after="120"/>
      <w:jc w:val="both"/>
    </w:pPr>
    <w:rPr>
      <w:rFonts w:eastAsia="Calibri"/>
      <w:lang w:val="en-GB"/>
    </w:rPr>
  </w:style>
  <w:style w:type="paragraph" w:customStyle="1" w:styleId="typedudocumentcp">
    <w:name w:val="typedudocument_cp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titreobjetcp">
    <w:name w:val="titreobjet_cp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rfrenceinstitutionnelle">
    <w:name w:val="rfrenceinstitutionnelle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Rfrenceinstitutionnelle0">
    <w:name w:val="Référence institutionnelle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Article">
    <w:name w:val="Article"/>
    <w:basedOn w:val="Normal"/>
    <w:qFormat/>
    <w:pPr>
      <w:widowControl/>
      <w:suppressAutoHyphens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ti-art">
    <w:name w:val="ti-art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sti-art">
    <w:name w:val="sti-art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Normal1">
    <w:name w:val="Normal1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ti-section-1">
    <w:name w:val="ti-section-1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ti-section-2">
    <w:name w:val="ti-section-2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oj-ti-section-1">
    <w:name w:val="oj-ti-section-1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oj-ti-section-2">
    <w:name w:val="oj-ti-section-2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styleId="Revision">
    <w:name w:val="Revision"/>
    <w:uiPriority w:val="99"/>
    <w:semiHidden/>
    <w:qFormat/>
    <w:pPr>
      <w:suppressAutoHyphens/>
    </w:pPr>
    <w:rPr>
      <w:rFonts w:eastAsia="Calibri"/>
      <w:sz w:val="24"/>
      <w:szCs w:val="22"/>
      <w:lang w:val="sk-SK" w:eastAsia="en-US"/>
    </w:rPr>
  </w:style>
  <w:style w:type="paragraph" w:customStyle="1" w:styleId="Revis">
    <w:name w:val="Revis"/>
    <w:basedOn w:val="Normal"/>
    <w:qFormat/>
    <w:pPr>
      <w:widowControl/>
      <w:tabs>
        <w:tab w:val="num" w:pos="0"/>
      </w:tabs>
      <w:suppressAutoHyphens/>
      <w:spacing w:after="160" w:line="259" w:lineRule="auto"/>
      <w:ind w:left="600" w:hanging="360"/>
      <w:contextualSpacing/>
      <w:jc w:val="both"/>
    </w:pPr>
    <w:rPr>
      <w:rFonts w:eastAsia="Calibri"/>
      <w:szCs w:val="24"/>
      <w:lang w:eastAsia="en-US"/>
    </w:rPr>
  </w:style>
  <w:style w:type="paragraph" w:customStyle="1" w:styleId="Revise">
    <w:name w:val="Revise"/>
    <w:basedOn w:val="Revis"/>
    <w:qFormat/>
  </w:style>
  <w:style w:type="paragraph" w:styleId="NormalWeb">
    <w:name w:val="Normal (Web)"/>
    <w:basedOn w:val="Normal"/>
    <w:uiPriority w:val="99"/>
    <w:unhideWhenUsed/>
    <w:qFormat/>
    <w:pPr>
      <w:widowControl/>
      <w:suppressAutoHyphens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oj-normal">
    <w:name w:val="oj-normal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paragraph">
    <w:name w:val="paragraph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ListPoint">
    <w:name w:val="List Point"/>
    <w:basedOn w:val="Tiret0"/>
    <w:qFormat/>
    <w:pPr>
      <w:numPr>
        <w:numId w:val="0"/>
      </w:numPr>
      <w:tabs>
        <w:tab w:val="clear" w:pos="850"/>
        <w:tab w:val="num" w:pos="567"/>
      </w:tabs>
      <w:ind w:left="1417" w:hanging="567"/>
    </w:pPr>
  </w:style>
  <w:style w:type="paragraph" w:customStyle="1" w:styleId="Pointlist">
    <w:name w:val="Point list"/>
    <w:basedOn w:val="Point0letter"/>
    <w:qFormat/>
  </w:style>
  <w:style w:type="paragraph" w:customStyle="1" w:styleId="Rfrenceinstitutionnelle00">
    <w:name w:val="Référence institutionnelle0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qFormat/>
    <w:pPr>
      <w:widowControl/>
      <w:suppressAutoHyphens/>
      <w:spacing w:after="160" w:line="259" w:lineRule="auto"/>
      <w:ind w:left="600" w:hanging="360"/>
      <w:contextualSpacing/>
      <w:jc w:val="both"/>
    </w:pPr>
    <w:rPr>
      <w:rFonts w:eastAsia="Calibri"/>
      <w:szCs w:val="24"/>
      <w:lang w:eastAsia="en-US"/>
    </w:rPr>
  </w:style>
  <w:style w:type="paragraph" w:customStyle="1" w:styleId="Rfrenceinstitutionnelle1">
    <w:name w:val="Référence institutionnelle1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">
    <w:name w:val="Référence institutionnelle2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">
    <w:name w:val="Référence institutionnelle3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">
    <w:name w:val="Référence institutionnelle4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5">
    <w:name w:val="Référence institutionnelle5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6">
    <w:name w:val="Référence institutionnelle6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5">
    <w:name w:val="Référence institutionnelle45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4">
    <w:name w:val="Référence institutionnelle44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3">
    <w:name w:val="Référence institutionnelle43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croise">
    <w:name w:val="n croisée"/>
    <w:basedOn w:val="Rfrencecroise"/>
    <w:qFormat/>
    <w:pPr>
      <w:jc w:val="both"/>
    </w:pPr>
  </w:style>
  <w:style w:type="paragraph" w:customStyle="1" w:styleId="NumPar10">
    <w:name w:val="NumPar 10"/>
    <w:basedOn w:val="Normal"/>
    <w:qFormat/>
    <w:pPr>
      <w:widowControl/>
      <w:tabs>
        <w:tab w:val="left" w:pos="850"/>
      </w:tabs>
      <w:suppressAutoHyphens/>
      <w:spacing w:before="120" w:after="120"/>
      <w:ind w:left="850" w:hanging="850"/>
      <w:jc w:val="both"/>
    </w:pPr>
    <w:rPr>
      <w:rFonts w:eastAsia="Calibri"/>
      <w:szCs w:val="24"/>
      <w:lang w:eastAsia="en-US"/>
    </w:rPr>
  </w:style>
  <w:style w:type="paragraph" w:customStyle="1" w:styleId="Rfrenceinstitutionnelle42">
    <w:name w:val="Référence institutionnelle42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Default">
    <w:name w:val="Default"/>
    <w:qFormat/>
    <w:pPr>
      <w:suppressAutoHyphens/>
    </w:pPr>
    <w:rPr>
      <w:rFonts w:eastAsia="Calibri"/>
      <w:color w:val="000000"/>
      <w:sz w:val="24"/>
      <w:szCs w:val="24"/>
      <w:lang w:val="sk-SK" w:eastAsia="en-US"/>
    </w:rPr>
  </w:style>
  <w:style w:type="paragraph" w:customStyle="1" w:styleId="Rfrenceinstitutionnelle41">
    <w:name w:val="Référence institutionnelle41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0">
    <w:name w:val="Référence institutionnelle40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9">
    <w:name w:val="Référence institutionnelle39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8">
    <w:name w:val="Référence institutionnelle38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7">
    <w:name w:val="Référence institutionnelle37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6">
    <w:name w:val="Référence institutionnelle36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ormal3">
    <w:name w:val="Normal3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Point1letter">
    <w:name w:val="Point 1(letter)"/>
    <w:basedOn w:val="Point1"/>
    <w:qFormat/>
  </w:style>
  <w:style w:type="paragraph" w:customStyle="1" w:styleId="Poin1">
    <w:name w:val="Poin 1"/>
    <w:basedOn w:val="Point1letter0"/>
    <w:qFormat/>
  </w:style>
  <w:style w:type="paragraph" w:customStyle="1" w:styleId="Rfrenceinstitutionnelle18">
    <w:name w:val="Référence institutionnelle18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7">
    <w:name w:val="Référence institutionnelle17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6">
    <w:name w:val="Référence institutionnelle16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5">
    <w:name w:val="Référence institutionnelle15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4">
    <w:name w:val="Référence institutionnelle14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3">
    <w:name w:val="Référence institutionnelle13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2">
    <w:name w:val="Référence institutionnelle12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1">
    <w:name w:val="Référence institutionnelle11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0">
    <w:name w:val="Référence institutionnelle10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9">
    <w:name w:val="Référence institutionnelle9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8">
    <w:name w:val="Référence institutionnelle8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7">
    <w:name w:val="Référence institutionnelle7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5">
    <w:name w:val="Référence institutionnelle35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bullHeading2">
    <w:name w:val="bullHeading 2"/>
    <w:basedOn w:val="ManualHeading2"/>
    <w:qFormat/>
    <w:rPr>
      <w:rFonts w:eastAsia="Arial Unicode MS"/>
      <w:u w:color="000000"/>
      <w:lang w:eastAsia="en-GB"/>
    </w:rPr>
  </w:style>
  <w:style w:type="paragraph" w:customStyle="1" w:styleId="Rfrenceinstitutionnelle34">
    <w:name w:val="Référence institutionnelle34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3">
    <w:name w:val="Référence institutionnelle33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2">
    <w:name w:val="Référence institutionnelle32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heading30">
    <w:name w:val="heading 30"/>
    <w:basedOn w:val="Point0number"/>
    <w:qFormat/>
  </w:style>
  <w:style w:type="paragraph" w:customStyle="1" w:styleId="Rfrenceinstitutionnelle31">
    <w:name w:val="Référence institutionnelle31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0">
    <w:name w:val="Référence institutionnelle30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9">
    <w:name w:val="Référence institutionnelle29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8">
    <w:name w:val="Référence institutionnelle28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7">
    <w:name w:val="Référence institutionnelle27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6">
    <w:name w:val="Référence institutionnelle26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qFormat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Rfrenceinstitutionnelle25">
    <w:name w:val="Référence institutionnelle25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4">
    <w:name w:val="Référence institutionnelle24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3">
    <w:name w:val="Référence institutionnelle23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2">
    <w:name w:val="Référence institutionnelle22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1">
    <w:name w:val="Référence institutionnelle21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0">
    <w:name w:val="Référence institutionnelle20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styleId="Index1">
    <w:name w:val="index 1"/>
    <w:basedOn w:val="Normal"/>
    <w:next w:val="Normal"/>
    <w:autoRedefine/>
    <w:uiPriority w:val="99"/>
    <w:unhideWhenUsed/>
    <w:pPr>
      <w:widowControl/>
      <w:ind w:left="240" w:hanging="240"/>
    </w:pPr>
    <w:rPr>
      <w:rFonts w:eastAsia="Calibri"/>
      <w:szCs w:val="22"/>
      <w:lang w:eastAsia="en-US"/>
    </w:rPr>
  </w:style>
  <w:style w:type="paragraph" w:styleId="IndexHeading">
    <w:name w:val="index heading"/>
    <w:basedOn w:val="Title"/>
  </w:style>
  <w:style w:type="paragraph" w:styleId="TOC4">
    <w:name w:val="toc 4"/>
    <w:basedOn w:val="Normal"/>
    <w:next w:val="Normal"/>
    <w:uiPriority w:val="39"/>
    <w:unhideWhenUsed/>
    <w:qFormat/>
    <w:pPr>
      <w:widowControl/>
      <w:tabs>
        <w:tab w:val="right" w:leader="dot" w:pos="9071"/>
      </w:tabs>
      <w:suppressAutoHyphens/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qFormat/>
    <w:pPr>
      <w:widowControl/>
      <w:tabs>
        <w:tab w:val="right" w:leader="dot" w:pos="9071"/>
      </w:tabs>
      <w:suppressAutoHyphens/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qFormat/>
    <w:pPr>
      <w:widowControl/>
      <w:tabs>
        <w:tab w:val="right" w:leader="dot" w:pos="9071"/>
      </w:tabs>
      <w:suppressAutoHyphens/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qFormat/>
    <w:pPr>
      <w:widowControl/>
      <w:tabs>
        <w:tab w:val="right" w:leader="dot" w:pos="9071"/>
      </w:tabs>
      <w:suppressAutoHyphens/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qFormat/>
    <w:pPr>
      <w:widowControl/>
      <w:tabs>
        <w:tab w:val="right" w:leader="dot" w:pos="9071"/>
      </w:tabs>
      <w:suppressAutoHyphens/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qFormat/>
    <w:pPr>
      <w:widowControl/>
      <w:tabs>
        <w:tab w:val="right" w:leader="dot" w:pos="9071"/>
      </w:tabs>
      <w:suppressAutoHyphens/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qFormat/>
    <w:pPr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qFormat/>
    <w:pPr>
      <w:widowControl/>
      <w:suppressAutoHyphens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qFormat/>
    <w:pPr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qFormat/>
    <w:pPr>
      <w:widowControl/>
      <w:suppressAutoHyphens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qFormat/>
    <w:pPr>
      <w:widowControl/>
      <w:suppressAutoHyphens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link w:val="Point0Char"/>
    <w:qFormat/>
    <w:pPr>
      <w:widowControl/>
      <w:suppressAutoHyphens/>
      <w:spacing w:before="120" w:after="120"/>
      <w:ind w:left="850" w:hanging="850"/>
      <w:jc w:val="both"/>
    </w:pPr>
    <w:rPr>
      <w:lang w:val="en-GB"/>
    </w:rPr>
  </w:style>
  <w:style w:type="paragraph" w:customStyle="1" w:styleId="Point1">
    <w:name w:val="Point 1"/>
    <w:basedOn w:val="Normal"/>
    <w:qFormat/>
    <w:pPr>
      <w:widowControl/>
      <w:suppressAutoHyphens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qFormat/>
    <w:pPr>
      <w:widowControl/>
      <w:suppressAutoHyphens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qFormat/>
    <w:pPr>
      <w:widowControl/>
      <w:suppressAutoHyphens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qFormat/>
    <w:pPr>
      <w:widowControl/>
      <w:suppressAutoHyphens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pPr>
      <w:widowControl/>
      <w:suppressAutoHyphens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qFormat/>
    <w:pPr>
      <w:numPr>
        <w:numId w:val="36"/>
      </w:numPr>
      <w:tabs>
        <w:tab w:val="clear" w:pos="850"/>
        <w:tab w:val="num" w:pos="425"/>
        <w:tab w:val="num" w:pos="567"/>
        <w:tab w:val="num" w:pos="1209"/>
      </w:tabs>
      <w:ind w:left="425" w:hanging="425"/>
    </w:pPr>
    <w:rPr>
      <w:rFonts w:eastAsia="Calibri"/>
    </w:rPr>
  </w:style>
  <w:style w:type="paragraph" w:customStyle="1" w:styleId="Tiret1">
    <w:name w:val="Tiret 1"/>
    <w:basedOn w:val="Point1"/>
    <w:qFormat/>
    <w:pPr>
      <w:numPr>
        <w:numId w:val="37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qFormat/>
    <w:pPr>
      <w:numPr>
        <w:numId w:val="38"/>
      </w:numPr>
      <w:tabs>
        <w:tab w:val="clear" w:pos="1984"/>
        <w:tab w:val="num" w:pos="567"/>
      </w:tabs>
      <w:ind w:left="567"/>
    </w:pPr>
  </w:style>
  <w:style w:type="paragraph" w:customStyle="1" w:styleId="Tiret3">
    <w:name w:val="Tiret 3"/>
    <w:basedOn w:val="Point3"/>
    <w:qFormat/>
    <w:pPr>
      <w:numPr>
        <w:numId w:val="39"/>
      </w:numPr>
      <w:tabs>
        <w:tab w:val="clear" w:pos="2551"/>
        <w:tab w:val="num" w:pos="567"/>
      </w:tabs>
      <w:ind w:left="567"/>
    </w:pPr>
  </w:style>
  <w:style w:type="paragraph" w:customStyle="1" w:styleId="Tiret4">
    <w:name w:val="Tiret 4"/>
    <w:basedOn w:val="Point4"/>
    <w:qFormat/>
    <w:pPr>
      <w:numPr>
        <w:numId w:val="40"/>
      </w:numPr>
      <w:tabs>
        <w:tab w:val="clear" w:pos="3118"/>
        <w:tab w:val="num" w:pos="567"/>
      </w:tabs>
      <w:ind w:left="567"/>
    </w:pPr>
  </w:style>
  <w:style w:type="paragraph" w:customStyle="1" w:styleId="Tiret5">
    <w:name w:val="Tiret 5"/>
    <w:basedOn w:val="Point5"/>
    <w:qFormat/>
    <w:pPr>
      <w:numPr>
        <w:numId w:val="41"/>
      </w:numPr>
      <w:tabs>
        <w:tab w:val="clear" w:pos="3685"/>
        <w:tab w:val="num" w:pos="425"/>
      </w:tabs>
      <w:ind w:left="425" w:hanging="425"/>
    </w:pPr>
  </w:style>
  <w:style w:type="paragraph" w:customStyle="1" w:styleId="PointDouble0">
    <w:name w:val="PointDouble 0"/>
    <w:basedOn w:val="Normal"/>
    <w:qFormat/>
    <w:pPr>
      <w:widowControl/>
      <w:tabs>
        <w:tab w:val="left" w:pos="850"/>
      </w:tabs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qFormat/>
    <w:pPr>
      <w:widowControl/>
      <w:tabs>
        <w:tab w:val="left" w:pos="1417"/>
      </w:tabs>
      <w:suppressAutoHyphens/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qFormat/>
    <w:pPr>
      <w:widowControl/>
      <w:tabs>
        <w:tab w:val="left" w:pos="1984"/>
      </w:tabs>
      <w:suppressAutoHyphens/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qFormat/>
    <w:pPr>
      <w:widowControl/>
      <w:tabs>
        <w:tab w:val="left" w:pos="2551"/>
      </w:tabs>
      <w:suppressAutoHyphens/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qFormat/>
    <w:pPr>
      <w:widowControl/>
      <w:tabs>
        <w:tab w:val="left" w:pos="3118"/>
      </w:tabs>
      <w:suppressAutoHyphens/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qFormat/>
    <w:pPr>
      <w:widowControl/>
      <w:tabs>
        <w:tab w:val="left" w:pos="850"/>
        <w:tab w:val="left" w:pos="1417"/>
      </w:tabs>
      <w:suppressAutoHyphens/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qFormat/>
    <w:pPr>
      <w:widowControl/>
      <w:tabs>
        <w:tab w:val="left" w:pos="1417"/>
        <w:tab w:val="left" w:pos="1984"/>
      </w:tabs>
      <w:suppressAutoHyphens/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qFormat/>
    <w:pPr>
      <w:widowControl/>
      <w:tabs>
        <w:tab w:val="left" w:pos="1984"/>
        <w:tab w:val="left" w:pos="2551"/>
      </w:tabs>
      <w:suppressAutoHyphens/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qFormat/>
    <w:pPr>
      <w:widowControl/>
      <w:tabs>
        <w:tab w:val="left" w:pos="2551"/>
        <w:tab w:val="left" w:pos="3118"/>
      </w:tabs>
      <w:suppressAutoHyphens/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qFormat/>
    <w:pPr>
      <w:widowControl/>
      <w:tabs>
        <w:tab w:val="left" w:pos="3118"/>
        <w:tab w:val="left" w:pos="3685"/>
      </w:tabs>
      <w:suppressAutoHyphens/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pPr>
      <w:widowControl/>
      <w:numPr>
        <w:numId w:val="42"/>
      </w:numPr>
      <w:tabs>
        <w:tab w:val="clear" w:pos="850"/>
        <w:tab w:val="num" w:pos="425"/>
      </w:tabs>
      <w:suppressAutoHyphens/>
      <w:spacing w:before="120" w:after="120"/>
      <w:ind w:left="425" w:hanging="425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qFormat/>
    <w:pPr>
      <w:widowControl/>
      <w:numPr>
        <w:ilvl w:val="1"/>
        <w:numId w:val="42"/>
      </w:numPr>
      <w:tabs>
        <w:tab w:val="clear" w:pos="850"/>
        <w:tab w:val="num" w:pos="851"/>
      </w:tabs>
      <w:suppressAutoHyphens/>
      <w:spacing w:before="120" w:after="120"/>
      <w:ind w:left="851" w:hanging="426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qFormat/>
    <w:pPr>
      <w:widowControl/>
      <w:numPr>
        <w:ilvl w:val="2"/>
        <w:numId w:val="42"/>
      </w:numPr>
      <w:tabs>
        <w:tab w:val="clear" w:pos="850"/>
        <w:tab w:val="num" w:pos="1276"/>
      </w:tabs>
      <w:suppressAutoHyphens/>
      <w:spacing w:before="120" w:after="120"/>
      <w:ind w:left="1276" w:hanging="425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qFormat/>
    <w:pPr>
      <w:widowControl/>
      <w:numPr>
        <w:ilvl w:val="3"/>
        <w:numId w:val="42"/>
      </w:numPr>
      <w:tabs>
        <w:tab w:val="clear" w:pos="850"/>
      </w:tabs>
      <w:suppressAutoHyphens/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qFormat/>
    <w:pPr>
      <w:widowControl/>
      <w:numPr>
        <w:ilvl w:val="4"/>
        <w:numId w:val="42"/>
      </w:numPr>
      <w:tabs>
        <w:tab w:val="clear" w:pos="1417"/>
      </w:tabs>
      <w:suppressAutoHyphens/>
      <w:spacing w:before="120" w:after="120"/>
      <w:ind w:left="36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qFormat/>
    <w:pPr>
      <w:widowControl/>
      <w:numPr>
        <w:ilvl w:val="5"/>
        <w:numId w:val="42"/>
      </w:numPr>
      <w:tabs>
        <w:tab w:val="clear" w:pos="1417"/>
      </w:tabs>
      <w:suppressAutoHyphens/>
      <w:spacing w:before="120" w:after="120"/>
      <w:ind w:left="432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qFormat/>
    <w:pPr>
      <w:widowControl/>
      <w:numPr>
        <w:ilvl w:val="6"/>
        <w:numId w:val="42"/>
      </w:numPr>
      <w:tabs>
        <w:tab w:val="clear" w:pos="1417"/>
      </w:tabs>
      <w:suppressAutoHyphens/>
      <w:spacing w:before="120" w:after="120"/>
      <w:ind w:left="504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link w:val="ManualNumPar1Char"/>
    <w:qFormat/>
    <w:pPr>
      <w:widowControl/>
      <w:suppressAutoHyphens/>
      <w:spacing w:before="120" w:after="120"/>
      <w:ind w:left="850" w:hanging="850"/>
      <w:jc w:val="both"/>
    </w:pPr>
    <w:rPr>
      <w:lang w:val="en-GB"/>
    </w:rPr>
  </w:style>
  <w:style w:type="paragraph" w:customStyle="1" w:styleId="ManualNumPar2">
    <w:name w:val="Manual NumPar 2"/>
    <w:basedOn w:val="Normal"/>
    <w:next w:val="Text1"/>
    <w:qFormat/>
    <w:pPr>
      <w:widowControl/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qFormat/>
    <w:pPr>
      <w:widowControl/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qFormat/>
    <w:pPr>
      <w:widowControl/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qFormat/>
    <w:pPr>
      <w:widowControl/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qFormat/>
    <w:pPr>
      <w:widowControl/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qFormat/>
    <w:pPr>
      <w:widowControl/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qFormat/>
    <w:pPr>
      <w:widowControl/>
      <w:suppressAutoHyphens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qFormat/>
    <w:pPr>
      <w:keepNext/>
      <w:widowControl/>
      <w:tabs>
        <w:tab w:val="left" w:pos="850"/>
      </w:tabs>
      <w:suppressAutoHyphens/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qFormat/>
    <w:pPr>
      <w:keepNext/>
      <w:widowControl/>
      <w:tabs>
        <w:tab w:val="left" w:pos="850"/>
      </w:tabs>
      <w:suppressAutoHyphens/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qFormat/>
    <w:pPr>
      <w:keepNext/>
      <w:widowControl/>
      <w:tabs>
        <w:tab w:val="left" w:pos="850"/>
      </w:tabs>
      <w:suppressAutoHyphens/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qFormat/>
    <w:pPr>
      <w:keepNext/>
      <w:widowControl/>
      <w:tabs>
        <w:tab w:val="left" w:pos="850"/>
      </w:tabs>
      <w:suppressAutoHyphens/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qFormat/>
    <w:pPr>
      <w:keepNext/>
      <w:widowControl/>
      <w:tabs>
        <w:tab w:val="left" w:pos="1417"/>
      </w:tabs>
      <w:suppressAutoHyphens/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qFormat/>
    <w:pPr>
      <w:keepNext/>
      <w:widowControl/>
      <w:tabs>
        <w:tab w:val="left" w:pos="1417"/>
      </w:tabs>
      <w:suppressAutoHyphens/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qFormat/>
    <w:pPr>
      <w:keepNext/>
      <w:widowControl/>
      <w:tabs>
        <w:tab w:val="left" w:pos="1417"/>
      </w:tabs>
      <w:suppressAutoHyphens/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Heading1"/>
    <w:next w:val="Normal"/>
    <w:link w:val="ChapterTitleChar"/>
    <w:qFormat/>
    <w:pPr>
      <w:keepLines w:val="0"/>
      <w:suppressAutoHyphens/>
      <w:spacing w:before="360" w:after="360"/>
      <w:ind w:left="0" w:firstLine="0"/>
      <w:jc w:val="center"/>
    </w:pPr>
    <w:rPr>
      <w:bCs/>
      <w:smallCaps/>
      <w:kern w:val="0"/>
      <w:sz w:val="32"/>
      <w:szCs w:val="28"/>
      <w:lang w:val="en-GB" w:eastAsia="en-GB"/>
    </w:rPr>
  </w:style>
  <w:style w:type="paragraph" w:customStyle="1" w:styleId="PartTitle">
    <w:name w:val="PartTitle"/>
    <w:basedOn w:val="Normal"/>
    <w:next w:val="ChapterTitle"/>
    <w:qFormat/>
    <w:pPr>
      <w:keepNext/>
      <w:pageBreakBefore/>
      <w:widowControl/>
      <w:suppressAutoHyphens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qFormat/>
    <w:pPr>
      <w:keepNext/>
      <w:widowControl/>
      <w:suppressAutoHyphens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qFormat/>
    <w:pPr>
      <w:widowControl/>
      <w:suppressAutoHyphens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pPr>
      <w:widowControl/>
      <w:tabs>
        <w:tab w:val="num" w:pos="850"/>
      </w:tabs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qFormat/>
    <w:pPr>
      <w:widowControl/>
      <w:numPr>
        <w:ilvl w:val="2"/>
        <w:numId w:val="43"/>
      </w:numPr>
      <w:tabs>
        <w:tab w:val="clear" w:pos="1417"/>
      </w:tabs>
      <w:suppressAutoHyphens/>
      <w:spacing w:before="120" w:after="120"/>
      <w:ind w:left="2367" w:hanging="18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pPr>
      <w:widowControl/>
      <w:numPr>
        <w:ilvl w:val="4"/>
        <w:numId w:val="43"/>
      </w:numPr>
      <w:tabs>
        <w:tab w:val="clear" w:pos="1984"/>
      </w:tabs>
      <w:suppressAutoHyphens/>
      <w:spacing w:before="120" w:after="120"/>
      <w:ind w:left="3807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qFormat/>
    <w:pPr>
      <w:widowControl/>
      <w:numPr>
        <w:ilvl w:val="6"/>
        <w:numId w:val="43"/>
      </w:numPr>
      <w:tabs>
        <w:tab w:val="clear" w:pos="2551"/>
      </w:tabs>
      <w:suppressAutoHyphens/>
      <w:spacing w:before="120" w:after="120"/>
      <w:ind w:left="5247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qFormat/>
    <w:pPr>
      <w:widowControl/>
      <w:tabs>
        <w:tab w:val="num" w:pos="850"/>
      </w:tabs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0">
    <w:name w:val="Point 1 (letter)"/>
    <w:basedOn w:val="Normal"/>
    <w:qFormat/>
    <w:pPr>
      <w:widowControl/>
      <w:tabs>
        <w:tab w:val="num" w:pos="1417"/>
      </w:tabs>
      <w:suppressAutoHyphens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qFormat/>
    <w:pPr>
      <w:widowControl/>
      <w:numPr>
        <w:ilvl w:val="5"/>
        <w:numId w:val="43"/>
      </w:numPr>
      <w:tabs>
        <w:tab w:val="clear" w:pos="1984"/>
      </w:tabs>
      <w:suppressAutoHyphens/>
      <w:spacing w:before="120" w:after="120"/>
      <w:ind w:left="4527" w:hanging="18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qFormat/>
    <w:pPr>
      <w:widowControl/>
      <w:numPr>
        <w:ilvl w:val="7"/>
        <w:numId w:val="43"/>
      </w:numPr>
      <w:tabs>
        <w:tab w:val="clear" w:pos="2551"/>
      </w:tabs>
      <w:suppressAutoHyphens/>
      <w:spacing w:before="120" w:after="120"/>
      <w:ind w:left="5967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qFormat/>
    <w:pPr>
      <w:widowControl/>
      <w:numPr>
        <w:ilvl w:val="8"/>
        <w:numId w:val="43"/>
      </w:numPr>
      <w:tabs>
        <w:tab w:val="clear" w:pos="3118"/>
      </w:tabs>
      <w:suppressAutoHyphens/>
      <w:spacing w:before="120" w:after="120"/>
      <w:ind w:left="6687" w:hanging="18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qFormat/>
    <w:pPr>
      <w:widowControl/>
      <w:numPr>
        <w:numId w:val="44"/>
      </w:numPr>
      <w:tabs>
        <w:tab w:val="clear" w:pos="850"/>
      </w:tabs>
      <w:suppressAutoHyphens/>
      <w:spacing w:before="120" w:after="120"/>
      <w:ind w:left="72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qFormat/>
    <w:pPr>
      <w:widowControl/>
      <w:suppressAutoHyphens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qFormat/>
    <w:pPr>
      <w:widowControl/>
      <w:suppressAutoHyphens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19"/>
    <w:qFormat/>
    <w:pPr>
      <w:widowControl/>
      <w:suppressAutoHyphens/>
      <w:ind w:left="5103"/>
    </w:pPr>
    <w:rPr>
      <w:rFonts w:eastAsia="Calibri"/>
      <w:szCs w:val="22"/>
      <w:lang w:eastAsia="en-US"/>
    </w:rPr>
  </w:style>
  <w:style w:type="paragraph" w:customStyle="1" w:styleId="Rfrenceinstitutionnelle19">
    <w:name w:val="Référence institutionnelle19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qFormat/>
    <w:pPr>
      <w:widowControl/>
      <w:suppressAutoHyphens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qFormat/>
    <w:pPr>
      <w:widowControl/>
      <w:suppressAutoHyphens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qFormat/>
    <w:pPr>
      <w:widowControl/>
      <w:pBdr>
        <w:top w:val="single" w:sz="6" w:space="4" w:color="000000"/>
        <w:left w:val="single" w:sz="6" w:space="7" w:color="000000"/>
        <w:bottom w:val="single" w:sz="6" w:space="4" w:color="000000"/>
        <w:right w:val="single" w:sz="6" w:space="7" w:color="000000"/>
      </w:pBdr>
      <w:shd w:val="clear" w:color="FFFFFF" w:fill="auto"/>
      <w:suppressAutoHyphens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qFormat/>
    <w:pPr>
      <w:widowControl/>
      <w:suppressAutoHyphens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qFormat/>
    <w:pPr>
      <w:widowControl/>
      <w:suppressAutoHyphens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qFormat/>
    <w:pPr>
      <w:widowControl/>
      <w:suppressAutoHyphens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qFormat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qFormat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qFormat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qFormat/>
    <w:pPr>
      <w:widowControl/>
      <w:suppressAutoHyphens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qFormat/>
    <w:pPr>
      <w:keepNext/>
      <w:widowControl/>
      <w:suppressAutoHyphens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qFormat/>
    <w:pPr>
      <w:widowControl/>
      <w:suppressAutoHyphens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qFormat/>
    <w:pPr>
      <w:widowControl/>
      <w:suppressAutoHyphens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qFormat/>
    <w:pPr>
      <w:widowControl/>
      <w:numPr>
        <w:numId w:val="45"/>
      </w:numPr>
      <w:tabs>
        <w:tab w:val="clear" w:pos="709"/>
        <w:tab w:val="num" w:pos="1134"/>
      </w:tabs>
      <w:suppressAutoHyphens/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qFormat/>
    <w:pPr>
      <w:widowControl/>
      <w:suppressAutoHyphens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qFormat/>
    <w:pPr>
      <w:widowControl/>
      <w:suppressAutoHyphens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qFormat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qFormat/>
    <w:pPr>
      <w:keepNext/>
      <w:widowControl/>
      <w:suppressAutoHyphens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ArticleNRL"/>
    <w:qFormat/>
    <w:pPr>
      <w:keepNext/>
      <w:widowControl/>
      <w:suppressAutoHyphens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qFormat/>
    <w:pPr>
      <w:keepNext/>
      <w:widowControl/>
      <w:suppressAutoHyphens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qFormat/>
    <w:pPr>
      <w:keepNext/>
      <w:widowControl/>
      <w:tabs>
        <w:tab w:val="left" w:pos="4252"/>
      </w:tabs>
      <w:suppressAutoHyphens/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qFormat/>
    <w:pPr>
      <w:widowControl/>
      <w:suppressAutoHyphens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qFormat/>
    <w:pPr>
      <w:widowControl/>
      <w:tabs>
        <w:tab w:val="left" w:pos="4252"/>
      </w:tabs>
      <w:suppressAutoHyphens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qFormat/>
    <w:pPr>
      <w:widowControl/>
      <w:suppressAutoHyphens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qFormat/>
    <w:pPr>
      <w:widowControl/>
      <w:suppressAutoHyphens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qFormat/>
    <w:pPr>
      <w:widowControl/>
      <w:suppressAutoHyphens/>
      <w:spacing w:before="360"/>
      <w:jc w:val="center"/>
    </w:pPr>
    <w:rPr>
      <w:rFonts w:eastAsia="Calibri"/>
      <w:szCs w:val="22"/>
      <w:lang w:eastAsia="en-US"/>
    </w:rPr>
  </w:style>
  <w:style w:type="paragraph" w:customStyle="1" w:styleId="ArticleNRL">
    <w:name w:val="Article NRL"/>
    <w:basedOn w:val="Heading2"/>
    <w:next w:val="Normal"/>
    <w:link w:val="ArticleNRLChar"/>
    <w:qFormat/>
    <w:pPr>
      <w:numPr>
        <w:ilvl w:val="0"/>
        <w:numId w:val="0"/>
      </w:numPr>
      <w:suppressAutoHyphens/>
      <w:spacing w:before="360" w:after="120"/>
      <w:jc w:val="center"/>
    </w:pPr>
  </w:style>
  <w:style w:type="paragraph" w:customStyle="1" w:styleId="Titreobjet">
    <w:name w:val="Titre objet"/>
    <w:basedOn w:val="Normal"/>
    <w:next w:val="IntrtEEE"/>
    <w:qFormat/>
    <w:pPr>
      <w:widowControl/>
      <w:suppressAutoHyphens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link w:val="TypedudocumentChar"/>
    <w:qFormat/>
    <w:pPr>
      <w:widowControl/>
      <w:suppressAutoHyphens/>
      <w:spacing w:before="360"/>
      <w:jc w:val="center"/>
    </w:pPr>
    <w:rPr>
      <w:b/>
      <w:lang w:val="en-GB"/>
    </w:rPr>
  </w:style>
  <w:style w:type="paragraph" w:customStyle="1" w:styleId="Address">
    <w:name w:val="Address"/>
    <w:basedOn w:val="Normal"/>
    <w:next w:val="Normal"/>
    <w:qFormat/>
    <w:pPr>
      <w:keepLines/>
      <w:widowControl/>
      <w:suppressAutoHyphens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qFormat/>
    <w:pPr>
      <w:widowControl/>
      <w:suppressAutoHyphens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qFormat/>
    <w:pPr>
      <w:widowControl/>
      <w:suppressAutoHyphens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qFormat/>
    <w:pPr>
      <w:widowControl/>
      <w:suppressAutoHyphens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qFormat/>
    <w:pPr>
      <w:widowControl/>
      <w:suppressAutoHyphens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qFormat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qFormat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qFormat/>
  </w:style>
  <w:style w:type="paragraph" w:customStyle="1" w:styleId="StatutPagedecouverture">
    <w:name w:val="Statut (Page de couverture)"/>
    <w:basedOn w:val="Statut"/>
    <w:next w:val="TypedudocumentPagedecouverture"/>
    <w:qFormat/>
  </w:style>
  <w:style w:type="paragraph" w:customStyle="1" w:styleId="TitreobjetPagedecouverture">
    <w:name w:val="Titre objet (Page de couverture)"/>
    <w:basedOn w:val="Titreobjet"/>
    <w:next w:val="IntrtEEEPagedecouverture"/>
    <w:qFormat/>
  </w:style>
  <w:style w:type="paragraph" w:customStyle="1" w:styleId="TypedudocumentPagedecouverture">
    <w:name w:val="Type du document (Page de couverture)"/>
    <w:basedOn w:val="Typedudocument"/>
    <w:next w:val="TitreobjetPagedecouverture"/>
    <w:qFormat/>
    <w:rPr>
      <w:rFonts w:eastAsia="Calibri"/>
    </w:rPr>
  </w:style>
  <w:style w:type="paragraph" w:customStyle="1" w:styleId="Volume">
    <w:name w:val="Volume"/>
    <w:basedOn w:val="Normal"/>
    <w:next w:val="Confidentialit"/>
    <w:qFormat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qFormat/>
    <w:pPr>
      <w:spacing w:after="240"/>
    </w:pPr>
  </w:style>
  <w:style w:type="paragraph" w:customStyle="1" w:styleId="Accompagnant">
    <w:name w:val="Accompagnant"/>
    <w:basedOn w:val="Normal"/>
    <w:next w:val="Typeacteprincipal"/>
    <w:qFormat/>
    <w:pPr>
      <w:widowControl/>
      <w:suppressAutoHyphens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qFormat/>
    <w:pPr>
      <w:widowControl/>
      <w:suppressAutoHyphens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ArticleNRL"/>
    <w:qFormat/>
    <w:pPr>
      <w:widowControl/>
      <w:suppressAutoHyphens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qFormat/>
  </w:style>
  <w:style w:type="paragraph" w:customStyle="1" w:styleId="AccompagnantPagedecouverture">
    <w:name w:val="Accompagnant (Page de couverture)"/>
    <w:basedOn w:val="Accompagnant"/>
    <w:next w:val="TypeacteprincipalPagedecouverture"/>
    <w:qFormat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qFormat/>
  </w:style>
  <w:style w:type="paragraph" w:customStyle="1" w:styleId="ObjetacteprincipalPagedecouverture">
    <w:name w:val="Objet acte principal (Page de couverture)"/>
    <w:basedOn w:val="Objetacteprincipal"/>
    <w:next w:val="Rfrencecroise"/>
    <w:qFormat/>
  </w:style>
  <w:style w:type="paragraph" w:customStyle="1" w:styleId="LanguesfaisantfoiPagedecouverture">
    <w:name w:val="Langues faisant foi (Page de couverture)"/>
    <w:basedOn w:val="Normal"/>
    <w:next w:val="Normal"/>
    <w:qFormat/>
    <w:pPr>
      <w:widowControl/>
      <w:suppressAutoHyphens/>
      <w:spacing w:before="360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qFormat/>
    <w:pPr>
      <w:widowControl/>
      <w:pBdr>
        <w:bottom w:val="single" w:sz="4" w:space="0" w:color="000000"/>
      </w:pBdr>
      <w:suppressAutoHyphens/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qFormat/>
    <w:pPr>
      <w:widowControl/>
      <w:suppressAutoHyphens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TechnicalBlock"/>
    <w:link w:val="pjChar"/>
    <w:qFormat/>
    <w:pPr>
      <w:suppressAutoHyphens/>
      <w:spacing w:before="1200" w:after="120"/>
      <w:ind w:left="1440" w:hanging="1440"/>
      <w:jc w:val="left"/>
    </w:pPr>
  </w:style>
  <w:style w:type="paragraph" w:customStyle="1" w:styleId="nbbordered">
    <w:name w:val="nb bordered"/>
    <w:basedOn w:val="TechnicalBlock"/>
    <w:link w:val="nbborderedChar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120" w:after="160"/>
      <w:ind w:left="480" w:hanging="480"/>
      <w:jc w:val="both"/>
    </w:pPr>
    <w:rPr>
      <w:b/>
    </w:rPr>
  </w:style>
  <w:style w:type="paragraph" w:customStyle="1" w:styleId="Rubrik1">
    <w:name w:val="Rubrik1"/>
    <w:basedOn w:val="Typedudocument"/>
    <w:link w:val="Rubrik1Char"/>
    <w:qFormat/>
  </w:style>
  <w:style w:type="paragraph" w:customStyle="1" w:styleId="addition">
    <w:name w:val="addition"/>
    <w:basedOn w:val="Point0"/>
    <w:link w:val="additionChar"/>
    <w:qFormat/>
    <w:pPr>
      <w:ind w:left="567" w:hanging="567"/>
      <w:jc w:val="left"/>
    </w:pPr>
    <w:rPr>
      <w:b/>
      <w:u w:val="single"/>
    </w:rPr>
  </w:style>
  <w:style w:type="paragraph" w:customStyle="1" w:styleId="deletion">
    <w:name w:val="deletion"/>
    <w:basedOn w:val="ManualNumPar1"/>
    <w:link w:val="deletionChar"/>
    <w:qFormat/>
    <w:pPr>
      <w:ind w:left="567" w:hanging="567"/>
      <w:jc w:val="left"/>
    </w:pPr>
    <w:rPr>
      <w:strike/>
    </w:rPr>
  </w:style>
  <w:style w:type="table" w:customStyle="1" w:styleId="TableGrid1">
    <w:name w:val="Table Grid1"/>
    <w:basedOn w:val="TableNormal"/>
    <w:next w:val="TableGrid"/>
    <w:uiPriority w:val="39"/>
    <w:pPr>
      <w:suppressAutoHyphens/>
    </w:pPr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qFormat/>
    <w:rPr>
      <w:rFonts w:ascii="TimesNewRomanPS-BoldMT" w:hAnsi="TimesNewRomanPS-BoldMT" w:cs="0" w:hint="default"/>
      <w:b/>
      <w:bCs/>
      <w:i w:val="0"/>
      <w:iCs w:val="0"/>
      <w:color w:val="000000"/>
      <w:sz w:val="24"/>
      <w:szCs w:val="24"/>
    </w:rPr>
  </w:style>
  <w:style w:type="paragraph" w:customStyle="1" w:styleId="H2">
    <w:name w:val="H2"/>
    <w:basedOn w:val="Normal"/>
    <w:qFormat/>
    <w:pPr>
      <w:widowControl/>
      <w:contextualSpacing/>
    </w:pPr>
    <w:rPr>
      <w:rFonts w:ascii="Roboto Black" w:hAnsi="Roboto Black"/>
      <w:b/>
      <w:bCs/>
      <w:color w:val="003863"/>
      <w:spacing w:val="-10"/>
      <w:kern w:val="28"/>
      <w:sz w:val="30"/>
      <w:szCs w:val="30"/>
      <w:lang w:eastAsia="en-US"/>
    </w:rPr>
  </w:style>
  <w:style w:type="paragraph" w:customStyle="1" w:styleId="H1">
    <w:name w:val="H1"/>
    <w:basedOn w:val="Normal"/>
    <w:qFormat/>
    <w:pPr>
      <w:widowControl/>
      <w:contextualSpacing/>
    </w:pPr>
    <w:rPr>
      <w:rFonts w:ascii="Roboto Black" w:hAnsi="Roboto Black"/>
      <w:b/>
      <w:bCs/>
      <w:color w:val="003863"/>
      <w:spacing w:val="-10"/>
      <w:kern w:val="28"/>
      <w:sz w:val="60"/>
      <w:szCs w:val="60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Strecklista">
    <w:name w:val="Strecklista"/>
    <w:basedOn w:val="ListBullet"/>
    <w:uiPriority w:val="6"/>
    <w:qFormat/>
    <w:pPr>
      <w:widowControl/>
      <w:tabs>
        <w:tab w:val="clear" w:pos="360"/>
        <w:tab w:val="num" w:pos="709"/>
      </w:tabs>
      <w:spacing w:after="100" w:line="276" w:lineRule="auto"/>
      <w:ind w:left="709" w:hanging="709"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Strecklista2">
    <w:name w:val="Strecklista 2"/>
    <w:basedOn w:val="Strecklista"/>
    <w:uiPriority w:val="6"/>
    <w:semiHidden/>
    <w:qFormat/>
    <w:pPr>
      <w:tabs>
        <w:tab w:val="clear" w:pos="709"/>
        <w:tab w:val="num" w:pos="1080"/>
      </w:tabs>
      <w:ind w:left="1080" w:hanging="360"/>
    </w:pPr>
  </w:style>
  <w:style w:type="numbering" w:customStyle="1" w:styleId="Strecklistan">
    <w:name w:val="Strecklistan"/>
    <w:uiPriority w:val="99"/>
    <w:pPr>
      <w:numPr>
        <w:numId w:val="45"/>
      </w:numPr>
    </w:pPr>
  </w:style>
  <w:style w:type="paragraph" w:customStyle="1" w:styleId="Strecklista3">
    <w:name w:val="Strecklista 3"/>
    <w:basedOn w:val="BodyText"/>
    <w:uiPriority w:val="6"/>
    <w:semiHidden/>
    <w:qFormat/>
    <w:pPr>
      <w:tabs>
        <w:tab w:val="num" w:pos="1440"/>
        <w:tab w:val="left" w:pos="1701"/>
        <w:tab w:val="left" w:pos="3600"/>
        <w:tab w:val="left" w:pos="5387"/>
      </w:tabs>
      <w:suppressAutoHyphens w:val="0"/>
      <w:spacing w:after="100"/>
      <w:ind w:left="1440" w:hanging="360"/>
    </w:pPr>
    <w:rPr>
      <w:rFonts w:ascii="Calibri" w:hAnsi="Calibri" w:cs="Arial"/>
      <w:sz w:val="25"/>
      <w:szCs w:val="25"/>
    </w:rPr>
  </w:style>
  <w:style w:type="table" w:customStyle="1" w:styleId="ListTable5Dark-Accent51">
    <w:name w:val="List Table 5 Dark - Accent 51"/>
    <w:basedOn w:val="TableNormal"/>
    <w:next w:val="ListTable5Dark-Accent5"/>
    <w:uiPriority w:val="50"/>
    <w:rPr>
      <w:rFonts w:ascii="Calibri" w:eastAsia="Calibri" w:hAnsi="Calibri" w:cs="Arial"/>
      <w:color w:val="FFFFFF"/>
      <w:sz w:val="25"/>
      <w:szCs w:val="25"/>
      <w:lang w:val="sk-SK" w:eastAsia="en-US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</w:tblPr>
    <w:tcPr>
      <w:shd w:val="clear" w:color="auto" w:fill="4BACC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customStyle="1" w:styleId="contentpasted2">
    <w:name w:val="contentpasted2"/>
    <w:basedOn w:val="DefaultParagraphFont"/>
  </w:style>
  <w:style w:type="paragraph" w:customStyle="1" w:styleId="Annext">
    <w:name w:val="Annex t"/>
    <w:basedOn w:val="Normal"/>
    <w:qFormat/>
    <w:pPr>
      <w:widowControl/>
      <w:spacing w:before="120" w:after="120"/>
      <w:jc w:val="both"/>
    </w:pPr>
    <w:rPr>
      <w:rFonts w:eastAsia="Calibri"/>
      <w:b/>
      <w:szCs w:val="22"/>
      <w:lang w:eastAsia="en-US"/>
    </w:rPr>
  </w:style>
  <w:style w:type="paragraph" w:customStyle="1" w:styleId="Annextit">
    <w:name w:val="Annex tit"/>
    <w:basedOn w:val="Normal"/>
    <w:qFormat/>
    <w:pPr>
      <w:widowControl/>
      <w:spacing w:before="120" w:after="120"/>
      <w:jc w:val="both"/>
    </w:pPr>
    <w:rPr>
      <w:rFonts w:eastAsia="Calibri"/>
      <w:b/>
      <w:szCs w:val="24"/>
      <w:shd w:val="clear" w:color="auto" w:fill="FFFFFF"/>
      <w:lang w:eastAsia="en-US"/>
    </w:rPr>
  </w:style>
  <w:style w:type="paragraph" w:customStyle="1" w:styleId="Annextitre">
    <w:name w:val="Annex titre"/>
    <w:basedOn w:val="Annexetitre"/>
    <w:pPr>
      <w:suppressAutoHyphens w:val="0"/>
      <w:jc w:val="both"/>
    </w:pPr>
  </w:style>
  <w:style w:type="character" w:customStyle="1" w:styleId="Olstomnmnande1">
    <w:name w:val="Olöst omnämnande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Titrearticle">
    <w:name w:val="Titre article"/>
    <w:basedOn w:val="Normal"/>
    <w:next w:val="Normal"/>
    <w:qFormat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numbering" w:customStyle="1" w:styleId="Aktuelllista1">
    <w:name w:val="Aktuell lista1"/>
    <w:uiPriority w:val="99"/>
    <w:pPr>
      <w:numPr>
        <w:numId w:val="50"/>
      </w:numPr>
    </w:pPr>
  </w:style>
  <w:style w:type="numbering" w:customStyle="1" w:styleId="Aktuelllista2">
    <w:name w:val="Aktuell lista2"/>
    <w:uiPriority w:val="99"/>
    <w:pPr>
      <w:numPr>
        <w:numId w:val="48"/>
      </w:numPr>
    </w:pPr>
  </w:style>
  <w:style w:type="paragraph" w:styleId="PlainText">
    <w:name w:val="Plain Text"/>
    <w:basedOn w:val="Normal"/>
    <w:link w:val="PlainTextChar"/>
    <w:uiPriority w:val="99"/>
    <w:unhideWhenUsed/>
    <w:pPr>
      <w:widowControl/>
    </w:pPr>
    <w:rPr>
      <w:rFonts w:ascii="Calibri" w:hAnsi="Calibri" w:cs="Calibri"/>
      <w:sz w:val="22"/>
      <w:szCs w:val="21"/>
      <w:lang w:eastAsia="sv-SE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alibri" w:hAnsi="Calibri" w:cs="Calibri"/>
      <w:sz w:val="22"/>
      <w:szCs w:val="21"/>
      <w:lang w:val="sk-SK" w:eastAsia="sv-SE"/>
    </w:rPr>
  </w:style>
  <w:style w:type="paragraph" w:customStyle="1" w:styleId="msonormal0">
    <w:name w:val="msonormal"/>
    <w:basedOn w:val="Normal"/>
    <w:uiPriority w:val="99"/>
    <w:qFormat/>
    <w:pPr>
      <w:widowControl/>
      <w:spacing w:before="100" w:beforeAutospacing="1" w:after="100" w:afterAutospacing="1"/>
    </w:pPr>
    <w:rPr>
      <w:rFonts w:eastAsia="Calibri"/>
      <w:szCs w:val="24"/>
    </w:rPr>
  </w:style>
  <w:style w:type="table" w:customStyle="1" w:styleId="ListTable6Colorful-Accent51">
    <w:name w:val="List Table 6 Colorful - Accent 51"/>
    <w:basedOn w:val="TableNormal"/>
    <w:next w:val="ListTable6Colorful-Accent5"/>
    <w:uiPriority w:val="51"/>
    <w:rPr>
      <w:rFonts w:ascii="Calibri" w:eastAsia="Calibri" w:hAnsi="Calibri" w:cs="Arial"/>
      <w:color w:val="31849B"/>
      <w:sz w:val="25"/>
      <w:szCs w:val="25"/>
      <w:lang w:val="sk-SK" w:eastAsia="en-US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</w:tblPr>
    <w:tblStylePr w:type="firstRow">
      <w:rPr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paragraph" w:customStyle="1" w:styleId="CM3">
    <w:name w:val="CM3"/>
    <w:basedOn w:val="Default"/>
    <w:next w:val="Default"/>
    <w:uiPriority w:val="99"/>
    <w:pPr>
      <w:suppressAutoHyphens w:val="0"/>
      <w:autoSpaceDE w:val="0"/>
      <w:autoSpaceDN w:val="0"/>
      <w:adjustRightInd w:val="0"/>
    </w:pPr>
    <w:rPr>
      <w:color w:val="auto"/>
    </w:rPr>
  </w:style>
  <w:style w:type="character" w:customStyle="1" w:styleId="Bodytext1">
    <w:name w:val="Body text|1_"/>
    <w:basedOn w:val="DefaultParagraphFont"/>
    <w:link w:val="Bodytext10"/>
    <w:rPr>
      <w:rFonts w:ascii="Arial" w:eastAsia="Arial" w:hAnsi="Arial" w:cs="Arial"/>
      <w:sz w:val="19"/>
    </w:rPr>
  </w:style>
  <w:style w:type="paragraph" w:customStyle="1" w:styleId="Bodytext10">
    <w:name w:val="Body text|1"/>
    <w:basedOn w:val="Normal"/>
    <w:link w:val="Bodytext1"/>
    <w:pPr>
      <w:spacing w:after="160" w:line="348" w:lineRule="auto"/>
    </w:pPr>
    <w:rPr>
      <w:rFonts w:ascii="Arial" w:eastAsia="Arial" w:hAnsi="Arial" w:cs="Arial"/>
      <w:sz w:val="19"/>
      <w:lang w:val="en-GB"/>
    </w:rPr>
  </w:style>
  <w:style w:type="numbering" w:customStyle="1" w:styleId="RKNumreraderubriker">
    <w:name w:val="RK Numrerade rubriker"/>
    <w:uiPriority w:val="99"/>
    <w:pPr>
      <w:numPr>
        <w:numId w:val="49"/>
      </w:numPr>
    </w:pPr>
  </w:style>
  <w:style w:type="numbering" w:customStyle="1" w:styleId="Strecklistan3">
    <w:name w:val="Strecklistan3"/>
    <w:uiPriority w:val="99"/>
    <w:pPr>
      <w:numPr>
        <w:numId w:val="25"/>
      </w:numPr>
    </w:pPr>
  </w:style>
  <w:style w:type="numbering" w:customStyle="1" w:styleId="Aktuelllista14">
    <w:name w:val="Aktuell lista14"/>
    <w:uiPriority w:val="99"/>
    <w:pPr>
      <w:numPr>
        <w:numId w:val="30"/>
      </w:numPr>
    </w:pPr>
  </w:style>
  <w:style w:type="numbering" w:customStyle="1" w:styleId="Aktuelllista23">
    <w:name w:val="Aktuell lista23"/>
    <w:uiPriority w:val="99"/>
    <w:pPr>
      <w:numPr>
        <w:numId w:val="29"/>
      </w:numPr>
    </w:pPr>
  </w:style>
  <w:style w:type="character" w:customStyle="1" w:styleId="ListenabsatzZchn">
    <w:name w:val="Listenabsatz Zchn"/>
    <w:aliases w:val="Bullet List Zchn,Bulletr List Paragraph Zchn,Colorful List - Accent 11 Zchn,Colorful List Accent 1 Zchn,FooterText Zchn,List Paragraph2 Zchn,List Paragraph21 Zchn,Paragraphe de liste1 Zchn,numbered Zchn,リスト段落1 Zchn,列出段落 Zchn,列出段落1 Zchn"/>
    <w:basedOn w:val="DefaultParagraphFont"/>
    <w:uiPriority w:val="34"/>
    <w:locked/>
    <w:rPr>
      <w:rFonts w:ascii="Arial" w:hAnsi="Arial" w:cs="Arial"/>
    </w:rPr>
  </w:style>
  <w:style w:type="paragraph" w:customStyle="1" w:styleId="NormalRight0">
    <w:name w:val="NormalRight"/>
    <w:basedOn w:val="Normal"/>
    <w:pPr>
      <w:widowControl/>
      <w:jc w:val="right"/>
    </w:pPr>
    <w:rPr>
      <w:snapToGrid w:val="0"/>
    </w:rPr>
  </w:style>
  <w:style w:type="paragraph" w:customStyle="1" w:styleId="NormalBoldRight">
    <w:name w:val="NormalBoldRight"/>
    <w:basedOn w:val="NormalBold"/>
    <w:pPr>
      <w:jc w:val="right"/>
    </w:pPr>
    <w:rPr>
      <w:bCs/>
      <w:snapToGrid w:val="0"/>
    </w:rPr>
  </w:style>
  <w:style w:type="paragraph" w:customStyle="1" w:styleId="Normal24">
    <w:name w:val="Normal24"/>
    <w:basedOn w:val="Normal"/>
    <w:pPr>
      <w:spacing w:after="480"/>
    </w:pPr>
    <w:rPr>
      <w:snapToGrid w:val="0"/>
    </w:rPr>
  </w:style>
  <w:style w:type="paragraph" w:styleId="ListBullet">
    <w:name w:val="List Bullet"/>
    <w:basedOn w:val="Normal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pPr>
      <w:tabs>
        <w:tab w:val="num" w:pos="1080"/>
      </w:tabs>
      <w:ind w:left="1080" w:hanging="360"/>
      <w:contextualSpacing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table" w:styleId="ListTable5Dark-Accent5">
    <w:name w:val="List Table 5 Dark Accent 5"/>
    <w:basedOn w:val="TableNormal"/>
    <w:uiPriority w:val="50"/>
    <w:rPr>
      <w:color w:val="FFFFFF" w:themeColor="background1"/>
      <w:lang w:val="sk-SK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Pr>
      <w:color w:val="2F5496" w:themeColor="accent5" w:themeShade="BF"/>
      <w:lang w:val="sk-SK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c.europa.eu/regional_policy/en/funding/cohesion-fund/" TargetMode="Externa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s://ec.europa.eu/regional_policy/en/funding/erdf/" TargetMode="External"/><Relationship Id="rId17" Type="http://schemas.openxmlformats.org/officeDocument/2006/relationships/header" Target="header2.xml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info/food-farming-fisheries/key-policies/common-agricultural-policy/financing-cap/cap-funds_en" TargetMode="Externa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hyperlink" Target="https://ec.europa.eu/info/food-farming-fisheries/key-policies/common-agricultural-policy/rural-development_en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cinea.ec.europa.eu/european-maritime-fisheries-and-aquaculture-fund_en" TargetMode="External"/><Relationship Id="rId14" Type="http://schemas.openxmlformats.org/officeDocument/2006/relationships/hyperlink" Target="https://ec.europa.eu/info/business-economy-euro/recovery-coronavirus/recovery-and-resilience-facility_en" TargetMode="Externa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cc.ch/report/ar6/wg2/" TargetMode="External"/><Relationship Id="rId13" Type="http://schemas.openxmlformats.org/officeDocument/2006/relationships/hyperlink" Target="https://www.eea.europa.eu/data-and-maps/data/eunis-habitat-classification-1" TargetMode="External"/><Relationship Id="rId3" Type="http://schemas.openxmlformats.org/officeDocument/2006/relationships/hyperlink" Target="https://circabc.europa.eu/ui/group/fcb355ee-7434-4448-a53d-5dc5d1dac678/library/4d8f2f91-7708-4ed2-ba0e-e7a945a6d56a/details" TargetMode="External"/><Relationship Id="rId7" Type="http://schemas.openxmlformats.org/officeDocument/2006/relationships/hyperlink" Target="https://www.ipcc.ch/report/ar6/wg2/" TargetMode="External"/><Relationship Id="rId12" Type="http://schemas.openxmlformats.org/officeDocument/2006/relationships/hyperlink" Target="https://www.eea.europa.eu/data-and-maps/data/eunis-habitat-classification-1" TargetMode="External"/><Relationship Id="rId2" Type="http://schemas.openxmlformats.org/officeDocument/2006/relationships/hyperlink" Target="https://www.un.org/sustainabledevelopment/" TargetMode="External"/><Relationship Id="rId1" Type="http://schemas.openxmlformats.org/officeDocument/2006/relationships/hyperlink" Target="https://www.cbd.int/decision/cop/?id=12268" TargetMode="External"/><Relationship Id="rId6" Type="http://schemas.openxmlformats.org/officeDocument/2006/relationships/hyperlink" Target="https://www.ipcc.ch/report/ar6/wg2/" TargetMode="External"/><Relationship Id="rId11" Type="http://schemas.openxmlformats.org/officeDocument/2006/relationships/hyperlink" Target="https://ec.europa.eu/environment/nature/conservation/species/redlist/index_en.htm" TargetMode="External"/><Relationship Id="rId5" Type="http://schemas.openxmlformats.org/officeDocument/2006/relationships/hyperlink" Target="https://www.ipcc.ch/sr15/" TargetMode="External"/><Relationship Id="rId10" Type="http://schemas.openxmlformats.org/officeDocument/2006/relationships/hyperlink" Target="https://www.eca.europa.eu/Lists/ECADocuments/SR20_15/SR_Pollinators_EN.pdf" TargetMode="External"/><Relationship Id="rId4" Type="http://schemas.openxmlformats.org/officeDocument/2006/relationships/hyperlink" Target="https://seea.un.org/sites/seea.un.org/files/documents/EA/seea_ea_white_cover_final.pdf" TargetMode="External"/><Relationship Id="rId9" Type="http://schemas.openxmlformats.org/officeDocument/2006/relationships/hyperlink" Target="https://doi.org/10.5281/zenodo.3831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7D022-8495-4961-9E28-7454E6026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135</Pages>
  <Words>27078</Words>
  <Characters>168229</Characters>
  <Application>Microsoft Office Word</Application>
  <DocSecurity>0</DocSecurity>
  <Lines>1401</Lines>
  <Paragraphs>389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SEMEDO Teresa</cp:lastModifiedBy>
  <cp:revision>3</cp:revision>
  <cp:lastPrinted>2004-11-19T15:42:00Z</cp:lastPrinted>
  <dcterms:created xsi:type="dcterms:W3CDTF">2023-11-15T12:11:00Z</dcterms:created>
  <dcterms:modified xsi:type="dcterms:W3CDTF">2024-04-29T12:32:00Z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P9_TA(2023)0277_</vt:lpwstr>
  </property>
  <property fmtid="{D5CDD505-2E9C-101B-9397-08002B2CF9AE}" pid="4" name="&lt;Type&gt;">
    <vt:lpwstr>RR</vt:lpwstr>
  </property>
</Properties>
</file>