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503" w:rsidTr="0010095E">
        <w:trPr>
          <w:trHeight w:hRule="exact" w:val="1418"/>
        </w:trPr>
        <w:tc>
          <w:tcPr>
            <w:tcW w:w="6804" w:type="dxa"/>
            <w:shd w:val="clear" w:color="auto" w:fill="auto"/>
            <w:vAlign w:val="center"/>
          </w:tcPr>
          <w:p w:rsidR="00751A4A" w:rsidRPr="009F2503" w:rsidRDefault="00E90581" w:rsidP="0010095E">
            <w:pPr>
              <w:pStyle w:val="EPName"/>
            </w:pPr>
            <w:r w:rsidRPr="009F2503">
              <w:t>Europski parlament</w:t>
            </w:r>
          </w:p>
          <w:p w:rsidR="00751A4A" w:rsidRPr="009F2503" w:rsidRDefault="00817416" w:rsidP="00756632">
            <w:pPr>
              <w:pStyle w:val="EPTerm"/>
              <w:rPr>
                <w:rStyle w:val="HideTWBExt"/>
                <w:noProof w:val="0"/>
                <w:vanish w:val="0"/>
                <w:color w:val="auto"/>
              </w:rPr>
            </w:pPr>
            <w:r w:rsidRPr="009F2503">
              <w:t>2019-2024</w:t>
            </w:r>
          </w:p>
        </w:tc>
        <w:tc>
          <w:tcPr>
            <w:tcW w:w="2268" w:type="dxa"/>
            <w:shd w:val="clear" w:color="auto" w:fill="auto"/>
          </w:tcPr>
          <w:p w:rsidR="00751A4A" w:rsidRPr="009F2503" w:rsidRDefault="00187494" w:rsidP="0010095E">
            <w:pPr>
              <w:pStyle w:val="EPLogo"/>
            </w:pPr>
            <w:r w:rsidRPr="009F25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2503" w:rsidRDefault="00D058B8" w:rsidP="004C5D52">
      <w:pPr>
        <w:pStyle w:val="LineTop"/>
      </w:pPr>
    </w:p>
    <w:p w:rsidR="00680577" w:rsidRPr="009F2503" w:rsidRDefault="00E90581" w:rsidP="00680577">
      <w:pPr>
        <w:pStyle w:val="EPBodyTA1"/>
      </w:pPr>
      <w:r w:rsidRPr="009F2503">
        <w:t>USVOJENI TEKSTOVI</w:t>
      </w:r>
    </w:p>
    <w:p w:rsidR="00D058B8" w:rsidRPr="009F2503" w:rsidRDefault="00D058B8" w:rsidP="00D058B8">
      <w:pPr>
        <w:pStyle w:val="LineBottom"/>
      </w:pPr>
    </w:p>
    <w:p w:rsidR="00E90581" w:rsidRPr="009F2503" w:rsidRDefault="00E90581" w:rsidP="00E90581">
      <w:pPr>
        <w:pStyle w:val="ATHeading1"/>
      </w:pPr>
      <w:bookmarkStart w:id="0" w:name="TANumber"/>
      <w:r w:rsidRPr="009F2503">
        <w:t>P9_TA(2023)0</w:t>
      </w:r>
      <w:r w:rsidR="004B1F05">
        <w:t>394</w:t>
      </w:r>
      <w:bookmarkEnd w:id="0"/>
    </w:p>
    <w:p w:rsidR="00E90581" w:rsidRPr="009F2503" w:rsidRDefault="00605A38" w:rsidP="00E90581">
      <w:pPr>
        <w:pStyle w:val="ATHeading2"/>
      </w:pPr>
      <w:bookmarkStart w:id="1" w:name="title"/>
      <w:r w:rsidRPr="00605A38">
        <w:rPr>
          <w:bCs/>
        </w:rPr>
        <w:t>Homologacija motornih vozila i motora s obzirom na njihove emisije i trajnost baterija (Euro 7)</w:t>
      </w:r>
      <w:bookmarkEnd w:id="1"/>
    </w:p>
    <w:p w:rsidR="00E90581" w:rsidRPr="009F2503" w:rsidRDefault="00E90581" w:rsidP="00E90581">
      <w:pPr>
        <w:rPr>
          <w:i/>
          <w:vanish/>
        </w:rPr>
      </w:pPr>
      <w:r w:rsidRPr="009F2503">
        <w:rPr>
          <w:i/>
        </w:rPr>
        <w:fldChar w:fldCharType="begin"/>
      </w:r>
      <w:r w:rsidRPr="009F2503">
        <w:rPr>
          <w:i/>
        </w:rPr>
        <w:instrText xml:space="preserve"> TC"(</w:instrText>
      </w:r>
      <w:bookmarkStart w:id="2" w:name="DocNumber"/>
      <w:r w:rsidRPr="009F2503">
        <w:rPr>
          <w:i/>
        </w:rPr>
        <w:instrText>A9-0298/2023</w:instrText>
      </w:r>
      <w:bookmarkEnd w:id="2"/>
      <w:r w:rsidRPr="009F2503">
        <w:rPr>
          <w:i/>
        </w:rPr>
        <w:instrText xml:space="preserve"> - Izvjestitelj: </w:instrText>
      </w:r>
      <w:proofErr w:type="spellStart"/>
      <w:r w:rsidRPr="009F2503">
        <w:rPr>
          <w:i/>
        </w:rPr>
        <w:instrText>Alexandr</w:instrText>
      </w:r>
      <w:proofErr w:type="spellEnd"/>
      <w:r w:rsidRPr="009F2503">
        <w:rPr>
          <w:i/>
        </w:rPr>
        <w:instrText xml:space="preserve"> </w:instrText>
      </w:r>
      <w:proofErr w:type="spellStart"/>
      <w:r w:rsidRPr="009F2503">
        <w:rPr>
          <w:i/>
        </w:rPr>
        <w:instrText>Vondra</w:instrText>
      </w:r>
      <w:proofErr w:type="spellEnd"/>
      <w:r w:rsidRPr="009F2503">
        <w:rPr>
          <w:i/>
        </w:rPr>
        <w:instrText xml:space="preserve">)"\l3 \n&gt; \* MERGEFORMAT </w:instrText>
      </w:r>
      <w:r w:rsidRPr="009F2503">
        <w:rPr>
          <w:i/>
        </w:rPr>
        <w:fldChar w:fldCharType="end"/>
      </w:r>
    </w:p>
    <w:p w:rsidR="00E90581" w:rsidRPr="009F2503" w:rsidRDefault="00E90581" w:rsidP="00E90581">
      <w:pPr>
        <w:rPr>
          <w:vanish/>
        </w:rPr>
      </w:pPr>
      <w:bookmarkStart w:id="3" w:name="Commission"/>
      <w:r w:rsidRPr="009F2503">
        <w:rPr>
          <w:vanish/>
        </w:rPr>
        <w:t>Odbor za okoliš, javno zdravlje i sigurnost hrane</w:t>
      </w:r>
      <w:bookmarkEnd w:id="3"/>
    </w:p>
    <w:p w:rsidR="00E90581" w:rsidRPr="009F2503" w:rsidRDefault="00E90581" w:rsidP="00E90581">
      <w:pPr>
        <w:rPr>
          <w:vanish/>
        </w:rPr>
      </w:pPr>
      <w:bookmarkStart w:id="4" w:name="PE"/>
      <w:r w:rsidRPr="009F2503">
        <w:rPr>
          <w:vanish/>
        </w:rPr>
        <w:t>PE746.876</w:t>
      </w:r>
      <w:bookmarkEnd w:id="4"/>
    </w:p>
    <w:p w:rsidR="00E90581" w:rsidRPr="009F2503" w:rsidRDefault="004B1F05" w:rsidP="00E90581">
      <w:pPr>
        <w:pStyle w:val="ATHeading3"/>
      </w:pPr>
      <w:bookmarkStart w:id="5" w:name="Sujet"/>
      <w:r>
        <w:t xml:space="preserve">Amandmani koje je donio </w:t>
      </w:r>
      <w:r w:rsidR="00E90581" w:rsidRPr="009F2503">
        <w:t>Europsk</w:t>
      </w:r>
      <w:r>
        <w:t>i</w:t>
      </w:r>
      <w:r w:rsidR="00E90581" w:rsidRPr="009F2503">
        <w:t xml:space="preserve"> parlament </w:t>
      </w:r>
      <w:r w:rsidR="00605A38">
        <w:t>9. studenoga</w:t>
      </w:r>
      <w:r w:rsidR="00E90581" w:rsidRPr="009F2503">
        <w:t xml:space="preserve"> 2023. o Prijedlogu uredbe Europskog parlamenta i Vijeća o homologaciji motornih vozila i motora te sustava, sastavnih dijelova i zasebnih tehničkih jedinica namijenjenih za takva vozila s obzirom na njihove emisije i trajnost baterija (Euro 7) i o stavljanju izvan snage uredaba (EZ) br. 715/2007 i (EZ) br. 595/2009</w:t>
      </w:r>
      <w:bookmarkEnd w:id="5"/>
      <w:r w:rsidR="00E90581" w:rsidRPr="009F2503">
        <w:t xml:space="preserve"> </w:t>
      </w:r>
      <w:bookmarkStart w:id="6" w:name="References"/>
      <w:r w:rsidR="00E90581" w:rsidRPr="009F2503">
        <w:t>(COM(2022)0586 – C9-0375/2022 – 2022/0365(COD))</w:t>
      </w:r>
      <w:bookmarkEnd w:id="6"/>
      <w:r>
        <w:rPr>
          <w:rStyle w:val="FootnoteReference"/>
        </w:rPr>
        <w:footnoteReference w:id="1"/>
      </w:r>
    </w:p>
    <w:p w:rsidR="00E90581" w:rsidRPr="009F2503" w:rsidRDefault="00E90581" w:rsidP="00E90581"/>
    <w:p w:rsidR="00D00FC9" w:rsidRPr="009F2503" w:rsidRDefault="00D00FC9" w:rsidP="00D00FC9">
      <w:pPr>
        <w:pStyle w:val="NormalBold"/>
      </w:pPr>
      <w:bookmarkStart w:id="7" w:name="TextBodyBegin"/>
      <w:bookmarkEnd w:id="7"/>
      <w:r w:rsidRPr="009F2503">
        <w:t>(Redovni zakonodavni postupak: prvo čitanje)</w:t>
      </w:r>
    </w:p>
    <w:p w:rsidR="00D00FC9" w:rsidRPr="009F2503" w:rsidRDefault="00D00FC9">
      <w:pPr>
        <w:pStyle w:val="NormalHanging12a"/>
      </w:pPr>
    </w:p>
    <w:p w:rsidR="00C108CE" w:rsidRDefault="00C108CE" w:rsidP="00D00FC9">
      <w:r>
        <w:br w:type="page"/>
      </w:r>
    </w:p>
    <w:p w:rsidR="00D00FC9" w:rsidRPr="009F2503" w:rsidRDefault="00D00FC9" w:rsidP="00D00FC9">
      <w:pPr>
        <w:pStyle w:val="AmNumberTabs"/>
      </w:pPr>
      <w:r w:rsidRPr="009F2503">
        <w:lastRenderedPageBreak/>
        <w:t>Amandman</w:t>
      </w:r>
      <w:r w:rsidRPr="009F2503">
        <w:tab/>
      </w:r>
      <w:r w:rsidRPr="009F2503">
        <w:tab/>
        <w:t>1</w:t>
      </w:r>
    </w:p>
    <w:p w:rsidR="00D00FC9" w:rsidRPr="009F2503" w:rsidRDefault="00D00FC9" w:rsidP="00D00FC9">
      <w:pPr>
        <w:pStyle w:val="NormalBold12b"/>
      </w:pPr>
      <w:r w:rsidRPr="009F2503">
        <w:t>Prijedlog uredbe</w:t>
      </w:r>
    </w:p>
    <w:p w:rsidR="00D00FC9" w:rsidRPr="009F2503" w:rsidRDefault="00D00FC9" w:rsidP="00D00FC9">
      <w:pPr>
        <w:pStyle w:val="NormalBold"/>
      </w:pPr>
      <w:r w:rsidRPr="009F2503">
        <w:t>Uvodna izjava -1.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(-1)</w:t>
            </w:r>
            <w:r w:rsidRPr="009F2503">
              <w:tab/>
            </w:r>
            <w:r w:rsidRPr="009F2503">
              <w:rPr>
                <w:b/>
                <w:i/>
              </w:rPr>
              <w:t>U Odluci (EU) 2022/591 Europskog parlamenta i Vijeća</w:t>
            </w:r>
            <w:r w:rsidRPr="009F2503">
              <w:rPr>
                <w:b/>
                <w:i/>
                <w:vertAlign w:val="superscript"/>
              </w:rPr>
              <w:t>1</w:t>
            </w:r>
            <w:r w:rsidRPr="009F2503">
              <w:rPr>
                <w:b/>
                <w:i/>
              </w:rPr>
              <w:t xml:space="preserve"> o Općem programu djelovanja Unije za okoliš do 2030. kao jedan od šest tematskih ciljeva za razdoblje do 31. prosinca 2030. utvrđuje se rad na ostvarenju nulte stope onečišćenja, među ostalim u pogledu štetnih kemikalija, radi postizanja netoksičnog okoliša, uključujući zrak, vodu i tlo, ali i u pogledu onečišćenja bukom i svjetlosnog onečišćenja, te zaštita zdravlja i dobrobiti ljudi, životinja i ekosustava s obzirom na rizike i negativne utjecaje povezane s okolišem.</w:t>
            </w:r>
          </w:p>
        </w:tc>
      </w:tr>
      <w:tr w:rsidR="00A275A2" w:rsidRPr="009F2503" w:rsidTr="00605A38">
        <w:trPr>
          <w:jc w:val="center"/>
        </w:trPr>
        <w:tc>
          <w:tcPr>
            <w:tcW w:w="4876" w:type="dxa"/>
          </w:tcPr>
          <w:p w:rsidR="00A275A2" w:rsidRPr="009F2503" w:rsidRDefault="00A275A2" w:rsidP="00605A38">
            <w:pPr>
              <w:pStyle w:val="Normal6a"/>
            </w:pPr>
          </w:p>
        </w:tc>
        <w:tc>
          <w:tcPr>
            <w:tcW w:w="4876" w:type="dxa"/>
          </w:tcPr>
          <w:p w:rsidR="00A275A2" w:rsidRPr="009F2503" w:rsidRDefault="00A275A2" w:rsidP="00605A38">
            <w:pPr>
              <w:pStyle w:val="Normal6a"/>
              <w:rPr>
                <w:b/>
                <w:i/>
              </w:rPr>
            </w:pPr>
            <w:r w:rsidRPr="0096360B">
              <w:rPr>
                <w:b/>
                <w:i/>
              </w:rPr>
              <w:t>_________________</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bCs/>
                <w:i/>
                <w:iCs/>
                <w:vertAlign w:val="superscript"/>
              </w:rPr>
              <w:t>1</w:t>
            </w:r>
            <w:r w:rsidRPr="009F2503">
              <w:rPr>
                <w:b/>
                <w:bCs/>
                <w:i/>
                <w:iCs/>
              </w:rPr>
              <w:t xml:space="preserve"> Odluka (EU) 2022/591 Europskog parlamenta i Vijeća od 6. travnja 2022. o Općem programu djelovanja Unije za okoliš do 2030. (SL L 114, 12.4.2022., str. 22.).</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w:t>
      </w:r>
    </w:p>
    <w:p w:rsidR="00D00FC9" w:rsidRPr="009F2503" w:rsidRDefault="00D00FC9" w:rsidP="00D00FC9">
      <w:pPr>
        <w:pStyle w:val="NormalBold12b"/>
      </w:pPr>
      <w:r w:rsidRPr="009F2503">
        <w:t>Prijedlog uredbe</w:t>
      </w:r>
    </w:p>
    <w:p w:rsidR="00D00FC9" w:rsidRPr="009F2503" w:rsidRDefault="00D00FC9" w:rsidP="00D00FC9">
      <w:pPr>
        <w:pStyle w:val="NormalBold"/>
      </w:pPr>
      <w:r w:rsidRPr="009F2503">
        <w:t>Uvodna izjava -1.a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(-1a)</w:t>
            </w:r>
            <w:r w:rsidRPr="009F2503">
              <w:tab/>
            </w:r>
            <w:r w:rsidRPr="009F2503">
              <w:rPr>
                <w:b/>
                <w:i/>
              </w:rPr>
              <w:t>Europski zeleni plan</w:t>
            </w:r>
            <w:r w:rsidRPr="009F2503">
              <w:rPr>
                <w:b/>
                <w:i/>
                <w:vertAlign w:val="superscript"/>
              </w:rPr>
              <w:t>1a</w:t>
            </w:r>
            <w:r w:rsidRPr="009F2503">
              <w:rPr>
                <w:b/>
                <w:i/>
              </w:rPr>
              <w:t xml:space="preserve"> </w:t>
            </w:r>
            <w:proofErr w:type="spellStart"/>
            <w:r w:rsidRPr="009F2503">
              <w:rPr>
                <w:b/>
                <w:i/>
              </w:rPr>
              <w:t>Unijin</w:t>
            </w:r>
            <w:proofErr w:type="spellEnd"/>
            <w:r w:rsidRPr="009F2503">
              <w:rPr>
                <w:b/>
                <w:i/>
              </w:rPr>
              <w:t xml:space="preserve"> je prijedlog za pokretanje tranzicije u cilju postizanja klimatski neutralnog, čistog i kružnog gospodarstva najkasnije do 2050., kojim se želi optimizirati upravljanje resursima i svesti onečišćenje na najmanju moguću mjeru, a u njemu se ujedno uvažava potreba za politikama za istinsku preobrazbu.</w:t>
            </w:r>
            <w:r w:rsidRPr="009F2503">
              <w:t xml:space="preserve"> </w:t>
            </w:r>
            <w:r w:rsidRPr="009F2503">
              <w:rPr>
                <w:b/>
                <w:i/>
              </w:rPr>
              <w:t>Unija je predana i Programu održivog razvoja do 2030.</w:t>
            </w:r>
            <w:r w:rsidRPr="009F2503">
              <w:rPr>
                <w:b/>
                <w:i/>
                <w:vertAlign w:val="superscript"/>
              </w:rPr>
              <w:t>1b</w:t>
            </w:r>
            <w:r w:rsidRPr="009F2503">
              <w:rPr>
                <w:b/>
                <w:i/>
              </w:rPr>
              <w:t xml:space="preserve"> i njegovim ciljevima održivog razvoja</w:t>
            </w:r>
            <w:r w:rsidRPr="009F2503">
              <w:rPr>
                <w:b/>
                <w:i/>
                <w:vertAlign w:val="superscript"/>
              </w:rPr>
              <w:t>1c</w:t>
            </w:r>
            <w:r w:rsidRPr="009F2503">
              <w:rPr>
                <w:b/>
                <w:i/>
              </w:rPr>
              <w:t>.</w:t>
            </w:r>
            <w:r w:rsidRPr="009F2503">
              <w:t xml:space="preserve"> </w:t>
            </w:r>
            <w:r w:rsidRPr="009F2503">
              <w:rPr>
                <w:b/>
                <w:i/>
              </w:rPr>
              <w:t>Strategija za održivu i pametnu mobilnost, donesena u prosincu 2020.</w:t>
            </w:r>
            <w:r w:rsidRPr="009F2503">
              <w:rPr>
                <w:b/>
                <w:i/>
                <w:vertAlign w:val="superscript"/>
              </w:rPr>
              <w:t>1d</w:t>
            </w:r>
            <w:r w:rsidRPr="009F2503">
              <w:rPr>
                <w:b/>
                <w:i/>
              </w:rPr>
              <w:t xml:space="preserve">, i akcijski plan za postizanje nulte stope </w:t>
            </w:r>
            <w:r w:rsidRPr="009F2503">
              <w:rPr>
                <w:b/>
                <w:i/>
              </w:rPr>
              <w:lastRenderedPageBreak/>
              <w:t>onečišćenja</w:t>
            </w:r>
            <w:r w:rsidRPr="009F2503">
              <w:rPr>
                <w:b/>
                <w:i/>
                <w:vertAlign w:val="superscript"/>
              </w:rPr>
              <w:t>1e</w:t>
            </w:r>
            <w:r w:rsidRPr="009F2503">
              <w:rPr>
                <w:b/>
                <w:i/>
              </w:rPr>
              <w:t>, donesen u svibnju 2021., posebno se bave aspektima europskog zelenog plana koji se odnose na onečišćenje zbog prometa.</w:t>
            </w:r>
            <w:r w:rsidRPr="009F2503">
              <w:t xml:space="preserve"> </w:t>
            </w:r>
            <w:r w:rsidRPr="009F2503">
              <w:rPr>
                <w:b/>
                <w:i/>
              </w:rPr>
              <w:t>Ostale posebno važne politike za tu inicijativu uključuju, na primjer, Direktivu o kvaliteti zraka</w:t>
            </w:r>
            <w:r w:rsidRPr="009F2503">
              <w:rPr>
                <w:b/>
                <w:i/>
                <w:vertAlign w:val="superscript"/>
              </w:rPr>
              <w:t>1f</w:t>
            </w:r>
            <w:r w:rsidRPr="009F2503">
              <w:rPr>
                <w:b/>
                <w:i/>
              </w:rPr>
              <w:t>, novu industrijsku strategiju za Europu</w:t>
            </w:r>
            <w:r w:rsidRPr="009F2503">
              <w:rPr>
                <w:b/>
                <w:i/>
                <w:vertAlign w:val="superscript"/>
              </w:rPr>
              <w:t>1g</w:t>
            </w:r>
            <w:r w:rsidRPr="009F2503">
              <w:rPr>
                <w:b/>
                <w:i/>
              </w:rPr>
              <w:t>, standardne vrijednosti emisija CO₂ za osobna vozila i laka gospodarska vozila</w:t>
            </w:r>
            <w:r w:rsidRPr="009F2503">
              <w:rPr>
                <w:b/>
                <w:i/>
                <w:vertAlign w:val="superscript"/>
              </w:rPr>
              <w:t>1h</w:t>
            </w:r>
            <w:r w:rsidRPr="009F2503">
              <w:rPr>
                <w:b/>
                <w:i/>
              </w:rPr>
              <w:t xml:space="preserve"> i emisijske norme za CO₂ za nova teška vozila</w:t>
            </w:r>
            <w:r w:rsidRPr="009F2503">
              <w:rPr>
                <w:b/>
                <w:i/>
                <w:vertAlign w:val="superscript"/>
              </w:rPr>
              <w:t>1i</w:t>
            </w:r>
            <w:r w:rsidRPr="009F2503">
              <w:rPr>
                <w:b/>
                <w:i/>
              </w:rPr>
              <w:t>.</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rPr>
              <w:t>_________________</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bCs/>
                <w:i/>
                <w:iCs/>
                <w:vertAlign w:val="superscript"/>
              </w:rPr>
              <w:t xml:space="preserve">1a </w:t>
            </w:r>
            <w:r w:rsidRPr="009F2503">
              <w:rPr>
                <w:b/>
                <w:bCs/>
                <w:i/>
                <w:iCs/>
              </w:rPr>
              <w:t>Komunikacija Komisije Europskom parlamentu, Europskom vijeću, Vijeću, Europskom gospodarskom i socijalnom odboru i Odboru regija: Europski zeleni plan,</w:t>
            </w:r>
            <w:r w:rsidRPr="009F2503">
              <w:t xml:space="preserve"> </w:t>
            </w:r>
            <w:r w:rsidRPr="009F2503">
              <w:rPr>
                <w:b/>
                <w:i/>
              </w:rPr>
              <w:t xml:space="preserve">COM(2019) 640 </w:t>
            </w:r>
            <w:proofErr w:type="spellStart"/>
            <w:r w:rsidRPr="009F2503">
              <w:rPr>
                <w:b/>
                <w:i/>
              </w:rPr>
              <w:t>final</w:t>
            </w:r>
            <w:proofErr w:type="spellEnd"/>
            <w:r w:rsidRPr="009F2503">
              <w:rPr>
                <w:b/>
                <w:i/>
              </w:rPr>
              <w:t>.</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vertAlign w:val="superscript"/>
              </w:rPr>
              <w:t>1b</w:t>
            </w:r>
            <w:r w:rsidRPr="009F2503">
              <w:t xml:space="preserve"> </w:t>
            </w:r>
            <w:r w:rsidRPr="009F2503">
              <w:rPr>
                <w:b/>
                <w:i/>
              </w:rPr>
              <w:t>https://www.un.org/ga/search/view_doc.asp?symbol=A/RES/70/1</w:t>
            </w:r>
            <w:r w:rsidRPr="009F2503">
              <w:rPr>
                <w:rFonts w:ascii="Cambria Math" w:hAnsi="Cambria Math"/>
                <w:b/>
                <w:i/>
              </w:rPr>
              <w:t>⟪</w:t>
            </w:r>
            <w:r w:rsidRPr="009F2503">
              <w:rPr>
                <w:b/>
                <w:i/>
              </w:rPr>
              <w:t xml:space="preserve">=E </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vertAlign w:val="superscript"/>
              </w:rPr>
              <w:t>1c</w:t>
            </w:r>
            <w:r w:rsidRPr="009F2503">
              <w:t xml:space="preserve"> </w:t>
            </w:r>
            <w:r w:rsidRPr="009F2503">
              <w:rPr>
                <w:b/>
                <w:i/>
              </w:rPr>
              <w:t>https://sdgs.un.org/goals</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vertAlign w:val="superscript"/>
              </w:rPr>
              <w:t>1d</w:t>
            </w:r>
            <w:r w:rsidRPr="009F2503">
              <w:t xml:space="preserve"> </w:t>
            </w:r>
            <w:r w:rsidRPr="009F2503">
              <w:rPr>
                <w:b/>
                <w:i/>
              </w:rPr>
              <w:t xml:space="preserve">COM(2020) 789 </w:t>
            </w:r>
            <w:proofErr w:type="spellStart"/>
            <w:r w:rsidRPr="009F2503">
              <w:rPr>
                <w:b/>
                <w:i/>
              </w:rPr>
              <w:t>final</w:t>
            </w:r>
            <w:proofErr w:type="spellEnd"/>
            <w:r w:rsidRPr="009F2503">
              <w:rPr>
                <w:b/>
                <w:i/>
              </w:rPr>
              <w:t>.</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vertAlign w:val="superscript"/>
              </w:rPr>
              <w:t>1e</w:t>
            </w:r>
            <w:r w:rsidRPr="009F2503">
              <w:t xml:space="preserve"> </w:t>
            </w:r>
            <w:r w:rsidRPr="009F2503">
              <w:rPr>
                <w:b/>
                <w:i/>
              </w:rPr>
              <w:t xml:space="preserve">COM(2021) 400 </w:t>
            </w:r>
            <w:proofErr w:type="spellStart"/>
            <w:r w:rsidRPr="009F2503">
              <w:rPr>
                <w:b/>
                <w:i/>
              </w:rPr>
              <w:t>final</w:t>
            </w:r>
            <w:proofErr w:type="spellEnd"/>
            <w:r w:rsidRPr="009F2503">
              <w:rPr>
                <w:b/>
                <w:i/>
              </w:rPr>
              <w:t>.</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vertAlign w:val="superscript"/>
              </w:rPr>
              <w:t>1f</w:t>
            </w:r>
            <w:r w:rsidRPr="009F2503">
              <w:t xml:space="preserve"> </w:t>
            </w:r>
            <w:r w:rsidRPr="009F2503">
              <w:rPr>
                <w:b/>
                <w:i/>
              </w:rPr>
              <w:t>Direktiva 2008/50/EZ.</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bCs/>
                <w:i/>
                <w:iCs/>
                <w:vertAlign w:val="superscript"/>
              </w:rPr>
              <w:t xml:space="preserve">1g </w:t>
            </w:r>
            <w:r w:rsidRPr="009F2503">
              <w:rPr>
                <w:b/>
                <w:bCs/>
                <w:i/>
                <w:iCs/>
              </w:rPr>
              <w:t xml:space="preserve">COM(2020) 102 </w:t>
            </w:r>
            <w:proofErr w:type="spellStart"/>
            <w:r w:rsidRPr="009F2503">
              <w:rPr>
                <w:b/>
                <w:bCs/>
                <w:i/>
                <w:iCs/>
              </w:rPr>
              <w:t>final</w:t>
            </w:r>
            <w:proofErr w:type="spellEnd"/>
            <w:r w:rsidRPr="009F2503">
              <w:rPr>
                <w:b/>
                <w:bCs/>
                <w:i/>
                <w:iCs/>
              </w:rPr>
              <w:t xml:space="preserve"> i COM(2021) 350 </w:t>
            </w:r>
            <w:proofErr w:type="spellStart"/>
            <w:r w:rsidRPr="009F2503">
              <w:rPr>
                <w:b/>
                <w:bCs/>
                <w:i/>
                <w:iCs/>
              </w:rPr>
              <w:t>final</w:t>
            </w:r>
            <w:proofErr w:type="spellEnd"/>
            <w:r w:rsidRPr="009F2503">
              <w:rPr>
                <w:b/>
                <w:bCs/>
              </w:rPr>
              <w:t>.</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vertAlign w:val="superscript"/>
              </w:rPr>
              <w:t>1h</w:t>
            </w:r>
            <w:r w:rsidRPr="009F2503">
              <w:t xml:space="preserve"> </w:t>
            </w:r>
            <w:r w:rsidRPr="009F2503">
              <w:rPr>
                <w:b/>
                <w:i/>
              </w:rPr>
              <w:t>COM/2021/556.</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vertAlign w:val="superscript"/>
              </w:rPr>
              <w:t>1i</w:t>
            </w:r>
            <w:r w:rsidRPr="009F2503">
              <w:t xml:space="preserve"> </w:t>
            </w:r>
            <w:r w:rsidRPr="009F2503">
              <w:rPr>
                <w:b/>
                <w:i/>
              </w:rPr>
              <w:t xml:space="preserve">COM(2023) 88 </w:t>
            </w:r>
            <w:proofErr w:type="spellStart"/>
            <w:r w:rsidRPr="009F2503">
              <w:rPr>
                <w:b/>
                <w:i/>
              </w:rPr>
              <w:t>final</w:t>
            </w:r>
            <w:proofErr w:type="spellEnd"/>
            <w:r w:rsidRPr="009F2503">
              <w:rPr>
                <w:b/>
                <w:i/>
              </w:rPr>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w:t>
      </w:r>
    </w:p>
    <w:p w:rsidR="00D00FC9" w:rsidRPr="009F2503" w:rsidRDefault="00D00FC9" w:rsidP="00D00FC9">
      <w:pPr>
        <w:pStyle w:val="NormalBold12b"/>
      </w:pPr>
      <w:r w:rsidRPr="009F2503">
        <w:t>Prijedlog uredbe</w:t>
      </w:r>
    </w:p>
    <w:p w:rsidR="00D00FC9" w:rsidRPr="009F2503" w:rsidRDefault="00D00FC9" w:rsidP="00D00FC9">
      <w:pPr>
        <w:pStyle w:val="NormalBold"/>
      </w:pPr>
      <w:r w:rsidRPr="009F2503">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t>Unutarnje tržište je područje u kojem se mora osigurati slobodno kretanje robe, osoba, usluga i kapitala. U tu se svrhu Uredbom (EU) 2018/858 Europskog parlamenta i Vijeća</w:t>
            </w:r>
            <w:r w:rsidRPr="009F2503">
              <w:rPr>
                <w:vertAlign w:val="superscript"/>
              </w:rPr>
              <w:t>43</w:t>
            </w:r>
            <w:r w:rsidRPr="009F2503">
              <w:t xml:space="preserve"> utvrđuje sveobuhvatan sustav homologacije i nadzora tržišta za motorna vozila i prikolice te za sustave, sastavne dijelove i zasebne tehničke jedinice namijenjene za </w:t>
            </w:r>
            <w:r w:rsidRPr="009F2503">
              <w:lastRenderedPageBreak/>
              <w:t>takva vozila.</w:t>
            </w:r>
          </w:p>
        </w:tc>
        <w:tc>
          <w:tcPr>
            <w:tcW w:w="4876" w:type="dxa"/>
          </w:tcPr>
          <w:p w:rsidR="00D00FC9" w:rsidRPr="009F2503" w:rsidRDefault="00D00FC9" w:rsidP="00605A38">
            <w:pPr>
              <w:pStyle w:val="Normal6a"/>
            </w:pPr>
            <w:r w:rsidRPr="009F2503">
              <w:lastRenderedPageBreak/>
              <w:t>(1)</w:t>
            </w:r>
            <w:r w:rsidRPr="009F2503">
              <w:tab/>
              <w:t>Unutarnje tržište je područje u kojem se mora osigurati slobodno kretanje robe, osoba, usluga i kapitala. U tu se svrhu Uredbom (EU) 2018/858 Europskog parlamenta i Vijeća</w:t>
            </w:r>
            <w:r w:rsidRPr="009F2503">
              <w:rPr>
                <w:vertAlign w:val="superscript"/>
              </w:rPr>
              <w:t>43</w:t>
            </w:r>
            <w:r w:rsidRPr="009F2503">
              <w:t xml:space="preserve"> utvrđuje sveobuhvatan sustav homologacije i nadzora tržišta za motorna vozila i prikolice te za sustave, sastavne dijelove i zasebne tehničke jedinice namijenjene za </w:t>
            </w:r>
            <w:r w:rsidRPr="009F2503">
              <w:lastRenderedPageBreak/>
              <w:t>takva vozila</w:t>
            </w:r>
            <w:r w:rsidRPr="009F2503">
              <w:rPr>
                <w:b/>
                <w:i/>
              </w:rPr>
              <w:t xml:space="preserve"> i gume za sva vozila</w:t>
            </w:r>
            <w:r w:rsidRPr="009F2503">
              <w:t>.</w:t>
            </w:r>
          </w:p>
        </w:tc>
      </w:tr>
      <w:tr w:rsidR="00D00FC9" w:rsidRPr="009F2503" w:rsidTr="00605A38">
        <w:trPr>
          <w:jc w:val="center"/>
        </w:trPr>
        <w:tc>
          <w:tcPr>
            <w:tcW w:w="4876" w:type="dxa"/>
          </w:tcPr>
          <w:p w:rsidR="00D00FC9" w:rsidRPr="009F2503" w:rsidRDefault="00D00FC9" w:rsidP="00605A38">
            <w:pPr>
              <w:pStyle w:val="Normal6a"/>
            </w:pPr>
            <w:r w:rsidRPr="009F2503">
              <w:rPr>
                <w:b/>
                <w:i/>
              </w:rPr>
              <w:lastRenderedPageBreak/>
              <w:t>_________________</w:t>
            </w:r>
          </w:p>
        </w:tc>
        <w:tc>
          <w:tcPr>
            <w:tcW w:w="4876" w:type="dxa"/>
          </w:tcPr>
          <w:p w:rsidR="00D00FC9" w:rsidRPr="009F2503" w:rsidRDefault="00D00FC9" w:rsidP="00605A38">
            <w:pPr>
              <w:pStyle w:val="Normal6a"/>
            </w:pPr>
            <w:r w:rsidRPr="009F2503">
              <w:rPr>
                <w:b/>
                <w:i/>
              </w:rPr>
              <w:t>_________________</w:t>
            </w:r>
          </w:p>
        </w:tc>
      </w:tr>
      <w:tr w:rsidR="00D00FC9" w:rsidRPr="009F2503" w:rsidTr="00605A38">
        <w:trPr>
          <w:jc w:val="center"/>
        </w:trPr>
        <w:tc>
          <w:tcPr>
            <w:tcW w:w="4876" w:type="dxa"/>
          </w:tcPr>
          <w:p w:rsidR="00D00FC9" w:rsidRPr="009F2503" w:rsidRDefault="00D00FC9" w:rsidP="00605A38">
            <w:pPr>
              <w:pStyle w:val="Normal6a"/>
            </w:pPr>
            <w:r w:rsidRPr="009F2503">
              <w:rPr>
                <w:vertAlign w:val="superscript"/>
              </w:rPr>
              <w:t xml:space="preserve">43 </w:t>
            </w:r>
            <w:r w:rsidRPr="009F2503">
              <w:t>Uredba (EU) 2018/858 Europskog parlamenta i Vijeća od 30. svibnja 2018. o homologaciji i nadzoru tržišta motornih vozila i njihovih prikolica te sustavâ, sastavnih dijelova i zasebnih tehničkih jedinica namijenjenih za takva vozila, o izmjeni uredaba (EZ) br. 715/2007 i (EZ) br. 595/2009 te o stavljanju izvan snage Direktive 2007/46/EZ (SL L 151, 14.6.2018., str. 1.).</w:t>
            </w:r>
          </w:p>
        </w:tc>
        <w:tc>
          <w:tcPr>
            <w:tcW w:w="4876" w:type="dxa"/>
          </w:tcPr>
          <w:p w:rsidR="00D00FC9" w:rsidRPr="009F2503" w:rsidRDefault="00D00FC9" w:rsidP="00605A38">
            <w:pPr>
              <w:pStyle w:val="Normal6a"/>
            </w:pPr>
            <w:r w:rsidRPr="009F2503">
              <w:rPr>
                <w:vertAlign w:val="superscript"/>
              </w:rPr>
              <w:t xml:space="preserve">43 </w:t>
            </w:r>
            <w:r w:rsidRPr="009F2503">
              <w:t>Uredba (EU) 2018/858 Europskog parlamenta i Vijeća od 30. svibnja 2018. o homologaciji i nadzoru tržišta motornih vozila i njihovih prikolica te sustavâ, sastavnih dijelova i zasebnih tehničkih jedinica namijenjenih za takva vozila, o izmjeni uredaba (EZ) br. 715/2007 i (EZ) br. 595/2009 te o stavljanju izvan snage Direktive 2007/46/EZ (SL L 151, 14.6.2018., str. 1.).</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(2a)</w:t>
            </w:r>
            <w:r w:rsidRPr="009F2503">
              <w:tab/>
            </w:r>
            <w:r w:rsidRPr="009F2503">
              <w:rPr>
                <w:b/>
                <w:i/>
              </w:rPr>
              <w:t>Za uspješan prelazak na mobilnost s nultom stopom emisija potreban je integrirani pristup i okruženje pogodno za poticanje inovacija i zadržavanje vodećeg tehnološkog položaja Unije u tom sektoru. To uključuje javna i privatna ulaganja u istraživanja i inovacije, povećanje opskrbe vozilima s nultim i niskim emisijama, uvođenje infrastrukture za punjenje i opskrbu, integraciju u energetske sustave te održivu opskrbu materijalima, održivu proizvodnju, ponovnu uporabu i recikliranje baterija u Europi. Za to je potrebno usklađeno djelovanje na razini Unije te na nacionalnoj, regionalnoj i lokalnoj razini.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(2b)</w:t>
            </w:r>
            <w:r w:rsidRPr="009F2503">
              <w:tab/>
            </w:r>
            <w:r w:rsidRPr="009F2503">
              <w:rPr>
                <w:b/>
                <w:i/>
              </w:rPr>
              <w:t xml:space="preserve">Kako bi se olakšao prelazak na čistu mobilnost te kako bi se </w:t>
            </w:r>
            <w:proofErr w:type="spellStart"/>
            <w:r w:rsidRPr="009F2503">
              <w:rPr>
                <w:b/>
                <w:i/>
              </w:rPr>
              <w:lastRenderedPageBreak/>
              <w:t>reindustrijalizirala</w:t>
            </w:r>
            <w:proofErr w:type="spellEnd"/>
            <w:r w:rsidRPr="009F2503">
              <w:rPr>
                <w:b/>
                <w:i/>
              </w:rPr>
              <w:t xml:space="preserve"> Europa i pomoglo njezinim građanima, ključno je da cijene osobnih i gospodarskih vozila ostanu pristupačne građanima i poduzećima. Time će se pridonijeti kvaliteti života, industrijskoj konkurentnosti i inovacijama, otvaranju radnih mjesta i razvoju vještina u tom sektoru.</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(2c)</w:t>
            </w:r>
            <w:r w:rsidRPr="009F2503">
              <w:tab/>
            </w:r>
            <w:r w:rsidRPr="009F2503">
              <w:rPr>
                <w:b/>
                <w:i/>
              </w:rPr>
              <w:t xml:space="preserve">Trebalo bi osigurati društveno prihvatljiv i pravedan prelazak na mobilnost s nultom stopom emisija. Stoga je važno uzeti u obzir socijalne učinke takvog prelaska u cijelom automobilskom vrijednosnom lancu i </w:t>
            </w:r>
            <w:proofErr w:type="spellStart"/>
            <w:r w:rsidRPr="009F2503">
              <w:rPr>
                <w:b/>
                <w:i/>
              </w:rPr>
              <w:t>proaktivno</w:t>
            </w:r>
            <w:proofErr w:type="spellEnd"/>
            <w:r w:rsidRPr="009F2503">
              <w:rPr>
                <w:b/>
                <w:i/>
              </w:rPr>
              <w:t xml:space="preserve"> odgovoriti na posljedice za zapošljavanje. Ciljani programi na razini Unije te na nacionalnoj i regionalnoj razini, kao što je razvoj planova za pravedan prelazak za regije ovisne o automobilskoj industriji, razvit će se u okviru mehanizma za pravedan prelazak za prekvalifikaciju, usavršavanje i preraspodjelu radnika, te za inicijative za obrazovanje i traženje posla u pogođenim zajednicama i regijama, u bliskom dijalogu sa socijalnim partnerima i nadležnim tijelima. U okviru tog prelaska trebalo bi poboljšati zapošljavanje žena i povećati jednake mogućnosti u tom sektoru.</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w:t>
            </w:r>
            <w:r w:rsidRPr="009F2503">
              <w:tab/>
              <w:t xml:space="preserve">Tehnički zahtjevi za homologaciju </w:t>
            </w:r>
            <w:r w:rsidRPr="009F2503">
              <w:lastRenderedPageBreak/>
              <w:t>motornih vozila, motora i zamjenskih dijelova s obzirom na emisije („homologacija s obzirom na emisije”) trenutačno su utvrđeni u dvjema uredbama koje se primjenjuju na homologaciju s obzirom na emisije za laka odnosno teška vozila, tj. u Uredbi (EZ) br. 715/2007 Europskog parlamenta i Vijeća („Euro</w:t>
            </w:r>
            <w:r w:rsidRPr="009F2503">
              <w:rPr>
                <w:b/>
                <w:i/>
              </w:rPr>
              <w:t xml:space="preserve"> </w:t>
            </w:r>
            <w:r w:rsidRPr="009F2503">
              <w:t>6”)</w:t>
            </w:r>
            <w:r w:rsidRPr="009F2503">
              <w:rPr>
                <w:vertAlign w:val="superscript"/>
              </w:rPr>
              <w:t>44</w:t>
            </w:r>
            <w:r w:rsidRPr="009F2503">
              <w:t xml:space="preserve"> i Uredbi (EZ) br. 595/2009 Europskog parlamenta i Vijeća („Euro</w:t>
            </w:r>
            <w:r w:rsidRPr="009F2503">
              <w:rPr>
                <w:b/>
                <w:i/>
              </w:rPr>
              <w:t xml:space="preserve"> </w:t>
            </w:r>
            <w:r w:rsidRPr="009F2503">
              <w:t>VI.”)</w:t>
            </w:r>
            <w:r w:rsidRPr="009F2503">
              <w:rPr>
                <w:vertAlign w:val="superscript"/>
              </w:rPr>
              <w:t>45</w:t>
            </w:r>
            <w:r w:rsidRPr="009F2503">
              <w:t xml:space="preserve">. </w:t>
            </w:r>
            <w:r w:rsidRPr="009F2503">
              <w:rPr>
                <w:b/>
                <w:i/>
              </w:rPr>
              <w:t>Razlog za postojanje dviju uredbi bio je taj što su se emisije teških vozila provjeravale na temelju ispitivanja motora, a za laka vozila na temelju ispitivanja cijelog vozila. Otad su razvijene metodologije koje omogućuju ispitivanje i lakih i teških vozila na cesti. Stoga više nije potrebno temeljiti homologaciju na ispitivanju motora.</w:t>
            </w:r>
          </w:p>
        </w:tc>
        <w:tc>
          <w:tcPr>
            <w:tcW w:w="4876" w:type="dxa"/>
          </w:tcPr>
          <w:p w:rsidR="00D00FC9" w:rsidRPr="009F2503" w:rsidRDefault="00D00FC9" w:rsidP="00605A38">
            <w:pPr>
              <w:pStyle w:val="Normal6a"/>
            </w:pPr>
            <w:r w:rsidRPr="009F2503">
              <w:lastRenderedPageBreak/>
              <w:t>(4)</w:t>
            </w:r>
            <w:r w:rsidRPr="009F2503">
              <w:tab/>
              <w:t xml:space="preserve">Tehnički zahtjevi za homologaciju </w:t>
            </w:r>
            <w:r w:rsidRPr="009F2503">
              <w:lastRenderedPageBreak/>
              <w:t>motornih vozila, motora i zamjenskih dijelova s obzirom na emisije („homologacija s obzirom na emisije”) trenutačno su utvrđeni u dvjema uredbama koje se primjenjuju na homologaciju s obzirom na emisije za laka odnosno teška vozila, tj. u Uredbi (EZ) br. 715/2007 Europskog parlamenta i Vijeća („Euro</w:t>
            </w:r>
            <w:r w:rsidRPr="009F2503">
              <w:rPr>
                <w:b/>
                <w:i/>
              </w:rPr>
              <w:t> </w:t>
            </w:r>
            <w:r w:rsidRPr="009F2503">
              <w:t>6”)</w:t>
            </w:r>
            <w:r w:rsidRPr="009F2503">
              <w:rPr>
                <w:vertAlign w:val="superscript"/>
              </w:rPr>
              <w:t>44</w:t>
            </w:r>
            <w:r w:rsidRPr="009F2503">
              <w:t xml:space="preserve"> i Uredbi (EZ) br. 595/2009 Europskog parlamenta i Vijeća („Euro</w:t>
            </w:r>
            <w:r w:rsidRPr="009F2503">
              <w:rPr>
                <w:b/>
                <w:i/>
              </w:rPr>
              <w:t> </w:t>
            </w:r>
            <w:r w:rsidRPr="009F2503">
              <w:t>VI.”)</w:t>
            </w:r>
            <w:r w:rsidRPr="009F2503">
              <w:rPr>
                <w:vertAlign w:val="superscript"/>
              </w:rPr>
              <w:t>45</w:t>
            </w:r>
            <w:r w:rsidRPr="009F2503">
              <w:t>.</w:t>
            </w:r>
          </w:p>
        </w:tc>
      </w:tr>
      <w:tr w:rsidR="00D00FC9" w:rsidRPr="009F2503" w:rsidTr="00605A38">
        <w:trPr>
          <w:jc w:val="center"/>
        </w:trPr>
        <w:tc>
          <w:tcPr>
            <w:tcW w:w="4876" w:type="dxa"/>
          </w:tcPr>
          <w:p w:rsidR="00D00FC9" w:rsidRPr="009F2503" w:rsidRDefault="00D00FC9" w:rsidP="00605A38">
            <w:pPr>
              <w:pStyle w:val="Normal6a"/>
            </w:pPr>
            <w:r w:rsidRPr="009F2503">
              <w:rPr>
                <w:b/>
                <w:i/>
              </w:rPr>
              <w:lastRenderedPageBreak/>
              <w:t>_________________</w:t>
            </w:r>
          </w:p>
        </w:tc>
        <w:tc>
          <w:tcPr>
            <w:tcW w:w="4876" w:type="dxa"/>
          </w:tcPr>
          <w:p w:rsidR="00D00FC9" w:rsidRPr="009F2503" w:rsidRDefault="00D00FC9" w:rsidP="00605A38">
            <w:pPr>
              <w:pStyle w:val="Normal6a"/>
            </w:pPr>
            <w:r w:rsidRPr="009F2503">
              <w:rPr>
                <w:b/>
                <w:i/>
              </w:rPr>
              <w:t>_________________</w:t>
            </w:r>
          </w:p>
        </w:tc>
      </w:tr>
      <w:tr w:rsidR="00D00FC9" w:rsidRPr="009F2503" w:rsidTr="00605A38">
        <w:trPr>
          <w:jc w:val="center"/>
        </w:trPr>
        <w:tc>
          <w:tcPr>
            <w:tcW w:w="4876" w:type="dxa"/>
          </w:tcPr>
          <w:p w:rsidR="00D00FC9" w:rsidRPr="009F2503" w:rsidRDefault="00D00FC9" w:rsidP="00605A38">
            <w:pPr>
              <w:pStyle w:val="Normal6a"/>
            </w:pPr>
            <w:r w:rsidRPr="009F2503">
              <w:rPr>
                <w:vertAlign w:val="superscript"/>
              </w:rPr>
              <w:t xml:space="preserve">44 </w:t>
            </w:r>
            <w:r w:rsidRPr="009F2503">
              <w:t>Uredba (EZ) br. 715/2007 Europskog parlamenta i Vijeća od 20. lipnja 2007. o homologaciji tipa motornih vozila u odnosu na emisije iz lakih osobnih i gospodarskih vozila (Euro 5 i Euro 6) i pristupu podacima za popravke i održavanje vozila (SL L 171, 29.6.2007., str. 1.).</w:t>
            </w:r>
          </w:p>
        </w:tc>
        <w:tc>
          <w:tcPr>
            <w:tcW w:w="4876" w:type="dxa"/>
          </w:tcPr>
          <w:p w:rsidR="00D00FC9" w:rsidRPr="009F2503" w:rsidRDefault="00D00FC9" w:rsidP="00605A38">
            <w:pPr>
              <w:pStyle w:val="Normal6a"/>
            </w:pPr>
            <w:r w:rsidRPr="009F2503">
              <w:rPr>
                <w:vertAlign w:val="superscript"/>
              </w:rPr>
              <w:t xml:space="preserve">44 </w:t>
            </w:r>
            <w:r w:rsidRPr="009F2503">
              <w:t>Uredba (EZ) br. 715/2007 Europskog parlamenta i Vijeća od 20. lipnja 2007. o homologaciji tipa motornih vozila u odnosu na emisije iz lakih osobnih i gospodarskih vozila (Euro 5 i Euro 6) i pristupu podacima za popravke i održavanje vozila (SL L 171, 29.6.2007., str. 1.).</w:t>
            </w:r>
          </w:p>
        </w:tc>
      </w:tr>
      <w:tr w:rsidR="00D00FC9" w:rsidRPr="009F2503" w:rsidTr="00605A38">
        <w:trPr>
          <w:jc w:val="center"/>
        </w:trPr>
        <w:tc>
          <w:tcPr>
            <w:tcW w:w="4876" w:type="dxa"/>
          </w:tcPr>
          <w:p w:rsidR="00D00FC9" w:rsidRPr="009F2503" w:rsidRDefault="00D00FC9" w:rsidP="00605A38">
            <w:pPr>
              <w:pStyle w:val="Normal6a"/>
            </w:pPr>
            <w:r w:rsidRPr="009F2503">
              <w:rPr>
                <w:vertAlign w:val="superscript"/>
              </w:rPr>
              <w:t xml:space="preserve">45 </w:t>
            </w:r>
            <w:r w:rsidRPr="009F2503">
              <w:t>Uredba (EZ) br. 595/2009 Europskog parlamenta i Vijeća od 18. lipnja 2009. o homologaciji motornih vozila i motora s obzirom na emisije iz teških vozila (Euro VI) i o pristupu informacijama za popravak i održavanje vozila i izmjenama Uredbe (EZ) br. 715/2007 i Direktive 2007/46/EZ i stavljanju izvan snage direktiva 80/1269/EEZ, 2005/55/EZ i 2005/78/EZ (SL L 188, 18.7.2009., str. 1.).</w:t>
            </w:r>
          </w:p>
        </w:tc>
        <w:tc>
          <w:tcPr>
            <w:tcW w:w="4876" w:type="dxa"/>
          </w:tcPr>
          <w:p w:rsidR="00D00FC9" w:rsidRPr="009F2503" w:rsidRDefault="00D00FC9" w:rsidP="00605A38">
            <w:pPr>
              <w:pStyle w:val="Normal6a"/>
            </w:pPr>
            <w:r w:rsidRPr="009F2503">
              <w:rPr>
                <w:vertAlign w:val="superscript"/>
              </w:rPr>
              <w:t xml:space="preserve">45 </w:t>
            </w:r>
            <w:r w:rsidRPr="009F2503">
              <w:t>Uredba (EZ) br. 595/2009 Europskog parlamenta i Vijeća od 18. lipnja 2009. o homologaciji motornih vozila i motora s obzirom na emisije iz teških vozila (Euro VI) i o pristupu informacijama za popravak i održavanje vozila i izmjenama Uredbe (EZ) br. 715/2007 i Direktive 2007/46/EZ i stavljanju izvan snage direktiva 80/1269/EEZ, 2005/55/EZ i 2005/78/EZ (SL L 188, 18.7.2009., str. 1.).</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(5)</w:t>
            </w:r>
            <w:r w:rsidRPr="009F2503">
              <w:tab/>
              <w:t xml:space="preserve">Uključivanjem zahtjeva utvrđenih u </w:t>
            </w:r>
            <w:r w:rsidRPr="009F2503">
              <w:lastRenderedPageBreak/>
              <w:t>Uredbi (EZ) br. 715/2007 i Uredbi (EZ) br. 595/2009 u jedinstvenu uredbu trebalo bi osigurati unutarnju usklađenost sustava homologacija s obzirom na emisije i za laka i za teška vozila te istodobno omogućiti različite granične vrijednosti emisija za takva vozila.</w:t>
            </w:r>
          </w:p>
        </w:tc>
        <w:tc>
          <w:tcPr>
            <w:tcW w:w="4876" w:type="dxa"/>
          </w:tcPr>
          <w:p w:rsidR="00D00FC9" w:rsidRPr="009F2503" w:rsidRDefault="00D00FC9" w:rsidP="00605A38">
            <w:pPr>
              <w:pStyle w:val="Normal6a"/>
            </w:pPr>
            <w:r w:rsidRPr="009F2503">
              <w:lastRenderedPageBreak/>
              <w:t>(5)</w:t>
            </w:r>
            <w:r w:rsidRPr="009F2503">
              <w:tab/>
              <w:t xml:space="preserve">Uključivanjem zahtjeva utvrđenih u </w:t>
            </w:r>
            <w:r w:rsidRPr="009F2503">
              <w:lastRenderedPageBreak/>
              <w:t xml:space="preserve">Uredbi (EZ) br. 715/2007 i Uredbi (EZ) br. 595/2009 u jedinstvenu uredbu trebalo bi osigurati unutarnju usklađenost sustava homologacija s obzirom na emisije i za laka i za teška vozila te istodobno omogućiti različite granične vrijednosti emisija </w:t>
            </w:r>
            <w:r w:rsidRPr="009F2503">
              <w:rPr>
                <w:b/>
                <w:i/>
              </w:rPr>
              <w:t xml:space="preserve">te pravila i uvjete ispitivanja </w:t>
            </w:r>
            <w:r w:rsidRPr="009F2503">
              <w:t>za takva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(7)</w:t>
            </w:r>
            <w:r w:rsidRPr="009F2503">
              <w:tab/>
              <w:t>Usto je potrebno smanjiti složenost, administrativne troškove i troškove provedbe za proizvođače i nadležna tijela te osigurati djelotvornu i učinkovitu provedbu emisijskih normi Euro. Pojednostavnjenje se postiže ukidanjem različitih datuma primjene za granične vrijednosti i ispitivanja</w:t>
            </w:r>
            <w:r w:rsidRPr="009F2503">
              <w:rPr>
                <w:b/>
                <w:i/>
              </w:rPr>
              <w:t xml:space="preserve"> koji su postojali u okviru normi Euro 6 i Euro VI.</w:t>
            </w:r>
            <w:r w:rsidRPr="009F2503">
              <w:t>, uklanjanjem višestrukih i složenih ispitivanja emisija ako takva ispitivanja nisu potrebna, prema potrebi upućivanjem na norme na temelju postojećih pravilnika UN-a te osiguravanjem pojednostavnjenog i dosljednog skupa postupaka i ispitivanja za razne faze homologacije s obzirom na emisije.</w:t>
            </w:r>
          </w:p>
        </w:tc>
        <w:tc>
          <w:tcPr>
            <w:tcW w:w="4876" w:type="dxa"/>
          </w:tcPr>
          <w:p w:rsidR="00D00FC9" w:rsidRPr="009F2503" w:rsidRDefault="00D00FC9" w:rsidP="00605A38">
            <w:pPr>
              <w:pStyle w:val="Normal6a"/>
            </w:pPr>
            <w:r w:rsidRPr="009F2503">
              <w:t>(7)</w:t>
            </w:r>
            <w:r w:rsidRPr="009F2503">
              <w:tab/>
              <w:t>Usto je potrebno smanjiti složenost, administrativne troškove i troškove provedbe za proizvođače i nadležna tijela te osigurati djelotvornu i učinkovitu provedbu emisijskih normi Euro. Pojednostavnjenje se postiže ukidanjem različitih datuma primjene za granične vrijednosti i ispitivanja, uklanjanjem višestrukih i složenih ispitivanja emisija ako takva ispitivanja nisu potrebna, prema potrebi upućivanjem na norme na temelju postojećih pravilnika UN-a te osiguravanjem pojednostavnjenog i dosljednog skupa postupaka i ispitivanja za razne faze homologacije s obzirom na emisije.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(8)</w:t>
            </w:r>
            <w:r w:rsidRPr="009F2503">
              <w:tab/>
              <w:t xml:space="preserve">Kako bi se osiguralo da su emisije za laka i teška vozila ograničene u stvarnim uvjetima, potrebno je ispitivanje vozila u stvarnim uvjetima uporabe s minimalnim skupom ograničenja, graničnih uvjeta i </w:t>
            </w:r>
            <w:r w:rsidRPr="009F2503">
              <w:lastRenderedPageBreak/>
              <w:t>drugih zahtjeva za vožnju</w:t>
            </w:r>
            <w:r w:rsidRPr="009F2503">
              <w:rPr>
                <w:b/>
                <w:i/>
              </w:rPr>
              <w:t>, a ne samo u laboratoriju</w:t>
            </w:r>
            <w:r w:rsidRPr="009F2503">
              <w:t>.</w:t>
            </w:r>
          </w:p>
        </w:tc>
        <w:tc>
          <w:tcPr>
            <w:tcW w:w="4876" w:type="dxa"/>
          </w:tcPr>
          <w:p w:rsidR="00D00FC9" w:rsidRPr="009F2503" w:rsidRDefault="00D00FC9" w:rsidP="00605A38">
            <w:pPr>
              <w:pStyle w:val="Normal6a"/>
            </w:pPr>
            <w:r w:rsidRPr="009F2503">
              <w:lastRenderedPageBreak/>
              <w:t>(8)</w:t>
            </w:r>
            <w:r w:rsidRPr="009F2503">
              <w:tab/>
              <w:t>Kako bi se osiguralo da su emisije za laka i teška vozila ograničene u stvarnim uvjetima, potrebno je ispitivanje vozila u stvarnim</w:t>
            </w:r>
            <w:r w:rsidRPr="009F2503">
              <w:rPr>
                <w:b/>
                <w:i/>
              </w:rPr>
              <w:t>, statistički relevantnim</w:t>
            </w:r>
            <w:r w:rsidRPr="009F2503">
              <w:t xml:space="preserve"> uvjetima uporabe s minimalnim skupom </w:t>
            </w:r>
            <w:r w:rsidRPr="009F2503">
              <w:lastRenderedPageBreak/>
              <w:t>ograničenja, graničnih uvjeta i drugih zahtjeva za vožnju</w:t>
            </w:r>
            <w:r w:rsidRPr="009F2503">
              <w:rPr>
                <w:b/>
                <w:i/>
              </w:rPr>
              <w:t>.</w:t>
            </w:r>
            <w:r w:rsidRPr="009F2503">
              <w:t xml:space="preserve"> </w:t>
            </w:r>
            <w:r w:rsidRPr="009F2503">
              <w:rPr>
                <w:b/>
                <w:i/>
              </w:rPr>
              <w:t>To ispitivanje na cesti trebalo bi se temeljiti na uobičajenoj vožnji i isključivati pristranu vožnju.</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(10)</w:t>
            </w:r>
            <w:r w:rsidRPr="009F2503">
              <w:tab/>
              <w:t xml:space="preserve">Uredbama (EZ) br. 715/2007 i (EZ) br. 595/2009 zahtijeva se da vozila poštuju granične vrijednosti emisija u određenom razdoblju, koje više ne odgovara prosječnom životnom vijeku vozila. Stoga je primjereno utvrditi zahtjeve za trajnost koji odražavaju </w:t>
            </w:r>
            <w:r w:rsidRPr="009F2503">
              <w:rPr>
                <w:b/>
                <w:i/>
              </w:rPr>
              <w:t xml:space="preserve">prosječni </w:t>
            </w:r>
            <w:r w:rsidRPr="009F2503">
              <w:t xml:space="preserve">očekivani životni vijek vozila </w:t>
            </w:r>
            <w:r w:rsidRPr="00EA726F">
              <w:rPr>
                <w:b/>
                <w:i/>
              </w:rPr>
              <w:t>u</w:t>
            </w:r>
            <w:r w:rsidRPr="009F2503">
              <w:t xml:space="preserve"> Uniji.</w:t>
            </w:r>
          </w:p>
        </w:tc>
        <w:tc>
          <w:tcPr>
            <w:tcW w:w="4876" w:type="dxa"/>
          </w:tcPr>
          <w:p w:rsidR="00D00FC9" w:rsidRPr="009F2503" w:rsidRDefault="00D00FC9" w:rsidP="00605A38">
            <w:pPr>
              <w:pStyle w:val="Normal6a"/>
            </w:pPr>
            <w:r w:rsidRPr="009F2503">
              <w:t>(10)</w:t>
            </w:r>
            <w:r w:rsidRPr="009F2503">
              <w:tab/>
              <w:t>Uredbama (EZ) br. 715/2007 i (EZ) br. 595/2009 zahtijeva se da vozila poštuju granične vrijednosti emisija u određenom razdoblju, koje više ne odgovara prosječnom životnom vijeku vozila. Stoga je primjereno utvrditi zahtjeve za trajnost koji odražavaju očekivani životni vijek vozila</w:t>
            </w:r>
            <w:r w:rsidRPr="009F2503">
              <w:rPr>
                <w:b/>
                <w:i/>
                <w:vertAlign w:val="superscript"/>
              </w:rPr>
              <w:t>1a</w:t>
            </w:r>
            <w:r w:rsidRPr="009F2503">
              <w:rPr>
                <w:b/>
                <w:i/>
              </w:rPr>
              <w:t xml:space="preserve"> i njihovu standardnu uporabu</w:t>
            </w:r>
            <w:r w:rsidRPr="009F2503">
              <w:t xml:space="preserve"> u </w:t>
            </w:r>
            <w:r w:rsidRPr="009F2503">
              <w:rPr>
                <w:b/>
                <w:i/>
              </w:rPr>
              <w:t xml:space="preserve">cijeloj </w:t>
            </w:r>
            <w:r w:rsidRPr="009F2503">
              <w:t>Uniji</w:t>
            </w:r>
            <w:r w:rsidRPr="009F2503">
              <w:rPr>
                <w:b/>
                <w:i/>
              </w:rPr>
              <w:t xml:space="preserve"> s obzirom na razlike među državama članicama.</w:t>
            </w:r>
            <w:r w:rsidRPr="009F2503">
              <w:t xml:space="preserve"> </w:t>
            </w:r>
            <w:r w:rsidRPr="009F2503">
              <w:rPr>
                <w:b/>
                <w:i/>
              </w:rPr>
              <w:t>To je osobito važno za kupce rabljenih vozila koji očekuju da će emisije vozila biti jednake kao u trenutku prvog stavljanja na tržište.</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i/>
              </w:rPr>
              <w:t>_________________</w:t>
            </w:r>
          </w:p>
        </w:tc>
      </w:tr>
      <w:tr w:rsidR="00D00FC9" w:rsidRPr="009F2503" w:rsidTr="00605A38">
        <w:trPr>
          <w:jc w:val="center"/>
        </w:trPr>
        <w:tc>
          <w:tcPr>
            <w:tcW w:w="4876" w:type="dxa"/>
          </w:tcPr>
          <w:p w:rsidR="00D00FC9" w:rsidRPr="009F2503" w:rsidRDefault="00D00FC9" w:rsidP="00605A38"/>
        </w:tc>
        <w:tc>
          <w:tcPr>
            <w:tcW w:w="4876" w:type="dxa"/>
          </w:tcPr>
          <w:p w:rsidR="00D00FC9" w:rsidRPr="009F2503" w:rsidRDefault="00D00FC9" w:rsidP="00605A38">
            <w:pPr>
              <w:pStyle w:val="Normal6a"/>
            </w:pPr>
            <w:r w:rsidRPr="009F2503">
              <w:rPr>
                <w:b/>
                <w:bCs/>
                <w:i/>
                <w:iCs/>
                <w:vertAlign w:val="superscript"/>
              </w:rPr>
              <w:t>1a</w:t>
            </w:r>
            <w:r w:rsidRPr="009F2503">
              <w:rPr>
                <w:vertAlign w:val="superscript"/>
              </w:rPr>
              <w:t xml:space="preserve"> </w:t>
            </w:r>
            <w:r w:rsidRPr="009F2503">
              <w:rPr>
                <w:b/>
                <w:i/>
              </w:rPr>
              <w:t>Udruženje europskih proizvođača automobila (ACEA), „</w:t>
            </w:r>
            <w:proofErr w:type="spellStart"/>
            <w:r w:rsidRPr="009F2503">
              <w:rPr>
                <w:b/>
                <w:i/>
              </w:rPr>
              <w:t>Vehicles</w:t>
            </w:r>
            <w:proofErr w:type="spellEnd"/>
            <w:r w:rsidRPr="009F2503">
              <w:rPr>
                <w:b/>
                <w:i/>
              </w:rPr>
              <w:t xml:space="preserve"> in Use, Europe 2022” (Izvješće o vozilima u uporabi u Europi 2022.)</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10.a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(10a)</w:t>
            </w:r>
            <w:r w:rsidRPr="009F2503">
              <w:tab/>
            </w:r>
            <w:r w:rsidRPr="009F2503">
              <w:rPr>
                <w:b/>
                <w:i/>
              </w:rPr>
              <w:t xml:space="preserve">Državama članicama preporučuje se da razviju i provedu strategije za poticanje obnove voznog parka kako bi se olakšao postupni prelazak europskog voznog parka na vozila sa smanjenim emisijama, čime se pridonosi čišćem i </w:t>
            </w:r>
            <w:r w:rsidRPr="009F2503">
              <w:rPr>
                <w:b/>
                <w:i/>
              </w:rPr>
              <w:lastRenderedPageBreak/>
              <w:t>održivijem prometnom ekosustavu.</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(11)</w:t>
            </w:r>
            <w:r w:rsidRPr="009F2503">
              <w:tab/>
              <w:t xml:space="preserve">Sad su dostupne i u uporabi širom svijeta tehnologije kojima se ograničavaju emisije nastale isparavanjem hlapivih organskih spojeva za vrijeme uporabe, parkiranja i dolijevanja benzinskoga goriva u vozilo. Stoga je primjereno </w:t>
            </w:r>
            <w:r w:rsidRPr="009F2503">
              <w:rPr>
                <w:b/>
                <w:i/>
              </w:rPr>
              <w:t>utvrditi</w:t>
            </w:r>
            <w:r w:rsidRPr="009F2503">
              <w:t xml:space="preserve"> niže granične vrijednosti emisija za takve hlapive organske spojeve i </w:t>
            </w:r>
            <w:r w:rsidRPr="009F2503">
              <w:rPr>
                <w:b/>
                <w:i/>
              </w:rPr>
              <w:t>uvesti</w:t>
            </w:r>
            <w:r w:rsidRPr="009F2503">
              <w:t xml:space="preserve"> granične vrijednosti emisija za fazu dolijevanja goriva.</w:t>
            </w:r>
          </w:p>
        </w:tc>
        <w:tc>
          <w:tcPr>
            <w:tcW w:w="4876" w:type="dxa"/>
          </w:tcPr>
          <w:p w:rsidR="00D00FC9" w:rsidRPr="009F2503" w:rsidRDefault="00D00FC9" w:rsidP="00605A38">
            <w:pPr>
              <w:pStyle w:val="Normal6a"/>
            </w:pPr>
            <w:r w:rsidRPr="009F2503">
              <w:t>(11)</w:t>
            </w:r>
            <w:r w:rsidRPr="009F2503">
              <w:tab/>
              <w:t xml:space="preserve">Sad su dostupne i u uporabi širom svijeta tehnologije kojima se ograničavaju emisije nastale isparavanjem hlapivih organskih spojeva za vrijeme uporabe, parkiranja i dolijevanja benzinskoga goriva u vozilo. </w:t>
            </w:r>
            <w:r w:rsidRPr="009F2503">
              <w:rPr>
                <w:b/>
                <w:i/>
              </w:rPr>
              <w:t xml:space="preserve">Te su tehnologije već dokazane i troškovno učinkovito se provode na drugim tržištima i u drugim regijama, </w:t>
            </w:r>
            <w:r w:rsidRPr="009F2503">
              <w:t xml:space="preserve">stoga je primjereno </w:t>
            </w:r>
            <w:r w:rsidRPr="009F2503">
              <w:rPr>
                <w:b/>
                <w:i/>
              </w:rPr>
              <w:t>da se Unija uskladi s drugim tržištima tako da utvrdi</w:t>
            </w:r>
            <w:r w:rsidRPr="009F2503">
              <w:t xml:space="preserve"> niže granične vrijednosti emisija za takve hlapive organske spojeve i </w:t>
            </w:r>
            <w:r w:rsidRPr="009F2503">
              <w:rPr>
                <w:b/>
                <w:i/>
              </w:rPr>
              <w:t>uvede</w:t>
            </w:r>
            <w:r w:rsidRPr="009F2503">
              <w:t xml:space="preserve"> granične vrijednosti emisija za fazu dolijevanja goriva.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w:t>
      </w:r>
    </w:p>
    <w:p w:rsidR="00D00FC9" w:rsidRPr="009F2503" w:rsidRDefault="00D00FC9" w:rsidP="00D00FC9">
      <w:pPr>
        <w:pStyle w:val="NormalBold12b"/>
      </w:pPr>
      <w:r w:rsidRPr="009F2503">
        <w:t>Prijedlog uredbe</w:t>
      </w:r>
    </w:p>
    <w:p w:rsidR="00D00FC9" w:rsidRPr="009F2503" w:rsidRDefault="00D00FC9" w:rsidP="00D00FC9">
      <w:pPr>
        <w:pStyle w:val="NormalBold"/>
      </w:pPr>
      <w:r w:rsidRPr="009F2503">
        <w:t>Uvodna izjava 11.a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(11a)</w:t>
            </w:r>
            <w:r w:rsidRPr="009F2503">
              <w:tab/>
            </w:r>
            <w:r w:rsidRPr="009F2503">
              <w:rPr>
                <w:b/>
                <w:i/>
              </w:rPr>
              <w:t>Za kontrolu emisija tijekom dolijevanja goriva na drugim je tržištima prije 15 godina u vozila uvedena rekuperacija para nastalih tijekom dolijevanja goriva, kojom se dokazano učinkovito prikupljaju benzinske pare.</w:t>
            </w:r>
            <w:r w:rsidRPr="009F2503">
              <w:t xml:space="preserve"> </w:t>
            </w:r>
            <w:r w:rsidRPr="009F2503">
              <w:rPr>
                <w:b/>
                <w:i/>
              </w:rPr>
              <w:t>Za održavanje visoke razine učinkovitosti kontrole para nastalih tijekom dolijevanja goriva pri takvoj rekuperaciji nisu potrebna godišnja održavanja ni pregledi, a ujedno je kompatibilna s aktualnim benzinskim postajama faze II.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(12)</w:t>
            </w:r>
            <w:r w:rsidRPr="009F2503">
              <w:tab/>
              <w:t xml:space="preserve">Emisije koje nisu iz ispuha sastoje se od čestica ispuštenih iz guma i kočnica vozila. Procjenjuje se da su emisije iz guma najveći izvor </w:t>
            </w:r>
            <w:proofErr w:type="spellStart"/>
            <w:r w:rsidRPr="009F2503">
              <w:t>mikroplastike</w:t>
            </w:r>
            <w:proofErr w:type="spellEnd"/>
            <w:r w:rsidRPr="009F2503">
              <w:t xml:space="preserve"> ispuštene u okoliš. Kako je prikazano u procjeni učinka, očekuje se da će do 2050. emisije koje nisu iz ispuha činiti do 90 % svih čestica iz cestovnog prometa jer će se zbog elektrifikacije vozila smanjiti razina ispušnih čestica. Stoga bi te emisije koje nisu iz ispuha trebalo mjeriti i ograničiti. Komisija bi </w:t>
            </w:r>
            <w:r w:rsidRPr="009F2503">
              <w:rPr>
                <w:b/>
                <w:i/>
              </w:rPr>
              <w:t>do</w:t>
            </w:r>
            <w:r w:rsidRPr="009F2503">
              <w:t xml:space="preserve"> kraja </w:t>
            </w:r>
            <w:r w:rsidRPr="009F2503">
              <w:rPr>
                <w:b/>
                <w:i/>
              </w:rPr>
              <w:t>2024</w:t>
            </w:r>
            <w:r w:rsidRPr="009F2503">
              <w:t xml:space="preserve">. trebala </w:t>
            </w:r>
            <w:r w:rsidRPr="009F2503">
              <w:rPr>
                <w:b/>
                <w:i/>
              </w:rPr>
              <w:t>sastaviti izvješće o</w:t>
            </w:r>
            <w:r w:rsidRPr="009F2503">
              <w:t xml:space="preserve"> abraziji guma </w:t>
            </w:r>
            <w:r w:rsidRPr="009F2503">
              <w:rPr>
                <w:b/>
                <w:i/>
              </w:rPr>
              <w:t>kako</w:t>
            </w:r>
            <w:r w:rsidRPr="009F2503">
              <w:t xml:space="preserve"> bi se </w:t>
            </w:r>
            <w:r w:rsidRPr="009F2503">
              <w:rPr>
                <w:b/>
                <w:i/>
              </w:rPr>
              <w:t>preispitale metode mjerenja i najsuvremenije metode</w:t>
            </w:r>
            <w:r w:rsidRPr="009F2503">
              <w:t xml:space="preserve"> te </w:t>
            </w:r>
            <w:r w:rsidRPr="009F2503">
              <w:rPr>
                <w:b/>
                <w:i/>
              </w:rPr>
              <w:t>predložile</w:t>
            </w:r>
            <w:r w:rsidRPr="009F2503">
              <w:t xml:space="preserve"> granične vrijednosti abrazije guma.</w:t>
            </w:r>
          </w:p>
        </w:tc>
        <w:tc>
          <w:tcPr>
            <w:tcW w:w="4876" w:type="dxa"/>
          </w:tcPr>
          <w:p w:rsidR="00D00FC9" w:rsidRPr="009F2503" w:rsidRDefault="00D00FC9" w:rsidP="00605A38">
            <w:pPr>
              <w:pStyle w:val="Normal6a"/>
            </w:pPr>
            <w:r w:rsidRPr="009F2503">
              <w:t>(12)</w:t>
            </w:r>
            <w:r w:rsidRPr="009F2503">
              <w:tab/>
              <w:t xml:space="preserve">Emisije koje nisu iz ispuha sastoje se od čestica ispuštenih iz guma i kočnica vozila. Procjenjuje se da su emisije iz guma najveći izvor </w:t>
            </w:r>
            <w:proofErr w:type="spellStart"/>
            <w:r w:rsidRPr="009F2503">
              <w:t>mikroplastike</w:t>
            </w:r>
            <w:proofErr w:type="spellEnd"/>
            <w:r w:rsidRPr="009F2503">
              <w:t xml:space="preserve"> ispuštene u okoliš. Kako je prikazano u procjeni učinka, očekuje se da će do 2050. emisije koje nisu iz ispuha činiti do 90 % svih čestica iz cestovnog prometa jer će se zbog elektrifikacije vozila smanjiti razina ispušnih čestica. Stoga bi te emisije koje nisu iz ispuha trebalo mjeriti i ograničiti. Komisija bi </w:t>
            </w:r>
            <w:r w:rsidRPr="009F2503">
              <w:rPr>
                <w:b/>
                <w:i/>
              </w:rPr>
              <w:t>prije</w:t>
            </w:r>
            <w:r w:rsidRPr="009F2503">
              <w:t xml:space="preserve"> kraja </w:t>
            </w:r>
            <w:r w:rsidRPr="009F2503">
              <w:rPr>
                <w:b/>
                <w:i/>
              </w:rPr>
              <w:t>2025</w:t>
            </w:r>
            <w:r w:rsidRPr="009F2503">
              <w:t xml:space="preserve">. trebala </w:t>
            </w:r>
            <w:r w:rsidRPr="009F2503">
              <w:rPr>
                <w:b/>
                <w:i/>
              </w:rPr>
              <w:t>preispitati mjerenje abrazije guma i definirati granične vrijednosti abrazije na temelju najsuvremenijih metoda u slučaju da se do sredine 2026. ne utvrde jedinstvene odredbe koje se odnose na rad na</w:t>
            </w:r>
            <w:r w:rsidRPr="009F2503">
              <w:t xml:space="preserve"> abraziji guma </w:t>
            </w:r>
            <w:r w:rsidRPr="009F2503">
              <w:rPr>
                <w:b/>
                <w:i/>
              </w:rPr>
              <w:t xml:space="preserve">u okviru UN-ove radne skupine WP.29. Komisija bi se trebala pobrinuti da UN-ova radna skupina WP.29 postigne svoje ciljeve pravodobno te da su te aktivnosti ambiciozne i utemeljene na čvrstim znanstvenim i tehničkim činjenicama. </w:t>
            </w:r>
            <w:r w:rsidRPr="009F2503">
              <w:rPr>
                <w:b/>
                <w:bCs/>
                <w:i/>
                <w:iCs/>
              </w:rPr>
              <w:t>To bi p</w:t>
            </w:r>
            <w:r w:rsidRPr="009F2503">
              <w:rPr>
                <w:b/>
                <w:i/>
              </w:rPr>
              <w:t xml:space="preserve">reispitivanje trebao biti popraćeno zakonodavnim prijedlogom za vozila s pogonskim baterijama, uključujući </w:t>
            </w:r>
            <w:proofErr w:type="spellStart"/>
            <w:r w:rsidRPr="009F2503">
              <w:rPr>
                <w:b/>
                <w:i/>
              </w:rPr>
              <w:t>punjiva</w:t>
            </w:r>
            <w:proofErr w:type="spellEnd"/>
            <w:r w:rsidRPr="009F2503">
              <w:rPr>
                <w:b/>
                <w:i/>
              </w:rPr>
              <w:t xml:space="preserve"> hibridna vozila i baterijska električna vozila, da se donesu</w:t>
            </w:r>
            <w:r w:rsidRPr="009F2503">
              <w:t xml:space="preserve"> granične vrijednosti abrazije guma</w:t>
            </w:r>
            <w:r w:rsidRPr="009F2503">
              <w:rPr>
                <w:b/>
                <w:i/>
              </w:rPr>
              <w:t xml:space="preserve"> koje su kompatibilne s </w:t>
            </w:r>
            <w:proofErr w:type="spellStart"/>
            <w:r w:rsidRPr="009F2503">
              <w:rPr>
                <w:b/>
                <w:i/>
              </w:rPr>
              <w:t>Unijinim</w:t>
            </w:r>
            <w:proofErr w:type="spellEnd"/>
            <w:r w:rsidRPr="009F2503">
              <w:rPr>
                <w:b/>
                <w:i/>
              </w:rPr>
              <w:t xml:space="preserve"> ciljevima smanjenja </w:t>
            </w:r>
            <w:proofErr w:type="spellStart"/>
            <w:r w:rsidRPr="009F2503">
              <w:rPr>
                <w:b/>
                <w:i/>
              </w:rPr>
              <w:t>mikroplastike</w:t>
            </w:r>
            <w:proofErr w:type="spellEnd"/>
            <w:r w:rsidRPr="009F2503">
              <w:rPr>
                <w:b/>
                <w:i/>
              </w:rPr>
              <w:t xml:space="preserve"> koja se ispušta u okoliš za 30 % do 2030. i u skladu s najnovijim zahtjevima u pogledu stopa abrazije</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lastRenderedPageBreak/>
              <w:t>(14)</w:t>
            </w:r>
            <w:r w:rsidRPr="009F2503">
              <w:tab/>
              <w:t xml:space="preserve">Vozila s pogonskim baterijama, uključujući </w:t>
            </w:r>
            <w:proofErr w:type="spellStart"/>
            <w:r w:rsidRPr="009F2503">
              <w:t>punjiva</w:t>
            </w:r>
            <w:proofErr w:type="spellEnd"/>
            <w:r w:rsidRPr="009F2503">
              <w:t xml:space="preserve"> hibridna vozila i baterijska električna vozila, pridonose </w:t>
            </w:r>
            <w:proofErr w:type="spellStart"/>
            <w:r w:rsidRPr="009F2503">
              <w:t>dekarbonizaciji</w:t>
            </w:r>
            <w:proofErr w:type="spellEnd"/>
            <w:r w:rsidRPr="009F2503">
              <w:t xml:space="preserve"> sektora cestovnog prometa. Kako bi se steklo i povećalo povjerenje potrošača u takva vozila, ona bi trebala biti učinkovita i trajna. Stoga je važno zahtijevati da pogonske baterije zadrže dobar dio svojeg prvobitnog kapaciteta nakon mnogo godina uporabe. To je osobito važno za kupce rabljenih električnih vozila kako bi se osiguralo da će vozilo nastaviti raditi u skladu s očekivanjima. Stoga bi za sva vozila u kojima se upotrebljavaju pogonske baterije trebalo zahtijevati uređaje za praćenje stanja baterija. Osim toga, trebalo bi uvesti minimalne zahtjeve radnog učinka za trajnost baterija osobnih automobila, uzimajući u obzir Globalni tehnički pravilnik UN-a br. 22</w:t>
            </w:r>
            <w:r w:rsidRPr="009F2503">
              <w:rPr>
                <w:vertAlign w:val="superscript"/>
              </w:rPr>
              <w:t>47</w:t>
            </w:r>
            <w:r w:rsidRPr="009F2503">
              <w:t>.</w:t>
            </w:r>
          </w:p>
        </w:tc>
        <w:tc>
          <w:tcPr>
            <w:tcW w:w="4876" w:type="dxa"/>
          </w:tcPr>
          <w:p w:rsidR="00D00FC9" w:rsidRPr="009F2503" w:rsidRDefault="00D00FC9" w:rsidP="00605A38">
            <w:pPr>
              <w:pStyle w:val="Normal6a"/>
            </w:pPr>
            <w:r w:rsidRPr="009F2503">
              <w:t>(14)</w:t>
            </w:r>
            <w:r w:rsidRPr="009F2503">
              <w:tab/>
              <w:t xml:space="preserve">Vozila s pogonskim baterijama, uključujući </w:t>
            </w:r>
            <w:proofErr w:type="spellStart"/>
            <w:r w:rsidRPr="009F2503">
              <w:t>punjiva</w:t>
            </w:r>
            <w:proofErr w:type="spellEnd"/>
            <w:r w:rsidRPr="009F2503">
              <w:t xml:space="preserve"> hibridna vozila i baterijska električna vozila, pridonose </w:t>
            </w:r>
            <w:proofErr w:type="spellStart"/>
            <w:r w:rsidRPr="009F2503">
              <w:t>dekarbonizaciji</w:t>
            </w:r>
            <w:proofErr w:type="spellEnd"/>
            <w:r w:rsidRPr="009F2503">
              <w:t xml:space="preserve"> sektora cestovnog prometa. Kako bi se steklo i povećalo povjerenje potrošača u takva vozila, ona bi trebala biti učinkovita i trajna. Stoga je važno zahtijevati da pogonske baterije zadrže dobar dio svojeg prvobitnog kapaciteta nakon mnogo godina uporabe. To je osobito važno za kupce rabljenih električnih vozila kako bi se osiguralo da će vozilo nastaviti raditi u skladu s očekivanjima. Stoga bi za sva vozila u kojima se upotrebljavaju pogonske baterije trebalo zahtijevati uređaje za praćenje stanja baterija. Osim toga, trebalo bi uvesti minimalne zahtjeve radnog učinka za trajnost baterija osobnih automobila</w:t>
            </w:r>
            <w:r w:rsidRPr="009F2503">
              <w:rPr>
                <w:b/>
                <w:i/>
              </w:rPr>
              <w:t xml:space="preserve"> i lakih gospodarskih vozila</w:t>
            </w:r>
            <w:r w:rsidRPr="009F2503">
              <w:t>, uzimajući u obzir Globalni tehnički pravilnik UN-a br. 22</w:t>
            </w:r>
            <w:r w:rsidRPr="009F2503">
              <w:rPr>
                <w:vertAlign w:val="superscript"/>
              </w:rPr>
              <w:t>47</w:t>
            </w:r>
            <w:r w:rsidRPr="009F2503">
              <w:t>.</w:t>
            </w:r>
          </w:p>
        </w:tc>
      </w:tr>
      <w:tr w:rsidR="00D00FC9" w:rsidRPr="009F2503" w:rsidTr="00605A38">
        <w:trPr>
          <w:jc w:val="center"/>
        </w:trPr>
        <w:tc>
          <w:tcPr>
            <w:tcW w:w="4876" w:type="dxa"/>
          </w:tcPr>
          <w:p w:rsidR="00D00FC9" w:rsidRPr="009F2503" w:rsidRDefault="00D00FC9" w:rsidP="00605A38">
            <w:pPr>
              <w:pStyle w:val="Normal6a"/>
            </w:pPr>
            <w:r w:rsidRPr="009F2503">
              <w:rPr>
                <w:b/>
                <w:i/>
              </w:rPr>
              <w:t>_________________</w:t>
            </w:r>
          </w:p>
        </w:tc>
        <w:tc>
          <w:tcPr>
            <w:tcW w:w="4876" w:type="dxa"/>
          </w:tcPr>
          <w:p w:rsidR="00D00FC9" w:rsidRPr="009F2503" w:rsidRDefault="00D00FC9" w:rsidP="00605A38">
            <w:pPr>
              <w:pStyle w:val="Normal6a"/>
            </w:pPr>
            <w:r w:rsidRPr="009F2503">
              <w:rPr>
                <w:b/>
                <w:i/>
              </w:rPr>
              <w:t>_________________</w:t>
            </w:r>
          </w:p>
        </w:tc>
      </w:tr>
      <w:tr w:rsidR="00D00FC9" w:rsidRPr="009F2503" w:rsidTr="00605A38">
        <w:trPr>
          <w:jc w:val="center"/>
        </w:trPr>
        <w:tc>
          <w:tcPr>
            <w:tcW w:w="4876" w:type="dxa"/>
          </w:tcPr>
          <w:p w:rsidR="00D00FC9" w:rsidRPr="009F2503" w:rsidRDefault="00D00FC9" w:rsidP="00605A38">
            <w:pPr>
              <w:pStyle w:val="Normal6a"/>
            </w:pPr>
            <w:r w:rsidRPr="009F2503">
              <w:rPr>
                <w:vertAlign w:val="superscript"/>
              </w:rPr>
              <w:t xml:space="preserve">47 </w:t>
            </w:r>
            <w:r w:rsidRPr="009F2503">
              <w:t>Globalni tehnički pravilnik Ujedinjenih naroda o trajnosti ugrađenih baterija za elektrificirana vozila, UN GTR br. 22.</w:t>
            </w:r>
          </w:p>
        </w:tc>
        <w:tc>
          <w:tcPr>
            <w:tcW w:w="4876" w:type="dxa"/>
          </w:tcPr>
          <w:p w:rsidR="00D00FC9" w:rsidRPr="009F2503" w:rsidRDefault="00D00FC9" w:rsidP="00605A38">
            <w:pPr>
              <w:pStyle w:val="Normal6a"/>
            </w:pPr>
            <w:r w:rsidRPr="009F2503">
              <w:rPr>
                <w:vertAlign w:val="superscript"/>
              </w:rPr>
              <w:t xml:space="preserve">47 </w:t>
            </w:r>
            <w:r w:rsidRPr="009F2503">
              <w:t>Globalni tehnički pravilnik Ujedinjenih naroda o trajnosti ugrađenih baterija za elektrificirana vozila, UN GTR br. 22.</w:t>
            </w:r>
          </w:p>
        </w:tc>
      </w:tr>
    </w:tbl>
    <w:p w:rsidR="004B1F05" w:rsidRPr="009F2503" w:rsidRDefault="004B1F05" w:rsidP="00D00FC9"/>
    <w:p w:rsidR="00D00FC9" w:rsidRPr="009F2503" w:rsidRDefault="00D00FC9" w:rsidP="00D00FC9">
      <w:pPr>
        <w:pStyle w:val="AmNumberTabs"/>
      </w:pPr>
      <w:r w:rsidRPr="009F2503">
        <w:t>Amandman</w:t>
      </w:r>
      <w:r w:rsidRPr="009F2503">
        <w:tab/>
      </w:r>
      <w:r w:rsidRPr="009F2503">
        <w:tab/>
        <w:t>17</w:t>
      </w:r>
    </w:p>
    <w:p w:rsidR="00D00FC9" w:rsidRPr="009F2503" w:rsidRDefault="00D00FC9" w:rsidP="00D00FC9">
      <w:pPr>
        <w:pStyle w:val="NormalBold12b"/>
      </w:pPr>
      <w:r w:rsidRPr="009F2503">
        <w:t>Prijedlog uredbe</w:t>
      </w:r>
    </w:p>
    <w:p w:rsidR="00D00FC9" w:rsidRPr="009F2503" w:rsidRDefault="00D00FC9" w:rsidP="00D00FC9">
      <w:pPr>
        <w:pStyle w:val="NormalBold"/>
      </w:pPr>
      <w:r w:rsidRPr="009F2503">
        <w:t>Uvodna izjava 14.a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(14a)</w:t>
            </w:r>
            <w:r w:rsidRPr="009F2503">
              <w:tab/>
            </w:r>
            <w:r w:rsidRPr="009F2503">
              <w:rPr>
                <w:b/>
                <w:i/>
              </w:rPr>
              <w:t>Za praćenje sukladnosti vozila s ovom Uredbom uređaji OBM, OBFCM ili SOH upotrebljavaju podatke koje generira vozilo.</w:t>
            </w:r>
            <w:r w:rsidRPr="009F2503">
              <w:t xml:space="preserve"> </w:t>
            </w:r>
            <w:r w:rsidRPr="009F2503">
              <w:rPr>
                <w:b/>
                <w:i/>
              </w:rPr>
              <w:t>Ti bi se podaci u skladu s Aktom o podacima trebali dijeliti s korisnicima vozila i njihovim pružateljima usluga kako bi korisnici vozila mogli imati koristi od savjeta i preporuka o tome kako ograničiti emisije vozila, njegovu potrošnju energije i produljiti vijek trajanja baterije poboljšanom uporabom vozila.</w:t>
            </w:r>
          </w:p>
        </w:tc>
      </w:tr>
    </w:tbl>
    <w:p w:rsidR="00D00FC9" w:rsidRPr="009F2503" w:rsidRDefault="00D00FC9" w:rsidP="00D00FC9">
      <w:pPr>
        <w:pStyle w:val="AmNumberTabs"/>
      </w:pPr>
      <w:r w:rsidRPr="009F2503">
        <w:t>Amandman</w:t>
      </w:r>
      <w:r w:rsidRPr="009F2503">
        <w:tab/>
      </w:r>
      <w:r w:rsidRPr="009F2503">
        <w:tab/>
        <w:t>18</w:t>
      </w:r>
    </w:p>
    <w:p w:rsidR="00D00FC9" w:rsidRPr="009F2503" w:rsidRDefault="00D00FC9" w:rsidP="00C108CE">
      <w:pPr>
        <w:pStyle w:val="NormalBold"/>
        <w:spacing w:before="240"/>
      </w:pPr>
      <w:r w:rsidRPr="009F2503">
        <w:lastRenderedPageBreak/>
        <w:t>Prijedlog uredbe</w:t>
      </w:r>
    </w:p>
    <w:p w:rsidR="00D00FC9" w:rsidRPr="009F2503" w:rsidRDefault="00D00FC9" w:rsidP="00D00FC9">
      <w:pPr>
        <w:pStyle w:val="NormalBold"/>
      </w:pPr>
      <w:r w:rsidRPr="009F2503">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(15)</w:t>
            </w:r>
            <w:r w:rsidRPr="009F2503">
              <w:tab/>
              <w:t>Nedopušteni zahvati na vozilima radi uklanjanja ili deaktiviranja dijelova sustava za kontrolu onečišćenja dobro su poznat problem. Takva praksa dovodi do nekontroliranih emisija i trebalo bi je spriječiti. Nedopušteni zahvati na brojaču kilometara dovode do lažne kilometraže i otežavaju pravilnu kontrolu vozila u uporabi. Stoga je iznimno važno zajamčiti najvišu moguću sigurnosnu zaštitu tih sustava, zajedno sa sigurnosnim certifikatima i odgovarajućom zaštitom od nedopuštenih zahvata kako bi se osiguralo da se takvi zahvati ne mogu izvoditi ni na sustavima za kontrolu onečišćenja ni na brojaču kilometara vozila.</w:t>
            </w:r>
          </w:p>
        </w:tc>
        <w:tc>
          <w:tcPr>
            <w:tcW w:w="4876" w:type="dxa"/>
          </w:tcPr>
          <w:p w:rsidR="004B1F05" w:rsidRPr="009F2503" w:rsidRDefault="00D00FC9" w:rsidP="004B1F05">
            <w:pPr>
              <w:pStyle w:val="Normal6a"/>
            </w:pPr>
            <w:r w:rsidRPr="009F2503">
              <w:t>(15)</w:t>
            </w:r>
            <w:r w:rsidRPr="009F2503">
              <w:tab/>
              <w:t>Nedopušteni zahvati na vozilima radi uklanjanja ili deaktiviranja dijelova sustava za kontrolu onečišćenja dobro su poznat problem. Takva praksa dovodi do nekontroliranih emisija i trebalo bi je spriječiti</w:t>
            </w:r>
            <w:r w:rsidRPr="009F2503">
              <w:rPr>
                <w:b/>
                <w:i/>
              </w:rPr>
              <w:t>, među ostalim mjerama za odvraćanje od oglašavanja, prodaje i ugradnje uređaja za nedopuštene zahvate, te sankcionirati</w:t>
            </w:r>
            <w:r w:rsidRPr="009F2503">
              <w:t>. Nedopušteni zahvati na brojaču kilometara dovode do lažne kilometraže i otežavaju pravilnu kontrolu vozila u uporabi. Stoga je iznimno važno zajamčiti najvišu moguću sigurnosnu zaštitu tih sustava, zajedno sa sigurnosnim certifikatima i odgovarajućom zaštitom od nedopuštenih zahvata kako bi se osiguralo da se takvi zahvati ne mogu izvoditi ni na sustavima za kontrolu onečišćenja ni na brojaču kilometara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(15a)</w:t>
            </w:r>
            <w:r w:rsidRPr="009F2503">
              <w:tab/>
            </w:r>
            <w:r w:rsidRPr="009F2503">
              <w:rPr>
                <w:b/>
                <w:i/>
              </w:rPr>
              <w:t>Kako mjere za zaštitu od nedopuštenih zahvata ne bi ometale tržišno natjecanje, ovom Uredbom i sekundarnim zakonodavstvom trebala bi se zadržati mogućnost da neovisni operateri razviju, distribuiraju, ugrade i pokrenu zamjenske rezervne dijelove. Proizvođači bi stoga neovisnim operaterima trebali osigurati pristup nužnim informacijama, alatima i postupcima za razvoj i ugradnju takvih zamjenskih dijelova.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20</w:t>
      </w:r>
    </w:p>
    <w:p w:rsidR="00D00FC9" w:rsidRPr="009F2503" w:rsidRDefault="00D00FC9" w:rsidP="00D00FC9">
      <w:pPr>
        <w:pStyle w:val="NormalBold12b"/>
      </w:pPr>
      <w:r w:rsidRPr="009F2503">
        <w:lastRenderedPageBreak/>
        <w:t>Prijedlog uredbe</w:t>
      </w:r>
    </w:p>
    <w:p w:rsidR="00D00FC9" w:rsidRPr="009F2503" w:rsidRDefault="00D00FC9" w:rsidP="00D00FC9">
      <w:pPr>
        <w:pStyle w:val="NormalBold"/>
      </w:pPr>
      <w:r w:rsidRPr="009F2503">
        <w:t>Uvodna izjava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(16)</w:t>
            </w:r>
            <w:r w:rsidRPr="009F2503">
              <w:tab/>
              <w:t xml:space="preserve">Senzori ugrađeni u vozila već se danas upotrebljavaju za otkrivanje nepravilnosti u emisijama i pokretanje povezanih popravaka s pomoću ugrađenog dijagnostičkog sustava (OBD). Međutim, OBD koji je trenutačno u uporabi ne otkriva točno i na vrijeme kvarove niti dovoljno i pravodobno </w:t>
            </w:r>
            <w:r w:rsidRPr="009F2503">
              <w:rPr>
                <w:b/>
                <w:i/>
              </w:rPr>
              <w:t>primorava</w:t>
            </w:r>
            <w:r w:rsidRPr="009F2503">
              <w:t xml:space="preserve"> na popravak. Zbog toga je moguće da vozila ispuštaju mnogo više emisija nego što im je dopušteno. Senzori koji su se dosad upotrebljavali za OBD također se mogu koristiti za kontinuirano praćenje i kontrolu ponašanja vozila u pogledu emisija putem ugrađenog sustava za praćenje (OBM). OBM će isto tako upozoriti korisnika na popravak motora ili sustava za kontrolu onečišćenja kad je to potrebno. Stoga je primjereno zahtijevati ugradnju takvog sustava i regulirati njegove tehničke zahtjeve.</w:t>
            </w:r>
          </w:p>
        </w:tc>
        <w:tc>
          <w:tcPr>
            <w:tcW w:w="4876" w:type="dxa"/>
          </w:tcPr>
          <w:p w:rsidR="00D00FC9" w:rsidRPr="009F2503" w:rsidRDefault="00D00FC9" w:rsidP="00605A38">
            <w:pPr>
              <w:pStyle w:val="Normal6a"/>
            </w:pPr>
            <w:r w:rsidRPr="009F2503">
              <w:t>(16)</w:t>
            </w:r>
            <w:r w:rsidRPr="009F2503">
              <w:tab/>
              <w:t xml:space="preserve">Senzori ugrađeni u vozila već se danas upotrebljavaju za otkrivanje nepravilnosti u emisijama i pokretanje povezanih popravaka s pomoću ugrađenog dijagnostičkog sustava (OBD). Međutim, OBD koji je trenutačno u uporabi ne otkriva točno i na vrijeme kvarove niti dovoljno i pravodobno </w:t>
            </w:r>
            <w:r w:rsidRPr="009F2503">
              <w:rPr>
                <w:b/>
                <w:i/>
              </w:rPr>
              <w:t>potiče</w:t>
            </w:r>
            <w:r w:rsidRPr="009F2503">
              <w:t xml:space="preserve"> na popravak. Zbog toga je moguće da vozila ispuštaju mnogo više emisija nego što im je dopušteno. Senzori koji su se dosad upotrebljavali za OBD također se mogu koristiti za kontinuirano praćenje i kontrolu ponašanja vozila u pogledu emisija </w:t>
            </w:r>
            <w:r w:rsidRPr="009F2503">
              <w:rPr>
                <w:b/>
                <w:i/>
              </w:rPr>
              <w:t xml:space="preserve">ispušnih plinova </w:t>
            </w:r>
            <w:r w:rsidRPr="009F2503">
              <w:t xml:space="preserve">putem ugrađenog sustava za praćenje (OBM). OBM će isto tako upozoriti korisnika na popravak motora ili sustava za kontrolu onečišćenja kad je to potrebno. Stoga je primjereno zahtijevati ugradnju takvog sustava i regulirati njegove tehničke zahtjeve. </w:t>
            </w:r>
            <w:r w:rsidRPr="009F2503">
              <w:rPr>
                <w:b/>
                <w:i/>
              </w:rPr>
              <w:t>Mjere prinude koje podrazumijevaju ti sustavi ne bi smjele ugroziti sigurnost prometa ili ograničiti kretanje.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(17)</w:t>
            </w:r>
            <w:r w:rsidRPr="009F2503">
              <w:tab/>
            </w:r>
            <w:r w:rsidRPr="009F2503">
              <w:rPr>
                <w:b/>
                <w:i/>
              </w:rPr>
              <w:t>Proizvođači mogu odlučiti proizvoditi vozila koja su u skladu s nižim graničnim vrijednostima emisija ili s boljom trajnošću baterije od one koja se zahtijeva ovom Uredbom ili koja uključuju napredne opcije, uključujući određivanje geografskih granica i adaptivne kontrole. Potrošači i nacionalna tijela trebali bi moći utvrditi takva vozila na temelju odgovarajuće dokumentacije.</w:t>
            </w:r>
            <w:r w:rsidRPr="009F2503">
              <w:t xml:space="preserve"> </w:t>
            </w:r>
            <w:r w:rsidRPr="009F2503">
              <w:rPr>
                <w:b/>
                <w:i/>
              </w:rPr>
              <w:t>Stoga</w:t>
            </w:r>
            <w:r w:rsidRPr="009F2503">
              <w:t xml:space="preserve"> bi trebalo staviti na raspolaganje</w:t>
            </w:r>
            <w:r w:rsidRPr="009F2503">
              <w:rPr>
                <w:b/>
                <w:i/>
              </w:rPr>
              <w:t xml:space="preserve"> </w:t>
            </w:r>
            <w:r w:rsidRPr="009F2503">
              <w:t xml:space="preserve">ekološku putovnicu vozila </w:t>
            </w:r>
            <w:r w:rsidRPr="009F2503">
              <w:lastRenderedPageBreak/>
              <w:t>(EVP).</w:t>
            </w:r>
          </w:p>
        </w:tc>
        <w:tc>
          <w:tcPr>
            <w:tcW w:w="4876" w:type="dxa"/>
          </w:tcPr>
          <w:p w:rsidR="00D00FC9" w:rsidRPr="009F2503" w:rsidRDefault="00D00FC9" w:rsidP="00605A38">
            <w:pPr>
              <w:pStyle w:val="Normal6a"/>
            </w:pPr>
            <w:r w:rsidRPr="009F2503">
              <w:lastRenderedPageBreak/>
              <w:t>(17)</w:t>
            </w:r>
            <w:r w:rsidRPr="009F2503">
              <w:tab/>
            </w:r>
            <w:r w:rsidRPr="009F2503">
              <w:rPr>
                <w:b/>
                <w:i/>
              </w:rPr>
              <w:t xml:space="preserve"> Potrošačima </w:t>
            </w:r>
            <w:r w:rsidRPr="009F2503">
              <w:t>bi trebalo staviti na raspolaganje</w:t>
            </w:r>
            <w:r w:rsidRPr="009F2503">
              <w:rPr>
                <w:b/>
                <w:i/>
              </w:rPr>
              <w:t xml:space="preserve"> ažuriranu </w:t>
            </w:r>
            <w:r w:rsidRPr="009F2503">
              <w:t>ekološku putovnicu vozila (EVP)</w:t>
            </w:r>
            <w:r w:rsidRPr="009F2503">
              <w:rPr>
                <w:b/>
                <w:i/>
              </w:rPr>
              <w:t xml:space="preserve"> kako bi tijekom životnog vijeka vozila mogli primati ažurirane informacije o potrošnji goriva, stanju baterija</w:t>
            </w:r>
            <w:r w:rsidRPr="009F2503">
              <w:t xml:space="preserve">, </w:t>
            </w:r>
            <w:r w:rsidRPr="009F2503">
              <w:rPr>
                <w:b/>
                <w:i/>
              </w:rPr>
              <w:t>graničnim vrijednostima emisija</w:t>
            </w:r>
            <w:r w:rsidRPr="009F2503">
              <w:t xml:space="preserve"> i </w:t>
            </w:r>
            <w:r w:rsidRPr="009F2503">
              <w:rPr>
                <w:b/>
                <w:i/>
              </w:rPr>
              <w:t>rezultatima periodičnih tehničkih pregleda te podatke o tehničkoj ispravnosti i druge relevantne informacije</w:t>
            </w:r>
            <w:r w:rsidRPr="009F2503">
              <w:t>.</w:t>
            </w:r>
            <w:r w:rsidRPr="009F2503">
              <w:rPr>
                <w:b/>
                <w:i/>
              </w:rPr>
              <w:t xml:space="preserve"> </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22</w:t>
      </w:r>
    </w:p>
    <w:p w:rsidR="00D00FC9" w:rsidRPr="009F2503" w:rsidRDefault="00D00FC9" w:rsidP="00D00FC9">
      <w:pPr>
        <w:pStyle w:val="NormalBold12b"/>
      </w:pPr>
      <w:r w:rsidRPr="009F2503">
        <w:t>Prijedlog uredbe</w:t>
      </w:r>
    </w:p>
    <w:p w:rsidR="00D00FC9" w:rsidRPr="009F2503" w:rsidRDefault="00D00FC9" w:rsidP="00D00FC9">
      <w:pPr>
        <w:pStyle w:val="NormalBold"/>
      </w:pPr>
      <w:r w:rsidRPr="009F2503">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(18)</w:t>
            </w:r>
            <w:r w:rsidRPr="009F2503">
              <w:tab/>
            </w:r>
            <w:r w:rsidRPr="009F2503">
              <w:rPr>
                <w:b/>
                <w:i/>
              </w:rPr>
              <w:t>Ako Komisija iznese prijedlog za registraciju novih lakih vozila nakon 2035. s pogonom isključivo na goriva neutralna u pogledu CO2 izvan područja primjene normi CO2 za vozni park i u skladu s pravom Unije i ciljem klimatske neutralnosti EU-a, ovu će Uredbu trebati izmijeniti kako bi se uključila mogućnost homologacije tipa takvih vozila.</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(19)</w:t>
            </w:r>
            <w:r w:rsidRPr="009F2503">
              <w:tab/>
              <w:t xml:space="preserve">Emisije iz vozila koja prodaju mali proizvođači neznatan su udio emisija u Uniji. Stoga se za takve proizvođače može dopustiti određena fleksibilnost u nekim zahtjevima. Mali proizvođači stoga bi trebali moći zamijeniti određena ispitivanja za vrijeme homologacije izjavama o sukladnosti, dok bi vrlo malim proizvođačima trebalo dopustiti da upotrebljavaju laboratorijska ispitivanja koja se temelje na </w:t>
            </w:r>
            <w:r w:rsidRPr="009F2503">
              <w:rPr>
                <w:b/>
                <w:i/>
              </w:rPr>
              <w:t>nasumičnim</w:t>
            </w:r>
            <w:r w:rsidRPr="009F2503">
              <w:t xml:space="preserve"> stvarnim voznim ciklusima.</w:t>
            </w:r>
          </w:p>
        </w:tc>
        <w:tc>
          <w:tcPr>
            <w:tcW w:w="4876" w:type="dxa"/>
          </w:tcPr>
          <w:p w:rsidR="00D00FC9" w:rsidRPr="009F2503" w:rsidRDefault="00D00FC9" w:rsidP="00605A38">
            <w:pPr>
              <w:pStyle w:val="Normal6a"/>
            </w:pPr>
            <w:r w:rsidRPr="009F2503">
              <w:t>(19)</w:t>
            </w:r>
            <w:r w:rsidRPr="009F2503">
              <w:tab/>
              <w:t xml:space="preserve">Emisije iz vozila koja prodaju mali proizvođači neznatan su udio emisija u Uniji. Stoga se za takve proizvođače može dopustiti određena fleksibilnost u nekim zahtjevima. Mali proizvođači stoga bi trebali moći zamijeniti određena ispitivanja za vrijeme homologacije izjavama o sukladnosti, dok bi vrlo malim proizvođačima trebalo dopustiti da upotrebljavaju laboratorijska ispitivanja koja se temelje na </w:t>
            </w:r>
            <w:r w:rsidRPr="009F2503">
              <w:rPr>
                <w:b/>
                <w:i/>
              </w:rPr>
              <w:t>statistički relevantnim</w:t>
            </w:r>
            <w:r w:rsidRPr="009F2503">
              <w:t xml:space="preserve"> stvarnim voznim ciklusima.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20.a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(20a)</w:t>
            </w:r>
            <w:r w:rsidRPr="009F2503">
              <w:tab/>
            </w:r>
            <w:r w:rsidRPr="009F2503">
              <w:rPr>
                <w:b/>
                <w:i/>
              </w:rPr>
              <w:t>Iako se pojam „zdravlje” (SOH) obično primjenjuje na zdravlje baterije u određenom trenutku njezina životna vijeka, taj pojam nije zajednički definiran i određen je različitim metodologijama: „stanjem certificirane energije” (SOCE) i „stanjem certificirane autonomije” (SOCR). Oba parametra predstavljaju postotak certificirane energije baterije ili autonomije na električni pogon koji preostaje u određenom trenutku.</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(21)</w:t>
            </w:r>
            <w:r w:rsidRPr="009F2503">
              <w:tab/>
              <w:t xml:space="preserve">Radi osiguranja jedinstvenih uvjeta za provedbu ove Uredbe Komisiji bi trebalo dodijeliti provedbene ovlasti u vezi s obvezama proizvođača u okviru homologacije i postupaka, ispitivanja i metodologija koje treba primjenjivati za izjavu o sukladnosti, provjeru sukladnosti proizvodnje, provjeru sukladnosti u uporabi i ekološku putovnicu vozila (EVP); mogućnostima </w:t>
            </w:r>
            <w:r w:rsidRPr="009F2503">
              <w:rPr>
                <w:b/>
                <w:i/>
              </w:rPr>
              <w:t xml:space="preserve">i oznakama </w:t>
            </w:r>
            <w:r w:rsidRPr="009F2503">
              <w:t xml:space="preserve">vozila; zahtjevima, ispitivanjima, metodama i korektivnim mjerama koje se odnose na trajnost vozila, sustava, sastavnih dijelova i zasebnih tehničkih jedinica, kao i na sposobnost registracije i komunikacije OBM-a, među ostalim za potrebe periodičnih tehničkih pregleda i pregleda tehničke ispravnosti; zahtjevima i informacijama koje moraju dostaviti </w:t>
            </w:r>
            <w:r w:rsidRPr="009F2503">
              <w:rPr>
                <w:b/>
                <w:i/>
              </w:rPr>
              <w:t>proizvođači</w:t>
            </w:r>
            <w:r w:rsidRPr="009F2503">
              <w:t xml:space="preserve"> vozila s </w:t>
            </w:r>
            <w:proofErr w:type="spellStart"/>
            <w:r w:rsidRPr="009F2503">
              <w:t>višestupanjskom</w:t>
            </w:r>
            <w:proofErr w:type="spellEnd"/>
            <w:r w:rsidRPr="009F2503">
              <w:t xml:space="preserve"> homologacijom, kao i postupcima za utvrđivanje vrijednosti CO</w:t>
            </w:r>
            <w:r w:rsidRPr="009F2503">
              <w:rPr>
                <w:vertAlign w:val="subscript"/>
              </w:rPr>
              <w:t>2</w:t>
            </w:r>
            <w:r w:rsidRPr="009F2503">
              <w:t xml:space="preserve"> za ta </w:t>
            </w:r>
            <w:proofErr w:type="spellStart"/>
            <w:r w:rsidRPr="009F2503">
              <w:t>višestupanjska</w:t>
            </w:r>
            <w:proofErr w:type="spellEnd"/>
            <w:r w:rsidRPr="009F2503">
              <w:t xml:space="preserve"> vozila; tehničkim elementima, administrativnim zahtjevima i zahtjevima za dokumentaciju za homologaciju s obzirom na emisije, provjerama, pregledima i provjerama nadzora tržišta, kao i obvezama izvješćivanja te provjerama sukladnosti u </w:t>
            </w:r>
            <w:r w:rsidRPr="009F2503">
              <w:lastRenderedPageBreak/>
              <w:t>uporabi i sukladnosti proizvodnje; metodama i ispitivanjima za i. mjerenje emisija ispušnih plinova u laboratoriju i na cesti, uključujući nasumične</w:t>
            </w:r>
            <w:r w:rsidRPr="009F2503">
              <w:rPr>
                <w:b/>
                <w:i/>
              </w:rPr>
              <w:t xml:space="preserve"> i najnepovoljnije</w:t>
            </w:r>
            <w:r w:rsidRPr="009F2503">
              <w:t xml:space="preserve"> ispitne cikluse RDE-a, uporabu prijenosnih sustava za mjerenje emisija za provjeru stvarnih emisija tijekom vožnje i emisija u praznom hodu, ii. utvrđivanje emisija CO</w:t>
            </w:r>
            <w:r w:rsidRPr="009F2503">
              <w:rPr>
                <w:vertAlign w:val="subscript"/>
              </w:rPr>
              <w:t>2</w:t>
            </w:r>
            <w:r w:rsidRPr="009F2503">
              <w:t>, potrošnje goriva i energije, autonomije na električni pogon i snage motora motornog vozila, iii. pružanje specifikacija za indikator promjene stupnja prijenosa (GSI), iv. utvrđivanje učinka prikolica kategorija O</w:t>
            </w:r>
            <w:r w:rsidRPr="009F2503">
              <w:rPr>
                <w:vertAlign w:val="subscript"/>
              </w:rPr>
              <w:t>3</w:t>
            </w:r>
            <w:r w:rsidRPr="009F2503">
              <w:t xml:space="preserve"> i O</w:t>
            </w:r>
            <w:r w:rsidRPr="009F2503">
              <w:rPr>
                <w:vertAlign w:val="subscript"/>
              </w:rPr>
              <w:t>4</w:t>
            </w:r>
            <w:r w:rsidRPr="009F2503">
              <w:t xml:space="preserve"> s obzirom na emisije CO</w:t>
            </w:r>
            <w:r w:rsidRPr="009F2503">
              <w:rPr>
                <w:vertAlign w:val="subscript"/>
              </w:rPr>
              <w:t>2</w:t>
            </w:r>
            <w:r w:rsidRPr="009F2503">
              <w:t xml:space="preserve">, potrošnju goriva i energije, autonomiju na električni pogon i snagu motora motornog vozila, iv. mjerenje emisija iz kućišta koljenastog vratila, emisija nastalih isparavanjem i emisija iz kočnica, v. ocjenjivanje usklađenosti s minimalnim zahtjevima radnog učinka za trajnost baterije, vi. ocjenjivanje sukladnosti motora i vozila u uporabi; pragove usklađenosti i zahtjeve radnog učinka, kao i vii. ispitivanja i metode kojima se osigurava rad senzora </w:t>
            </w:r>
            <w:r w:rsidRPr="009F2503">
              <w:rPr>
                <w:b/>
                <w:i/>
              </w:rPr>
              <w:t>(</w:t>
            </w:r>
            <w:r w:rsidRPr="009F2503">
              <w:t>OBD i OBM</w:t>
            </w:r>
            <w:r w:rsidRPr="009F2503">
              <w:rPr>
                <w:b/>
                <w:i/>
              </w:rPr>
              <w:t>)</w:t>
            </w:r>
            <w:r w:rsidRPr="009F2503">
              <w:t xml:space="preserve">; viii. metode za osiguravanje i procjenu sigurnosnih mjera; specifikacije i karakteristike sustava za upozoravanje vozača i metoda prinude te ocjenjivanje njihova ispravnog rada; ix. metode za procjenu ispravnog rada, djelotvornosti, regeneracije i trajnosti originalnih i zamjenskih sustava za kontrolu onečišćenja; x. metode za osiguravanje i procjenu sigurnosnih mjera, uključujući analizu ranjivosti i zaštitu od nedopuštenih zahvata; </w:t>
            </w:r>
            <w:r w:rsidRPr="009F2503">
              <w:rPr>
                <w:b/>
                <w:i/>
              </w:rPr>
              <w:t xml:space="preserve">xi. metode za ocjenjivanje ispravnog funkcioniranja tipova odobrenih na temelju posebnih oznaka EURO7; </w:t>
            </w:r>
            <w:r w:rsidRPr="009F2503">
              <w:t xml:space="preserve">xii. kriterije za homologacije s obzirom na emisije za male i vrlo male proizvođače; xiii. provjere i ispitne postupke za </w:t>
            </w:r>
            <w:proofErr w:type="spellStart"/>
            <w:r w:rsidRPr="009F2503">
              <w:t>višestupanjsku</w:t>
            </w:r>
            <w:proofErr w:type="spellEnd"/>
            <w:r w:rsidRPr="009F2503">
              <w:t xml:space="preserve"> homologaciju; xiv. zahtjeve u pogledu radnog učinka ispitne opreme; xv. specifikacije referentnih goriva; i xvi. metode za procjenu nepostojanja </w:t>
            </w:r>
            <w:proofErr w:type="spellStart"/>
            <w:r w:rsidRPr="009F2503">
              <w:t>poremećajnih</w:t>
            </w:r>
            <w:proofErr w:type="spellEnd"/>
            <w:r w:rsidRPr="009F2503">
              <w:t xml:space="preserve"> uređaja i </w:t>
            </w:r>
            <w:proofErr w:type="spellStart"/>
            <w:r w:rsidRPr="009F2503">
              <w:t>poremećajnih</w:t>
            </w:r>
            <w:proofErr w:type="spellEnd"/>
            <w:r w:rsidRPr="009F2503">
              <w:t xml:space="preserve"> strategija; xvii. metode za mjerenje </w:t>
            </w:r>
            <w:r w:rsidRPr="009F2503">
              <w:lastRenderedPageBreak/>
              <w:t xml:space="preserve">abrazije guma, kao i xviii. format EVP-a, podatke i metode slanja podataka EVP-a. </w:t>
            </w:r>
            <w:r w:rsidRPr="009F2503">
              <w:rPr>
                <w:b/>
                <w:i/>
              </w:rPr>
              <w:t>Te bi se ovlasti trebale izvršavati u skladu s Uredbom (EU) br. 182/2011 Europskog parlamenta i Vijeća</w:t>
            </w:r>
            <w:r w:rsidRPr="009F2503">
              <w:rPr>
                <w:b/>
                <w:i/>
                <w:vertAlign w:val="superscript"/>
              </w:rPr>
              <w:t>50</w:t>
            </w:r>
            <w:r w:rsidRPr="009F2503">
              <w:rPr>
                <w:b/>
                <w:i/>
              </w:rPr>
              <w:t>.</w:t>
            </w:r>
          </w:p>
        </w:tc>
        <w:tc>
          <w:tcPr>
            <w:tcW w:w="4876" w:type="dxa"/>
          </w:tcPr>
          <w:p w:rsidR="00D00FC9" w:rsidRPr="009F2503" w:rsidRDefault="00D00FC9" w:rsidP="00605A38">
            <w:pPr>
              <w:pStyle w:val="Normal6a"/>
            </w:pPr>
            <w:r w:rsidRPr="009F2503">
              <w:lastRenderedPageBreak/>
              <w:t>(21)</w:t>
            </w:r>
            <w:r w:rsidRPr="009F2503">
              <w:tab/>
              <w:t xml:space="preserve">Radi osiguranja jedinstvenih uvjeta za provedbu ove Uredbe </w:t>
            </w:r>
            <w:r w:rsidRPr="009F2503">
              <w:rPr>
                <w:b/>
                <w:i/>
              </w:rPr>
              <w:t xml:space="preserve">i radi njezine dopune </w:t>
            </w:r>
            <w:r w:rsidRPr="009F2503">
              <w:t>Komisiji bi trebalo dodijeliti</w:t>
            </w:r>
            <w:r w:rsidRPr="009F2503">
              <w:rPr>
                <w:b/>
                <w:i/>
              </w:rPr>
              <w:t xml:space="preserve"> i</w:t>
            </w:r>
            <w:r w:rsidRPr="009F2503">
              <w:t xml:space="preserve"> provedbene ovlasti u </w:t>
            </w:r>
            <w:r w:rsidRPr="009F2503">
              <w:rPr>
                <w:b/>
                <w:i/>
              </w:rPr>
              <w:t xml:space="preserve">skladu s Uredbom (EU) br. 182/2011 i ovlast za donošenje delegiranih akata u skladu s člankom 290. Ugovora o funkcioniranju Europske unije u </w:t>
            </w:r>
            <w:r w:rsidRPr="009F2503">
              <w:t xml:space="preserve">vezi s obvezama proizvođača u okviru homologacije i postupaka, ispitivanja i metodologija koje treba primjenjivati za izjavu o sukladnosti, provjeru sukladnosti proizvodnje, provjeru sukladnosti u uporabi i ekološku putovnicu vozila (EVP); mogućnostima vozila; zahtjevima, ispitivanjima, metodama i korektivnim mjerama koje se odnose na trajnost vozila, sustava, sastavnih dijelova i zasebnih tehničkih jedinica, kao i na sposobnost registracije i komunikacije OBM-a, među ostalim za potrebe periodičnih tehničkih pregleda i pregleda tehničke ispravnosti; zahtjevima i informacijama koje </w:t>
            </w:r>
            <w:r w:rsidRPr="009F2503">
              <w:rPr>
                <w:b/>
                <w:i/>
              </w:rPr>
              <w:t xml:space="preserve">se </w:t>
            </w:r>
            <w:r w:rsidRPr="009F2503">
              <w:t xml:space="preserve">moraju dostaviti </w:t>
            </w:r>
            <w:r w:rsidRPr="009F2503">
              <w:rPr>
                <w:b/>
                <w:i/>
              </w:rPr>
              <w:t>za</w:t>
            </w:r>
            <w:r w:rsidRPr="009F2503">
              <w:t xml:space="preserve"> vozila s </w:t>
            </w:r>
            <w:proofErr w:type="spellStart"/>
            <w:r w:rsidRPr="009F2503">
              <w:t>višestupanjskom</w:t>
            </w:r>
            <w:proofErr w:type="spellEnd"/>
            <w:r w:rsidRPr="009F2503">
              <w:t xml:space="preserve"> homologacijom, kao i postupcima za utvrđivanje vrijednosti CO</w:t>
            </w:r>
            <w:r w:rsidRPr="009F2503">
              <w:rPr>
                <w:vertAlign w:val="subscript"/>
              </w:rPr>
              <w:t>2</w:t>
            </w:r>
            <w:r w:rsidRPr="009F2503">
              <w:t xml:space="preserve"> za ta </w:t>
            </w:r>
            <w:proofErr w:type="spellStart"/>
            <w:r w:rsidRPr="009F2503">
              <w:t>višestupanjska</w:t>
            </w:r>
            <w:proofErr w:type="spellEnd"/>
            <w:r w:rsidRPr="009F2503">
              <w:t xml:space="preserve"> vozila; tehničkim elementima, administrativnim zahtjevima i zahtjevima za dokumentaciju za homologaciju s obzirom na emisije, </w:t>
            </w:r>
            <w:r w:rsidRPr="009F2503">
              <w:lastRenderedPageBreak/>
              <w:t>provjerama, pregledima i provjerama nadzora tržišta, kao i obvezama izvješćivanja te provjerama sukladnosti u uporabi i sukladnosti proizvodnje; metodama i ispitivanjima za i. mjerenje emisija ispušnih plinova u laboratoriju i na cesti, uključujući nasumične</w:t>
            </w:r>
            <w:r w:rsidRPr="009F2503">
              <w:rPr>
                <w:b/>
                <w:i/>
              </w:rPr>
              <w:t>, ali statistički relevantne</w:t>
            </w:r>
            <w:r w:rsidRPr="009F2503">
              <w:t xml:space="preserve"> ispitne cikluse RDE-a, uporabu prijenosnih sustava za mjerenje emisija za provjeru stvarnih emisija tijekom vožnje i emisija u praznom hodu, ii. utvrđivanje emisija CO</w:t>
            </w:r>
            <w:r w:rsidRPr="009F2503">
              <w:rPr>
                <w:vertAlign w:val="subscript"/>
              </w:rPr>
              <w:t>2</w:t>
            </w:r>
            <w:r w:rsidRPr="009F2503">
              <w:t>, potrošnje goriva i energije, autonomije na električni pogon i snage motora motornog vozila, iii. pružanje specifikacija za indikator promjene stupnja prijenosa (GSI), iv. utvrđivanje učinka prikolica kategorija O</w:t>
            </w:r>
            <w:r w:rsidRPr="009F2503">
              <w:rPr>
                <w:vertAlign w:val="subscript"/>
              </w:rPr>
              <w:t>3</w:t>
            </w:r>
            <w:r w:rsidRPr="009F2503">
              <w:t xml:space="preserve"> i O</w:t>
            </w:r>
            <w:r w:rsidRPr="009F2503">
              <w:rPr>
                <w:vertAlign w:val="subscript"/>
              </w:rPr>
              <w:t>4</w:t>
            </w:r>
            <w:r w:rsidRPr="009F2503">
              <w:t xml:space="preserve"> s obzirom na emisije CO</w:t>
            </w:r>
            <w:r w:rsidRPr="009F2503">
              <w:rPr>
                <w:vertAlign w:val="subscript"/>
              </w:rPr>
              <w:t>2</w:t>
            </w:r>
            <w:r w:rsidRPr="009F2503">
              <w:t xml:space="preserve">, potrošnju goriva i energije, autonomiju na električni pogon i snagu motora motornog vozila, iv. mjerenje emisija iz kućišta koljenastog vratila, emisija nastalih isparavanjem i emisija iz kočnica, v. ocjenjivanje usklađenosti s minimalnim zahtjevima radnog učinka za trajnost baterije, vi. ocjenjivanje sukladnosti motora i vozila u uporabi; pragove usklađenosti i zahtjeve radnog učinka, kao i vii. ispitivanja i metode kojima se osigurava rad senzora OBD i OBM; viii. metode za osiguravanje i procjenu sigurnosnih mjera; specifikacije i karakteristike sustava za upozoravanje vozača i metoda prinude te ocjenjivanje njihova ispravnog rada; ix. metode za procjenu ispravnog rada, djelotvornosti, regeneracije i trajnosti originalnih i zamjenskih sustava za kontrolu onečišćenja; x. metode za osiguravanje i procjenu sigurnosnih mjera, uključujući analizu ranjivosti i zaštitu od nedopuštenih zahvata; xii. kriterije za homologacije s obzirom na emisije za male i vrlo male proizvođače; xiii. provjere i ispitne postupke za </w:t>
            </w:r>
            <w:proofErr w:type="spellStart"/>
            <w:r w:rsidRPr="009F2503">
              <w:t>višestupanjsku</w:t>
            </w:r>
            <w:proofErr w:type="spellEnd"/>
            <w:r w:rsidRPr="009F2503">
              <w:t xml:space="preserve"> homologaciju; xiv. zahtjeve u pogledu radnog učinka ispitne opreme; xv. specifikacije referentnih goriva; i xvi. metode za procjenu nepostojanja </w:t>
            </w:r>
            <w:proofErr w:type="spellStart"/>
            <w:r w:rsidRPr="009F2503">
              <w:t>poremećajnih</w:t>
            </w:r>
            <w:proofErr w:type="spellEnd"/>
            <w:r w:rsidRPr="009F2503">
              <w:t xml:space="preserve"> uređaja i </w:t>
            </w:r>
            <w:proofErr w:type="spellStart"/>
            <w:r w:rsidRPr="009F2503">
              <w:t>poremećajnih</w:t>
            </w:r>
            <w:proofErr w:type="spellEnd"/>
            <w:r w:rsidRPr="009F2503">
              <w:t xml:space="preserve"> strategija; xvii. metode za mjerenje abrazije guma, kao i </w:t>
            </w:r>
            <w:r w:rsidRPr="009F2503">
              <w:lastRenderedPageBreak/>
              <w:t>xviii. format EVP-a, podatke i metode slanja podataka EVP-a.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(22)</w:t>
            </w:r>
            <w:r w:rsidRPr="009F2503">
              <w:tab/>
              <w:t xml:space="preserve">Kako bi se prema potrebi izmijenili ili dopunili elementi ove Uredbe koji nisu ključni, Komisiji bi trebalo delegirati ovlast za donošenje akata u skladu s člankom 290. Ugovora o funkcioniranju Europske unije u vezi s ispitnim uvjetima koji se temelje na podacima prikupljenima pri ispitivanju vozila, kočnica ili guma Euro 7; ispitnim zahtjevima, posebno s obzirom na tehnički napredak i podatke prikupljene pri ispitivanju vozila Euro 7; </w:t>
            </w:r>
            <w:r w:rsidRPr="009F2503">
              <w:rPr>
                <w:b/>
                <w:i/>
              </w:rPr>
              <w:t xml:space="preserve">uvođenjem mogućnosti i oznaka za vozila na temelju inovativnih tehnologija za proizvođače, ali i u vezi s </w:t>
            </w:r>
            <w:r w:rsidRPr="009F2503">
              <w:t>utvrđivanjem graničnih vrijednosti emisija čestica iz kočnica i graničnih vrijednosti abrazije za tipove guma, kao i minimalnih zahtjeva radnog učinka baterija i multiplikatora trajnosti na temelju podataka prikupljenih pri ispitivanju vozila Euro 7 te utvrđivanjem</w:t>
            </w:r>
            <w:r w:rsidRPr="009F2503">
              <w:rPr>
                <w:b/>
                <w:i/>
              </w:rPr>
              <w:t xml:space="preserve"> definicija i</w:t>
            </w:r>
            <w:r w:rsidRPr="009F2503">
              <w:t xml:space="preserve"> posebnih pravila za male proizvođače za vozila kategorija M</w:t>
            </w:r>
            <w:r w:rsidRPr="009F2503">
              <w:rPr>
                <w:vertAlign w:val="subscript"/>
              </w:rPr>
              <w:t>2</w:t>
            </w:r>
            <w:r w:rsidRPr="009F2503">
              <w:t>, M</w:t>
            </w:r>
            <w:r w:rsidRPr="009F2503">
              <w:rPr>
                <w:vertAlign w:val="subscript"/>
              </w:rPr>
              <w:t>3</w:t>
            </w:r>
            <w:r w:rsidRPr="009F2503">
              <w:t>, N</w:t>
            </w:r>
            <w:r w:rsidRPr="009F2503">
              <w:rPr>
                <w:vertAlign w:val="subscript"/>
              </w:rPr>
              <w:t>2</w:t>
            </w:r>
            <w:r w:rsidRPr="009F2503">
              <w:t xml:space="preserve"> i N</w:t>
            </w:r>
            <w:r w:rsidRPr="009F2503">
              <w:rPr>
                <w:vertAlign w:val="subscript"/>
              </w:rPr>
              <w:t>3</w:t>
            </w:r>
            <w:r w:rsidRPr="009F2503">
              <w:t xml:space="preserve">. Posebno je važno da Komisija za vrijeme svojeg pripremnog rada provede odgovarajuća savjetovanja, uključujući ona na stručnoj razini, te da se ta savjetovanja provedu u skladu s načelima utvrđenima u </w:t>
            </w:r>
            <w:proofErr w:type="spellStart"/>
            <w:r w:rsidRPr="009F2503">
              <w:t>Međuinstitucijskom</w:t>
            </w:r>
            <w:proofErr w:type="spellEnd"/>
            <w:r w:rsidRPr="009F2503">
              <w:t xml:space="preserve"> sporazumu o boljoj izradi zakonodavstva od 13. travnja 2016.</w:t>
            </w:r>
            <w:r w:rsidRPr="009F2503">
              <w:rPr>
                <w:vertAlign w:val="superscript"/>
              </w:rPr>
              <w:t>51</w:t>
            </w:r>
            <w:r w:rsidRPr="009F2503">
              <w:t xml:space="preserve"> Osobito, s ciljem osiguravanja ravnopravnog sudjelovanja u pripremi delegiranih akata, Europski parlament i Vijeće primaju sve dokumente istodobno kad i stručnjaci iz država članica te njihovi stručnjaci sustavno imaju pristup </w:t>
            </w:r>
            <w:r w:rsidRPr="009F2503">
              <w:lastRenderedPageBreak/>
              <w:t>sastancima stručnih skupina Komisije koji se odnose na pripremu delegiranih akata.</w:t>
            </w:r>
          </w:p>
        </w:tc>
        <w:tc>
          <w:tcPr>
            <w:tcW w:w="4876" w:type="dxa"/>
          </w:tcPr>
          <w:p w:rsidR="00D00FC9" w:rsidRPr="009F2503" w:rsidRDefault="00D00FC9" w:rsidP="00605A38">
            <w:pPr>
              <w:pStyle w:val="Normal6a"/>
            </w:pPr>
            <w:r w:rsidRPr="009F2503">
              <w:lastRenderedPageBreak/>
              <w:t>(22)</w:t>
            </w:r>
            <w:r w:rsidRPr="009F2503">
              <w:tab/>
              <w:t>Kako bi se prema potrebi izmijenili ili dopunili elementi ove Uredbe koji nisu ključni, Komisiji bi trebalo delegirati ovlast za donošenje akata u skladu s člankom 290. Ugovora o funkcioniranju Europske unije u vezi s ispitnim uvjetima koji se temelje na podacima prikupljenima pri ispitivanju vozila, kočnica ili guma Euro 7; ispitnim zahtjevima, posebno s obzirom na tehnički napredak i podatke prikupljene pri ispitivanju vozila Euro 7; utvrđivanjem graničnih vrijednosti emisija čestica iz kočnica i graničnih vrijednosti abrazije za tipove guma, kao i minimalnih zahtjeva radnog učinka baterija i multiplikatora trajnosti na temelju podataka prikupljenih pri ispitivanju vozila Euro 7 te utvrđivanjem posebnih pravila za male proizvođače za vozila kategorija M</w:t>
            </w:r>
            <w:r w:rsidRPr="009F2503">
              <w:rPr>
                <w:vertAlign w:val="subscript"/>
              </w:rPr>
              <w:t>2</w:t>
            </w:r>
            <w:r w:rsidRPr="009F2503">
              <w:t>, M</w:t>
            </w:r>
            <w:r w:rsidRPr="009F2503">
              <w:rPr>
                <w:vertAlign w:val="subscript"/>
              </w:rPr>
              <w:t>3</w:t>
            </w:r>
            <w:r w:rsidRPr="009F2503">
              <w:t>, N</w:t>
            </w:r>
            <w:r w:rsidRPr="009F2503">
              <w:rPr>
                <w:vertAlign w:val="subscript"/>
              </w:rPr>
              <w:t>2</w:t>
            </w:r>
            <w:r w:rsidRPr="009F2503">
              <w:t xml:space="preserve"> i N</w:t>
            </w:r>
            <w:r w:rsidRPr="009F2503">
              <w:rPr>
                <w:vertAlign w:val="subscript"/>
              </w:rPr>
              <w:t>3</w:t>
            </w:r>
            <w:r w:rsidRPr="009F2503">
              <w:t xml:space="preserve">. Posebno je važno da Komisija za vrijeme svojeg pripremnog rada provede odgovarajuća savjetovanja, uključujući ona na stručnoj razini, te da se ta savjetovanja provedu u skladu s načelima utvrđenima u </w:t>
            </w:r>
            <w:proofErr w:type="spellStart"/>
            <w:r w:rsidRPr="009F2503">
              <w:t>Međuinstitucijskom</w:t>
            </w:r>
            <w:proofErr w:type="spellEnd"/>
            <w:r w:rsidRPr="009F2503">
              <w:t xml:space="preserve"> sporazumu o boljoj izradi zakonodavstva od 13. travnja 2016.</w:t>
            </w:r>
            <w:r w:rsidRPr="009F2503">
              <w:rPr>
                <w:vertAlign w:val="superscript"/>
              </w:rPr>
              <w:t>51</w:t>
            </w:r>
            <w:r w:rsidRPr="009F2503">
              <w:t xml:space="preserve">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22.a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(22a)</w:t>
            </w:r>
            <w:r w:rsidRPr="009F2503">
              <w:tab/>
            </w:r>
            <w:r w:rsidRPr="009F2503">
              <w:rPr>
                <w:b/>
                <w:i/>
              </w:rPr>
              <w:t>Unija je potpisnica Sporazuma Gospodarske komisije Ujedinjenih naroda za Europu (UNECE), sklopljenog 20. ožujka 1958. Taj se sporazum odnosi na standardizaciju tehničkih specifikacija za vozila na kotačima, s njima povezanu opremu i sastavne dijelove koji se mogu ugraditi na vozila na kotačima ili upotrebljavati s njima. Osim toga, njime se utvrđuju uvjeti za uzajamno priznavanje homologacija dodijeljenih na temelju tih specifikacija. Zahtjevi utvrđeni u ovoj Uredbi trebali bi, prema potrebi, biti usklađeni s normama utvrđenima u pravilnicima UNECE-a ili svim naknadnim izmjenama ove Uredbe, ako su dostupne, posebno u pogledu graničnih vrijednosti emisija čestica iz kočnica, graničnih vrijednosti za tipove guma u pogledu abrazije i utvrđivanja minimalnih kriterija učinkovitosti baterija.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(25)</w:t>
            </w:r>
            <w:r w:rsidRPr="009F2503">
              <w:tab/>
              <w:t xml:space="preserve">Važno je državama članicama, nacionalnim </w:t>
            </w:r>
            <w:proofErr w:type="spellStart"/>
            <w:r w:rsidRPr="009F2503">
              <w:t>homologacijskim</w:t>
            </w:r>
            <w:proofErr w:type="spellEnd"/>
            <w:r w:rsidRPr="009F2503">
              <w:t xml:space="preserve"> tijelima i gospodarskim subjektima dati dovoljno vremena da se pripreme za primjenu novih pravila uvedenih ovom Uredbom. Stoga bi trebalo odgoditi datum početka primjene. Dok bi za laka vozila datum početka </w:t>
            </w:r>
            <w:r w:rsidRPr="009F2503">
              <w:lastRenderedPageBreak/>
              <w:t>primjene trebao biti čim to bude tehnički moguće, za teška vozila i prikolice datum početka primjene može se dodatno odgoditi</w:t>
            </w:r>
            <w:r w:rsidRPr="009F2503">
              <w:rPr>
                <w:b/>
                <w:i/>
              </w:rPr>
              <w:t xml:space="preserve"> za dvije godine</w:t>
            </w:r>
            <w:r w:rsidRPr="009F2503">
              <w:t xml:space="preserve"> jer će prelazak na vozila s nultim emisijama biti dulji za teška vozila.</w:t>
            </w:r>
          </w:p>
        </w:tc>
        <w:tc>
          <w:tcPr>
            <w:tcW w:w="4876" w:type="dxa"/>
          </w:tcPr>
          <w:p w:rsidR="00D00FC9" w:rsidRPr="009F2503" w:rsidRDefault="00D00FC9" w:rsidP="00605A38">
            <w:pPr>
              <w:pStyle w:val="Normal6a"/>
            </w:pPr>
            <w:r w:rsidRPr="009F2503">
              <w:lastRenderedPageBreak/>
              <w:t>(25)</w:t>
            </w:r>
            <w:r w:rsidRPr="009F2503">
              <w:tab/>
              <w:t xml:space="preserve">Važno je državama članicama, nacionalnim </w:t>
            </w:r>
            <w:proofErr w:type="spellStart"/>
            <w:r w:rsidRPr="009F2503">
              <w:t>homologacijskim</w:t>
            </w:r>
            <w:proofErr w:type="spellEnd"/>
            <w:r w:rsidRPr="009F2503">
              <w:t xml:space="preserve"> tijelima i gospodarskim subjektima dati dovoljno vremena da se pripreme za primjenu novih pravila uvedenih ovom Uredbom</w:t>
            </w:r>
            <w:r w:rsidRPr="009F2503">
              <w:rPr>
                <w:b/>
                <w:i/>
              </w:rPr>
              <w:t xml:space="preserve"> i njezinim sekundarnim zakonodavstvom</w:t>
            </w:r>
            <w:r w:rsidRPr="009F2503">
              <w:t xml:space="preserve">. Stoga bi trebalo odgoditi datum početka </w:t>
            </w:r>
            <w:r w:rsidRPr="009F2503">
              <w:lastRenderedPageBreak/>
              <w:t xml:space="preserve">primjene. Dok bi za laka vozila datum početka primjene trebao biti čim to bude tehnički </w:t>
            </w:r>
            <w:r w:rsidRPr="009F2503">
              <w:rPr>
                <w:b/>
                <w:i/>
              </w:rPr>
              <w:t xml:space="preserve">i financijski </w:t>
            </w:r>
            <w:r w:rsidRPr="009F2503">
              <w:t>moguće, za teška vozila i prikolice datum početka primjene može se dodatno odgoditi jer će prelazak na vozila s nultim emisijama biti dulji za teška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29</w:t>
      </w:r>
    </w:p>
    <w:p w:rsidR="00D00FC9" w:rsidRPr="009F2503" w:rsidRDefault="00D00FC9" w:rsidP="00D00FC9"/>
    <w:p w:rsidR="00D00FC9" w:rsidRPr="009F2503" w:rsidRDefault="00D00FC9" w:rsidP="00D00FC9">
      <w:pPr>
        <w:pStyle w:val="NormalBold"/>
        <w:keepNext/>
      </w:pPr>
      <w:r w:rsidRPr="009F2503">
        <w:t>Prijedlog uredbe</w:t>
      </w:r>
    </w:p>
    <w:p w:rsidR="00D00FC9" w:rsidRPr="009F2503" w:rsidRDefault="00D00FC9" w:rsidP="00D00FC9">
      <w:pPr>
        <w:pStyle w:val="NormalBold"/>
      </w:pPr>
      <w:r w:rsidRPr="009F2503">
        <w:t>Uvodna izjava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jc w:val="center"/>
        </w:trPr>
        <w:tc>
          <w:tcPr>
            <w:tcW w:w="9752" w:type="dxa"/>
            <w:gridSpan w:val="2"/>
          </w:tcPr>
          <w:p w:rsidR="00D00FC9" w:rsidRPr="009F2503" w:rsidRDefault="00D00FC9" w:rsidP="00605A38">
            <w:pPr>
              <w:keepNext/>
            </w:pPr>
          </w:p>
        </w:tc>
      </w:tr>
      <w:tr w:rsidR="00D00FC9" w:rsidRPr="009F2503" w:rsidTr="00605A38">
        <w:trPr>
          <w:jc w:val="center"/>
        </w:trPr>
        <w:tc>
          <w:tcPr>
            <w:tcW w:w="4876" w:type="dxa"/>
            <w:hideMark/>
          </w:tcPr>
          <w:p w:rsidR="00D00FC9" w:rsidRPr="009F2503" w:rsidRDefault="00D00FC9" w:rsidP="00605A38">
            <w:pPr>
              <w:pStyle w:val="ColumnHeading"/>
              <w:keepNext/>
            </w:pPr>
            <w:r w:rsidRPr="009F2503">
              <w:t>Tekst koji je predložila Komisija</w:t>
            </w:r>
          </w:p>
        </w:tc>
        <w:tc>
          <w:tcPr>
            <w:tcW w:w="4876" w:type="dxa"/>
            <w:hideMark/>
          </w:tcPr>
          <w:p w:rsidR="00D00FC9" w:rsidRPr="009F2503" w:rsidRDefault="00D00FC9" w:rsidP="00605A38">
            <w:pPr>
              <w:pStyle w:val="ColumnHeading"/>
              <w:keepNext/>
            </w:pPr>
            <w:r w:rsidRPr="009F2503">
              <w:t>Izmjena</w:t>
            </w:r>
          </w:p>
        </w:tc>
      </w:tr>
      <w:tr w:rsidR="00D00FC9" w:rsidRPr="009F2503" w:rsidTr="00605A38">
        <w:trPr>
          <w:jc w:val="center"/>
        </w:trPr>
        <w:tc>
          <w:tcPr>
            <w:tcW w:w="4876" w:type="dxa"/>
            <w:hideMark/>
          </w:tcPr>
          <w:p w:rsidR="00D00FC9" w:rsidRPr="009F2503" w:rsidRDefault="00D00FC9" w:rsidP="00605A38">
            <w:pPr>
              <w:pStyle w:val="Normal6"/>
            </w:pPr>
            <w:r w:rsidRPr="009F2503">
              <w:t>(26)</w:t>
            </w:r>
            <w:r w:rsidRPr="009F2503">
              <w:tab/>
              <w:t>Budući da države članice u pogledu emisija ne mogu same zadovoljavajuće ostvariti ciljeve ove Uredbe, tj. utvrditi usklađena pravila o administrativnim i tehničkim zahtjevima za homologaciju vozila kategorija M i N, sustava, sastavnih dijelova i zasebnih tehničkih jedinica te pravila o nadzoru tržišta takvih vozila, sustava, sastavnih dijelova i zasebnih tehničkih jedinica, ali se ti ciljevi zbog svojih razmjera i učinaka mogu na bolji način ostvariti na razini Unije, Unija može donijeti mjere u skladu s načelom supsidijarnosti kako je utvrđeno u članku 5. Ugovora o Europskoj uniji. U skladu s načelom proporcionalnosti utvrđenim u tom članku ova Uredba ne prelazi ono što je potrebno za ostvarivanje tih ciljeva,</w:t>
            </w:r>
          </w:p>
        </w:tc>
        <w:tc>
          <w:tcPr>
            <w:tcW w:w="4876" w:type="dxa"/>
            <w:hideMark/>
          </w:tcPr>
          <w:p w:rsidR="00D00FC9" w:rsidRPr="009F2503" w:rsidRDefault="00D00FC9" w:rsidP="00605A38">
            <w:pPr>
              <w:pStyle w:val="Normal6"/>
              <w:rPr>
                <w:szCs w:val="24"/>
              </w:rPr>
            </w:pPr>
            <w:r w:rsidRPr="009F2503">
              <w:t>(26)</w:t>
            </w:r>
            <w:r w:rsidRPr="009F2503">
              <w:tab/>
              <w:t xml:space="preserve">Budući da države članice u pogledu emisija ne mogu same zadovoljavajuće ostvariti ciljeve ove Uredbe, tj. utvrditi usklađena pravila o administrativnim i tehničkim zahtjevima za homologaciju vozila kategorija M i N, sustava, sastavnih dijelova i zasebnih tehničkih jedinica te pravila o nadzoru tržišta takvih vozila, sustava, sastavnih dijelova i zasebnih tehničkih jedinica, </w:t>
            </w:r>
            <w:r w:rsidRPr="009F2503">
              <w:rPr>
                <w:b/>
                <w:i/>
              </w:rPr>
              <w:t xml:space="preserve">kao ni ostvariti visoke razine zaštite okoliša i zdravlja, </w:t>
            </w:r>
            <w:r w:rsidRPr="009F2503">
              <w:t>ali se ti ciljevi zbog svojih razmjera i učinaka mogu na bolji način ostvariti na razini Unije, Unija može donijeti mjere u skladu s načelom supsidijarnosti kako je utvrđeno u članku 5. Ugovora o Europskoj uniji. U skladu s načelom proporcionalnosti utvrđenim u tom članku ova Uredba ne prelazi ono što je potrebno za ostvarivanje tih ciljeva,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 xml:space="preserve">Ovom se Uredbom utvrđuju pravila za prvobitnu homologaciju s obzirom na emisije, sukladnost proizvodnje, sukladnost u uporabi, nadzor tržišta, trajnost sustava </w:t>
            </w:r>
            <w:r w:rsidRPr="009F2503">
              <w:lastRenderedPageBreak/>
              <w:t xml:space="preserve">za kontrolu onečišćenja i pogonskih baterija, ugrađene sustave za praćenje, sigurnosne odredbe za ograničavanje nedopuštenih zahvata i </w:t>
            </w:r>
            <w:proofErr w:type="spellStart"/>
            <w:r w:rsidRPr="009F2503">
              <w:t>kibersigurnosne</w:t>
            </w:r>
            <w:proofErr w:type="spellEnd"/>
            <w:r w:rsidRPr="009F2503">
              <w:t xml:space="preserve"> mjere te točno utvrđivanje emisija CO</w:t>
            </w:r>
            <w:r w:rsidRPr="009F2503">
              <w:rPr>
                <w:vertAlign w:val="subscript"/>
              </w:rPr>
              <w:t>2</w:t>
            </w:r>
            <w:r w:rsidRPr="009F2503">
              <w:t>, autonomije na električni pogon, potrošnje goriva i energije te energetske učinkovitosti.</w:t>
            </w:r>
          </w:p>
        </w:tc>
        <w:tc>
          <w:tcPr>
            <w:tcW w:w="4876" w:type="dxa"/>
          </w:tcPr>
          <w:p w:rsidR="00D00FC9" w:rsidRPr="009F2503" w:rsidRDefault="00D00FC9" w:rsidP="00605A38">
            <w:pPr>
              <w:pStyle w:val="Normal6a"/>
            </w:pPr>
            <w:r w:rsidRPr="009F2503">
              <w:lastRenderedPageBreak/>
              <w:t>2.</w:t>
            </w:r>
            <w:r w:rsidRPr="009F2503">
              <w:tab/>
              <w:t xml:space="preserve">Ovom se Uredbom </w:t>
            </w:r>
            <w:r w:rsidRPr="009F2503">
              <w:rPr>
                <w:b/>
                <w:i/>
              </w:rPr>
              <w:t xml:space="preserve">ujedno </w:t>
            </w:r>
            <w:r w:rsidRPr="009F2503">
              <w:t xml:space="preserve">utvrđuju pravila za prvobitnu homologaciju s obzirom na emisije, sukladnost proizvodnje, sukladnost u uporabi, nadzor </w:t>
            </w:r>
            <w:r w:rsidRPr="009F2503">
              <w:lastRenderedPageBreak/>
              <w:t xml:space="preserve">tržišta, trajnost sustava za kontrolu onečišćenja i pogonskih baterija, ugrađene sustave za praćenje, sigurnosne odredbe za ograničavanje nedopuštenih zahvata i </w:t>
            </w:r>
            <w:proofErr w:type="spellStart"/>
            <w:r w:rsidRPr="009F2503">
              <w:t>kibersigurnosne</w:t>
            </w:r>
            <w:proofErr w:type="spellEnd"/>
            <w:r w:rsidRPr="009F2503">
              <w:t xml:space="preserve"> mjere te točno utvrđivanje emisija CO</w:t>
            </w:r>
            <w:r w:rsidRPr="009F2503">
              <w:rPr>
                <w:vertAlign w:val="subscript"/>
              </w:rPr>
              <w:t>2</w:t>
            </w:r>
            <w:r w:rsidRPr="009F2503">
              <w:rPr>
                <w:b/>
                <w:i/>
              </w:rPr>
              <w:t xml:space="preserve"> i onečišćujućih tvari</w:t>
            </w:r>
            <w:r w:rsidRPr="009F2503">
              <w:t>, autonomije na električni pogon, potrošnje goriva i energije te energetske učinkovitosti.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1.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2.a</w:t>
            </w:r>
            <w:r w:rsidRPr="009F2503">
              <w:tab/>
            </w:r>
            <w:r w:rsidRPr="009F2503">
              <w:rPr>
                <w:b/>
                <w:i/>
              </w:rPr>
              <w:t>Ovom se Uredbom ujedno utvrđuju zajednički tehnički zahtjevi i administrativne odredbe za homologaciju emisija abrazije i nadzor tržišta novoproizvedenih guma. Njih treba razmotriti zajedno s tehničkim zahtjevima za gume i administrativnim odredbama iz Uredbe (EU) 2019/2144.</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2.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Uredba se primjenjuje na motorna vozila kategorija M</w:t>
            </w:r>
            <w:r w:rsidRPr="009F2503">
              <w:rPr>
                <w:vertAlign w:val="subscript"/>
              </w:rPr>
              <w:t>1</w:t>
            </w:r>
            <w:r w:rsidRPr="009F2503">
              <w:t>, M</w:t>
            </w:r>
            <w:r w:rsidRPr="009F2503">
              <w:rPr>
                <w:vertAlign w:val="subscript"/>
              </w:rPr>
              <w:t>2</w:t>
            </w:r>
            <w:r w:rsidRPr="009F2503">
              <w:t>, M</w:t>
            </w:r>
            <w:r w:rsidRPr="009F2503">
              <w:rPr>
                <w:vertAlign w:val="subscript"/>
              </w:rPr>
              <w:t>3</w:t>
            </w:r>
            <w:r w:rsidRPr="009F2503">
              <w:t>, N</w:t>
            </w:r>
            <w:r w:rsidRPr="009F2503">
              <w:rPr>
                <w:vertAlign w:val="subscript"/>
              </w:rPr>
              <w:t>1</w:t>
            </w:r>
            <w:r w:rsidRPr="009F2503">
              <w:t>, N</w:t>
            </w:r>
            <w:r w:rsidRPr="009F2503">
              <w:rPr>
                <w:vertAlign w:val="subscript"/>
              </w:rPr>
              <w:t>2</w:t>
            </w:r>
            <w:r w:rsidRPr="009F2503">
              <w:t xml:space="preserve"> i N</w:t>
            </w:r>
            <w:r w:rsidRPr="009F2503">
              <w:rPr>
                <w:vertAlign w:val="subscript"/>
              </w:rPr>
              <w:t>3</w:t>
            </w:r>
            <w:r w:rsidRPr="009F2503">
              <w:t xml:space="preserve"> te na prikolice kategorija O</w:t>
            </w:r>
            <w:r w:rsidRPr="009F2503">
              <w:rPr>
                <w:vertAlign w:val="subscript"/>
              </w:rPr>
              <w:t>3</w:t>
            </w:r>
            <w:r w:rsidRPr="009F2503">
              <w:t xml:space="preserve"> i O</w:t>
            </w:r>
            <w:r w:rsidRPr="009F2503">
              <w:rPr>
                <w:vertAlign w:val="subscript"/>
              </w:rPr>
              <w:t>4</w:t>
            </w:r>
            <w:r w:rsidRPr="009F2503">
              <w:t xml:space="preserve"> kako su utvrđeni u članku 4. Uredbe (EU) 2018/858, uključujući one konstruirane i izrađene u jednoj ili više faza, te na sustave, sastavne dijelove i zasebne tehničke jedinice namijenjene za takva vozila.</w:t>
            </w:r>
          </w:p>
        </w:tc>
        <w:tc>
          <w:tcPr>
            <w:tcW w:w="4876" w:type="dxa"/>
          </w:tcPr>
          <w:p w:rsidR="00D00FC9" w:rsidRPr="009F2503" w:rsidRDefault="00D00FC9" w:rsidP="00605A38">
            <w:pPr>
              <w:pStyle w:val="Normal6a"/>
            </w:pPr>
            <w:r w:rsidRPr="009F2503">
              <w:t>Uredba se primjenjuje na motorna vozila kategorija M</w:t>
            </w:r>
            <w:r w:rsidRPr="009F2503">
              <w:rPr>
                <w:vertAlign w:val="subscript"/>
              </w:rPr>
              <w:t>1</w:t>
            </w:r>
            <w:r w:rsidRPr="009F2503">
              <w:t>, M</w:t>
            </w:r>
            <w:r w:rsidRPr="009F2503">
              <w:rPr>
                <w:vertAlign w:val="subscript"/>
              </w:rPr>
              <w:t>2</w:t>
            </w:r>
            <w:r w:rsidRPr="009F2503">
              <w:t>, M</w:t>
            </w:r>
            <w:r w:rsidRPr="009F2503">
              <w:rPr>
                <w:vertAlign w:val="subscript"/>
              </w:rPr>
              <w:t>3</w:t>
            </w:r>
            <w:r w:rsidRPr="009F2503">
              <w:t>, N</w:t>
            </w:r>
            <w:r w:rsidRPr="009F2503">
              <w:rPr>
                <w:vertAlign w:val="subscript"/>
              </w:rPr>
              <w:t>1</w:t>
            </w:r>
            <w:r w:rsidRPr="009F2503">
              <w:t>, N</w:t>
            </w:r>
            <w:r w:rsidRPr="009F2503">
              <w:rPr>
                <w:vertAlign w:val="subscript"/>
              </w:rPr>
              <w:t>2</w:t>
            </w:r>
            <w:r w:rsidRPr="009F2503">
              <w:t xml:space="preserve"> i N</w:t>
            </w:r>
            <w:r w:rsidRPr="009F2503">
              <w:rPr>
                <w:vertAlign w:val="subscript"/>
              </w:rPr>
              <w:t>3</w:t>
            </w:r>
            <w:r w:rsidRPr="009F2503">
              <w:t xml:space="preserve"> te na prikolice kategorija O</w:t>
            </w:r>
            <w:r w:rsidRPr="009F2503">
              <w:rPr>
                <w:vertAlign w:val="subscript"/>
              </w:rPr>
              <w:t>3</w:t>
            </w:r>
            <w:r w:rsidRPr="009F2503">
              <w:t xml:space="preserve"> i O</w:t>
            </w:r>
            <w:r w:rsidRPr="009F2503">
              <w:rPr>
                <w:vertAlign w:val="subscript"/>
              </w:rPr>
              <w:t>4</w:t>
            </w:r>
            <w:r w:rsidRPr="009F2503">
              <w:t xml:space="preserve"> kako su utvrđeni u članku 4. Uredbe (EU) 2018/858, uključujući one konstruirane i izrađene u jednoj ili više faza, te na sustave, sastavne dijelove i zasebne tehničke jedinice namijenjene za takva vozila</w:t>
            </w:r>
            <w:r w:rsidRPr="009F2503">
              <w:rPr>
                <w:b/>
                <w:i/>
              </w:rPr>
              <w:t>, kao i na gume kategorija C</w:t>
            </w:r>
            <w:r w:rsidRPr="009F2503">
              <w:rPr>
                <w:b/>
                <w:i/>
                <w:vertAlign w:val="subscript"/>
              </w:rPr>
              <w:t>1</w:t>
            </w:r>
            <w:r w:rsidRPr="009F2503">
              <w:rPr>
                <w:b/>
                <w:i/>
              </w:rPr>
              <w:t>, C</w:t>
            </w:r>
            <w:r w:rsidRPr="009F2503">
              <w:rPr>
                <w:b/>
                <w:i/>
                <w:vertAlign w:val="subscript"/>
              </w:rPr>
              <w:t>2</w:t>
            </w:r>
            <w:r w:rsidRPr="009F2503">
              <w:rPr>
                <w:b/>
                <w:i/>
              </w:rPr>
              <w:t xml:space="preserve"> i C</w:t>
            </w:r>
            <w:r w:rsidRPr="009F2503">
              <w:rPr>
                <w:b/>
                <w:i/>
                <w:vertAlign w:val="subscript"/>
              </w:rPr>
              <w:t>3</w:t>
            </w:r>
            <w:r w:rsidRPr="009F2503">
              <w:rPr>
                <w:b/>
                <w:i/>
              </w:rPr>
              <w:t xml:space="preserve"> kako je utvrđeno u Pravilniku UN-a br. 117, osim guma za led</w:t>
            </w:r>
            <w:r w:rsidRPr="009F2503">
              <w:t>.</w:t>
            </w:r>
          </w:p>
        </w:tc>
      </w:tr>
    </w:tbl>
    <w:p w:rsidR="00D00FC9" w:rsidRPr="009F2503" w:rsidRDefault="00D00FC9" w:rsidP="00D00FC9"/>
    <w:p w:rsidR="00D00FC9" w:rsidRPr="009F2503" w:rsidRDefault="00D00FC9" w:rsidP="00D00FC9">
      <w:pPr>
        <w:pStyle w:val="AmNumberTabs"/>
      </w:pPr>
      <w:r w:rsidRPr="009F2503">
        <w:lastRenderedPageBreak/>
        <w:t>Amandman</w:t>
      </w:r>
      <w:r w:rsidRPr="009F2503">
        <w:tab/>
      </w:r>
      <w:r w:rsidRPr="009F2503">
        <w:tab/>
        <w:t>33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„prvobitna homologacija s obzirom na emisije” ili „IETA” znači prva faza postupka homologacije s obzirom na emisije prije nego što nadležna tijela dodijele certifikat o homologaciji i prije nego što počne proizvodnja vozila;</w:t>
            </w:r>
          </w:p>
        </w:tc>
        <w:tc>
          <w:tcPr>
            <w:tcW w:w="4876" w:type="dxa"/>
          </w:tcPr>
          <w:p w:rsidR="00D00FC9" w:rsidRPr="009F2503" w:rsidRDefault="00D00FC9" w:rsidP="00605A38">
            <w:pPr>
              <w:pStyle w:val="Normal6a"/>
            </w:pPr>
            <w:r w:rsidRPr="009F2503">
              <w:t>(2)</w:t>
            </w:r>
            <w:r w:rsidRPr="009F2503">
              <w:tab/>
              <w:t>„prvobitna homologacija s obzirom na emisije” ili „IETA” znači prva faza postupka homologacije s obzirom na emisije prije nego što nadležna tijela dodijele certifikat o homologaciji i prije nego što počne proizvodnja vozila</w:t>
            </w:r>
            <w:r w:rsidRPr="009F2503">
              <w:rPr>
                <w:b/>
                <w:i/>
              </w:rPr>
              <w:t>, motora, sustava, zasebnih tehničkih jedinica ili sastavnih dijelova</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w:t>
            </w:r>
            <w:r w:rsidRPr="009F2503">
              <w:tab/>
              <w:t>„sukladnost u uporabi” ili „ISC” znači radnje koje se provode na vozilima u prometu radi provjeravanja zahtjeva za trajnost utvrđenih u ovoj Uredbi;</w:t>
            </w:r>
          </w:p>
        </w:tc>
        <w:tc>
          <w:tcPr>
            <w:tcW w:w="4876" w:type="dxa"/>
          </w:tcPr>
          <w:p w:rsidR="00D00FC9" w:rsidRPr="009F2503" w:rsidRDefault="00D00FC9" w:rsidP="00605A38">
            <w:pPr>
              <w:pStyle w:val="Normal6a"/>
            </w:pPr>
            <w:r w:rsidRPr="009F2503">
              <w:t>(4)</w:t>
            </w:r>
            <w:r w:rsidRPr="009F2503">
              <w:tab/>
              <w:t>„sukladnost u uporabi” ili „ISC” znači radnje koje se provode na vozilima</w:t>
            </w:r>
            <w:r w:rsidRPr="009F2503">
              <w:rPr>
                <w:b/>
                <w:i/>
              </w:rPr>
              <w:t>, motorima, sustavima, zasebnim tehničkim jedinicama ili sastavnim dijelovima</w:t>
            </w:r>
            <w:r w:rsidRPr="009F2503">
              <w:t xml:space="preserve"> u prometu radi provjeravanja zahtjeva za trajnost utvrđenih u ovoj Uredbi;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(5)</w:t>
            </w:r>
            <w:r w:rsidRPr="009F2503">
              <w:tab/>
              <w:t xml:space="preserve">„motor” znači </w:t>
            </w:r>
            <w:r w:rsidRPr="009F2503">
              <w:rPr>
                <w:b/>
                <w:i/>
              </w:rPr>
              <w:t>pogonski izvor</w:t>
            </w:r>
            <w:r w:rsidRPr="009F2503">
              <w:t xml:space="preserve"> vozila;</w:t>
            </w:r>
          </w:p>
        </w:tc>
        <w:tc>
          <w:tcPr>
            <w:tcW w:w="4876" w:type="dxa"/>
          </w:tcPr>
          <w:p w:rsidR="00D00FC9" w:rsidRPr="009F2503" w:rsidRDefault="00D00FC9" w:rsidP="00605A38">
            <w:pPr>
              <w:pStyle w:val="Normal6a"/>
            </w:pPr>
            <w:r w:rsidRPr="009F2503">
              <w:t>(5)</w:t>
            </w:r>
            <w:r w:rsidRPr="009F2503">
              <w:tab/>
              <w:t xml:space="preserve">„motor” znači </w:t>
            </w:r>
            <w:r w:rsidRPr="009F2503">
              <w:rPr>
                <w:b/>
                <w:i/>
              </w:rPr>
              <w:t xml:space="preserve">motor </w:t>
            </w:r>
            <w:r w:rsidRPr="009F2503">
              <w:t xml:space="preserve">vozila </w:t>
            </w:r>
            <w:r w:rsidRPr="009F2503">
              <w:rPr>
                <w:b/>
                <w:i/>
              </w:rPr>
              <w:t>s unutarnjim izgaranjem (ICEV)</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(9)</w:t>
            </w:r>
            <w:r w:rsidRPr="009F2503">
              <w:tab/>
              <w:t>„emisije CO</w:t>
            </w:r>
            <w:r w:rsidRPr="009F2503">
              <w:rPr>
                <w:vertAlign w:val="subscript"/>
              </w:rPr>
              <w:t>2</w:t>
            </w:r>
            <w:r w:rsidRPr="009F2503">
              <w:t>” ili „CO</w:t>
            </w:r>
            <w:r w:rsidRPr="009F2503">
              <w:rPr>
                <w:vertAlign w:val="subscript"/>
              </w:rPr>
              <w:t>2</w:t>
            </w:r>
            <w:r w:rsidRPr="009F2503">
              <w:t>” znači emisije ugljikova dioksida iz ispušne cijevi</w:t>
            </w:r>
            <w:r w:rsidRPr="009F2503">
              <w:rPr>
                <w:b/>
                <w:i/>
              </w:rPr>
              <w:t xml:space="preserve"> motornog vozila ili motora</w:t>
            </w:r>
            <w:r w:rsidRPr="009F2503">
              <w:t>;</w:t>
            </w:r>
          </w:p>
        </w:tc>
        <w:tc>
          <w:tcPr>
            <w:tcW w:w="4876" w:type="dxa"/>
          </w:tcPr>
          <w:p w:rsidR="00D00FC9" w:rsidRPr="009F2503" w:rsidRDefault="00D00FC9" w:rsidP="00605A38">
            <w:pPr>
              <w:pStyle w:val="Normal6a"/>
            </w:pPr>
            <w:r w:rsidRPr="009F2503">
              <w:t>(9)</w:t>
            </w:r>
            <w:r w:rsidRPr="009F2503">
              <w:tab/>
              <w:t>„emisije CO</w:t>
            </w:r>
            <w:r w:rsidRPr="009F2503">
              <w:rPr>
                <w:vertAlign w:val="subscript"/>
              </w:rPr>
              <w:t>2</w:t>
            </w:r>
            <w:r w:rsidRPr="009F2503">
              <w:t>” ili „CO</w:t>
            </w:r>
            <w:r w:rsidRPr="009F2503">
              <w:rPr>
                <w:vertAlign w:val="subscript"/>
              </w:rPr>
              <w:t>2</w:t>
            </w:r>
            <w:r w:rsidRPr="009F2503">
              <w:t>” znači emisije ugljikova dioksida iz ispušne cijevi;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(10)</w:t>
            </w:r>
            <w:r w:rsidRPr="009F2503">
              <w:tab/>
              <w:t>„dušikovi oksidi” ili „</w:t>
            </w:r>
            <w:proofErr w:type="spellStart"/>
            <w:r w:rsidRPr="009F2503">
              <w:t>NOx</w:t>
            </w:r>
            <w:proofErr w:type="spellEnd"/>
            <w:r w:rsidRPr="009F2503">
              <w:t xml:space="preserve">” znači zbroj </w:t>
            </w:r>
            <w:r w:rsidRPr="009F2503">
              <w:rPr>
                <w:b/>
                <w:i/>
              </w:rPr>
              <w:t>dušikovih</w:t>
            </w:r>
            <w:r w:rsidRPr="009F2503">
              <w:t xml:space="preserve"> oksida iz ispušne cijevi;</w:t>
            </w:r>
          </w:p>
        </w:tc>
        <w:tc>
          <w:tcPr>
            <w:tcW w:w="4876" w:type="dxa"/>
          </w:tcPr>
          <w:p w:rsidR="00D00FC9" w:rsidRPr="009F2503" w:rsidRDefault="00D00FC9" w:rsidP="00605A38">
            <w:pPr>
              <w:pStyle w:val="Normal6a"/>
            </w:pPr>
            <w:r w:rsidRPr="009F2503">
              <w:t>(10)</w:t>
            </w:r>
            <w:r w:rsidRPr="009F2503">
              <w:tab/>
              <w:t>„dušikovi oksidi” ili „</w:t>
            </w:r>
            <w:proofErr w:type="spellStart"/>
            <w:r w:rsidRPr="009F2503">
              <w:t>NOx</w:t>
            </w:r>
            <w:proofErr w:type="spellEnd"/>
            <w:r w:rsidRPr="009F2503">
              <w:t xml:space="preserve">” znači zbroj </w:t>
            </w:r>
            <w:r w:rsidRPr="009F2503">
              <w:rPr>
                <w:b/>
                <w:i/>
              </w:rPr>
              <w:t>dušikovog</w:t>
            </w:r>
            <w:r w:rsidRPr="009F2503">
              <w:t xml:space="preserve"> oksida </w:t>
            </w:r>
            <w:r w:rsidRPr="009F2503">
              <w:rPr>
                <w:b/>
                <w:i/>
              </w:rPr>
              <w:t>(NO) i dušikovog dioksida (NO</w:t>
            </w:r>
            <w:r w:rsidRPr="009F2503">
              <w:rPr>
                <w:b/>
                <w:i/>
                <w:vertAlign w:val="subscript"/>
              </w:rPr>
              <w:t>2</w:t>
            </w:r>
            <w:r w:rsidRPr="009F2503">
              <w:rPr>
                <w:b/>
                <w:i/>
              </w:rPr>
              <w:t xml:space="preserve">) </w:t>
            </w:r>
            <w:r w:rsidRPr="009F2503">
              <w:t>iz ispušne cijevi;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10.a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(10a)</w:t>
            </w:r>
            <w:r w:rsidRPr="009F2503">
              <w:tab/>
            </w:r>
            <w:r w:rsidRPr="009F2503">
              <w:rPr>
                <w:b/>
                <w:i/>
              </w:rPr>
              <w:t>„dušikov oksid” ili „N</w:t>
            </w:r>
            <w:r w:rsidRPr="009F2503">
              <w:rPr>
                <w:b/>
                <w:i/>
                <w:vertAlign w:val="subscript"/>
              </w:rPr>
              <w:t>2</w:t>
            </w:r>
            <w:r w:rsidRPr="009F2503">
              <w:rPr>
                <w:b/>
                <w:i/>
              </w:rPr>
              <w:t>O” znači emisije dušikovog oksida iz ispušne cijevi;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39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(18)</w:t>
            </w:r>
            <w:r w:rsidRPr="009F2503">
              <w:tab/>
              <w:t>„</w:t>
            </w:r>
            <w:proofErr w:type="spellStart"/>
            <w:r w:rsidRPr="009F2503">
              <w:t>nemetanski</w:t>
            </w:r>
            <w:proofErr w:type="spellEnd"/>
            <w:r w:rsidRPr="009F2503">
              <w:t xml:space="preserve"> ugljikovodici” ili </w:t>
            </w:r>
            <w:r w:rsidRPr="009F2503">
              <w:rPr>
                <w:b/>
                <w:i/>
              </w:rPr>
              <w:t>„NHMC”</w:t>
            </w:r>
            <w:r w:rsidRPr="009F2503">
              <w:t xml:space="preserve"> znači ukupni ugljikovodici ispušteni iz ispušne cijevi, ne računajući metan;</w:t>
            </w:r>
          </w:p>
        </w:tc>
        <w:tc>
          <w:tcPr>
            <w:tcW w:w="4876" w:type="dxa"/>
          </w:tcPr>
          <w:p w:rsidR="00D00FC9" w:rsidRPr="009F2503" w:rsidRDefault="00D00FC9" w:rsidP="00605A38">
            <w:pPr>
              <w:pStyle w:val="Normal6a"/>
            </w:pPr>
            <w:r w:rsidRPr="009F2503">
              <w:t>(18)</w:t>
            </w:r>
            <w:r w:rsidRPr="009F2503">
              <w:tab/>
              <w:t>„</w:t>
            </w:r>
            <w:proofErr w:type="spellStart"/>
            <w:r w:rsidRPr="009F2503">
              <w:t>nemetanski</w:t>
            </w:r>
            <w:proofErr w:type="spellEnd"/>
            <w:r w:rsidRPr="009F2503">
              <w:t xml:space="preserve"> ugljikovodici” ili </w:t>
            </w:r>
            <w:r w:rsidRPr="009F2503">
              <w:rPr>
                <w:b/>
                <w:i/>
              </w:rPr>
              <w:t>„NMHC”</w:t>
            </w:r>
            <w:r w:rsidRPr="009F2503">
              <w:t xml:space="preserve"> znači ukupni ugljikovodici ispušteni iz ispušne cijevi, ne računajući metan;</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lastRenderedPageBreak/>
        <w:t>Članak 3. – stavak 2. – točka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(24)</w:t>
            </w:r>
            <w:r w:rsidRPr="009F2503">
              <w:tab/>
              <w:t>„alat za izračun potrošnje energije vozila” ili „VECTO” znači simulacijski alat za određivanje emisija CO</w:t>
            </w:r>
            <w:r w:rsidRPr="009F2503">
              <w:rPr>
                <w:vertAlign w:val="subscript"/>
              </w:rPr>
              <w:t>2</w:t>
            </w:r>
            <w:r w:rsidRPr="009F2503">
              <w:t xml:space="preserve">, potrošnje goriva, potrošnja električne energije i autonomije na električni pogon teških vozila; </w:t>
            </w:r>
            <w:r w:rsidRPr="009F2503">
              <w:rPr>
                <w:b/>
                <w:i/>
              </w:rPr>
              <w:t>„potrošnja energije” znači potrošnja električne energije svih pogonskih izvora unutar vozila;</w:t>
            </w:r>
          </w:p>
        </w:tc>
        <w:tc>
          <w:tcPr>
            <w:tcW w:w="4876" w:type="dxa"/>
          </w:tcPr>
          <w:p w:rsidR="00D00FC9" w:rsidRPr="009F2503" w:rsidRDefault="00D00FC9" w:rsidP="00605A38">
            <w:pPr>
              <w:pStyle w:val="Normal6a"/>
            </w:pPr>
            <w:r w:rsidRPr="009F2503">
              <w:t>(24)</w:t>
            </w:r>
            <w:r w:rsidRPr="009F2503">
              <w:tab/>
              <w:t>„alat za izračun potrošnje energije vozila” ili „VECTO” znači simulacijski alat za određivanje emisija CO</w:t>
            </w:r>
            <w:r w:rsidRPr="009F2503">
              <w:rPr>
                <w:vertAlign w:val="subscript"/>
              </w:rPr>
              <w:t>2</w:t>
            </w:r>
            <w:r w:rsidRPr="009F2503">
              <w:t>, potrošnje goriva, potrošnja električne energije i autonomije na električni pogon teških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24.a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(24a)</w:t>
            </w:r>
            <w:r w:rsidRPr="009F2503">
              <w:tab/>
            </w:r>
            <w:r w:rsidRPr="009F2503">
              <w:rPr>
                <w:b/>
                <w:i/>
              </w:rPr>
              <w:t>„potrošnja energije” znači potrošnja električne energije svih pogonskih izvora unutar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(29)</w:t>
            </w:r>
            <w:r w:rsidRPr="009F2503">
              <w:tab/>
              <w:t>„abrazija guma” znači masa materijala izgubljenog zbog abrazije i ispuštenog u okoliš;</w:t>
            </w:r>
          </w:p>
        </w:tc>
        <w:tc>
          <w:tcPr>
            <w:tcW w:w="4876" w:type="dxa"/>
          </w:tcPr>
          <w:p w:rsidR="00D00FC9" w:rsidRPr="009F2503" w:rsidRDefault="00D00FC9" w:rsidP="00605A38">
            <w:pPr>
              <w:pStyle w:val="Normal6a"/>
            </w:pPr>
            <w:r w:rsidRPr="009F2503">
              <w:t>(29)</w:t>
            </w:r>
            <w:r w:rsidRPr="009F2503">
              <w:tab/>
              <w:t xml:space="preserve">„abrazija guma” znači masa materijala izgubljenog zbog abrazije, </w:t>
            </w:r>
            <w:r w:rsidRPr="009F2503">
              <w:rPr>
                <w:b/>
                <w:i/>
              </w:rPr>
              <w:t xml:space="preserve">uz upućivanje na rad zajedničke radne skupine GRBP/GRPE za abraziju guma u okviru UN-ove radne skupine WP.29, </w:t>
            </w:r>
            <w:r w:rsidRPr="009F2503">
              <w:t>i ispuštenog u okoliš;</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lastRenderedPageBreak/>
              <w:t>(34)</w:t>
            </w:r>
            <w:r w:rsidRPr="009F2503">
              <w:tab/>
              <w:t>„originalni sustavi za kontrolu onečišćenja” znači sustav za kontrolu onečišćenja ili sklop takvih sustava obuhvaćen homologacijom dodijeljenom za to vozilo;</w:t>
            </w:r>
          </w:p>
        </w:tc>
        <w:tc>
          <w:tcPr>
            <w:tcW w:w="4876" w:type="dxa"/>
          </w:tcPr>
          <w:p w:rsidR="00D00FC9" w:rsidRPr="009F2503" w:rsidRDefault="00D00FC9" w:rsidP="00605A38">
            <w:pPr>
              <w:pStyle w:val="Normal6a"/>
            </w:pPr>
            <w:r w:rsidRPr="009F2503">
              <w:t>(34)</w:t>
            </w:r>
            <w:r w:rsidRPr="009F2503">
              <w:tab/>
              <w:t>„originalni sustavi za kontrolu onečišćenja” znači sustav za kontrolu onečišćenja ili sklop takvih sustava obuhvaćen homologacijom dodijeljenom za to vozilo</w:t>
            </w:r>
            <w:r w:rsidRPr="009F2503">
              <w:rPr>
                <w:b/>
                <w:i/>
              </w:rPr>
              <w:t xml:space="preserve"> i ugrađen u vozilo prilikom njegove početne registracije</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(36)</w:t>
            </w:r>
            <w:r w:rsidRPr="009F2503">
              <w:tab/>
            </w:r>
            <w:r w:rsidRPr="009F2503">
              <w:rPr>
                <w:b/>
                <w:i/>
              </w:rPr>
              <w:t>„funkcija adaptivne kontrole” znači sustav koji prilagođava parametre motora, parametre sustava za kontrolu onečišćenja ili druge parametre vozila radi poboljšavanja potrošnje goriva ili energije i djelotvornosti sustava za kontrolu onečišćenja na temelju očekivane uporabe vozila;</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38.</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(38)</w:t>
            </w:r>
            <w:r w:rsidRPr="009F2503">
              <w:tab/>
              <w:t>„ugrađeni sustav za praćenje” ili „OBM” znači sustav u vozilu koji može otkrivati prekoračenja vrijednosti emisija ili, ako je primjenjivo, kad je vozilo u režimu s nultim emisijama, prikazivati pojavu tih prekoračenja na temelju informacija pohranjenih u vozilu i slati te informacije kroz priključak OBD-a i bežično;</w:t>
            </w:r>
          </w:p>
        </w:tc>
        <w:tc>
          <w:tcPr>
            <w:tcW w:w="4876" w:type="dxa"/>
          </w:tcPr>
          <w:p w:rsidR="00D00FC9" w:rsidRPr="009F2503" w:rsidRDefault="00D00FC9" w:rsidP="00605A38">
            <w:pPr>
              <w:pStyle w:val="Normal6a"/>
            </w:pPr>
            <w:r w:rsidRPr="009F2503">
              <w:t>(38)</w:t>
            </w:r>
            <w:r w:rsidRPr="009F2503">
              <w:tab/>
              <w:t xml:space="preserve">„ugrađeni sustav za praćenje” ili „OBM” znači sustav u vozilu koji može </w:t>
            </w:r>
            <w:r w:rsidRPr="009F2503">
              <w:rPr>
                <w:b/>
                <w:i/>
              </w:rPr>
              <w:t xml:space="preserve">pratiti emisije i </w:t>
            </w:r>
            <w:r w:rsidRPr="009F2503">
              <w:t>otkrivati prekoračenja vrijednosti emisija ili, ako je primjenjivo, kad je vozilo u režimu s nultim emisijama, prikazivati pojavu tih prekoračenja na temelju informacija pohranjenih u vozilu i slati te informacije kroz priključak OBD-a i bežično;</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lastRenderedPageBreak/>
        <w:t>Članak 3. – stavak 2. – točka 39.</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(39)</w:t>
            </w:r>
            <w:r w:rsidRPr="009F2503">
              <w:tab/>
              <w:t>„uređaj u vozilu za praćenje potrošnje goriva ili električne energije” ili „OBFCM” znači svaki softver ili hardver koji mjeri i upotrebljava parametre vozila, motora, goriva ili električne energije i korisnog tereta/mase za utvrđivanje i pohranjivanje u vozilu podataka o potrošnji goriva i energije i drugim parametrima radi utvrđivanja potrošnje goriva ili energije i energetske učinkovitosti vozila;</w:t>
            </w:r>
          </w:p>
        </w:tc>
        <w:tc>
          <w:tcPr>
            <w:tcW w:w="4876" w:type="dxa"/>
          </w:tcPr>
          <w:p w:rsidR="00D00FC9" w:rsidRPr="009F2503" w:rsidRDefault="00D00FC9" w:rsidP="00605A38">
            <w:pPr>
              <w:pStyle w:val="Normal6a"/>
            </w:pPr>
            <w:r w:rsidRPr="009F2503">
              <w:t>(39)</w:t>
            </w:r>
            <w:r w:rsidRPr="009F2503">
              <w:tab/>
              <w:t>„uređaj u vozilu za praćenje potrošnje goriva ili električne energije” ili „OBFCM” znači svaki softver ili hardver koji mjeri i upotrebljava parametre vozila, motora, goriva ili električne energije i korisnog tereta/mase za utvrđivanje i pohranjivanje u vozilu podataka o potrošnji goriva i energije i drugim parametrima radi utvrđivanja potrošnje goriva ili energije i energetske učinkovitosti vozila</w:t>
            </w:r>
            <w:r w:rsidRPr="009F2503">
              <w:rPr>
                <w:b/>
                <w:i/>
              </w:rPr>
              <w:t xml:space="preserve"> te u svrhu tehničkih pregleda</w:t>
            </w:r>
            <w:r w:rsidRPr="009F2503">
              <w:t>;</w:t>
            </w:r>
          </w:p>
        </w:tc>
      </w:tr>
    </w:tbl>
    <w:p w:rsidR="00D00FC9" w:rsidRPr="009F2503" w:rsidRDefault="00D00FC9" w:rsidP="00D00FC9">
      <w:pPr>
        <w:pStyle w:val="AmNumberTabs"/>
      </w:pPr>
      <w:r w:rsidRPr="009F2503">
        <w:t>Amandman</w:t>
      </w:r>
      <w:r w:rsidRPr="009F2503">
        <w:tab/>
      </w:r>
      <w:r w:rsidRPr="009F2503">
        <w:tab/>
        <w:t>47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(44)</w:t>
            </w:r>
            <w:r w:rsidRPr="009F2503">
              <w:tab/>
              <w:t>„nedopušteni zahvat” znači radnja kojom gospodarski subjekti ili neovisni operateri isključe, namjeste ili preinače motor, uređaj vozila za kontrolu onečišćenja, sustav vozila za kontrolu onečišćenja, pogonski sustav, pogonsku bateriju, brojač kilometara, OBFCM ili OBD/OBM, uključujući sve softverske ili druge logičke upravljačke elemente tih sustava i njihove podatke;</w:t>
            </w:r>
          </w:p>
        </w:tc>
        <w:tc>
          <w:tcPr>
            <w:tcW w:w="4876" w:type="dxa"/>
          </w:tcPr>
          <w:p w:rsidR="00D00FC9" w:rsidRPr="009F2503" w:rsidRDefault="00D00FC9" w:rsidP="00605A38">
            <w:pPr>
              <w:pStyle w:val="Normal6a"/>
            </w:pPr>
            <w:r w:rsidRPr="009F2503">
              <w:t>(44)</w:t>
            </w:r>
            <w:r w:rsidRPr="009F2503">
              <w:tab/>
              <w:t>„nedopušteni zahvat” znači radnja kojom gospodarski subjekti ili neovisni operateri isključe, namjeste ili preinače motor</w:t>
            </w:r>
            <w:r w:rsidRPr="009F2503">
              <w:rPr>
                <w:b/>
                <w:i/>
              </w:rPr>
              <w:t xml:space="preserve"> ili električni motor</w:t>
            </w:r>
            <w:r w:rsidRPr="009F2503">
              <w:t>, uređaj vozila za kontrolu onečišćenja, sustav vozila za kontrolu onečišćenja, pogonski sustav, pogonsku bateriju, brojač kilometara, OBFCM ili OBD/OBM, uključujući sve softverske ili druge logičke upravljačke elemente tih sustava i njihove podatke;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47.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(47)</w:t>
            </w:r>
            <w:r w:rsidRPr="009F2503">
              <w:tab/>
              <w:t>„mali proizvođač” znači proizvođač čija je proizvodnja manja od 10 000 novih motornih vozila kategorije M</w:t>
            </w:r>
            <w:r w:rsidRPr="009F2503">
              <w:rPr>
                <w:vertAlign w:val="subscript"/>
              </w:rPr>
              <w:t>1</w:t>
            </w:r>
            <w:r w:rsidRPr="009F2503">
              <w:t xml:space="preserve"> ili 22 000 novih motornih vozila kategorije N</w:t>
            </w:r>
            <w:r w:rsidRPr="009F2503">
              <w:rPr>
                <w:vertAlign w:val="subscript"/>
              </w:rPr>
              <w:t>1</w:t>
            </w:r>
            <w:r w:rsidRPr="009F2503">
              <w:t xml:space="preserve"> registriranih u Uniji u kalendarskoj godini </w:t>
            </w:r>
            <w:r w:rsidRPr="009F2503">
              <w:lastRenderedPageBreak/>
              <w:t>i:</w:t>
            </w:r>
          </w:p>
        </w:tc>
        <w:tc>
          <w:tcPr>
            <w:tcW w:w="4876" w:type="dxa"/>
          </w:tcPr>
          <w:p w:rsidR="00D00FC9" w:rsidRPr="009F2503" w:rsidRDefault="00D00FC9" w:rsidP="00605A38">
            <w:pPr>
              <w:pStyle w:val="Normal6a"/>
            </w:pPr>
            <w:r w:rsidRPr="009F2503">
              <w:lastRenderedPageBreak/>
              <w:t>(47)</w:t>
            </w:r>
            <w:r w:rsidRPr="009F2503">
              <w:tab/>
              <w:t>„mali proizvođač” znači proizvođač čija je proizvodnja manja od 10 000 novih motornih vozila kategorije M</w:t>
            </w:r>
            <w:r w:rsidRPr="009F2503">
              <w:rPr>
                <w:b/>
                <w:i/>
                <w:vertAlign w:val="subscript"/>
              </w:rPr>
              <w:t>1</w:t>
            </w:r>
            <w:r w:rsidRPr="009F2503">
              <w:t xml:space="preserve"> ili 22 000 novih motornih vozila kategorije N</w:t>
            </w:r>
            <w:r w:rsidRPr="009F2503">
              <w:rPr>
                <w:b/>
                <w:i/>
                <w:vertAlign w:val="subscript"/>
              </w:rPr>
              <w:t>1</w:t>
            </w:r>
            <w:r w:rsidRPr="009F2503">
              <w:t xml:space="preserve"> </w:t>
            </w:r>
            <w:r w:rsidRPr="009F2503">
              <w:rPr>
                <w:b/>
                <w:i/>
              </w:rPr>
              <w:t>ili 600 novih motornih vozila kategorija M</w:t>
            </w:r>
            <w:r w:rsidRPr="009F2503">
              <w:rPr>
                <w:b/>
                <w:i/>
                <w:vertAlign w:val="subscript"/>
              </w:rPr>
              <w:t>2</w:t>
            </w:r>
            <w:r w:rsidRPr="009F2503">
              <w:rPr>
                <w:b/>
                <w:i/>
              </w:rPr>
              <w:t xml:space="preserve"> i M</w:t>
            </w:r>
            <w:r w:rsidRPr="009F2503">
              <w:rPr>
                <w:b/>
                <w:i/>
                <w:vertAlign w:val="subscript"/>
              </w:rPr>
              <w:t>3</w:t>
            </w:r>
            <w:r w:rsidRPr="009F2503">
              <w:rPr>
                <w:b/>
                <w:i/>
              </w:rPr>
              <w:t xml:space="preserve"> te ukupno 6 900 novih motornih vozila </w:t>
            </w:r>
            <w:r w:rsidRPr="009F2503">
              <w:rPr>
                <w:b/>
                <w:i/>
              </w:rPr>
              <w:lastRenderedPageBreak/>
              <w:t>kategorija N</w:t>
            </w:r>
            <w:r w:rsidRPr="009F2503">
              <w:rPr>
                <w:b/>
                <w:i/>
                <w:vertAlign w:val="subscript"/>
              </w:rPr>
              <w:t>2</w:t>
            </w:r>
            <w:r w:rsidRPr="009F2503">
              <w:rPr>
                <w:b/>
                <w:i/>
              </w:rPr>
              <w:t xml:space="preserve"> i N</w:t>
            </w:r>
            <w:r w:rsidRPr="009F2503">
              <w:rPr>
                <w:b/>
                <w:i/>
                <w:vertAlign w:val="subscript"/>
              </w:rPr>
              <w:t>3</w:t>
            </w:r>
            <w:r w:rsidRPr="009F2503">
              <w:rPr>
                <w:b/>
                <w:i/>
              </w:rPr>
              <w:t xml:space="preserve"> </w:t>
            </w:r>
            <w:r w:rsidRPr="009F2503">
              <w:t>registriranih u Uniji u kalendarskoj godini 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49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(63)</w:t>
            </w:r>
            <w:r w:rsidRPr="009F2503">
              <w:tab/>
              <w:t>„nazivna snaga motora” ili „</w:t>
            </w:r>
            <w:proofErr w:type="spellStart"/>
            <w:r w:rsidRPr="009F2503">
              <w:t>P</w:t>
            </w:r>
            <w:r w:rsidRPr="009F2503">
              <w:rPr>
                <w:vertAlign w:val="subscript"/>
              </w:rPr>
              <w:t>rated</w:t>
            </w:r>
            <w:proofErr w:type="spellEnd"/>
            <w:r w:rsidRPr="009F2503">
              <w:t>” znači najveća neto snaga motora u kW;</w:t>
            </w:r>
          </w:p>
        </w:tc>
        <w:tc>
          <w:tcPr>
            <w:tcW w:w="4876" w:type="dxa"/>
          </w:tcPr>
          <w:p w:rsidR="00D00FC9" w:rsidRPr="009F2503" w:rsidRDefault="00D00FC9" w:rsidP="00605A38">
            <w:pPr>
              <w:pStyle w:val="Normal6a"/>
            </w:pPr>
            <w:r w:rsidRPr="009F2503">
              <w:t>(63)</w:t>
            </w:r>
            <w:r w:rsidRPr="009F2503">
              <w:tab/>
              <w:t>„nazivna snaga motora” ili „</w:t>
            </w:r>
            <w:proofErr w:type="spellStart"/>
            <w:r w:rsidRPr="009F2503">
              <w:t>P</w:t>
            </w:r>
            <w:r w:rsidRPr="009F2503">
              <w:rPr>
                <w:vertAlign w:val="subscript"/>
              </w:rPr>
              <w:t>rated</w:t>
            </w:r>
            <w:proofErr w:type="spellEnd"/>
            <w:r w:rsidRPr="009F2503">
              <w:t xml:space="preserve">” znači najveća neto snaga motora </w:t>
            </w:r>
            <w:r w:rsidRPr="009F2503">
              <w:rPr>
                <w:b/>
                <w:i/>
              </w:rPr>
              <w:t xml:space="preserve">ili električnog motora </w:t>
            </w:r>
            <w:r w:rsidRPr="009F2503">
              <w:t>u kW;</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(65)</w:t>
            </w:r>
            <w:r w:rsidRPr="009F2503">
              <w:tab/>
              <w:t>„pogonska baterija” znači sustav baterija u kojem se čuva energija čija je glavna namjena pogon vozila;</w:t>
            </w:r>
          </w:p>
        </w:tc>
        <w:tc>
          <w:tcPr>
            <w:tcW w:w="4876" w:type="dxa"/>
          </w:tcPr>
          <w:p w:rsidR="00D00FC9" w:rsidRPr="009F2503" w:rsidRDefault="00D00FC9" w:rsidP="00605A38">
            <w:pPr>
              <w:pStyle w:val="Normal6a"/>
            </w:pPr>
            <w:r w:rsidRPr="009F2503">
              <w:t>(65)</w:t>
            </w:r>
            <w:r w:rsidRPr="009F2503">
              <w:tab/>
              <w:t>„pogonska baterija” znači sustav baterija u kojem se čuva energija čija je glavna namjena pogon vozila</w:t>
            </w:r>
            <w:r w:rsidRPr="009F2503">
              <w:rPr>
                <w:b/>
                <w:i/>
              </w:rPr>
              <w:t>, uključujući njegov sustav upravljanja baterijom</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65.a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(65.a)</w:t>
            </w:r>
            <w:r w:rsidRPr="009F2503">
              <w:tab/>
            </w:r>
            <w:r w:rsidRPr="009F2503">
              <w:rPr>
                <w:b/>
                <w:i/>
              </w:rPr>
              <w:t xml:space="preserve">„sustav upravljanja baterijom” znači elektronički uređaj koji nadzire ili upravlja električnim i toplinskim funkcijama baterije kako bi osigurao njezinu sigurnost, učinkovitost i životni vijek, koji upravlja podacima za parametre za utvrđivanje stanja starosti i očekivanog životnog vijeka baterije koji su utvrđeni u Prilogu VII. Uredbi (EU) 2023/1542 i komunicira s vozilom u koji je baterija ugrađena odnosno s javnom ili privatnom infrastrukturom za </w:t>
            </w:r>
            <w:r w:rsidRPr="009F2503">
              <w:rPr>
                <w:b/>
                <w:i/>
              </w:rPr>
              <w:lastRenderedPageBreak/>
              <w:t>punjenje;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(67)</w:t>
            </w:r>
            <w:r w:rsidRPr="009F2503">
              <w:tab/>
              <w:t>„autonomija s nultim emisijama” znači najveća udaljenost koju vozilo s nultim emisijama može prijeći dok se pogonska baterija ili spremnik za gorivo ne isprazne, koja je za PEV-ove jednaka autonomiji na električni pogon;</w:t>
            </w:r>
          </w:p>
        </w:tc>
        <w:tc>
          <w:tcPr>
            <w:tcW w:w="4876" w:type="dxa"/>
          </w:tcPr>
          <w:p w:rsidR="00D00FC9" w:rsidRPr="009F2503" w:rsidRDefault="00D00FC9" w:rsidP="00605A38">
            <w:pPr>
              <w:pStyle w:val="Normal6a"/>
            </w:pPr>
            <w:r w:rsidRPr="009F2503">
              <w:t>(67)</w:t>
            </w:r>
            <w:r w:rsidRPr="009F2503">
              <w:tab/>
              <w:t xml:space="preserve">„autonomija s nultim emisijama” znači najveća udaljenost koju vozilo s nultim emisijama </w:t>
            </w:r>
            <w:r w:rsidRPr="009F2503">
              <w:rPr>
                <w:b/>
                <w:i/>
              </w:rPr>
              <w:t xml:space="preserve">ili vozilo u režimu s nultim emisijama </w:t>
            </w:r>
            <w:r w:rsidRPr="009F2503">
              <w:t>može prijeći dok se pogonska baterija ili spremnik za gorivo</w:t>
            </w:r>
            <w:r w:rsidRPr="009F2503">
              <w:rPr>
                <w:b/>
                <w:i/>
              </w:rPr>
              <w:t xml:space="preserve"> vozila bez ICEV-a</w:t>
            </w:r>
            <w:r w:rsidRPr="009F2503">
              <w:t xml:space="preserve"> ne isprazne, koja je za PEV-ove jednaka autonomiji na električni pogon;</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(71)</w:t>
            </w:r>
            <w:r w:rsidRPr="009F2503">
              <w:tab/>
              <w:t xml:space="preserve">„ekološka putovnica vozila” ili „EVP” znači zapis u papirnatom i digitalnom obliku koji sadržava </w:t>
            </w:r>
            <w:r w:rsidRPr="009F2503">
              <w:rPr>
                <w:b/>
                <w:i/>
              </w:rPr>
              <w:t>informacije o utjecaju vozila na okoliš u trenutku registracije, uključujući razinu graničnih</w:t>
            </w:r>
            <w:r w:rsidRPr="009F2503">
              <w:t xml:space="preserve"> vrijednosti </w:t>
            </w:r>
            <w:r w:rsidRPr="009F2503">
              <w:rPr>
                <w:b/>
                <w:i/>
              </w:rPr>
              <w:t>emisija onečišćujućih tvari, emisije CO</w:t>
            </w:r>
            <w:r w:rsidRPr="009F2503">
              <w:rPr>
                <w:b/>
                <w:i/>
                <w:vertAlign w:val="subscript"/>
              </w:rPr>
              <w:t>2</w:t>
            </w:r>
            <w:r w:rsidRPr="009F2503">
              <w:rPr>
                <w:b/>
                <w:i/>
              </w:rPr>
              <w:t>, potrošnju goriva, potrošnju energije, autonomiju na električni pogon, snagu motora, trajnost baterije i druge povezane vrijednosti</w:t>
            </w:r>
            <w:r w:rsidRPr="009F2503">
              <w:t>;</w:t>
            </w:r>
          </w:p>
        </w:tc>
        <w:tc>
          <w:tcPr>
            <w:tcW w:w="4876" w:type="dxa"/>
          </w:tcPr>
          <w:p w:rsidR="00D00FC9" w:rsidRPr="009F2503" w:rsidRDefault="00D00FC9" w:rsidP="00605A38">
            <w:pPr>
              <w:pStyle w:val="Normal6a"/>
            </w:pPr>
            <w:r w:rsidRPr="009F2503">
              <w:t>(71)</w:t>
            </w:r>
            <w:r w:rsidRPr="009F2503">
              <w:tab/>
              <w:t xml:space="preserve">„ekološka putovnica vozila” ili „EVP” znači zapis u papirnatom i digitalnom obliku koji sadržava </w:t>
            </w:r>
            <w:r w:rsidRPr="009F2503">
              <w:rPr>
                <w:b/>
                <w:i/>
              </w:rPr>
              <w:t>sve potrebne informacije za provjeru ispitanih</w:t>
            </w:r>
            <w:r w:rsidRPr="009F2503">
              <w:t xml:space="preserve"> vrijednosti </w:t>
            </w:r>
            <w:r w:rsidRPr="009F2503">
              <w:rPr>
                <w:b/>
                <w:i/>
              </w:rPr>
              <w:t>i vrijednosti koje je deklarirao proizvođač tijekom homologacije</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3. – stavak 2. – točka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(72)</w:t>
            </w:r>
            <w:r w:rsidRPr="009F2503">
              <w:tab/>
              <w:t xml:space="preserve">„sustav za upozoravanje vozača na </w:t>
            </w:r>
            <w:r w:rsidRPr="009F2503">
              <w:lastRenderedPageBreak/>
              <w:t xml:space="preserve">prekomjerne </w:t>
            </w:r>
            <w:r w:rsidRPr="009F2503">
              <w:rPr>
                <w:b/>
                <w:i/>
              </w:rPr>
              <w:t>emisije”</w:t>
            </w:r>
            <w:r w:rsidRPr="009F2503">
              <w:t xml:space="preserve"> znači sustav konstruiran, izrađen i ugrađen u vozilo radi informiranja korisnika o prekomjernim emisijama i prinude da se izvrši popravak;</w:t>
            </w:r>
          </w:p>
        </w:tc>
        <w:tc>
          <w:tcPr>
            <w:tcW w:w="4876" w:type="dxa"/>
          </w:tcPr>
          <w:p w:rsidR="00D00FC9" w:rsidRPr="009F2503" w:rsidRDefault="00D00FC9" w:rsidP="00605A38">
            <w:pPr>
              <w:pStyle w:val="Normal6a"/>
            </w:pPr>
            <w:r w:rsidRPr="009F2503">
              <w:lastRenderedPageBreak/>
              <w:t>(72)</w:t>
            </w:r>
            <w:r w:rsidRPr="009F2503">
              <w:tab/>
              <w:t xml:space="preserve">„sustav za upozoravanje vozača na </w:t>
            </w:r>
            <w:r w:rsidRPr="009F2503">
              <w:lastRenderedPageBreak/>
              <w:t xml:space="preserve">prekomjerne </w:t>
            </w:r>
            <w:r w:rsidRPr="009F2503">
              <w:rPr>
                <w:b/>
                <w:i/>
              </w:rPr>
              <w:t>emisije ispušnih plinova”</w:t>
            </w:r>
            <w:r w:rsidRPr="009F2503">
              <w:t xml:space="preserve"> znači sustav konstruiran, izrađen i ugrađen u vozilo radi informiranja korisnika o prekomjernim emisijama</w:t>
            </w:r>
            <w:r w:rsidRPr="009F2503">
              <w:rPr>
                <w:b/>
                <w:i/>
              </w:rPr>
              <w:t xml:space="preserve"> ispušnih plinova</w:t>
            </w:r>
            <w:r w:rsidRPr="009F2503">
              <w:t xml:space="preserve"> i prinude da se izvrši popravak;</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(77)</w:t>
            </w:r>
            <w:r w:rsidRPr="009F2503">
              <w:tab/>
            </w:r>
            <w:r w:rsidRPr="009F2503">
              <w:rPr>
                <w:b/>
                <w:i/>
              </w:rPr>
              <w:t xml:space="preserve">„guma za snijeg” znači guma s uzorkom </w:t>
            </w:r>
            <w:proofErr w:type="spellStart"/>
            <w:r w:rsidRPr="009F2503">
              <w:rPr>
                <w:b/>
                <w:i/>
              </w:rPr>
              <w:t>gaznog</w:t>
            </w:r>
            <w:proofErr w:type="spellEnd"/>
            <w:r w:rsidRPr="009F2503">
              <w:rPr>
                <w:b/>
                <w:i/>
              </w:rPr>
              <w:t xml:space="preserve"> sloja, sastavom </w:t>
            </w:r>
            <w:proofErr w:type="spellStart"/>
            <w:r w:rsidRPr="009F2503">
              <w:rPr>
                <w:b/>
                <w:i/>
              </w:rPr>
              <w:t>gaznog</w:t>
            </w:r>
            <w:proofErr w:type="spellEnd"/>
            <w:r w:rsidRPr="009F2503">
              <w:rPr>
                <w:b/>
                <w:i/>
              </w:rPr>
              <w:t xml:space="preserve"> sloja ili strukturom konstruiranim prvenstveno da se u zimskim uvjetima postigne bolji učinak u odnosu na običnu gumu s obzirom na utjecaj gume na pokretanje ili održavanje kretanja vozila;</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(78)</w:t>
            </w:r>
            <w:r w:rsidRPr="009F2503">
              <w:tab/>
            </w:r>
            <w:r w:rsidRPr="009F2503">
              <w:rPr>
                <w:b/>
                <w:i/>
              </w:rPr>
              <w:t>„guma za posebnu uporabu” znači guma namijenjena za uporabu na cesti i izvan nje ili za druge posebne namjene. Te su gume prvenstveno konstruirane za pokretanje i održavanje kretanja vozila u terenskim uvjetima.</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3. – stavak 2. – točka 78.a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(78.a)</w:t>
            </w:r>
            <w:r w:rsidRPr="009F2503">
              <w:tab/>
            </w:r>
            <w:r w:rsidRPr="009F2503">
              <w:rPr>
                <w:b/>
                <w:i/>
              </w:rPr>
              <w:t xml:space="preserve">„guma za led” znači guma za snijeg razreda C1 za teške zimske uvjete, koja je osmišljena i za upotrebu na </w:t>
            </w:r>
            <w:r w:rsidRPr="009F2503">
              <w:rPr>
                <w:b/>
                <w:i/>
              </w:rPr>
              <w:lastRenderedPageBreak/>
              <w:t>površinama ceste pokrivenima ledom te ispunjava zahtjeve iz Pravilnika UN-a br. 117.</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t>Proizvođači osiguravaju da su nova vozila koja proizvode te koja se prodaju, registriraju ili stavljaju u uporabu u Uniji homologirana u skladu s ovom Uredbom. Proizvođači osiguravaju da su novi sastavni dijelovi ili zasebne tehničke jedinice, uključujući motore, pogonske baterije, kočne sustave i zamjenske sustave za kontrolu onečišćenja za koje je potrebna homologacija, koje proizvode i koji se prodaju ili stavljaju u uporabu u Uniji homologirani u skladu s ovom Uredbom.</w:t>
            </w:r>
          </w:p>
        </w:tc>
        <w:tc>
          <w:tcPr>
            <w:tcW w:w="4876" w:type="dxa"/>
          </w:tcPr>
          <w:p w:rsidR="00D00FC9" w:rsidRPr="009F2503" w:rsidRDefault="00D00FC9" w:rsidP="00605A38">
            <w:pPr>
              <w:pStyle w:val="Normal6a"/>
            </w:pPr>
            <w:r w:rsidRPr="009F2503">
              <w:t>1.</w:t>
            </w:r>
            <w:r w:rsidRPr="009F2503">
              <w:tab/>
              <w:t xml:space="preserve">Proizvođači osiguravaju da su nova vozila koja proizvode te koja se prodaju, registriraju ili stavljaju u uporabu u Uniji homologirana u skladu s ovom Uredbom. </w:t>
            </w:r>
            <w:r w:rsidRPr="009F2503">
              <w:rPr>
                <w:b/>
                <w:i/>
              </w:rPr>
              <w:t xml:space="preserve">Od posebnih datuma primjene utvrđenih u ovoj Uredbi </w:t>
            </w:r>
            <w:r w:rsidRPr="009F2503">
              <w:t>proizvođači osiguravaju da su novi sastavni dijelovi ili zasebne tehničke jedinice, uključujući motore, pogonske baterije, kočne sustave</w:t>
            </w:r>
            <w:r w:rsidRPr="009F2503">
              <w:rPr>
                <w:b/>
                <w:i/>
              </w:rPr>
              <w:t>, gume</w:t>
            </w:r>
            <w:r w:rsidRPr="009F2503">
              <w:t xml:space="preserve"> i zamjenske sustave za kontrolu onečišćenja za koje je potrebna homologacija, koje proizvode i koji se prodaju ili stavljaju u uporabu u Uniji homologirani u skladu s ovom Uredbom.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59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4. – stavak 3.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 xml:space="preserve">Ako se pri provjeri usklađenosti s graničnim vrijednostima emisija ispušnih plinova ispitivanje provodi u </w:t>
            </w:r>
            <w:r w:rsidRPr="009F2503">
              <w:rPr>
                <w:b/>
                <w:i/>
              </w:rPr>
              <w:t>proširenim uvjetima</w:t>
            </w:r>
            <w:r w:rsidRPr="009F2503">
              <w:t xml:space="preserve"> vožnje, emisije se dijele s divizorom za proširene uvjete vožnje iz Priloga III.</w:t>
            </w:r>
          </w:p>
        </w:tc>
        <w:tc>
          <w:tcPr>
            <w:tcW w:w="4876" w:type="dxa"/>
          </w:tcPr>
          <w:p w:rsidR="00D00FC9" w:rsidRPr="009F2503" w:rsidRDefault="00D00FC9" w:rsidP="00605A38">
            <w:pPr>
              <w:pStyle w:val="Normal6a"/>
            </w:pPr>
            <w:r w:rsidRPr="009F2503">
              <w:t xml:space="preserve">Ako se pri provjeri usklađenosti s graničnim vrijednostima emisija ispušnih plinova ispitivanje provodi u </w:t>
            </w:r>
            <w:r w:rsidRPr="009F2503">
              <w:rPr>
                <w:b/>
                <w:i/>
              </w:rPr>
              <w:t>jednom proširenom uvjetu</w:t>
            </w:r>
            <w:r w:rsidRPr="009F2503">
              <w:t xml:space="preserve"> vožnje</w:t>
            </w:r>
            <w:r w:rsidRPr="009F2503">
              <w:rPr>
                <w:b/>
                <w:i/>
              </w:rPr>
              <w:t xml:space="preserve"> odjednom</w:t>
            </w:r>
            <w:r w:rsidRPr="009F2503">
              <w:t>, emisije se dijele s divizorom za proširene uvjete vožnje iz Priloga III.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4. – stavak 3.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 xml:space="preserve">Emisije ispuštene za vrijeme regeneracije sustavâ za kontrolu onečišćenja </w:t>
            </w:r>
            <w:r w:rsidRPr="009F2503">
              <w:rPr>
                <w:b/>
                <w:i/>
              </w:rPr>
              <w:t>uključit će</w:t>
            </w:r>
            <w:r w:rsidRPr="009F2503">
              <w:t xml:space="preserve"> se kao ponderirani prosjek na temelju učestalosti i trajanja regeneracijskih događaja.</w:t>
            </w:r>
          </w:p>
        </w:tc>
        <w:tc>
          <w:tcPr>
            <w:tcW w:w="4876" w:type="dxa"/>
          </w:tcPr>
          <w:p w:rsidR="00D00FC9" w:rsidRPr="009F2503" w:rsidRDefault="00D00FC9" w:rsidP="00605A38">
            <w:pPr>
              <w:pStyle w:val="Normal6a"/>
            </w:pPr>
            <w:r w:rsidRPr="009F2503">
              <w:t xml:space="preserve">Emisije ispuštene za vrijeme regeneracije sustavâ za kontrolu onečišćenja </w:t>
            </w:r>
            <w:r w:rsidRPr="009F2503">
              <w:rPr>
                <w:b/>
                <w:i/>
              </w:rPr>
              <w:t>uključuju</w:t>
            </w:r>
            <w:r w:rsidRPr="009F2503">
              <w:t xml:space="preserve"> se kao ponderirani prosjek na temelju učestalosti i trajanja regeneracijskih događaja.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w:t>
            </w:r>
            <w:r w:rsidRPr="009F2503">
              <w:tab/>
              <w:t>Proizvođači konstruiraju i izrađuju sastavne dijelove ili zasebne tehničke jedinice, uključujući motore, pogonske baterije, kočne sustave i zamjenske sustave za kontrolu onečišćenja, kako bi bili u skladu s ovom Uredbom, među ostalim s graničnim vrijednostima emisija utvrđenima u Prilogu I.</w:t>
            </w:r>
          </w:p>
        </w:tc>
        <w:tc>
          <w:tcPr>
            <w:tcW w:w="4876" w:type="dxa"/>
          </w:tcPr>
          <w:p w:rsidR="00D00FC9" w:rsidRPr="009F2503" w:rsidRDefault="00D00FC9" w:rsidP="00605A38">
            <w:pPr>
              <w:pStyle w:val="Normal6a"/>
            </w:pPr>
            <w:r w:rsidRPr="009F2503">
              <w:t>4.</w:t>
            </w:r>
            <w:r w:rsidRPr="009F2503">
              <w:tab/>
              <w:t>Proizvođači konstruiraju i izrađuju sastavne dijelove ili zasebne tehničke jedinice, uključujući motore, pogonske baterije, kočne sustave i zamjenske sustave za kontrolu onečišćenja, kako bi bili u skladu s ovom Uredbom, među ostalim s graničnim vrijednostima emisija utvrđenima u Prilogu I.</w:t>
            </w:r>
            <w:r w:rsidRPr="009F2503">
              <w:rPr>
                <w:b/>
                <w:i/>
              </w:rPr>
              <w:t xml:space="preserve"> u uvjetima ispitivanja iz Priloga III.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6.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(a)</w:t>
            </w:r>
            <w:r w:rsidRPr="009F2503">
              <w:tab/>
            </w:r>
            <w:r w:rsidRPr="009F2503">
              <w:rPr>
                <w:b/>
                <w:i/>
              </w:rPr>
              <w:t>OBD-e</w:t>
            </w:r>
            <w:r w:rsidRPr="009F2503">
              <w:t xml:space="preserve"> koji mogu otkriti neispravne sustave koji dovode do prekoračenja vrijednosti emisija kako bi se olakšali popravci;</w:t>
            </w:r>
          </w:p>
        </w:tc>
        <w:tc>
          <w:tcPr>
            <w:tcW w:w="4876" w:type="dxa"/>
          </w:tcPr>
          <w:p w:rsidR="00D00FC9" w:rsidRPr="009F2503" w:rsidRDefault="00D00FC9" w:rsidP="00605A38">
            <w:pPr>
              <w:pStyle w:val="Normal6a"/>
            </w:pPr>
            <w:r w:rsidRPr="009F2503">
              <w:t>(a)</w:t>
            </w:r>
            <w:r w:rsidRPr="009F2503">
              <w:tab/>
            </w:r>
            <w:r w:rsidRPr="009F2503">
              <w:rPr>
                <w:b/>
                <w:i/>
              </w:rPr>
              <w:t>OBD-ove</w:t>
            </w:r>
            <w:r w:rsidRPr="009F2503">
              <w:t xml:space="preserve"> koji mogu otkriti neispravne sustave koji dovode do prekoračenja vrijednosti emisija</w:t>
            </w:r>
            <w:r w:rsidRPr="009F2503">
              <w:rPr>
                <w:b/>
                <w:i/>
              </w:rPr>
              <w:t xml:space="preserve"> ispušnih plinova ili neispravnosti drugih sastavnih dijelova</w:t>
            </w:r>
            <w:r w:rsidRPr="009F2503">
              <w:t xml:space="preserve"> kako bi se olakšali popravci;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6.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lastRenderedPageBreak/>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(b)</w:t>
            </w:r>
            <w:r w:rsidRPr="009F2503">
              <w:tab/>
            </w:r>
            <w:r w:rsidRPr="009F2503">
              <w:rPr>
                <w:b/>
                <w:i/>
              </w:rPr>
              <w:t>OBM-e</w:t>
            </w:r>
            <w:r w:rsidRPr="009F2503">
              <w:t xml:space="preserve"> koji mogu otkriti emisije više od graničnih vrijednosti emisija uslijed kvarova, povećane degradacije ili drugih situacija u kojima se povećavaju emisije;</w:t>
            </w:r>
          </w:p>
        </w:tc>
        <w:tc>
          <w:tcPr>
            <w:tcW w:w="4876" w:type="dxa"/>
          </w:tcPr>
          <w:p w:rsidR="00D00FC9" w:rsidRPr="009F2503" w:rsidRDefault="00D00FC9" w:rsidP="00605A38">
            <w:pPr>
              <w:pStyle w:val="Normal6a"/>
            </w:pPr>
            <w:r w:rsidRPr="009F2503">
              <w:t>(b)</w:t>
            </w:r>
            <w:r w:rsidRPr="009F2503">
              <w:tab/>
            </w:r>
            <w:r w:rsidRPr="009F2503">
              <w:rPr>
                <w:b/>
                <w:i/>
              </w:rPr>
              <w:t>OBM-ove</w:t>
            </w:r>
            <w:r w:rsidRPr="009F2503">
              <w:t xml:space="preserve"> koji mogu otkriti emisije više od graničnih vrijednosti emisija uslijed kvarova, povećane degradacije ili drugih situacija u kojima se povećavaju emisije</w:t>
            </w:r>
            <w:r w:rsidRPr="009F2503">
              <w:rPr>
                <w:b/>
                <w:i/>
              </w:rPr>
              <w:t xml:space="preserve"> unutar dopuštenih mjernih odstupanja OBM-a ili načina rada s nultom stopom emisija</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6.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(d)</w:t>
            </w:r>
            <w:r w:rsidRPr="009F2503">
              <w:tab/>
              <w:t>uređaje za praćenje ispravnosti pogonske baterije</w:t>
            </w:r>
            <w:r w:rsidRPr="009F2503">
              <w:rPr>
                <w:b/>
                <w:i/>
              </w:rPr>
              <w:t xml:space="preserve"> i sustava za emisije</w:t>
            </w:r>
            <w:r w:rsidRPr="009F2503">
              <w:t>;</w:t>
            </w:r>
          </w:p>
        </w:tc>
        <w:tc>
          <w:tcPr>
            <w:tcW w:w="4876" w:type="dxa"/>
          </w:tcPr>
          <w:p w:rsidR="00D00FC9" w:rsidRPr="009F2503" w:rsidRDefault="00D00FC9" w:rsidP="00605A38">
            <w:pPr>
              <w:pStyle w:val="Normal6a"/>
            </w:pPr>
            <w:r w:rsidRPr="009F2503">
              <w:t>(d)</w:t>
            </w:r>
            <w:r w:rsidRPr="009F2503">
              <w:tab/>
              <w:t>uređaje za praćenje ispravnosti pogonske baterije;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6.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(e)</w:t>
            </w:r>
            <w:r w:rsidRPr="009F2503">
              <w:tab/>
              <w:t>sustave za upozoravanje vozača na prekomjerne emisije;</w:t>
            </w:r>
          </w:p>
        </w:tc>
        <w:tc>
          <w:tcPr>
            <w:tcW w:w="4876" w:type="dxa"/>
          </w:tcPr>
          <w:p w:rsidR="00D00FC9" w:rsidRPr="009F2503" w:rsidRDefault="00D00FC9" w:rsidP="00605A38">
            <w:pPr>
              <w:pStyle w:val="Normal6a"/>
            </w:pPr>
            <w:r w:rsidRPr="009F2503">
              <w:t>(e)</w:t>
            </w:r>
            <w:r w:rsidRPr="009F2503">
              <w:tab/>
              <w:t>sustave za upozoravanje vozača na prekomjerne emisije</w:t>
            </w:r>
            <w:r w:rsidRPr="009F2503">
              <w:rPr>
                <w:b/>
                <w:i/>
              </w:rPr>
              <w:t xml:space="preserve"> ispušnih plinova</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6.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(g)</w:t>
            </w:r>
            <w:r w:rsidRPr="009F2503">
              <w:tab/>
              <w:t xml:space="preserve">uređaje koji šalju podatke generirane u vozilu koji se upotrebljavaju za usklađivanje s ovom Uredbom i podatke OBFCM-a, za potrebe bežičnih periodičnih tehničkih pregleda i pregleda tehničke ispravnosti na cesti te za potrebe komunikacije s infrastrukturom za punjenje i stacionarnim sustavima za napajanje koji </w:t>
            </w:r>
            <w:r w:rsidRPr="009F2503">
              <w:lastRenderedPageBreak/>
              <w:t>podržavaju funkcionalnosti pametnog i dvosmjernog punjenja.</w:t>
            </w:r>
          </w:p>
        </w:tc>
        <w:tc>
          <w:tcPr>
            <w:tcW w:w="4876" w:type="dxa"/>
          </w:tcPr>
          <w:p w:rsidR="00D00FC9" w:rsidRPr="009F2503" w:rsidRDefault="00D00FC9" w:rsidP="00605A38">
            <w:pPr>
              <w:pStyle w:val="Normal6a"/>
            </w:pPr>
            <w:r w:rsidRPr="009F2503">
              <w:lastRenderedPageBreak/>
              <w:t>(g)</w:t>
            </w:r>
            <w:r w:rsidRPr="009F2503">
              <w:tab/>
              <w:t xml:space="preserve">uređaje koji šalju podatke generirane u vozilu </w:t>
            </w:r>
            <w:r w:rsidRPr="009F2503">
              <w:rPr>
                <w:b/>
                <w:i/>
              </w:rPr>
              <w:t xml:space="preserve">zajedno s </w:t>
            </w:r>
            <w:proofErr w:type="spellStart"/>
            <w:r w:rsidRPr="009F2503">
              <w:rPr>
                <w:b/>
                <w:i/>
              </w:rPr>
              <w:t>homologacijskim</w:t>
            </w:r>
            <w:proofErr w:type="spellEnd"/>
            <w:r w:rsidRPr="009F2503">
              <w:rPr>
                <w:b/>
                <w:i/>
              </w:rPr>
              <w:t xml:space="preserve"> brojem i varijantom homologacije </w:t>
            </w:r>
            <w:r w:rsidRPr="009F2503">
              <w:t xml:space="preserve">koji se upotrebljavaju za usklađivanje s ovom Uredbom i podatke OBFCM-a, za potrebe bežičnih periodičnih tehničkih pregleda i pregleda tehničke ispravnosti na cesti te za potrebe </w:t>
            </w:r>
            <w:r w:rsidRPr="009F2503">
              <w:lastRenderedPageBreak/>
              <w:t>komunikacije s infrastrukturom za punjenje i stacionarnim sustavima za napajanje koji podržavaju funkcionalnosti pametnog i dvosmjernog punjenja</w:t>
            </w:r>
            <w:r w:rsidRPr="009F2503">
              <w:rPr>
                <w:b/>
                <w:i/>
              </w:rPr>
              <w:t xml:space="preserve"> te također za pružanje usluga treće strane korisniku vozila kako bi se poboljšala upotreba vozila, smanjila potrošnja energije i emisije ili produljio životni vijek njegove baterije tijekom upotrebe</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4. – stavak 7.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(d)</w:t>
            </w:r>
            <w:r w:rsidRPr="009F2503">
              <w:tab/>
              <w:t>brojaču kilometara</w:t>
            </w:r>
            <w:r w:rsidRPr="009F2503">
              <w:rPr>
                <w:b/>
                <w:i/>
              </w:rPr>
              <w:t>; i</w:t>
            </w:r>
          </w:p>
        </w:tc>
        <w:tc>
          <w:tcPr>
            <w:tcW w:w="4876" w:type="dxa"/>
          </w:tcPr>
          <w:p w:rsidR="00D00FC9" w:rsidRPr="009F2503" w:rsidRDefault="00D00FC9" w:rsidP="00605A38">
            <w:pPr>
              <w:pStyle w:val="Normal6a"/>
            </w:pPr>
            <w:r w:rsidRPr="009F2503">
              <w:t>(d)</w:t>
            </w:r>
            <w:r w:rsidRPr="009F2503">
              <w:tab/>
              <w:t>brojaču kilometara</w:t>
            </w:r>
            <w:r w:rsidRPr="009F2503">
              <w:rPr>
                <w:b/>
                <w:i/>
              </w:rPr>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 xml:space="preserve">Članak 4. – stavak 7. – točka </w:t>
      </w:r>
      <w:proofErr w:type="spellStart"/>
      <w:r w:rsidRPr="009F2503">
        <w:rPr>
          <w:b w:val="0"/>
        </w:rPr>
        <w:t>ea</w:t>
      </w:r>
      <w:proofErr w:type="spellEnd"/>
      <w:r w:rsidRPr="009F2503">
        <w:rPr>
          <w:b w:val="0"/>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w:t>
            </w:r>
            <w:proofErr w:type="spellStart"/>
            <w:r w:rsidRPr="009F2503">
              <w:rPr>
                <w:b/>
                <w:i/>
              </w:rPr>
              <w:t>ea</w:t>
            </w:r>
            <w:proofErr w:type="spellEnd"/>
            <w:r w:rsidRPr="009F2503">
              <w:rPr>
                <w:b/>
                <w:i/>
              </w:rPr>
              <w:t>)</w:t>
            </w:r>
            <w:r w:rsidRPr="009F2503">
              <w:tab/>
            </w:r>
            <w:r w:rsidRPr="009F2503">
              <w:rPr>
                <w:b/>
                <w:i/>
              </w:rPr>
              <w:t>električni motor i povezane upravljačke jedinice,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69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 xml:space="preserve">Članak 4. – stavak 7. – točka </w:t>
      </w:r>
      <w:proofErr w:type="spellStart"/>
      <w:r w:rsidRPr="009F2503">
        <w:rPr>
          <w:b w:val="0"/>
        </w:rPr>
        <w:t>eb</w:t>
      </w:r>
      <w:proofErr w:type="spellEnd"/>
      <w:r w:rsidRPr="009F2503">
        <w:rPr>
          <w:b w:val="0"/>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w:t>
            </w:r>
            <w:proofErr w:type="spellStart"/>
            <w:r w:rsidRPr="009F2503">
              <w:rPr>
                <w:b/>
                <w:i/>
              </w:rPr>
              <w:t>eb</w:t>
            </w:r>
            <w:proofErr w:type="spellEnd"/>
            <w:r w:rsidRPr="009F2503">
              <w:rPr>
                <w:b/>
                <w:i/>
              </w:rPr>
              <w:t>)</w:t>
            </w:r>
            <w:r w:rsidRPr="009F2503">
              <w:tab/>
            </w:r>
            <w:r w:rsidRPr="009F2503">
              <w:rPr>
                <w:b/>
                <w:i/>
              </w:rPr>
              <w:t>sigurnosni sustavi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4. – stavak 8.</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8.</w:t>
            </w:r>
            <w:r w:rsidRPr="009F2503">
              <w:tab/>
              <w:t xml:space="preserve">Proizvođač mora spriječiti mogućnost iskorištavanja ranjivosti iz stavka 7. Ako se takva ranjivost otkrije, proizvođač </w:t>
            </w:r>
            <w:r w:rsidRPr="009F2503">
              <w:rPr>
                <w:b/>
                <w:i/>
              </w:rPr>
              <w:t>uklanja ranjivost</w:t>
            </w:r>
            <w:r w:rsidRPr="009F2503">
              <w:t xml:space="preserve"> ažuriranjem softvera ili na neki drugi odgovarajući način.</w:t>
            </w:r>
          </w:p>
        </w:tc>
        <w:tc>
          <w:tcPr>
            <w:tcW w:w="4876" w:type="dxa"/>
          </w:tcPr>
          <w:p w:rsidR="00D00FC9" w:rsidRPr="009F2503" w:rsidRDefault="00D00FC9" w:rsidP="00605A38">
            <w:pPr>
              <w:pStyle w:val="Normal6a"/>
            </w:pPr>
            <w:r w:rsidRPr="009F2503">
              <w:t>8.</w:t>
            </w:r>
            <w:r w:rsidRPr="009F2503">
              <w:tab/>
              <w:t xml:space="preserve">Proizvođač mora spriječiti mogućnost iskorištavanja ranjivosti iz stavka 7. </w:t>
            </w:r>
            <w:r w:rsidRPr="009F2503">
              <w:rPr>
                <w:b/>
                <w:i/>
              </w:rPr>
              <w:t>u najvećoj mogućoj mjeri na temelju najboljeg dostupnog znanja u vrijeme homologacije.</w:t>
            </w:r>
            <w:r w:rsidRPr="009F2503">
              <w:t xml:space="preserve"> Ako se takva ranjivost otkrije, proizvođač </w:t>
            </w:r>
            <w:r w:rsidRPr="009F2503">
              <w:rPr>
                <w:b/>
                <w:i/>
              </w:rPr>
              <w:t>poduzima sve moguće mjere za uklanjanje ranjivosti u skladu s tehnološkim razvojem</w:t>
            </w:r>
            <w:r w:rsidRPr="009F2503">
              <w:t xml:space="preserve"> ažuriranjem softvera ili na neki drugi odgovarajući način.</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4. – stavak 8.a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8.a</w:t>
            </w:r>
            <w:r w:rsidRPr="009F2503">
              <w:tab/>
            </w:r>
            <w:r w:rsidRPr="009F2503">
              <w:rPr>
                <w:b/>
                <w:i/>
              </w:rPr>
              <w:t xml:space="preserve">Proizvođači neovisnim subjektima osiguravaju pristup informacijama, alatima i procesima potrebnima za razvoj kompatibilnih zamjenskih dijelova na </w:t>
            </w:r>
            <w:proofErr w:type="spellStart"/>
            <w:r w:rsidRPr="009F2503">
              <w:rPr>
                <w:b/>
                <w:i/>
              </w:rPr>
              <w:t>poslijeprodajnom</w:t>
            </w:r>
            <w:proofErr w:type="spellEnd"/>
            <w:r w:rsidRPr="009F2503">
              <w:rPr>
                <w:b/>
                <w:i/>
              </w:rPr>
              <w:t xml:space="preserve"> tržištu koji ispunjavaju tehničke zahtjeve proizvođača te sposobnost ugradnje i aktiviranja tih dijelova u vozilu, uključujući sastavne dijelove povezane s OBM-om, u skladu s mjerama za zaštitu od nedopuštenih zahvata koje je proveo proizvođač.</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Pri razmatranju da se radi sprečavanja neovlaštenih zahvata uskrate takve informacije, alati i procesi koji su ključni za neovisne operatore proizvođači vozila trebali bi dokazati bi li uskraćivanje tih informacija, alata i procesa bilo proporcionalno sredstvo za rješavanje problema takvih neovlaštenih zahvata. Stoga osobito ispituju jesu li dovoljne manje restriktivne mjere.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72</w:t>
      </w:r>
    </w:p>
    <w:p w:rsidR="00D00FC9" w:rsidRPr="009F2503" w:rsidRDefault="00D00FC9" w:rsidP="00D00FC9">
      <w:pPr>
        <w:pStyle w:val="NormalBold12b"/>
      </w:pPr>
    </w:p>
    <w:p w:rsidR="00D00FC9" w:rsidRPr="009F2503" w:rsidRDefault="00D00FC9" w:rsidP="00D00FC9">
      <w:pPr>
        <w:pStyle w:val="NormalBold"/>
      </w:pPr>
      <w:r w:rsidRPr="009F2503">
        <w:lastRenderedPageBreak/>
        <w:t>Prijedlog uredbe</w:t>
      </w:r>
    </w:p>
    <w:p w:rsidR="00D00FC9" w:rsidRPr="009F2503" w:rsidRDefault="00D00FC9" w:rsidP="00D00FC9">
      <w:pPr>
        <w:pStyle w:val="NormalBold"/>
      </w:pPr>
      <w:r w:rsidRPr="009F2503">
        <w:rPr>
          <w:b w:val="0"/>
        </w:rPr>
        <w:t>Članak 4. – stavak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10.</w:t>
            </w:r>
            <w:r w:rsidRPr="009F2503">
              <w:tab/>
            </w:r>
            <w:r w:rsidRPr="009F2503">
              <w:rPr>
                <w:b/>
                <w:i/>
              </w:rPr>
              <w:t>Komisija provedbenim aktima donosi detaljna pravila o postupcima, ispitivanjima i metodologijama za provjeru usklađenosti sa zahtjevima utvrđenima u stavcima od 1. do 9. Ti se provedbeni akti donose u skladu s postupkom ispitivanja iz članka 17. stavka 2.</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1.</w:t>
            </w:r>
            <w:r w:rsidRPr="009F2503">
              <w:tab/>
            </w:r>
            <w:r w:rsidRPr="009F2503">
              <w:rPr>
                <w:b/>
                <w:i/>
              </w:rPr>
              <w:t>Proizvođači mogu vozila koja proizvode označiti kao „vozila Euro 7+” ako ta vozila ispunjavaju sljedeće uvjete:</w:t>
            </w:r>
          </w:p>
        </w:tc>
        <w:tc>
          <w:tcPr>
            <w:tcW w:w="4876" w:type="dxa"/>
          </w:tcPr>
          <w:p w:rsidR="00D00FC9" w:rsidRPr="009F2503" w:rsidRDefault="00D00FC9" w:rsidP="00605A38">
            <w:pPr>
              <w:pStyle w:val="Normal6a"/>
            </w:pPr>
            <w:r w:rsidRPr="009F2503">
              <w:rPr>
                <w:b/>
                <w:i/>
              </w:rPr>
              <w:t>Briše se.</w:t>
            </w:r>
          </w:p>
        </w:tc>
      </w:tr>
      <w:tr w:rsidR="00D00FC9" w:rsidRPr="009F2503" w:rsidTr="00605A38">
        <w:trPr>
          <w:jc w:val="center"/>
        </w:trPr>
        <w:tc>
          <w:tcPr>
            <w:tcW w:w="4876" w:type="dxa"/>
          </w:tcPr>
          <w:p w:rsidR="00D00FC9" w:rsidRPr="009F2503" w:rsidRDefault="00D00FC9" w:rsidP="00605A38">
            <w:pPr>
              <w:pStyle w:val="Normal6a"/>
            </w:pPr>
            <w:r w:rsidRPr="009F2503">
              <w:rPr>
                <w:b/>
                <w:i/>
              </w:rPr>
              <w:t xml:space="preserve">(a) </w:t>
            </w:r>
            <w:r w:rsidRPr="009F2503">
              <w:tab/>
            </w:r>
            <w:r w:rsidRPr="009F2503">
              <w:rPr>
                <w:b/>
                <w:i/>
              </w:rPr>
              <w:t>za ICEV i NOVC-HEV ako se deklarira usklađenost s najmanje 20 % nižim graničnim vrijednostima emisija od onih utvrđenih u Prilogu I. za plinovite onečišćujuće tvari i s jednim redom veličine nižim graničnim vrijednostima za broj emisijskih čestica;</w:t>
            </w:r>
          </w:p>
        </w:tc>
        <w:tc>
          <w:tcPr>
            <w:tcW w:w="4876" w:type="dxa"/>
          </w:tcPr>
          <w:p w:rsidR="00D00FC9" w:rsidRPr="009F2503" w:rsidRDefault="00D00FC9" w:rsidP="00605A38">
            <w:pPr>
              <w:pStyle w:val="Normal6a"/>
            </w:pPr>
          </w:p>
        </w:tc>
      </w:tr>
      <w:tr w:rsidR="00D00FC9" w:rsidRPr="009F2503" w:rsidTr="00605A38">
        <w:trPr>
          <w:jc w:val="center"/>
        </w:trPr>
        <w:tc>
          <w:tcPr>
            <w:tcW w:w="4876" w:type="dxa"/>
          </w:tcPr>
          <w:p w:rsidR="00D00FC9" w:rsidRPr="009F2503" w:rsidRDefault="00D00FC9" w:rsidP="00605A38">
            <w:pPr>
              <w:pStyle w:val="Normal6a"/>
            </w:pPr>
            <w:r w:rsidRPr="009F2503">
              <w:rPr>
                <w:b/>
                <w:i/>
              </w:rPr>
              <w:t xml:space="preserve">(b) </w:t>
            </w:r>
            <w:r w:rsidRPr="009F2503">
              <w:tab/>
            </w:r>
            <w:r w:rsidRPr="009F2503">
              <w:rPr>
                <w:b/>
                <w:i/>
              </w:rPr>
              <w:t>za OVC-HEV ako se deklarira usklađenost s najmanje 20 % nižim graničnim vrijednostima emisija od onih utvrđenih u Prilogu I. za plinovite onečišćujuće tvari, jednim redom veličine nižim graničnim vrijednostima za broj emisijskih čestica i s trajnošću baterije koja je za najmanje 10 postotnih bodova viša od zahtjeva utvrđenih u Prilogu II.;</w:t>
            </w:r>
          </w:p>
        </w:tc>
        <w:tc>
          <w:tcPr>
            <w:tcW w:w="4876" w:type="dxa"/>
          </w:tcPr>
          <w:p w:rsidR="00D00FC9" w:rsidRPr="009F2503" w:rsidRDefault="00D00FC9" w:rsidP="00605A38">
            <w:pPr>
              <w:pStyle w:val="Normal6a"/>
            </w:pPr>
          </w:p>
        </w:tc>
      </w:tr>
      <w:tr w:rsidR="00D00FC9" w:rsidRPr="009F2503" w:rsidTr="00605A38">
        <w:trPr>
          <w:jc w:val="center"/>
        </w:trPr>
        <w:tc>
          <w:tcPr>
            <w:tcW w:w="4876" w:type="dxa"/>
          </w:tcPr>
          <w:p w:rsidR="00D00FC9" w:rsidRPr="009F2503" w:rsidRDefault="00D00FC9" w:rsidP="00605A38">
            <w:pPr>
              <w:pStyle w:val="Normal6a"/>
            </w:pPr>
            <w:r w:rsidRPr="009F2503">
              <w:rPr>
                <w:b/>
                <w:i/>
              </w:rPr>
              <w:t>(c)</w:t>
            </w:r>
            <w:r w:rsidRPr="009F2503">
              <w:tab/>
            </w:r>
            <w:r w:rsidRPr="009F2503">
              <w:rPr>
                <w:b/>
                <w:i/>
              </w:rPr>
              <w:t xml:space="preserve"> za PEV ako se deklarira trajnost baterije koja je za najmanje 10 postotnih bodova viša od zahtjeva utvrđenih u Prilogu II.</w:t>
            </w:r>
          </w:p>
        </w:tc>
        <w:tc>
          <w:tcPr>
            <w:tcW w:w="4876" w:type="dxa"/>
          </w:tcPr>
          <w:p w:rsidR="00D00FC9" w:rsidRPr="009F2503" w:rsidRDefault="00D00FC9" w:rsidP="00605A38">
            <w:pPr>
              <w:pStyle w:val="Normal6a"/>
            </w:pP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5.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2.</w:t>
            </w:r>
            <w:r w:rsidRPr="009F2503">
              <w:tab/>
            </w:r>
            <w:r w:rsidRPr="009F2503">
              <w:rPr>
                <w:b/>
                <w:i/>
              </w:rPr>
              <w:t>Usklađenost tih vozila sa zahtjevima iz stavka 1. provjerava se u odnosu na deklarirane vrijednosti.</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5.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3.</w:t>
            </w:r>
            <w:r w:rsidRPr="009F2503">
              <w:tab/>
            </w:r>
            <w:r w:rsidRPr="009F2503">
              <w:rPr>
                <w:b/>
                <w:i/>
              </w:rPr>
              <w:t xml:space="preserve">Proizvođači mogu vozila označiti kao „vozilo Euro 7A” ako su ta vozila opremljena funkcijama adaptivne kontrole. Uporaba funkcija adaptivne kontrole dokazuje se </w:t>
            </w:r>
            <w:proofErr w:type="spellStart"/>
            <w:r w:rsidRPr="009F2503">
              <w:rPr>
                <w:b/>
                <w:i/>
              </w:rPr>
              <w:t>homologacijskim</w:t>
            </w:r>
            <w:proofErr w:type="spellEnd"/>
            <w:r w:rsidRPr="009F2503">
              <w:rPr>
                <w:b/>
                <w:i/>
              </w:rPr>
              <w:t xml:space="preserve"> tijelima za vrijeme homologacije i provjerava se tijekom životnog vijeka vozila kako je navedeno u tablici 1. Priloga IV.</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5.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4.</w:t>
            </w:r>
            <w:r w:rsidRPr="009F2503">
              <w:tab/>
            </w:r>
            <w:r w:rsidRPr="009F2503">
              <w:rPr>
                <w:b/>
                <w:i/>
              </w:rPr>
              <w:t xml:space="preserve">Proizvođači mogu vozila označiti kao „vozilo Euro 7G” ako su ta vozila opremljena motorima s unutarnjim izgaranjem s tehnologijama određivanja geografskih granica. Proizvođač u ta vozila ugrađuje sustav za upozoravanje vozača koji obavješćuje korisnika o tome da su pogonske baterije gotovo prazne i koji zaustavlja vozilo ako se ne napune unutar 5 km od prvog upozorenja pri radu u režimu s nultim emisijama. Primjena takvih tehnologija određivanja geografskih granica može se provjeriti </w:t>
            </w:r>
            <w:r w:rsidRPr="009F2503">
              <w:rPr>
                <w:b/>
                <w:i/>
              </w:rPr>
              <w:lastRenderedPageBreak/>
              <w:t>tijekom životnog vijeka vozila.</w:t>
            </w:r>
          </w:p>
        </w:tc>
        <w:tc>
          <w:tcPr>
            <w:tcW w:w="4876" w:type="dxa"/>
          </w:tcPr>
          <w:p w:rsidR="00D00FC9" w:rsidRPr="009F2503" w:rsidRDefault="00D00FC9" w:rsidP="00605A38">
            <w:pPr>
              <w:pStyle w:val="Normal6a"/>
            </w:pPr>
            <w:r w:rsidRPr="009F2503">
              <w:rPr>
                <w:b/>
                <w:i/>
              </w:rPr>
              <w:lastRenderedPageBreak/>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5.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5.</w:t>
            </w:r>
            <w:r w:rsidRPr="009F2503">
              <w:tab/>
            </w:r>
            <w:r w:rsidRPr="009F2503">
              <w:rPr>
                <w:b/>
                <w:i/>
              </w:rPr>
              <w:t>Proizvođači mogu izrađivati vozila u kojima se kombiniraju dvije ili više karakteristika iz stavaka 1., 2. ili 3. i označiti ih kombinacijom simbola i slova, kao što su vozila „Euro 7+A”, „Euro 7+G”, „Euro 7+AG” ili „Euro 7AG”.</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5.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6.</w:t>
            </w:r>
            <w:r w:rsidRPr="009F2503">
              <w:tab/>
            </w:r>
            <w:r w:rsidRPr="009F2503">
              <w:rPr>
                <w:b/>
                <w:i/>
              </w:rPr>
              <w:t>Za vozila kategorije N</w:t>
            </w:r>
            <w:r w:rsidRPr="009F2503">
              <w:rPr>
                <w:b/>
                <w:i/>
                <w:vertAlign w:val="subscript"/>
              </w:rPr>
              <w:t>2</w:t>
            </w:r>
            <w:r w:rsidRPr="009F2503">
              <w:rPr>
                <w:b/>
                <w:i/>
              </w:rPr>
              <w:t xml:space="preserve"> s najvećom masom od 3,5 do 4,0 tona koja potječu od tipa vozila kategorije N</w:t>
            </w:r>
            <w:r w:rsidRPr="009F2503">
              <w:rPr>
                <w:b/>
                <w:i/>
                <w:vertAlign w:val="subscript"/>
              </w:rPr>
              <w:t>1</w:t>
            </w:r>
            <w:r w:rsidRPr="009F2503">
              <w:rPr>
                <w:b/>
                <w:i/>
              </w:rPr>
              <w:t xml:space="preserve"> </w:t>
            </w:r>
            <w:proofErr w:type="spellStart"/>
            <w:r w:rsidRPr="009F2503">
              <w:rPr>
                <w:b/>
                <w:i/>
              </w:rPr>
              <w:t>homologacijsko</w:t>
            </w:r>
            <w:proofErr w:type="spellEnd"/>
            <w:r w:rsidRPr="009F2503">
              <w:rPr>
                <w:b/>
                <w:i/>
              </w:rPr>
              <w:t xml:space="preserve"> tijelo može na proizvođačev zahtjev dodijeliti homologaciju s obzirom na emisije za tip vozila kategorije N</w:t>
            </w:r>
            <w:r w:rsidRPr="009F2503">
              <w:rPr>
                <w:b/>
                <w:i/>
                <w:vertAlign w:val="subscript"/>
              </w:rPr>
              <w:t>1</w:t>
            </w:r>
            <w:r w:rsidRPr="009F2503">
              <w:rPr>
                <w:b/>
                <w:i/>
              </w:rPr>
              <w:t>. Takva se vozila označuju kao „vozilo Euro 7ext”.</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79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5.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7.</w:t>
            </w:r>
            <w:r w:rsidRPr="009F2503">
              <w:tab/>
            </w:r>
            <w:r w:rsidRPr="009F2503">
              <w:rPr>
                <w:b/>
                <w:i/>
              </w:rPr>
              <w:t xml:space="preserve">Komisija provedbenim aktima donosi detaljna pravila o postupcima, ispitivanjima i metodologijama za provjeru usklađenosti sa zahtjevima utvrđenima u stavcima od 1. do 6. Ti se provedbeni akti donose u skladu s postupkom ispitivanja iz članka 17. </w:t>
            </w:r>
            <w:r w:rsidRPr="009F2503">
              <w:rPr>
                <w:b/>
                <w:i/>
              </w:rPr>
              <w:lastRenderedPageBreak/>
              <w:t>stavka 2.</w:t>
            </w:r>
          </w:p>
        </w:tc>
        <w:tc>
          <w:tcPr>
            <w:tcW w:w="4876" w:type="dxa"/>
          </w:tcPr>
          <w:p w:rsidR="00D00FC9" w:rsidRPr="009F2503" w:rsidRDefault="00D00FC9" w:rsidP="00605A38">
            <w:pPr>
              <w:pStyle w:val="Normal6a"/>
            </w:pPr>
            <w:r w:rsidRPr="009F2503">
              <w:rPr>
                <w:b/>
                <w:i/>
              </w:rPr>
              <w:lastRenderedPageBreak/>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6.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3.</w:t>
            </w:r>
            <w:r w:rsidRPr="009F2503">
              <w:tab/>
              <w:t>Proizvođači osiguravaju da su OBFCM, OBD i OBM te mjere za zaštitu od nedopuštenih zahvata ugrađeni u ta vozila u skladu s odredbama ove Uredbe dokle je god vozilo u uporabi.</w:t>
            </w:r>
          </w:p>
        </w:tc>
        <w:tc>
          <w:tcPr>
            <w:tcW w:w="4876" w:type="dxa"/>
          </w:tcPr>
          <w:p w:rsidR="00D00FC9" w:rsidRPr="009F2503" w:rsidRDefault="00D00FC9" w:rsidP="00605A38">
            <w:pPr>
              <w:pStyle w:val="Normal6a"/>
            </w:pPr>
            <w:r w:rsidRPr="009F2503">
              <w:t>3.</w:t>
            </w:r>
            <w:r w:rsidRPr="009F2503">
              <w:tab/>
              <w:t xml:space="preserve">Proizvođači osiguravaju da su </w:t>
            </w:r>
            <w:r w:rsidRPr="009F2503">
              <w:rPr>
                <w:b/>
                <w:i/>
              </w:rPr>
              <w:t xml:space="preserve">dizajn i funkcionalnost uređaja </w:t>
            </w:r>
            <w:r w:rsidRPr="009F2503">
              <w:t>OBFCM, OBD i OBM te mjere za zaštitu od nedopuštenih zahvata ugrađeni u ta vozila u skladu s odredbama ove Uredbe</w:t>
            </w:r>
            <w:r w:rsidRPr="009F2503">
              <w:rPr>
                <w:b/>
                <w:i/>
              </w:rPr>
              <w:t xml:space="preserve"> i da su omogućeni</w:t>
            </w:r>
            <w:r w:rsidRPr="009F2503">
              <w:t xml:space="preserve"> dokle je god vozilo u uporabi.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6.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w:t>
            </w:r>
            <w:r w:rsidRPr="009F2503">
              <w:tab/>
              <w:t>Zahtjevi iz stavaka od 1. do 3. primjenjuju se na vozila za sve vrste goriva ili izvora energije iz kojih se napajaju. Isti se zahtjevi primjenjuju i na sve zasebne tehničke jedinice i sastavne dijelove namijenjene za takva vozila.</w:t>
            </w:r>
          </w:p>
        </w:tc>
        <w:tc>
          <w:tcPr>
            <w:tcW w:w="4876" w:type="dxa"/>
          </w:tcPr>
          <w:p w:rsidR="00D00FC9" w:rsidRPr="009F2503" w:rsidRDefault="00D00FC9" w:rsidP="00605A38">
            <w:pPr>
              <w:pStyle w:val="Normal6a"/>
            </w:pPr>
            <w:r w:rsidRPr="009F2503">
              <w:rPr>
                <w:i/>
              </w:rPr>
              <w:t>(Ne odnosi se na hrvatsku verziju.)</w:t>
            </w:r>
            <w:r w:rsidRPr="009F2503">
              <w:tab/>
              <w:t xml:space="preserve">   </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6. – stavak 6.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6.</w:t>
            </w:r>
            <w:r w:rsidRPr="009F2503">
              <w:tab/>
            </w:r>
            <w:r w:rsidRPr="009F2503">
              <w:rPr>
                <w:b/>
                <w:i/>
              </w:rPr>
              <w:t>OBM-i</w:t>
            </w:r>
            <w:r w:rsidRPr="009F2503">
              <w:t xml:space="preserve"> koje je proizvođač ugradio u ta vozila moraju moći vršiti</w:t>
            </w:r>
            <w:r w:rsidRPr="009F2503">
              <w:rPr>
                <w:b/>
                <w:i/>
              </w:rPr>
              <w:t xml:space="preserve"> sve</w:t>
            </w:r>
            <w:r w:rsidRPr="009F2503">
              <w:t xml:space="preserve"> sljedeće funkcije:</w:t>
            </w:r>
          </w:p>
        </w:tc>
        <w:tc>
          <w:tcPr>
            <w:tcW w:w="4876" w:type="dxa"/>
          </w:tcPr>
          <w:p w:rsidR="00D00FC9" w:rsidRPr="009F2503" w:rsidRDefault="00D00FC9" w:rsidP="00605A38">
            <w:pPr>
              <w:pStyle w:val="Normal6a"/>
            </w:pPr>
            <w:r w:rsidRPr="009F2503">
              <w:t>6.</w:t>
            </w:r>
            <w:r w:rsidRPr="009F2503">
              <w:tab/>
            </w:r>
            <w:r w:rsidRPr="009F2503">
              <w:rPr>
                <w:b/>
                <w:i/>
              </w:rPr>
              <w:t>OBM-ovi</w:t>
            </w:r>
            <w:r w:rsidRPr="009F2503">
              <w:t xml:space="preserve"> koje je proizvođač ugradio u ta vozila moraju moći vršiti sljedeće funkcije: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6. – stavak 6.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(b)</w:t>
            </w:r>
            <w:r w:rsidRPr="009F2503">
              <w:tab/>
              <w:t>slanje podataka o ponašanju vozila u pogledu emisija, uključujući podatke o senzorima onečišćujućih tvari i protoku ispušnih plinova, kroz priključak OBD-a i bežično, među ostalim u svrhu tehničkih pregleda i pregleda tehničke ispravnosti na cesti</w:t>
            </w:r>
            <w:r w:rsidRPr="009F2503">
              <w:rPr>
                <w:vertAlign w:val="superscript"/>
              </w:rPr>
              <w:t>55</w:t>
            </w:r>
            <w:r w:rsidRPr="009F2503">
              <w:t xml:space="preserve">, </w:t>
            </w:r>
            <w:r w:rsidRPr="009F2503">
              <w:rPr>
                <w:vertAlign w:val="superscript"/>
              </w:rPr>
              <w:t>56</w:t>
            </w:r>
            <w:r w:rsidRPr="009F2503">
              <w:t>;</w:t>
            </w:r>
          </w:p>
        </w:tc>
        <w:tc>
          <w:tcPr>
            <w:tcW w:w="4876" w:type="dxa"/>
          </w:tcPr>
          <w:p w:rsidR="00D00FC9" w:rsidRPr="009F2503" w:rsidRDefault="00D00FC9" w:rsidP="00605A38">
            <w:pPr>
              <w:pStyle w:val="Normal6a"/>
            </w:pPr>
            <w:r w:rsidRPr="009F2503">
              <w:t>(b)</w:t>
            </w:r>
            <w:r w:rsidRPr="009F2503">
              <w:tab/>
              <w:t>slanje podataka o ponašanju vozila u pogledu emisija</w:t>
            </w:r>
            <w:r w:rsidRPr="009F2503">
              <w:rPr>
                <w:b/>
                <w:i/>
              </w:rPr>
              <w:t xml:space="preserve"> ispušnih plinova</w:t>
            </w:r>
            <w:r w:rsidRPr="009F2503">
              <w:t>, uključujući podatke o senzorima onečišćujućih tvari i protoku ispušnih plinova, kroz priključak OBD-a i bežično, među ostalim u svrhu tehničkih pregleda i pregleda tehničke ispravnosti na cesti</w:t>
            </w:r>
            <w:r w:rsidRPr="009F2503">
              <w:rPr>
                <w:vertAlign w:val="superscript"/>
              </w:rPr>
              <w:t>55</w:t>
            </w:r>
            <w:r w:rsidRPr="009F2503">
              <w:t xml:space="preserve">, </w:t>
            </w:r>
            <w:r w:rsidRPr="009F2503">
              <w:rPr>
                <w:vertAlign w:val="superscript"/>
              </w:rPr>
              <w:t>56</w:t>
            </w:r>
            <w:r w:rsidRPr="009F2503">
              <w:rPr>
                <w:b/>
                <w:i/>
              </w:rPr>
              <w:t xml:space="preserve"> ili u svrhu otkrivanja nedopuštenih zahvata i pružanja usluga treće strane kojima se pomaže korisniku vozila u smanjenju emisija u fazi uporabe</w:t>
            </w:r>
            <w:r w:rsidRPr="009F2503">
              <w:t>;</w:t>
            </w:r>
          </w:p>
        </w:tc>
      </w:tr>
      <w:tr w:rsidR="00D00FC9" w:rsidRPr="009F2503" w:rsidTr="00605A38">
        <w:trPr>
          <w:jc w:val="center"/>
        </w:trPr>
        <w:tc>
          <w:tcPr>
            <w:tcW w:w="4876" w:type="dxa"/>
          </w:tcPr>
          <w:p w:rsidR="00D00FC9" w:rsidRPr="009F2503" w:rsidRDefault="00D00FC9" w:rsidP="00605A38">
            <w:pPr>
              <w:pStyle w:val="Normal6a"/>
            </w:pPr>
            <w:r w:rsidRPr="009F2503">
              <w:rPr>
                <w:b/>
                <w:i/>
              </w:rPr>
              <w:t>_________________</w:t>
            </w:r>
          </w:p>
        </w:tc>
        <w:tc>
          <w:tcPr>
            <w:tcW w:w="4876" w:type="dxa"/>
          </w:tcPr>
          <w:p w:rsidR="00D00FC9" w:rsidRPr="009F2503" w:rsidRDefault="00D00FC9" w:rsidP="00605A38">
            <w:pPr>
              <w:pStyle w:val="Normal6a"/>
            </w:pPr>
            <w:r w:rsidRPr="009F2503">
              <w:rPr>
                <w:b/>
                <w:i/>
              </w:rPr>
              <w:t>_________________</w:t>
            </w:r>
          </w:p>
        </w:tc>
      </w:tr>
      <w:tr w:rsidR="00D00FC9" w:rsidRPr="009F2503" w:rsidTr="00605A38">
        <w:trPr>
          <w:jc w:val="center"/>
        </w:trPr>
        <w:tc>
          <w:tcPr>
            <w:tcW w:w="4876" w:type="dxa"/>
          </w:tcPr>
          <w:p w:rsidR="00D00FC9" w:rsidRPr="009F2503" w:rsidRDefault="00D00FC9" w:rsidP="00605A38">
            <w:pPr>
              <w:pStyle w:val="Normal6a"/>
            </w:pPr>
            <w:r w:rsidRPr="009F2503">
              <w:rPr>
                <w:vertAlign w:val="superscript"/>
              </w:rPr>
              <w:t>55</w:t>
            </w:r>
            <w:r w:rsidRPr="009F2503">
              <w:t xml:space="preserve"> Direktiva 2014/47/EU Europskog parlamenta i Vijeća od 3. travnja 2014. o pregledima tehničke ispravnosti na cesti gospodarskih vozila koja prometuju u Uniji i stavljanju izvan snage Direktive 2000/30/EZ (SL L 127, 29.4.2014., str. 134.).</w:t>
            </w:r>
          </w:p>
        </w:tc>
        <w:tc>
          <w:tcPr>
            <w:tcW w:w="4876" w:type="dxa"/>
          </w:tcPr>
          <w:p w:rsidR="00D00FC9" w:rsidRPr="009F2503" w:rsidRDefault="00D00FC9" w:rsidP="00605A38">
            <w:pPr>
              <w:pStyle w:val="Normal6a"/>
            </w:pPr>
            <w:r w:rsidRPr="009F2503">
              <w:rPr>
                <w:vertAlign w:val="superscript"/>
              </w:rPr>
              <w:t>55</w:t>
            </w:r>
            <w:r w:rsidRPr="009F2503">
              <w:t xml:space="preserve"> Direktiva 2014/47/EU Europskog parlamenta i Vijeća od 3. travnja 2014. o pregledima tehničke ispravnosti na cesti gospodarskih vozila koja prometuju u Uniji i stavljanju izvan snage Direktive 2000/30/EZ (SL L 127, 29.4.2014., str. 134.).</w:t>
            </w:r>
          </w:p>
        </w:tc>
      </w:tr>
      <w:tr w:rsidR="00D00FC9" w:rsidRPr="009F2503" w:rsidTr="00605A38">
        <w:trPr>
          <w:jc w:val="center"/>
        </w:trPr>
        <w:tc>
          <w:tcPr>
            <w:tcW w:w="4876" w:type="dxa"/>
          </w:tcPr>
          <w:p w:rsidR="00D00FC9" w:rsidRPr="009F2503" w:rsidRDefault="00D00FC9" w:rsidP="00605A38">
            <w:pPr>
              <w:pStyle w:val="Normal6a"/>
            </w:pPr>
            <w:r w:rsidRPr="009F2503">
              <w:rPr>
                <w:vertAlign w:val="superscript"/>
              </w:rPr>
              <w:t>56</w:t>
            </w:r>
            <w:r w:rsidRPr="009F2503">
              <w:t xml:space="preserve"> Direktiva 2014/45/EU Europskog parlamenta i Vijeća od 3. travnja 2014. o periodičnim tehničkim pregledima motornih vozila i njihovih priključnih vozila te stavljanju izvan snage Direktive 2009/40/EZ (SL L 127, 29.4.2014., str. 129.).</w:t>
            </w:r>
          </w:p>
        </w:tc>
        <w:tc>
          <w:tcPr>
            <w:tcW w:w="4876" w:type="dxa"/>
          </w:tcPr>
          <w:p w:rsidR="00D00FC9" w:rsidRPr="009F2503" w:rsidRDefault="00D00FC9" w:rsidP="00605A38">
            <w:pPr>
              <w:pStyle w:val="Normal6a"/>
            </w:pPr>
            <w:r w:rsidRPr="009F2503">
              <w:rPr>
                <w:vertAlign w:val="superscript"/>
              </w:rPr>
              <w:t>56</w:t>
            </w:r>
            <w:r w:rsidRPr="009F2503">
              <w:t xml:space="preserve"> Direktiva 2014/45/EU Europskog parlamenta i Vijeća od 3. travnja 2014. o periodičnim tehničkim pregledima motornih vozila i njihovih priključnih vozila te stavljanju izvan snage Direktive 2009/40/EZ (SL L 127, 29.4.2014., str. 129.).</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6. – stavak 6. – točka c</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(c)</w:t>
            </w:r>
            <w:r w:rsidRPr="009F2503">
              <w:tab/>
            </w:r>
            <w:r w:rsidRPr="009F2503">
              <w:rPr>
                <w:b/>
                <w:i/>
              </w:rPr>
              <w:t>pokretanje popravka</w:t>
            </w:r>
            <w:r w:rsidRPr="009F2503">
              <w:t xml:space="preserve"> vozila kad sustav za upozoravanje vozača obavijesti o znatnim prekomjernim emisijama.</w:t>
            </w:r>
          </w:p>
        </w:tc>
        <w:tc>
          <w:tcPr>
            <w:tcW w:w="4876" w:type="dxa"/>
          </w:tcPr>
          <w:p w:rsidR="00D00FC9" w:rsidRPr="009F2503" w:rsidRDefault="00D00FC9" w:rsidP="00605A38">
            <w:pPr>
              <w:pStyle w:val="Normal6a"/>
            </w:pPr>
            <w:r w:rsidRPr="009F2503">
              <w:t>(c)</w:t>
            </w:r>
            <w:r w:rsidRPr="009F2503">
              <w:tab/>
            </w:r>
            <w:r w:rsidRPr="009F2503">
              <w:rPr>
                <w:b/>
                <w:i/>
              </w:rPr>
              <w:t>poziv na popravak</w:t>
            </w:r>
            <w:r w:rsidRPr="009F2503">
              <w:t xml:space="preserve"> vozila kad sustav za upozoravanje vozača obavijesti o znatnim prekomjernim emisijama.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6.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7.</w:t>
            </w:r>
            <w:r w:rsidRPr="009F2503">
              <w:tab/>
            </w:r>
            <w:r w:rsidRPr="009F2503">
              <w:rPr>
                <w:b/>
                <w:i/>
              </w:rPr>
              <w:t>OBFCM-i</w:t>
            </w:r>
            <w:r w:rsidRPr="009F2503">
              <w:t xml:space="preserve"> koje je proizvođač ugradio u ta vozila moraju moći slati podatke o vozilu koje bilježe kroz priključak OBD-a i bežično.</w:t>
            </w:r>
          </w:p>
        </w:tc>
        <w:tc>
          <w:tcPr>
            <w:tcW w:w="4876" w:type="dxa"/>
          </w:tcPr>
          <w:p w:rsidR="00D00FC9" w:rsidRPr="009F2503" w:rsidRDefault="00D00FC9" w:rsidP="00605A38">
            <w:pPr>
              <w:pStyle w:val="Normal6a"/>
            </w:pPr>
            <w:r w:rsidRPr="009F2503">
              <w:t>7.</w:t>
            </w:r>
            <w:r w:rsidRPr="009F2503">
              <w:tab/>
            </w:r>
            <w:r w:rsidRPr="009F2503">
              <w:rPr>
                <w:b/>
                <w:i/>
              </w:rPr>
              <w:t>OBFCM-ovi</w:t>
            </w:r>
            <w:r w:rsidRPr="009F2503">
              <w:t xml:space="preserve"> koje je proizvođač ugradio u ta vozila moraju moći slati </w:t>
            </w:r>
            <w:r w:rsidRPr="009F2503">
              <w:rPr>
                <w:b/>
                <w:i/>
              </w:rPr>
              <w:t xml:space="preserve">sve zakonski obvezne relevantne </w:t>
            </w:r>
            <w:r w:rsidRPr="009F2503">
              <w:t>podatke o vozilu koje bilježe kroz priključak OBD-a i bežično</w:t>
            </w:r>
            <w:r w:rsidRPr="009F2503">
              <w:rPr>
                <w:b/>
                <w:i/>
              </w:rPr>
              <w:t xml:space="preserve"> u skladu s odredbama Uredbe (EU) 2016/679</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6. – stavak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8.</w:t>
            </w:r>
            <w:r w:rsidRPr="009F2503">
              <w:tab/>
              <w:t xml:space="preserve">Za vozila, sustave, sastavne dijelove i zasebne tehničke jedinice koji predstavljaju ozbiljan rizik ili nesukladnost sa zahtjevima utvrđenima u ovoj Uredbi proizvođači moraju </w:t>
            </w:r>
            <w:r w:rsidRPr="009F2503">
              <w:rPr>
                <w:b/>
                <w:i/>
              </w:rPr>
              <w:t xml:space="preserve">odmah </w:t>
            </w:r>
            <w:r w:rsidRPr="009F2503">
              <w:t xml:space="preserve">poduzeti potrebne korektivne mjere, uključujući, prema potrebi, popravke ili preinake tih vozila, sustava, sastavnih dijelova i zasebnih tehničkih jedinica, kako bi se osigurala usklađenost s ovom Uredbom. Proizvođači ili drugi gospodarski subjekti povlače ih s tržišta ili ih prema potrebi opozivaju. Proizvođač bez odgode i uz odgovarajuće pojedinosti obavješćuje </w:t>
            </w:r>
            <w:proofErr w:type="spellStart"/>
            <w:r w:rsidRPr="009F2503">
              <w:t>homologacijsko</w:t>
            </w:r>
            <w:proofErr w:type="spellEnd"/>
            <w:r w:rsidRPr="009F2503">
              <w:t xml:space="preserve"> tijelo koje je dodijelilo homologaciju o nesukladnosti.</w:t>
            </w:r>
          </w:p>
        </w:tc>
        <w:tc>
          <w:tcPr>
            <w:tcW w:w="4876" w:type="dxa"/>
          </w:tcPr>
          <w:p w:rsidR="00D00FC9" w:rsidRPr="009F2503" w:rsidRDefault="00D00FC9" w:rsidP="00605A38">
            <w:pPr>
              <w:pStyle w:val="Normal6a"/>
            </w:pPr>
            <w:r w:rsidRPr="009F2503">
              <w:t>8.</w:t>
            </w:r>
            <w:r w:rsidRPr="009F2503">
              <w:tab/>
              <w:t xml:space="preserve">Za vozila, sustave, sastavne dijelove i zasebne tehničke jedinice koji predstavljaju ozbiljan rizik ili nesukladnost sa zahtjevima utvrđenima u ovoj Uredbi proizvođači moraju poduzeti potrebne korektivne mjere, uključujući, prema potrebi, popravke ili preinake tih vozila, sustava, sastavnih dijelova i zasebnih tehničkih jedinica, kako bi se osigurala usklađenost s ovom Uredbom. Proizvođači ili drugi gospodarski subjekti povlače ih s tržišta ili ih prema potrebi opozivaju. Proizvođač bez odgode i uz odgovarajuće pojedinosti obavješćuje </w:t>
            </w:r>
            <w:proofErr w:type="spellStart"/>
            <w:r w:rsidRPr="009F2503">
              <w:t>homologacijsko</w:t>
            </w:r>
            <w:proofErr w:type="spellEnd"/>
            <w:r w:rsidRPr="009F2503">
              <w:t xml:space="preserve"> tijelo koje je dodijelilo homologaciju</w:t>
            </w:r>
            <w:r w:rsidRPr="009F2503">
              <w:rPr>
                <w:b/>
                <w:i/>
              </w:rPr>
              <w:t xml:space="preserve"> i Komisiju</w:t>
            </w:r>
            <w:r w:rsidRPr="009F2503">
              <w:t xml:space="preserve"> o nesukladnosti.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6. – stavak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9.</w:t>
            </w:r>
            <w:r w:rsidRPr="009F2503">
              <w:tab/>
            </w:r>
            <w:r w:rsidRPr="009F2503">
              <w:rPr>
                <w:b/>
                <w:i/>
              </w:rPr>
              <w:t xml:space="preserve">Komisija provedbenim aktima donosi detaljna pravila o zahtjevima, ispitivanjima, metodama i korektivnim </w:t>
            </w:r>
            <w:r w:rsidRPr="009F2503">
              <w:rPr>
                <w:b/>
                <w:i/>
              </w:rPr>
              <w:lastRenderedPageBreak/>
              <w:t>mjerama u vezi s obvezama iz stavaka od 1. do 8. Ti se provedbeni akti donose u skladu s postupkom ispitivanja iz članka 17. stavka 2.</w:t>
            </w:r>
          </w:p>
        </w:tc>
        <w:tc>
          <w:tcPr>
            <w:tcW w:w="4876" w:type="dxa"/>
          </w:tcPr>
          <w:p w:rsidR="00D00FC9" w:rsidRPr="009F2503" w:rsidRDefault="00D00FC9" w:rsidP="00605A38">
            <w:pPr>
              <w:pStyle w:val="Normal6a"/>
            </w:pPr>
            <w:r w:rsidRPr="009F2503">
              <w:rPr>
                <w:b/>
                <w:i/>
              </w:rPr>
              <w:lastRenderedPageBreak/>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 xml:space="preserve">Proizvođač mora </w:t>
            </w:r>
            <w:proofErr w:type="spellStart"/>
            <w:r w:rsidRPr="009F2503">
              <w:t>homologacijskom</w:t>
            </w:r>
            <w:proofErr w:type="spellEnd"/>
            <w:r w:rsidRPr="009F2503">
              <w:t xml:space="preserve"> tijelu dostaviti potpisanu izjavu o sukladnosti u pogledu RDE-a, korekcijskog faktora za temperaturu okoline za CO</w:t>
            </w:r>
            <w:r w:rsidRPr="009F2503">
              <w:rPr>
                <w:vertAlign w:val="subscript"/>
              </w:rPr>
              <w:t>2</w:t>
            </w:r>
            <w:r w:rsidRPr="009F2503">
              <w:t xml:space="preserve">, OBD-a, OBM-a, emisija i trajnosti baterije, kontinuirane ili periodične regeneracije, zaštite od nedopuštenih zahvata te zahtjeva za kućište koljenastog vratila kako je navedeno u Prilogu V. </w:t>
            </w:r>
            <w:r w:rsidRPr="009F2503">
              <w:rPr>
                <w:b/>
                <w:i/>
              </w:rPr>
              <w:t xml:space="preserve">Proizvođač mora </w:t>
            </w:r>
            <w:proofErr w:type="spellStart"/>
            <w:r w:rsidRPr="009F2503">
              <w:rPr>
                <w:b/>
                <w:i/>
              </w:rPr>
              <w:t>homologacijskom</w:t>
            </w:r>
            <w:proofErr w:type="spellEnd"/>
            <w:r w:rsidRPr="009F2503">
              <w:rPr>
                <w:b/>
                <w:i/>
              </w:rPr>
              <w:t xml:space="preserve"> tijelu dostaviti potpisanu izjavu o sukladnosti za uporabu adaptivnih kontrola i mogućnosti određivanja geografskih granica ako proizvođač odabere te opcije.</w:t>
            </w:r>
          </w:p>
        </w:tc>
        <w:tc>
          <w:tcPr>
            <w:tcW w:w="4876" w:type="dxa"/>
          </w:tcPr>
          <w:p w:rsidR="00D00FC9" w:rsidRPr="009F2503" w:rsidRDefault="00D00FC9" w:rsidP="00605A38">
            <w:pPr>
              <w:pStyle w:val="Normal6a"/>
            </w:pPr>
            <w:r w:rsidRPr="009F2503">
              <w:t>2.</w:t>
            </w:r>
            <w:r w:rsidRPr="009F2503">
              <w:tab/>
              <w:t xml:space="preserve">Proizvođač mora </w:t>
            </w:r>
            <w:proofErr w:type="spellStart"/>
            <w:r w:rsidRPr="009F2503">
              <w:t>homologacijskom</w:t>
            </w:r>
            <w:proofErr w:type="spellEnd"/>
            <w:r w:rsidRPr="009F2503">
              <w:t xml:space="preserve"> tijelu dostaviti potpisanu izjavu o sukladnosti u pogledu RDE-a, korekcijskog faktora za temperaturu okoline za CO</w:t>
            </w:r>
            <w:r w:rsidRPr="009F2503">
              <w:rPr>
                <w:vertAlign w:val="subscript"/>
              </w:rPr>
              <w:t>2</w:t>
            </w:r>
            <w:r w:rsidRPr="009F2503">
              <w:t>, OBD-a, OBM-a, emisija i trajnosti baterije, kontinuirane ili periodične regeneracije, zaštite od nedopuštenih zahvata te zahtjeva za kućište koljenastog vratila kako je navedeno u Prilogu V.</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89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7.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w:t>
            </w:r>
            <w:r w:rsidRPr="009F2503">
              <w:tab/>
              <w:t xml:space="preserve">Proizvođači izdaju ekološku putovnicu vozila (EVP) za svako vozilo i dostavljaju tu putovnicu kupcu vozila zajedno s vozilom, preuzimajući odgovarajuće podatke iz izvora kao što su certifikat o sukladnosti i </w:t>
            </w:r>
            <w:proofErr w:type="spellStart"/>
            <w:r w:rsidRPr="009F2503">
              <w:t>homologacijska</w:t>
            </w:r>
            <w:proofErr w:type="spellEnd"/>
            <w:r w:rsidRPr="009F2503">
              <w:t xml:space="preserve"> dokumentacija. Proizvođač osigurava da su podaci EVP-a dostupni za prikaz u elektroničkim sustavima vozila i da se mogu prenositi iz vozila.</w:t>
            </w:r>
          </w:p>
        </w:tc>
        <w:tc>
          <w:tcPr>
            <w:tcW w:w="4876" w:type="dxa"/>
          </w:tcPr>
          <w:p w:rsidR="00D00FC9" w:rsidRPr="009F2503" w:rsidRDefault="00D00FC9" w:rsidP="00605A38">
            <w:pPr>
              <w:pStyle w:val="Normal6a"/>
            </w:pPr>
            <w:r w:rsidRPr="009F2503">
              <w:t>4.</w:t>
            </w:r>
            <w:r w:rsidRPr="009F2503">
              <w:tab/>
              <w:t xml:space="preserve">Proizvođači izdaju ekološku putovnicu vozila (EVP) za svako vozilo </w:t>
            </w:r>
            <w:r w:rsidRPr="009F2503">
              <w:rPr>
                <w:b/>
                <w:i/>
              </w:rPr>
              <w:t xml:space="preserve">koja je dostupna na prodajnom mjestu zajedno s vozilom </w:t>
            </w:r>
            <w:r w:rsidRPr="009F2503">
              <w:t xml:space="preserve">i dostavljaju tu putovnicu kupcu vozila zajedno s vozilom, preuzimajući odgovarajuće podatke iz izvora kao što su certifikat o sukladnosti i </w:t>
            </w:r>
            <w:proofErr w:type="spellStart"/>
            <w:r w:rsidRPr="009F2503">
              <w:t>homologacijska</w:t>
            </w:r>
            <w:proofErr w:type="spellEnd"/>
            <w:r w:rsidRPr="009F2503">
              <w:t xml:space="preserve"> dokumentacija. Proizvođač osigurava da su podaci EVP-a dostupni za prikaz u elektroničkim sustavima vozila i da se mogu prenositi iz vozila.</w:t>
            </w:r>
          </w:p>
        </w:tc>
      </w:tr>
    </w:tbl>
    <w:p w:rsidR="00D00FC9" w:rsidRPr="009F2503" w:rsidRDefault="00D00FC9" w:rsidP="00D00FC9"/>
    <w:p w:rsidR="00D00FC9" w:rsidRPr="009F2503" w:rsidRDefault="00D00FC9" w:rsidP="00D00FC9">
      <w:pPr>
        <w:pStyle w:val="AmNumberTabs"/>
      </w:pPr>
      <w:r w:rsidRPr="009F2503">
        <w:lastRenderedPageBreak/>
        <w:t>Amandman</w:t>
      </w:r>
      <w:r w:rsidRPr="009F2503">
        <w:tab/>
      </w:r>
      <w:r w:rsidRPr="009F2503">
        <w:tab/>
        <w:t>90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7.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5.</w:t>
            </w:r>
            <w:r w:rsidRPr="009F2503">
              <w:tab/>
            </w:r>
            <w:r w:rsidRPr="009F2503">
              <w:rPr>
                <w:b/>
                <w:i/>
              </w:rPr>
              <w:t>Komisija donosi provedbene akte kojima se utvrđuju ispitivanja i provjere sukladnosti te postupci povezani s homologacijom s obzirom na emisije, sukladnosti proizvodnje, sukladnosti</w:t>
            </w:r>
            <w:r w:rsidRPr="009F2503">
              <w:t xml:space="preserve"> u </w:t>
            </w:r>
            <w:r w:rsidRPr="009F2503">
              <w:rPr>
                <w:b/>
                <w:i/>
              </w:rPr>
              <w:t>uporabi, izjave o sukladnosti</w:t>
            </w:r>
            <w:r w:rsidRPr="009F2503">
              <w:t xml:space="preserve"> i </w:t>
            </w:r>
            <w:r w:rsidRPr="009F2503">
              <w:rPr>
                <w:b/>
                <w:i/>
              </w:rPr>
              <w:t>EVP-a u skladu sa stavcima od 1. do 4.</w:t>
            </w:r>
            <w:r w:rsidRPr="009F2503">
              <w:t xml:space="preserve"> </w:t>
            </w:r>
            <w:r w:rsidRPr="009F2503">
              <w:rPr>
                <w:b/>
                <w:i/>
              </w:rPr>
              <w:t>Ti se provedbeni akti donose u skladu s postupkom ispitivanja iz članka 17. stavka 2</w:t>
            </w:r>
            <w:r w:rsidRPr="009F2503">
              <w:t>.</w:t>
            </w:r>
          </w:p>
        </w:tc>
        <w:tc>
          <w:tcPr>
            <w:tcW w:w="4876" w:type="dxa"/>
          </w:tcPr>
          <w:p w:rsidR="00D00FC9" w:rsidRPr="009F2503" w:rsidRDefault="00D00FC9" w:rsidP="00605A38">
            <w:pPr>
              <w:pStyle w:val="Normal6a"/>
            </w:pPr>
            <w:r w:rsidRPr="009F2503">
              <w:t>5.</w:t>
            </w:r>
            <w:r w:rsidRPr="009F2503">
              <w:tab/>
            </w:r>
            <w:r w:rsidRPr="009F2503">
              <w:rPr>
                <w:b/>
                <w:i/>
              </w:rPr>
              <w:t>Proizvođači izdaju ažuriran EVP nakon provjera sukladnosti u uporabi, navodeći ažurirane vrijednosti za informacije navedene u članku 3. stavku 71. ove Uredbe.</w:t>
            </w:r>
            <w:r w:rsidRPr="009F2503">
              <w:t xml:space="preserve"> U </w:t>
            </w:r>
            <w:r w:rsidRPr="009F2503">
              <w:rPr>
                <w:b/>
                <w:i/>
              </w:rPr>
              <w:t>skladu s Uredbom EU 2018/858</w:t>
            </w:r>
            <w:r w:rsidRPr="009F2503">
              <w:t xml:space="preserve"> i </w:t>
            </w:r>
            <w:r w:rsidRPr="009F2503">
              <w:rPr>
                <w:b/>
                <w:i/>
              </w:rPr>
              <w:t>Direktivom 2014/45/EU proizvođači omogućavaju nadležnim tijelima i stanicama za tehnički pregled da ažuriraju EVP točnim podacima iz priključka OBD-a i OBFCM-a vozila</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7.a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jc w:val="center"/>
            </w:pPr>
            <w:r w:rsidRPr="009F2503">
              <w:rPr>
                <w:b/>
                <w:i/>
              </w:rPr>
              <w:t>Članak 7.a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jc w:val="center"/>
            </w:pPr>
            <w:r w:rsidRPr="009F2503">
              <w:rPr>
                <w:b/>
                <w:i/>
              </w:rPr>
              <w:t>Posebne odredbe koje se odnose na abraziju guma vozila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Nakon objave relevantnih jedinstvenih odredbi u UN-ovoj radnoj skupini WP.29 Komisija donosi delegirane akte u skladu s člankom 16. kojem se ova Uredba dopunjuje, utvrđivanjem metoda i graničnih vrijednosti abrazivnih emisija po kategoriji guma za potrebe homologacije, a koje se odnose na jedinstvene odredbe i odstupanja koja treba utvrditi u UN-ovoj radnoj skupini WP.29 o homologaciji guma s obzirom na homologaciju abrazijskih emisija guma.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Ako UN-ova radna skupina WP.29 ne utvrdi jedinstvene odredbe do 30. lipnja 2026. za gume razreda C1 i do 31. prosinca 2035. za gume razreda C2 i C3, Komisija provodi preispitivanje i, </w:t>
            </w:r>
            <w:r w:rsidRPr="009F2503">
              <w:rPr>
                <w:b/>
                <w:i/>
              </w:rPr>
              <w:lastRenderedPageBreak/>
              <w:t>prema potrebi, razvija metodu za mjerenje abrazije guma i definira granične vrijednosti abrazije za gume na temelju drugih postojećih najsuvremenijih metoda. Nakon tog preispitivanja i prema potrebi Komisija do 30. listopada 2026. donosi delegirane akte u skladu s člankom 16. kojima se određuju takve metode i utvrđuju granične vrijednosti emisija abrazije po kategoriji guma.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8.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Posebna pravila za male proizvođače</w:t>
            </w:r>
          </w:p>
        </w:tc>
        <w:tc>
          <w:tcPr>
            <w:tcW w:w="4876" w:type="dxa"/>
          </w:tcPr>
          <w:p w:rsidR="00D00FC9" w:rsidRPr="009F2503" w:rsidRDefault="00D00FC9" w:rsidP="00605A38">
            <w:pPr>
              <w:pStyle w:val="Normal6a"/>
            </w:pPr>
            <w:r w:rsidRPr="009F2503">
              <w:t xml:space="preserve">Posebna pravila za male </w:t>
            </w:r>
            <w:r w:rsidRPr="009F2503">
              <w:rPr>
                <w:b/>
                <w:i/>
              </w:rPr>
              <w:t xml:space="preserve">i vrlo male </w:t>
            </w:r>
            <w:r w:rsidRPr="009F2503">
              <w:t>proizvođače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t>Kad je riječ o emisijama onečišćujućih tvari, mali proizvođači mogu zamijeniti ispitivanja navedena u tablicama 1., 3., 5., 7. i 9. Priloga V. izjavama o sukladnosti. Usklađenost vozila koja su proizveli i stavili na tržište mali proizvođači može se ispitati za sukladnost u uporabi i nadzor tržišta u skladu s tablicama 2., 4., 6., 8. i 10. Priloga V. Ispitivanja sukladnosti proizvodnje utvrđena u Prilogu V. nisu potrebna. Članak 4. stavak </w:t>
            </w:r>
            <w:r w:rsidRPr="009F2503">
              <w:rPr>
                <w:b/>
                <w:i/>
              </w:rPr>
              <w:t>4</w:t>
            </w:r>
            <w:r w:rsidRPr="009F2503">
              <w:t>. točka (b) ne primjenjuje se na male proizvođače.</w:t>
            </w:r>
          </w:p>
        </w:tc>
        <w:tc>
          <w:tcPr>
            <w:tcW w:w="4876" w:type="dxa"/>
          </w:tcPr>
          <w:p w:rsidR="00D00FC9" w:rsidRPr="009F2503" w:rsidRDefault="00D00FC9" w:rsidP="00605A38">
            <w:pPr>
              <w:pStyle w:val="Normal6a"/>
            </w:pPr>
            <w:r w:rsidRPr="009F2503">
              <w:t>1.</w:t>
            </w:r>
            <w:r w:rsidRPr="009F2503">
              <w:tab/>
              <w:t xml:space="preserve">Kad je riječ o emisijama onečišćujućih tvari, mali </w:t>
            </w:r>
            <w:r w:rsidRPr="009F2503">
              <w:rPr>
                <w:b/>
                <w:i/>
              </w:rPr>
              <w:t xml:space="preserve">i vrlo mali </w:t>
            </w:r>
            <w:r w:rsidRPr="009F2503">
              <w:t>proizvođači mogu zamijeniti ispitivanja navedena u tablicama 1., 3., 5., 7. i 9. Priloga V. izjavama o sukladnosti. Usklađenost vozila koja su proizveli i stavili na tržište mali proizvođači može se ispitati za sukladnost u uporabi i nadzor tržišta u skladu s tablicama 2., 4., 6., 8. i 10. Priloga V. Ispitivanja sukladnosti proizvodnje utvrđena u Prilogu V. nisu potrebna. Članak</w:t>
            </w:r>
            <w:r w:rsidRPr="00EA726F">
              <w:rPr>
                <w:b/>
                <w:i/>
              </w:rPr>
              <w:t> 4</w:t>
            </w:r>
            <w:r w:rsidRPr="009F2503">
              <w:t>. stavak </w:t>
            </w:r>
            <w:r w:rsidRPr="009F2503">
              <w:rPr>
                <w:b/>
                <w:i/>
              </w:rPr>
              <w:t>6</w:t>
            </w:r>
            <w:r w:rsidRPr="009F2503">
              <w:t>. točka (b) ne primjenjuje se na</w:t>
            </w:r>
            <w:r w:rsidRPr="009F2503">
              <w:rPr>
                <w:b/>
                <w:i/>
              </w:rPr>
              <w:t xml:space="preserve"> </w:t>
            </w:r>
            <w:r w:rsidRPr="00EA726F">
              <w:t>male</w:t>
            </w:r>
            <w:r w:rsidRPr="009F2503">
              <w:rPr>
                <w:b/>
                <w:i/>
              </w:rPr>
              <w:t xml:space="preserve"> i vrlo</w:t>
            </w:r>
            <w:r w:rsidRPr="009F2503">
              <w:t xml:space="preserve"> </w:t>
            </w:r>
            <w:r w:rsidRPr="00EA726F">
              <w:rPr>
                <w:b/>
                <w:i/>
              </w:rPr>
              <w:t xml:space="preserve">male </w:t>
            </w:r>
            <w:r w:rsidRPr="009F2503">
              <w:t>proizvođače.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8.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 xml:space="preserve">Vrlo mali proizvođači moraju se pridržavati graničnih vrijednosti emisija utvrđenih u Prilogu I. u laboratorijskim ispitivanjima koja se temelje na </w:t>
            </w:r>
            <w:r w:rsidRPr="009F2503">
              <w:rPr>
                <w:b/>
                <w:i/>
              </w:rPr>
              <w:t>nasumičnim</w:t>
            </w:r>
            <w:r w:rsidRPr="009F2503">
              <w:t xml:space="preserve"> stvarnim voznim ciklusima za potrebe provjere sukladnosti u uporabi i nadzora tržišta.</w:t>
            </w:r>
          </w:p>
        </w:tc>
        <w:tc>
          <w:tcPr>
            <w:tcW w:w="4876" w:type="dxa"/>
          </w:tcPr>
          <w:p w:rsidR="00D00FC9" w:rsidRPr="009F2503" w:rsidRDefault="00D00FC9" w:rsidP="00605A38">
            <w:pPr>
              <w:pStyle w:val="Normal6a"/>
            </w:pPr>
            <w:r w:rsidRPr="009F2503">
              <w:t>2.</w:t>
            </w:r>
            <w:r w:rsidRPr="009F2503">
              <w:tab/>
              <w:t xml:space="preserve">Vrlo mali proizvođači moraju se pridržavati graničnih vrijednosti emisija utvrđenih u Prilogu I. u laboratorijskim ispitivanjima koja se temelje na </w:t>
            </w:r>
            <w:r w:rsidRPr="009F2503">
              <w:rPr>
                <w:b/>
                <w:i/>
              </w:rPr>
              <w:t>statistički relevantnim</w:t>
            </w:r>
            <w:r w:rsidRPr="009F2503">
              <w:t xml:space="preserve"> stvarnim voznim ciklusima za potrebe provjere sukladnosti u uporabi i nadzora tržišta.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9.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 xml:space="preserve">Posebna pravila za </w:t>
            </w:r>
            <w:proofErr w:type="spellStart"/>
            <w:r w:rsidRPr="009F2503">
              <w:t>višestupanjsku</w:t>
            </w:r>
            <w:proofErr w:type="spellEnd"/>
            <w:r w:rsidRPr="009F2503">
              <w:t xml:space="preserve"> homologaciju</w:t>
            </w:r>
          </w:p>
        </w:tc>
        <w:tc>
          <w:tcPr>
            <w:tcW w:w="4876" w:type="dxa"/>
          </w:tcPr>
          <w:p w:rsidR="00D00FC9" w:rsidRPr="009F2503" w:rsidRDefault="00D00FC9" w:rsidP="00605A38">
            <w:pPr>
              <w:pStyle w:val="Normal6a"/>
            </w:pPr>
            <w:r w:rsidRPr="009F2503">
              <w:t xml:space="preserve">Posebna pravila za </w:t>
            </w:r>
            <w:proofErr w:type="spellStart"/>
            <w:r w:rsidRPr="009F2503">
              <w:t>višestupanjsku</w:t>
            </w:r>
            <w:proofErr w:type="spellEnd"/>
            <w:r w:rsidRPr="009F2503">
              <w:t xml:space="preserve"> homologaciju</w:t>
            </w:r>
            <w:r w:rsidRPr="009F2503">
              <w:rPr>
                <w:b/>
                <w:i/>
              </w:rPr>
              <w:t xml:space="preserve">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9.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r>
            <w:r w:rsidRPr="009F2503">
              <w:rPr>
                <w:b/>
                <w:i/>
              </w:rPr>
              <w:t xml:space="preserve">U </w:t>
            </w:r>
            <w:proofErr w:type="spellStart"/>
            <w:r w:rsidRPr="009F2503">
              <w:rPr>
                <w:b/>
                <w:i/>
              </w:rPr>
              <w:t>višestupanjskim</w:t>
            </w:r>
            <w:proofErr w:type="spellEnd"/>
            <w:r w:rsidRPr="009F2503">
              <w:rPr>
                <w:b/>
                <w:i/>
              </w:rPr>
              <w:t xml:space="preserve"> homologacijama proizvođači drugog ili sljedećih stupnjeva odgovorni su za homologaciju s obzirom</w:t>
            </w:r>
            <w:r w:rsidRPr="009F2503">
              <w:t xml:space="preserve"> na </w:t>
            </w:r>
            <w:r w:rsidRPr="009F2503">
              <w:rPr>
                <w:b/>
                <w:i/>
              </w:rPr>
              <w:t>emisije ako preinače bilo koji dio vozila koji bi, prema podacima koje su dostavili proizvođači prethodnog stupnja</w:t>
            </w:r>
            <w:r w:rsidRPr="009F2503">
              <w:t xml:space="preserve">, </w:t>
            </w:r>
            <w:r w:rsidRPr="009F2503">
              <w:rPr>
                <w:b/>
                <w:i/>
              </w:rPr>
              <w:t>mogao utjecati na emisije ili trajnost baterije</w:t>
            </w:r>
            <w:r w:rsidRPr="009F2503">
              <w:t>.</w:t>
            </w:r>
          </w:p>
        </w:tc>
        <w:tc>
          <w:tcPr>
            <w:tcW w:w="4876" w:type="dxa"/>
          </w:tcPr>
          <w:p w:rsidR="00D00FC9" w:rsidRPr="009F2503" w:rsidRDefault="00D00FC9" w:rsidP="00605A38">
            <w:pPr>
              <w:pStyle w:val="Normal6a"/>
            </w:pPr>
            <w:r w:rsidRPr="009F2503">
              <w:t>1.</w:t>
            </w:r>
            <w:r w:rsidRPr="009F2503">
              <w:tab/>
              <w:t xml:space="preserve">Na </w:t>
            </w:r>
            <w:proofErr w:type="spellStart"/>
            <w:r w:rsidRPr="009F2503">
              <w:rPr>
                <w:b/>
                <w:i/>
              </w:rPr>
              <w:t>višestupanjsku</w:t>
            </w:r>
            <w:proofErr w:type="spellEnd"/>
            <w:r w:rsidRPr="009F2503">
              <w:rPr>
                <w:b/>
                <w:i/>
              </w:rPr>
              <w:t xml:space="preserve"> homologaciju primjenjuju se posebne odredbe iz tablica 3.</w:t>
            </w:r>
            <w:r w:rsidRPr="009F2503">
              <w:t xml:space="preserve">, </w:t>
            </w:r>
            <w:r w:rsidRPr="009F2503">
              <w:rPr>
                <w:b/>
                <w:i/>
              </w:rPr>
              <w:t>4. i 5. Priloga V</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lastRenderedPageBreak/>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2.</w:t>
            </w:r>
            <w:r w:rsidRPr="009F2503">
              <w:tab/>
            </w:r>
            <w:r w:rsidRPr="009F2503">
              <w:rPr>
                <w:b/>
                <w:i/>
              </w:rPr>
              <w:t>Komisija donosi provedbene akte kojima se utvrđuju administrativni zahtjevi i podaci koje proizvođači prethodne faze trebaju dostaviti u skladu sa stavkom 1. te postupci za utvrđivanje emisija CO</w:t>
            </w:r>
            <w:r w:rsidRPr="009F2503">
              <w:rPr>
                <w:b/>
                <w:i/>
                <w:vertAlign w:val="subscript"/>
              </w:rPr>
              <w:t>2</w:t>
            </w:r>
            <w:r w:rsidRPr="009F2503">
              <w:rPr>
                <w:b/>
                <w:i/>
              </w:rPr>
              <w:t xml:space="preserve"> takvih vozila. Ti se provedbeni akti donose u skladu s postupkom ispitivanja iz članka 17. stavka 2.</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10. – stavak 1.</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t xml:space="preserve">Nacionalna </w:t>
            </w:r>
            <w:proofErr w:type="spellStart"/>
            <w:r w:rsidRPr="009F2503">
              <w:t>homologacijska</w:t>
            </w:r>
            <w:proofErr w:type="spellEnd"/>
            <w:r w:rsidRPr="009F2503">
              <w:t xml:space="preserve"> tijela moraju uvesti mjere za dodjelu homologacija s obzirom na emisije tipova vozila, sastavnih dijelova i zasebnih tehničkih jedinica te za provođenje ispitivanja, provjera i pregleda kako bi se provjerilo ispunjavaju li proizvođači zahtjeve za sukladnost proizvodnje i sukladnost u uporabi u skladu s Prilogom V.</w:t>
            </w:r>
          </w:p>
        </w:tc>
        <w:tc>
          <w:tcPr>
            <w:tcW w:w="4876" w:type="dxa"/>
          </w:tcPr>
          <w:p w:rsidR="00D00FC9" w:rsidRPr="009F2503" w:rsidRDefault="00D00FC9" w:rsidP="00605A38">
            <w:pPr>
              <w:pStyle w:val="Normal6a"/>
            </w:pPr>
            <w:r w:rsidRPr="009F2503">
              <w:t>1.</w:t>
            </w:r>
            <w:r w:rsidRPr="009F2503">
              <w:tab/>
              <w:t xml:space="preserve">Nacionalna </w:t>
            </w:r>
            <w:proofErr w:type="spellStart"/>
            <w:r w:rsidRPr="009F2503">
              <w:t>homologacijska</w:t>
            </w:r>
            <w:proofErr w:type="spellEnd"/>
            <w:r w:rsidRPr="009F2503">
              <w:t xml:space="preserve"> tijela moraju uvesti mjere za dodjelu homologacija s obzirom na emisije tipova vozila, </w:t>
            </w:r>
            <w:r w:rsidRPr="009F2503">
              <w:rPr>
                <w:b/>
                <w:i/>
              </w:rPr>
              <w:t xml:space="preserve">sustava, </w:t>
            </w:r>
            <w:r w:rsidRPr="009F2503">
              <w:t>sastavnih dijelova i zasebnih tehničkih jedinica te za provođenje ispitivanja, provjera i pregleda kako bi se provjerilo ispunjavaju li proizvođači zahtjeve za sukladnost proizvodnje i sukladnost u uporabi u skladu s Prilogom V.</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99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10. – stavak 2.a (novi)</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2.a</w:t>
            </w:r>
            <w:r w:rsidRPr="009F2503">
              <w:tab/>
            </w:r>
            <w:r w:rsidRPr="009F2503">
              <w:rPr>
                <w:b/>
                <w:i/>
              </w:rPr>
              <w:t>Pri provođenju ispitivanja, provjera i pregleda nacionalna tijela i stanice za tehnički pregled ažuriraju ekološku putovnicu vozila (EVP) ažuriranim vrijednostima u odnosu na informacije iz članka 3. točke 71.</w:t>
            </w:r>
          </w:p>
        </w:tc>
      </w:tr>
    </w:tbl>
    <w:p w:rsidR="00D00FC9" w:rsidRPr="009F2503" w:rsidRDefault="00D00FC9" w:rsidP="00D00FC9"/>
    <w:p w:rsidR="00D00FC9" w:rsidRPr="009F2503" w:rsidRDefault="00D00FC9" w:rsidP="00D00FC9">
      <w:pPr>
        <w:pStyle w:val="AmNumberTabs"/>
      </w:pPr>
      <w:r w:rsidRPr="009F2503">
        <w:lastRenderedPageBreak/>
        <w:t>Amandman</w:t>
      </w:r>
      <w:r w:rsidRPr="009F2503">
        <w:tab/>
      </w:r>
      <w:r w:rsidRPr="009F2503">
        <w:tab/>
        <w:t>100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10. – stavak 3.a (novi)</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3.a</w:t>
            </w:r>
            <w:r w:rsidRPr="009F2503">
              <w:tab/>
            </w:r>
            <w:r w:rsidRPr="009F2503">
              <w:rPr>
                <w:b/>
                <w:i/>
              </w:rPr>
              <w:t xml:space="preserve">S učinkom od 24 mjeseca nakon stupanja na snagu cjelokupnog </w:t>
            </w:r>
            <w:r w:rsidR="00605A38">
              <w:rPr>
                <w:b/>
                <w:i/>
              </w:rPr>
              <w:t xml:space="preserve">relevantnog </w:t>
            </w:r>
            <w:r w:rsidRPr="009F2503">
              <w:rPr>
                <w:b/>
                <w:i/>
              </w:rPr>
              <w:t xml:space="preserve">sekundarnog zakonodavstva i u skladu s posebnim odredbama za sustave, sastavne dijelove i zasebne tehničke jedinice, nacionalna </w:t>
            </w:r>
            <w:proofErr w:type="spellStart"/>
            <w:r w:rsidRPr="009F2503">
              <w:rPr>
                <w:b/>
                <w:i/>
              </w:rPr>
              <w:t>homologacijska</w:t>
            </w:r>
            <w:proofErr w:type="spellEnd"/>
            <w:r w:rsidRPr="009F2503">
              <w:rPr>
                <w:b/>
                <w:i/>
              </w:rPr>
              <w:t xml:space="preserve"> tijela na temelju razloga koji se odnose na emisije CO2 i onečišćujućih tvari, potrošnju goriva i energije ili trajnost baterije u slučaju novih tipova vozila kategorije M</w:t>
            </w:r>
            <w:r w:rsidRPr="009F2503">
              <w:rPr>
                <w:b/>
                <w:i/>
                <w:vertAlign w:val="subscript"/>
              </w:rPr>
              <w:t>1</w:t>
            </w:r>
            <w:r w:rsidRPr="009F2503">
              <w:rPr>
                <w:b/>
                <w:i/>
              </w:rPr>
              <w:t xml:space="preserve"> i N</w:t>
            </w:r>
            <w:r w:rsidRPr="009F2503">
              <w:rPr>
                <w:b/>
                <w:i/>
                <w:vertAlign w:val="subscript"/>
              </w:rPr>
              <w:t>1</w:t>
            </w:r>
            <w:r w:rsidRPr="009F2503">
              <w:rPr>
                <w:b/>
                <w:i/>
              </w:rPr>
              <w:t xml:space="preserve"> odbijaju dodijeliti EU homologaciju s obzirom na emisije ili nacionalnu homologaciju s obzirom na emisije koje nisu u skladu s ovom Uredbom.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10. – stavak 4.</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4.</w:t>
            </w:r>
            <w:r w:rsidRPr="009F2503">
              <w:tab/>
              <w:t xml:space="preserve">S učinkom od </w:t>
            </w:r>
            <w:r w:rsidRPr="009F2503">
              <w:rPr>
                <w:b/>
                <w:i/>
              </w:rPr>
              <w:t>1.</w:t>
            </w:r>
            <w:r w:rsidRPr="009F2503">
              <w:t> </w:t>
            </w:r>
            <w:r w:rsidRPr="009F2503">
              <w:rPr>
                <w:b/>
                <w:i/>
              </w:rPr>
              <w:t>srpnja 2025.</w:t>
            </w:r>
            <w:r w:rsidRPr="009F2503">
              <w:t xml:space="preserve"> nacionalna tijela u slučaju novih vozila kategorija M</w:t>
            </w:r>
            <w:r w:rsidRPr="009F2503">
              <w:rPr>
                <w:vertAlign w:val="subscript"/>
              </w:rPr>
              <w:t>1</w:t>
            </w:r>
            <w:r w:rsidRPr="009F2503">
              <w:t xml:space="preserve"> i N</w:t>
            </w:r>
            <w:r w:rsidRPr="009F2503">
              <w:rPr>
                <w:vertAlign w:val="subscript"/>
              </w:rPr>
              <w:t>1</w:t>
            </w:r>
            <w:r w:rsidRPr="009F2503">
              <w:t xml:space="preserve"> koja nisu usklađena s ovom Uredbom smatraju certifikate o sukladnosti nevažećima za potrebe registracije te na temelju razloga koji se odnose na emisije CO</w:t>
            </w:r>
            <w:r w:rsidRPr="009F2503">
              <w:rPr>
                <w:vertAlign w:val="subscript"/>
              </w:rPr>
              <w:t>2</w:t>
            </w:r>
            <w:r w:rsidRPr="009F2503">
              <w:t xml:space="preserve"> i onečišćujućih tvari, potrošnju goriva i energije ili trajnost baterije zabranjuju registraciju, prodaju ili stavljanje u uporabu takvih vozila.</w:t>
            </w:r>
          </w:p>
        </w:tc>
        <w:tc>
          <w:tcPr>
            <w:tcW w:w="4876" w:type="dxa"/>
          </w:tcPr>
          <w:p w:rsidR="00D00FC9" w:rsidRPr="009F2503" w:rsidRDefault="00D00FC9" w:rsidP="00605A38">
            <w:pPr>
              <w:pStyle w:val="Normal6a"/>
            </w:pPr>
            <w:r w:rsidRPr="009F2503">
              <w:t>4.</w:t>
            </w:r>
            <w:r w:rsidRPr="009F2503">
              <w:tab/>
              <w:t xml:space="preserve">S učinkom od </w:t>
            </w:r>
            <w:r w:rsidRPr="009F2503">
              <w:rPr>
                <w:b/>
                <w:i/>
              </w:rPr>
              <w:t>36</w:t>
            </w:r>
            <w:r w:rsidRPr="009F2503">
              <w:t> </w:t>
            </w:r>
            <w:r w:rsidRPr="009F2503">
              <w:rPr>
                <w:b/>
                <w:i/>
              </w:rPr>
              <w:t xml:space="preserve">mjeseci nakon stupanja na snagu cjelokupnog </w:t>
            </w:r>
            <w:r w:rsidR="00605A38">
              <w:rPr>
                <w:b/>
                <w:i/>
              </w:rPr>
              <w:t xml:space="preserve">relevantnog </w:t>
            </w:r>
            <w:r w:rsidRPr="009F2503">
              <w:rPr>
                <w:b/>
                <w:i/>
              </w:rPr>
              <w:t>sekundarnog zakonodavstva te u skladu s posebnim odredbama za sustave, sastavne dijelove i zasebne tehničke jedinice,</w:t>
            </w:r>
            <w:r w:rsidRPr="009F2503">
              <w:t xml:space="preserve"> nacionalna tijela u slučaju novih vozila kategorija M</w:t>
            </w:r>
            <w:r w:rsidRPr="009F2503">
              <w:rPr>
                <w:vertAlign w:val="subscript"/>
              </w:rPr>
              <w:t>1</w:t>
            </w:r>
            <w:r w:rsidRPr="009F2503">
              <w:t xml:space="preserve"> i N</w:t>
            </w:r>
            <w:r w:rsidRPr="009F2503">
              <w:rPr>
                <w:vertAlign w:val="subscript"/>
              </w:rPr>
              <w:t>1</w:t>
            </w:r>
            <w:r w:rsidRPr="009F2503">
              <w:t xml:space="preserve"> koja nisu usklađena s ovom Uredbom smatraju certifikate o sukladnosti nevažećima za potrebe registracije te na temelju razloga koji se odnose na emisije CO</w:t>
            </w:r>
            <w:r w:rsidRPr="009F2503">
              <w:rPr>
                <w:vertAlign w:val="subscript"/>
              </w:rPr>
              <w:t>2</w:t>
            </w:r>
            <w:r w:rsidRPr="009F2503">
              <w:t xml:space="preserve"> i onečišćujućih tvari, potrošnju goriva i energije ili trajnost baterije zabranjuju registraciju, prodaju ili stavljanje u uporabu takvih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10. – stavak 4.a (novi)</w:t>
      </w:r>
    </w:p>
    <w:p w:rsidR="00D00FC9" w:rsidRPr="009F2503" w:rsidRDefault="00D00FC9" w:rsidP="00D00FC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4.a</w:t>
            </w:r>
            <w:r w:rsidRPr="009F2503">
              <w:tab/>
            </w:r>
            <w:r w:rsidRPr="009F2503">
              <w:rPr>
                <w:b/>
                <w:i/>
              </w:rPr>
              <w:t xml:space="preserve">S učinkom od 48 mjeseci nakon stupanja na snagu cjelokupnog sekundarnog zakonodavstva i u skladu s posebnim odredbama za sustave, sastavne dijelove i zasebne tehničke jedinice, nacionalna </w:t>
            </w:r>
            <w:proofErr w:type="spellStart"/>
            <w:r w:rsidRPr="009F2503">
              <w:rPr>
                <w:b/>
                <w:i/>
              </w:rPr>
              <w:t>homologacijska</w:t>
            </w:r>
            <w:proofErr w:type="spellEnd"/>
            <w:r w:rsidRPr="009F2503">
              <w:rPr>
                <w:b/>
                <w:i/>
              </w:rPr>
              <w:t xml:space="preserve"> tijela na temelju razloga koji se odnose na emisije CO</w:t>
            </w:r>
            <w:r w:rsidRPr="009F2503">
              <w:rPr>
                <w:b/>
                <w:i/>
                <w:vertAlign w:val="subscript"/>
              </w:rPr>
              <w:t>2</w:t>
            </w:r>
            <w:r w:rsidRPr="009F2503">
              <w:rPr>
                <w:b/>
                <w:i/>
              </w:rPr>
              <w:t xml:space="preserve"> i onečišćujućih tvari, potrošnju goriva i energije, energetsku učinkovitost ili trajnost baterije u slučaju novih tipova vozila kategorija M</w:t>
            </w:r>
            <w:r w:rsidRPr="009F2503">
              <w:rPr>
                <w:b/>
                <w:i/>
                <w:vertAlign w:val="subscript"/>
              </w:rPr>
              <w:t>2</w:t>
            </w:r>
            <w:r w:rsidRPr="009F2503">
              <w:rPr>
                <w:b/>
                <w:i/>
              </w:rPr>
              <w:t>, M</w:t>
            </w:r>
            <w:r w:rsidRPr="009F2503">
              <w:rPr>
                <w:b/>
                <w:i/>
                <w:vertAlign w:val="subscript"/>
              </w:rPr>
              <w:t>3</w:t>
            </w:r>
            <w:r w:rsidRPr="009F2503">
              <w:rPr>
                <w:b/>
                <w:i/>
              </w:rPr>
              <w:t>, N</w:t>
            </w:r>
            <w:r w:rsidRPr="009F2503">
              <w:rPr>
                <w:b/>
                <w:i/>
                <w:vertAlign w:val="subscript"/>
              </w:rPr>
              <w:t>2</w:t>
            </w:r>
            <w:r w:rsidRPr="009F2503">
              <w:rPr>
                <w:b/>
                <w:i/>
              </w:rPr>
              <w:t xml:space="preserve"> i N</w:t>
            </w:r>
            <w:r w:rsidRPr="009F2503">
              <w:rPr>
                <w:b/>
                <w:i/>
                <w:vertAlign w:val="subscript"/>
              </w:rPr>
              <w:t>3</w:t>
            </w:r>
            <w:r w:rsidRPr="009F2503">
              <w:rPr>
                <w:b/>
                <w:i/>
              </w:rPr>
              <w:t xml:space="preserve"> te novih prikolica kategorija O</w:t>
            </w:r>
            <w:r w:rsidRPr="009F2503">
              <w:rPr>
                <w:b/>
                <w:i/>
                <w:vertAlign w:val="subscript"/>
              </w:rPr>
              <w:t>3</w:t>
            </w:r>
            <w:r w:rsidRPr="009F2503">
              <w:rPr>
                <w:b/>
                <w:i/>
              </w:rPr>
              <w:t xml:space="preserve"> i O</w:t>
            </w:r>
            <w:r w:rsidRPr="009F2503">
              <w:rPr>
                <w:b/>
                <w:i/>
                <w:vertAlign w:val="subscript"/>
              </w:rPr>
              <w:t>4</w:t>
            </w:r>
            <w:r w:rsidRPr="009F2503">
              <w:rPr>
                <w:b/>
                <w:i/>
              </w:rPr>
              <w:t>, odbijaju dodijeliti EU homologaciju s obzirom na emisije ili nacionalnu homologaciju s obzirom na emisije koje nisu u skladu s ovom Uredbom.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10.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5.</w:t>
            </w:r>
            <w:r w:rsidRPr="009F2503">
              <w:tab/>
              <w:t xml:space="preserve">S učinkom od </w:t>
            </w:r>
            <w:r w:rsidRPr="009F2503">
              <w:rPr>
                <w:b/>
                <w:i/>
              </w:rPr>
              <w:t>1.</w:t>
            </w:r>
            <w:r w:rsidRPr="009F2503">
              <w:t> </w:t>
            </w:r>
            <w:r w:rsidRPr="009F2503">
              <w:rPr>
                <w:b/>
                <w:i/>
              </w:rPr>
              <w:t>srpnja 2027.</w:t>
            </w:r>
            <w:r w:rsidRPr="009F2503">
              <w:t xml:space="preserve"> nacionalna tijela u slučaju novih vozila kategorija M</w:t>
            </w:r>
            <w:r w:rsidRPr="009F2503">
              <w:rPr>
                <w:vertAlign w:val="subscript"/>
              </w:rPr>
              <w:t>2</w:t>
            </w:r>
            <w:r w:rsidRPr="009F2503">
              <w:t>, M</w:t>
            </w:r>
            <w:r w:rsidRPr="009F2503">
              <w:rPr>
                <w:vertAlign w:val="subscript"/>
              </w:rPr>
              <w:t>3</w:t>
            </w:r>
            <w:r w:rsidRPr="009F2503">
              <w:t>, N</w:t>
            </w:r>
            <w:r w:rsidRPr="009F2503">
              <w:rPr>
                <w:vertAlign w:val="subscript"/>
              </w:rPr>
              <w:t>2</w:t>
            </w:r>
            <w:r w:rsidRPr="009F2503">
              <w:t xml:space="preserve"> i N</w:t>
            </w:r>
            <w:r w:rsidRPr="009F2503">
              <w:rPr>
                <w:vertAlign w:val="subscript"/>
              </w:rPr>
              <w:t>3</w:t>
            </w:r>
            <w:r w:rsidRPr="009F2503">
              <w:t xml:space="preserve"> te novih prikolica kategorija O</w:t>
            </w:r>
            <w:r w:rsidRPr="009F2503">
              <w:rPr>
                <w:vertAlign w:val="subscript"/>
              </w:rPr>
              <w:t>3</w:t>
            </w:r>
            <w:r w:rsidRPr="009F2503">
              <w:t xml:space="preserve"> i O</w:t>
            </w:r>
            <w:r w:rsidRPr="009F2503">
              <w:rPr>
                <w:vertAlign w:val="subscript"/>
              </w:rPr>
              <w:t>4</w:t>
            </w:r>
            <w:r w:rsidRPr="009F2503">
              <w:t xml:space="preserve"> </w:t>
            </w:r>
            <w:r w:rsidRPr="009F2503">
              <w:rPr>
                <w:b/>
                <w:i/>
              </w:rPr>
              <w:t>koji</w:t>
            </w:r>
            <w:r w:rsidRPr="009F2503">
              <w:t xml:space="preserve"> nisu </w:t>
            </w:r>
            <w:r w:rsidRPr="009F2503">
              <w:rPr>
                <w:b/>
                <w:i/>
              </w:rPr>
              <w:t>usklađeni</w:t>
            </w:r>
            <w:r w:rsidRPr="009F2503">
              <w:t xml:space="preserve"> s ovom Uredbom smatraju certifikate o sukladnosti nevažećima za potrebe registracije te na temelju razloga koji se odnose na emisije CO</w:t>
            </w:r>
            <w:r w:rsidRPr="009F2503">
              <w:rPr>
                <w:vertAlign w:val="subscript"/>
              </w:rPr>
              <w:t>2</w:t>
            </w:r>
            <w:r w:rsidRPr="009F2503">
              <w:t xml:space="preserve"> i onečišćujućih tvari, potrošnju goriva i energije, energetsku učinkovitost ili trajnost baterije zabranjuju registraciju, prodaju ili stavljanje u uporabu takvih vozila.</w:t>
            </w:r>
          </w:p>
        </w:tc>
        <w:tc>
          <w:tcPr>
            <w:tcW w:w="4876" w:type="dxa"/>
          </w:tcPr>
          <w:p w:rsidR="00D00FC9" w:rsidRPr="009F2503" w:rsidRDefault="00D00FC9" w:rsidP="00605A38">
            <w:pPr>
              <w:pStyle w:val="Normal6a"/>
            </w:pPr>
            <w:r w:rsidRPr="009F2503">
              <w:t>5.</w:t>
            </w:r>
            <w:r w:rsidRPr="009F2503">
              <w:tab/>
              <w:t xml:space="preserve">S učinkom od </w:t>
            </w:r>
            <w:r w:rsidRPr="009F2503">
              <w:rPr>
                <w:b/>
                <w:i/>
              </w:rPr>
              <w:t>60</w:t>
            </w:r>
            <w:r w:rsidRPr="009F2503">
              <w:t> </w:t>
            </w:r>
            <w:r w:rsidRPr="009F2503">
              <w:rPr>
                <w:b/>
                <w:i/>
              </w:rPr>
              <w:t xml:space="preserve">mjeseci nakon stupanja na snagu cjelokupnog </w:t>
            </w:r>
            <w:r w:rsidR="00605A38">
              <w:rPr>
                <w:b/>
                <w:i/>
              </w:rPr>
              <w:t xml:space="preserve">relevantnog </w:t>
            </w:r>
            <w:r w:rsidRPr="009F2503">
              <w:rPr>
                <w:b/>
                <w:i/>
              </w:rPr>
              <w:t>sekundarnog zakonodavstva te u skladu s posebnim odredbama za sustave, sastavne dijelove i zasebne tehničke jedinice,</w:t>
            </w:r>
            <w:r w:rsidRPr="009F2503">
              <w:t xml:space="preserve"> nacionalna tijela u slučaju novih vozila kategorija M</w:t>
            </w:r>
            <w:r w:rsidRPr="009F2503">
              <w:rPr>
                <w:vertAlign w:val="subscript"/>
              </w:rPr>
              <w:t>2</w:t>
            </w:r>
            <w:r w:rsidRPr="009F2503">
              <w:t>, M</w:t>
            </w:r>
            <w:r w:rsidRPr="009F2503">
              <w:rPr>
                <w:vertAlign w:val="subscript"/>
              </w:rPr>
              <w:t>3</w:t>
            </w:r>
            <w:r w:rsidRPr="009F2503">
              <w:t>, N</w:t>
            </w:r>
            <w:r w:rsidRPr="009F2503">
              <w:rPr>
                <w:vertAlign w:val="subscript"/>
              </w:rPr>
              <w:t>2</w:t>
            </w:r>
            <w:r w:rsidRPr="009F2503">
              <w:t xml:space="preserve"> i N</w:t>
            </w:r>
            <w:r w:rsidRPr="009F2503">
              <w:rPr>
                <w:vertAlign w:val="subscript"/>
              </w:rPr>
              <w:t>3</w:t>
            </w:r>
            <w:r w:rsidRPr="009F2503">
              <w:t xml:space="preserve"> te novih prikolica kategorija O</w:t>
            </w:r>
            <w:r w:rsidRPr="009F2503">
              <w:rPr>
                <w:vertAlign w:val="subscript"/>
              </w:rPr>
              <w:t>3</w:t>
            </w:r>
            <w:r w:rsidRPr="009F2503">
              <w:t xml:space="preserve"> i O</w:t>
            </w:r>
            <w:r w:rsidRPr="009F2503">
              <w:rPr>
                <w:vertAlign w:val="subscript"/>
              </w:rPr>
              <w:t>4</w:t>
            </w:r>
            <w:r w:rsidRPr="009F2503">
              <w:t xml:space="preserve"> </w:t>
            </w:r>
            <w:r w:rsidRPr="009F2503">
              <w:rPr>
                <w:b/>
                <w:i/>
              </w:rPr>
              <w:t>koja</w:t>
            </w:r>
            <w:r w:rsidRPr="009F2503">
              <w:t xml:space="preserve"> nisu </w:t>
            </w:r>
            <w:r w:rsidRPr="009F2503">
              <w:rPr>
                <w:b/>
                <w:i/>
              </w:rPr>
              <w:t>usklađena</w:t>
            </w:r>
            <w:r w:rsidRPr="009F2503">
              <w:t xml:space="preserve"> s ovom Uredbom smatraju certifikate o sukladnosti nevažećima za potrebe registracije te na temelju razloga koji se odnose na emisije CO</w:t>
            </w:r>
            <w:r w:rsidRPr="009F2503">
              <w:rPr>
                <w:vertAlign w:val="subscript"/>
              </w:rPr>
              <w:t>2</w:t>
            </w:r>
            <w:r w:rsidRPr="009F2503">
              <w:t xml:space="preserve"> i onečišćujućih tvari, potrošnju goriva i energije, energetsku učinkovitost ili </w:t>
            </w:r>
            <w:r w:rsidRPr="009F2503">
              <w:lastRenderedPageBreak/>
              <w:t xml:space="preserve">trajnost baterije zabranjuju registraciju, prodaju ili stavljanje u uporabu takvih </w:t>
            </w:r>
            <w:r w:rsidRPr="009F2503">
              <w:rPr>
                <w:b/>
                <w:i/>
              </w:rPr>
              <w:t xml:space="preserve">motora, </w:t>
            </w:r>
            <w:r w:rsidRPr="009F2503">
              <w:t>vozila</w:t>
            </w:r>
            <w:r w:rsidRPr="009F2503">
              <w:rPr>
                <w:b/>
                <w:i/>
              </w:rPr>
              <w:t xml:space="preserve"> ili prikolica</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10. – stavak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8.</w:t>
            </w:r>
            <w:r w:rsidRPr="009F2503">
              <w:tab/>
            </w:r>
            <w:r w:rsidRPr="009F2503">
              <w:rPr>
                <w:b/>
                <w:i/>
              </w:rPr>
              <w:t>Komisija donosi provedbene akte kojima se utvrđuju administrativni i tehnički elementi potrebni za provedbu ispitivanja, provjera i pregleda radi provjere usklađenosti sa stavkom 1., kao i tehnički elementi potrebni za provjere nadzora tržišta iz stavka 2. Ti se provedbeni akti donose u skladu s postupkom ispitivanja iz članka 17. stavka 2.</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11.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t xml:space="preserve">S učinkom od </w:t>
            </w:r>
            <w:r w:rsidRPr="009F2503">
              <w:rPr>
                <w:b/>
                <w:i/>
              </w:rPr>
              <w:t>1. srpnja 2025.</w:t>
            </w:r>
            <w:r w:rsidRPr="009F2503">
              <w:t xml:space="preserve"> prodaja ili ugradnja sustava, sastavnog dijela ili zasebne tehničke jedinice namijenjenih za postavljanje u vozilo kategorije M</w:t>
            </w:r>
            <w:r w:rsidRPr="009F2503">
              <w:rPr>
                <w:vertAlign w:val="subscript"/>
              </w:rPr>
              <w:t>1</w:t>
            </w:r>
            <w:r w:rsidRPr="009F2503">
              <w:t xml:space="preserve"> ili N</w:t>
            </w:r>
            <w:r w:rsidRPr="009F2503">
              <w:rPr>
                <w:vertAlign w:val="subscript"/>
              </w:rPr>
              <w:t>1</w:t>
            </w:r>
            <w:r w:rsidRPr="009F2503">
              <w:t xml:space="preserve"> homologirano na temelju ove Uredbe zabranjuje se ako sustav, sastavni dio ili zasebna tehnička jedinica nisu homologirani u skladu s ovom Uredbom.</w:t>
            </w:r>
          </w:p>
        </w:tc>
        <w:tc>
          <w:tcPr>
            <w:tcW w:w="4876" w:type="dxa"/>
          </w:tcPr>
          <w:p w:rsidR="00D00FC9" w:rsidRPr="009F2503" w:rsidRDefault="00D00FC9" w:rsidP="00605A38">
            <w:pPr>
              <w:pStyle w:val="Normal6a"/>
            </w:pPr>
            <w:r w:rsidRPr="009F2503">
              <w:t>1.</w:t>
            </w:r>
            <w:r w:rsidRPr="009F2503">
              <w:tab/>
              <w:t xml:space="preserve">S učinkom od </w:t>
            </w:r>
            <w:r w:rsidRPr="009F2503">
              <w:rPr>
                <w:b/>
                <w:i/>
              </w:rPr>
              <w:t xml:space="preserve">24 mjeseca nakon stupanja na snagu cjelokupnog </w:t>
            </w:r>
            <w:r w:rsidR="00DF20BF">
              <w:rPr>
                <w:b/>
                <w:i/>
              </w:rPr>
              <w:t xml:space="preserve">relevantnog </w:t>
            </w:r>
            <w:r w:rsidRPr="009F2503">
              <w:rPr>
                <w:b/>
                <w:i/>
              </w:rPr>
              <w:t>sekundarnog zakonodavstva</w:t>
            </w:r>
            <w:r w:rsidRPr="009F2503">
              <w:t xml:space="preserve"> prodaja ili ugradnja sustava, sastavnog dijela ili zasebne tehničke jedinice namijenjenih za postavljanje u vozilo kategorije M</w:t>
            </w:r>
            <w:r w:rsidRPr="009F2503">
              <w:rPr>
                <w:vertAlign w:val="subscript"/>
              </w:rPr>
              <w:t>1</w:t>
            </w:r>
            <w:r w:rsidRPr="009F2503">
              <w:t xml:space="preserve"> ili N</w:t>
            </w:r>
            <w:r w:rsidRPr="009F2503">
              <w:rPr>
                <w:vertAlign w:val="subscript"/>
              </w:rPr>
              <w:t>1</w:t>
            </w:r>
            <w:r w:rsidRPr="009F2503">
              <w:t xml:space="preserve"> homologirano na temelju ove Uredbe zabranjuje se ako sustav, sastavni dio ili zasebna tehnička jedinica nisu homologirani u skladu s ovom Uredbom.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lastRenderedPageBreak/>
        <w:t>Članak 11.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 xml:space="preserve">S učinkom od </w:t>
            </w:r>
            <w:r w:rsidRPr="009F2503">
              <w:rPr>
                <w:b/>
                <w:i/>
              </w:rPr>
              <w:t>1.</w:t>
            </w:r>
            <w:r w:rsidRPr="009F2503">
              <w:t> </w:t>
            </w:r>
            <w:r w:rsidRPr="009F2503">
              <w:rPr>
                <w:b/>
                <w:i/>
              </w:rPr>
              <w:t>srpnja 2027.</w:t>
            </w:r>
            <w:r w:rsidRPr="009F2503">
              <w:t xml:space="preserve"> prodaja ili ugradnja sustava, sastavnog dijela ili zasebne tehničke jedinice namijenjenih za postavljanje u vozilo kategorije M</w:t>
            </w:r>
            <w:r w:rsidRPr="009F2503">
              <w:rPr>
                <w:vertAlign w:val="subscript"/>
              </w:rPr>
              <w:t>2</w:t>
            </w:r>
            <w:r w:rsidRPr="009F2503">
              <w:t>, M</w:t>
            </w:r>
            <w:r w:rsidRPr="009F2503">
              <w:rPr>
                <w:vertAlign w:val="subscript"/>
              </w:rPr>
              <w:t>3</w:t>
            </w:r>
            <w:r w:rsidRPr="009F2503">
              <w:t>, N</w:t>
            </w:r>
            <w:r w:rsidRPr="009F2503">
              <w:rPr>
                <w:vertAlign w:val="subscript"/>
              </w:rPr>
              <w:t>2</w:t>
            </w:r>
            <w:r w:rsidRPr="009F2503">
              <w:t xml:space="preserve"> ili N</w:t>
            </w:r>
            <w:r w:rsidRPr="009F2503">
              <w:rPr>
                <w:vertAlign w:val="subscript"/>
              </w:rPr>
              <w:t>3</w:t>
            </w:r>
            <w:r w:rsidRPr="009F2503">
              <w:t xml:space="preserve"> </w:t>
            </w:r>
            <w:r w:rsidRPr="009F2503">
              <w:rPr>
                <w:b/>
                <w:i/>
              </w:rPr>
              <w:t>homologirano</w:t>
            </w:r>
            <w:r w:rsidRPr="009F2503">
              <w:t xml:space="preserve"> na temelju ove Uredbe zabranjuje se ako sustav, sastavni dio ili zasebna tehnička jedinica nisu homologirani u skladu s ovom Uredbom.</w:t>
            </w:r>
          </w:p>
        </w:tc>
        <w:tc>
          <w:tcPr>
            <w:tcW w:w="4876" w:type="dxa"/>
          </w:tcPr>
          <w:p w:rsidR="00D00FC9" w:rsidRPr="009F2503" w:rsidRDefault="00D00FC9" w:rsidP="00605A38">
            <w:pPr>
              <w:pStyle w:val="Normal6a"/>
            </w:pPr>
            <w:r w:rsidRPr="009F2503">
              <w:t>2.</w:t>
            </w:r>
            <w:r w:rsidRPr="009F2503">
              <w:tab/>
              <w:t xml:space="preserve">S učinkom od </w:t>
            </w:r>
            <w:r w:rsidRPr="009F2503">
              <w:rPr>
                <w:b/>
                <w:i/>
              </w:rPr>
              <w:t>48</w:t>
            </w:r>
            <w:r w:rsidRPr="009F2503">
              <w:t> </w:t>
            </w:r>
            <w:r w:rsidRPr="009F2503">
              <w:rPr>
                <w:b/>
                <w:i/>
              </w:rPr>
              <w:t>mjeseci nakon stupanja na snagu cjelokupnog sekundarnog zakonodavstva</w:t>
            </w:r>
            <w:r w:rsidRPr="009F2503">
              <w:t xml:space="preserve"> prodaja ili ugradnja sustava, sastavnog dijela ili zasebne tehničke jedinice namijenjenih za postavljanje u vozilo kategorije M</w:t>
            </w:r>
            <w:r w:rsidRPr="009F2503">
              <w:rPr>
                <w:vertAlign w:val="subscript"/>
              </w:rPr>
              <w:t>2</w:t>
            </w:r>
            <w:r w:rsidRPr="009F2503">
              <w:t>, M</w:t>
            </w:r>
            <w:r w:rsidRPr="009F2503">
              <w:rPr>
                <w:vertAlign w:val="subscript"/>
              </w:rPr>
              <w:t>3</w:t>
            </w:r>
            <w:r w:rsidRPr="009F2503">
              <w:t>, N</w:t>
            </w:r>
            <w:r w:rsidRPr="009F2503">
              <w:rPr>
                <w:vertAlign w:val="subscript"/>
              </w:rPr>
              <w:t>2</w:t>
            </w:r>
            <w:r w:rsidRPr="009F2503">
              <w:t xml:space="preserve"> ili N</w:t>
            </w:r>
            <w:r w:rsidRPr="009F2503">
              <w:rPr>
                <w:vertAlign w:val="subscript"/>
              </w:rPr>
              <w:t>3</w:t>
            </w:r>
            <w:r w:rsidRPr="009F2503">
              <w:t xml:space="preserve"> </w:t>
            </w:r>
            <w:r w:rsidRPr="009F2503">
              <w:rPr>
                <w:b/>
                <w:i/>
              </w:rPr>
              <w:t>i prikolicu kategorije O</w:t>
            </w:r>
            <w:r w:rsidRPr="009F2503">
              <w:rPr>
                <w:b/>
                <w:i/>
                <w:vertAlign w:val="subscript"/>
              </w:rPr>
              <w:t>3</w:t>
            </w:r>
            <w:r w:rsidRPr="009F2503">
              <w:rPr>
                <w:b/>
                <w:i/>
              </w:rPr>
              <w:t xml:space="preserve"> ili O</w:t>
            </w:r>
            <w:r w:rsidRPr="009F2503">
              <w:rPr>
                <w:b/>
                <w:i/>
                <w:vertAlign w:val="subscript"/>
              </w:rPr>
              <w:t>4</w:t>
            </w:r>
            <w:r w:rsidRPr="009F2503">
              <w:rPr>
                <w:b/>
                <w:i/>
              </w:rPr>
              <w:t xml:space="preserve"> homologirane</w:t>
            </w:r>
            <w:r w:rsidRPr="009F2503">
              <w:t xml:space="preserve"> na temelju ove Uredbe zabranjuje se ako sustav, sastavni dio ili zasebna tehnička jedinica nisu homologirani u skladu s ovom Uredbom.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11.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DF20BF">
            <w:pPr>
              <w:pStyle w:val="Normal6a"/>
            </w:pPr>
            <w:r w:rsidRPr="009F2503">
              <w:rPr>
                <w:b/>
                <w:i/>
              </w:rPr>
              <w:t>3.a</w:t>
            </w:r>
            <w:r w:rsidRPr="009F2503">
              <w:tab/>
            </w:r>
            <w:r w:rsidRPr="009F2503">
              <w:rPr>
                <w:b/>
                <w:i/>
              </w:rPr>
              <w:t>S učinkom od 12 mjeseci nakon donošenja delegiranog akta o homologaciji guma razreda C1 s obzirom na granične vrijednosti abrazijskih emisija u skladu s člankom 7.a, nacionalna tijela dodjeljuju EU homologaciju sastavnog dijela ili zasebne tehničke jedinice za nove tipove guma samo ako je to u skladu s ovom Uredbom te odbijaju dodijeliti E</w:t>
            </w:r>
            <w:r w:rsidR="00DF20BF">
              <w:rPr>
                <w:b/>
                <w:i/>
              </w:rPr>
              <w:t>U</w:t>
            </w:r>
            <w:r w:rsidRPr="009F2503">
              <w:rPr>
                <w:b/>
                <w:i/>
              </w:rPr>
              <w:t xml:space="preserve"> homologaciju sastavnog dijela/zasebne tehničke jedinice za nove tipove guma koji nisu u skladu s ovom Uredbom.</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S učinkom od 36 mjeseci nakon donošenja delegiranog akta o homologaciji guma razreda C1 s obzirom na abrazijske emisije u skladu s člankom 7.a, nacionalna tijela odbijaju dodijeliti homologaciju ili homologaciju za nove gume razreda C1 koje nisu u skladu s ovom Uredbom. Gume razreda C1 koje su proizvedene prije datuma stupanja na snagu utvrđenog u ovom podstavku i koje nisu u skladu sa zahtjevima iz ove Uredbe i njezinim provedbenim mjerama mogu se </w:t>
            </w:r>
            <w:r w:rsidRPr="009F2503">
              <w:rPr>
                <w:b/>
                <w:i/>
              </w:rPr>
              <w:lastRenderedPageBreak/>
              <w:t>prodavati u razdoblju od najviše 30 mjeseci.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12. – stavak 1. – podstavak 1.a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Ako nedopušteni zahvati dovode do emisija koje prelaze granične vrijednosti utvrđene u Prilogu I., vozilo više nije u skladu s Uredbom.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109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12. – stavak 1. – podstavak 1.b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Nadležna tijela poduzimaju odgovarajuće korektivne mjere, uključujući opoziv, te učinkovite, proporcionalne i </w:t>
            </w:r>
            <w:proofErr w:type="spellStart"/>
            <w:r w:rsidRPr="009F2503">
              <w:rPr>
                <w:b/>
                <w:i/>
              </w:rPr>
              <w:t>odvraćajuće</w:t>
            </w:r>
            <w:proofErr w:type="spellEnd"/>
            <w:r w:rsidRPr="009F2503">
              <w:rPr>
                <w:b/>
                <w:i/>
              </w:rPr>
              <w:t xml:space="preserve"> financijske sankcije za neusklađenost koja proizlazi iz nedopuštenih zahvata.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12.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Za vrijeme provjera sukladnosti u uporabi ili nadzora tržišta nacionalna tijela provjeravaju jesu li proizvođači vozila ispravno ugradili sustave za upozoravanje vozača na prekomjerne emisije, sustave za upozoravanje vozača na nisku razinu reagensa i mogu li se na vozilima izvoditi nedopušteni zahvati.</w:t>
            </w:r>
          </w:p>
        </w:tc>
        <w:tc>
          <w:tcPr>
            <w:tcW w:w="4876" w:type="dxa"/>
          </w:tcPr>
          <w:p w:rsidR="00D00FC9" w:rsidRPr="009F2503" w:rsidRDefault="00D00FC9" w:rsidP="00605A38">
            <w:pPr>
              <w:pStyle w:val="Normal6a"/>
            </w:pPr>
            <w:r w:rsidRPr="009F2503">
              <w:t>2.</w:t>
            </w:r>
            <w:r w:rsidRPr="009F2503">
              <w:tab/>
              <w:t xml:space="preserve">Za vrijeme provjera sukladnosti u uporabi ili nadzora tržišta nacionalna tijela provjeravaju </w:t>
            </w:r>
            <w:r w:rsidRPr="009F2503">
              <w:rPr>
                <w:b/>
                <w:i/>
              </w:rPr>
              <w:t xml:space="preserve">kvalitetu korištenog reagensa, </w:t>
            </w:r>
            <w:r w:rsidRPr="009F2503">
              <w:t>jesu li proizvođači vozila ispravno ugradili sustave za upozoravanje vozača na prekomjerne emisije, sustave za upozoravanje vozača na nisku razinu reagensa i mogu li se na vozilima izvoditi nedopušteni zahvati.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t xml:space="preserve">Komisija ili treće strane, u skladu s člankom 9. i člankom 13. stavkom 10. Uredbe (EU) 2018/858, </w:t>
            </w:r>
            <w:r w:rsidRPr="009F2503">
              <w:rPr>
                <w:b/>
                <w:i/>
              </w:rPr>
              <w:t>mogu provoditi</w:t>
            </w:r>
            <w:r w:rsidRPr="009F2503">
              <w:t xml:space="preserve"> provjere sukladnosti u uporabi i nadzora tržišta utvrđene u tablicama 2., 4., 6., 8. i 10. Priloga V. radi provjere usklađenosti vozila, sastavnih dijelova i zasebnih tehničkih jedinica s ovom Uredbom.</w:t>
            </w:r>
          </w:p>
        </w:tc>
        <w:tc>
          <w:tcPr>
            <w:tcW w:w="4876" w:type="dxa"/>
          </w:tcPr>
          <w:p w:rsidR="00D00FC9" w:rsidRPr="009F2503" w:rsidRDefault="00D00FC9" w:rsidP="00605A38">
            <w:pPr>
              <w:pStyle w:val="Normal6a"/>
            </w:pPr>
            <w:r w:rsidRPr="009F2503">
              <w:t>1.</w:t>
            </w:r>
            <w:r w:rsidRPr="009F2503">
              <w:tab/>
              <w:t xml:space="preserve">Komisija ili treće strane, u skladu s člankom 9. i člankom 13. stavkom 10. Uredbe (EU) 2018/858, </w:t>
            </w:r>
            <w:r w:rsidRPr="009F2503">
              <w:rPr>
                <w:b/>
                <w:i/>
              </w:rPr>
              <w:t>provode</w:t>
            </w:r>
            <w:r w:rsidRPr="009F2503">
              <w:t xml:space="preserve"> provjere sukladnosti u uporabi i nadzora tržišta utvrđene u tablicama 2., 4., 6., 8. i 10. Priloga V. radi provjere usklađenosti vozila, sastavnih dijelova i zasebnih tehničkih jedinica s ovom Uredbom.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13.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2.a</w:t>
            </w:r>
            <w:r w:rsidRPr="009F2503">
              <w:tab/>
            </w:r>
            <w:r w:rsidRPr="009F2503">
              <w:rPr>
                <w:b/>
                <w:i/>
              </w:rPr>
              <w:t>Komisija kontinuirano prati stanje na razini Unije kako bi utvrdila prakse izbjegavanja mjera i neusklađenosti. Kada se utvrde povrede sukladnosti, Komisija podnosi izvješće Europskom parlamentu i Vijeću te, prema potrebi, poduzima daljnje korake u vezi sa zakonodavnim prijedlogom kako bi se riješili i uklonili rizici za tu neusklađenost.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 xml:space="preserve">Proizvođači i nacionalna tijela provode ispitivanja za dokazivanje sukladnosti sa zahtjevima iz </w:t>
            </w:r>
            <w:r w:rsidRPr="009F2503">
              <w:rPr>
                <w:b/>
                <w:i/>
              </w:rPr>
              <w:t>članka 4.</w:t>
            </w:r>
            <w:r w:rsidRPr="009F2503">
              <w:t xml:space="preserve"> kako je navedeno u Prilogu V. Komisija i treće </w:t>
            </w:r>
            <w:r w:rsidRPr="009F2503">
              <w:lastRenderedPageBreak/>
              <w:t xml:space="preserve">strane također mogu primijeniti ispitivanja za dokazivanje usklađenosti sa zahtjevima iz </w:t>
            </w:r>
            <w:r w:rsidRPr="009F2503">
              <w:rPr>
                <w:b/>
                <w:i/>
              </w:rPr>
              <w:t>članka 4.</w:t>
            </w:r>
            <w:r w:rsidRPr="009F2503">
              <w:t xml:space="preserve"> kako je navedeno u Prilogu V.</w:t>
            </w:r>
          </w:p>
        </w:tc>
        <w:tc>
          <w:tcPr>
            <w:tcW w:w="4876" w:type="dxa"/>
          </w:tcPr>
          <w:p w:rsidR="00D00FC9" w:rsidRPr="009F2503" w:rsidRDefault="00D00FC9" w:rsidP="00605A38">
            <w:pPr>
              <w:pStyle w:val="Normal6a"/>
            </w:pPr>
            <w:r w:rsidRPr="009F2503">
              <w:lastRenderedPageBreak/>
              <w:t>2.</w:t>
            </w:r>
            <w:r w:rsidRPr="009F2503">
              <w:tab/>
              <w:t xml:space="preserve">Proizvođači i nacionalna tijela provode ispitivanja za dokazivanje sukladnosti sa zahtjevima iz </w:t>
            </w:r>
            <w:r w:rsidRPr="009F2503">
              <w:rPr>
                <w:b/>
                <w:i/>
              </w:rPr>
              <w:t>ove Uredbe</w:t>
            </w:r>
            <w:r w:rsidRPr="009F2503">
              <w:t xml:space="preserve"> kako je navedeno u Prilogu V. Komisija i </w:t>
            </w:r>
            <w:r w:rsidRPr="009F2503">
              <w:lastRenderedPageBreak/>
              <w:t xml:space="preserve">treće strane također mogu primijeniti ispitivanja za dokazivanje usklađenosti sa zahtjevima iz </w:t>
            </w:r>
            <w:r w:rsidRPr="009F2503">
              <w:rPr>
                <w:b/>
                <w:i/>
              </w:rPr>
              <w:t>ove Uredbe</w:t>
            </w:r>
            <w:r w:rsidRPr="009F2503">
              <w:t xml:space="preserve"> kako je navedeno u Prilogu V.</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3.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3.</w:t>
            </w:r>
            <w:r w:rsidRPr="009F2503">
              <w:tab/>
              <w:t xml:space="preserve">Komisija donosi provedbene akte za sve faze homologacije s obzirom na emisije, uključujući sukladnost proizvodnje, sukladnost u uporabi i nadzor tržišta, koji se odnose na </w:t>
            </w:r>
            <w:r w:rsidRPr="009F2503">
              <w:rPr>
                <w:b/>
                <w:i/>
              </w:rPr>
              <w:t xml:space="preserve">postupke i ispitivanja za homologaciju s obzirom na emisije, ispitne metodologije, </w:t>
            </w:r>
            <w:r w:rsidRPr="009F2503">
              <w:t>administrativne odredbe, izmjene i proširenje homologacija s obzirom na emisije, pristup podacima, zahtjeve za dokumentaciju i predloške za sve navedeno u nastavku:</w:t>
            </w:r>
          </w:p>
        </w:tc>
        <w:tc>
          <w:tcPr>
            <w:tcW w:w="4876" w:type="dxa"/>
          </w:tcPr>
          <w:p w:rsidR="00D00FC9" w:rsidRPr="009F2503" w:rsidRDefault="00D00FC9" w:rsidP="00605A38">
            <w:pPr>
              <w:pStyle w:val="Normal6a"/>
            </w:pPr>
            <w:r w:rsidRPr="009F2503">
              <w:t>3.</w:t>
            </w:r>
            <w:r w:rsidRPr="009F2503">
              <w:tab/>
              <w:t>Komisija donosi provedbene akte za sve faze homologacije s obzirom na emisije, uključujući sukladnost proizvodnje, sukladnost u uporabi i nadzor tržišta, koji se odnose na administrativne odredbe, izmjene i proširenje homologacija s obzirom na emisije, pristup podacima, zahtjeve za dokumentaciju i predloške za sve navedeno u nastavku:</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3. − točka da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(da)</w:t>
            </w:r>
            <w:r w:rsidRPr="009F2503">
              <w:tab/>
            </w:r>
            <w:r w:rsidRPr="009F2503">
              <w:rPr>
                <w:b/>
                <w:i/>
              </w:rPr>
              <w:t>sustav za upozoravanje vozača na prekomjerne emisije;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 xml:space="preserve">Članak 14. – stavak 3. – točka </w:t>
      </w:r>
      <w:proofErr w:type="spellStart"/>
      <w:r w:rsidRPr="009F2503">
        <w:t>db</w:t>
      </w:r>
      <w:proofErr w:type="spellEnd"/>
      <w:r w:rsidRPr="009F2503">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w:t>
            </w:r>
            <w:proofErr w:type="spellStart"/>
            <w:r w:rsidRPr="009F2503">
              <w:rPr>
                <w:b/>
                <w:i/>
              </w:rPr>
              <w:t>db</w:t>
            </w:r>
            <w:proofErr w:type="spellEnd"/>
            <w:r w:rsidRPr="009F2503">
              <w:rPr>
                <w:b/>
                <w:i/>
              </w:rPr>
              <w:t>)</w:t>
            </w:r>
            <w:r w:rsidRPr="009F2503">
              <w:tab/>
            </w:r>
            <w:r w:rsidRPr="009F2503">
              <w:rPr>
                <w:b/>
                <w:i/>
              </w:rPr>
              <w:t>sustav za upozoravanje vozača na nisku razinu reagensa;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3.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(e)</w:t>
            </w:r>
            <w:r w:rsidRPr="009F2503">
              <w:tab/>
              <w:t xml:space="preserve">sustave za zaštitu od nedopuštenih zahvata, </w:t>
            </w:r>
            <w:r w:rsidRPr="009F2503">
              <w:rPr>
                <w:b/>
                <w:i/>
              </w:rPr>
              <w:t>sigurnost</w:t>
            </w:r>
            <w:r w:rsidRPr="009F2503">
              <w:t xml:space="preserve"> i </w:t>
            </w:r>
            <w:proofErr w:type="spellStart"/>
            <w:r w:rsidRPr="009F2503">
              <w:t>kibersigurnost</w:t>
            </w:r>
            <w:proofErr w:type="spellEnd"/>
            <w:r w:rsidRPr="009F2503">
              <w:t>;</w:t>
            </w:r>
          </w:p>
        </w:tc>
        <w:tc>
          <w:tcPr>
            <w:tcW w:w="4876" w:type="dxa"/>
          </w:tcPr>
          <w:p w:rsidR="00D00FC9" w:rsidRPr="009F2503" w:rsidRDefault="00D00FC9" w:rsidP="00605A38">
            <w:pPr>
              <w:pStyle w:val="Normal6a"/>
            </w:pPr>
            <w:r w:rsidRPr="009F2503">
              <w:t>(e)</w:t>
            </w:r>
            <w:r w:rsidRPr="009F2503">
              <w:tab/>
              <w:t xml:space="preserve">sustave za zaštitu od nedopuštenih zahvata, </w:t>
            </w:r>
            <w:r w:rsidRPr="009F2503">
              <w:rPr>
                <w:b/>
                <w:i/>
              </w:rPr>
              <w:t>uzimajući u obzir zahtjeve tržišta rezervnih dijelova</w:t>
            </w:r>
            <w:r w:rsidRPr="009F2503">
              <w:t xml:space="preserve"> i</w:t>
            </w:r>
            <w:r w:rsidRPr="009F2503">
              <w:rPr>
                <w:b/>
                <w:i/>
              </w:rPr>
              <w:t xml:space="preserve"> pružanje svih potrebnih informacija, alata i postupaka neovisnim operaterima za razvoj i ugradnju zamjenskih dijelova, kao i sigurnosnih sustava te sustava za</w:t>
            </w:r>
            <w:r w:rsidRPr="009F2503">
              <w:t xml:space="preserve"> </w:t>
            </w:r>
            <w:proofErr w:type="spellStart"/>
            <w:r w:rsidRPr="009F2503">
              <w:t>kibersigurnost</w:t>
            </w:r>
            <w:proofErr w:type="spellEnd"/>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3.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(g)</w:t>
            </w:r>
            <w:r w:rsidRPr="009F2503">
              <w:tab/>
              <w:t>tipove kočnih sustava i njihove zamjenske dijelove;</w:t>
            </w:r>
          </w:p>
        </w:tc>
        <w:tc>
          <w:tcPr>
            <w:tcW w:w="4876" w:type="dxa"/>
          </w:tcPr>
          <w:p w:rsidR="00D00FC9" w:rsidRPr="009F2503" w:rsidRDefault="00D00FC9" w:rsidP="00605A38">
            <w:pPr>
              <w:pStyle w:val="Normal6a"/>
            </w:pPr>
            <w:r w:rsidRPr="009F2503">
              <w:t>(g)</w:t>
            </w:r>
            <w:r w:rsidRPr="009F2503">
              <w:tab/>
              <w:t>tipove kočnih sustava i njihove zamjenske dijelove</w:t>
            </w:r>
            <w:r w:rsidRPr="009F2503">
              <w:rPr>
                <w:b/>
                <w:i/>
              </w:rPr>
              <w:t xml:space="preserve"> s obzirom na emisije čestica za sve kategorije vozila, uzimajući pritom u obzir i druge sustave u vozilu koji doprinose kočenju vozila</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119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3. − točka ga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(ga)</w:t>
            </w:r>
            <w:r w:rsidRPr="009F2503">
              <w:tab/>
            </w:r>
            <w:r w:rsidRPr="009F2503">
              <w:rPr>
                <w:b/>
                <w:i/>
              </w:rPr>
              <w:t>tipove kočnih sustava i njihove zamjenske dijelove koje je potrebno naknadno ugraditi u vozila koja su već stavljena na tržište kako bi se znatno smanjile emisije iz kočnica;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3.a</w:t>
            </w:r>
            <w:r w:rsidRPr="009F2503">
              <w:tab/>
            </w:r>
            <w:r w:rsidRPr="009F2503">
              <w:rPr>
                <w:b/>
                <w:i/>
              </w:rPr>
              <w:t>Komisija je ovlaštena donositi delegirane akte u skladu s člankom 16. za sve postupke i ispitivanja za homologaciju i ispitne metodologije za sve faze homologacije s obzirom na emisije, uključujući provjere sukladnosti u uporabi, provjere sukladnosti proizvodnje i nadzor tržišta, za sljedeće:</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(a) </w:t>
            </w:r>
            <w:r w:rsidRPr="009F2503">
              <w:tab/>
            </w:r>
            <w:r w:rsidRPr="009F2503">
              <w:rPr>
                <w:b/>
                <w:i/>
              </w:rPr>
              <w:t>tipove vozila kategorija M1 i N1;</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(b) </w:t>
            </w:r>
            <w:r w:rsidRPr="009F2503">
              <w:tab/>
            </w:r>
            <w:r w:rsidRPr="009F2503">
              <w:rPr>
                <w:b/>
                <w:i/>
              </w:rPr>
              <w:t>tipove vozila kategorija M2, M3, N2 i N3;</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(c) </w:t>
            </w:r>
            <w:r w:rsidRPr="009F2503">
              <w:tab/>
            </w:r>
            <w:r w:rsidRPr="009F2503">
              <w:rPr>
                <w:b/>
                <w:i/>
              </w:rPr>
              <w:t>motore koji se koriste u tipovima vozila kategorija M2, M3, N2 i N3;</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(d) </w:t>
            </w:r>
            <w:r w:rsidRPr="009F2503">
              <w:tab/>
            </w:r>
            <w:r w:rsidRPr="009F2503">
              <w:rPr>
                <w:b/>
                <w:i/>
              </w:rPr>
              <w:t>OBM-ove/OBD-ove;</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(da) </w:t>
            </w:r>
            <w:r w:rsidRPr="009F2503">
              <w:tab/>
            </w:r>
            <w:r w:rsidRPr="009F2503">
              <w:rPr>
                <w:b/>
                <w:i/>
              </w:rPr>
              <w:t>sustav za upozoravanje vozača na prekomjerne emisije;</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w:t>
            </w:r>
            <w:proofErr w:type="spellStart"/>
            <w:r w:rsidRPr="009F2503">
              <w:rPr>
                <w:b/>
                <w:i/>
              </w:rPr>
              <w:t>db</w:t>
            </w:r>
            <w:proofErr w:type="spellEnd"/>
            <w:r w:rsidRPr="009F2503">
              <w:rPr>
                <w:b/>
                <w:i/>
              </w:rPr>
              <w:t xml:space="preserve">) </w:t>
            </w:r>
            <w:r w:rsidRPr="009F2503">
              <w:tab/>
            </w:r>
            <w:r w:rsidRPr="009F2503">
              <w:rPr>
                <w:b/>
                <w:i/>
              </w:rPr>
              <w:t>sustav za upozoravanje vozača na nisku razinu reagensa;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(e) </w:t>
            </w:r>
            <w:r w:rsidRPr="009F2503">
              <w:tab/>
            </w:r>
            <w:r w:rsidRPr="009F2503">
              <w:rPr>
                <w:b/>
                <w:i/>
              </w:rPr>
              <w:t xml:space="preserve">sustave za zaštitu od nedopuštenih zahvata, uzimajući u obzir zahtjeve tržišta rezervnih dijelova i pružanje svih potrebnih informacija, alata i postupaka neovisnim operaterima za razvoj i ugradnju zamjenskih dijelova, te za sigurnosne i </w:t>
            </w:r>
            <w:proofErr w:type="spellStart"/>
            <w:r w:rsidRPr="009F2503">
              <w:rPr>
                <w:b/>
                <w:i/>
              </w:rPr>
              <w:t>kibernetičko</w:t>
            </w:r>
            <w:proofErr w:type="spellEnd"/>
            <w:r w:rsidRPr="009F2503">
              <w:rPr>
                <w:b/>
                <w:i/>
              </w:rPr>
              <w:t xml:space="preserve"> sigurnosne sustave;</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(f) </w:t>
            </w:r>
            <w:r w:rsidRPr="009F2503">
              <w:tab/>
            </w:r>
            <w:r w:rsidRPr="009F2503">
              <w:rPr>
                <w:b/>
                <w:i/>
              </w:rPr>
              <w:t>tipove zamjenskih sustava za kontrolu onečišćenja i njihove dijelove;</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(g) </w:t>
            </w:r>
            <w:r w:rsidRPr="009F2503">
              <w:tab/>
            </w:r>
            <w:r w:rsidRPr="009F2503">
              <w:rPr>
                <w:b/>
                <w:i/>
              </w:rPr>
              <w:t>tipove kočnih sustava i njihove zamjenske dijelove;</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(ga) </w:t>
            </w:r>
            <w:r w:rsidRPr="009F2503">
              <w:tab/>
            </w:r>
            <w:r w:rsidRPr="009F2503">
              <w:rPr>
                <w:b/>
                <w:i/>
              </w:rPr>
              <w:t>tipove kočnih sustava i njihove zamjenske dijelove koje je potrebno naknadno ugraditi u vozila koja su već stavljena na tržište kako bi se znatno smanjile emisije iz kočnica;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(h) </w:t>
            </w:r>
            <w:r w:rsidRPr="009F2503">
              <w:tab/>
            </w:r>
            <w:r w:rsidRPr="009F2503">
              <w:rPr>
                <w:b/>
                <w:i/>
              </w:rPr>
              <w:t>tipove guma s obzirom na abraziju guma;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i. </w:t>
            </w:r>
            <w:r w:rsidRPr="009F2503">
              <w:tab/>
            </w:r>
            <w:r w:rsidRPr="009F2503">
              <w:rPr>
                <w:b/>
                <w:i/>
              </w:rPr>
              <w:t>tipove vozila kategorija M1 i N1;</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(j) </w:t>
            </w:r>
            <w:r w:rsidRPr="009F2503">
              <w:tab/>
            </w:r>
            <w:r w:rsidRPr="009F2503">
              <w:rPr>
                <w:b/>
                <w:i/>
              </w:rPr>
              <w:t>utvrđivanje razina emisija CO2, potrošnje goriva i energije, autonomije na električni pogon i snage motora za vozila kategorija M1 i N1 te odredbe za OBFCM;</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 xml:space="preserve">(k) </w:t>
            </w:r>
            <w:r w:rsidRPr="009F2503">
              <w:tab/>
            </w:r>
            <w:r w:rsidRPr="009F2503">
              <w:rPr>
                <w:b/>
                <w:i/>
              </w:rPr>
              <w:t>utvrđivanje razina emisija CO2, potrošnje goriva i energije, autonomije na električni pogon i snage motora za vozila kategorija M2, M3, N2 i N3, energetske učinkovitosti za prikolice kategorija O3 i O4 te odredbe za OBFCM.</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 xml:space="preserve">Komisija je ovlaštena donositi </w:t>
            </w:r>
            <w:r w:rsidRPr="009F2503">
              <w:rPr>
                <w:b/>
                <w:i/>
              </w:rPr>
              <w:t>provedbene</w:t>
            </w:r>
            <w:r w:rsidRPr="009F2503">
              <w:t xml:space="preserve"> akte za sve faze homologacije s obzirom na emisije, uključujući provjere sukladnosti u uporabi, provjere sukladnosti proizvodnje i nadzor tržišta, kako bi utvrdila sljedeće:</w:t>
            </w:r>
          </w:p>
        </w:tc>
        <w:tc>
          <w:tcPr>
            <w:tcW w:w="4876" w:type="dxa"/>
          </w:tcPr>
          <w:p w:rsidR="00D00FC9" w:rsidRPr="009F2503" w:rsidRDefault="00D00FC9" w:rsidP="00605A38">
            <w:pPr>
              <w:pStyle w:val="Normal6a"/>
            </w:pPr>
            <w:r w:rsidRPr="009F2503">
              <w:t xml:space="preserve">Komisija je ovlaštena donositi </w:t>
            </w:r>
            <w:r w:rsidRPr="009F2503">
              <w:rPr>
                <w:b/>
                <w:i/>
              </w:rPr>
              <w:t>delegirane</w:t>
            </w:r>
            <w:r w:rsidRPr="009F2503">
              <w:t xml:space="preserve"> akte za sve faze homologacije s obzirom na emisije, uključujući provjere sukladnosti u uporabi, provjere sukladnosti proizvodnje i nadzor tržišta, kako bi utvrdila sljedeće: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 xml:space="preserve">Članak 14. – stavak 4. – podstavak 1. – točka </w:t>
      </w:r>
      <w:proofErr w:type="spellStart"/>
      <w:r w:rsidRPr="009F2503">
        <w:t>ba</w:t>
      </w:r>
      <w:proofErr w:type="spellEnd"/>
      <w:r w:rsidRPr="009F2503">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w:t>
            </w:r>
            <w:proofErr w:type="spellStart"/>
            <w:r w:rsidRPr="009F2503">
              <w:rPr>
                <w:b/>
                <w:i/>
              </w:rPr>
              <w:t>ba</w:t>
            </w:r>
            <w:proofErr w:type="spellEnd"/>
            <w:r w:rsidRPr="009F2503">
              <w:rPr>
                <w:b/>
                <w:i/>
              </w:rPr>
              <w:t>)</w:t>
            </w:r>
            <w:r w:rsidRPr="009F2503">
              <w:tab/>
            </w:r>
            <w:r w:rsidRPr="009F2503">
              <w:rPr>
                <w:b/>
                <w:i/>
              </w:rPr>
              <w:t>metode za homologaciju primjenjivih hibridnih tehnologija vozila kategorija M</w:t>
            </w:r>
            <w:r w:rsidRPr="009F2503">
              <w:rPr>
                <w:b/>
                <w:i/>
                <w:vertAlign w:val="subscript"/>
              </w:rPr>
              <w:t>2</w:t>
            </w:r>
            <w:r w:rsidRPr="009F2503">
              <w:rPr>
                <w:b/>
                <w:i/>
              </w:rPr>
              <w:t>, M</w:t>
            </w:r>
            <w:r w:rsidRPr="009F2503">
              <w:rPr>
                <w:b/>
                <w:i/>
                <w:vertAlign w:val="subscript"/>
              </w:rPr>
              <w:t>3</w:t>
            </w:r>
            <w:r w:rsidRPr="009F2503">
              <w:rPr>
                <w:b/>
                <w:i/>
              </w:rPr>
              <w:t>, N</w:t>
            </w:r>
            <w:r w:rsidRPr="009F2503">
              <w:rPr>
                <w:b/>
                <w:i/>
                <w:vertAlign w:val="subscript"/>
              </w:rPr>
              <w:t>2</w:t>
            </w:r>
            <w:r w:rsidRPr="009F2503">
              <w:rPr>
                <w:b/>
                <w:i/>
              </w:rPr>
              <w:t xml:space="preserve"> i N</w:t>
            </w:r>
            <w:r w:rsidRPr="009F2503">
              <w:rPr>
                <w:b/>
                <w:i/>
                <w:vertAlign w:val="subscript"/>
              </w:rPr>
              <w:t>3</w:t>
            </w:r>
            <w:r w:rsidRPr="009F2503">
              <w:rPr>
                <w:b/>
                <w:i/>
              </w:rPr>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(g)</w:t>
            </w:r>
            <w:r w:rsidRPr="009F2503">
              <w:tab/>
              <w:t xml:space="preserve">metode za mjerenje emisija čestica </w:t>
            </w:r>
            <w:r w:rsidRPr="009F2503">
              <w:lastRenderedPageBreak/>
              <w:t xml:space="preserve">iz kočnica, uključujući metode za </w:t>
            </w:r>
            <w:r w:rsidRPr="009F2503">
              <w:rPr>
                <w:b/>
                <w:i/>
              </w:rPr>
              <w:t>teška vozila</w:t>
            </w:r>
            <w:r w:rsidRPr="009F2503">
              <w:t>, stvarne emisije čestica iz kočnica tijekom vožnje i regenerativno kočenje;</w:t>
            </w:r>
          </w:p>
        </w:tc>
        <w:tc>
          <w:tcPr>
            <w:tcW w:w="4876" w:type="dxa"/>
          </w:tcPr>
          <w:p w:rsidR="00D00FC9" w:rsidRPr="009F2503" w:rsidRDefault="00D00FC9" w:rsidP="00605A38">
            <w:pPr>
              <w:pStyle w:val="Normal6a"/>
            </w:pPr>
            <w:r w:rsidRPr="009F2503">
              <w:lastRenderedPageBreak/>
              <w:t>(g)</w:t>
            </w:r>
            <w:r w:rsidRPr="009F2503">
              <w:tab/>
              <w:t xml:space="preserve">metode za mjerenje emisija čestica </w:t>
            </w:r>
            <w:r w:rsidRPr="009F2503">
              <w:lastRenderedPageBreak/>
              <w:t xml:space="preserve">iz kočnica, uključujući metode za </w:t>
            </w:r>
            <w:r w:rsidRPr="009F2503">
              <w:rPr>
                <w:b/>
                <w:i/>
              </w:rPr>
              <w:t>vozila kategorija M2, M3, N2 i N3</w:t>
            </w:r>
            <w:r w:rsidRPr="009F2503">
              <w:t>, stvarne emisije čestica iz kočnica tijekom vožnje i regenerativno kočenje;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(j)</w:t>
            </w:r>
            <w:r w:rsidRPr="009F2503">
              <w:tab/>
              <w:t>OBFCM</w:t>
            </w:r>
            <w:r w:rsidRPr="009F2503">
              <w:rPr>
                <w:b/>
                <w:i/>
              </w:rPr>
              <w:t>,</w:t>
            </w:r>
            <w:r w:rsidRPr="009F2503">
              <w:t xml:space="preserve"> OBD i OBM </w:t>
            </w:r>
            <w:r w:rsidRPr="009F2503">
              <w:rPr>
                <w:b/>
                <w:i/>
              </w:rPr>
              <w:t>sustave</w:t>
            </w:r>
            <w:r w:rsidRPr="009F2503">
              <w:t>, uključujući pragove usklađenosti, zahtjeve u pogledu radnog učinka i ispitivanja, metode za osiguravanje ispravnog rada senzora i bežično slanje podataka zabilježenih tim uređajima i sustavima;</w:t>
            </w:r>
          </w:p>
        </w:tc>
        <w:tc>
          <w:tcPr>
            <w:tcW w:w="4876" w:type="dxa"/>
          </w:tcPr>
          <w:p w:rsidR="00D00FC9" w:rsidRPr="009F2503" w:rsidRDefault="00D00FC9" w:rsidP="00605A38">
            <w:pPr>
              <w:pStyle w:val="Normal6a"/>
            </w:pPr>
            <w:r w:rsidRPr="009F2503">
              <w:t>(j)</w:t>
            </w:r>
            <w:r w:rsidRPr="009F2503">
              <w:tab/>
            </w:r>
            <w:r w:rsidRPr="009F2503">
              <w:rPr>
                <w:b/>
                <w:i/>
              </w:rPr>
              <w:t xml:space="preserve">značajke i učinkovitost </w:t>
            </w:r>
            <w:r w:rsidRPr="009F2503">
              <w:t>OBFCM</w:t>
            </w:r>
            <w:r w:rsidRPr="009F2503">
              <w:rPr>
                <w:b/>
                <w:i/>
              </w:rPr>
              <w:t xml:space="preserve"> uređaja te</w:t>
            </w:r>
            <w:r w:rsidRPr="009F2503">
              <w:t xml:space="preserve"> OBD i OBM </w:t>
            </w:r>
            <w:r w:rsidRPr="009F2503">
              <w:rPr>
                <w:b/>
                <w:i/>
              </w:rPr>
              <w:t>sustava</w:t>
            </w:r>
            <w:r w:rsidRPr="009F2503">
              <w:t>, uključujući pragove usklađenosti, zahtjeve u pogledu radnog učinka i ispitivanja, metode za osiguravanje ispravnog rada senzora i bežično slanje podataka zabilježenih tim uređajima i sustavima;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(l)</w:t>
            </w:r>
            <w:r w:rsidRPr="009F2503">
              <w:tab/>
              <w:t>metode za procjenu ispravnog rada, djelotvornosti, regeneracije i trajnosti originalnih i zamjenskih sustava za kontrolu onečišćenja;</w:t>
            </w:r>
          </w:p>
        </w:tc>
        <w:tc>
          <w:tcPr>
            <w:tcW w:w="4876" w:type="dxa"/>
          </w:tcPr>
          <w:p w:rsidR="00D00FC9" w:rsidRPr="009F2503" w:rsidRDefault="00D00FC9" w:rsidP="00605A38">
            <w:pPr>
              <w:pStyle w:val="Normal6a"/>
            </w:pPr>
            <w:r w:rsidRPr="009F2503">
              <w:t>(l)</w:t>
            </w:r>
            <w:r w:rsidRPr="009F2503">
              <w:tab/>
              <w:t xml:space="preserve">metode </w:t>
            </w:r>
            <w:r w:rsidRPr="009F2503">
              <w:rPr>
                <w:b/>
                <w:i/>
              </w:rPr>
              <w:t xml:space="preserve">i zahtjeve </w:t>
            </w:r>
            <w:r w:rsidRPr="009F2503">
              <w:t>za procjenu ispravnog rada, djelotvornosti, regeneracije i trajnosti originalnih i zamjenskih sustava za kontrolu onečišćenja</w:t>
            </w:r>
            <w:r w:rsidRPr="009F2503">
              <w:rPr>
                <w:b/>
                <w:i/>
              </w:rPr>
              <w:t xml:space="preserve"> i kvalitete reagensa</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(o)</w:t>
            </w:r>
            <w:r w:rsidRPr="009F2503">
              <w:tab/>
              <w:t xml:space="preserve">metode za ocjenjivanje ispravnog funkcioniranja </w:t>
            </w:r>
            <w:r w:rsidRPr="009F2503">
              <w:rPr>
                <w:b/>
                <w:i/>
              </w:rPr>
              <w:t xml:space="preserve">tipova vozila </w:t>
            </w:r>
            <w:proofErr w:type="spellStart"/>
            <w:r w:rsidRPr="009F2503">
              <w:t>homologiranih</w:t>
            </w:r>
            <w:proofErr w:type="spellEnd"/>
            <w:r w:rsidRPr="009F2503">
              <w:t xml:space="preserve"> </w:t>
            </w:r>
            <w:r w:rsidRPr="009F2503">
              <w:rPr>
                <w:b/>
                <w:i/>
              </w:rPr>
              <w:t>prema oznakama iz članka 5.</w:t>
            </w:r>
            <w:r w:rsidRPr="009F2503">
              <w:t>;</w:t>
            </w:r>
          </w:p>
        </w:tc>
        <w:tc>
          <w:tcPr>
            <w:tcW w:w="4876" w:type="dxa"/>
          </w:tcPr>
          <w:p w:rsidR="00D00FC9" w:rsidRPr="009F2503" w:rsidRDefault="00D00FC9" w:rsidP="00605A38">
            <w:pPr>
              <w:pStyle w:val="Normal6a"/>
            </w:pPr>
            <w:r w:rsidRPr="009F2503">
              <w:t>(o)</w:t>
            </w:r>
            <w:r w:rsidRPr="009F2503">
              <w:tab/>
              <w:t xml:space="preserve">metode za ocjenjivanje ispravnog funkcioniranja </w:t>
            </w:r>
            <w:proofErr w:type="spellStart"/>
            <w:r w:rsidRPr="009F2503">
              <w:t>homologiranih</w:t>
            </w:r>
            <w:proofErr w:type="spellEnd"/>
            <w:r w:rsidRPr="009F2503">
              <w:t xml:space="preserve"> </w:t>
            </w:r>
            <w:r w:rsidRPr="009F2503">
              <w:rPr>
                <w:b/>
                <w:i/>
              </w:rPr>
              <w:t>vozila</w:t>
            </w:r>
            <w:r w:rsidRPr="009F2503">
              <w:t>;</w:t>
            </w:r>
          </w:p>
        </w:tc>
      </w:tr>
    </w:tbl>
    <w:p w:rsidR="00D00FC9" w:rsidRPr="009F2503" w:rsidRDefault="00D00FC9" w:rsidP="00D00FC9"/>
    <w:p w:rsidR="00D00FC9" w:rsidRPr="009F2503" w:rsidRDefault="00D00FC9" w:rsidP="00D00FC9">
      <w:pPr>
        <w:pStyle w:val="AmNumberTabs"/>
      </w:pPr>
      <w:r w:rsidRPr="009F2503">
        <w:lastRenderedPageBreak/>
        <w:t>Amandman</w:t>
      </w:r>
      <w:r w:rsidRPr="009F2503">
        <w:tab/>
      </w:r>
      <w:r w:rsidRPr="009F2503">
        <w:tab/>
        <w:t>127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(p)</w:t>
            </w:r>
            <w:r w:rsidRPr="009F2503">
              <w:tab/>
              <w:t xml:space="preserve">provjere usklađenosti s </w:t>
            </w:r>
            <w:r w:rsidRPr="009F2503">
              <w:rPr>
                <w:b/>
                <w:i/>
              </w:rPr>
              <w:t>odredbama članka 9. stavka 1. i ispitne postupke</w:t>
            </w:r>
            <w:r w:rsidRPr="009F2503">
              <w:t xml:space="preserve"> za </w:t>
            </w:r>
            <w:proofErr w:type="spellStart"/>
            <w:r w:rsidRPr="009F2503">
              <w:t>višestupanjsku</w:t>
            </w:r>
            <w:proofErr w:type="spellEnd"/>
            <w:r w:rsidRPr="009F2503">
              <w:t xml:space="preserve"> homologaciju;</w:t>
            </w:r>
          </w:p>
        </w:tc>
        <w:tc>
          <w:tcPr>
            <w:tcW w:w="4876" w:type="dxa"/>
          </w:tcPr>
          <w:p w:rsidR="00D00FC9" w:rsidRPr="009F2503" w:rsidRDefault="00D00FC9" w:rsidP="00605A38">
            <w:pPr>
              <w:pStyle w:val="Normal6a"/>
            </w:pPr>
            <w:r w:rsidRPr="009F2503">
              <w:t>(p)</w:t>
            </w:r>
            <w:r w:rsidRPr="009F2503">
              <w:tab/>
              <w:t xml:space="preserve">provjere usklađenosti s </w:t>
            </w:r>
            <w:r w:rsidRPr="009F2503">
              <w:rPr>
                <w:b/>
                <w:i/>
              </w:rPr>
              <w:t>ispitnim postupcima</w:t>
            </w:r>
            <w:r w:rsidRPr="009F2503">
              <w:t xml:space="preserve"> za </w:t>
            </w:r>
            <w:proofErr w:type="spellStart"/>
            <w:r w:rsidRPr="009F2503">
              <w:t>višestupanjsku</w:t>
            </w:r>
            <w:proofErr w:type="spellEnd"/>
            <w:r w:rsidRPr="009F2503">
              <w:t xml:space="preserve"> homologaciju;</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(s)</w:t>
            </w:r>
            <w:r w:rsidRPr="009F2503">
              <w:tab/>
              <w:t xml:space="preserve">metode za utvrđivanje nepostojanja </w:t>
            </w:r>
            <w:proofErr w:type="spellStart"/>
            <w:r w:rsidRPr="009F2503">
              <w:t>poremećajnih</w:t>
            </w:r>
            <w:proofErr w:type="spellEnd"/>
            <w:r w:rsidRPr="009F2503">
              <w:t xml:space="preserve"> uređaja i </w:t>
            </w:r>
            <w:proofErr w:type="spellStart"/>
            <w:r w:rsidRPr="009F2503">
              <w:t>poremećajnih</w:t>
            </w:r>
            <w:proofErr w:type="spellEnd"/>
            <w:r w:rsidRPr="009F2503">
              <w:t xml:space="preserve"> strategija;</w:t>
            </w:r>
          </w:p>
        </w:tc>
        <w:tc>
          <w:tcPr>
            <w:tcW w:w="4876" w:type="dxa"/>
          </w:tcPr>
          <w:p w:rsidR="00D00FC9" w:rsidRPr="009F2503" w:rsidRDefault="00D00FC9" w:rsidP="00605A38">
            <w:pPr>
              <w:pStyle w:val="Normal6a"/>
            </w:pPr>
            <w:r w:rsidRPr="009F2503">
              <w:t>(s)</w:t>
            </w:r>
            <w:r w:rsidRPr="009F2503">
              <w:tab/>
              <w:t xml:space="preserve">metode za utvrđivanje nepostojanja </w:t>
            </w:r>
            <w:proofErr w:type="spellStart"/>
            <w:r w:rsidRPr="009F2503">
              <w:t>poremećajnih</w:t>
            </w:r>
            <w:proofErr w:type="spellEnd"/>
            <w:r w:rsidRPr="009F2503">
              <w:t xml:space="preserve"> uređaja i </w:t>
            </w:r>
            <w:proofErr w:type="spellStart"/>
            <w:r w:rsidRPr="009F2503">
              <w:t>poremećajnih</w:t>
            </w:r>
            <w:proofErr w:type="spellEnd"/>
            <w:r w:rsidRPr="009F2503">
              <w:t xml:space="preserve"> strategija</w:t>
            </w:r>
            <w:r w:rsidRPr="009F2503">
              <w:rPr>
                <w:b/>
                <w:i/>
              </w:rPr>
              <w:t xml:space="preserve"> te za prenošenje u ovu Uredbu zahtjeva utvrđenih u članku 5. stavku 2. Uredbe (EZ) 715/2007 i članku 5. stavku 11. Uredbe (EU) 2017/1151 koji se primjenjuju na vozila kategorije M1 i N1 te u Uredbi UNECE-a br. 49, Revizija 6, Prilog 10., stavak 5.1.2., koji se primjenjuju na vozila kategorije M2, M3, N2 i N3</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129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(t)</w:t>
            </w:r>
            <w:r w:rsidRPr="009F2503">
              <w:tab/>
            </w:r>
            <w:r w:rsidRPr="009F2503">
              <w:rPr>
                <w:b/>
                <w:i/>
              </w:rPr>
              <w:t>metode za mjerenje abrazije guma;</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lastRenderedPageBreak/>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v.</w:t>
            </w:r>
            <w:r w:rsidRPr="009F2503">
              <w:tab/>
              <w:t>administrativne zahtjeve i dokumentaciju za homologaciju s obzirom na emisije;</w:t>
            </w:r>
          </w:p>
        </w:tc>
        <w:tc>
          <w:tcPr>
            <w:tcW w:w="4876" w:type="dxa"/>
          </w:tcPr>
          <w:p w:rsidR="00D00FC9" w:rsidRPr="009F2503" w:rsidRDefault="00D00FC9" w:rsidP="00605A38">
            <w:pPr>
              <w:pStyle w:val="Normal6a"/>
            </w:pPr>
            <w:r w:rsidRPr="009F2503">
              <w:t>v.</w:t>
            </w:r>
            <w:r w:rsidRPr="009F2503">
              <w:tab/>
              <w:t>administrativne zahtjeve i dokumentaciju za homologaciju s obzirom na emisije</w:t>
            </w:r>
            <w:r w:rsidRPr="009F2503">
              <w:rPr>
                <w:b/>
                <w:i/>
              </w:rPr>
              <w:t xml:space="preserve"> i za provođenje ispitivanja, provjera i pregleda u svrhu provjere sukladnosti</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1. – točka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(w)</w:t>
            </w:r>
            <w:r w:rsidRPr="009F2503">
              <w:tab/>
              <w:t>prema potrebi, obveze izvješćivanja</w:t>
            </w:r>
            <w:r w:rsidRPr="009F2503">
              <w:rPr>
                <w:b/>
                <w:i/>
              </w:rPr>
              <w:t>.</w:t>
            </w:r>
          </w:p>
        </w:tc>
        <w:tc>
          <w:tcPr>
            <w:tcW w:w="4876" w:type="dxa"/>
          </w:tcPr>
          <w:p w:rsidR="00D00FC9" w:rsidRPr="009F2503" w:rsidRDefault="00D00FC9" w:rsidP="00605A38">
            <w:pPr>
              <w:pStyle w:val="Normal6a"/>
            </w:pPr>
            <w:r w:rsidRPr="009F2503">
              <w:t>(w)</w:t>
            </w:r>
            <w:r w:rsidRPr="009F2503">
              <w:tab/>
              <w:t xml:space="preserve">prema potrebi, </w:t>
            </w:r>
            <w:r w:rsidRPr="009F2503">
              <w:rPr>
                <w:b/>
                <w:i/>
              </w:rPr>
              <w:t xml:space="preserve">format i </w:t>
            </w:r>
            <w:r w:rsidRPr="009F2503">
              <w:t>obveze izvješćivanja</w:t>
            </w:r>
            <w:r w:rsidRPr="009F2503">
              <w:rPr>
                <w:b/>
                <w:i/>
              </w:rPr>
              <w:t xml:space="preserve"> o podacima;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14. – stavak 4.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Ti se provedbeni akti donose u skladu s postupkom ispitivanja iz članka 17. stavka 2.</w:t>
            </w:r>
          </w:p>
        </w:tc>
        <w:tc>
          <w:tcPr>
            <w:tcW w:w="4876" w:type="dxa"/>
          </w:tcPr>
          <w:p w:rsidR="00D00FC9" w:rsidRPr="009F2503" w:rsidRDefault="00D00FC9" w:rsidP="00605A38">
            <w:pPr>
              <w:pStyle w:val="Normal6a"/>
            </w:pPr>
            <w:r w:rsidRPr="009F2503">
              <w:rPr>
                <w:b/>
                <w:i/>
              </w:rPr>
              <w:t>5.</w:t>
            </w:r>
            <w:r w:rsidRPr="009F2503">
              <w:t xml:space="preserve"> </w:t>
            </w:r>
            <w:r w:rsidRPr="009F2503">
              <w:tab/>
              <w:t>Ti se provedbeni akti donose u skladu s postupkom ispitivanja iz članka 17. stavka 2.</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Provedbeni akti iz stavka 3. točaka od (a) do (f) i točaka od (i) do (k) i delegirani akti iz stavka 3.a, točaka od (a) do (f) i točaka od (i) do (k) i stavka 4. točaka od (a) do (f) i od (j) do (w) donose se najkasnije... [12 mjeseci nakon datuma stupanja na snagu ove Uredbe].</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Provedbeni akti iz stavka 3. točaka od (g) do (h) i delegirani akti iz stavka 3.a točaka od (g) do (h) i stavka 4. točaka od (g) do (i) donose se bez nepotrebne odgode nakon objave relevantnih jedinstvenih odredaba UN-ove radne skupine WP.29.</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133</w:t>
      </w:r>
    </w:p>
    <w:p w:rsidR="00D00FC9" w:rsidRPr="009F2503" w:rsidRDefault="00D00FC9" w:rsidP="00D00FC9">
      <w:pPr>
        <w:pStyle w:val="NormalBold12b"/>
      </w:pPr>
    </w:p>
    <w:p w:rsidR="00D00FC9" w:rsidRPr="009F2503" w:rsidRDefault="00D00FC9" w:rsidP="00D00FC9">
      <w:pPr>
        <w:pStyle w:val="NormalBold"/>
      </w:pPr>
      <w:r w:rsidRPr="009F2503">
        <w:lastRenderedPageBreak/>
        <w:t>Prijedlog uredbe</w:t>
      </w:r>
    </w:p>
    <w:p w:rsidR="00D00FC9" w:rsidRPr="009F2503" w:rsidRDefault="00D00FC9" w:rsidP="00D00FC9">
      <w:pPr>
        <w:pStyle w:val="NormalBold"/>
      </w:pPr>
      <w:r w:rsidRPr="009F2503">
        <w:t>Članak 15.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1.</w:t>
            </w:r>
            <w:r w:rsidRPr="009F2503">
              <w:tab/>
              <w:t xml:space="preserve">Komisija je ovlaštena donositi delegirane akte u skladu s člankom 16. kako bi se uzeo u obzir tehnički napredak radi izmjene </w:t>
            </w:r>
            <w:r w:rsidRPr="009F2503">
              <w:rPr>
                <w:b/>
                <w:i/>
              </w:rPr>
              <w:t>sljedećeg</w:t>
            </w:r>
            <w:r w:rsidRPr="009F2503">
              <w:t>:</w:t>
            </w:r>
          </w:p>
        </w:tc>
        <w:tc>
          <w:tcPr>
            <w:tcW w:w="4876" w:type="dxa"/>
          </w:tcPr>
          <w:p w:rsidR="00D00FC9" w:rsidRPr="009F2503" w:rsidRDefault="00D00FC9" w:rsidP="00605A38">
            <w:pPr>
              <w:pStyle w:val="Normal6a"/>
            </w:pPr>
            <w:r w:rsidRPr="009F2503">
              <w:t>1.</w:t>
            </w:r>
            <w:r w:rsidRPr="009F2503">
              <w:tab/>
              <w:t xml:space="preserve">Komisija je ovlaštena donositi delegirane akte u skladu s člankom 16. kako bi se uzeo u obzir tehnički napredak radi izmjene </w:t>
            </w:r>
            <w:r w:rsidRPr="009F2503">
              <w:rPr>
                <w:b/>
                <w:i/>
              </w:rPr>
              <w:t>ove Uredbe kako slijedi</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15.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(a)</w:t>
            </w:r>
            <w:r w:rsidRPr="009F2503">
              <w:tab/>
              <w:t>Priloga III. u vezi s ispitnim uvjetima za vozila kategorija M2, M3, N2 i N3 na temelju podataka prikupljenih pri ispitivanju vozila Euro 7;</w:t>
            </w:r>
          </w:p>
        </w:tc>
        <w:tc>
          <w:tcPr>
            <w:tcW w:w="4876" w:type="dxa"/>
          </w:tcPr>
          <w:p w:rsidR="00D00FC9" w:rsidRPr="009F2503" w:rsidRDefault="00D00FC9" w:rsidP="00605A38">
            <w:pPr>
              <w:pStyle w:val="Normal6a"/>
            </w:pPr>
            <w:r w:rsidRPr="009F2503">
              <w:t>(a)</w:t>
            </w:r>
            <w:r w:rsidRPr="009F2503">
              <w:tab/>
              <w:t>Priloga III.</w:t>
            </w:r>
            <w:r w:rsidRPr="009F2503">
              <w:rPr>
                <w:b/>
                <w:i/>
              </w:rPr>
              <w:t>, tablice 2.</w:t>
            </w:r>
            <w:r w:rsidRPr="009F2503">
              <w:t xml:space="preserve"> u vezi s ispitnim uvjetima za vozila kategorija M2, M3, N2 i N3 na temelju podataka prikupljenih pri ispitivanju vozila Euro 7;</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135</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15.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(b)</w:t>
            </w:r>
            <w:r w:rsidRPr="009F2503">
              <w:tab/>
              <w:t>Priloga III. u vezi s ispitnim uvjetima na temelju podataka prikupljenih pri ispitivanju kočnica ili guma Euro 7;</w:t>
            </w:r>
          </w:p>
        </w:tc>
        <w:tc>
          <w:tcPr>
            <w:tcW w:w="4876" w:type="dxa"/>
          </w:tcPr>
          <w:p w:rsidR="00D00FC9" w:rsidRPr="009F2503" w:rsidRDefault="00D00FC9" w:rsidP="00605A38">
            <w:pPr>
              <w:pStyle w:val="Normal6a"/>
            </w:pPr>
            <w:r w:rsidRPr="009F2503">
              <w:t>(b)</w:t>
            </w:r>
            <w:r w:rsidRPr="009F2503">
              <w:tab/>
              <w:t>Priloga III.</w:t>
            </w:r>
            <w:r w:rsidRPr="009F2503">
              <w:rPr>
                <w:b/>
                <w:i/>
              </w:rPr>
              <w:t>, tablice 4. i 5.</w:t>
            </w:r>
            <w:r w:rsidRPr="009F2503">
              <w:t xml:space="preserve"> u vezi s ispitnim uvjetima na temelju podataka prikupljenih pri ispitivanju kočnica ili guma Euro 7;</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15. – stavak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rPr>
                <w:b/>
                <w:i/>
              </w:rPr>
              <w:t>(d)</w:t>
            </w:r>
            <w:r w:rsidRPr="009F2503">
              <w:tab/>
            </w:r>
            <w:r w:rsidRPr="009F2503">
              <w:rPr>
                <w:b/>
                <w:i/>
              </w:rPr>
              <w:t>članka 5. uvođenjem mogućnosti i oznaka koje se temelje na inovativnim tehnologijama za proizvođače.</w:t>
            </w:r>
          </w:p>
        </w:tc>
        <w:tc>
          <w:tcPr>
            <w:tcW w:w="4876" w:type="dxa"/>
          </w:tcPr>
          <w:p w:rsidR="00D00FC9" w:rsidRPr="009F2503" w:rsidRDefault="00D00FC9" w:rsidP="00605A38">
            <w:pPr>
              <w:pStyle w:val="Normal6a"/>
            </w:pPr>
            <w:r w:rsidRPr="009F2503">
              <w:rPr>
                <w:b/>
                <w:i/>
              </w:rPr>
              <w:t>Briše se.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 xml:space="preserve">Članak 15. – stavak 2. − točka </w:t>
      </w:r>
      <w:proofErr w:type="spellStart"/>
      <w:r w:rsidRPr="009F2503">
        <w:t>ca</w:t>
      </w:r>
      <w:proofErr w:type="spellEnd"/>
      <w:r w:rsidRPr="009F2503">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w:t>
            </w:r>
            <w:proofErr w:type="spellStart"/>
            <w:r w:rsidRPr="009F2503">
              <w:rPr>
                <w:b/>
                <w:i/>
              </w:rPr>
              <w:t>ca</w:t>
            </w:r>
            <w:proofErr w:type="spellEnd"/>
            <w:r w:rsidRPr="009F2503">
              <w:rPr>
                <w:b/>
                <w:i/>
              </w:rPr>
              <w:t>)</w:t>
            </w:r>
            <w:r w:rsidRPr="009F2503">
              <w:tab/>
            </w:r>
            <w:r w:rsidRPr="009F2503">
              <w:rPr>
                <w:b/>
                <w:i/>
              </w:rPr>
              <w:t>prema potrebi, utvrđivanje graničnih vrijednosti abrazije za tipove guma iz Priloga I. u slučaju da u UN-ovoj radnoj skupini WP.29 nisu utvrđene jedinstvene odredbe prije odgovarajućeg roka utvrđenog u članku 7.a;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15. – stavak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(d)</w:t>
            </w:r>
            <w:r w:rsidRPr="009F2503">
              <w:tab/>
              <w:t xml:space="preserve">utvrde multiplikatori trajnosti iz Priloga IV. na temelju podataka prikupljenih za vrijeme ispitivanja vozila Euro 7 kategorija </w:t>
            </w:r>
            <w:r w:rsidRPr="00EA726F">
              <w:rPr>
                <w:b/>
                <w:i/>
              </w:rPr>
              <w:t>M</w:t>
            </w:r>
            <w:r w:rsidRPr="00E47563">
              <w:rPr>
                <w:b/>
                <w:i/>
              </w:rPr>
              <w:t>2</w:t>
            </w:r>
            <w:r w:rsidRPr="009F2503">
              <w:rPr>
                <w:b/>
                <w:i/>
              </w:rPr>
              <w:t xml:space="preserve">, </w:t>
            </w:r>
            <w:r w:rsidRPr="00EA726F">
              <w:t>M</w:t>
            </w:r>
            <w:r w:rsidRPr="009F2503">
              <w:t xml:space="preserve">3, N2 i N3 te da se Europskom parlamentu i Vijeću </w:t>
            </w:r>
            <w:r w:rsidRPr="009F2503">
              <w:rPr>
                <w:b/>
                <w:i/>
              </w:rPr>
              <w:t>podnese izvješće</w:t>
            </w:r>
            <w:r w:rsidRPr="009F2503">
              <w:t xml:space="preserve"> o trajnosti za teška vozila;</w:t>
            </w:r>
          </w:p>
        </w:tc>
        <w:tc>
          <w:tcPr>
            <w:tcW w:w="4876" w:type="dxa"/>
          </w:tcPr>
          <w:p w:rsidR="00D00FC9" w:rsidRPr="009F2503" w:rsidRDefault="00D00FC9" w:rsidP="00605A38">
            <w:pPr>
              <w:pStyle w:val="Normal6a"/>
            </w:pPr>
            <w:r w:rsidRPr="009F2503">
              <w:t>(d)</w:t>
            </w:r>
            <w:r w:rsidRPr="009F2503">
              <w:tab/>
              <w:t xml:space="preserve">utvrde multiplikatori trajnosti iz Priloga IV. na temelju podataka prikupljenih za vrijeme ispitivanja vozila Euro 7 kategorija M3, N2 i N3 te da se Europskom parlamentu i Vijeću </w:t>
            </w:r>
            <w:r w:rsidRPr="009F2503">
              <w:rPr>
                <w:b/>
                <w:i/>
              </w:rPr>
              <w:t>podnesu zaključci izvješća</w:t>
            </w:r>
            <w:r w:rsidRPr="009F2503">
              <w:t xml:space="preserve"> o trajnosti za teška vozila;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139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15. – stavak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(e)</w:t>
            </w:r>
            <w:r w:rsidRPr="009F2503">
              <w:tab/>
              <w:t xml:space="preserve">utvrde </w:t>
            </w:r>
            <w:r w:rsidRPr="009F2503">
              <w:rPr>
                <w:b/>
                <w:i/>
              </w:rPr>
              <w:t xml:space="preserve">definicije i </w:t>
            </w:r>
            <w:r w:rsidRPr="009F2503">
              <w:t>posebna pravila za male proizvođače za vozila kategorija M2, M3, N2 i N3 na temelju članka 3. i članka 8. ove Uredbe.</w:t>
            </w:r>
          </w:p>
        </w:tc>
        <w:tc>
          <w:tcPr>
            <w:tcW w:w="4876" w:type="dxa"/>
          </w:tcPr>
          <w:p w:rsidR="00D00FC9" w:rsidRPr="009F2503" w:rsidRDefault="00D00FC9" w:rsidP="00605A38">
            <w:pPr>
              <w:pStyle w:val="Normal6a"/>
            </w:pPr>
            <w:r w:rsidRPr="009F2503">
              <w:t>(e)</w:t>
            </w:r>
            <w:r w:rsidRPr="009F2503">
              <w:tab/>
              <w:t>utvrde posebna pravila za male proizvođače za vozila kategorija M2, M3, N2 i N3 na temelju članka 3. i članka 8. ove Uredbe.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140</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15. – stavak 2. – podstavak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605A38">
            <w:pPr>
              <w:pStyle w:val="Normal6a"/>
            </w:pPr>
            <w:r w:rsidRPr="009F2503">
              <w:rPr>
                <w:b/>
                <w:i/>
              </w:rPr>
              <w:t>Komisija donosi te delegirane akte iz točaka od (a) do (c) bez nepotrebne odgode nakon objave relevantnih jedinstvenih odredaba UN-ove radne skupine WP.29. U slučaju da UN-ova radna skupina WP.29 ne utvrdi jedinstvene odredbe do 30. lipnja 2026. za gume razreda C1 i do 31. prosinca 2035. za gume razreda C2 i C3, primjenjuje se članak 7.a ove Uredbe.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141</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16.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Ovlast za donošenje delegiranih akata iz članka</w:t>
            </w:r>
            <w:r w:rsidRPr="009F2503">
              <w:rPr>
                <w:b/>
                <w:i/>
              </w:rPr>
              <w:t> </w:t>
            </w:r>
            <w:r w:rsidRPr="009F2503">
              <w:t>15. dodjeljuje se Komisiji na razdoblje od pet godina počevši od... [Ured za publikacije: unijeti datum = datum stupanja na snagu ove Uredbe].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tc>
        <w:tc>
          <w:tcPr>
            <w:tcW w:w="4876" w:type="dxa"/>
          </w:tcPr>
          <w:p w:rsidR="00D00FC9" w:rsidRPr="009F2503" w:rsidRDefault="00D00FC9" w:rsidP="00605A38">
            <w:pPr>
              <w:pStyle w:val="Normal6a"/>
            </w:pPr>
            <w:r w:rsidRPr="009F2503">
              <w:t>2.</w:t>
            </w:r>
            <w:r w:rsidRPr="009F2503">
              <w:tab/>
              <w:t>Ovlast za donošenje delegiranih akata iz članka</w:t>
            </w:r>
            <w:r w:rsidRPr="009F2503">
              <w:rPr>
                <w:b/>
                <w:i/>
              </w:rPr>
              <w:t xml:space="preserve"> 14. stavka 13.a, članka 14. stavka 4. i članka </w:t>
            </w:r>
            <w:r w:rsidRPr="009F2503">
              <w:t>15. dodjeljuje se Komisiji na razdoblje od pet godina počevši od... [Ured za publikacije: unijeti datum = datum stupanja na snagu ove Uredbe].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142</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16.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3.</w:t>
            </w:r>
            <w:r w:rsidRPr="009F2503">
              <w:tab/>
              <w:t xml:space="preserve">Europski parlament ili Vijeće u </w:t>
            </w:r>
            <w:r w:rsidRPr="009F2503">
              <w:lastRenderedPageBreak/>
              <w:t>svakom trenutku mogu opozvati delegiranje ovlasti iz članka 15.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rsidR="00D00FC9" w:rsidRPr="009F2503" w:rsidRDefault="00D00FC9" w:rsidP="00605A38">
            <w:pPr>
              <w:pStyle w:val="Normal6a"/>
            </w:pPr>
            <w:r w:rsidRPr="009F2503">
              <w:lastRenderedPageBreak/>
              <w:t>3.</w:t>
            </w:r>
            <w:r w:rsidRPr="009F2503">
              <w:tab/>
              <w:t xml:space="preserve">Europski parlament ili Vijeće u </w:t>
            </w:r>
            <w:r w:rsidRPr="009F2503">
              <w:lastRenderedPageBreak/>
              <w:t>svakom trenutku mogu opozvati delegiranje ovlasti iz članka</w:t>
            </w:r>
            <w:r w:rsidRPr="009F2503">
              <w:rPr>
                <w:b/>
                <w:i/>
              </w:rPr>
              <w:t xml:space="preserve"> 14. stavka 3.a, članka 14. stavka 4. i članka</w:t>
            </w:r>
            <w:r w:rsidRPr="009F2503">
              <w:t> 15.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143</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16. – stavak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4B1F05">
        <w:trPr>
          <w:trHeight w:hRule="exact" w:val="240"/>
          <w:jc w:val="center"/>
        </w:trPr>
        <w:tc>
          <w:tcPr>
            <w:tcW w:w="9752" w:type="dxa"/>
            <w:gridSpan w:val="2"/>
          </w:tcPr>
          <w:p w:rsidR="00D00FC9" w:rsidRPr="009F2503" w:rsidRDefault="00D00FC9" w:rsidP="00605A38"/>
        </w:tc>
      </w:tr>
      <w:tr w:rsidR="00D00FC9" w:rsidRPr="009F2503" w:rsidTr="004B1F05">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4B1F05">
        <w:trPr>
          <w:jc w:val="center"/>
        </w:trPr>
        <w:tc>
          <w:tcPr>
            <w:tcW w:w="4876" w:type="dxa"/>
          </w:tcPr>
          <w:p w:rsidR="00D00FC9" w:rsidRPr="009F2503" w:rsidRDefault="00D00FC9" w:rsidP="00605A38">
            <w:pPr>
              <w:pStyle w:val="Normal6a"/>
            </w:pPr>
            <w:r w:rsidRPr="009F2503">
              <w:t>6.</w:t>
            </w:r>
            <w:r w:rsidRPr="009F2503">
              <w:tab/>
              <w:t>Delegirani akt donesen na temelju članka</w:t>
            </w:r>
            <w:r w:rsidRPr="009F2503">
              <w:rPr>
                <w:b/>
                <w:i/>
              </w:rPr>
              <w:t> </w:t>
            </w:r>
            <w:r w:rsidRPr="009F2503">
              <w:t>15. stupa na snagu samo ako Europski parlament ili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c>
          <w:tcPr>
            <w:tcW w:w="4876" w:type="dxa"/>
          </w:tcPr>
          <w:p w:rsidR="00D00FC9" w:rsidRPr="009F2503" w:rsidRDefault="00D00FC9" w:rsidP="00605A38">
            <w:pPr>
              <w:pStyle w:val="Normal6a"/>
            </w:pPr>
            <w:r w:rsidRPr="009F2503">
              <w:t>6.</w:t>
            </w:r>
            <w:r w:rsidRPr="009F2503">
              <w:tab/>
              <w:t>Delegirani akt donesen na temelju članka</w:t>
            </w:r>
            <w:r w:rsidRPr="009F2503">
              <w:rPr>
                <w:b/>
                <w:i/>
              </w:rPr>
              <w:t xml:space="preserve"> 14. stavka 3.a, članka 14. stavka 4. i članka </w:t>
            </w:r>
            <w:r w:rsidRPr="009F2503">
              <w:t>15. stupa na snagu samo ako Europski parlament ili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r>
    </w:tbl>
    <w:p w:rsidR="004B1F05" w:rsidRPr="004B1F05" w:rsidRDefault="004B1F05" w:rsidP="004B1F05">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B1F05">
        <w:rPr>
          <w:b/>
          <w:szCs w:val="24"/>
          <w:lang w:eastAsia="en-US"/>
        </w:rPr>
        <w:t>Amandman</w:t>
      </w:r>
      <w:r w:rsidRPr="004B1F05">
        <w:rPr>
          <w:b/>
          <w:szCs w:val="24"/>
          <w:lang w:eastAsia="en-US"/>
        </w:rPr>
        <w:tab/>
      </w:r>
      <w:r w:rsidRPr="004B1F05">
        <w:rPr>
          <w:b/>
          <w:szCs w:val="24"/>
          <w:lang w:eastAsia="en-US"/>
        </w:rPr>
        <w:tab/>
        <w:t>242</w:t>
      </w:r>
    </w:p>
    <w:p w:rsidR="004B1F05" w:rsidRPr="004B1F05" w:rsidRDefault="004B1F05" w:rsidP="004B1F05">
      <w:pPr>
        <w:spacing w:before="240"/>
        <w:rPr>
          <w:b/>
          <w:szCs w:val="24"/>
          <w:lang w:eastAsia="en-US"/>
        </w:rPr>
      </w:pPr>
      <w:r w:rsidRPr="004B1F05">
        <w:rPr>
          <w:b/>
          <w:szCs w:val="24"/>
          <w:lang w:eastAsia="en-US"/>
        </w:rPr>
        <w:t>Prijedlog uredbe</w:t>
      </w:r>
    </w:p>
    <w:p w:rsidR="004B1F05" w:rsidRPr="004B1F05" w:rsidRDefault="004B1F05" w:rsidP="004B1F05">
      <w:pPr>
        <w:rPr>
          <w:b/>
          <w:szCs w:val="24"/>
          <w:lang w:eastAsia="en-US"/>
        </w:rPr>
      </w:pPr>
      <w:r w:rsidRPr="004B1F05">
        <w:rPr>
          <w:b/>
          <w:szCs w:val="24"/>
          <w:lang w:eastAsia="en-US"/>
        </w:rPr>
        <w:t>Članak 16.a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1F05" w:rsidRPr="004B1F05" w:rsidTr="004B1F05">
        <w:trPr>
          <w:trHeight w:val="240"/>
          <w:jc w:val="center"/>
        </w:trPr>
        <w:tc>
          <w:tcPr>
            <w:tcW w:w="9752" w:type="dxa"/>
            <w:gridSpan w:val="2"/>
          </w:tcPr>
          <w:p w:rsidR="004B1F05" w:rsidRPr="004B1F05" w:rsidRDefault="004B1F05" w:rsidP="004B1F05">
            <w:pPr>
              <w:rPr>
                <w:szCs w:val="24"/>
                <w:lang w:eastAsia="en-US"/>
              </w:rPr>
            </w:pPr>
          </w:p>
        </w:tc>
      </w:tr>
      <w:tr w:rsidR="004B1F05" w:rsidRPr="004B1F05" w:rsidTr="004B1F05">
        <w:trPr>
          <w:trHeight w:val="240"/>
          <w:jc w:val="center"/>
        </w:trPr>
        <w:tc>
          <w:tcPr>
            <w:tcW w:w="4876" w:type="dxa"/>
            <w:hideMark/>
          </w:tcPr>
          <w:p w:rsidR="004B1F05" w:rsidRPr="004B1F05" w:rsidRDefault="004B1F05" w:rsidP="004B1F05">
            <w:pPr>
              <w:spacing w:after="240"/>
              <w:jc w:val="center"/>
              <w:rPr>
                <w:i/>
                <w:szCs w:val="24"/>
                <w:lang w:eastAsia="en-US"/>
              </w:rPr>
            </w:pPr>
            <w:r w:rsidRPr="004B1F05">
              <w:rPr>
                <w:i/>
                <w:szCs w:val="24"/>
                <w:lang w:eastAsia="en-US"/>
              </w:rPr>
              <w:t>Tekst koji je predložila Komisija</w:t>
            </w:r>
          </w:p>
        </w:tc>
        <w:tc>
          <w:tcPr>
            <w:tcW w:w="4876" w:type="dxa"/>
            <w:hideMark/>
          </w:tcPr>
          <w:p w:rsidR="004B1F05" w:rsidRPr="004B1F05" w:rsidRDefault="004B1F05" w:rsidP="004B1F05">
            <w:pPr>
              <w:spacing w:after="240"/>
              <w:jc w:val="center"/>
              <w:rPr>
                <w:i/>
                <w:szCs w:val="24"/>
                <w:lang w:eastAsia="en-US"/>
              </w:rPr>
            </w:pPr>
            <w:r w:rsidRPr="004B1F05">
              <w:rPr>
                <w:i/>
                <w:szCs w:val="24"/>
                <w:lang w:eastAsia="en-US"/>
              </w:rPr>
              <w:t>Izmjena</w:t>
            </w:r>
          </w:p>
        </w:tc>
      </w:tr>
      <w:tr w:rsidR="004B1F05" w:rsidRPr="004B1F05" w:rsidTr="004B1F05">
        <w:trPr>
          <w:jc w:val="center"/>
        </w:trPr>
        <w:tc>
          <w:tcPr>
            <w:tcW w:w="4876" w:type="dxa"/>
          </w:tcPr>
          <w:p w:rsidR="004B1F05" w:rsidRPr="004B1F05" w:rsidRDefault="004B1F05" w:rsidP="004B1F05">
            <w:pPr>
              <w:spacing w:after="120"/>
              <w:rPr>
                <w:szCs w:val="24"/>
                <w:lang w:eastAsia="en-US"/>
              </w:rPr>
            </w:pPr>
          </w:p>
        </w:tc>
        <w:tc>
          <w:tcPr>
            <w:tcW w:w="4876" w:type="dxa"/>
            <w:hideMark/>
          </w:tcPr>
          <w:p w:rsidR="004B1F05" w:rsidRPr="004B1F05" w:rsidRDefault="004B1F05" w:rsidP="004B1F05">
            <w:pPr>
              <w:spacing w:after="120"/>
              <w:jc w:val="center"/>
              <w:rPr>
                <w:szCs w:val="24"/>
                <w:lang w:eastAsia="en-US"/>
              </w:rPr>
            </w:pPr>
            <w:r w:rsidRPr="004B1F05">
              <w:rPr>
                <w:b/>
                <w:i/>
                <w:szCs w:val="24"/>
                <w:lang w:eastAsia="en-US"/>
              </w:rPr>
              <w:t>Članak 16.a</w:t>
            </w:r>
            <w:r w:rsidRPr="004B1F05">
              <w:rPr>
                <w:szCs w:val="24"/>
                <w:lang w:eastAsia="en-US"/>
              </w:rPr>
              <w:tab/>
            </w:r>
          </w:p>
        </w:tc>
      </w:tr>
      <w:tr w:rsidR="004B1F05" w:rsidRPr="004B1F05" w:rsidTr="004B1F05">
        <w:trPr>
          <w:jc w:val="center"/>
        </w:trPr>
        <w:tc>
          <w:tcPr>
            <w:tcW w:w="4876" w:type="dxa"/>
          </w:tcPr>
          <w:p w:rsidR="004B1F05" w:rsidRPr="004B1F05" w:rsidRDefault="004B1F05" w:rsidP="004B1F05">
            <w:pPr>
              <w:spacing w:after="120"/>
              <w:rPr>
                <w:szCs w:val="24"/>
                <w:lang w:eastAsia="en-US"/>
              </w:rPr>
            </w:pPr>
          </w:p>
        </w:tc>
        <w:tc>
          <w:tcPr>
            <w:tcW w:w="4876" w:type="dxa"/>
            <w:hideMark/>
          </w:tcPr>
          <w:p w:rsidR="004B1F05" w:rsidRPr="004B1F05" w:rsidRDefault="004B1F05" w:rsidP="004B1F05">
            <w:pPr>
              <w:spacing w:after="120"/>
              <w:jc w:val="center"/>
              <w:rPr>
                <w:szCs w:val="24"/>
                <w:lang w:eastAsia="en-US"/>
              </w:rPr>
            </w:pPr>
            <w:r w:rsidRPr="004B1F05">
              <w:rPr>
                <w:b/>
                <w:i/>
                <w:szCs w:val="24"/>
                <w:lang w:eastAsia="en-US"/>
              </w:rPr>
              <w:t>Potkrijepljene pritužbe fizičkih ili pravnih osoba</w:t>
            </w:r>
          </w:p>
        </w:tc>
      </w:tr>
      <w:tr w:rsidR="004B1F05" w:rsidRPr="004B1F05" w:rsidTr="004B1F05">
        <w:trPr>
          <w:jc w:val="center"/>
        </w:trPr>
        <w:tc>
          <w:tcPr>
            <w:tcW w:w="4876" w:type="dxa"/>
          </w:tcPr>
          <w:p w:rsidR="004B1F05" w:rsidRPr="004B1F05" w:rsidRDefault="004B1F05" w:rsidP="004B1F05">
            <w:pPr>
              <w:spacing w:after="120"/>
              <w:rPr>
                <w:szCs w:val="24"/>
                <w:lang w:eastAsia="en-US"/>
              </w:rPr>
            </w:pPr>
          </w:p>
        </w:tc>
        <w:tc>
          <w:tcPr>
            <w:tcW w:w="4876" w:type="dxa"/>
            <w:hideMark/>
          </w:tcPr>
          <w:p w:rsidR="004B1F05" w:rsidRPr="004B1F05" w:rsidRDefault="004B1F05" w:rsidP="004B1F05">
            <w:pPr>
              <w:spacing w:after="120"/>
              <w:rPr>
                <w:szCs w:val="24"/>
                <w:lang w:eastAsia="en-US"/>
              </w:rPr>
            </w:pPr>
            <w:r w:rsidRPr="004B1F05">
              <w:rPr>
                <w:b/>
                <w:i/>
                <w:szCs w:val="24"/>
                <w:lang w:eastAsia="en-US"/>
              </w:rPr>
              <w:t xml:space="preserve">1. Svaka fizička ili pravna osoba, pojedinačno ili zajedno, ima pravo podnijeti potkrijepljene pritužbe nacionalnim tijelima za nadzor tržišta ako ima razloga vjerovati da jedan ili više </w:t>
            </w:r>
            <w:r w:rsidRPr="004B1F05">
              <w:rPr>
                <w:b/>
                <w:i/>
                <w:szCs w:val="24"/>
                <w:lang w:eastAsia="en-US"/>
              </w:rPr>
              <w:lastRenderedPageBreak/>
              <w:t>proizvođača, gospodarskih subjekata ili neovisnih subjekata ne poštuju ovu Uredbu.</w:t>
            </w:r>
          </w:p>
        </w:tc>
      </w:tr>
      <w:tr w:rsidR="004B1F05" w:rsidRPr="004B1F05" w:rsidTr="004B1F05">
        <w:trPr>
          <w:jc w:val="center"/>
        </w:trPr>
        <w:tc>
          <w:tcPr>
            <w:tcW w:w="4876" w:type="dxa"/>
          </w:tcPr>
          <w:p w:rsidR="004B1F05" w:rsidRPr="004B1F05" w:rsidRDefault="004B1F05" w:rsidP="004B1F05">
            <w:pPr>
              <w:spacing w:after="120"/>
              <w:rPr>
                <w:szCs w:val="24"/>
                <w:lang w:eastAsia="en-US"/>
              </w:rPr>
            </w:pPr>
          </w:p>
        </w:tc>
        <w:tc>
          <w:tcPr>
            <w:tcW w:w="4876" w:type="dxa"/>
            <w:hideMark/>
          </w:tcPr>
          <w:p w:rsidR="004B1F05" w:rsidRPr="004B1F05" w:rsidRDefault="004B1F05" w:rsidP="004B1F05">
            <w:pPr>
              <w:spacing w:after="120"/>
              <w:rPr>
                <w:szCs w:val="24"/>
                <w:lang w:eastAsia="en-US"/>
              </w:rPr>
            </w:pPr>
            <w:r w:rsidRPr="004B1F05">
              <w:rPr>
                <w:b/>
                <w:i/>
                <w:szCs w:val="24"/>
                <w:lang w:eastAsia="en-US"/>
              </w:rPr>
              <w:t>2. Ako to zatraži osoba koja prijavljuje potkrijepljene pritužbe, tijela za nadzor tržišta poduzimaju potrebne mjere za odgovarajuću zaštitu identiteta te osobe i njezinih osobnih podataka koji bi, u slučaju da se otkriju, bili štetni za tu osobu.</w:t>
            </w:r>
          </w:p>
        </w:tc>
      </w:tr>
      <w:tr w:rsidR="004B1F05" w:rsidRPr="004B1F05" w:rsidTr="004B1F05">
        <w:trPr>
          <w:jc w:val="center"/>
        </w:trPr>
        <w:tc>
          <w:tcPr>
            <w:tcW w:w="4876" w:type="dxa"/>
          </w:tcPr>
          <w:p w:rsidR="004B1F05" w:rsidRPr="004B1F05" w:rsidRDefault="004B1F05" w:rsidP="004B1F05">
            <w:pPr>
              <w:spacing w:after="120"/>
              <w:rPr>
                <w:szCs w:val="24"/>
                <w:lang w:eastAsia="en-US"/>
              </w:rPr>
            </w:pPr>
          </w:p>
        </w:tc>
        <w:tc>
          <w:tcPr>
            <w:tcW w:w="4876" w:type="dxa"/>
            <w:hideMark/>
          </w:tcPr>
          <w:p w:rsidR="004B1F05" w:rsidRPr="004B1F05" w:rsidRDefault="004B1F05" w:rsidP="004B1F05">
            <w:pPr>
              <w:spacing w:after="120"/>
              <w:rPr>
                <w:szCs w:val="24"/>
                <w:lang w:eastAsia="en-US"/>
              </w:rPr>
            </w:pPr>
            <w:r w:rsidRPr="004B1F05">
              <w:rPr>
                <w:b/>
                <w:i/>
                <w:szCs w:val="24"/>
                <w:lang w:eastAsia="en-US"/>
              </w:rPr>
              <w:t>3. Nacionalna tijela za nadzor tržišta bez nepotrebne odgode pozorno i nepristrano procjenjuju potkrijepljene pritužbe, među ostalim u pogledu toga jesu li te tvrdnje osnovane, i poduzimaju potrebne korake, uključujući provođenje provjera i evaluacija u skladu s člancima 8. i 51. Uredbe (EZ) 2018/858, u cilju otkrivanja eventualnih neusklađenosti s ovom Uredbom te, prema potrebi, zahtijevanje korektivnih mjera ili poduzimanje odgovarajućih mjera ograničavanja u skladu s člankom 52. Uredbe (EZ) 2018/858.</w:t>
            </w:r>
          </w:p>
        </w:tc>
      </w:tr>
      <w:tr w:rsidR="004B1F05" w:rsidRPr="004B1F05" w:rsidTr="004B1F05">
        <w:trPr>
          <w:jc w:val="center"/>
        </w:trPr>
        <w:tc>
          <w:tcPr>
            <w:tcW w:w="4876" w:type="dxa"/>
          </w:tcPr>
          <w:p w:rsidR="004B1F05" w:rsidRPr="004B1F05" w:rsidRDefault="004B1F05" w:rsidP="004B1F05">
            <w:pPr>
              <w:spacing w:after="120"/>
              <w:rPr>
                <w:szCs w:val="24"/>
                <w:lang w:eastAsia="en-US"/>
              </w:rPr>
            </w:pPr>
          </w:p>
        </w:tc>
        <w:tc>
          <w:tcPr>
            <w:tcW w:w="4876" w:type="dxa"/>
            <w:hideMark/>
          </w:tcPr>
          <w:p w:rsidR="004B1F05" w:rsidRPr="004B1F05" w:rsidRDefault="004B1F05" w:rsidP="004B1F05">
            <w:pPr>
              <w:spacing w:after="120"/>
              <w:rPr>
                <w:szCs w:val="24"/>
                <w:lang w:eastAsia="en-US"/>
              </w:rPr>
            </w:pPr>
            <w:r w:rsidRPr="004B1F05">
              <w:rPr>
                <w:b/>
                <w:i/>
                <w:szCs w:val="24"/>
                <w:lang w:eastAsia="en-US"/>
              </w:rPr>
              <w:t>4. Nacionalno tijelo za nadzor tržišta u roku od tri mjeseca obavješćuje fizičke ili pravne osobe iz stavka 1. o svojoj odluci o prihvaćanju ili odbijanju zahtjeva za djelovanje te o eventualnim koracima koje namjerava poduzeti kako bi se otklonile sumnje iznesene u potkrijepljenoj pritužbi, navodeći razloge za donesenu odluku i predložene korake.</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144</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18.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2.</w:t>
            </w:r>
            <w:r w:rsidRPr="009F2503">
              <w:tab/>
              <w:t>Komisija na temelju informacija dostavljenih u skladu sa stavkom 1. do 1. rujna 2031. podnosi Europskom parlamentu i Vijeću evaluacijsko izvješće o primjeni ove Uredbe.</w:t>
            </w:r>
          </w:p>
        </w:tc>
        <w:tc>
          <w:tcPr>
            <w:tcW w:w="4876" w:type="dxa"/>
          </w:tcPr>
          <w:p w:rsidR="00D00FC9" w:rsidRPr="009F2503" w:rsidRDefault="00D00FC9" w:rsidP="00605A38">
            <w:pPr>
              <w:pStyle w:val="Normal6a"/>
            </w:pPr>
            <w:r w:rsidRPr="009F2503">
              <w:t>2.</w:t>
            </w:r>
            <w:r w:rsidRPr="009F2503">
              <w:tab/>
              <w:t>Komisija na temelju informacija dostavljenih u skladu sa stavkom 1. do 1. rujna 2031. podnosi Europskom parlamentu i Vijeću evaluacijsko izvješće o primjeni ove Uredbe</w:t>
            </w:r>
            <w:r w:rsidRPr="009F2503">
              <w:rPr>
                <w:b/>
                <w:i/>
              </w:rPr>
              <w:t xml:space="preserve">, uključujući ocjenu postignutih smanjenja emisija ispušnih </w:t>
            </w:r>
            <w:r w:rsidRPr="009F2503">
              <w:rPr>
                <w:b/>
                <w:i/>
              </w:rPr>
              <w:lastRenderedPageBreak/>
              <w:t>plinova i emisija koje nisu iz ispuha te procjenu njezina doprinosa postizanju standarda onečišćenja zraka utvrđenih u [Prijedlogu preinake Direktive o kvaliteti zraka XXX]</w:t>
            </w:r>
            <w:r w:rsidRPr="009F2503">
              <w:t>.</w:t>
            </w:r>
          </w:p>
        </w:tc>
      </w:tr>
    </w:tbl>
    <w:p w:rsidR="00D00FC9" w:rsidRPr="009F2503" w:rsidRDefault="00D00FC9" w:rsidP="00D00FC9"/>
    <w:p w:rsidR="00687E93" w:rsidRPr="00687E93" w:rsidRDefault="00687E93" w:rsidP="00687E93">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687E93">
        <w:rPr>
          <w:b/>
          <w:szCs w:val="24"/>
          <w:lang w:eastAsia="en-US"/>
        </w:rPr>
        <w:t>Amandman</w:t>
      </w:r>
      <w:r>
        <w:rPr>
          <w:b/>
          <w:szCs w:val="24"/>
          <w:lang w:eastAsia="en-US"/>
        </w:rPr>
        <w:t>i</w:t>
      </w:r>
      <w:r w:rsidRPr="00687E93">
        <w:rPr>
          <w:b/>
          <w:szCs w:val="24"/>
          <w:lang w:eastAsia="en-US"/>
        </w:rPr>
        <w:tab/>
      </w:r>
      <w:r w:rsidRPr="00687E93">
        <w:rPr>
          <w:b/>
          <w:szCs w:val="24"/>
          <w:lang w:eastAsia="en-US"/>
        </w:rPr>
        <w:tab/>
        <w:t>181</w:t>
      </w:r>
      <w:r>
        <w:rPr>
          <w:b/>
          <w:szCs w:val="24"/>
          <w:lang w:eastAsia="en-US"/>
        </w:rPr>
        <w:t xml:space="preserve"> i 192</w:t>
      </w:r>
    </w:p>
    <w:p w:rsidR="00687E93" w:rsidRPr="00687E93" w:rsidRDefault="00687E93" w:rsidP="00C108CE">
      <w:pPr>
        <w:spacing w:before="240"/>
        <w:rPr>
          <w:b/>
          <w:szCs w:val="24"/>
          <w:lang w:eastAsia="en-US"/>
        </w:rPr>
      </w:pPr>
      <w:r w:rsidRPr="00687E93">
        <w:rPr>
          <w:b/>
          <w:szCs w:val="24"/>
          <w:lang w:eastAsia="en-US"/>
        </w:rPr>
        <w:t>Prijedlog uredbe</w:t>
      </w:r>
    </w:p>
    <w:p w:rsidR="00687E93" w:rsidRPr="00687E93" w:rsidRDefault="00687E93" w:rsidP="00687E93">
      <w:pPr>
        <w:rPr>
          <w:b/>
          <w:szCs w:val="24"/>
          <w:lang w:eastAsia="en-US"/>
        </w:rPr>
      </w:pPr>
      <w:r w:rsidRPr="00687E93">
        <w:rPr>
          <w:b/>
          <w:szCs w:val="24"/>
          <w:lang w:eastAsia="en-US"/>
        </w:rPr>
        <w:t>Članak 18.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7E93" w:rsidRPr="00687E93" w:rsidTr="00687E93">
        <w:trPr>
          <w:trHeight w:val="240"/>
          <w:jc w:val="center"/>
        </w:trPr>
        <w:tc>
          <w:tcPr>
            <w:tcW w:w="9752" w:type="dxa"/>
            <w:gridSpan w:val="2"/>
          </w:tcPr>
          <w:p w:rsidR="00687E93" w:rsidRPr="00687E93" w:rsidRDefault="00687E93" w:rsidP="00687E93">
            <w:pPr>
              <w:rPr>
                <w:szCs w:val="24"/>
                <w:lang w:eastAsia="en-US"/>
              </w:rPr>
            </w:pPr>
          </w:p>
        </w:tc>
      </w:tr>
      <w:tr w:rsidR="00687E93" w:rsidRPr="00687E93" w:rsidTr="00687E93">
        <w:trPr>
          <w:trHeight w:val="240"/>
          <w:jc w:val="center"/>
        </w:trPr>
        <w:tc>
          <w:tcPr>
            <w:tcW w:w="4876" w:type="dxa"/>
            <w:hideMark/>
          </w:tcPr>
          <w:p w:rsidR="00687E93" w:rsidRPr="00687E93" w:rsidRDefault="00687E93" w:rsidP="00687E93">
            <w:pPr>
              <w:spacing w:after="240"/>
              <w:jc w:val="center"/>
              <w:rPr>
                <w:i/>
                <w:szCs w:val="24"/>
                <w:lang w:eastAsia="en-US"/>
              </w:rPr>
            </w:pPr>
            <w:r w:rsidRPr="00687E93">
              <w:rPr>
                <w:i/>
                <w:szCs w:val="24"/>
                <w:lang w:eastAsia="en-US"/>
              </w:rPr>
              <w:t>Tekst koji je predložila Komisija</w:t>
            </w:r>
          </w:p>
        </w:tc>
        <w:tc>
          <w:tcPr>
            <w:tcW w:w="4876" w:type="dxa"/>
            <w:hideMark/>
          </w:tcPr>
          <w:p w:rsidR="00687E93" w:rsidRPr="00687E93" w:rsidRDefault="00687E93" w:rsidP="00687E93">
            <w:pPr>
              <w:spacing w:after="240"/>
              <w:jc w:val="center"/>
              <w:rPr>
                <w:i/>
                <w:szCs w:val="24"/>
                <w:lang w:eastAsia="en-US"/>
              </w:rPr>
            </w:pPr>
            <w:r w:rsidRPr="00687E93">
              <w:rPr>
                <w:i/>
                <w:szCs w:val="24"/>
                <w:lang w:eastAsia="en-US"/>
              </w:rPr>
              <w:t>Izmjena</w:t>
            </w:r>
          </w:p>
        </w:tc>
      </w:tr>
      <w:tr w:rsidR="00687E93" w:rsidRPr="00687E93" w:rsidTr="00687E93">
        <w:trPr>
          <w:jc w:val="center"/>
        </w:trPr>
        <w:tc>
          <w:tcPr>
            <w:tcW w:w="4876" w:type="dxa"/>
          </w:tcPr>
          <w:p w:rsidR="00687E93" w:rsidRPr="00687E93" w:rsidRDefault="00687E93" w:rsidP="00687E93">
            <w:pPr>
              <w:spacing w:after="120"/>
              <w:rPr>
                <w:szCs w:val="24"/>
                <w:lang w:eastAsia="en-US"/>
              </w:rPr>
            </w:pPr>
          </w:p>
        </w:tc>
        <w:tc>
          <w:tcPr>
            <w:tcW w:w="4876" w:type="dxa"/>
            <w:hideMark/>
          </w:tcPr>
          <w:p w:rsidR="00687E93" w:rsidRPr="00687E93" w:rsidRDefault="00687E93" w:rsidP="00687E93">
            <w:pPr>
              <w:spacing w:after="120"/>
              <w:rPr>
                <w:szCs w:val="24"/>
                <w:lang w:eastAsia="en-US"/>
              </w:rPr>
            </w:pPr>
            <w:r w:rsidRPr="00687E93">
              <w:rPr>
                <w:b/>
                <w:i/>
                <w:szCs w:val="24"/>
                <w:lang w:eastAsia="en-US"/>
              </w:rPr>
              <w:t>2.a</w:t>
            </w:r>
            <w:r w:rsidRPr="00687E93">
              <w:rPr>
                <w:szCs w:val="24"/>
                <w:lang w:eastAsia="en-US"/>
              </w:rPr>
              <w:tab/>
            </w:r>
            <w:r w:rsidRPr="00687E93">
              <w:rPr>
                <w:b/>
                <w:i/>
                <w:szCs w:val="24"/>
                <w:lang w:eastAsia="en-US"/>
              </w:rPr>
              <w:t>Komisija najkasnije 31. prosinca 2025. Europskom parlamentu i Vijeću podnosi izvješće o procjeni trajnosti teških vozila u pogledu emisija.</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146</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19.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 xml:space="preserve">Uredba (EZ) br. 715/2007 stavlja se izvan snage s učinkom od 1. srpnja </w:t>
            </w:r>
            <w:r w:rsidRPr="009F2503">
              <w:rPr>
                <w:b/>
                <w:i/>
              </w:rPr>
              <w:t>2025</w:t>
            </w:r>
            <w:r w:rsidRPr="009F2503">
              <w:t>.</w:t>
            </w:r>
          </w:p>
        </w:tc>
        <w:tc>
          <w:tcPr>
            <w:tcW w:w="4876" w:type="dxa"/>
          </w:tcPr>
          <w:p w:rsidR="00D00FC9" w:rsidRPr="009F2503" w:rsidRDefault="00D00FC9" w:rsidP="00605A38">
            <w:pPr>
              <w:pStyle w:val="Normal6a"/>
            </w:pPr>
            <w:r w:rsidRPr="009F2503">
              <w:t xml:space="preserve">Uredba (EZ) br. 715/2007 stavlja se izvan snage s učinkom od 1. srpnja </w:t>
            </w:r>
            <w:r w:rsidRPr="009F2503">
              <w:rPr>
                <w:b/>
                <w:i/>
              </w:rPr>
              <w:t>2030</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147</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19.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Uredba (EZ) br. 595/2009 stavlja se izvan snage s učinkom od 1. srpnja</w:t>
            </w:r>
            <w:r w:rsidRPr="009F2503">
              <w:rPr>
                <w:b/>
                <w:i/>
              </w:rPr>
              <w:t> 2027</w:t>
            </w:r>
            <w:r w:rsidRPr="009F2503">
              <w:t>.</w:t>
            </w:r>
          </w:p>
        </w:tc>
        <w:tc>
          <w:tcPr>
            <w:tcW w:w="4876" w:type="dxa"/>
          </w:tcPr>
          <w:p w:rsidR="00D00FC9" w:rsidRPr="009F2503" w:rsidRDefault="00D00FC9" w:rsidP="00605A38">
            <w:pPr>
              <w:pStyle w:val="Normal6a"/>
            </w:pPr>
            <w:r w:rsidRPr="009F2503">
              <w:t>Uredba (EZ) br. 595/2009 stavlja se izvan snage s učinkom od 1. srpnja</w:t>
            </w:r>
            <w:r w:rsidRPr="009F2503">
              <w:rPr>
                <w:b/>
                <w:i/>
              </w:rPr>
              <w:t xml:space="preserve"> 2031</w:t>
            </w:r>
            <w:r w:rsidRPr="009F2503">
              <w:t>.</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148</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rPr>
          <w:b w:val="0"/>
        </w:rPr>
        <w:t>Članak 20.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lastRenderedPageBreak/>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 xml:space="preserve">Primjenjuje se od </w:t>
            </w:r>
            <w:r w:rsidRPr="009F2503">
              <w:rPr>
                <w:b/>
                <w:i/>
              </w:rPr>
              <w:t>1. srpnja 2025.</w:t>
            </w:r>
            <w:r w:rsidRPr="009F2503">
              <w:t xml:space="preserve"> za vozila kategorija M1 i N1 i za sastavne dijelove i zasebne tehničke jedinice za ta vozila te od </w:t>
            </w:r>
            <w:r w:rsidRPr="009F2503">
              <w:rPr>
                <w:b/>
                <w:i/>
              </w:rPr>
              <w:t>1. srpnja 2027.</w:t>
            </w:r>
            <w:r w:rsidRPr="009F2503">
              <w:t xml:space="preserve"> za vozila kategorija </w:t>
            </w:r>
            <w:r w:rsidRPr="00E47563">
              <w:t>M</w:t>
            </w:r>
            <w:r w:rsidRPr="00EA726F">
              <w:t>2, M3, N2</w:t>
            </w:r>
            <w:r w:rsidRPr="00E47563">
              <w:t xml:space="preserve"> i N</w:t>
            </w:r>
            <w:r w:rsidRPr="00EA726F">
              <w:t>3</w:t>
            </w:r>
            <w:r w:rsidRPr="009F2503">
              <w:t xml:space="preserve"> i za sastavne dijelove i zasebne tehničke jedinice za ta vozila</w:t>
            </w:r>
            <w:r w:rsidRPr="009F2503">
              <w:rPr>
                <w:b/>
                <w:i/>
              </w:rPr>
              <w:t xml:space="preserve"> </w:t>
            </w:r>
            <w:r w:rsidRPr="00EA726F">
              <w:t>te za prikolice kategorija O3 i O4</w:t>
            </w:r>
            <w:r w:rsidRPr="00F32E57">
              <w:t>.</w:t>
            </w:r>
          </w:p>
        </w:tc>
        <w:tc>
          <w:tcPr>
            <w:tcW w:w="4876" w:type="dxa"/>
          </w:tcPr>
          <w:p w:rsidR="00D00FC9" w:rsidRPr="009F2503" w:rsidRDefault="00D00FC9" w:rsidP="00605A38">
            <w:pPr>
              <w:pStyle w:val="Normal6a"/>
            </w:pPr>
            <w:r w:rsidRPr="009F2503">
              <w:t xml:space="preserve">Primjenjuje se od </w:t>
            </w:r>
            <w:r w:rsidRPr="009F2503">
              <w:rPr>
                <w:b/>
                <w:i/>
              </w:rPr>
              <w:t>24 mjeseca nakon datuma stupanja na snagu sveg relevantnog sekundarnog zakonodavstva</w:t>
            </w:r>
            <w:r w:rsidRPr="009F2503">
              <w:t xml:space="preserve"> za</w:t>
            </w:r>
            <w:r w:rsidRPr="009F2503">
              <w:rPr>
                <w:b/>
                <w:i/>
              </w:rPr>
              <w:t xml:space="preserve"> nova</w:t>
            </w:r>
            <w:r w:rsidRPr="009F2503">
              <w:t xml:space="preserve"> vozila kategorija M1 i N1 i za sastavne dijelove i zasebne tehničke jedinice za ta vozila te od </w:t>
            </w:r>
            <w:r w:rsidRPr="009F2503">
              <w:rPr>
                <w:b/>
                <w:i/>
              </w:rPr>
              <w:t>36 mjeseci nakon stupanja na snagu relevantnog sekundarnog zakonodavstva</w:t>
            </w:r>
            <w:r w:rsidRPr="009F2503">
              <w:t xml:space="preserve"> </w:t>
            </w:r>
            <w:r w:rsidRPr="00EA726F">
              <w:rPr>
                <w:b/>
                <w:i/>
              </w:rPr>
              <w:t xml:space="preserve">za </w:t>
            </w:r>
            <w:r w:rsidRPr="00E47563">
              <w:rPr>
                <w:b/>
                <w:i/>
              </w:rPr>
              <w:t xml:space="preserve">nova </w:t>
            </w:r>
            <w:r w:rsidRPr="00EA726F">
              <w:rPr>
                <w:b/>
                <w:i/>
              </w:rPr>
              <w:t>vozila kategorija M</w:t>
            </w:r>
            <w:r w:rsidRPr="00E47563">
              <w:rPr>
                <w:b/>
                <w:i/>
              </w:rPr>
              <w:t>1</w:t>
            </w:r>
            <w:r w:rsidRPr="00EA726F">
              <w:rPr>
                <w:b/>
                <w:i/>
              </w:rPr>
              <w:t xml:space="preserve"> i N</w:t>
            </w:r>
            <w:r w:rsidRPr="00E47563">
              <w:rPr>
                <w:b/>
                <w:i/>
              </w:rPr>
              <w:t>1</w:t>
            </w:r>
            <w:r w:rsidRPr="00EA726F">
              <w:rPr>
                <w:b/>
                <w:i/>
              </w:rPr>
              <w:t xml:space="preserve"> i za sastavne dijelove i zasebne tehničke jedinice za ta vozila.</w:t>
            </w:r>
          </w:p>
        </w:tc>
      </w:tr>
      <w:tr w:rsidR="00D00FC9" w:rsidRPr="009F2503" w:rsidTr="00605A38">
        <w:trPr>
          <w:jc w:val="center"/>
        </w:trPr>
        <w:tc>
          <w:tcPr>
            <w:tcW w:w="4876" w:type="dxa"/>
          </w:tcPr>
          <w:p w:rsidR="00D00FC9" w:rsidRPr="009F2503" w:rsidRDefault="00D00FC9" w:rsidP="00605A38">
            <w:pPr>
              <w:pStyle w:val="Normal6a"/>
            </w:pPr>
          </w:p>
        </w:tc>
        <w:tc>
          <w:tcPr>
            <w:tcW w:w="4876" w:type="dxa"/>
          </w:tcPr>
          <w:p w:rsidR="00D00FC9" w:rsidRPr="009F2503" w:rsidRDefault="00D00FC9" w:rsidP="00F32E57">
            <w:pPr>
              <w:pStyle w:val="Normal6a"/>
            </w:pPr>
            <w:r w:rsidRPr="009F2503">
              <w:rPr>
                <w:b/>
                <w:i/>
              </w:rPr>
              <w:t>Primjenjuje se od 48 mjeseci nakon stupanja na snagu sveg</w:t>
            </w:r>
            <w:r w:rsidR="00F32E57">
              <w:rPr>
                <w:b/>
                <w:i/>
              </w:rPr>
              <w:t xml:space="preserve"> relevantnog</w:t>
            </w:r>
            <w:r w:rsidRPr="009F2503">
              <w:rPr>
                <w:b/>
                <w:i/>
              </w:rPr>
              <w:t xml:space="preserve"> sekundarnog zakonodavstva za</w:t>
            </w:r>
            <w:r w:rsidR="00F32E57">
              <w:rPr>
                <w:b/>
                <w:i/>
              </w:rPr>
              <w:t xml:space="preserve"> nova</w:t>
            </w:r>
            <w:r w:rsidRPr="009F2503">
              <w:rPr>
                <w:b/>
                <w:i/>
              </w:rPr>
              <w:t xml:space="preserve"> vozila kategorija M2, M3, N2 i N3 i za sastavne dijelove i zasebne tehničke jedinice za ta vozila te za prikolice kategorija O3 i O4 te od 60 mjeseci nakon stupanja na snagu relevantnog sekundarnog zakonodavstva </w:t>
            </w:r>
            <w:r w:rsidRPr="00EA726F">
              <w:t>za</w:t>
            </w:r>
            <w:r w:rsidR="00F32E57">
              <w:t xml:space="preserve"> </w:t>
            </w:r>
            <w:r w:rsidR="00F32E57">
              <w:rPr>
                <w:b/>
                <w:i/>
              </w:rPr>
              <w:t>nova</w:t>
            </w:r>
            <w:r w:rsidRPr="00EA726F">
              <w:t xml:space="preserve"> vozila kategorija M2, M3, N2 i N3 i za sastavne dijelove i zasebne tehničke jedinice za ta vozila te za prikolice kategorija O3 i O4.</w:t>
            </w:r>
          </w:p>
        </w:tc>
      </w:tr>
    </w:tbl>
    <w:p w:rsidR="00D00FC9" w:rsidRPr="009F2503" w:rsidRDefault="00D00FC9" w:rsidP="00D00FC9"/>
    <w:p w:rsidR="00D00FC9" w:rsidRPr="009F2503" w:rsidRDefault="00D00FC9" w:rsidP="00D00FC9">
      <w:pPr>
        <w:pStyle w:val="AmNumberTabs"/>
      </w:pPr>
      <w:r w:rsidRPr="009F2503">
        <w:t>Amandman</w:t>
      </w:r>
      <w:r w:rsidRPr="009F2503">
        <w:tab/>
      </w:r>
      <w:r w:rsidRPr="009F2503">
        <w:tab/>
        <w:t>149</w:t>
      </w:r>
    </w:p>
    <w:p w:rsidR="00D00FC9" w:rsidRPr="009F2503" w:rsidRDefault="00D00FC9" w:rsidP="00D00FC9">
      <w:pPr>
        <w:pStyle w:val="NormalBold12b"/>
      </w:pPr>
    </w:p>
    <w:p w:rsidR="00D00FC9" w:rsidRPr="009F2503" w:rsidRDefault="00D00FC9" w:rsidP="00D00FC9">
      <w:pPr>
        <w:pStyle w:val="NormalBold"/>
      </w:pPr>
      <w:r w:rsidRPr="009F2503">
        <w:t>Prijedlog uredbe</w:t>
      </w:r>
    </w:p>
    <w:p w:rsidR="00D00FC9" w:rsidRPr="009F2503" w:rsidRDefault="00D00FC9" w:rsidP="00D00FC9">
      <w:pPr>
        <w:pStyle w:val="NormalBold"/>
      </w:pPr>
      <w:r w:rsidRPr="009F2503">
        <w:t>Članak 20.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0FC9" w:rsidRPr="009F2503" w:rsidTr="00605A38">
        <w:trPr>
          <w:trHeight w:hRule="exact" w:val="240"/>
          <w:jc w:val="center"/>
        </w:trPr>
        <w:tc>
          <w:tcPr>
            <w:tcW w:w="9752" w:type="dxa"/>
            <w:gridSpan w:val="2"/>
          </w:tcPr>
          <w:p w:rsidR="00D00FC9" w:rsidRPr="009F2503" w:rsidRDefault="00D00FC9" w:rsidP="00605A38"/>
        </w:tc>
      </w:tr>
      <w:tr w:rsidR="00D00FC9" w:rsidRPr="009F2503" w:rsidTr="00605A38">
        <w:trPr>
          <w:trHeight w:val="240"/>
          <w:jc w:val="center"/>
        </w:trPr>
        <w:tc>
          <w:tcPr>
            <w:tcW w:w="4876" w:type="dxa"/>
          </w:tcPr>
          <w:p w:rsidR="00D00FC9" w:rsidRPr="009F2503" w:rsidRDefault="00D00FC9" w:rsidP="00605A38">
            <w:pPr>
              <w:pStyle w:val="AmColumnHeading"/>
            </w:pPr>
            <w:r w:rsidRPr="009F2503">
              <w:t>Tekst koji je predložila Komisija</w:t>
            </w:r>
          </w:p>
        </w:tc>
        <w:tc>
          <w:tcPr>
            <w:tcW w:w="4876" w:type="dxa"/>
          </w:tcPr>
          <w:p w:rsidR="00D00FC9" w:rsidRPr="009F2503" w:rsidRDefault="00D00FC9" w:rsidP="00605A38">
            <w:pPr>
              <w:pStyle w:val="AmColumnHeading"/>
            </w:pPr>
            <w:r w:rsidRPr="009F2503">
              <w:t>Izmjena</w:t>
            </w:r>
          </w:p>
        </w:tc>
      </w:tr>
      <w:tr w:rsidR="00D00FC9" w:rsidRPr="009F2503" w:rsidTr="00605A38">
        <w:trPr>
          <w:jc w:val="center"/>
        </w:trPr>
        <w:tc>
          <w:tcPr>
            <w:tcW w:w="4876" w:type="dxa"/>
          </w:tcPr>
          <w:p w:rsidR="00D00FC9" w:rsidRPr="009F2503" w:rsidRDefault="00D00FC9" w:rsidP="00605A38">
            <w:pPr>
              <w:pStyle w:val="Normal6a"/>
            </w:pPr>
            <w:r w:rsidRPr="009F2503">
              <w:t>Primjenjuje se od 1</w:t>
            </w:r>
            <w:r w:rsidRPr="009F2503">
              <w:rPr>
                <w:b/>
                <w:i/>
              </w:rPr>
              <w:t>.</w:t>
            </w:r>
            <w:r w:rsidRPr="009F2503">
              <w:t> srpnja 2030. za vozila kategorija M1 i N1 koja izrađuju mali proizvođači.</w:t>
            </w:r>
          </w:p>
        </w:tc>
        <w:tc>
          <w:tcPr>
            <w:tcW w:w="4876" w:type="dxa"/>
          </w:tcPr>
          <w:p w:rsidR="00D00FC9" w:rsidRPr="009F2503" w:rsidRDefault="00D00FC9" w:rsidP="00605A38">
            <w:pPr>
              <w:pStyle w:val="Normal6a"/>
            </w:pPr>
            <w:r w:rsidRPr="009F2503">
              <w:t>Primjenjuje se od 1 srpnja 2030. za vozila kategorija M1 i N1</w:t>
            </w:r>
            <w:r w:rsidRPr="009F2503">
              <w:rPr>
                <w:b/>
                <w:i/>
              </w:rPr>
              <w:t xml:space="preserve"> koja izrađuju mali proizvođači i od 1. srpnja 2031. za vozila kategorija M2, M3, N2 i N3</w:t>
            </w:r>
            <w:r w:rsidRPr="009F2503">
              <w:t xml:space="preserve"> koja izrađuju mali proizvođači.</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150</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 – tablica 1.</w:t>
      </w:r>
    </w:p>
    <w:tbl>
      <w:tblPr>
        <w:tblStyle w:val="TableGrid"/>
        <w:tblW w:w="5000" w:type="pct"/>
        <w:tblLook w:val="04A0" w:firstRow="1" w:lastRow="0" w:firstColumn="1" w:lastColumn="0" w:noHBand="0" w:noVBand="1"/>
      </w:tblPr>
      <w:tblGrid>
        <w:gridCol w:w="1812"/>
        <w:gridCol w:w="1812"/>
        <w:gridCol w:w="1812"/>
        <w:gridCol w:w="1812"/>
        <w:gridCol w:w="1812"/>
      </w:tblGrid>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1.: granične vrijednosti emisija ispušnih plinova prema normi Euro 7 za vozila kategorija M1 i N1 s motorom s unutarnjim izgaranjem</w:t>
            </w:r>
          </w:p>
        </w:tc>
      </w:tr>
      <w:tr w:rsidR="00D00FC9" w:rsidRPr="009F2503" w:rsidTr="00605A38">
        <w:tc>
          <w:tcPr>
            <w:tcW w:w="1000" w:type="pct"/>
            <w:vMerge w:val="restar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lastRenderedPageBreak/>
              <w:t>Emisije onečišćujućih tvari</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 xml:space="preserve">Vozila kategorija M1 </w:t>
            </w:r>
            <w:r w:rsidRPr="00EA726F">
              <w:rPr>
                <w:b/>
                <w:i/>
              </w:rPr>
              <w:t>i</w:t>
            </w:r>
            <w:r w:rsidRPr="009F2503">
              <w:t xml:space="preserve"> </w:t>
            </w:r>
            <w:r w:rsidRPr="00EA726F">
              <w:rPr>
                <w:b/>
                <w:i/>
              </w:rPr>
              <w:t>N1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EA726F" w:rsidRDefault="00D00FC9" w:rsidP="00605A38">
            <w:pPr>
              <w:jc w:val="center"/>
              <w:rPr>
                <w:b/>
                <w:i/>
                <w:noProof/>
              </w:rPr>
            </w:pPr>
            <w:r w:rsidRPr="00EA726F">
              <w:rPr>
                <w:b/>
                <w:i/>
              </w:rPr>
              <w:t xml:space="preserve">Samo za vozila kategorije </w:t>
            </w:r>
            <w:r w:rsidRPr="007024F3">
              <w:t>N1</w:t>
            </w:r>
            <w:r w:rsidRPr="00EA726F">
              <w:rPr>
                <w:b/>
                <w:i/>
              </w:rPr>
              <w:t xml:space="preserve"> s omjerom snage i mase</w:t>
            </w:r>
            <w:r w:rsidRPr="00EA726F">
              <w:rPr>
                <w:b/>
                <w:i/>
                <w:vertAlign w:val="superscript"/>
              </w:rPr>
              <w:t>1</w:t>
            </w:r>
            <w:r w:rsidRPr="00EA726F">
              <w:rPr>
                <w:b/>
                <w:i/>
              </w:rPr>
              <w:t xml:space="preserve"> manjim od 35 kW/t</w:t>
            </w:r>
          </w:p>
        </w:tc>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rPr>
            </w:pPr>
            <w:r w:rsidRPr="009F2503">
              <w:t>Proračun emisija za sve vožnje kraće od 10 km za vozila kategorija M1 i N1</w:t>
            </w:r>
          </w:p>
        </w:tc>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rPr>
            </w:pPr>
            <w:r w:rsidRPr="009F2503">
              <w:t xml:space="preserve">Proračun emisija za sve vožnje kraće od 10 km samo za vozila kategorije N1 </w:t>
            </w:r>
            <w:r w:rsidRPr="00EA726F">
              <w:rPr>
                <w:b/>
                <w:i/>
              </w:rPr>
              <w:t>s omjerom snage i mase manjim od 35 kW/t</w:t>
            </w:r>
          </w:p>
        </w:tc>
      </w:tr>
      <w:tr w:rsidR="00D00FC9" w:rsidRPr="009F2503" w:rsidTr="00605A38">
        <w:tc>
          <w:tcPr>
            <w:tcW w:w="0" w:type="auto"/>
            <w:vMerge/>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 xml:space="preserve">po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po km</w:t>
            </w:r>
          </w:p>
        </w:tc>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rPr>
            </w:pPr>
            <w:r w:rsidRPr="009F2503">
              <w:t>po vožnji</w:t>
            </w:r>
          </w:p>
        </w:tc>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rPr>
            </w:pPr>
            <w:r w:rsidRPr="009F2503">
              <w:t>po vožnji</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proofErr w:type="spellStart"/>
            <w:r w:rsidRPr="009F2503">
              <w:t>NOx</w:t>
            </w:r>
            <w:proofErr w:type="spellEnd"/>
            <w:r w:rsidRPr="009F2503">
              <w:t xml:space="preserve"> u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750</w:t>
            </w:r>
          </w:p>
        </w:tc>
      </w:tr>
      <w:tr w:rsidR="00D00FC9" w:rsidRPr="009F2503" w:rsidTr="00605A38">
        <w:trPr>
          <w:trHeight w:val="50"/>
        </w:trPr>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PM u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45</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 xml:space="preserve">PN10 u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6×10</w:t>
            </w:r>
            <w:r w:rsidRPr="009F2503">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6×10</w:t>
            </w:r>
            <w:r w:rsidRPr="009F2503">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6×10</w:t>
            </w:r>
            <w:r w:rsidRPr="009F2503">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6×10</w:t>
            </w:r>
            <w:r w:rsidRPr="009F2503">
              <w:rPr>
                <w:sz w:val="22"/>
                <w:vertAlign w:val="superscript"/>
              </w:rPr>
              <w:t>12</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CO u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5 000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6 300</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THC u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1 000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1 300</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NMHC u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900</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NH3 u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200</w:t>
            </w:r>
          </w:p>
        </w:tc>
      </w:tr>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FootnoteText"/>
              <w:rPr>
                <w:b/>
                <w:i/>
                <w:noProof/>
                <w:lang w:val="hr-HR"/>
              </w:rPr>
            </w:pPr>
            <w:r w:rsidRPr="009F2503">
              <w:rPr>
                <w:b/>
                <w:i/>
                <w:sz w:val="18"/>
                <w:vertAlign w:val="superscript"/>
                <w:lang w:val="hr-HR"/>
              </w:rPr>
              <w:t>1</w:t>
            </w:r>
            <w:r w:rsidRPr="009F2503">
              <w:rPr>
                <w:b/>
                <w:i/>
                <w:sz w:val="18"/>
                <w:lang w:val="hr-HR"/>
              </w:rPr>
              <w:t xml:space="preserve"> Izmjereno u skladu sa stavkom 5.3.2. Pravilnika UNECE-a br. 85 u slučaju ICEV-ova i PEV-ova ili, u svim drugim slučajevima, izmjereno u skladu s jednim od ispitnih postupaka utvrđenih u stavku 6. Globalnog tehničkog pravilnika UN-a br. 21.</w:t>
            </w: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1291"/>
        <w:gridCol w:w="998"/>
        <w:gridCol w:w="953"/>
        <w:gridCol w:w="953"/>
        <w:gridCol w:w="953"/>
        <w:gridCol w:w="998"/>
        <w:gridCol w:w="963"/>
        <w:gridCol w:w="998"/>
        <w:gridCol w:w="953"/>
      </w:tblGrid>
      <w:tr w:rsidR="00D00FC9" w:rsidRPr="009F2503" w:rsidTr="00605A38">
        <w:tc>
          <w:tcPr>
            <w:tcW w:w="623"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c>
          <w:tcPr>
            <w:tcW w:w="56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p>
        </w:tc>
      </w:tr>
      <w:tr w:rsidR="00D00FC9" w:rsidRPr="009F2503" w:rsidTr="00605A38">
        <w:tc>
          <w:tcPr>
            <w:tcW w:w="4998" w:type="pct"/>
            <w:gridSpan w:val="9"/>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1.: granične vrijednosti emisija ispušnih plinova prema normi Euro 7 za vozila kategorija M1 i N1 s motorom s unutarnjim izgaranjem</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Vozila kategorije M1</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N1 (razred I.)</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 xml:space="preserve">N1 </w:t>
            </w:r>
            <w:r w:rsidRPr="00EA726F">
              <w:rPr>
                <w:b/>
                <w:i/>
              </w:rPr>
              <w:t>(razred II.)</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noProof/>
              </w:rPr>
            </w:pPr>
            <w:r w:rsidRPr="009F2503">
              <w:rPr>
                <w:b/>
                <w:i/>
                <w:sz w:val="22"/>
              </w:rPr>
              <w:t>N1 (razred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Proračun emisija za sve vožnje kraće od 10 km za vozila kategorija M1 i N1</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Proračun emisija za sve vožnje kraće od 10 km za vozila kategorija N1 (razred I.)</w:t>
            </w:r>
          </w:p>
        </w:tc>
        <w:tc>
          <w:tcPr>
            <w:tcW w:w="595"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rPr>
            </w:pPr>
            <w:r w:rsidRPr="009F2503">
              <w:t xml:space="preserve">Proračun emisija za sve vožnje kraće od 10 km za vozila kategorije N1 </w:t>
            </w:r>
            <w:r w:rsidRPr="00EA726F">
              <w:rPr>
                <w:b/>
                <w:i/>
              </w:rPr>
              <w:t>(razred II.)</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Proračun emisija za sve vožnje kraće od 10 km za vozila kategorije N1 (razred III.)</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rPr>
                <w:b/>
                <w:i/>
                <w:sz w:val="22"/>
              </w:rPr>
              <w:t>Masa u voznom stanju (MRO)u kg</w:t>
            </w:r>
          </w:p>
        </w:tc>
        <w:tc>
          <w:tcPr>
            <w:tcW w:w="538"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noProof/>
              </w:rPr>
            </w:pPr>
            <w:r w:rsidRPr="009F2503">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Za vozila kategorije N1 s MRO ≤ 1 280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Za vozila kategorije N1 s 1 280 &lt; MRO ≤ 1 735</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Za vozila kategorije N1 s 1 735 &lt; MRO</w:t>
            </w:r>
          </w:p>
        </w:tc>
        <w:tc>
          <w:tcPr>
            <w:tcW w:w="595"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noProof/>
              </w:rPr>
            </w:pPr>
            <w:r w:rsidRPr="009F2503">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Za vozila kategorije N1 s MRO ≤ 1 280</w:t>
            </w:r>
          </w:p>
        </w:tc>
        <w:tc>
          <w:tcPr>
            <w:tcW w:w="595"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noProof/>
              </w:rPr>
            </w:pPr>
            <w:r w:rsidRPr="009F2503">
              <w:rPr>
                <w:b/>
                <w:i/>
                <w:sz w:val="22"/>
              </w:rPr>
              <w:t>Za vozila kategorije N1 s 1 280 &lt; MRO ≤ 1 735</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Za vozila kategorije N1 s 1 735 &lt; MRO</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Emisije onečišćujućih tvari</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 xml:space="preserve">po km </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po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po km</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po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po vožnji</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sz w:val="22"/>
                <w:szCs w:val="22"/>
              </w:rPr>
            </w:pPr>
            <w:r w:rsidRPr="009F2503">
              <w:rPr>
                <w:sz w:val="22"/>
              </w:rPr>
              <w:t>po vožnji</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po vožnji</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sz w:val="22"/>
                <w:szCs w:val="22"/>
              </w:rPr>
            </w:pPr>
            <w:r w:rsidRPr="009F2503">
              <w:rPr>
                <w:sz w:val="22"/>
              </w:rPr>
              <w:t>po vožnji</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proofErr w:type="spellStart"/>
            <w:r w:rsidRPr="009F2503">
              <w:lastRenderedPageBreak/>
              <w:t>NOx</w:t>
            </w:r>
            <w:proofErr w:type="spellEnd"/>
            <w:r w:rsidRPr="009F2503">
              <w:t xml:space="preserve"> u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820</w:t>
            </w:r>
          </w:p>
        </w:tc>
      </w:tr>
      <w:tr w:rsidR="00D00FC9" w:rsidRPr="009F2503" w:rsidTr="00605A38">
        <w:trPr>
          <w:trHeight w:val="50"/>
        </w:trPr>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PM u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45</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 xml:space="preserve">PN10 u # </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6×10</w:t>
            </w:r>
            <w:r w:rsidRPr="009F2503">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6×10</w:t>
            </w:r>
            <w:r w:rsidRPr="009F2503">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6×10</w:t>
            </w:r>
            <w:r w:rsidRPr="009F2503">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6×10</w:t>
            </w:r>
            <w:r w:rsidRPr="009F2503">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6×10</w:t>
            </w:r>
            <w:r w:rsidRPr="009F2503">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6×10</w:t>
            </w:r>
            <w:r w:rsidRPr="009F2503">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6×10</w:t>
            </w:r>
            <w:r w:rsidRPr="009F2503">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6×10</w:t>
            </w:r>
            <w:r w:rsidRPr="009F2503">
              <w:rPr>
                <w:b/>
                <w:i/>
                <w:sz w:val="22"/>
                <w:vertAlign w:val="superscript"/>
              </w:rPr>
              <w:t>12</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CO u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5 000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5 000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6 300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7 400</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THC u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1 000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1 000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1 300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1 600</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NMHC u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1 080</w:t>
            </w:r>
          </w:p>
        </w:tc>
      </w:tr>
      <w:tr w:rsidR="00D00FC9" w:rsidRPr="009F2503" w:rsidTr="00605A38">
        <w:tc>
          <w:tcPr>
            <w:tcW w:w="62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NH3 u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i/>
                <w:sz w:val="22"/>
                <w:szCs w:val="22"/>
              </w:rPr>
            </w:pPr>
            <w:r w:rsidRPr="009F2503">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200</w:t>
            </w:r>
          </w:p>
        </w:tc>
        <w:tc>
          <w:tcPr>
            <w:tcW w:w="56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noProof/>
                <w:sz w:val="22"/>
              </w:rPr>
            </w:pPr>
            <w:r w:rsidRPr="009F2503">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b/>
                <w:bCs/>
                <w:i/>
                <w:iCs/>
                <w:sz w:val="22"/>
                <w:szCs w:val="22"/>
              </w:rPr>
            </w:pPr>
            <w:r w:rsidRPr="009F2503">
              <w:rPr>
                <w:b/>
                <w:i/>
                <w:sz w:val="22"/>
              </w:rPr>
              <w:t>200</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151</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 – tablica 2.</w:t>
      </w:r>
    </w:p>
    <w:tbl>
      <w:tblPr>
        <w:tblStyle w:val="TableGrid"/>
        <w:tblW w:w="5000" w:type="pct"/>
        <w:tblLook w:val="04A0" w:firstRow="1" w:lastRow="0" w:firstColumn="1" w:lastColumn="0" w:noHBand="0" w:noVBand="1"/>
      </w:tblPr>
      <w:tblGrid>
        <w:gridCol w:w="1536"/>
        <w:gridCol w:w="1692"/>
        <w:gridCol w:w="1943"/>
        <w:gridCol w:w="1943"/>
        <w:gridCol w:w="1946"/>
      </w:tblGrid>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2.: granične vrijednosti emisija ispušnih plinova prema normi Euro 7 za vozila kategorija M2, M3, N2 i N3 s motorom s unutarnjim izgaranjem i motore s unutarnjim izgaranjem koji se koriste u tim vozilima</w:t>
            </w:r>
          </w:p>
        </w:tc>
      </w:tr>
      <w:tr w:rsidR="00D00FC9" w:rsidRPr="009F2503" w:rsidTr="00605A38">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rPr>
                <w:noProof/>
              </w:rPr>
            </w:pPr>
            <w:r w:rsidRPr="009F2503">
              <w:t>Emisije onečišćujućih tvari</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i/>
                <w:noProof/>
              </w:rPr>
            </w:pPr>
            <w:r w:rsidRPr="009F2503">
              <w:rPr>
                <w:b/>
                <w:i/>
              </w:rPr>
              <w:t>Emisije hladnog motora</w:t>
            </w:r>
            <w:r w:rsidRPr="009F2503">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Emisije zagrijanog motora</w:t>
            </w:r>
            <w:r w:rsidRPr="009F2503">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Proračun emisija za sve vožnje kraće od 3 WHTC-a</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Neobvezne granične vrijednosti emisija u praznom hodu</w:t>
            </w:r>
            <w:r w:rsidRPr="009F2503">
              <w:rPr>
                <w:b/>
                <w:i/>
                <w:vertAlign w:val="superscript"/>
              </w:rPr>
              <w:t>3</w:t>
            </w:r>
          </w:p>
        </w:tc>
      </w:tr>
      <w:tr w:rsidR="00D00FC9" w:rsidRPr="009F2503" w:rsidTr="00605A38">
        <w:tc>
          <w:tcPr>
            <w:tcW w:w="0" w:type="auto"/>
            <w:vMerge/>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i/>
                <w:noProof/>
              </w:rPr>
            </w:pPr>
            <w:r w:rsidRPr="009F2503">
              <w:rPr>
                <w:i/>
              </w:rPr>
              <w:t>po kWh</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i/>
                <w:noProof/>
                <w:szCs w:val="24"/>
              </w:rPr>
            </w:pPr>
            <w:r w:rsidRPr="009F2503">
              <w:rPr>
                <w:i/>
              </w:rPr>
              <w:t>po kWh</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2"/>
              </w:rPr>
            </w:pPr>
            <w:r w:rsidRPr="009F2503">
              <w:rPr>
                <w:b/>
                <w:i/>
              </w:rPr>
              <w:t>po kWh</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po satu</w:t>
            </w: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proofErr w:type="spellStart"/>
            <w:r w:rsidRPr="009F2503">
              <w:t>NOx</w:t>
            </w:r>
            <w:proofErr w:type="spellEnd"/>
            <w:r w:rsidRPr="009F2503">
              <w:t xml:space="preserve">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b/>
                <w:i/>
                <w:noProof/>
              </w:rPr>
            </w:pPr>
            <w:r w:rsidRPr="009F2503">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5 000</w:t>
            </w:r>
          </w:p>
        </w:tc>
      </w:tr>
      <w:tr w:rsidR="00D00FC9" w:rsidRPr="009F2503" w:rsidTr="00605A38">
        <w:trPr>
          <w:trHeight w:val="50"/>
        </w:trPr>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PM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b/>
                <w:i/>
                <w:noProof/>
              </w:rPr>
            </w:pPr>
            <w:r w:rsidRPr="009F2503">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8</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PN10 u #</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b/>
                <w:i/>
                <w:noProof/>
              </w:rPr>
            </w:pPr>
            <w:r w:rsidRPr="009F2503">
              <w:rPr>
                <w:b/>
                <w:i/>
              </w:rPr>
              <w:t>5x10</w:t>
            </w:r>
            <w:r w:rsidRPr="009F2503">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2x10</w:t>
            </w:r>
            <w:r w:rsidRPr="009F2503">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3x10</w:t>
            </w:r>
            <w:r w:rsidRPr="009F2503">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CO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b/>
                <w:i/>
                <w:noProof/>
              </w:rPr>
            </w:pPr>
            <w:r w:rsidRPr="009F2503">
              <w:rPr>
                <w:b/>
                <w:i/>
              </w:rPr>
              <w:t>3 500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2 700</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NMOG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b/>
                <w:i/>
                <w:noProof/>
              </w:rPr>
            </w:pPr>
            <w:r w:rsidRPr="009F2503">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NH3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b/>
                <w:i/>
                <w:noProof/>
              </w:rPr>
            </w:pPr>
            <w:r w:rsidRPr="009F2503">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CH4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t>500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N2O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spacing w:line="276" w:lineRule="auto"/>
              <w:jc w:val="center"/>
              <w:rPr>
                <w:noProof/>
              </w:rPr>
            </w:pPr>
            <w:r w:rsidRPr="009F2503">
              <w:t>160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140</w:t>
            </w:r>
          </w:p>
        </w:tc>
        <w:tc>
          <w:tcPr>
            <w:tcW w:w="1083"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noProof/>
              </w:rPr>
            </w:pPr>
          </w:p>
        </w:tc>
      </w:tr>
      <w:tr w:rsidR="00D00FC9" w:rsidRPr="009F2503" w:rsidTr="00605A38">
        <w:tc>
          <w:tcPr>
            <w:tcW w:w="806"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HCHO u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rPr>
            </w:pPr>
            <w:r w:rsidRPr="009F2503">
              <w:t>30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 xml:space="preserve"> </w:t>
            </w:r>
          </w:p>
        </w:tc>
      </w:tr>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FootnoteText"/>
              <w:rPr>
                <w:b/>
                <w:i/>
                <w:lang w:val="hr-HR"/>
              </w:rPr>
            </w:pPr>
            <w:r w:rsidRPr="009F2503">
              <w:rPr>
                <w:b/>
                <w:i/>
                <w:vertAlign w:val="superscript"/>
                <w:lang w:val="hr-HR"/>
              </w:rPr>
              <w:t>1</w:t>
            </w:r>
            <w:r w:rsidRPr="009F2503">
              <w:rPr>
                <w:b/>
                <w:i/>
                <w:lang w:val="hr-HR"/>
              </w:rPr>
              <w:t xml:space="preserve">Emisije hladnog motora odnose se na 100. percentil pomičnih prozora (MW) jednog ciklusa WHTC za vozila ili </w:t>
            </w:r>
            <w:proofErr w:type="spellStart"/>
            <w:r w:rsidRPr="009F2503">
              <w:rPr>
                <w:b/>
                <w:i/>
                <w:lang w:val="hr-HR"/>
              </w:rPr>
              <w:t>WHTCcold</w:t>
            </w:r>
            <w:proofErr w:type="spellEnd"/>
            <w:r w:rsidRPr="009F2503">
              <w:rPr>
                <w:b/>
                <w:i/>
                <w:lang w:val="hr-HR"/>
              </w:rPr>
              <w:t xml:space="preserve"> za motore.</w:t>
            </w:r>
          </w:p>
          <w:p w:rsidR="00D00FC9" w:rsidRPr="009F2503" w:rsidRDefault="00D00FC9" w:rsidP="00605A38">
            <w:pPr>
              <w:pStyle w:val="FootnoteText"/>
              <w:rPr>
                <w:b/>
                <w:i/>
                <w:lang w:val="hr-HR"/>
              </w:rPr>
            </w:pPr>
            <w:r w:rsidRPr="009F2503">
              <w:rPr>
                <w:b/>
                <w:i/>
                <w:vertAlign w:val="superscript"/>
                <w:lang w:val="hr-HR"/>
              </w:rPr>
              <w:t>2</w:t>
            </w:r>
            <w:r w:rsidRPr="009F2503">
              <w:rPr>
                <w:b/>
                <w:i/>
                <w:lang w:val="hr-HR"/>
              </w:rPr>
              <w:t xml:space="preserve">Emisije zagrijanog motora odnose se na 90. percentil pomičnih prozora (MW) jednog ciklusa WHTC za vozila ili </w:t>
            </w:r>
            <w:proofErr w:type="spellStart"/>
            <w:r w:rsidRPr="009F2503">
              <w:rPr>
                <w:b/>
                <w:i/>
                <w:lang w:val="hr-HR"/>
              </w:rPr>
              <w:t>WHTChot</w:t>
            </w:r>
            <w:proofErr w:type="spellEnd"/>
            <w:r w:rsidRPr="009F2503">
              <w:rPr>
                <w:b/>
                <w:i/>
                <w:lang w:val="hr-HR"/>
              </w:rPr>
              <w:t xml:space="preserve"> za motore.</w:t>
            </w:r>
          </w:p>
          <w:p w:rsidR="00D00FC9" w:rsidRPr="009F2503" w:rsidRDefault="00D00FC9" w:rsidP="00605A38">
            <w:pPr>
              <w:rPr>
                <w:b/>
                <w:i/>
                <w:noProof/>
              </w:rPr>
            </w:pPr>
            <w:r w:rsidRPr="009F2503">
              <w:rPr>
                <w:b/>
                <w:i/>
                <w:vertAlign w:val="superscript"/>
              </w:rPr>
              <w:t>3</w:t>
            </w:r>
            <w:r w:rsidRPr="009F2503">
              <w:rPr>
                <w:b/>
                <w:i/>
              </w:rPr>
              <w:t xml:space="preserve"> Primjenjivo samo ako nije prisutan sustav koji automatski isključuje motor nakon 300 sekundi</w:t>
            </w: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1796"/>
        <w:gridCol w:w="3419"/>
        <w:gridCol w:w="3845"/>
      </w:tblGrid>
      <w:tr w:rsidR="00D00FC9" w:rsidRPr="009F2503" w:rsidTr="00605A38">
        <w:tc>
          <w:tcPr>
            <w:tcW w:w="4998" w:type="pct"/>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c>
          <w:tcPr>
            <w:tcW w:w="4998" w:type="pct"/>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2.: granične vrijednosti emisija ispušnih plinova prema normi Euro 7 za vozila kategorija M2, M3, N2 i N3 s motorom s unutarnjim izgaranjem i motore s unutarnjim izgaranjem koji se koriste u tim vozilima</w:t>
            </w:r>
          </w:p>
        </w:tc>
      </w:tr>
      <w:tr w:rsidR="00D00FC9" w:rsidRPr="009F2503" w:rsidTr="00605A38">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rPr>
                <w:noProof/>
              </w:rPr>
            </w:pPr>
            <w:r w:rsidRPr="009F2503">
              <w:t xml:space="preserve">Emisije onečišćujućih </w:t>
            </w:r>
            <w:r w:rsidRPr="009F2503">
              <w:lastRenderedPageBreak/>
              <w:t>tvari</w:t>
            </w:r>
          </w:p>
        </w:tc>
        <w:tc>
          <w:tcPr>
            <w:tcW w:w="1886"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i/>
                <w:noProof/>
              </w:rPr>
            </w:pPr>
            <w:r w:rsidRPr="009F2503">
              <w:rPr>
                <w:b/>
                <w:i/>
              </w:rPr>
              <w:lastRenderedPageBreak/>
              <w:t>WHSC (CI) i WHTC (CI i PI)</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rPr>
            </w:pPr>
            <w:r w:rsidRPr="009F2503">
              <w:rPr>
                <w:b/>
              </w:rPr>
              <w:t>Stvarne emisije tijekom vožnje (RDE)</w:t>
            </w:r>
          </w:p>
        </w:tc>
      </w:tr>
      <w:tr w:rsidR="00D00FC9" w:rsidRPr="009F2503" w:rsidTr="00605A38">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i/>
                <w:noProof/>
              </w:rPr>
            </w:pPr>
            <w:r w:rsidRPr="009F2503">
              <w:rPr>
                <w:i/>
              </w:rPr>
              <w:t>po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i/>
                <w:noProof/>
                <w:szCs w:val="24"/>
              </w:rPr>
            </w:pPr>
            <w:r w:rsidRPr="009F2503">
              <w:rPr>
                <w:i/>
              </w:rPr>
              <w:t>po kWh</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proofErr w:type="spellStart"/>
            <w:r w:rsidRPr="009F2503">
              <w:t>NOx</w:t>
            </w:r>
            <w:proofErr w:type="spellEnd"/>
            <w:r w:rsidRPr="009F2503">
              <w:t xml:space="preserve">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b/>
                <w:i/>
                <w:noProof/>
              </w:rPr>
            </w:pPr>
            <w:r w:rsidRPr="009F2503">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260</w:t>
            </w:r>
          </w:p>
        </w:tc>
      </w:tr>
      <w:tr w:rsidR="00D00FC9" w:rsidRPr="009F2503" w:rsidTr="00605A38">
        <w:trPr>
          <w:trHeight w:val="50"/>
        </w:trPr>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PM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b/>
                <w:i/>
                <w:noProof/>
              </w:rPr>
            </w:pPr>
            <w:r w:rsidRPr="009F2503">
              <w:rPr>
                <w:b/>
                <w:i/>
              </w:rPr>
              <w:t>8</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10</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PN10 u #</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b/>
                <w:i/>
                <w:noProof/>
              </w:rPr>
            </w:pPr>
            <w:r w:rsidRPr="009F2503">
              <w:rPr>
                <w:b/>
                <w:i/>
              </w:rPr>
              <w:t>6x10</w:t>
            </w:r>
            <w:r w:rsidRPr="009F2503">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7,8x10</w:t>
            </w:r>
            <w:r w:rsidRPr="009F2503">
              <w:rPr>
                <w:b/>
                <w:i/>
                <w:vertAlign w:val="superscript"/>
              </w:rPr>
              <w:t>11</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CO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b/>
                <w:i/>
                <w:noProof/>
              </w:rPr>
            </w:pPr>
            <w:r w:rsidRPr="009F2503">
              <w:rPr>
                <w:b/>
                <w:i/>
              </w:rPr>
              <w:t>1 500</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1 950</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NMOG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b/>
                <w:i/>
                <w:noProof/>
              </w:rPr>
            </w:pPr>
            <w:r w:rsidRPr="009F2503">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98</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NH3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b/>
                <w:i/>
                <w:noProof/>
              </w:rPr>
            </w:pPr>
            <w:r w:rsidRPr="009F2503">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78</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CH4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noProof/>
              </w:rPr>
            </w:pPr>
            <w:r w:rsidRPr="009F2503">
              <w:t>500</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650</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spacing w:line="276" w:lineRule="auto"/>
              <w:rPr>
                <w:noProof/>
              </w:rPr>
            </w:pPr>
            <w:r w:rsidRPr="009F2503">
              <w:t>N2O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line="276" w:lineRule="auto"/>
              <w:jc w:val="center"/>
              <w:rPr>
                <w:noProof/>
              </w:rPr>
            </w:pPr>
            <w:r w:rsidRPr="009F2503">
              <w:t>160</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F20BF" w:rsidP="00DF20BF">
            <w:pPr>
              <w:jc w:val="center"/>
              <w:rPr>
                <w:b/>
                <w:i/>
                <w:noProof/>
              </w:rPr>
            </w:pPr>
            <w:r>
              <w:rPr>
                <w:b/>
                <w:i/>
              </w:rPr>
              <w:t>208</w:t>
            </w:r>
          </w:p>
        </w:tc>
      </w:tr>
      <w:tr w:rsidR="00D00FC9" w:rsidRPr="009F2503" w:rsidTr="00605A38">
        <w:tc>
          <w:tcPr>
            <w:tcW w:w="99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HCHO u mg</w:t>
            </w:r>
          </w:p>
        </w:tc>
        <w:tc>
          <w:tcPr>
            <w:tcW w:w="1886"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jc w:val="center"/>
              <w:rPr>
                <w:noProof/>
              </w:rPr>
            </w:pPr>
            <w:r w:rsidRPr="009F2503">
              <w:t>30</w:t>
            </w:r>
          </w:p>
        </w:tc>
        <w:tc>
          <w:tcPr>
            <w:tcW w:w="2121" w:type="pct"/>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rPr>
            </w:pPr>
            <w:r w:rsidRPr="009F2503">
              <w:rPr>
                <w:b/>
                <w:i/>
              </w:rPr>
              <w:t>39</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152</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 – tablica 4. – naslov</w:t>
      </w:r>
    </w:p>
    <w:tbl>
      <w:tblPr>
        <w:tblStyle w:val="TableGrid"/>
        <w:tblW w:w="0" w:type="auto"/>
        <w:tblLook w:val="04A0" w:firstRow="1" w:lastRow="0" w:firstColumn="1" w:lastColumn="0" w:noHBand="0" w:noVBand="1"/>
      </w:tblPr>
      <w:tblGrid>
        <w:gridCol w:w="4539"/>
        <w:gridCol w:w="4521"/>
      </w:tblGrid>
      <w:tr w:rsidR="00D00FC9" w:rsidRPr="009F2503" w:rsidTr="00605A38">
        <w:tc>
          <w:tcPr>
            <w:tcW w:w="4539" w:type="dxa"/>
          </w:tcPr>
          <w:p w:rsidR="00D00FC9" w:rsidRPr="009F2503" w:rsidRDefault="00D00FC9" w:rsidP="00605A38">
            <w:pPr>
              <w:jc w:val="center"/>
              <w:rPr>
                <w:i/>
                <w:noProof/>
              </w:rPr>
            </w:pPr>
            <w:r w:rsidRPr="009F2503">
              <w:rPr>
                <w:i/>
              </w:rPr>
              <w:t>Tekst koji je predložila Komisija</w:t>
            </w:r>
          </w:p>
        </w:tc>
        <w:tc>
          <w:tcPr>
            <w:tcW w:w="4521" w:type="dxa"/>
          </w:tcPr>
          <w:p w:rsidR="00D00FC9" w:rsidRPr="009F2503" w:rsidRDefault="00D00FC9" w:rsidP="00605A38">
            <w:pPr>
              <w:jc w:val="center"/>
              <w:rPr>
                <w:i/>
                <w:noProof/>
              </w:rPr>
            </w:pPr>
            <w:r w:rsidRPr="009F2503">
              <w:rPr>
                <w:i/>
              </w:rPr>
              <w:t>Izmjena</w:t>
            </w:r>
          </w:p>
        </w:tc>
      </w:tr>
      <w:tr w:rsidR="00D00FC9" w:rsidRPr="009F2503" w:rsidTr="00605A38">
        <w:trPr>
          <w:trHeight w:val="888"/>
        </w:trPr>
        <w:tc>
          <w:tcPr>
            <w:tcW w:w="4539" w:type="dxa"/>
          </w:tcPr>
          <w:p w:rsidR="00D00FC9" w:rsidRPr="009F2503" w:rsidRDefault="00D00FC9" w:rsidP="00605A38">
            <w:r w:rsidRPr="009F2503">
              <w:t>granične vrijednosti emisija čestica iz kočnica prema normi Euro 7 u standardnom voznom ciklusu koje se primjenjuju do 31.12.2034.</w:t>
            </w:r>
          </w:p>
        </w:tc>
        <w:tc>
          <w:tcPr>
            <w:tcW w:w="4521" w:type="dxa"/>
          </w:tcPr>
          <w:p w:rsidR="00D00FC9" w:rsidRPr="009F2503" w:rsidRDefault="00D00FC9" w:rsidP="00605A38">
            <w:r w:rsidRPr="009F2503">
              <w:t xml:space="preserve">granične vrijednosti emisija čestica iz kočnica prema normi Euro 7 u standardnom voznom ciklusu </w:t>
            </w:r>
            <w:r w:rsidRPr="009F2503">
              <w:rPr>
                <w:b/>
                <w:i/>
              </w:rPr>
              <w:t>za motor s unutarnjim izgaranjem</w:t>
            </w:r>
            <w:r w:rsidRPr="009F2503">
              <w:t xml:space="preserve"> koje se primjenjuju do 31.12.2034.</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153</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 – tablica 4.a (nova)</w:t>
      </w:r>
    </w:p>
    <w:tbl>
      <w:tblPr>
        <w:tblStyle w:val="TableGrid"/>
        <w:tblW w:w="5000" w:type="pct"/>
        <w:tblLook w:val="04A0" w:firstRow="1" w:lastRow="0" w:firstColumn="1" w:lastColumn="0" w:noHBand="0" w:noVBand="1"/>
      </w:tblPr>
      <w:tblGrid>
        <w:gridCol w:w="9060"/>
      </w:tblGrid>
      <w:tr w:rsidR="00D00FC9" w:rsidRPr="009F2503" w:rsidTr="00605A38">
        <w:tc>
          <w:tcPr>
            <w:tcW w:w="4998"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rPr>
                <w:b/>
                <w:i/>
              </w:rPr>
              <w:t>Tablica 4.a: Granične vrijednosti emisija čestica iz kočnica prema normi Euro 7 u standardnom voznom ciklusu za potpuno električna vozila, vozila s električnim pogonom na baterije i hibridna električna vozila koje se primjenjuju do 31.12.2029.</w:t>
            </w:r>
            <w:r w:rsidRPr="009F2503">
              <w:rPr>
                <w:i/>
              </w:rPr>
              <w:t xml:space="preserve"> </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9"/>
              <w:ind w:left="107"/>
              <w:jc w:val="center"/>
              <w:rPr>
                <w:b/>
                <w:bCs/>
                <w:i/>
                <w:spacing w:val="-2"/>
                <w:sz w:val="24"/>
                <w:szCs w:val="24"/>
              </w:rPr>
            </w:pPr>
            <w:r w:rsidRPr="009F2503">
              <w:rPr>
                <w:b/>
                <w:i/>
                <w:sz w:val="24"/>
              </w:rPr>
              <w:t>Granične vrijednosti emisija u mg/km po vozilu</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8"/>
              <w:ind w:left="108"/>
              <w:jc w:val="center"/>
              <w:rPr>
                <w:b/>
                <w:bCs/>
                <w:i/>
                <w:spacing w:val="-2"/>
                <w:position w:val="1"/>
                <w:sz w:val="24"/>
                <w:szCs w:val="24"/>
              </w:rPr>
            </w:pPr>
            <w:r w:rsidRPr="009F2503">
              <w:rPr>
                <w:b/>
                <w:i/>
                <w:sz w:val="24"/>
              </w:rPr>
              <w:t>Vozila kategorija M1 i N1</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8"/>
              <w:jc w:val="center"/>
              <w:rPr>
                <w:b/>
                <w:bCs/>
                <w:i/>
                <w:spacing w:val="-2"/>
                <w:position w:val="1"/>
                <w:sz w:val="24"/>
                <w:szCs w:val="24"/>
              </w:rPr>
            </w:pPr>
            <w:r w:rsidRPr="009F2503">
              <w:rPr>
                <w:b/>
                <w:i/>
                <w:sz w:val="24"/>
              </w:rPr>
              <w:t>Vozila kategorija M2 i M3</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8"/>
              <w:jc w:val="center"/>
              <w:rPr>
                <w:b/>
                <w:bCs/>
                <w:i/>
                <w:spacing w:val="-2"/>
                <w:position w:val="1"/>
                <w:sz w:val="24"/>
                <w:szCs w:val="24"/>
              </w:rPr>
            </w:pPr>
            <w:r w:rsidRPr="009F2503">
              <w:rPr>
                <w:b/>
                <w:i/>
                <w:sz w:val="24"/>
              </w:rPr>
              <w:t>Vozila kategorija N2 i N3</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r w:rsidRPr="009F2503">
              <w:rPr>
                <w:b/>
                <w:i/>
              </w:rPr>
              <w:t>Emisije čestica iz kočnica (PM10)</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r w:rsidRPr="009F2503">
              <w:rPr>
                <w:b/>
                <w:i/>
              </w:rPr>
              <w:t>3</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r w:rsidRPr="009F2503">
              <w:rPr>
                <w:b/>
                <w:i/>
                <w:color w:val="auto"/>
              </w:rPr>
              <w:t>Emisije čestica iz kočnica (PN)</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p>
        </w:tc>
      </w:tr>
    </w:tbl>
    <w:p w:rsidR="00D00FC9" w:rsidRPr="009F2503" w:rsidRDefault="00D00FC9" w:rsidP="00D00FC9"/>
    <w:p w:rsidR="00D00FC9" w:rsidRPr="009F2503" w:rsidRDefault="00D00FC9" w:rsidP="00D00FC9">
      <w:pPr>
        <w:pStyle w:val="AmNumberTabs"/>
        <w:keepNext/>
      </w:pPr>
      <w:r w:rsidRPr="009F2503">
        <w:lastRenderedPageBreak/>
        <w:t>Amandman</w:t>
      </w:r>
      <w:r w:rsidRPr="009F2503">
        <w:tab/>
      </w:r>
      <w:r w:rsidRPr="009F2503">
        <w:tab/>
        <w:t>154</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 – tablica 4.b (nova)</w:t>
      </w:r>
    </w:p>
    <w:tbl>
      <w:tblPr>
        <w:tblStyle w:val="TableGrid"/>
        <w:tblW w:w="5000" w:type="pct"/>
        <w:tblLook w:val="04A0" w:firstRow="1" w:lastRow="0" w:firstColumn="1" w:lastColumn="0" w:noHBand="0" w:noVBand="1"/>
      </w:tblPr>
      <w:tblGrid>
        <w:gridCol w:w="9060"/>
      </w:tblGrid>
      <w:tr w:rsidR="00D00FC9" w:rsidRPr="009F2503" w:rsidTr="00605A38">
        <w:tc>
          <w:tcPr>
            <w:tcW w:w="4998"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szCs w:val="24"/>
              </w:rPr>
            </w:pPr>
            <w:r w:rsidRPr="009F2503">
              <w:rPr>
                <w:b/>
                <w:i/>
              </w:rPr>
              <w:t>Tablica 4.b: Granične vrijednosti emisija čestica iz kočnica prema normi Euro 7 u standardnom voznom ciklusu za potpuno električna vozila, vozila s električnim pogonom na baterije i hibridna električna vozila koje se primjenjuju od 1. 1. 2030.</w:t>
            </w:r>
          </w:p>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9"/>
              <w:ind w:left="107"/>
              <w:jc w:val="center"/>
              <w:rPr>
                <w:b/>
                <w:bCs/>
                <w:i/>
                <w:spacing w:val="-2"/>
                <w:sz w:val="24"/>
                <w:szCs w:val="24"/>
              </w:rPr>
            </w:pPr>
            <w:r w:rsidRPr="009F2503">
              <w:rPr>
                <w:b/>
                <w:i/>
                <w:sz w:val="24"/>
              </w:rPr>
              <w:t>Granične vrijednosti emisija u mg/km po vozilu</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8"/>
              <w:ind w:left="108"/>
              <w:jc w:val="center"/>
              <w:rPr>
                <w:b/>
                <w:bCs/>
                <w:i/>
                <w:spacing w:val="-2"/>
                <w:position w:val="1"/>
                <w:sz w:val="24"/>
                <w:szCs w:val="24"/>
              </w:rPr>
            </w:pPr>
            <w:r w:rsidRPr="009F2503">
              <w:rPr>
                <w:b/>
                <w:i/>
                <w:sz w:val="24"/>
              </w:rPr>
              <w:t>Vozila kategorija M1 i N1</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8"/>
              <w:jc w:val="center"/>
              <w:rPr>
                <w:b/>
                <w:bCs/>
                <w:i/>
                <w:spacing w:val="-2"/>
                <w:position w:val="1"/>
                <w:sz w:val="24"/>
                <w:szCs w:val="24"/>
              </w:rPr>
            </w:pPr>
            <w:r w:rsidRPr="009F2503">
              <w:rPr>
                <w:b/>
                <w:i/>
                <w:sz w:val="24"/>
              </w:rPr>
              <w:t>Vozila kategorija M2 i M3</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TableParagraph"/>
              <w:kinsoku w:val="0"/>
              <w:overflowPunct w:val="0"/>
              <w:spacing w:before="118"/>
              <w:jc w:val="center"/>
              <w:rPr>
                <w:b/>
                <w:bCs/>
                <w:i/>
                <w:spacing w:val="-2"/>
                <w:position w:val="1"/>
                <w:sz w:val="24"/>
                <w:szCs w:val="24"/>
              </w:rPr>
            </w:pPr>
            <w:r w:rsidRPr="009F2503">
              <w:rPr>
                <w:b/>
                <w:i/>
                <w:sz w:val="24"/>
              </w:rPr>
              <w:t>Vozila kategorija N2 i N3</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r w:rsidRPr="009F2503">
              <w:rPr>
                <w:b/>
                <w:i/>
              </w:rPr>
              <w:t>Emisije čestica iz kočnica (PM10)</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b/>
                <w:i/>
                <w:szCs w:val="24"/>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r w:rsidRPr="009F2503">
              <w:rPr>
                <w:b/>
                <w:i/>
                <w:color w:val="auto"/>
              </w:rPr>
              <w:t>Emisije čestica iz kočnica (PN)</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pStyle w:val="Default"/>
              <w:jc w:val="center"/>
              <w:rPr>
                <w:b/>
                <w:bCs/>
                <w:i/>
                <w:color w:val="auto"/>
              </w:rPr>
            </w:pP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155</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 – tablica 5.</w:t>
      </w: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i/>
                <w:noProof/>
              </w:rPr>
            </w:pPr>
            <w:r w:rsidRPr="009F2503">
              <w:t>Tablica 5.: granične vrijednosti emisija čestica iz kočnica prema normi Euro 7 koje se primjenjuju od 1.1.2035.</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Granične vrijednosti emisija u mg/km po vozilu</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kategorija M1 i N1</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kategorije M2 i M3</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kategorija N2 i N3</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Emisije čestica iz kočnica (PM10)</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3</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Emisije čestica iz kočnica (PN)</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i/>
                <w:noProof/>
              </w:rPr>
            </w:pPr>
            <w:r w:rsidRPr="009F2503">
              <w:t xml:space="preserve">Tablica 5.: granične vrijednosti emisija čestica iz kočnica prema normi Euro 7 u </w:t>
            </w:r>
            <w:r w:rsidRPr="009F2503">
              <w:rPr>
                <w:b/>
                <w:i/>
              </w:rPr>
              <w:t>standardnom voznom ciklusu za sva vozila</w:t>
            </w:r>
            <w:r w:rsidRPr="009F2503">
              <w:t xml:space="preserve"> koje se primjenjuju do 1.1.2035.</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Granične vrijednosti emisija u mg/km po vozilu</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kategorija M1 i N1</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kategorije M2 i M3</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kategorija N2 i N3</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Emisije čestica iz kočnica (PM10)</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Emisije čestica iz kočnica (PN)</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156</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 – tablica 6.</w:t>
      </w: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Tablica 6.: granične vrijednosti stope abrazije guma prema normi Euro 7 </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Masa gume izgubljena u g/1 000 km</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Gume razreda C1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Gume razreda C2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Gume razreda C3</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Obične gume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Gume za snijeg</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Gume za posebnu uporabu</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Tablica 6.: metoda ispitivanja abrazije guma, granične vrijednosti i vremenski raspored provedbe prema normi Euro 7 </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rPr>
                <w:b/>
                <w:i/>
              </w:rPr>
              <w:t>Broj pravilnika UN-a</w:t>
            </w:r>
          </w:p>
        </w:tc>
        <w:tc>
          <w:tcPr>
            <w:tcW w:w="1000"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after="160"/>
              <w:rPr>
                <w:b/>
                <w:i/>
              </w:rPr>
            </w:pPr>
            <w:r w:rsidRPr="009F2503">
              <w:rPr>
                <w:b/>
                <w:i/>
              </w:rPr>
              <w:t>Predmet</w:t>
            </w:r>
          </w:p>
        </w:tc>
        <w:tc>
          <w:tcPr>
            <w:tcW w:w="1000"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after="160"/>
              <w:rPr>
                <w:b/>
                <w:i/>
              </w:rPr>
            </w:pPr>
            <w:r w:rsidRPr="009F2503">
              <w:rPr>
                <w:b/>
                <w:i/>
              </w:rPr>
              <w:t>Niz izmjena objavljen u SL-u</w:t>
            </w:r>
          </w:p>
        </w:tc>
        <w:tc>
          <w:tcPr>
            <w:tcW w:w="1000"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after="160" w:line="252" w:lineRule="auto"/>
              <w:rPr>
                <w:i/>
              </w:rPr>
            </w:pPr>
            <w:r w:rsidRPr="009F2503">
              <w:rPr>
                <w:b/>
                <w:i/>
              </w:rPr>
              <w:t>Upućivanje na SL</w:t>
            </w:r>
            <w:r w:rsidRPr="009F2503">
              <w:rPr>
                <w:i/>
              </w:rPr>
              <w:t> </w:t>
            </w:r>
          </w:p>
        </w:tc>
        <w:tc>
          <w:tcPr>
            <w:tcW w:w="1000"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spacing w:after="160" w:line="252" w:lineRule="auto"/>
              <w:rPr>
                <w:b/>
                <w:bCs/>
                <w:i/>
              </w:rPr>
            </w:pPr>
            <w:r w:rsidRPr="009F2503">
              <w:rPr>
                <w:b/>
                <w:i/>
              </w:rPr>
              <w:t xml:space="preserve">Područje primjene obuhvaćeno postojećim i budućim pravilnicima UN-ove radne skupine WP.29. </w:t>
            </w:r>
            <w:r w:rsidRPr="009F2503">
              <w:rPr>
                <w:i/>
              </w:rPr>
              <w:t> </w:t>
            </w:r>
          </w:p>
        </w:tc>
      </w:tr>
      <w:tr w:rsidR="00D00FC9" w:rsidRPr="009F2503" w:rsidTr="00605A38">
        <w:tc>
          <w:tcPr>
            <w:tcW w:w="1000"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after="160"/>
              <w:rPr>
                <w:b/>
                <w:i/>
              </w:rPr>
            </w:pPr>
            <w:r w:rsidRPr="009F2503">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after="160"/>
              <w:rPr>
                <w:b/>
                <w:i/>
              </w:rPr>
            </w:pPr>
            <w:r w:rsidRPr="009F2503">
              <w:rPr>
                <w:b/>
                <w:i/>
              </w:rPr>
              <w:t>Gume s obzirom na abraziju </w:t>
            </w:r>
          </w:p>
        </w:tc>
        <w:tc>
          <w:tcPr>
            <w:tcW w:w="1000"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after="160"/>
              <w:rPr>
                <w:b/>
                <w:i/>
              </w:rPr>
            </w:pPr>
            <w:r w:rsidRPr="009F2503">
              <w:rPr>
                <w:b/>
                <w:i/>
              </w:rPr>
              <w:t>Niz izmjena 00 </w:t>
            </w:r>
          </w:p>
        </w:tc>
        <w:tc>
          <w:tcPr>
            <w:tcW w:w="1000" w:type="pct"/>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spacing w:after="160"/>
              <w:rPr>
                <w:b/>
                <w:i/>
              </w:rPr>
            </w:pPr>
            <w:r w:rsidRPr="009F2503">
              <w:rPr>
                <w:rStyle w:val="contentpasted0"/>
                <w:b/>
                <w:i/>
              </w:rPr>
              <w:t>SL L xxx, xx.x.20XX., str. x</w:t>
            </w:r>
            <w:r w:rsidRPr="009F2503">
              <w:rPr>
                <w:b/>
                <w:i/>
              </w:rPr>
              <w:t> </w:t>
            </w:r>
          </w:p>
        </w:tc>
        <w:tc>
          <w:tcPr>
            <w:tcW w:w="1000"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spacing w:after="160"/>
              <w:rPr>
                <w:rStyle w:val="contentpasted0"/>
              </w:rPr>
            </w:pPr>
            <w:r w:rsidRPr="009F2503">
              <w:rPr>
                <w:b/>
                <w:i/>
              </w:rPr>
              <w:t>C1, C2*, C3*</w:t>
            </w:r>
          </w:p>
        </w:tc>
      </w:tr>
      <w:tr w:rsidR="00D00FC9" w:rsidRPr="009F2503" w:rsidTr="00605A38">
        <w:tc>
          <w:tcPr>
            <w:tcW w:w="4998" w:type="pct"/>
            <w:gridSpan w:val="5"/>
            <w:tcBorders>
              <w:top w:val="single" w:sz="4" w:space="0" w:color="auto"/>
              <w:left w:val="single" w:sz="4" w:space="0" w:color="auto"/>
              <w:bottom w:val="single" w:sz="4" w:space="0" w:color="auto"/>
              <w:right w:val="single" w:sz="4" w:space="0" w:color="auto"/>
            </w:tcBorders>
          </w:tcPr>
          <w:p w:rsidR="00D00FC9" w:rsidRPr="009F2503" w:rsidRDefault="00D00FC9" w:rsidP="00605A38">
            <w:pPr>
              <w:spacing w:after="160"/>
              <w:rPr>
                <w:rFonts w:ascii="Calibri" w:eastAsia="Calibri" w:hAnsi="Calibri" w:cs="Calibri"/>
                <w:b/>
                <w:i/>
                <w:sz w:val="22"/>
                <w:szCs w:val="22"/>
              </w:rPr>
            </w:pPr>
            <w:r w:rsidRPr="009F2503">
              <w:rPr>
                <w:b/>
                <w:i/>
              </w:rPr>
              <w:t>* U budućnosti će Ujedinjeni narodi (UN) proširiti razvoj odgovarajuće ispitne metode i graničnih vrijednosti za procjenu učinkovitosti abrazije razreda C2 i C3.</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157</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II. – tablica 1.</w:t>
      </w: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Tablica 1.: minimalni zahtjevi radnog učinka za trajnost baterije prema normi Euro 7 za vozila kategorije M1 </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Minimalni zahtjevi radnog učinka na temelju energije baterije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Od početka životnog vijeka do pet godina ili nakon 100 000 km, ovisno </w:t>
            </w:r>
            <w:r w:rsidRPr="009F2503">
              <w:lastRenderedPageBreak/>
              <w:t>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lastRenderedPageBreak/>
              <w:t xml:space="preserve">Vozila starija od pet godina ili koja su prešla više od 100 000 km i do </w:t>
            </w:r>
            <w:r w:rsidRPr="009F2503">
              <w:lastRenderedPageBreak/>
              <w:t xml:space="preserve">starosti od </w:t>
            </w:r>
            <w:r w:rsidR="007024F3">
              <w:rPr>
                <w:b/>
                <w:i/>
              </w:rPr>
              <w:t>8</w:t>
            </w:r>
            <w:r w:rsidRPr="009F2503">
              <w:t xml:space="preserve"> godina ili prijeđenih </w:t>
            </w:r>
            <w:r w:rsidRPr="00EA726F">
              <w:rPr>
                <w:b/>
                <w:i/>
              </w:rPr>
              <w:t>160 000</w:t>
            </w:r>
            <w:r w:rsidRPr="009F2503">
              <w:t>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lastRenderedPageBreak/>
              <w:t>Vozila do dodatnog životnog vijeka*</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80 %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80 %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70 %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tbl>
      <w:tblPr>
        <w:tblStyle w:val="TableGrid"/>
        <w:tblW w:w="5000" w:type="pct"/>
        <w:tblLook w:val="04A0" w:firstRow="1" w:lastRow="0" w:firstColumn="1" w:lastColumn="0" w:noHBand="0" w:noVBand="1"/>
      </w:tblPr>
      <w:tblGrid>
        <w:gridCol w:w="2265"/>
        <w:gridCol w:w="2265"/>
        <w:gridCol w:w="2265"/>
        <w:gridCol w:w="2265"/>
      </w:tblGrid>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Minimalni zahtjevi radnog učinka na temelju autonomije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Od početka životnog vijeka do pet godina ili nakon 100 000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7024F3">
            <w:pPr>
              <w:rPr>
                <w:noProof/>
              </w:rPr>
            </w:pPr>
            <w:r w:rsidRPr="009F2503">
              <w:t xml:space="preserve">Vozila starija od pet godina ili koja su prešla više od 100 000 km i do starosti od </w:t>
            </w:r>
            <w:r w:rsidR="00C26121">
              <w:rPr>
                <w:b/>
                <w:i/>
              </w:rPr>
              <w:t xml:space="preserve">8 </w:t>
            </w:r>
            <w:r w:rsidRPr="009F2503">
              <w:t xml:space="preserve">godina ili prijeđenih </w:t>
            </w:r>
            <w:r w:rsidRPr="00EA726F">
              <w:rPr>
                <w:b/>
                <w:i/>
              </w:rPr>
              <w:t>160 000</w:t>
            </w:r>
            <w:r w:rsidRPr="009F2503">
              <w:t>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do dodatnog životnog vijeka*</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Tablica 1.: minimalni zahtjevi radnog učinka za trajnost baterije prema normi Euro 7 za vozila kategorije M1 </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Minimalni zahtjevi radnog učinka na temelju energije baterije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Od početka životnog vijeka do pet godina ili nakon 100 000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Vozila starija od pet godina ili koja su prešla više od 100 000 km i do starosti od </w:t>
            </w:r>
            <w:r w:rsidRPr="00EA726F">
              <w:rPr>
                <w:b/>
                <w:i/>
              </w:rPr>
              <w:t>10</w:t>
            </w:r>
            <w:r w:rsidRPr="009F2503">
              <w:t xml:space="preserve"> godina ili prijeđenih </w:t>
            </w:r>
            <w:r w:rsidRPr="00EA726F">
              <w:rPr>
                <w:b/>
                <w:i/>
              </w:rPr>
              <w:t>200 000</w:t>
            </w:r>
            <w:r w:rsidRPr="009F2503">
              <w:t>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do dodatnog životnog vijeka*</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85 %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85 %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75 %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tbl>
      <w:tblPr>
        <w:tblStyle w:val="TableGrid"/>
        <w:tblW w:w="5000" w:type="pct"/>
        <w:tblLook w:val="04A0" w:firstRow="1" w:lastRow="0" w:firstColumn="1" w:lastColumn="0" w:noHBand="0" w:noVBand="1"/>
      </w:tblPr>
      <w:tblGrid>
        <w:gridCol w:w="2265"/>
        <w:gridCol w:w="2265"/>
        <w:gridCol w:w="2265"/>
        <w:gridCol w:w="2265"/>
      </w:tblGrid>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Minimalni zahtjevi radnog učinka na temelju autonomije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Od početka životnog vijeka do pet godina ili nakon 100 000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Vozila starija od pet godina ili koja su prešla više od 100 000 km i do starosti od </w:t>
            </w:r>
            <w:r w:rsidRPr="00EA726F">
              <w:rPr>
                <w:b/>
                <w:i/>
              </w:rPr>
              <w:t>10</w:t>
            </w:r>
            <w:r w:rsidRPr="009F2503">
              <w:t xml:space="preserve"> godina ili prijeđenih </w:t>
            </w:r>
            <w:r w:rsidRPr="00EA726F">
              <w:rPr>
                <w:b/>
                <w:i/>
              </w:rPr>
              <w:t>200 000</w:t>
            </w:r>
            <w:r w:rsidRPr="009F2503">
              <w:t>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do dodatnog životnog vijeka*</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 w:rsidR="00D00FC9" w:rsidRPr="009F2503" w:rsidRDefault="00D00FC9" w:rsidP="00D00FC9">
      <w:pPr>
        <w:pStyle w:val="AmNumberTabs"/>
        <w:keepNext/>
      </w:pPr>
      <w:r w:rsidRPr="009F2503">
        <w:lastRenderedPageBreak/>
        <w:t>Amandman</w:t>
      </w:r>
      <w:r w:rsidRPr="009F2503">
        <w:tab/>
      </w:r>
      <w:r w:rsidRPr="009F2503">
        <w:tab/>
        <w:t>158</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II. – tablica 2.</w:t>
      </w:r>
    </w:p>
    <w:tbl>
      <w:tblPr>
        <w:tblStyle w:val="TableGrid"/>
        <w:tblW w:w="5001" w:type="pct"/>
        <w:tblLook w:val="04A0" w:firstRow="1" w:lastRow="0" w:firstColumn="1" w:lastColumn="0" w:noHBand="0" w:noVBand="1"/>
      </w:tblPr>
      <w:tblGrid>
        <w:gridCol w:w="2210"/>
        <w:gridCol w:w="2211"/>
        <w:gridCol w:w="2209"/>
        <w:gridCol w:w="2432"/>
      </w:tblGrid>
      <w:tr w:rsidR="00D00FC9" w:rsidRPr="009F2503" w:rsidTr="00605A38">
        <w:tc>
          <w:tcPr>
            <w:tcW w:w="4999"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9"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2.: minimalni zahtjevi radnog učinka za trajnost baterije prema normi Euro 7 za vozila kategorije N1</w:t>
            </w:r>
          </w:p>
        </w:tc>
      </w:tr>
      <w:tr w:rsidR="00D00FC9" w:rsidRPr="009F2503" w:rsidTr="00605A38">
        <w:tc>
          <w:tcPr>
            <w:tcW w:w="121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Minimalni zahtjevi radnog učinka na temelju energije baterije</w:t>
            </w:r>
          </w:p>
        </w:tc>
        <w:tc>
          <w:tcPr>
            <w:tcW w:w="1220"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Od početka životnog vijeka do pet godina ili nakon 100 000 km, ovisno o tome što nastupi ranije</w:t>
            </w:r>
          </w:p>
        </w:tc>
        <w:tc>
          <w:tcPr>
            <w:tcW w:w="1219" w:type="pct"/>
            <w:tcBorders>
              <w:top w:val="single" w:sz="4" w:space="0" w:color="auto"/>
              <w:left w:val="single" w:sz="4" w:space="0" w:color="auto"/>
              <w:bottom w:val="single" w:sz="4" w:space="0" w:color="auto"/>
              <w:right w:val="single" w:sz="4" w:space="0" w:color="auto"/>
            </w:tcBorders>
          </w:tcPr>
          <w:p w:rsidR="00D00FC9" w:rsidRPr="009F2503" w:rsidRDefault="00D00FC9" w:rsidP="007024F3">
            <w:pPr>
              <w:rPr>
                <w:noProof/>
              </w:rPr>
            </w:pPr>
            <w:r w:rsidRPr="009F2503">
              <w:t xml:space="preserve">Vozila starija od pet godina ili koja su prešla više od 100 000 km i do starosti od </w:t>
            </w:r>
            <w:r w:rsidR="007024F3">
              <w:rPr>
                <w:b/>
                <w:i/>
              </w:rPr>
              <w:t>8</w:t>
            </w:r>
            <w:r w:rsidR="007024F3" w:rsidRPr="009F2503">
              <w:t xml:space="preserve"> </w:t>
            </w:r>
            <w:r w:rsidRPr="009F2503">
              <w:t xml:space="preserve">godina ili prijeđenih </w:t>
            </w:r>
            <w:r w:rsidRPr="00EA726F">
              <w:rPr>
                <w:b/>
                <w:i/>
              </w:rPr>
              <w:t>160 000</w:t>
            </w:r>
            <w:r w:rsidRPr="009F2503">
              <w:t> km, ovisno o tome što nastupi ranije</w:t>
            </w:r>
          </w:p>
        </w:tc>
        <w:tc>
          <w:tcPr>
            <w:tcW w:w="1342"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do dodatnog životnog vijeka*</w:t>
            </w:r>
          </w:p>
        </w:tc>
      </w:tr>
      <w:tr w:rsidR="00D00FC9" w:rsidRPr="009F2503" w:rsidTr="00605A38">
        <w:tc>
          <w:tcPr>
            <w:tcW w:w="121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20"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75 %</w:t>
            </w:r>
          </w:p>
        </w:tc>
        <w:tc>
          <w:tcPr>
            <w:tcW w:w="121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1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20"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75 %</w:t>
            </w:r>
          </w:p>
        </w:tc>
        <w:tc>
          <w:tcPr>
            <w:tcW w:w="121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tbl>
      <w:tblPr>
        <w:tblStyle w:val="TableGrid"/>
        <w:tblW w:w="5000" w:type="pct"/>
        <w:tblLook w:val="04A0" w:firstRow="1" w:lastRow="0" w:firstColumn="1" w:lastColumn="0" w:noHBand="0" w:noVBand="1"/>
      </w:tblPr>
      <w:tblGrid>
        <w:gridCol w:w="2265"/>
        <w:gridCol w:w="2265"/>
        <w:gridCol w:w="2265"/>
        <w:gridCol w:w="2265"/>
      </w:tblGrid>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Minimalni zahtjevi radnog učinka na temelju autonomije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Od početka životnog vijeka do pet godina ili nakon 100 000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starija od pet godina ili koja su prešla više od 100 000 km i do starosti od osam godina ili prijeđenih 160 000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do dodatnog životnog vijeka*</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00FC9" w:rsidRPr="009F2503" w:rsidTr="00605A38">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2.: minimalni zahtjevi radnog učinka za trajnost baterije prema normi Euro 7 za vozila kategorije N1</w:t>
            </w:r>
          </w:p>
        </w:tc>
      </w:tr>
      <w:tr w:rsidR="00D00FC9" w:rsidRPr="009F2503" w:rsidTr="00605A38">
        <w:trPr>
          <w:trHeight w:val="1698"/>
        </w:trPr>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Minimalni zahtjevi radnog učinka na temelju energije baterije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Od početka životnog vijeka do pet godina ili nakon 100 000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Vozila starija od pet godina ili koja su prešla više od 100 000 km i do starosti od </w:t>
            </w:r>
            <w:r w:rsidRPr="00EA726F">
              <w:rPr>
                <w:b/>
                <w:i/>
              </w:rPr>
              <w:t>10</w:t>
            </w:r>
            <w:r w:rsidRPr="009F2503">
              <w:t xml:space="preserve"> godina ili prijeđenih </w:t>
            </w:r>
            <w:r w:rsidRPr="00EA726F">
              <w:rPr>
                <w:b/>
                <w:i/>
              </w:rPr>
              <w:t>200 000</w:t>
            </w:r>
            <w:r w:rsidRPr="009F2503">
              <w:t>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do dodatnog životnog vijeka*</w:t>
            </w:r>
          </w:p>
        </w:tc>
      </w:tr>
      <w:tr w:rsidR="00D00FC9" w:rsidRPr="009F2503" w:rsidTr="00605A38">
        <w:trPr>
          <w:trHeight w:val="284"/>
        </w:trPr>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80 %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rPr>
          <w:trHeight w:val="291"/>
        </w:trPr>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80 %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i/>
                <w:noProof/>
              </w:rPr>
            </w:pPr>
            <w:r w:rsidRPr="009F2503">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tbl>
      <w:tblPr>
        <w:tblStyle w:val="TableGrid"/>
        <w:tblW w:w="5000" w:type="pct"/>
        <w:tblLook w:val="04A0" w:firstRow="1" w:lastRow="0" w:firstColumn="1" w:lastColumn="0" w:noHBand="0" w:noVBand="1"/>
      </w:tblPr>
      <w:tblGrid>
        <w:gridCol w:w="2265"/>
        <w:gridCol w:w="2265"/>
        <w:gridCol w:w="2265"/>
        <w:gridCol w:w="2265"/>
      </w:tblGrid>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Minimalni zahtjevi radnog učinka na </w:t>
            </w:r>
            <w:r w:rsidRPr="009F2503">
              <w:lastRenderedPageBreak/>
              <w:t>temelju autonomije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lastRenderedPageBreak/>
              <w:t xml:space="preserve">Od početka životnog vijeka do pet godina </w:t>
            </w:r>
            <w:r w:rsidRPr="009F2503">
              <w:lastRenderedPageBreak/>
              <w:t>ili nakon 100 000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lastRenderedPageBreak/>
              <w:t xml:space="preserve">Vozila starija od pet godina ili koja su </w:t>
            </w:r>
            <w:r w:rsidRPr="009F2503">
              <w:lastRenderedPageBreak/>
              <w:t xml:space="preserve">prešla više od 100 000 km i do starosti od </w:t>
            </w:r>
            <w:r w:rsidRPr="00EA726F">
              <w:rPr>
                <w:b/>
                <w:i/>
              </w:rPr>
              <w:t>10</w:t>
            </w:r>
            <w:r w:rsidRPr="009F2503">
              <w:t xml:space="preserve"> godina ili prijeđenih </w:t>
            </w:r>
            <w:r w:rsidRPr="00EA726F">
              <w:rPr>
                <w:b/>
                <w:i/>
              </w:rPr>
              <w:t>200 000</w:t>
            </w:r>
            <w:r w:rsidRPr="009F2503">
              <w:t> km, ovisno o tome što nastupi ranije</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lastRenderedPageBreak/>
              <w:t>Vozila do dodatnog životnog vijeka*</w:t>
            </w: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OVC-HEV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r w:rsidR="00D00FC9" w:rsidRPr="009F2503" w:rsidTr="00605A38">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PEV</w:t>
            </w: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249"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159</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III. – tablica 1.</w:t>
      </w:r>
    </w:p>
    <w:tbl>
      <w:tblPr>
        <w:tblStyle w:val="CV11"/>
        <w:tblW w:w="0" w:type="auto"/>
        <w:tblLook w:val="04A0" w:firstRow="1" w:lastRow="0" w:firstColumn="1" w:lastColumn="0" w:noHBand="0" w:noVBand="1"/>
      </w:tblPr>
      <w:tblGrid>
        <w:gridCol w:w="2768"/>
        <w:gridCol w:w="2811"/>
        <w:gridCol w:w="3481"/>
      </w:tblGrid>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ind w:left="360"/>
              <w:jc w:val="center"/>
              <w:rPr>
                <w:i/>
                <w:noProof/>
              </w:rPr>
            </w:pPr>
            <w:r w:rsidRPr="009F2503">
              <w:rPr>
                <w:i/>
              </w:rPr>
              <w:t>Tekst koji je predložila Komisija</w:t>
            </w:r>
          </w:p>
        </w:tc>
      </w:tr>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szCs w:val="24"/>
              </w:rPr>
            </w:pPr>
            <w:r w:rsidRPr="009F2503">
              <w:t>Tablica 1.: uvjeti za ispitivanje usklađenosti vozila kategorija M1 i N1 s graničnim vrijednostima emisija ispušnih plinova s bilo kojim gorivom i mazivom na tržištu u skladu sa specifikacijama koje je izdao proizvođač vozila</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kern w:val="24"/>
                <w:szCs w:val="24"/>
              </w:rPr>
            </w:pPr>
            <w:r w:rsidRPr="009F2503">
              <w:t>Parametar</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 xml:space="preserve">Uobičajeni uvjeti vožnje </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Prošireni uvjeti vožnje*</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 xml:space="preserve">Divizor za proširene uvjete vožnje </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1,6 1,6 (primjenjuje se na izmjerene emisije samo u razdoblju u kojem se primjenjuje jedan od uvjeta iz ovog stupca)</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Temperatura okoline</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 xml:space="preserve">od 0 °C do 35 °C </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 xml:space="preserve">od </w:t>
            </w:r>
            <w:r w:rsidRPr="00EA726F">
              <w:rPr>
                <w:i/>
              </w:rPr>
              <w:t>-</w:t>
            </w:r>
            <w:r w:rsidRPr="00EA726F">
              <w:rPr>
                <w:b/>
                <w:i/>
              </w:rPr>
              <w:t>10 °C</w:t>
            </w:r>
            <w:r w:rsidRPr="009F2503">
              <w:t xml:space="preserve"> do 0 °C ili od 35 °C do </w:t>
            </w:r>
            <w:r w:rsidRPr="00EA726F">
              <w:rPr>
                <w:b/>
                <w:i/>
              </w:rPr>
              <w:t>45 °C</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kern w:val="24"/>
                <w:szCs w:val="24"/>
              </w:rPr>
            </w:pPr>
            <w:r w:rsidRPr="009F2503">
              <w:t>Maksimalna apsolutna visina</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700 m</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 xml:space="preserve">više od 700 m i manje od </w:t>
            </w:r>
            <w:r w:rsidRPr="00EA726F">
              <w:rPr>
                <w:b/>
                <w:i/>
              </w:rPr>
              <w:t>1 800</w:t>
            </w:r>
            <w:r w:rsidRPr="009F2503">
              <w:t> m</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Maksimalna brzina</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 xml:space="preserve">do 145 km/h </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između 145 i 160 km/h</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Vuča/</w:t>
            </w:r>
            <w:proofErr w:type="spellStart"/>
            <w:r w:rsidRPr="009F2503">
              <w:t>aerodinamičke</w:t>
            </w:r>
            <w:proofErr w:type="spellEnd"/>
            <w:r w:rsidRPr="009F2503">
              <w:t xml:space="preserve"> izmjene</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57"/>
              <w:jc w:val="center"/>
              <w:rPr>
                <w:b/>
                <w:bCs/>
                <w:noProof/>
              </w:rPr>
            </w:pPr>
            <w:r w:rsidRPr="009F2503">
              <w:t>nije dopušteno</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57"/>
              <w:jc w:val="center"/>
              <w:rPr>
                <w:b/>
                <w:bCs/>
                <w:noProof/>
              </w:rPr>
            </w:pPr>
            <w:r w:rsidRPr="009F2503">
              <w:t>dopušteno u skladu sa specifikacijama proizvođača i do regulirane brzine</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kern w:val="24"/>
                <w:szCs w:val="24"/>
              </w:rPr>
            </w:pPr>
            <w:r w:rsidRPr="009F2503">
              <w:t>Pomoćni uređaji</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rFonts w:eastAsiaTheme="minorEastAsia"/>
                <w:noProof/>
                <w:kern w:val="24"/>
              </w:rPr>
            </w:pPr>
            <w:r w:rsidRPr="009F2503">
              <w:t>mogući prema uobičajenoj uporabi</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rFonts w:eastAsiaTheme="minorEastAsia"/>
                <w:noProof/>
                <w:kern w:val="24"/>
              </w:rPr>
            </w:pPr>
            <w:r w:rsidRPr="009F2503">
              <w:t>-</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Najveća prosječna snaga na kotaču u prva 2 km nakon hladnog pokretanja motora</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kern w:val="24"/>
                <w:szCs w:val="24"/>
              </w:rPr>
            </w:pPr>
            <w:r w:rsidRPr="009F2503">
              <w:t>manja od 20 % najveće snage na kotaču</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kern w:val="24"/>
                <w:szCs w:val="24"/>
              </w:rPr>
            </w:pPr>
            <w:r w:rsidRPr="00EA726F">
              <w:rPr>
                <w:b/>
                <w:i/>
              </w:rPr>
              <w:t>veća od</w:t>
            </w:r>
            <w:r w:rsidRPr="009F2503">
              <w:t xml:space="preserve"> 20 % najveće snage na kotaču</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szCs w:val="24"/>
              </w:rPr>
            </w:pPr>
            <w:r w:rsidRPr="009F2503">
              <w:t>Sastav vožnje</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Cs/>
                <w:noProof/>
              </w:rPr>
            </w:pPr>
            <w:r w:rsidRPr="009F2503">
              <w:t>bilo kakvo</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i/>
                <w:noProof/>
              </w:rPr>
            </w:pPr>
            <w:r w:rsidRPr="009F2503">
              <w:rPr>
                <w:b/>
                <w:i/>
              </w:rPr>
              <w:t>-</w:t>
            </w:r>
          </w:p>
        </w:tc>
      </w:tr>
      <w:tr w:rsidR="00D00FC9" w:rsidRPr="009F2503" w:rsidTr="00605A3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kern w:val="24"/>
                <w:szCs w:val="24"/>
              </w:rPr>
            </w:pPr>
            <w:r w:rsidRPr="009F2503">
              <w:t>Najmanja kilometraža</w:t>
            </w:r>
          </w:p>
        </w:tc>
        <w:tc>
          <w:tcPr>
            <w:tcW w:w="281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10 000 km</w:t>
            </w:r>
          </w:p>
        </w:tc>
        <w:tc>
          <w:tcPr>
            <w:tcW w:w="348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između 3 000 i 10 000 km</w:t>
            </w:r>
          </w:p>
        </w:tc>
      </w:tr>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rPr>
                <w:b/>
                <w:i/>
                <w:noProof/>
                <w:sz w:val="20"/>
              </w:rPr>
            </w:pPr>
            <w:r w:rsidRPr="009F2503">
              <w:rPr>
                <w:b/>
                <w:i/>
                <w:sz w:val="20"/>
              </w:rPr>
              <w:t xml:space="preserve">* Ista strategija kontrole emisija primjenjuje se kad vozilo vozi izvan tih uvjeta, osim ako postoji tehnički razlog koji je odobrilo </w:t>
            </w:r>
            <w:proofErr w:type="spellStart"/>
            <w:r w:rsidRPr="009F2503">
              <w:rPr>
                <w:b/>
                <w:i/>
                <w:sz w:val="20"/>
              </w:rPr>
              <w:t>homologacijsko</w:t>
            </w:r>
            <w:proofErr w:type="spellEnd"/>
            <w:r w:rsidRPr="009F2503">
              <w:rPr>
                <w:b/>
                <w:i/>
                <w:sz w:val="20"/>
              </w:rPr>
              <w:t xml:space="preserve"> tijelo.</w:t>
            </w:r>
          </w:p>
        </w:tc>
      </w:tr>
    </w:tbl>
    <w:p w:rsidR="00D00FC9" w:rsidRPr="009F2503" w:rsidRDefault="00D00FC9" w:rsidP="00D00FC9">
      <w:pPr>
        <w:pStyle w:val="AmOrLang"/>
      </w:pPr>
    </w:p>
    <w:tbl>
      <w:tblPr>
        <w:tblStyle w:val="CV11"/>
        <w:tblW w:w="0" w:type="auto"/>
        <w:tblLook w:val="04A0" w:firstRow="1" w:lastRow="0" w:firstColumn="1" w:lastColumn="0" w:noHBand="0" w:noVBand="1"/>
      </w:tblPr>
      <w:tblGrid>
        <w:gridCol w:w="2763"/>
        <w:gridCol w:w="2832"/>
        <w:gridCol w:w="3465"/>
      </w:tblGrid>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00FC9" w:rsidRPr="009F2503" w:rsidRDefault="00D00FC9" w:rsidP="00605A38">
            <w:pPr>
              <w:ind w:left="360"/>
              <w:jc w:val="center"/>
              <w:rPr>
                <w:i/>
                <w:noProof/>
              </w:rPr>
            </w:pPr>
            <w:r w:rsidRPr="009F2503">
              <w:rPr>
                <w:i/>
              </w:rPr>
              <w:t>Izmjena</w:t>
            </w:r>
          </w:p>
        </w:tc>
      </w:tr>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szCs w:val="24"/>
              </w:rPr>
            </w:pPr>
            <w:r w:rsidRPr="009F2503">
              <w:t xml:space="preserve">Tablica 1.: uvjeti za ispitivanje usklađenosti vozila kategorija M1 i N1 s graničnim vrijednostima emisija ispušnih plinova s bilo kojim gorivom i mazivom na tržištu u skladu </w:t>
            </w:r>
            <w:r w:rsidRPr="009F2503">
              <w:lastRenderedPageBreak/>
              <w:t>sa specifikacijama koje je izdao proizvođač vozila</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noProof/>
                <w:kern w:val="24"/>
                <w:szCs w:val="24"/>
              </w:rPr>
            </w:pPr>
            <w:r w:rsidRPr="009F2503">
              <w:rPr>
                <w:b/>
              </w:rPr>
              <w:lastRenderedPageBreak/>
              <w:t>Parametar</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rPr>
                <w:b/>
              </w:rPr>
              <w:t xml:space="preserve">Uobičajeni uvjeti vožnje </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Prošireni uvjeti vožnje</w:t>
            </w:r>
            <w:r w:rsidRPr="009F2503">
              <w:rPr>
                <w:b/>
                <w:i/>
                <w:vertAlign w:val="superscript"/>
              </w:rPr>
              <w:t>1</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 xml:space="preserve">Divizor za proširene uvjete vožnje </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3D6A3A">
            <w:pPr>
              <w:widowControl/>
              <w:rPr>
                <w:b/>
                <w:bCs/>
                <w:noProof/>
                <w:szCs w:val="24"/>
              </w:rPr>
            </w:pPr>
            <w:r w:rsidRPr="009F2503">
              <w:t xml:space="preserve">1,6 (primjenjuje se na izmjerene emisije samo u razdoblju u kojem se primjenjuje jedan od uvjeta iz ovog stupca), </w:t>
            </w:r>
            <w:r w:rsidRPr="00EA726F">
              <w:rPr>
                <w:b/>
                <w:i/>
              </w:rPr>
              <w:t>podaci prikupljeni dok se primjenjuje više uvjeta iz ovog stupca isključuju se iz ispitivanja</w:t>
            </w:r>
            <w:bookmarkStart w:id="8" w:name="_GoBack"/>
            <w:bookmarkEnd w:id="8"/>
            <w:r w:rsidRPr="00EA726F">
              <w:rPr>
                <w:b/>
                <w:i/>
              </w:rPr>
              <w:t>.</w:t>
            </w:r>
            <w:r w:rsidRPr="007024F3">
              <w:rPr>
                <w:b/>
                <w:i/>
              </w:rPr>
              <w:t xml:space="preserve"> </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Temperatura okoline</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 xml:space="preserve">od 0 °C do 35 °C </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 xml:space="preserve">od </w:t>
            </w:r>
            <w:r w:rsidRPr="00EA726F">
              <w:rPr>
                <w:b/>
                <w:i/>
              </w:rPr>
              <w:t>–7 °C</w:t>
            </w:r>
            <w:r w:rsidRPr="009F2503">
              <w:t xml:space="preserve"> do 0 °C ili od 35 °C do </w:t>
            </w:r>
            <w:r w:rsidRPr="00EA726F">
              <w:rPr>
                <w:b/>
                <w:i/>
              </w:rPr>
              <w:t>38 °C</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kern w:val="24"/>
                <w:szCs w:val="24"/>
              </w:rPr>
            </w:pPr>
            <w:r w:rsidRPr="009F2503">
              <w:t>Maksimalna apsolutna visina</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700 m</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 xml:space="preserve">više od 700 m i manje od </w:t>
            </w:r>
            <w:r w:rsidRPr="00EA726F">
              <w:rPr>
                <w:b/>
                <w:i/>
              </w:rPr>
              <w:t>1 300</w:t>
            </w:r>
            <w:r w:rsidRPr="009F2503">
              <w:t> m</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Maksimalna brzina</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 xml:space="preserve">do 145 km/h </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bCs/>
                <w:noProof/>
              </w:rPr>
            </w:pPr>
            <w:r w:rsidRPr="009F2503">
              <w:t>između 145 i 160 km/h</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Vuča/</w:t>
            </w:r>
            <w:proofErr w:type="spellStart"/>
            <w:r w:rsidRPr="009F2503">
              <w:t>aerodinamičke</w:t>
            </w:r>
            <w:proofErr w:type="spellEnd"/>
            <w:r w:rsidRPr="009F2503">
              <w:t xml:space="preserve"> izmjene</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57"/>
              <w:jc w:val="center"/>
              <w:rPr>
                <w:b/>
                <w:bCs/>
                <w:noProof/>
              </w:rPr>
            </w:pPr>
            <w:r w:rsidRPr="009F2503">
              <w:t>nije dopušteno</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57"/>
              <w:jc w:val="center"/>
              <w:rPr>
                <w:b/>
                <w:bCs/>
                <w:noProof/>
              </w:rPr>
            </w:pPr>
            <w:r w:rsidRPr="009F2503">
              <w:t>dopušteno u skladu sa specifikacijama proizvođača i do regulirane brzine</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kern w:val="24"/>
                <w:szCs w:val="24"/>
              </w:rPr>
            </w:pPr>
            <w:r w:rsidRPr="009F2503">
              <w:t>Pomoćni uređaji</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rFonts w:eastAsiaTheme="minorEastAsia"/>
                <w:noProof/>
                <w:kern w:val="24"/>
              </w:rPr>
            </w:pPr>
            <w:r w:rsidRPr="009F2503">
              <w:t>mogući prema uobičajenoj uporabi</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rFonts w:eastAsiaTheme="minorEastAsia"/>
                <w:noProof/>
                <w:kern w:val="24"/>
              </w:rPr>
            </w:pPr>
            <w:r w:rsidRPr="009F2503">
              <w:t>-</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noProof/>
                <w:szCs w:val="24"/>
              </w:rPr>
            </w:pPr>
            <w:r w:rsidRPr="009F2503">
              <w:t>Najveća prosječna snaga na kotaču u prva 2 km nakon hladnog pokretanja motora</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kern w:val="24"/>
                <w:szCs w:val="24"/>
              </w:rPr>
            </w:pPr>
            <w:r w:rsidRPr="009F2503">
              <w:t>manja od 20 % najveće snage na kotaču</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noProof/>
                <w:kern w:val="24"/>
                <w:szCs w:val="24"/>
              </w:rPr>
            </w:pPr>
            <w:r w:rsidRPr="00EA726F">
              <w:rPr>
                <w:b/>
                <w:i/>
              </w:rPr>
              <w:t>između</w:t>
            </w:r>
            <w:r w:rsidRPr="009F2503">
              <w:t xml:space="preserve"> 20 % </w:t>
            </w:r>
            <w:r w:rsidRPr="00EA726F">
              <w:rPr>
                <w:b/>
                <w:i/>
              </w:rPr>
              <w:t>i 30 %</w:t>
            </w:r>
            <w:r w:rsidRPr="009F2503">
              <w:t xml:space="preserve"> najveće snage na kotaču </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szCs w:val="24"/>
              </w:rPr>
            </w:pPr>
            <w:r w:rsidRPr="009F2503">
              <w:t>Sastav vožnje</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widowControl/>
              <w:jc w:val="center"/>
              <w:rPr>
                <w:bCs/>
                <w:noProof/>
                <w:szCs w:val="24"/>
              </w:rPr>
            </w:pPr>
            <w:r w:rsidRPr="009F2503">
              <w:t>bilo koji</w:t>
            </w:r>
            <w:r w:rsidRPr="00EA726F">
              <w:rPr>
                <w:i/>
              </w:rPr>
              <w:t xml:space="preserve">, </w:t>
            </w:r>
            <w:r w:rsidRPr="00EA726F">
              <w:rPr>
                <w:b/>
                <w:i/>
              </w:rPr>
              <w:t>prema uobičajenoj uporabi</w:t>
            </w:r>
            <w:r w:rsidRPr="00EA726F">
              <w:rPr>
                <w:b/>
                <w:i/>
                <w:vertAlign w:val="superscript"/>
              </w:rPr>
              <w:t>2</w:t>
            </w:r>
            <w:r w:rsidRPr="00EA726F">
              <w:rPr>
                <w:b/>
                <w:i/>
              </w:rPr>
              <w:t xml:space="preserve"> i isključujući pristranu vožnju</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widowControl/>
              <w:jc w:val="center"/>
              <w:rPr>
                <w:b/>
                <w:i/>
                <w:szCs w:val="24"/>
              </w:rPr>
            </w:pPr>
            <w:r w:rsidRPr="009F2503">
              <w:rPr>
                <w:b/>
                <w:i/>
              </w:rPr>
              <w:t>bilo koji, prema uobičajenoj uporabi</w:t>
            </w:r>
            <w:r w:rsidRPr="009F2503">
              <w:rPr>
                <w:b/>
                <w:i/>
                <w:vertAlign w:val="superscript"/>
              </w:rPr>
              <w:t>2</w:t>
            </w:r>
            <w:r w:rsidRPr="009F2503">
              <w:rPr>
                <w:b/>
                <w:i/>
              </w:rPr>
              <w:t xml:space="preserve"> i isključujući pristranu vožnju</w:t>
            </w:r>
          </w:p>
        </w:tc>
      </w:tr>
      <w:tr w:rsidR="00D00FC9" w:rsidRPr="009F2503" w:rsidTr="00605A3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noProof/>
                <w:kern w:val="24"/>
                <w:szCs w:val="24"/>
              </w:rPr>
            </w:pPr>
            <w:r w:rsidRPr="009F2503">
              <w:t>Najmanja kilometraža</w:t>
            </w:r>
          </w:p>
        </w:tc>
        <w:tc>
          <w:tcPr>
            <w:tcW w:w="2832"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10 000 km</w:t>
            </w:r>
          </w:p>
        </w:tc>
        <w:tc>
          <w:tcPr>
            <w:tcW w:w="3465"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noProof/>
                <w:kern w:val="24"/>
              </w:rPr>
            </w:pPr>
            <w:r w:rsidRPr="009F2503">
              <w:t>između 3 000 i 10 000 km</w:t>
            </w:r>
          </w:p>
        </w:tc>
      </w:tr>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rPr>
                <w:b/>
                <w:bCs/>
                <w:i/>
                <w:noProof/>
                <w:sz w:val="20"/>
              </w:rPr>
            </w:pPr>
            <w:r w:rsidRPr="009F2503">
              <w:rPr>
                <w:b/>
                <w:i/>
                <w:sz w:val="20"/>
                <w:vertAlign w:val="superscript"/>
              </w:rPr>
              <w:t>1</w:t>
            </w:r>
            <w:r w:rsidRPr="009F2503">
              <w:rPr>
                <w:b/>
                <w:i/>
                <w:sz w:val="20"/>
              </w:rPr>
              <w:t xml:space="preserve"> Dopuštena je samo kombinacija dvaju proširenih uvjeta temperature i visine.</w:t>
            </w:r>
          </w:p>
          <w:p w:rsidR="00D00FC9" w:rsidRPr="009F2503" w:rsidRDefault="00D00FC9" w:rsidP="00605A38">
            <w:pPr>
              <w:jc w:val="both"/>
              <w:rPr>
                <w:b/>
                <w:bCs/>
                <w:i/>
                <w:noProof/>
              </w:rPr>
            </w:pPr>
            <w:r w:rsidRPr="009F2503">
              <w:rPr>
                <w:b/>
                <w:i/>
                <w:sz w:val="20"/>
                <w:vertAlign w:val="superscript"/>
              </w:rPr>
              <w:t xml:space="preserve">2 </w:t>
            </w:r>
            <w:r w:rsidRPr="009F2503">
              <w:rPr>
                <w:b/>
                <w:i/>
                <w:sz w:val="20"/>
              </w:rPr>
              <w:t>Pri uobičajenoj uporabi odnosi se na dinamiku vožnje utvrđenu u Prilogu 9. Pravilniku UN-a br. 168.</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160</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III. – tablica 2.</w:t>
      </w:r>
    </w:p>
    <w:tbl>
      <w:tblPr>
        <w:tblStyle w:val="CV11"/>
        <w:tblW w:w="0" w:type="auto"/>
        <w:tblLook w:val="04A0" w:firstRow="1" w:lastRow="0" w:firstColumn="1" w:lastColumn="0" w:noHBand="0" w:noVBand="1"/>
      </w:tblPr>
      <w:tblGrid>
        <w:gridCol w:w="2319"/>
        <w:gridCol w:w="3333"/>
        <w:gridCol w:w="3408"/>
      </w:tblGrid>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ind w:left="360"/>
              <w:jc w:val="center"/>
              <w:rPr>
                <w:i/>
                <w:noProof/>
              </w:rPr>
            </w:pPr>
            <w:r w:rsidRPr="009F2503">
              <w:rPr>
                <w:i/>
              </w:rPr>
              <w:t>Tekst koji je predložila Komisija</w:t>
            </w:r>
          </w:p>
        </w:tc>
      </w:tr>
      <w:tr w:rsidR="00D00FC9" w:rsidRPr="009F2503" w:rsidTr="00605A38">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rPr>
                <w:rFonts w:eastAsiaTheme="minorEastAsia"/>
                <w:noProof/>
                <w:kern w:val="24"/>
                <w:szCs w:val="24"/>
              </w:rPr>
            </w:pPr>
            <w:r w:rsidRPr="009F2503">
              <w:t>Tablica 2.: uvjeti za ispitivanje usklađenosti vozila kategorija M2, M3, N2 i N3 s graničnim vrijednostima emisija ispušnih plinova s bilo kojim gorivom i mazivom na tržištu u skladu sa specifikacijama koje je izdao proizvođač vozila</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Parametar</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i/>
                <w:noProof/>
                <w:kern w:val="24"/>
              </w:rPr>
            </w:pPr>
            <w:r w:rsidRPr="009F2503">
              <w:rPr>
                <w:b/>
                <w:i/>
              </w:rPr>
              <w:t xml:space="preserve">Uobičajeni uvjeti vožnje </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ind w:left="360"/>
              <w:jc w:val="center"/>
              <w:rPr>
                <w:b/>
                <w:i/>
                <w:noProof/>
                <w:kern w:val="24"/>
              </w:rPr>
            </w:pPr>
            <w:r w:rsidRPr="009F2503">
              <w:rPr>
                <w:b/>
                <w:i/>
              </w:rPr>
              <w:t>Prošireni uvjeti vožnje*</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i/>
                <w:noProof/>
                <w:szCs w:val="24"/>
              </w:rPr>
            </w:pPr>
            <w:r w:rsidRPr="009F2503">
              <w:rPr>
                <w:b/>
                <w:i/>
              </w:rPr>
              <w:t>Divizor za proširene uvjete vožnje</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t>-</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t>2 (primjenjuje se na izmjerene emisije samo u razdoblju u kojem se primjenjuje jedan od uvjeta iz ovog stupca)</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rFonts w:eastAsiaTheme="minorEastAsia"/>
                <w:b/>
                <w:i/>
                <w:noProof/>
                <w:kern w:val="24"/>
                <w:szCs w:val="24"/>
              </w:rPr>
            </w:pPr>
            <w:r w:rsidRPr="009F2503">
              <w:rPr>
                <w:b/>
                <w:i/>
              </w:rPr>
              <w:t>Temperatura okoline</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od -7 °C do 35 °C</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od –10 °C do -7 °C ili od 35 °C do 45 °C</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i/>
                <w:noProof/>
                <w:szCs w:val="24"/>
              </w:rPr>
            </w:pPr>
            <w:r w:rsidRPr="009F2503">
              <w:rPr>
                <w:b/>
                <w:i/>
              </w:rPr>
              <w:t xml:space="preserve">Maksimalna </w:t>
            </w:r>
            <w:r w:rsidRPr="009F2503">
              <w:rPr>
                <w:b/>
                <w:i/>
              </w:rPr>
              <w:lastRenderedPageBreak/>
              <w:t>apsolutna visina</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lastRenderedPageBreak/>
              <w:t>1 600 m</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t>od 1 600 do 1 800 m</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rFonts w:eastAsiaTheme="minorEastAsia"/>
                <w:b/>
                <w:i/>
                <w:noProof/>
                <w:kern w:val="24"/>
                <w:szCs w:val="24"/>
              </w:rPr>
            </w:pPr>
            <w:r w:rsidRPr="009F2503">
              <w:rPr>
                <w:b/>
                <w:i/>
              </w:rPr>
              <w:t>Vuča/</w:t>
            </w:r>
            <w:proofErr w:type="spellStart"/>
            <w:r w:rsidRPr="009F2503">
              <w:rPr>
                <w:b/>
                <w:i/>
              </w:rPr>
              <w:t>aerodinamičke</w:t>
            </w:r>
            <w:proofErr w:type="spellEnd"/>
            <w:r w:rsidRPr="009F2503">
              <w:rPr>
                <w:b/>
                <w:i/>
              </w:rPr>
              <w:t xml:space="preserve"> izmjene</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nije dopušteno</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 xml:space="preserve">dopušteno u skladu sa specifikacijama proizvođača i do regulirane brzine </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rFonts w:eastAsiaTheme="minorEastAsia"/>
                <w:b/>
                <w:i/>
                <w:noProof/>
                <w:kern w:val="24"/>
                <w:szCs w:val="24"/>
              </w:rPr>
            </w:pPr>
            <w:r w:rsidRPr="009F2503">
              <w:rPr>
                <w:b/>
                <w:i/>
              </w:rPr>
              <w:t>Korisni teret vozila</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veći ili jednak 10 %</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manji od 10 %</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rFonts w:eastAsiaTheme="minorEastAsia"/>
                <w:b/>
                <w:i/>
                <w:noProof/>
                <w:kern w:val="24"/>
                <w:szCs w:val="24"/>
              </w:rPr>
            </w:pPr>
            <w:r w:rsidRPr="009F2503">
              <w:rPr>
                <w:b/>
                <w:i/>
              </w:rPr>
              <w:t>Pomoćni uređaji</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mogući prema uobičajenoj uporabi</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i/>
                <w:noProof/>
                <w:szCs w:val="24"/>
              </w:rPr>
            </w:pPr>
            <w:r w:rsidRPr="009F2503">
              <w:rPr>
                <w:b/>
                <w:i/>
              </w:rPr>
              <w:t>Opterećenje motora s unutarnjim izgaranjem pri hladnom pokretanju</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t>bilo kakvo</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t>-</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b/>
                <w:i/>
                <w:noProof/>
                <w:szCs w:val="24"/>
              </w:rPr>
            </w:pPr>
            <w:r w:rsidRPr="009F2503">
              <w:rPr>
                <w:b/>
                <w:i/>
              </w:rPr>
              <w:t>Sastav vožnje</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t xml:space="preserve">prema uobičajenoj uporabi </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szCs w:val="24"/>
              </w:rPr>
            </w:pPr>
            <w:r w:rsidRPr="009F2503">
              <w:rPr>
                <w:b/>
                <w:i/>
              </w:rPr>
              <w:t>-</w:t>
            </w:r>
          </w:p>
        </w:tc>
      </w:tr>
      <w:tr w:rsidR="00D00FC9" w:rsidRPr="009F2503" w:rsidTr="00605A3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00FC9" w:rsidRPr="009F2503" w:rsidRDefault="00D00FC9" w:rsidP="00605A38">
            <w:pPr>
              <w:jc w:val="center"/>
              <w:rPr>
                <w:rFonts w:eastAsiaTheme="minorEastAsia"/>
                <w:b/>
                <w:i/>
                <w:noProof/>
                <w:kern w:val="24"/>
                <w:szCs w:val="24"/>
              </w:rPr>
            </w:pPr>
            <w:r w:rsidRPr="009F2503">
              <w:rPr>
                <w:b/>
                <w:i/>
              </w:rPr>
              <w:t>Najmanja kilometraža</w:t>
            </w:r>
          </w:p>
        </w:tc>
        <w:tc>
          <w:tcPr>
            <w:tcW w:w="333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5 000 km za &lt; 16 t najveće tehnički dopuštene mase opterećenog vozila (TPMLM)</w:t>
            </w:r>
            <w:r w:rsidRPr="009F2503">
              <w:rPr>
                <w:b/>
                <w:i/>
              </w:rPr>
              <w:br/>
              <w:t>10 000 km za &gt; 16 t TPMLM-a</w:t>
            </w:r>
          </w:p>
        </w:tc>
        <w:tc>
          <w:tcPr>
            <w:tcW w:w="340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jc w:val="center"/>
              <w:rPr>
                <w:b/>
                <w:i/>
                <w:noProof/>
                <w:kern w:val="24"/>
                <w:szCs w:val="24"/>
              </w:rPr>
            </w:pPr>
            <w:r w:rsidRPr="009F2503">
              <w:rPr>
                <w:b/>
                <w:i/>
              </w:rPr>
              <w:t>od 3 000 km do 5 000 km za &lt; 16 t TPMLM-a</w:t>
            </w:r>
            <w:r w:rsidRPr="009F2503">
              <w:rPr>
                <w:b/>
                <w:i/>
              </w:rPr>
              <w:br/>
              <w:t>od 3 000 km do 10 000 km za &gt; 16 t TPMLM-a</w:t>
            </w:r>
          </w:p>
        </w:tc>
      </w:tr>
    </w:tbl>
    <w:p w:rsidR="00D00FC9" w:rsidRPr="009F2503" w:rsidRDefault="00D00FC9" w:rsidP="00D00FC9">
      <w:pPr>
        <w:pStyle w:val="AmOrLang"/>
      </w:pPr>
    </w:p>
    <w:p w:rsidR="00D00FC9" w:rsidRPr="009F2503" w:rsidRDefault="00D00FC9" w:rsidP="00D00FC9">
      <w:pPr>
        <w:pStyle w:val="AmOrLang"/>
      </w:pPr>
    </w:p>
    <w:tbl>
      <w:tblPr>
        <w:tblStyle w:val="CV11"/>
        <w:tblW w:w="0" w:type="auto"/>
        <w:tblLook w:val="04A0" w:firstRow="1" w:lastRow="0" w:firstColumn="1" w:lastColumn="0" w:noHBand="0" w:noVBand="1"/>
      </w:tblPr>
      <w:tblGrid>
        <w:gridCol w:w="4376"/>
        <w:gridCol w:w="4684"/>
      </w:tblGrid>
      <w:tr w:rsidR="00D00FC9" w:rsidRPr="009F2503" w:rsidTr="00605A38">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00FC9" w:rsidRPr="009F2503" w:rsidRDefault="00D00FC9" w:rsidP="00605A38">
            <w:pPr>
              <w:ind w:left="360"/>
              <w:jc w:val="center"/>
              <w:rPr>
                <w:i/>
                <w:noProof/>
              </w:rPr>
            </w:pPr>
            <w:r w:rsidRPr="009F2503">
              <w:rPr>
                <w:i/>
              </w:rPr>
              <w:t>Izmjena</w:t>
            </w:r>
          </w:p>
        </w:tc>
      </w:tr>
      <w:tr w:rsidR="00D00FC9" w:rsidRPr="009F2503" w:rsidTr="00605A38">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00FC9" w:rsidRPr="009F2503" w:rsidRDefault="00D00FC9" w:rsidP="00605A38">
            <w:pPr>
              <w:rPr>
                <w:rFonts w:eastAsiaTheme="minorEastAsia"/>
                <w:noProof/>
                <w:kern w:val="24"/>
                <w:szCs w:val="24"/>
              </w:rPr>
            </w:pPr>
            <w:r w:rsidRPr="009F2503">
              <w:t>Tablica 2.: uvjeti za ispitivanje usklađenosti vozila kategorija M2, M3, N2 i N3 s graničnim vrijednostima emisija ispušnih plinova s bilo kojim gorivom i mazivom na tržištu u skladu sa specifikacijama koje je izdao proizvođač vozila</w:t>
            </w:r>
          </w:p>
        </w:tc>
      </w:tr>
      <w:tr w:rsidR="00D00FC9" w:rsidRPr="009F2503" w:rsidTr="00605A38">
        <w:trPr>
          <w:trHeight w:val="312"/>
        </w:trPr>
        <w:tc>
          <w:tcPr>
            <w:tcW w:w="4376" w:type="dxa"/>
            <w:tcBorders>
              <w:top w:val="single" w:sz="4" w:space="0" w:color="auto"/>
              <w:left w:val="single" w:sz="4" w:space="0" w:color="auto"/>
              <w:bottom w:val="single" w:sz="4" w:space="0" w:color="auto"/>
              <w:right w:val="single" w:sz="4" w:space="0" w:color="auto"/>
            </w:tcBorders>
          </w:tcPr>
          <w:p w:rsidR="00D00FC9" w:rsidRPr="009F2503" w:rsidRDefault="00D00FC9" w:rsidP="00605A38">
            <w:pPr>
              <w:spacing w:before="60" w:after="60"/>
              <w:jc w:val="center"/>
              <w:rPr>
                <w:b/>
                <w:bCs/>
                <w:i/>
                <w:sz w:val="22"/>
                <w:szCs w:val="22"/>
              </w:rPr>
            </w:pPr>
            <w:r w:rsidRPr="009F2503">
              <w:rPr>
                <w:b/>
                <w:i/>
                <w:sz w:val="22"/>
              </w:rPr>
              <w:t>Laboratorijsko mjerenje emisija ispušnih plinova</w:t>
            </w:r>
          </w:p>
        </w:tc>
        <w:tc>
          <w:tcPr>
            <w:tcW w:w="4684" w:type="dxa"/>
            <w:tcBorders>
              <w:top w:val="single" w:sz="4" w:space="0" w:color="auto"/>
              <w:left w:val="single" w:sz="4" w:space="0" w:color="auto"/>
              <w:bottom w:val="single" w:sz="4" w:space="0" w:color="auto"/>
              <w:right w:val="single" w:sz="4" w:space="0" w:color="auto"/>
            </w:tcBorders>
          </w:tcPr>
          <w:p w:rsidR="00D00FC9" w:rsidRPr="009F2503" w:rsidRDefault="00D00FC9" w:rsidP="00605A38">
            <w:pPr>
              <w:spacing w:before="60" w:after="60"/>
              <w:jc w:val="center"/>
              <w:rPr>
                <w:rFonts w:ascii="Calibri" w:hAnsi="Calibri" w:cs="Calibri"/>
                <w:b/>
                <w:bCs/>
                <w:i/>
                <w:sz w:val="22"/>
                <w:szCs w:val="22"/>
              </w:rPr>
            </w:pPr>
            <w:r w:rsidRPr="009F2503">
              <w:rPr>
                <w:b/>
                <w:i/>
                <w:sz w:val="22"/>
              </w:rPr>
              <w:t>Mjerenje stvarnih emisija tijekom vožnje (RDE)</w:t>
            </w:r>
          </w:p>
        </w:tc>
      </w:tr>
      <w:tr w:rsidR="00D00FC9" w:rsidRPr="009F2503" w:rsidTr="00605A38">
        <w:trPr>
          <w:trHeight w:val="312"/>
        </w:trPr>
        <w:tc>
          <w:tcPr>
            <w:tcW w:w="4376" w:type="dxa"/>
            <w:tcBorders>
              <w:top w:val="single" w:sz="4" w:space="0" w:color="auto"/>
              <w:left w:val="single" w:sz="4" w:space="0" w:color="auto"/>
              <w:bottom w:val="single" w:sz="4" w:space="0" w:color="auto"/>
              <w:right w:val="single" w:sz="4" w:space="0" w:color="auto"/>
            </w:tcBorders>
          </w:tcPr>
          <w:p w:rsidR="00D00FC9" w:rsidRPr="009F2503" w:rsidRDefault="00D00FC9" w:rsidP="00605A38">
            <w:pPr>
              <w:spacing w:before="60" w:after="60"/>
              <w:rPr>
                <w:b/>
                <w:bCs/>
                <w:i/>
                <w:sz w:val="22"/>
                <w:szCs w:val="22"/>
              </w:rPr>
            </w:pPr>
            <w:r w:rsidRPr="009F2503">
              <w:rPr>
                <w:b/>
                <w:i/>
                <w:sz w:val="22"/>
              </w:rPr>
              <w:t>Za sva ispitivanja emisija ispušnih plinova provedena primjenom ciklusa ispitivanja na ispitnom stolu (WHTC/WHSC) primjenjuju se odredbe Priloga 4. Pravilniku UN-a br. 49.</w:t>
            </w:r>
            <w:r w:rsidRPr="009F2503">
              <w:rPr>
                <w:b/>
                <w:i/>
                <w:sz w:val="22"/>
                <w:vertAlign w:val="superscript"/>
              </w:rPr>
              <w:t>1</w:t>
            </w:r>
          </w:p>
        </w:tc>
        <w:tc>
          <w:tcPr>
            <w:tcW w:w="4684" w:type="dxa"/>
            <w:tcBorders>
              <w:top w:val="single" w:sz="4" w:space="0" w:color="auto"/>
              <w:left w:val="single" w:sz="4" w:space="0" w:color="auto"/>
              <w:bottom w:val="single" w:sz="4" w:space="0" w:color="auto"/>
              <w:right w:val="single" w:sz="4" w:space="0" w:color="auto"/>
            </w:tcBorders>
          </w:tcPr>
          <w:p w:rsidR="00D00FC9" w:rsidRPr="009F2503" w:rsidRDefault="00D00FC9" w:rsidP="00605A38">
            <w:pPr>
              <w:spacing w:before="60" w:after="60"/>
              <w:rPr>
                <w:b/>
                <w:bCs/>
                <w:i/>
                <w:sz w:val="22"/>
                <w:szCs w:val="22"/>
              </w:rPr>
            </w:pPr>
            <w:r w:rsidRPr="009F2503">
              <w:rPr>
                <w:b/>
                <w:i/>
                <w:sz w:val="22"/>
              </w:rPr>
              <w:t>Odredbe Priloga 8. Pravilniku UN-a br. 49</w:t>
            </w:r>
            <w:r w:rsidRPr="009F2503">
              <w:rPr>
                <w:b/>
                <w:i/>
                <w:sz w:val="22"/>
                <w:vertAlign w:val="superscript"/>
              </w:rPr>
              <w:t>2</w:t>
            </w:r>
            <w:r w:rsidRPr="009F2503">
              <w:rPr>
                <w:b/>
                <w:i/>
                <w:sz w:val="22"/>
              </w:rPr>
              <w:t xml:space="preserve"> primjenjuju se </w:t>
            </w:r>
            <w:r w:rsidRPr="00255ADF">
              <w:rPr>
                <w:b/>
                <w:i/>
                <w:sz w:val="22"/>
              </w:rPr>
              <w:t>uz sljedeće iznimke</w:t>
            </w:r>
            <w:r w:rsidRPr="009F2503">
              <w:rPr>
                <w:b/>
                <w:i/>
                <w:sz w:val="22"/>
              </w:rPr>
              <w:t>:</w:t>
            </w:r>
          </w:p>
          <w:p w:rsidR="00D00FC9" w:rsidRPr="009F2503" w:rsidRDefault="00D00FC9" w:rsidP="00605A38">
            <w:pPr>
              <w:spacing w:before="60" w:after="60"/>
              <w:rPr>
                <w:b/>
                <w:bCs/>
                <w:i/>
                <w:sz w:val="22"/>
                <w:szCs w:val="22"/>
              </w:rPr>
            </w:pPr>
            <w:r w:rsidRPr="009F2503">
              <w:rPr>
                <w:b/>
                <w:i/>
                <w:sz w:val="22"/>
              </w:rPr>
              <w:t>* prag snage u tablici 1. Priloga III. iznosi 0 %. Za prozore u kojima je snaga manja od 6 % za izračune se upotrebljava 6 %;</w:t>
            </w:r>
          </w:p>
          <w:p w:rsidR="00D00FC9" w:rsidRPr="009F2503" w:rsidRDefault="00D00FC9" w:rsidP="00605A38">
            <w:pPr>
              <w:spacing w:before="60" w:after="60"/>
              <w:rPr>
                <w:b/>
                <w:bCs/>
                <w:i/>
                <w:sz w:val="22"/>
                <w:szCs w:val="22"/>
              </w:rPr>
            </w:pPr>
            <w:r w:rsidRPr="009F2503">
              <w:rPr>
                <w:b/>
                <w:i/>
                <w:sz w:val="22"/>
              </w:rPr>
              <w:t xml:space="preserve">* faktor sukladnosti iz tablice 2. točke 6.3. (vrijednost = 1,0) upotrebljava se za sve onečišćujuće tvari. Primjenjive granične vrijednosti jesu stvarne granične vrijednosti stvarnih emisija tijekom vožnje iz Priloga I. tablice 2. </w:t>
            </w:r>
          </w:p>
        </w:tc>
      </w:tr>
      <w:tr w:rsidR="00D00FC9" w:rsidRPr="009F2503" w:rsidTr="00605A38">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00FC9" w:rsidRPr="00255ADF" w:rsidRDefault="00D00FC9" w:rsidP="00605A38">
            <w:pPr>
              <w:spacing w:before="60" w:after="60"/>
              <w:rPr>
                <w:b/>
                <w:bCs/>
                <w:i/>
                <w:sz w:val="20"/>
              </w:rPr>
            </w:pPr>
            <w:r w:rsidRPr="00255ADF">
              <w:rPr>
                <w:b/>
                <w:i/>
                <w:sz w:val="20"/>
                <w:vertAlign w:val="superscript"/>
              </w:rPr>
              <w:t>1</w:t>
            </w:r>
            <w:r w:rsidRPr="00255ADF">
              <w:rPr>
                <w:b/>
                <w:i/>
                <w:sz w:val="20"/>
              </w:rPr>
              <w:t xml:space="preserve"> Niz izmjena 07 (SL L 14, 16.1.2023., str. 1.).</w:t>
            </w:r>
          </w:p>
          <w:p w:rsidR="00D00FC9" w:rsidRPr="00255ADF" w:rsidRDefault="00D00FC9" w:rsidP="00605A38">
            <w:pPr>
              <w:spacing w:before="60" w:after="60"/>
              <w:rPr>
                <w:b/>
                <w:bCs/>
                <w:i/>
                <w:sz w:val="22"/>
                <w:szCs w:val="22"/>
              </w:rPr>
            </w:pPr>
            <w:r w:rsidRPr="00255ADF">
              <w:rPr>
                <w:b/>
                <w:i/>
                <w:sz w:val="20"/>
                <w:vertAlign w:val="superscript"/>
              </w:rPr>
              <w:t>2</w:t>
            </w:r>
            <w:r w:rsidRPr="00255ADF">
              <w:rPr>
                <w:b/>
                <w:i/>
                <w:sz w:val="20"/>
              </w:rPr>
              <w:t xml:space="preserve"> Niz izmjena 07 (SL L 14, 16.1.2023., str. 1.).</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161</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III. – tablica 5.</w:t>
      </w:r>
    </w:p>
    <w:tbl>
      <w:tblPr>
        <w:tblStyle w:val="TableGrid"/>
        <w:tblW w:w="5000" w:type="pct"/>
        <w:tblLook w:val="04A0" w:firstRow="1" w:lastRow="0" w:firstColumn="1" w:lastColumn="0" w:noHBand="0" w:noVBand="1"/>
      </w:tblPr>
      <w:tblGrid>
        <w:gridCol w:w="3018"/>
        <w:gridCol w:w="3020"/>
        <w:gridCol w:w="3022"/>
      </w:tblGrid>
      <w:tr w:rsidR="00D00FC9" w:rsidRPr="009F2503" w:rsidTr="00605A38">
        <w:tc>
          <w:tcPr>
            <w:tcW w:w="4998" w:type="pct"/>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c>
          <w:tcPr>
            <w:tcW w:w="4998" w:type="pct"/>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5.: uvjeti za ispitivanje usklađenosti s graničnim vrijednostima abrazije guma</w:t>
            </w:r>
          </w:p>
        </w:tc>
      </w:tr>
      <w:tr w:rsidR="00D00FC9" w:rsidRPr="009F2503" w:rsidTr="00605A38">
        <w:tc>
          <w:tcPr>
            <w:tcW w:w="1665"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kategorija M1 i N1</w:t>
            </w: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Vozila kategorije M2, M3, </w:t>
            </w:r>
            <w:r w:rsidRPr="009F2503">
              <w:lastRenderedPageBreak/>
              <w:t>N2 i N3</w:t>
            </w:r>
          </w:p>
        </w:tc>
      </w:tr>
      <w:tr w:rsidR="00D00FC9" w:rsidRPr="009F2503" w:rsidTr="00605A38">
        <w:tc>
          <w:tcPr>
            <w:tcW w:w="1665"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lastRenderedPageBreak/>
              <w:t>Ispitivanje graničnih vrijednosti abrazije guma</w:t>
            </w: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na temelju ispitnih metodologija razvijenih u UN-u za ispitivanje abrazije guma u stvarnim uvjetima</w:t>
            </w: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na temelju ispitnih metodologija razvijenih u UN-u za ispitivanje abrazije guma u stvarnim uvjetima</w:t>
            </w:r>
          </w:p>
        </w:tc>
      </w:tr>
    </w:tbl>
    <w:p w:rsidR="00D00FC9" w:rsidRPr="009F2503" w:rsidRDefault="00D00FC9" w:rsidP="00D00FC9"/>
    <w:p w:rsidR="00D00FC9" w:rsidRPr="009F2503" w:rsidRDefault="00D00FC9" w:rsidP="00D00FC9">
      <w:pPr>
        <w:pStyle w:val="AmOrLang"/>
      </w:pPr>
    </w:p>
    <w:tbl>
      <w:tblPr>
        <w:tblStyle w:val="TableGrid"/>
        <w:tblW w:w="5000" w:type="pct"/>
        <w:tblLook w:val="04A0" w:firstRow="1" w:lastRow="0" w:firstColumn="1" w:lastColumn="0" w:noHBand="0" w:noVBand="1"/>
      </w:tblPr>
      <w:tblGrid>
        <w:gridCol w:w="3018"/>
        <w:gridCol w:w="3020"/>
        <w:gridCol w:w="3022"/>
      </w:tblGrid>
      <w:tr w:rsidR="00D00FC9" w:rsidRPr="009F2503" w:rsidTr="00605A38">
        <w:tc>
          <w:tcPr>
            <w:tcW w:w="4998" w:type="pct"/>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c>
          <w:tcPr>
            <w:tcW w:w="4998" w:type="pct"/>
            <w:gridSpan w:val="3"/>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5.: uvjeti za ispitivanje usklađenosti s graničnim vrijednostima abrazije guma</w:t>
            </w:r>
          </w:p>
        </w:tc>
      </w:tr>
      <w:tr w:rsidR="00D00FC9" w:rsidRPr="009F2503" w:rsidTr="00605A38">
        <w:tc>
          <w:tcPr>
            <w:tcW w:w="1665"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kategorija M1 i N1</w:t>
            </w: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Vozila kategorije M2, M3, N2 i N3</w:t>
            </w:r>
          </w:p>
        </w:tc>
      </w:tr>
      <w:tr w:rsidR="00D00FC9" w:rsidRPr="009F2503" w:rsidTr="00605A38">
        <w:tc>
          <w:tcPr>
            <w:tcW w:w="1665"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Ispitivanje graničnih vrijednosti abrazije guma</w:t>
            </w: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na temelju ispitnih metodologija razvijenih u UN-u za ispitivanje abrazije guma u stvarnim uvjetima </w:t>
            </w:r>
            <w:r w:rsidRPr="009F2503">
              <w:rPr>
                <w:b/>
                <w:i/>
              </w:rPr>
              <w:t>u skladu s člankom 7.a (novi)</w:t>
            </w:r>
          </w:p>
        </w:tc>
        <w:tc>
          <w:tcPr>
            <w:tcW w:w="1666" w:type="pct"/>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 xml:space="preserve">na temelju ispitnih metodologija razvijenih u UN-u za ispitivanje abrazije guma u stvarnim uvjetima </w:t>
            </w:r>
            <w:r w:rsidRPr="009F2503">
              <w:rPr>
                <w:b/>
                <w:i/>
              </w:rPr>
              <w:t>u skladu s člankom 7.a (novi)</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162</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IV. – tablica 1.</w:t>
      </w:r>
    </w:p>
    <w:tbl>
      <w:tblPr>
        <w:tblStyle w:val="TableGrid"/>
        <w:tblW w:w="9172" w:type="dxa"/>
        <w:tblLook w:val="04A0" w:firstRow="1" w:lastRow="0" w:firstColumn="1" w:lastColumn="0" w:noHBand="0" w:noVBand="1"/>
      </w:tblPr>
      <w:tblGrid>
        <w:gridCol w:w="1730"/>
        <w:gridCol w:w="2363"/>
        <w:gridCol w:w="2589"/>
        <w:gridCol w:w="2490"/>
      </w:tblGrid>
      <w:tr w:rsidR="00D00FC9" w:rsidRPr="009F2503" w:rsidTr="00605A38">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Tekst koji je predložila Komisija</w:t>
            </w:r>
          </w:p>
        </w:tc>
      </w:tr>
      <w:tr w:rsidR="00D00FC9" w:rsidRPr="009F2503" w:rsidTr="00605A38">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1.: životni vijek vozila, motora i sustava za kontrolu onečišćenja</w:t>
            </w:r>
          </w:p>
        </w:tc>
      </w:tr>
      <w:tr w:rsidR="00D00FC9" w:rsidRPr="009F2503" w:rsidTr="00605A38">
        <w:trPr>
          <w:trHeight w:val="564"/>
        </w:trPr>
        <w:tc>
          <w:tcPr>
            <w:tcW w:w="1730"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Životni vijek vozila, motora i zamjenskih uređaja za kontrolu onečišćenja</w:t>
            </w:r>
          </w:p>
        </w:tc>
        <w:tc>
          <w:tcPr>
            <w:tcW w:w="236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Vozila kategorija M1, N1 i M2</w:t>
            </w:r>
          </w:p>
        </w:tc>
        <w:tc>
          <w:tcPr>
            <w:tcW w:w="2589"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N2, </w:t>
            </w:r>
            <w:r w:rsidRPr="00EA726F">
              <w:rPr>
                <w:b/>
                <w:i/>
              </w:rPr>
              <w:t>N3 &lt; 16 t, M3 &lt; 7,5 t</w:t>
            </w:r>
          </w:p>
        </w:tc>
        <w:tc>
          <w:tcPr>
            <w:tcW w:w="2490"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N3 &lt; 16 t, M3 &lt; 7,5 t</w:t>
            </w:r>
          </w:p>
        </w:tc>
      </w:tr>
      <w:tr w:rsidR="00D00FC9" w:rsidRPr="009F2503" w:rsidTr="00605A38">
        <w:trPr>
          <w:trHeight w:val="376"/>
        </w:trPr>
        <w:tc>
          <w:tcPr>
            <w:tcW w:w="1730"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Glavni životni vijek</w:t>
            </w:r>
          </w:p>
        </w:tc>
        <w:tc>
          <w:tcPr>
            <w:tcW w:w="236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do </w:t>
            </w:r>
            <w:r w:rsidRPr="00EA726F">
              <w:rPr>
                <w:b/>
                <w:i/>
              </w:rPr>
              <w:t>160 000</w:t>
            </w:r>
            <w:r w:rsidRPr="009F2503">
              <w:t xml:space="preserve"> km ili </w:t>
            </w:r>
            <w:r w:rsidRPr="00EA726F">
              <w:rPr>
                <w:b/>
                <w:i/>
              </w:rPr>
              <w:t>8</w:t>
            </w:r>
            <w:r w:rsidRPr="009F2503">
              <w:t xml:space="preserve"> godina, ovisno o tome što nastupi ranije</w:t>
            </w:r>
          </w:p>
        </w:tc>
        <w:tc>
          <w:tcPr>
            <w:tcW w:w="2589" w:type="dxa"/>
            <w:tcBorders>
              <w:top w:val="single" w:sz="4" w:space="0" w:color="auto"/>
              <w:left w:val="single" w:sz="4" w:space="0" w:color="auto"/>
              <w:bottom w:val="single" w:sz="4" w:space="0" w:color="auto"/>
              <w:right w:val="single" w:sz="4" w:space="0" w:color="auto"/>
            </w:tcBorders>
            <w:hideMark/>
          </w:tcPr>
          <w:p w:rsidR="00D00FC9" w:rsidRPr="009F2503" w:rsidRDefault="00D00FC9" w:rsidP="00C26121">
            <w:pPr>
              <w:rPr>
                <w:noProof/>
              </w:rPr>
            </w:pPr>
            <w:r w:rsidRPr="00EA726F">
              <w:rPr>
                <w:b/>
                <w:i/>
              </w:rPr>
              <w:t>300 000</w:t>
            </w:r>
            <w:r w:rsidRPr="009F2503">
              <w:t xml:space="preserve"> km ili </w:t>
            </w:r>
            <w:r w:rsidR="00C26121">
              <w:rPr>
                <w:b/>
                <w:i/>
              </w:rPr>
              <w:t>8</w:t>
            </w:r>
            <w:r w:rsidRPr="009F2503">
              <w:t>godina, ovisno o tome što nastupi ranije</w:t>
            </w:r>
          </w:p>
        </w:tc>
        <w:tc>
          <w:tcPr>
            <w:tcW w:w="2490"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EA726F">
              <w:rPr>
                <w:b/>
                <w:i/>
              </w:rPr>
              <w:t>700 000</w:t>
            </w:r>
            <w:r w:rsidRPr="009F2503">
              <w:t> km ili 15 godina, ovisno o tome što nastupi ranije</w:t>
            </w:r>
          </w:p>
        </w:tc>
      </w:tr>
      <w:tr w:rsidR="00D00FC9" w:rsidRPr="009F2503" w:rsidTr="00605A38">
        <w:trPr>
          <w:trHeight w:val="564"/>
        </w:trPr>
        <w:tc>
          <w:tcPr>
            <w:tcW w:w="1730"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Dodatni životni vijek</w:t>
            </w:r>
          </w:p>
        </w:tc>
        <w:tc>
          <w:tcPr>
            <w:tcW w:w="2363"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nakon glavnog životnog vijeka i do </w:t>
            </w:r>
            <w:r w:rsidRPr="00EA726F">
              <w:rPr>
                <w:b/>
                <w:i/>
              </w:rPr>
              <w:t>200 000</w:t>
            </w:r>
            <w:r w:rsidRPr="009F2503">
              <w:t xml:space="preserve"> km ili </w:t>
            </w:r>
            <w:r w:rsidRPr="00EA726F">
              <w:rPr>
                <w:b/>
                <w:i/>
              </w:rPr>
              <w:t>10</w:t>
            </w:r>
            <w:r w:rsidRPr="009F2503">
              <w:t xml:space="preserve"> godina, ovisno o tome što nastupi ranije</w:t>
            </w:r>
          </w:p>
        </w:tc>
        <w:tc>
          <w:tcPr>
            <w:tcW w:w="2589"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nakon glavnog životnog vijeka i do </w:t>
            </w:r>
            <w:r w:rsidRPr="00EA726F">
              <w:rPr>
                <w:b/>
                <w:i/>
              </w:rPr>
              <w:t>375 000</w:t>
            </w:r>
            <w:r w:rsidRPr="009F2503">
              <w:t> km</w:t>
            </w:r>
          </w:p>
        </w:tc>
        <w:tc>
          <w:tcPr>
            <w:tcW w:w="2490"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nakon glavnog životnog vijeka i do </w:t>
            </w:r>
          </w:p>
          <w:p w:rsidR="00D00FC9" w:rsidRPr="009F2503" w:rsidRDefault="00D00FC9" w:rsidP="00605A38">
            <w:pPr>
              <w:rPr>
                <w:noProof/>
              </w:rPr>
            </w:pPr>
            <w:r w:rsidRPr="009F2503">
              <w:rPr>
                <w:b/>
                <w:i/>
              </w:rPr>
              <w:t>875 000</w:t>
            </w:r>
            <w:r w:rsidRPr="009F2503">
              <w:t xml:space="preserve"> km </w:t>
            </w:r>
          </w:p>
        </w:tc>
      </w:tr>
    </w:tbl>
    <w:p w:rsidR="00D00FC9" w:rsidRPr="009F2503" w:rsidRDefault="00D00FC9" w:rsidP="00D00FC9">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D00FC9" w:rsidRPr="009F2503" w:rsidTr="00605A38">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jc w:val="center"/>
              <w:rPr>
                <w:i/>
                <w:noProof/>
              </w:rPr>
            </w:pPr>
            <w:r w:rsidRPr="009F2503">
              <w:rPr>
                <w:i/>
              </w:rPr>
              <w:t>Izmjena</w:t>
            </w:r>
          </w:p>
        </w:tc>
      </w:tr>
      <w:tr w:rsidR="00D00FC9" w:rsidRPr="009F2503" w:rsidTr="00605A38">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D00FC9" w:rsidRPr="009F2503" w:rsidRDefault="00D00FC9" w:rsidP="00605A38">
            <w:pPr>
              <w:rPr>
                <w:noProof/>
              </w:rPr>
            </w:pPr>
            <w:r w:rsidRPr="009F2503">
              <w:t>Tablica 1.: životni vijek vozila, motora i sustava za kontrolu onečišćenja</w:t>
            </w:r>
          </w:p>
        </w:tc>
      </w:tr>
      <w:tr w:rsidR="00D00FC9" w:rsidRPr="009F2503" w:rsidTr="00605A38">
        <w:trPr>
          <w:trHeight w:val="690"/>
        </w:trPr>
        <w:tc>
          <w:tcPr>
            <w:tcW w:w="1729"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Životni vijek vozila, motora i zamjenskih </w:t>
            </w:r>
            <w:r w:rsidRPr="009F2503">
              <w:lastRenderedPageBreak/>
              <w:t>uređaja za kontrolu onečišćenja</w:t>
            </w:r>
          </w:p>
        </w:tc>
        <w:tc>
          <w:tcPr>
            <w:tcW w:w="236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lastRenderedPageBreak/>
              <w:t>Vozila kategorija M1, N1 i M2</w:t>
            </w:r>
          </w:p>
        </w:tc>
        <w:tc>
          <w:tcPr>
            <w:tcW w:w="2587"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N2</w:t>
            </w:r>
            <w:r w:rsidRPr="00EA726F">
              <w:t>,</w:t>
            </w:r>
            <w:r w:rsidRPr="009F2503">
              <w:rPr>
                <w:b/>
              </w:rPr>
              <w:t xml:space="preserve"> </w:t>
            </w:r>
            <w:r w:rsidRPr="00EA726F">
              <w:rPr>
                <w:b/>
                <w:i/>
              </w:rPr>
              <w:t>N3 ≤ 16 t, M3 ≤ 7,5 t</w:t>
            </w:r>
          </w:p>
        </w:tc>
        <w:tc>
          <w:tcPr>
            <w:tcW w:w="248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N3 &lt; 16 t, M3 &lt; 7,5 t</w:t>
            </w:r>
          </w:p>
        </w:tc>
      </w:tr>
      <w:tr w:rsidR="00D00FC9" w:rsidRPr="009F2503" w:rsidTr="00605A38">
        <w:trPr>
          <w:trHeight w:val="1344"/>
        </w:trPr>
        <w:tc>
          <w:tcPr>
            <w:tcW w:w="1729"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Glavni životni vijek</w:t>
            </w:r>
          </w:p>
        </w:tc>
        <w:tc>
          <w:tcPr>
            <w:tcW w:w="236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do </w:t>
            </w:r>
            <w:r w:rsidRPr="00EA726F">
              <w:rPr>
                <w:b/>
                <w:i/>
              </w:rPr>
              <w:t>200 000</w:t>
            </w:r>
            <w:r w:rsidRPr="009F2503">
              <w:t xml:space="preserve"> km ili </w:t>
            </w:r>
            <w:r w:rsidRPr="00EA726F">
              <w:rPr>
                <w:b/>
                <w:i/>
              </w:rPr>
              <w:t>10</w:t>
            </w:r>
            <w:r w:rsidRPr="009F2503">
              <w:t xml:space="preserve"> godina, ovisno o tome što nastupi ranije</w:t>
            </w:r>
          </w:p>
        </w:tc>
        <w:tc>
          <w:tcPr>
            <w:tcW w:w="2587"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EA726F">
              <w:rPr>
                <w:b/>
                <w:i/>
              </w:rPr>
              <w:t>340 000</w:t>
            </w:r>
            <w:r w:rsidRPr="009F2503">
              <w:t xml:space="preserve"> km ili </w:t>
            </w:r>
            <w:r w:rsidRPr="00EA726F">
              <w:rPr>
                <w:b/>
                <w:i/>
              </w:rPr>
              <w:t>10</w:t>
            </w:r>
            <w:r w:rsidRPr="009F2503">
              <w:t xml:space="preserve"> godina, ovisno o tome što nastupi ranije</w:t>
            </w:r>
          </w:p>
        </w:tc>
        <w:tc>
          <w:tcPr>
            <w:tcW w:w="248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EA726F">
              <w:rPr>
                <w:b/>
                <w:i/>
              </w:rPr>
              <w:t>750 000</w:t>
            </w:r>
            <w:r w:rsidRPr="009F2503">
              <w:t> km ili 15 godina, ovisno o tome što nastupi ranije</w:t>
            </w:r>
          </w:p>
        </w:tc>
      </w:tr>
      <w:tr w:rsidR="00D00FC9" w:rsidRPr="009F2503" w:rsidTr="00605A38">
        <w:trPr>
          <w:trHeight w:val="2019"/>
        </w:trPr>
        <w:tc>
          <w:tcPr>
            <w:tcW w:w="1729"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Dodatni životni vijek</w:t>
            </w:r>
          </w:p>
        </w:tc>
        <w:tc>
          <w:tcPr>
            <w:tcW w:w="2361"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nakon glavnog životnog vijeka i do </w:t>
            </w:r>
            <w:r w:rsidRPr="00EA726F">
              <w:rPr>
                <w:b/>
                <w:i/>
              </w:rPr>
              <w:t>240 000</w:t>
            </w:r>
            <w:r w:rsidRPr="009F2503">
              <w:t xml:space="preserve"> km ili </w:t>
            </w:r>
            <w:r w:rsidRPr="00EA726F">
              <w:rPr>
                <w:b/>
                <w:i/>
              </w:rPr>
              <w:t>12</w:t>
            </w:r>
            <w:r w:rsidRPr="009F2503">
              <w:t xml:space="preserve"> godina, ovisno o tome što nastupi ranije</w:t>
            </w:r>
          </w:p>
        </w:tc>
        <w:tc>
          <w:tcPr>
            <w:tcW w:w="2587"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b/>
                <w:i/>
                <w:noProof/>
              </w:rPr>
            </w:pPr>
            <w:r w:rsidRPr="009F2503">
              <w:t xml:space="preserve">nakon glavnog životnog vijeka i do </w:t>
            </w:r>
            <w:r w:rsidRPr="00EA726F">
              <w:rPr>
                <w:b/>
                <w:i/>
              </w:rPr>
              <w:t>400 000</w:t>
            </w:r>
            <w:r w:rsidRPr="009F2503">
              <w:t xml:space="preserve"> km </w:t>
            </w:r>
            <w:r w:rsidRPr="00EA726F">
              <w:rPr>
                <w:b/>
                <w:i/>
              </w:rPr>
              <w:t>ili 12 godina, ovisno o tome što nastupi ranije</w:t>
            </w:r>
          </w:p>
        </w:tc>
        <w:tc>
          <w:tcPr>
            <w:tcW w:w="2488" w:type="dxa"/>
            <w:tcBorders>
              <w:top w:val="single" w:sz="4" w:space="0" w:color="auto"/>
              <w:left w:val="single" w:sz="4" w:space="0" w:color="auto"/>
              <w:bottom w:val="single" w:sz="4" w:space="0" w:color="auto"/>
              <w:right w:val="single" w:sz="4" w:space="0" w:color="auto"/>
            </w:tcBorders>
            <w:hideMark/>
          </w:tcPr>
          <w:p w:rsidR="00D00FC9" w:rsidRPr="009F2503" w:rsidRDefault="00D00FC9" w:rsidP="00605A38">
            <w:pPr>
              <w:rPr>
                <w:noProof/>
              </w:rPr>
            </w:pPr>
            <w:r w:rsidRPr="009F2503">
              <w:t xml:space="preserve">nakon glavnog životnog vijeka i do </w:t>
            </w:r>
          </w:p>
          <w:p w:rsidR="00D00FC9" w:rsidRPr="009F2503" w:rsidRDefault="00D00FC9" w:rsidP="00605A38">
            <w:pPr>
              <w:rPr>
                <w:noProof/>
              </w:rPr>
            </w:pPr>
            <w:r w:rsidRPr="00EA726F">
              <w:rPr>
                <w:b/>
                <w:i/>
              </w:rPr>
              <w:t>900 000</w:t>
            </w:r>
            <w:r w:rsidRPr="009F2503">
              <w:t xml:space="preserve"> km </w:t>
            </w:r>
            <w:r w:rsidRPr="00EA726F">
              <w:rPr>
                <w:b/>
                <w:i/>
              </w:rPr>
              <w:t>ili 17 godina, ovisno o tome što nastupi ranije</w:t>
            </w:r>
            <w:r w:rsidRPr="009F2503">
              <w:t xml:space="preserve"> </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163</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V. – tablica 3.</w:t>
      </w:r>
    </w:p>
    <w:tbl>
      <w:tblPr>
        <w:tblW w:w="9214" w:type="dxa"/>
        <w:tblInd w:w="-3" w:type="dxa"/>
        <w:tblLayout w:type="fixed"/>
        <w:tblLook w:val="04A0" w:firstRow="1" w:lastRow="0" w:firstColumn="1" w:lastColumn="0" w:noHBand="0" w:noVBand="1"/>
      </w:tblPr>
      <w:tblGrid>
        <w:gridCol w:w="2210"/>
        <w:gridCol w:w="2210"/>
        <w:gridCol w:w="2210"/>
        <w:gridCol w:w="2584"/>
      </w:tblGrid>
      <w:tr w:rsidR="00D00FC9" w:rsidRPr="009F2503" w:rsidTr="00605A38">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jc w:val="center"/>
              <w:rPr>
                <w:b/>
                <w:i/>
                <w:noProof/>
              </w:rPr>
            </w:pPr>
            <w:r w:rsidRPr="009F2503">
              <w:rPr>
                <w:i/>
              </w:rPr>
              <w:t>Tekst koji je predložila Komisija</w:t>
            </w:r>
          </w:p>
        </w:tc>
      </w:tr>
      <w:tr w:rsidR="00D00FC9" w:rsidRPr="009F2503" w:rsidTr="00605A38">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rPr>
                <w:noProof/>
              </w:rPr>
            </w:pPr>
            <w:r w:rsidRPr="009F2503">
              <w:t>Tablica 3.: primjena ispitivanja, izjava i drugih zahtjeva za homologacije i proširenja homologacija za vozila kategorija M2, M3, N2 i N3 za proizvođače</w:t>
            </w:r>
          </w:p>
        </w:tc>
      </w:tr>
      <w:tr w:rsidR="00D00FC9" w:rsidRPr="009F2503" w:rsidTr="00605A38">
        <w:trPr>
          <w:trHeight w:val="222"/>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Ispitni zahtjevi</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i zahtjevi pri prvobitnoj homologaciji s obzirom na emisije </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pri provjeri sukladnosti proizvodnje </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Ispitivanja pri provjeri sukladnosti u uporabi</w:t>
            </w:r>
          </w:p>
        </w:tc>
      </w:tr>
      <w:tr w:rsidR="00D00FC9" w:rsidRPr="009F2503" w:rsidTr="00605A38">
        <w:trPr>
          <w:trHeight w:val="274"/>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noProof/>
              </w:rPr>
            </w:pPr>
            <w:r w:rsidRPr="009F2503">
              <w:t>Plinovite onečišćujuće tvari, PM i PN u ispitivanju na cesti (RDE) za svako gorivo i za primjenjive kategorije vozila (M2, M3, N2 i N3)</w:t>
            </w:r>
            <w:r w:rsidRPr="009F2503">
              <w:rPr>
                <w:b/>
                <w:i/>
              </w:rPr>
              <w:t xml:space="preserve"> te ispitivanje s niskim opterećenjem (prema potrebi)</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potrebni su demonstracijska ispitivanja za sva goriva za koja je dodijeljena homologacija po tipu vozila i izjava o sukladnosti za sva goriva, sve korisne terete i sve primjenjive tipove vozila</w:t>
            </w:r>
          </w:p>
        </w:tc>
        <w:tc>
          <w:tcPr>
            <w:tcW w:w="2210"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rPr>
                <w:b/>
                <w:i/>
                <w:noProof/>
              </w:rPr>
            </w:pPr>
            <w:r w:rsidRPr="009F2503">
              <w:rPr>
                <w:b/>
                <w:i/>
              </w:rPr>
              <w:t>sukladnost proizvodnje provjerava se samo na razini motora</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svake dvije godine potrebno je ispitivanje na vozilu s bilo kojim gorivom, kategorijom vozila i korisnim teretom za sve tipove motora</w:t>
            </w:r>
          </w:p>
        </w:tc>
      </w:tr>
      <w:tr w:rsidR="00D00FC9" w:rsidRPr="009F2503" w:rsidTr="00605A38">
        <w:trPr>
          <w:trHeight w:val="215"/>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 xml:space="preserve">CO2 i potrošnja goriva/energije, određivanje autonomije s nultim emisijama/na </w:t>
            </w:r>
            <w:r w:rsidRPr="009F2503">
              <w:rPr>
                <w:b/>
                <w:i/>
              </w:rPr>
              <w:lastRenderedPageBreak/>
              <w:t>električni pogon za vozilo</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lastRenderedPageBreak/>
              <w:t>dozvola za VECTO</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za sastavne dijelove</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r>
      <w:tr w:rsidR="00D00FC9" w:rsidRPr="009F2503" w:rsidTr="00605A38">
        <w:trPr>
          <w:trHeight w:val="215"/>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Energetska učinkovitost prikolica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dozvola za VECTO</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za sastavne dijelove</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r>
      <w:tr w:rsidR="00D00FC9" w:rsidRPr="009F2503" w:rsidTr="00605A38">
        <w:trPr>
          <w:trHeight w:val="215"/>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Ispitna provjera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r>
      <w:tr w:rsidR="00D00FC9" w:rsidRPr="009F2503" w:rsidTr="00605A38">
        <w:trPr>
          <w:trHeight w:val="215"/>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Emisije iz kućišta koljenastog vratila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provjera ugradnje zatvorenog sustava kućišta koljenastog vratila ili usmjeravanja prema ispušnoj cijevi</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r w:rsidRPr="009F2503">
              <w:rPr>
                <w:vertAlign w:val="superscript"/>
              </w:rPr>
              <w:t>6</w:t>
            </w:r>
          </w:p>
        </w:tc>
      </w:tr>
      <w:tr w:rsidR="00D00FC9" w:rsidRPr="009F2503" w:rsidTr="00605A38">
        <w:trPr>
          <w:trHeight w:val="222"/>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s obzirom na emisije</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r>
      <w:tr w:rsidR="00D00FC9" w:rsidRPr="009F2503" w:rsidTr="00605A38">
        <w:trPr>
          <w:trHeight w:val="222"/>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baterije</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r>
      <w:tr w:rsidR="00D00FC9" w:rsidRPr="009F2503" w:rsidTr="00605A38">
        <w:trPr>
          <w:trHeight w:val="222"/>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Ugrađena dijagnostika (razina porodice po OBD-u) </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r w:rsidRPr="009F2503">
              <w:rPr>
                <w:vertAlign w:val="superscript"/>
              </w:rPr>
              <w:t>6</w:t>
            </w:r>
          </w:p>
        </w:tc>
      </w:tr>
      <w:tr w:rsidR="00D00FC9" w:rsidRPr="009F2503" w:rsidTr="00605A38">
        <w:trPr>
          <w:trHeight w:val="365"/>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Ugrađeno praćenje (razina porodice po OBM-u)</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demonstracija i izjava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r>
      <w:tr w:rsidR="00D00FC9" w:rsidRPr="009F2503" w:rsidTr="00605A38">
        <w:trPr>
          <w:trHeight w:val="222"/>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Zaštita od nedopuštenih zahvata, sigurnost i </w:t>
            </w:r>
            <w:proofErr w:type="spellStart"/>
            <w:r w:rsidRPr="009F2503">
              <w:t>kibersigurnost</w:t>
            </w:r>
            <w:proofErr w:type="spellEnd"/>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 i dokumentacija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r>
      <w:tr w:rsidR="00D00FC9" w:rsidRPr="009F2503" w:rsidTr="00605A38">
        <w:trPr>
          <w:trHeight w:val="222"/>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Adaptivne kontrole (prema potrebi)</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izjava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r>
      <w:tr w:rsidR="00D00FC9" w:rsidRPr="009F2503" w:rsidTr="00605A38">
        <w:trPr>
          <w:trHeight w:val="222"/>
        </w:trPr>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Tehnologije određivanja geografskih granica (prema potrebi)</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izjava i demonstracija</w:t>
            </w:r>
          </w:p>
        </w:tc>
        <w:tc>
          <w:tcPr>
            <w:tcW w:w="2210"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c>
          <w:tcPr>
            <w:tcW w:w="2584"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r>
    </w:tbl>
    <w:p w:rsidR="00D00FC9" w:rsidRPr="009F2503" w:rsidRDefault="00D00FC9" w:rsidP="00D00FC9"/>
    <w:p w:rsidR="00D00FC9" w:rsidRPr="009F2503" w:rsidRDefault="00D00FC9" w:rsidP="00D00FC9"/>
    <w:tbl>
      <w:tblPr>
        <w:tblW w:w="8931" w:type="dxa"/>
        <w:tblInd w:w="-3" w:type="dxa"/>
        <w:tblLayout w:type="fixed"/>
        <w:tblLook w:val="04A0" w:firstRow="1" w:lastRow="0" w:firstColumn="1" w:lastColumn="0" w:noHBand="0" w:noVBand="1"/>
      </w:tblPr>
      <w:tblGrid>
        <w:gridCol w:w="2368"/>
        <w:gridCol w:w="2368"/>
        <w:gridCol w:w="2368"/>
        <w:gridCol w:w="1827"/>
      </w:tblGrid>
      <w:tr w:rsidR="00D00FC9" w:rsidRPr="009F2503" w:rsidTr="00605A38">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jc w:val="center"/>
              <w:rPr>
                <w:i/>
                <w:noProof/>
                <w:szCs w:val="24"/>
              </w:rPr>
            </w:pPr>
            <w:r w:rsidRPr="009F2503">
              <w:rPr>
                <w:i/>
              </w:rPr>
              <w:t>Izmjena</w:t>
            </w:r>
          </w:p>
        </w:tc>
      </w:tr>
      <w:tr w:rsidR="00D00FC9" w:rsidRPr="009F2503" w:rsidTr="00605A38">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after="200" w:line="276" w:lineRule="auto"/>
              <w:rPr>
                <w:noProof/>
                <w:szCs w:val="24"/>
              </w:rPr>
            </w:pPr>
            <w:r w:rsidRPr="009F2503">
              <w:t>Tablica 3.: primjena ispitivanja, izjava i drugih zahtjeva za homologacije i proširenja homologacija za vozila kategorija M2, M3, N2 i N3 za proizvođače</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jc w:val="center"/>
              <w:rPr>
                <w:noProof/>
                <w:szCs w:val="24"/>
              </w:rPr>
            </w:pPr>
            <w:r w:rsidRPr="009F2503">
              <w:t>Ispitni zahtjevi</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jc w:val="center"/>
              <w:rPr>
                <w:noProof/>
                <w:szCs w:val="24"/>
              </w:rPr>
            </w:pPr>
            <w:r w:rsidRPr="009F2503">
              <w:t xml:space="preserve">Ispitivanja i zahtjevi za homologaciju s obzirom na emisije  </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jc w:val="center"/>
              <w:rPr>
                <w:noProof/>
                <w:szCs w:val="24"/>
              </w:rPr>
            </w:pPr>
            <w:r w:rsidRPr="009F2503">
              <w:t xml:space="preserve">Ispitivanja pri provjeri sukladnosti proizvodnje </w:t>
            </w:r>
          </w:p>
        </w:tc>
        <w:tc>
          <w:tcPr>
            <w:tcW w:w="1827"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jc w:val="center"/>
              <w:rPr>
                <w:noProof/>
                <w:szCs w:val="24"/>
              </w:rPr>
            </w:pPr>
            <w:r w:rsidRPr="009F2503">
              <w:t>Ispitivanja pri provjeri sukladnosti u uporabi</w:t>
            </w:r>
          </w:p>
        </w:tc>
      </w:tr>
      <w:tr w:rsidR="00D00FC9" w:rsidRPr="009F2503" w:rsidTr="00605A38">
        <w:trPr>
          <w:trHeight w:val="282"/>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i/>
                <w:noProof/>
                <w:szCs w:val="24"/>
              </w:rPr>
            </w:pPr>
            <w:r w:rsidRPr="009F2503">
              <w:rPr>
                <w:b/>
                <w:i/>
              </w:rPr>
              <w:t xml:space="preserve">Plinovite onečišćujuće tvari, PM i PN, emisije </w:t>
            </w:r>
            <w:r w:rsidRPr="009F2503">
              <w:rPr>
                <w:b/>
                <w:i/>
              </w:rPr>
              <w:lastRenderedPageBreak/>
              <w:t>CO2, potrošnja goriva u dinamičkom ispitnom ciklusu (hladni i vrući WHTC)</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bCs/>
                <w:i/>
                <w:noProof/>
                <w:szCs w:val="24"/>
              </w:rPr>
            </w:pPr>
            <w:r w:rsidRPr="009F2503">
              <w:rPr>
                <w:b/>
                <w:i/>
              </w:rPr>
              <w:lastRenderedPageBreak/>
              <w:t xml:space="preserve">potrebno za osnovni motor porodice po emisijama i izjava za </w:t>
            </w:r>
            <w:r w:rsidRPr="009F2503">
              <w:rPr>
                <w:b/>
                <w:i/>
              </w:rPr>
              <w:lastRenderedPageBreak/>
              <w:t>sve članove porodice*</w:t>
            </w:r>
          </w:p>
          <w:p w:rsidR="00D00FC9" w:rsidRPr="009F2503" w:rsidRDefault="00D00FC9" w:rsidP="00605A38">
            <w:pPr>
              <w:spacing w:before="60" w:after="60"/>
              <w:rPr>
                <w:b/>
                <w:i/>
                <w:noProof/>
                <w:szCs w:val="24"/>
              </w:rPr>
            </w:pPr>
            <w:r w:rsidRPr="009F2503">
              <w:rPr>
                <w:b/>
                <w:i/>
              </w:rPr>
              <w:t>**</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i/>
                <w:noProof/>
                <w:szCs w:val="24"/>
              </w:rPr>
            </w:pPr>
            <w:r w:rsidRPr="009F2503">
              <w:rPr>
                <w:b/>
                <w:i/>
              </w:rPr>
              <w:lastRenderedPageBreak/>
              <w:t>potrebno za motor izvan porodice</w:t>
            </w:r>
          </w:p>
          <w:p w:rsidR="00D00FC9" w:rsidRPr="009F2503" w:rsidRDefault="00D00FC9" w:rsidP="00605A38">
            <w:pPr>
              <w:spacing w:before="60" w:after="60"/>
              <w:rPr>
                <w:b/>
                <w:i/>
                <w:noProof/>
                <w:szCs w:val="24"/>
              </w:rPr>
            </w:pPr>
            <w:r w:rsidRPr="009F2503">
              <w:rPr>
                <w:b/>
                <w:i/>
              </w:rPr>
              <w:t>**</w:t>
            </w:r>
          </w:p>
        </w:tc>
        <w:tc>
          <w:tcPr>
            <w:tcW w:w="1827"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p>
        </w:tc>
      </w:tr>
      <w:tr w:rsidR="00D00FC9" w:rsidRPr="009F2503" w:rsidTr="00605A38">
        <w:trPr>
          <w:trHeight w:val="221"/>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Plinovite onečišćujuće tvari, PN u ispitivanju na cesti (RDE) za svako gorivo i za primjenjive kategorije vozila (M2, M3, N2 i N3)</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bCs/>
                <w:noProof/>
                <w:szCs w:val="24"/>
                <w:u w:val="single"/>
              </w:rPr>
            </w:pPr>
            <w:r w:rsidRPr="009F2503">
              <w:t>potrebna demonstracijska ispitivanja za sva goriva za koja je dodijeljena homologacija po tipu vozila i izjava o sukladnosti za sva goriva, sve korisne terete i sve primjenjive kategorije vozila</w:t>
            </w:r>
          </w:p>
          <w:p w:rsidR="00D00FC9" w:rsidRPr="009F2503" w:rsidRDefault="00D00FC9" w:rsidP="00605A38">
            <w:pPr>
              <w:spacing w:before="60" w:after="60"/>
              <w:rPr>
                <w:b/>
                <w:i/>
                <w:noProof/>
                <w:szCs w:val="24"/>
              </w:rPr>
            </w:pPr>
            <w:r w:rsidRPr="009F2503">
              <w:rPr>
                <w:b/>
                <w:i/>
              </w:rPr>
              <w:t>**</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i/>
                <w:noProof/>
                <w:szCs w:val="24"/>
              </w:rPr>
            </w:pPr>
            <w:r w:rsidRPr="009F2503">
              <w:rPr>
                <w:b/>
                <w:i/>
              </w:rPr>
              <w:t>nije potrebno</w:t>
            </w:r>
          </w:p>
        </w:tc>
        <w:tc>
          <w:tcPr>
            <w:tcW w:w="1827"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svake dvije godine potrebno je ispitivanje na vozilu s bilo kojim gorivom, kategorijom vozila i korisnim teretom za sve tipove motora</w:t>
            </w:r>
          </w:p>
          <w:p w:rsidR="00D00FC9" w:rsidRPr="009F2503" w:rsidRDefault="00D00FC9" w:rsidP="00605A38">
            <w:pPr>
              <w:spacing w:before="60" w:after="60"/>
              <w:rPr>
                <w:i/>
                <w:noProof/>
                <w:szCs w:val="24"/>
              </w:rPr>
            </w:pPr>
            <w:r w:rsidRPr="009F2503">
              <w:rPr>
                <w:b/>
                <w:i/>
              </w:rPr>
              <w:t>**</w:t>
            </w:r>
          </w:p>
        </w:tc>
      </w:tr>
      <w:tr w:rsidR="00D00FC9" w:rsidRPr="009F2503" w:rsidTr="00605A38">
        <w:trPr>
          <w:trHeight w:val="221"/>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Energetska učinkovitost prikolica</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dozvola za VECTO</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za sastavne dijelove</w:t>
            </w:r>
          </w:p>
        </w:tc>
        <w:tc>
          <w:tcPr>
            <w:tcW w:w="1827"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nije potrebno</w:t>
            </w:r>
          </w:p>
        </w:tc>
      </w:tr>
      <w:tr w:rsidR="00D00FC9" w:rsidRPr="009F2503" w:rsidTr="00605A38">
        <w:trPr>
          <w:trHeight w:val="221"/>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Ispitna provjera</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nije potrebno</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potrebno</w:t>
            </w:r>
          </w:p>
        </w:tc>
        <w:tc>
          <w:tcPr>
            <w:tcW w:w="1827"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nije potrebno</w:t>
            </w:r>
          </w:p>
        </w:tc>
      </w:tr>
      <w:tr w:rsidR="00D00FC9" w:rsidRPr="009F2503" w:rsidTr="00605A38">
        <w:trPr>
          <w:trHeight w:val="221"/>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Emisije iz kućišta koljenastog vratila</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provjera ugradnje zatvorenog sustava kućišta koljenastog vratila ili usmjeravanja prema ispušnoj cijevi</w:t>
            </w:r>
          </w:p>
          <w:p w:rsidR="00D00FC9" w:rsidRPr="009F2503" w:rsidRDefault="00D00FC9" w:rsidP="00605A38">
            <w:pPr>
              <w:spacing w:before="60" w:after="60"/>
              <w:rPr>
                <w:i/>
                <w:noProof/>
                <w:szCs w:val="24"/>
              </w:rPr>
            </w:pPr>
            <w:r w:rsidRPr="009F2503">
              <w:rPr>
                <w:b/>
                <w:i/>
              </w:rPr>
              <w:t>**</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nije potrebno</w:t>
            </w:r>
          </w:p>
        </w:tc>
        <w:tc>
          <w:tcPr>
            <w:tcW w:w="1827"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neobvezno</w:t>
            </w:r>
            <w:r w:rsidRPr="009F2503">
              <w:rPr>
                <w:vertAlign w:val="superscript"/>
              </w:rPr>
              <w:t>28</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Trajnost s obzirom na emisije</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izjava</w:t>
            </w:r>
          </w:p>
          <w:p w:rsidR="00D00FC9" w:rsidRPr="009F2503" w:rsidRDefault="00D00FC9" w:rsidP="00605A38">
            <w:pPr>
              <w:spacing w:before="60" w:after="60"/>
              <w:ind w:left="567" w:hanging="567"/>
              <w:rPr>
                <w:i/>
                <w:noProof/>
                <w:szCs w:val="24"/>
              </w:rPr>
            </w:pPr>
            <w:r w:rsidRPr="009F2503">
              <w:rPr>
                <w:b/>
                <w:i/>
              </w:rPr>
              <w:t>**</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nije potrebno</w:t>
            </w:r>
          </w:p>
        </w:tc>
        <w:tc>
          <w:tcPr>
            <w:tcW w:w="1827"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noProof/>
                <w:szCs w:val="24"/>
              </w:rPr>
            </w:pPr>
            <w:r w:rsidRPr="009F2503">
              <w:t>nije potrebno</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bCs/>
                <w:i/>
                <w:noProof/>
                <w:szCs w:val="24"/>
              </w:rPr>
            </w:pPr>
            <w:r w:rsidRPr="009F2503">
              <w:rPr>
                <w:b/>
                <w:i/>
              </w:rPr>
              <w:t>Ispravan rad sustava koji koriste potrošni reagens i sustava za kontrolu onečišćenja</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bCs/>
                <w:i/>
                <w:noProof/>
                <w:szCs w:val="24"/>
              </w:rPr>
            </w:pPr>
            <w:r w:rsidRPr="009F2503">
              <w:rPr>
                <w:b/>
                <w:i/>
              </w:rPr>
              <w:t>izjava</w:t>
            </w:r>
          </w:p>
          <w:p w:rsidR="00D00FC9" w:rsidRPr="009F2503" w:rsidRDefault="00D00FC9" w:rsidP="00605A38">
            <w:pPr>
              <w:spacing w:before="60" w:after="60"/>
              <w:rPr>
                <w:b/>
                <w:bCs/>
                <w:i/>
                <w:noProof/>
                <w:szCs w:val="24"/>
              </w:rPr>
            </w:pPr>
            <w:r w:rsidRPr="009F2503">
              <w:rPr>
                <w:b/>
                <w:i/>
              </w:rPr>
              <w:t>**</w:t>
            </w:r>
          </w:p>
        </w:tc>
        <w:tc>
          <w:tcPr>
            <w:tcW w:w="2368"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bCs/>
                <w:i/>
                <w:noProof/>
                <w:szCs w:val="24"/>
              </w:rPr>
            </w:pPr>
            <w:r w:rsidRPr="009F2503">
              <w:rPr>
                <w:b/>
                <w:i/>
              </w:rPr>
              <w:t>nije potrebno</w:t>
            </w:r>
          </w:p>
          <w:p w:rsidR="00D00FC9" w:rsidRPr="009F2503" w:rsidRDefault="00D00FC9" w:rsidP="00605A38">
            <w:pPr>
              <w:spacing w:before="60" w:after="60"/>
              <w:rPr>
                <w:b/>
                <w:bCs/>
                <w:i/>
                <w:noProof/>
                <w:szCs w:val="24"/>
              </w:rPr>
            </w:pPr>
            <w:r w:rsidRPr="009F2503">
              <w:rPr>
                <w:b/>
                <w:i/>
              </w:rPr>
              <w:t>**</w:t>
            </w:r>
          </w:p>
        </w:tc>
        <w:tc>
          <w:tcPr>
            <w:tcW w:w="1827" w:type="dxa"/>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before="60" w:after="60"/>
              <w:rPr>
                <w:b/>
                <w:bCs/>
                <w:i/>
                <w:noProof/>
                <w:szCs w:val="24"/>
              </w:rPr>
            </w:pPr>
            <w:r w:rsidRPr="009F2503">
              <w:rPr>
                <w:b/>
                <w:i/>
              </w:rPr>
              <w:t>neobvezno</w:t>
            </w:r>
          </w:p>
          <w:p w:rsidR="00D00FC9" w:rsidRPr="009F2503" w:rsidRDefault="00D00FC9" w:rsidP="00605A38">
            <w:pPr>
              <w:spacing w:before="60" w:after="60"/>
              <w:rPr>
                <w:b/>
                <w:bCs/>
                <w:i/>
                <w:noProof/>
                <w:szCs w:val="24"/>
              </w:rPr>
            </w:pPr>
            <w:r w:rsidRPr="009F2503">
              <w:rPr>
                <w:b/>
                <w:i/>
              </w:rPr>
              <w:t>**</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Trajnost baterije</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izjava</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nije potrebno</w:t>
            </w:r>
          </w:p>
        </w:tc>
        <w:tc>
          <w:tcPr>
            <w:tcW w:w="1827"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nije potrebno</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bCs/>
                <w:i/>
                <w:noProof/>
                <w:szCs w:val="24"/>
              </w:rPr>
            </w:pPr>
            <w:r w:rsidRPr="009F2503">
              <w:rPr>
                <w:b/>
                <w:i/>
              </w:rPr>
              <w:t>Utvrđivanje snage</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bCs/>
                <w:i/>
                <w:noProof/>
                <w:szCs w:val="24"/>
              </w:rPr>
            </w:pPr>
            <w:r w:rsidRPr="009F2503">
              <w:rPr>
                <w:b/>
                <w:i/>
              </w:rPr>
              <w:t>potrebno</w:t>
            </w:r>
          </w:p>
          <w:p w:rsidR="00D00FC9" w:rsidRPr="009F2503" w:rsidRDefault="00D00FC9" w:rsidP="00605A38">
            <w:pPr>
              <w:spacing w:before="60" w:after="60"/>
              <w:rPr>
                <w:b/>
                <w:bCs/>
                <w:i/>
                <w:noProof/>
                <w:szCs w:val="24"/>
              </w:rPr>
            </w:pPr>
            <w:r w:rsidRPr="009F2503">
              <w:rPr>
                <w:b/>
                <w:i/>
              </w:rPr>
              <w:t>**</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bCs/>
                <w:i/>
                <w:noProof/>
                <w:szCs w:val="24"/>
              </w:rPr>
            </w:pPr>
            <w:r w:rsidRPr="009F2503">
              <w:rPr>
                <w:b/>
                <w:i/>
              </w:rPr>
              <w:t xml:space="preserve">nije potrebno </w:t>
            </w:r>
          </w:p>
        </w:tc>
        <w:tc>
          <w:tcPr>
            <w:tcW w:w="1827"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bCs/>
                <w:i/>
                <w:noProof/>
                <w:szCs w:val="24"/>
              </w:rPr>
            </w:pPr>
            <w:r w:rsidRPr="009F2503">
              <w:rPr>
                <w:b/>
                <w:i/>
              </w:rPr>
              <w:t>nije potrebno</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 xml:space="preserve">Ugrađena dijagnostika (razina porodice po OBD-u) </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izjava</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nije potrebno</w:t>
            </w:r>
          </w:p>
        </w:tc>
        <w:tc>
          <w:tcPr>
            <w:tcW w:w="1827"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neobvezno</w:t>
            </w:r>
            <w:r w:rsidRPr="009F2503">
              <w:rPr>
                <w:vertAlign w:val="superscript"/>
              </w:rPr>
              <w:t>28</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Ugrađeno praćenje (razina porodice po OBM-u)</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demonstracija i izjava</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nije potrebno</w:t>
            </w:r>
          </w:p>
        </w:tc>
        <w:tc>
          <w:tcPr>
            <w:tcW w:w="1827"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potrebno</w:t>
            </w:r>
          </w:p>
        </w:tc>
      </w:tr>
      <w:tr w:rsidR="00D00FC9" w:rsidRPr="009F2503" w:rsidTr="00605A38">
        <w:trPr>
          <w:trHeight w:val="228"/>
        </w:trPr>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 xml:space="preserve">Zaštita od </w:t>
            </w:r>
            <w:r w:rsidRPr="009F2503">
              <w:lastRenderedPageBreak/>
              <w:t xml:space="preserve">nedopuštenih zahvata, sigurnost i </w:t>
            </w:r>
            <w:proofErr w:type="spellStart"/>
            <w:r w:rsidRPr="009F2503">
              <w:t>kibersigurnost</w:t>
            </w:r>
            <w:proofErr w:type="spellEnd"/>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lastRenderedPageBreak/>
              <w:t xml:space="preserve">izjava i </w:t>
            </w:r>
            <w:r w:rsidRPr="009F2503">
              <w:lastRenderedPageBreak/>
              <w:t>dokumentacija</w:t>
            </w:r>
          </w:p>
        </w:tc>
        <w:tc>
          <w:tcPr>
            <w:tcW w:w="2368"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lastRenderedPageBreak/>
              <w:t>nije potrebno</w:t>
            </w:r>
          </w:p>
        </w:tc>
        <w:tc>
          <w:tcPr>
            <w:tcW w:w="1827" w:type="dxa"/>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noProof/>
                <w:szCs w:val="24"/>
              </w:rPr>
            </w:pPr>
            <w:r w:rsidRPr="009F2503">
              <w:t>nije potrebno</w:t>
            </w:r>
          </w:p>
        </w:tc>
      </w:tr>
      <w:tr w:rsidR="00D00FC9" w:rsidRPr="009F2503" w:rsidTr="00605A38">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rPr>
                <w:b/>
                <w:bCs/>
                <w:i/>
                <w:noProof/>
              </w:rPr>
            </w:pPr>
            <w:r w:rsidRPr="009F2503">
              <w:rPr>
                <w:b/>
                <w:i/>
              </w:rPr>
              <w:t xml:space="preserve">* </w:t>
            </w:r>
            <w:r w:rsidRPr="009F2503">
              <w:rPr>
                <w:b/>
                <w:i/>
              </w:rPr>
              <w:tab/>
              <w:t>Potkrijepljena podacima o ispitivanju motora svih nazivnih snaga.</w:t>
            </w:r>
          </w:p>
          <w:p w:rsidR="00D00FC9" w:rsidRPr="009F2503" w:rsidRDefault="00D00FC9" w:rsidP="00605A38">
            <w:pPr>
              <w:rPr>
                <w:noProof/>
              </w:rPr>
            </w:pPr>
            <w:r w:rsidRPr="009F2503">
              <w:rPr>
                <w:b/>
                <w:i/>
              </w:rPr>
              <w:t>**</w:t>
            </w:r>
            <w:r w:rsidRPr="009F2503">
              <w:rPr>
                <w:b/>
                <w:i/>
              </w:rPr>
              <w:tab/>
              <w:t xml:space="preserve">Ako je riječ o vozilu sa sustavom motora </w:t>
            </w:r>
            <w:proofErr w:type="spellStart"/>
            <w:r w:rsidRPr="009F2503">
              <w:rPr>
                <w:b/>
                <w:i/>
              </w:rPr>
              <w:t>homologiranim</w:t>
            </w:r>
            <w:proofErr w:type="spellEnd"/>
            <w:r w:rsidRPr="009F2503">
              <w:rPr>
                <w:b/>
                <w:i/>
              </w:rPr>
              <w:t xml:space="preserve"> s obzirom na emisije, za to je ispitivanje odgovoran proizvođač motora.</w:t>
            </w:r>
          </w:p>
        </w:tc>
      </w:tr>
    </w:tbl>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164</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t>Prilog V. – tablica 4.</w:t>
      </w:r>
    </w:p>
    <w:tbl>
      <w:tblPr>
        <w:tblW w:w="5000" w:type="pct"/>
        <w:tblLook w:val="04A0" w:firstRow="1" w:lastRow="0" w:firstColumn="1" w:lastColumn="0" w:noHBand="0" w:noVBand="1"/>
      </w:tblPr>
      <w:tblGrid>
        <w:gridCol w:w="1332"/>
        <w:gridCol w:w="1368"/>
        <w:gridCol w:w="1368"/>
        <w:gridCol w:w="1368"/>
        <w:gridCol w:w="983"/>
        <w:gridCol w:w="1662"/>
        <w:gridCol w:w="983"/>
      </w:tblGrid>
      <w:tr w:rsidR="00D00FC9" w:rsidRPr="009F2503" w:rsidTr="00605A38">
        <w:tc>
          <w:tcPr>
            <w:tcW w:w="5000" w:type="pct"/>
            <w:gridSpan w:val="7"/>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jc w:val="center"/>
              <w:rPr>
                <w:b/>
                <w:noProof/>
              </w:rPr>
            </w:pPr>
            <w:r w:rsidRPr="009F2503">
              <w:t>Tekst koji je predložila Komisija</w:t>
            </w:r>
          </w:p>
        </w:tc>
      </w:tr>
      <w:tr w:rsidR="00D00FC9" w:rsidRPr="009F2503" w:rsidTr="00605A38">
        <w:tc>
          <w:tcPr>
            <w:tcW w:w="5000" w:type="pct"/>
            <w:gridSpan w:val="7"/>
            <w:tcBorders>
              <w:top w:val="single" w:sz="2" w:space="0" w:color="auto"/>
              <w:left w:val="single" w:sz="2" w:space="0" w:color="auto"/>
              <w:bottom w:val="single" w:sz="2" w:space="0" w:color="auto"/>
              <w:right w:val="single" w:sz="2" w:space="0" w:color="auto"/>
            </w:tcBorders>
          </w:tcPr>
          <w:p w:rsidR="00D00FC9" w:rsidRPr="009F2503" w:rsidRDefault="00D00FC9" w:rsidP="00605A38">
            <w:pPr>
              <w:rPr>
                <w:noProof/>
              </w:rPr>
            </w:pPr>
            <w:r w:rsidRPr="009F2503">
              <w:t>Tablica 4.: primjena ispitnih zahtjeva i izjava za homologacije i proširenja homologacija za vozila kategorija M2, M3, N2 i N3 za države članice i priznate treće strane/Komisiju</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Ispitni zahtjevi</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i zahtjevi </w:t>
            </w:r>
            <w:r w:rsidRPr="00EA726F">
              <w:rPr>
                <w:b/>
                <w:i/>
              </w:rPr>
              <w:t>pri</w:t>
            </w:r>
            <w:r w:rsidRPr="009F2503">
              <w:t xml:space="preserve"> </w:t>
            </w:r>
            <w:r w:rsidRPr="00EA726F">
              <w:rPr>
                <w:b/>
                <w:i/>
              </w:rPr>
              <w:t>prvobitnoj</w:t>
            </w:r>
            <w:r w:rsidRPr="009F2503">
              <w:t xml:space="preserve"> homologaciji s obzirom na emisije </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pri provjeri sukladnosti proizvodnje </w:t>
            </w:r>
          </w:p>
        </w:tc>
        <w:tc>
          <w:tcPr>
            <w:tcW w:w="1139" w:type="pct"/>
            <w:gridSpan w:val="2"/>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Ispitivanja pri provjeri sukladnosti u uporabi</w:t>
            </w:r>
          </w:p>
        </w:tc>
        <w:tc>
          <w:tcPr>
            <w:tcW w:w="1529" w:type="pct"/>
            <w:gridSpan w:val="2"/>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Ispitivanja pri nadzoru tržišta</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Relevantni subjekt</w:t>
            </w:r>
          </w:p>
        </w:tc>
        <w:tc>
          <w:tcPr>
            <w:tcW w:w="733" w:type="pct"/>
            <w:tcBorders>
              <w:top w:val="single" w:sz="2" w:space="0" w:color="auto"/>
              <w:left w:val="single" w:sz="2" w:space="0" w:color="auto"/>
              <w:bottom w:val="single" w:sz="2" w:space="0" w:color="auto"/>
              <w:right w:val="single" w:sz="2" w:space="0" w:color="auto"/>
            </w:tcBorders>
            <w:hideMark/>
          </w:tcPr>
          <w:p w:rsidR="00D00FC9" w:rsidRPr="00EA726F" w:rsidRDefault="00D00FC9" w:rsidP="00605A38">
            <w:pPr>
              <w:spacing w:line="276" w:lineRule="auto"/>
              <w:jc w:val="center"/>
              <w:rPr>
                <w:b/>
                <w:i/>
                <w:noProof/>
              </w:rPr>
            </w:pPr>
            <w:proofErr w:type="spellStart"/>
            <w:r w:rsidRPr="00EA726F">
              <w:rPr>
                <w:b/>
                <w:i/>
              </w:rPr>
              <w:t>homologacijsko</w:t>
            </w:r>
            <w:proofErr w:type="spellEnd"/>
            <w:r w:rsidRPr="00EA726F">
              <w:rPr>
                <w:b/>
                <w:i/>
              </w:rPr>
              <w:t xml:space="preserve"> tijelo koje izdaje homologaciju</w:t>
            </w:r>
          </w:p>
        </w:tc>
        <w:tc>
          <w:tcPr>
            <w:tcW w:w="741" w:type="pct"/>
            <w:tcBorders>
              <w:top w:val="single" w:sz="2" w:space="0" w:color="auto"/>
              <w:left w:val="single" w:sz="2" w:space="0" w:color="auto"/>
              <w:bottom w:val="single" w:sz="2" w:space="0" w:color="auto"/>
              <w:right w:val="single" w:sz="2" w:space="0" w:color="auto"/>
            </w:tcBorders>
            <w:hideMark/>
          </w:tcPr>
          <w:p w:rsidR="00D00FC9" w:rsidRPr="00EA726F" w:rsidRDefault="00D00FC9" w:rsidP="00605A38">
            <w:pPr>
              <w:spacing w:line="276" w:lineRule="auto"/>
              <w:jc w:val="center"/>
              <w:rPr>
                <w:b/>
                <w:i/>
                <w:noProof/>
              </w:rPr>
            </w:pPr>
            <w:proofErr w:type="spellStart"/>
            <w:r w:rsidRPr="00EA726F">
              <w:rPr>
                <w:b/>
                <w:i/>
              </w:rPr>
              <w:t>homologacijsko</w:t>
            </w:r>
            <w:proofErr w:type="spellEnd"/>
            <w:r w:rsidRPr="00EA726F">
              <w:rPr>
                <w:b/>
                <w:i/>
              </w:rPr>
              <w:t xml:space="preserve"> tijelo</w:t>
            </w:r>
          </w:p>
        </w:tc>
        <w:tc>
          <w:tcPr>
            <w:tcW w:w="498" w:type="pct"/>
            <w:tcBorders>
              <w:top w:val="single" w:sz="2" w:space="0" w:color="auto"/>
              <w:left w:val="single" w:sz="2" w:space="0" w:color="auto"/>
              <w:bottom w:val="single" w:sz="2" w:space="0" w:color="auto"/>
              <w:right w:val="single" w:sz="2" w:space="0" w:color="auto"/>
            </w:tcBorders>
            <w:hideMark/>
          </w:tcPr>
          <w:p w:rsidR="00D00FC9" w:rsidRPr="00C26121" w:rsidRDefault="00D00FC9" w:rsidP="00605A38">
            <w:pPr>
              <w:spacing w:line="276" w:lineRule="auto"/>
              <w:jc w:val="center"/>
              <w:rPr>
                <w:b/>
                <w:i/>
                <w:noProof/>
              </w:rPr>
            </w:pPr>
            <w:proofErr w:type="spellStart"/>
            <w:r w:rsidRPr="00EA726F">
              <w:rPr>
                <w:b/>
                <w:i/>
              </w:rPr>
              <w:t>homologacijsko</w:t>
            </w:r>
            <w:proofErr w:type="spellEnd"/>
            <w:r w:rsidRPr="00EA726F">
              <w:rPr>
                <w:b/>
                <w:i/>
              </w:rPr>
              <w:t xml:space="preserve"> tijelo</w:t>
            </w:r>
            <w:r w:rsidRPr="00C26121">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treće strane i Komisija</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tijela za nadzor tržišta </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treće strane i Komisija</w:t>
            </w:r>
          </w:p>
        </w:tc>
      </w:tr>
      <w:tr w:rsidR="00D00FC9" w:rsidRPr="009F2503" w:rsidTr="00605A38">
        <w:trPr>
          <w:trHeight w:val="469"/>
        </w:trPr>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Plinovite onečišćujuće tvari, PM i PN u ispitivanju na cesti (RDE) za svako gorivo i za primjenjive kategorije vozila (M2, M3, N2 i N3) </w:t>
            </w:r>
            <w:r w:rsidRPr="009F2503">
              <w:rPr>
                <w:b/>
                <w:i/>
              </w:rPr>
              <w:t>te ispitivanje s niskim opterećenjem (prema potrebi)</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potrebni su demonstracijska ispitivanja za sva goriva za koja je dodijeljena homologacija po tipu vozila i izjava o sukladnosti za sva goriva, sve korisne terete i sve primjenjive tipove </w:t>
            </w:r>
            <w:r w:rsidRPr="009F2503">
              <w:lastRenderedPageBreak/>
              <w:t>vozila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after="120"/>
              <w:ind w:left="112"/>
              <w:rPr>
                <w:noProof/>
              </w:rPr>
            </w:pPr>
            <w:r w:rsidRPr="009F2503">
              <w:lastRenderedPageBreak/>
              <w:t>(vidjeti zahtjeve za motor)</w:t>
            </w:r>
          </w:p>
        </w:tc>
        <w:tc>
          <w:tcPr>
            <w:tcW w:w="498"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rPr>
                <w:noProof/>
              </w:rPr>
            </w:pPr>
            <w:r w:rsidRPr="009F2503">
              <w:t xml:space="preserve">potrebno svake godine za odgovarajući broj tipova vozila uz bilo koje gorivo i bilo koju kategoriju vozila obuhvaćenu homologacijom s obzirom na emisije </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rPr>
          <w:trHeight w:val="469"/>
        </w:trPr>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emisije CO2, potrošnja goriva/energije, određivanje autonomije s nultim emisijama/na električni pogon za vozilo</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izdavanje dozvole za VECTO</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za sastavne dijelove</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rPr>
          <w:trHeight w:val="469"/>
        </w:trPr>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Energetska učinkovitost prikolica</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izdavanje dozvole za VECTO</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za sastavne dijelove</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rPr>
          <w:trHeight w:val="469"/>
        </w:trPr>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Ispitna provjera</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Emisije iz kućišta koljenastog vratila</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provjera ugradnje zatvorenog sustava kućišta koljenastog vratila ili usmjeravanja prema ispušnoj cijevi </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s obzirom na emisije</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baterije</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Ugrađena dijagnostika (razina porodice po OBD-u) </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Ugrađeno praćenje </w:t>
            </w:r>
            <w:r w:rsidRPr="009F2503">
              <w:lastRenderedPageBreak/>
              <w:t>(razina porodice po OBM-u)</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lastRenderedPageBreak/>
              <w:t>izjava i demonstrac</w:t>
            </w:r>
            <w:r w:rsidRPr="009F2503">
              <w:lastRenderedPageBreak/>
              <w:t>ija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lastRenderedPageBreak/>
              <w:t>nije 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w:t>
            </w:r>
            <w:r w:rsidRPr="009F2503">
              <w:lastRenderedPageBreak/>
              <w:t>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lastRenderedPageBreak/>
              <w:t>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Zaštita od nedopuštenih zahvata, sigurnost i </w:t>
            </w:r>
            <w:proofErr w:type="spellStart"/>
            <w:r w:rsidRPr="009F2503">
              <w:t>kibersigurnost</w:t>
            </w:r>
            <w:proofErr w:type="spellEnd"/>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 i dokumentacija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Adaptivne kontrole (prema potrebi)</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izjava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 xml:space="preserve">nije potrebno </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 xml:space="preserve">nije potrebno </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 xml:space="preserve">nije potrebno </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neobvezno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neobvezno</w:t>
            </w:r>
          </w:p>
        </w:tc>
      </w:tr>
      <w:tr w:rsidR="00D00FC9" w:rsidRPr="009F2503" w:rsidTr="00605A38">
        <w:tc>
          <w:tcPr>
            <w:tcW w:w="85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Tehnologije određivanja geografskih granica (prema potrebi)</w:t>
            </w:r>
          </w:p>
        </w:tc>
        <w:tc>
          <w:tcPr>
            <w:tcW w:w="73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izjava i demonstracija</w:t>
            </w:r>
          </w:p>
        </w:tc>
        <w:tc>
          <w:tcPr>
            <w:tcW w:w="7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c>
          <w:tcPr>
            <w:tcW w:w="49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nije potrebno</w:t>
            </w:r>
          </w:p>
        </w:tc>
        <w:tc>
          <w:tcPr>
            <w:tcW w:w="888"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potrebno</w:t>
            </w:r>
          </w:p>
        </w:tc>
        <w:tc>
          <w:tcPr>
            <w:tcW w:w="64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neobvezno</w:t>
            </w:r>
          </w:p>
        </w:tc>
      </w:tr>
    </w:tbl>
    <w:p w:rsidR="00D00FC9" w:rsidRPr="009F2503" w:rsidRDefault="00D00FC9" w:rsidP="00D00FC9">
      <w:pPr>
        <w:pStyle w:val="AmOrLang"/>
      </w:pPr>
    </w:p>
    <w:tbl>
      <w:tblPr>
        <w:tblW w:w="5000" w:type="pct"/>
        <w:tblLook w:val="04A0" w:firstRow="1" w:lastRow="0" w:firstColumn="1" w:lastColumn="0" w:noHBand="0" w:noVBand="1"/>
      </w:tblPr>
      <w:tblGrid>
        <w:gridCol w:w="1350"/>
        <w:gridCol w:w="1385"/>
        <w:gridCol w:w="1216"/>
        <w:gridCol w:w="1346"/>
        <w:gridCol w:w="996"/>
        <w:gridCol w:w="1685"/>
        <w:gridCol w:w="1086"/>
      </w:tblGrid>
      <w:tr w:rsidR="00D00FC9" w:rsidRPr="009F2503" w:rsidTr="00605A38">
        <w:tc>
          <w:tcPr>
            <w:tcW w:w="5000" w:type="pct"/>
            <w:gridSpan w:val="7"/>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jc w:val="center"/>
              <w:rPr>
                <w:b/>
                <w:i/>
                <w:noProof/>
              </w:rPr>
            </w:pPr>
            <w:r w:rsidRPr="009F2503">
              <w:rPr>
                <w:i/>
              </w:rPr>
              <w:t>Izmjena</w:t>
            </w:r>
          </w:p>
        </w:tc>
      </w:tr>
      <w:tr w:rsidR="00D00FC9" w:rsidRPr="009F2503" w:rsidTr="00605A38">
        <w:tc>
          <w:tcPr>
            <w:tcW w:w="5000" w:type="pct"/>
            <w:gridSpan w:val="7"/>
            <w:tcBorders>
              <w:top w:val="single" w:sz="2" w:space="0" w:color="auto"/>
              <w:left w:val="single" w:sz="2" w:space="0" w:color="auto"/>
              <w:bottom w:val="single" w:sz="2" w:space="0" w:color="auto"/>
              <w:right w:val="single" w:sz="2" w:space="0" w:color="auto"/>
            </w:tcBorders>
          </w:tcPr>
          <w:p w:rsidR="00D00FC9" w:rsidRPr="009F2503" w:rsidRDefault="00D00FC9" w:rsidP="00605A38">
            <w:pPr>
              <w:rPr>
                <w:noProof/>
              </w:rPr>
            </w:pPr>
            <w:r w:rsidRPr="009F2503">
              <w:t>Tablica 4.: primjena ispitnih zahtjeva i izjava za homologacije i proširenja homologacija za vozila kategorija M2, M3, N2 i N3 za države članice i priznate treće strane/Komisiju</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Ispitni zahtjevi</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i zahtjevi </w:t>
            </w:r>
            <w:r w:rsidRPr="00EA726F">
              <w:rPr>
                <w:b/>
                <w:i/>
              </w:rPr>
              <w:t>za</w:t>
            </w:r>
            <w:r w:rsidRPr="009F2503">
              <w:t xml:space="preserve"> homologaciju s obzirom na emisije </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pri provjeri sukladnosti proizvodnje </w:t>
            </w:r>
          </w:p>
        </w:tc>
        <w:tc>
          <w:tcPr>
            <w:tcW w:w="1148" w:type="pct"/>
            <w:gridSpan w:val="2"/>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Ispitivanja pri provjeri sukladnosti u uporabi</w:t>
            </w:r>
          </w:p>
        </w:tc>
        <w:tc>
          <w:tcPr>
            <w:tcW w:w="1525" w:type="pct"/>
            <w:gridSpan w:val="2"/>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Ispitivanja pri nadzoru tržišta</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Relevantni subjekt</w:t>
            </w:r>
          </w:p>
        </w:tc>
        <w:tc>
          <w:tcPr>
            <w:tcW w:w="731" w:type="pct"/>
            <w:tcBorders>
              <w:top w:val="single" w:sz="2" w:space="0" w:color="auto"/>
              <w:left w:val="single" w:sz="2" w:space="0" w:color="auto"/>
              <w:bottom w:val="single" w:sz="2" w:space="0" w:color="auto"/>
              <w:right w:val="single" w:sz="2" w:space="0" w:color="auto"/>
            </w:tcBorders>
            <w:hideMark/>
          </w:tcPr>
          <w:p w:rsidR="00D00FC9" w:rsidRPr="00C26121" w:rsidRDefault="00D00FC9" w:rsidP="00605A38">
            <w:pPr>
              <w:spacing w:line="276" w:lineRule="auto"/>
              <w:jc w:val="center"/>
              <w:rPr>
                <w:b/>
                <w:i/>
                <w:noProof/>
              </w:rPr>
            </w:pPr>
            <w:proofErr w:type="spellStart"/>
            <w:r w:rsidRPr="00EA726F">
              <w:rPr>
                <w:b/>
                <w:i/>
              </w:rPr>
              <w:t>dodjelitelj</w:t>
            </w:r>
            <w:proofErr w:type="spellEnd"/>
            <w:r w:rsidRPr="00EA726F">
              <w:rPr>
                <w:b/>
                <w:i/>
              </w:rPr>
              <w:t xml:space="preserve"> homologacije</w:t>
            </w:r>
          </w:p>
        </w:tc>
        <w:tc>
          <w:tcPr>
            <w:tcW w:w="739" w:type="pct"/>
            <w:tcBorders>
              <w:top w:val="single" w:sz="2" w:space="0" w:color="auto"/>
              <w:left w:val="single" w:sz="2" w:space="0" w:color="auto"/>
              <w:bottom w:val="single" w:sz="2" w:space="0" w:color="auto"/>
              <w:right w:val="single" w:sz="2" w:space="0" w:color="auto"/>
            </w:tcBorders>
            <w:hideMark/>
          </w:tcPr>
          <w:p w:rsidR="00D00FC9" w:rsidRPr="00C26121" w:rsidRDefault="00D00FC9" w:rsidP="00605A38">
            <w:pPr>
              <w:spacing w:line="276" w:lineRule="auto"/>
              <w:jc w:val="center"/>
              <w:rPr>
                <w:b/>
                <w:i/>
                <w:noProof/>
              </w:rPr>
            </w:pPr>
            <w:proofErr w:type="spellStart"/>
            <w:r w:rsidRPr="00EA726F">
              <w:rPr>
                <w:b/>
                <w:i/>
              </w:rPr>
              <w:t>dodjelitelj</w:t>
            </w:r>
            <w:proofErr w:type="spellEnd"/>
            <w:r w:rsidRPr="00EA726F">
              <w:rPr>
                <w:b/>
                <w:i/>
              </w:rPr>
              <w:t xml:space="preserve"> homologacije</w:t>
            </w:r>
          </w:p>
        </w:tc>
        <w:tc>
          <w:tcPr>
            <w:tcW w:w="509" w:type="pct"/>
            <w:tcBorders>
              <w:top w:val="single" w:sz="2" w:space="0" w:color="auto"/>
              <w:left w:val="single" w:sz="2" w:space="0" w:color="auto"/>
              <w:bottom w:val="single" w:sz="2" w:space="0" w:color="auto"/>
              <w:right w:val="single" w:sz="2" w:space="0" w:color="auto"/>
            </w:tcBorders>
            <w:hideMark/>
          </w:tcPr>
          <w:p w:rsidR="00D00FC9" w:rsidRPr="00C26121" w:rsidRDefault="00D00FC9" w:rsidP="00605A38">
            <w:pPr>
              <w:spacing w:line="276" w:lineRule="auto"/>
              <w:jc w:val="center"/>
              <w:rPr>
                <w:b/>
                <w:i/>
                <w:noProof/>
              </w:rPr>
            </w:pPr>
            <w:proofErr w:type="spellStart"/>
            <w:r w:rsidRPr="00EA726F">
              <w:rPr>
                <w:b/>
                <w:i/>
              </w:rPr>
              <w:t>dodjelitelj</w:t>
            </w:r>
            <w:proofErr w:type="spellEnd"/>
            <w:r w:rsidRPr="00EA726F">
              <w:rPr>
                <w:b/>
                <w:i/>
              </w:rPr>
              <w:t xml:space="preserve"> homologacije</w:t>
            </w:r>
            <w:r w:rsidRPr="00C26121">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treće strane i Komisija</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tijela za nadzor tržišta </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treće strane i Komisija</w:t>
            </w:r>
          </w:p>
        </w:tc>
      </w:tr>
      <w:tr w:rsidR="00D00FC9" w:rsidRPr="009F2503" w:rsidTr="00605A38">
        <w:trPr>
          <w:trHeight w:val="469"/>
        </w:trPr>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Plinovite onečišćujuće tvari, PM i PN u ispitivanju </w:t>
            </w:r>
            <w:r w:rsidRPr="009F2503">
              <w:lastRenderedPageBreak/>
              <w:t>na cesti (RDE) za svako gorivo i za primjenjive kategorije vozila (M2, M3, N2 i N3)</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lastRenderedPageBreak/>
              <w:t xml:space="preserve">potrebna demonstracijska ispitivanja za sva </w:t>
            </w:r>
            <w:r w:rsidRPr="009F2503">
              <w:lastRenderedPageBreak/>
              <w:t>goriva za koja je dodijeljena homologacija po tipu vozila i izjava o sukladnosti za sva goriva, sve korisne terete i sve primjenjive kategorije vozila</w:t>
            </w:r>
          </w:p>
          <w:p w:rsidR="00D00FC9" w:rsidRPr="009F2503" w:rsidRDefault="00D00FC9" w:rsidP="00605A38">
            <w:pPr>
              <w:spacing w:line="276" w:lineRule="auto"/>
              <w:rPr>
                <w:noProof/>
              </w:rPr>
            </w:pPr>
            <w:r w:rsidRPr="009F2503">
              <w:t>**</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after="120"/>
              <w:ind w:left="112"/>
              <w:rPr>
                <w:noProof/>
              </w:rPr>
            </w:pPr>
            <w:r w:rsidRPr="009F2503">
              <w:lastRenderedPageBreak/>
              <w:t>(vidjeti zahtjeve za motor)</w:t>
            </w:r>
          </w:p>
        </w:tc>
        <w:tc>
          <w:tcPr>
            <w:tcW w:w="509"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rPr>
                <w:noProof/>
              </w:rPr>
            </w:pPr>
            <w:r w:rsidRPr="009F2503">
              <w:t xml:space="preserve">potrebno svake godine za odgovarajući broj </w:t>
            </w:r>
            <w:r w:rsidRPr="009F2503">
              <w:lastRenderedPageBreak/>
              <w:t xml:space="preserve">tipova vozila uz bilo koje gorivo i bilo koju kategoriju vozila obuhvaćenu homologacijom s obzirom na emisije </w:t>
            </w:r>
          </w:p>
          <w:p w:rsidR="00D00FC9" w:rsidRPr="009F2503" w:rsidRDefault="00D00FC9" w:rsidP="00605A38">
            <w:pPr>
              <w:spacing w:line="276" w:lineRule="auto"/>
              <w:rPr>
                <w:b/>
                <w:i/>
                <w:noProof/>
              </w:rPr>
            </w:pPr>
            <w:r w:rsidRPr="009F2503">
              <w:rPr>
                <w:b/>
                <w:i/>
              </w:rPr>
              <w:t>**</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lastRenderedPageBreak/>
              <w:t>neobvezno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rPr>
          <w:trHeight w:val="469"/>
        </w:trPr>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emisije CO2, potrošnja goriva/energije, određivanje autonomije s nultim emisijama/na električni pogon za vozilo</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izdavanje dozvole za VECTO</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za sastavne dijelove</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rPr>
          <w:trHeight w:val="469"/>
        </w:trPr>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Energetska učinkovitost prikolica</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izdavanje dozvole za VECTO</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za sastavne dijelove</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rPr>
          <w:trHeight w:val="469"/>
        </w:trPr>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Ispitna provjera</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Emisije iz kućišta koljenastog vratila</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provjera ugradnje zatvorenog sustava kućišta koljenastog vratila ili usmjeravanja prema ispušnoj </w:t>
            </w:r>
            <w:r w:rsidRPr="009F2503">
              <w:lastRenderedPageBreak/>
              <w:t xml:space="preserve">cijevi </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lastRenderedPageBreak/>
              <w:t>nije potrebno</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s obzirom na emisije</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szCs w:val="24"/>
              </w:rPr>
            </w:pPr>
            <w:r w:rsidRPr="009F2503">
              <w:rPr>
                <w:b/>
                <w:i/>
              </w:rPr>
              <w:t>Ispravan rad sustava koji koriste potrošni reagens i sustava za kontrolu onečišćenja</w:t>
            </w:r>
          </w:p>
        </w:tc>
        <w:tc>
          <w:tcPr>
            <w:tcW w:w="731"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szCs w:val="24"/>
              </w:rPr>
            </w:pPr>
            <w:r w:rsidRPr="009F2503">
              <w:rPr>
                <w:b/>
                <w:i/>
              </w:rPr>
              <w:t>nije potrebno</w:t>
            </w:r>
          </w:p>
        </w:tc>
        <w:tc>
          <w:tcPr>
            <w:tcW w:w="739"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szCs w:val="24"/>
              </w:rPr>
            </w:pPr>
            <w:r w:rsidRPr="009F2503">
              <w:rPr>
                <w:b/>
                <w:i/>
              </w:rPr>
              <w:t>nije potrebno</w:t>
            </w:r>
          </w:p>
        </w:tc>
        <w:tc>
          <w:tcPr>
            <w:tcW w:w="509"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szCs w:val="24"/>
              </w:rPr>
            </w:pPr>
            <w:r w:rsidRPr="009F2503">
              <w:rPr>
                <w:b/>
                <w:i/>
              </w:rPr>
              <w:t>potrebno</w:t>
            </w:r>
          </w:p>
        </w:tc>
        <w:tc>
          <w:tcPr>
            <w:tcW w:w="640"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szCs w:val="24"/>
              </w:rPr>
            </w:pPr>
            <w:r w:rsidRPr="009F2503">
              <w:rPr>
                <w:b/>
                <w:i/>
              </w:rPr>
              <w:t>neobvezno</w:t>
            </w:r>
          </w:p>
        </w:tc>
        <w:tc>
          <w:tcPr>
            <w:tcW w:w="885"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szCs w:val="24"/>
              </w:rPr>
            </w:pPr>
            <w:r w:rsidRPr="009F2503">
              <w:rPr>
                <w:b/>
                <w:i/>
              </w:rPr>
              <w:t>potrebno</w:t>
            </w:r>
          </w:p>
        </w:tc>
        <w:tc>
          <w:tcPr>
            <w:tcW w:w="640"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szCs w:val="24"/>
              </w:rPr>
            </w:pPr>
            <w:r w:rsidRPr="009F2503">
              <w:rPr>
                <w:b/>
                <w:i/>
              </w:rPr>
              <w:t>Ispravan rad sustava koji koriste potrošni reagens i sustava za kontrolu onečišćenja</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baterije</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bCs/>
                <w:i/>
                <w:noProof/>
                <w:szCs w:val="24"/>
              </w:rPr>
            </w:pPr>
            <w:r w:rsidRPr="009F2503">
              <w:rPr>
                <w:b/>
                <w:i/>
              </w:rPr>
              <w:t>Utvrđivanje snage</w:t>
            </w:r>
          </w:p>
        </w:tc>
        <w:tc>
          <w:tcPr>
            <w:tcW w:w="731"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potrebno</w:t>
            </w:r>
          </w:p>
          <w:p w:rsidR="00D00FC9" w:rsidRPr="009F2503" w:rsidRDefault="00D00FC9" w:rsidP="00605A38">
            <w:pPr>
              <w:spacing w:before="60" w:after="60"/>
              <w:rPr>
                <w:b/>
                <w:i/>
                <w:noProof/>
                <w:szCs w:val="24"/>
              </w:rPr>
            </w:pPr>
            <w:r w:rsidRPr="009F2503">
              <w:rPr>
                <w:b/>
                <w:i/>
              </w:rPr>
              <w:t>**</w:t>
            </w:r>
          </w:p>
        </w:tc>
        <w:tc>
          <w:tcPr>
            <w:tcW w:w="739"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nije potrebno</w:t>
            </w:r>
          </w:p>
        </w:tc>
        <w:tc>
          <w:tcPr>
            <w:tcW w:w="509"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neobvezno</w:t>
            </w:r>
          </w:p>
        </w:tc>
        <w:tc>
          <w:tcPr>
            <w:tcW w:w="640"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neobvezno</w:t>
            </w:r>
          </w:p>
        </w:tc>
        <w:tc>
          <w:tcPr>
            <w:tcW w:w="885"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neobvezno</w:t>
            </w:r>
          </w:p>
        </w:tc>
        <w:tc>
          <w:tcPr>
            <w:tcW w:w="640"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neobvezno</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Ugrađena dijagnostika (razina porodice po OBD-u) </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Ugrađeno praćenje (razina porodice po OBM-u)</w:t>
            </w:r>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 i demonstracija</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857"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Zaštita od nedopuštenih zahvata, sigurnost i </w:t>
            </w:r>
            <w:proofErr w:type="spellStart"/>
            <w:r w:rsidRPr="009F2503">
              <w:t>kibersigurnost</w:t>
            </w:r>
            <w:proofErr w:type="spellEnd"/>
          </w:p>
        </w:tc>
        <w:tc>
          <w:tcPr>
            <w:tcW w:w="7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 i dokumentacija</w:t>
            </w:r>
          </w:p>
        </w:tc>
        <w:tc>
          <w:tcPr>
            <w:tcW w:w="73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509"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885"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w:t>
            </w:r>
          </w:p>
        </w:tc>
        <w:tc>
          <w:tcPr>
            <w:tcW w:w="640"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neobvezno</w:t>
            </w:r>
          </w:p>
        </w:tc>
      </w:tr>
      <w:tr w:rsidR="00D00FC9" w:rsidRPr="009F2503" w:rsidTr="00605A38">
        <w:tc>
          <w:tcPr>
            <w:tcW w:w="5000" w:type="pct"/>
            <w:gridSpan w:val="7"/>
            <w:tcBorders>
              <w:top w:val="single" w:sz="2" w:space="0" w:color="auto"/>
              <w:left w:val="single" w:sz="2" w:space="0" w:color="auto"/>
              <w:bottom w:val="single" w:sz="2" w:space="0" w:color="auto"/>
              <w:right w:val="single" w:sz="2" w:space="0" w:color="auto"/>
            </w:tcBorders>
          </w:tcPr>
          <w:p w:rsidR="00D00FC9" w:rsidRPr="009F2503" w:rsidRDefault="00D00FC9" w:rsidP="00605A38">
            <w:pPr>
              <w:rPr>
                <w:b/>
                <w:noProof/>
                <w:sz w:val="20"/>
              </w:rPr>
            </w:pPr>
            <w:r w:rsidRPr="009F2503">
              <w:rPr>
                <w:b/>
                <w:i/>
                <w:sz w:val="20"/>
              </w:rPr>
              <w:t>**</w:t>
            </w:r>
            <w:r w:rsidRPr="009F2503">
              <w:rPr>
                <w:b/>
                <w:i/>
                <w:sz w:val="20"/>
              </w:rPr>
              <w:tab/>
              <w:t xml:space="preserve">Ako je riječ o vozilu sa sustavom motora </w:t>
            </w:r>
            <w:proofErr w:type="spellStart"/>
            <w:r w:rsidRPr="009F2503">
              <w:rPr>
                <w:b/>
                <w:i/>
                <w:sz w:val="20"/>
              </w:rPr>
              <w:t>homologiranim</w:t>
            </w:r>
            <w:proofErr w:type="spellEnd"/>
            <w:r w:rsidRPr="009F2503">
              <w:rPr>
                <w:b/>
                <w:i/>
                <w:sz w:val="20"/>
              </w:rPr>
              <w:t xml:space="preserve"> s obzirom na emisije, za to je ispitivanje odgovoran proizvođač motora.</w:t>
            </w:r>
          </w:p>
        </w:tc>
      </w:tr>
    </w:tbl>
    <w:p w:rsidR="00D00FC9" w:rsidRPr="009F2503" w:rsidRDefault="00D00FC9" w:rsidP="00D00FC9">
      <w:pPr>
        <w:pStyle w:val="AmOrLang"/>
      </w:pPr>
    </w:p>
    <w:p w:rsidR="00D00FC9" w:rsidRPr="009F2503" w:rsidRDefault="00D00FC9" w:rsidP="00D00FC9"/>
    <w:p w:rsidR="00D00FC9" w:rsidRPr="009F2503" w:rsidRDefault="00D00FC9" w:rsidP="00D00FC9">
      <w:pPr>
        <w:pStyle w:val="AmNumberTabs"/>
        <w:keepNext/>
      </w:pPr>
      <w:r w:rsidRPr="009F2503">
        <w:t>Amandman</w:t>
      </w:r>
      <w:r w:rsidRPr="009F2503">
        <w:tab/>
      </w:r>
      <w:r w:rsidRPr="009F2503">
        <w:tab/>
        <w:t>165</w:t>
      </w:r>
    </w:p>
    <w:p w:rsidR="00D00FC9" w:rsidRPr="009F2503" w:rsidRDefault="00D00FC9" w:rsidP="00D00FC9">
      <w:pPr>
        <w:pStyle w:val="NormalBold12b"/>
      </w:pPr>
      <w:r w:rsidRPr="009F2503">
        <w:t>Prijedlog uredbe</w:t>
      </w:r>
    </w:p>
    <w:p w:rsidR="00D00FC9" w:rsidRPr="009F2503" w:rsidRDefault="00D00FC9" w:rsidP="00D00FC9">
      <w:pPr>
        <w:pStyle w:val="NormalBold"/>
        <w:keepNext/>
      </w:pPr>
      <w:r w:rsidRPr="009F2503">
        <w:lastRenderedPageBreak/>
        <w:t>Prilog V. – tablica 5.</w:t>
      </w:r>
    </w:p>
    <w:tbl>
      <w:tblPr>
        <w:tblW w:w="5000" w:type="pct"/>
        <w:tblLook w:val="04A0" w:firstRow="1" w:lastRow="0" w:firstColumn="1" w:lastColumn="0" w:noHBand="0" w:noVBand="1"/>
      </w:tblPr>
      <w:tblGrid>
        <w:gridCol w:w="2562"/>
        <w:gridCol w:w="2640"/>
        <w:gridCol w:w="1931"/>
        <w:gridCol w:w="1931"/>
      </w:tblGrid>
      <w:tr w:rsidR="00D00FC9" w:rsidRPr="009F2503" w:rsidTr="00605A38">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jc w:val="center"/>
              <w:rPr>
                <w:i/>
                <w:noProof/>
              </w:rPr>
            </w:pPr>
            <w:r w:rsidRPr="009F2503">
              <w:rPr>
                <w:i/>
              </w:rPr>
              <w:t>Tekst koji je predložila Komisija</w:t>
            </w:r>
          </w:p>
        </w:tc>
      </w:tr>
      <w:tr w:rsidR="00D00FC9" w:rsidRPr="009F2503" w:rsidTr="00605A38">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rPr>
                <w:noProof/>
              </w:rPr>
            </w:pPr>
            <w:r w:rsidRPr="009F2503">
              <w:t>Tablica 5.: primjena ispitnih zahtjeva i izjava za homologacije i proširenja homologacija motora namijenjenih za vozila kategorija M2, M3, N2 i N3 za proizvođače</w:t>
            </w: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Ispitni zahtjevi za svako gorivo</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i zahtjevi </w:t>
            </w:r>
            <w:r w:rsidRPr="00EA726F">
              <w:rPr>
                <w:b/>
                <w:i/>
              </w:rPr>
              <w:t>pri prvobitnoj</w:t>
            </w:r>
            <w:r w:rsidRPr="009F2503">
              <w:t xml:space="preserve"> homologaciji s obzirom na emisije </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pri provjeri sukladnosti proizvodnje </w:t>
            </w:r>
          </w:p>
        </w:tc>
        <w:tc>
          <w:tcPr>
            <w:tcW w:w="1092"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Ispitivanja pri provjeri sukladnosti u uporabi</w:t>
            </w:r>
          </w:p>
        </w:tc>
      </w:tr>
      <w:tr w:rsidR="00D00FC9" w:rsidRPr="009F2503" w:rsidTr="00605A38">
        <w:trPr>
          <w:trHeight w:val="885"/>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Plinovite onečišćujuće tvari, PM i PN, emisije CO2, potrošnja goriva u dinamičkom ispitnom ciklusu (hladni i vrući WHTC)</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 za osnovni motor porodice po emisijama i izjava za sve članove porodice**</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 za motor izvan porodice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jc w:val="center"/>
              <w:rPr>
                <w:noProof/>
              </w:rPr>
            </w:pPr>
            <w:r w:rsidRPr="009F2503">
              <w:t>provode se samo s potpunim vozilom kako je navedeno u tablicama 3. i 4.</w:t>
            </w:r>
          </w:p>
        </w:tc>
      </w:tr>
      <w:tr w:rsidR="00D00FC9" w:rsidRPr="009F2503" w:rsidTr="00605A38">
        <w:trPr>
          <w:trHeight w:val="685"/>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Ispitivanja motora radi provjere podataka potrebnih za utvrđivanje vrijednosti emisija CO2 </w:t>
            </w:r>
          </w:p>
        </w:tc>
        <w:tc>
          <w:tcPr>
            <w:tcW w:w="1484"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rPr>
                <w:noProof/>
              </w:rPr>
            </w:pPr>
            <w:r w:rsidRPr="009F2503">
              <w:t xml:space="preserve">potrebno </w:t>
            </w:r>
          </w:p>
          <w:p w:rsidR="00D00FC9" w:rsidRPr="009F2503" w:rsidRDefault="00D00FC9" w:rsidP="00605A38">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potrebno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50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Kontinuirana/periodična regeneracija</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4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Emisije iz kućišta koljenastog vratila</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provjera ugradnje zatvorenog sustava kućišta koljenastog vratila ili usmjeravanja prema ispušnoj cijevi</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48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s obzirom na emisije</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Ugrađena dijagnostika (razina porodice po OBD-u)</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Ugrađeno praćenje (razina porodice po OBM-u)</w:t>
            </w:r>
          </w:p>
        </w:tc>
        <w:tc>
          <w:tcPr>
            <w:tcW w:w="1484" w:type="pct"/>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rPr>
            </w:pPr>
            <w:r w:rsidRPr="009F2503">
              <w:t>provode se samo s potpunim vozilom kako je navedeno u tablicama 3. i 4.</w:t>
            </w:r>
          </w:p>
        </w:tc>
        <w:tc>
          <w:tcPr>
            <w:tcW w:w="1093" w:type="pct"/>
            <w:tcBorders>
              <w:top w:val="nil"/>
              <w:left w:val="single" w:sz="2" w:space="0" w:color="auto"/>
              <w:bottom w:val="nil"/>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b/>
                <w:i/>
                <w:noProof/>
              </w:rPr>
            </w:pPr>
            <w:r w:rsidRPr="009F2503">
              <w:rPr>
                <w:b/>
                <w:i/>
              </w:rPr>
              <w:t>Snaga motora</w:t>
            </w:r>
          </w:p>
        </w:tc>
        <w:tc>
          <w:tcPr>
            <w:tcW w:w="2577" w:type="pct"/>
            <w:gridSpan w:val="2"/>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b/>
                <w:i/>
                <w:noProof/>
              </w:rPr>
            </w:pPr>
            <w:r w:rsidRPr="009F2503">
              <w:rPr>
                <w:b/>
                <w:i/>
              </w:rPr>
              <w:t>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b/>
                <w:i/>
                <w:noProof/>
                <w:szCs w:val="22"/>
                <w:lang w:eastAsia="en-US"/>
              </w:rPr>
            </w:pPr>
          </w:p>
        </w:tc>
      </w:tr>
      <w:tr w:rsidR="00D00FC9" w:rsidRPr="009F2503" w:rsidTr="00605A38">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rPr>
                <w:bCs/>
                <w:noProof/>
                <w:sz w:val="20"/>
                <w:szCs w:val="19"/>
              </w:rPr>
            </w:pPr>
            <w:r w:rsidRPr="009F2503">
              <w:rPr>
                <w:sz w:val="20"/>
              </w:rPr>
              <w:t xml:space="preserve">* </w:t>
            </w:r>
            <w:proofErr w:type="spellStart"/>
            <w:r w:rsidRPr="009F2503">
              <w:rPr>
                <w:sz w:val="20"/>
              </w:rPr>
              <w:t>Homologacijsko</w:t>
            </w:r>
            <w:proofErr w:type="spellEnd"/>
            <w:r w:rsidRPr="009F2503">
              <w:rPr>
                <w:sz w:val="20"/>
              </w:rPr>
              <w:t xml:space="preserve"> tijelo može zatražiti provedbu ispitivanja za vrijeme prvobitne homologacije. </w:t>
            </w:r>
          </w:p>
          <w:p w:rsidR="00D00FC9" w:rsidRPr="009F2503" w:rsidRDefault="00D00FC9" w:rsidP="00605A38">
            <w:pPr>
              <w:rPr>
                <w:b/>
                <w:bCs/>
                <w:noProof/>
                <w:sz w:val="19"/>
                <w:szCs w:val="19"/>
              </w:rPr>
            </w:pPr>
            <w:r w:rsidRPr="009F2503">
              <w:rPr>
                <w:sz w:val="20"/>
              </w:rPr>
              <w:t>** Potkrijepljena podacima o ispitivanju motora svih nazivnih snaga.</w:t>
            </w:r>
          </w:p>
        </w:tc>
      </w:tr>
    </w:tbl>
    <w:p w:rsidR="00D00FC9" w:rsidRPr="009F2503" w:rsidRDefault="00D00FC9" w:rsidP="00D00FC9">
      <w:pPr>
        <w:pStyle w:val="AmOrLang"/>
      </w:pPr>
    </w:p>
    <w:tbl>
      <w:tblPr>
        <w:tblW w:w="5000" w:type="pct"/>
        <w:tblLook w:val="04A0" w:firstRow="1" w:lastRow="0" w:firstColumn="1" w:lastColumn="0" w:noHBand="0" w:noVBand="1"/>
      </w:tblPr>
      <w:tblGrid>
        <w:gridCol w:w="2562"/>
        <w:gridCol w:w="2640"/>
        <w:gridCol w:w="1931"/>
        <w:gridCol w:w="1931"/>
      </w:tblGrid>
      <w:tr w:rsidR="00D00FC9" w:rsidRPr="009F2503" w:rsidTr="00605A38">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jc w:val="center"/>
              <w:rPr>
                <w:i/>
                <w:noProof/>
              </w:rPr>
            </w:pPr>
            <w:r w:rsidRPr="009F2503">
              <w:rPr>
                <w:i/>
              </w:rPr>
              <w:t>Izmjena</w:t>
            </w:r>
          </w:p>
        </w:tc>
      </w:tr>
      <w:tr w:rsidR="00D00FC9" w:rsidRPr="009F2503" w:rsidTr="00605A38">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rPr>
                <w:noProof/>
              </w:rPr>
            </w:pPr>
            <w:r w:rsidRPr="009F2503">
              <w:t>Tablica 5.: primjena ispitnih zahtjeva i izjava za homologacije i proširenja homologacija motora namijenjenih za vozila kategorija M2, M3, N2 i N3 za proizvođače</w:t>
            </w: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Ispitni zahtjevi za svako gorivo</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t xml:space="preserve">Ispitivanja i zahtjevi </w:t>
            </w:r>
            <w:r w:rsidRPr="00EA726F">
              <w:rPr>
                <w:b/>
                <w:i/>
              </w:rPr>
              <w:t>za</w:t>
            </w:r>
            <w:r w:rsidRPr="009F2503">
              <w:t xml:space="preserve"> homologaciju s obzirom </w:t>
            </w:r>
            <w:r w:rsidRPr="009F2503">
              <w:lastRenderedPageBreak/>
              <w:t xml:space="preserve">na emisije </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lastRenderedPageBreak/>
              <w:t xml:space="preserve">Ispitivanja pri provjeri </w:t>
            </w:r>
            <w:r w:rsidRPr="009F2503">
              <w:lastRenderedPageBreak/>
              <w:t xml:space="preserve">sukladnosti proizvodnje </w:t>
            </w:r>
          </w:p>
        </w:tc>
        <w:tc>
          <w:tcPr>
            <w:tcW w:w="1092"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jc w:val="center"/>
              <w:rPr>
                <w:noProof/>
              </w:rPr>
            </w:pPr>
            <w:r w:rsidRPr="009F2503">
              <w:lastRenderedPageBreak/>
              <w:t xml:space="preserve">Ispitivanja pri provjeri </w:t>
            </w:r>
            <w:r w:rsidRPr="009F2503">
              <w:lastRenderedPageBreak/>
              <w:t>sukladnosti u uporabi</w:t>
            </w:r>
          </w:p>
        </w:tc>
      </w:tr>
      <w:tr w:rsidR="00D00FC9" w:rsidRPr="009F2503" w:rsidTr="00605A38">
        <w:trPr>
          <w:trHeight w:val="885"/>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lastRenderedPageBreak/>
              <w:t>Plinovite onečišćujuće tvari, PM i PN, emisije CO2, potrošnja goriva u dinamičkom ispitnom ciklusu (hladni i vrući WHTC)</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 za osnovni motor porodice po emisijama i izjava za sve članove porodice**</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potrebno za motor izvan porodice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jc w:val="center"/>
              <w:rPr>
                <w:noProof/>
              </w:rPr>
            </w:pPr>
            <w:r w:rsidRPr="009F2503">
              <w:t>provode se samo s potpunim vozilom kako je navedeno u tablicama 3. i 4.</w:t>
            </w:r>
          </w:p>
        </w:tc>
      </w:tr>
      <w:tr w:rsidR="00D00FC9" w:rsidRPr="009F2503" w:rsidTr="00605A38">
        <w:trPr>
          <w:trHeight w:val="685"/>
        </w:trPr>
        <w:tc>
          <w:tcPr>
            <w:tcW w:w="1331"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Plinovite onečišćujuće tvari, PM i PN u ispitivanju na cesti (RDE) za svako gorivo i za primjenjive kategorije vozila (M2, M3, N2 i N3)</w:t>
            </w:r>
          </w:p>
        </w:tc>
        <w:tc>
          <w:tcPr>
            <w:tcW w:w="1484"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potrebna demonstracijska ispitivanja za sva goriva za koja je dodijeljena homologacija po tipu vozila i izjava o sukladnosti za sva goriva, sve korisne terete i sve primjenjive kategorije vozila</w:t>
            </w:r>
          </w:p>
        </w:tc>
        <w:tc>
          <w:tcPr>
            <w:tcW w:w="1093"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i/>
                <w:noProof/>
                <w:szCs w:val="24"/>
              </w:rPr>
            </w:pPr>
            <w:r w:rsidRPr="009F2503">
              <w:rPr>
                <w:b/>
                <w:i/>
              </w:rPr>
              <w:t>nije potrebno</w:t>
            </w:r>
          </w:p>
        </w:tc>
        <w:tc>
          <w:tcPr>
            <w:tcW w:w="0" w:type="auto"/>
            <w:vMerge/>
            <w:tcBorders>
              <w:top w:val="single" w:sz="2" w:space="0" w:color="auto"/>
              <w:left w:val="single" w:sz="2" w:space="0" w:color="auto"/>
              <w:bottom w:val="single" w:sz="2" w:space="0" w:color="auto"/>
              <w:right w:val="single" w:sz="2" w:space="0" w:color="auto"/>
            </w:tcBorders>
            <w:vAlign w:val="center"/>
          </w:tcPr>
          <w:p w:rsidR="00D00FC9" w:rsidRPr="009F2503" w:rsidRDefault="00D00FC9" w:rsidP="00605A38">
            <w:pPr>
              <w:spacing w:line="276" w:lineRule="auto"/>
              <w:rPr>
                <w:noProof/>
                <w:szCs w:val="22"/>
                <w:lang w:eastAsia="en-US"/>
              </w:rPr>
            </w:pPr>
          </w:p>
        </w:tc>
      </w:tr>
      <w:tr w:rsidR="00D00FC9" w:rsidRPr="009F2503" w:rsidTr="00605A38">
        <w:trPr>
          <w:trHeight w:val="685"/>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Ispitivanja motora radi provjere podataka potrebnih za utvrđivanje vrijednosti emisija CO2 </w:t>
            </w:r>
          </w:p>
        </w:tc>
        <w:tc>
          <w:tcPr>
            <w:tcW w:w="1484"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rPr>
                <w:noProof/>
              </w:rPr>
            </w:pPr>
            <w:r w:rsidRPr="009F2503">
              <w:t xml:space="preserve">potrebno </w:t>
            </w:r>
          </w:p>
          <w:p w:rsidR="00D00FC9" w:rsidRPr="009F2503" w:rsidRDefault="00D00FC9" w:rsidP="00605A38">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 xml:space="preserve">potrebno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50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Kontinuirana/periodična regeneracija</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4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Emisije iz kućišta koljenastog vratila</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provjera ugradnje zatvorenog sustava kućišta koljenastog vratila ili usmjeravanja prema ispušnoj cijevi</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48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Trajnost s obzirom na emisije</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b/>
                <w:bCs/>
                <w:i/>
                <w:noProof/>
                <w:szCs w:val="24"/>
              </w:rPr>
            </w:pPr>
            <w:r w:rsidRPr="009F2503">
              <w:rPr>
                <w:b/>
                <w:i/>
              </w:rPr>
              <w:t>Utvrđivanje snage</w:t>
            </w:r>
          </w:p>
        </w:tc>
        <w:tc>
          <w:tcPr>
            <w:tcW w:w="1484"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i/>
                <w:noProof/>
                <w:szCs w:val="24"/>
              </w:rPr>
            </w:pPr>
            <w:r w:rsidRPr="009F2503">
              <w:rPr>
                <w:b/>
                <w:i/>
              </w:rPr>
              <w:t>potrebno</w:t>
            </w:r>
          </w:p>
        </w:tc>
        <w:tc>
          <w:tcPr>
            <w:tcW w:w="1093" w:type="pct"/>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before="60" w:after="60"/>
              <w:rPr>
                <w:i/>
                <w:noProof/>
                <w:szCs w:val="24"/>
              </w:rPr>
            </w:pPr>
            <w:r w:rsidRPr="009F2503">
              <w:rPr>
                <w:b/>
                <w:i/>
              </w:rPr>
              <w:t>nije potrebno</w:t>
            </w:r>
          </w:p>
        </w:tc>
        <w:tc>
          <w:tcPr>
            <w:tcW w:w="0" w:type="auto"/>
            <w:vMerge/>
            <w:tcBorders>
              <w:top w:val="single" w:sz="2" w:space="0" w:color="auto"/>
              <w:left w:val="single" w:sz="2" w:space="0" w:color="auto"/>
              <w:bottom w:val="single" w:sz="2" w:space="0" w:color="auto"/>
              <w:right w:val="single" w:sz="2" w:space="0" w:color="auto"/>
            </w:tcBorders>
            <w:vAlign w:val="center"/>
          </w:tcPr>
          <w:p w:rsidR="00D00FC9" w:rsidRPr="009F2503" w:rsidRDefault="00D00FC9" w:rsidP="00605A38">
            <w:pPr>
              <w:spacing w:line="276" w:lineRule="auto"/>
              <w:rPr>
                <w:noProof/>
                <w:szCs w:val="22"/>
                <w:lang w:eastAsia="en-US"/>
              </w:rPr>
            </w:pP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Ugrađena dijagnostika (razina porodice po OBD-u)</w:t>
            </w:r>
          </w:p>
        </w:tc>
        <w:tc>
          <w:tcPr>
            <w:tcW w:w="1484"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izjava</w:t>
            </w:r>
          </w:p>
        </w:tc>
        <w:tc>
          <w:tcPr>
            <w:tcW w:w="1093"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294"/>
        </w:trPr>
        <w:tc>
          <w:tcPr>
            <w:tcW w:w="1331" w:type="pct"/>
            <w:tcBorders>
              <w:top w:val="single" w:sz="2" w:space="0" w:color="auto"/>
              <w:left w:val="single" w:sz="2" w:space="0" w:color="auto"/>
              <w:bottom w:val="single" w:sz="2" w:space="0" w:color="auto"/>
              <w:right w:val="single" w:sz="2" w:space="0" w:color="auto"/>
            </w:tcBorders>
            <w:hideMark/>
          </w:tcPr>
          <w:p w:rsidR="00D00FC9" w:rsidRPr="009F2503" w:rsidRDefault="00D00FC9" w:rsidP="00605A38">
            <w:pPr>
              <w:spacing w:line="276" w:lineRule="auto"/>
              <w:rPr>
                <w:noProof/>
              </w:rPr>
            </w:pPr>
            <w:r w:rsidRPr="009F2503">
              <w:t>Ugrađeno praćenje (razina porodice po OBM-u)</w:t>
            </w:r>
          </w:p>
        </w:tc>
        <w:tc>
          <w:tcPr>
            <w:tcW w:w="1484" w:type="pct"/>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rPr>
            </w:pPr>
            <w:r w:rsidRPr="009F2503">
              <w:t>provode se samo s potpunim vozilom kako je navedeno u tablicama 3. i 4.</w:t>
            </w:r>
          </w:p>
        </w:tc>
        <w:tc>
          <w:tcPr>
            <w:tcW w:w="1093" w:type="pct"/>
            <w:tcBorders>
              <w:top w:val="single" w:sz="2" w:space="0" w:color="auto"/>
              <w:left w:val="single" w:sz="2" w:space="0" w:color="auto"/>
              <w:bottom w:val="single" w:sz="4" w:space="0" w:color="auto"/>
              <w:right w:val="single" w:sz="2" w:space="0" w:color="auto"/>
            </w:tcBorders>
            <w:hideMark/>
          </w:tcPr>
          <w:p w:rsidR="00D00FC9" w:rsidRPr="009F2503" w:rsidRDefault="00D00FC9" w:rsidP="00605A38">
            <w:pPr>
              <w:spacing w:line="276" w:lineRule="auto"/>
              <w:rPr>
                <w:noProof/>
              </w:rPr>
            </w:pPr>
            <w:r w:rsidRPr="009F2503">
              <w:t>nije potrebno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0FC9" w:rsidRPr="009F2503" w:rsidRDefault="00D00FC9" w:rsidP="00605A38">
            <w:pPr>
              <w:spacing w:line="276" w:lineRule="auto"/>
              <w:rPr>
                <w:noProof/>
                <w:szCs w:val="22"/>
                <w:lang w:eastAsia="en-US"/>
              </w:rPr>
            </w:pPr>
          </w:p>
        </w:tc>
      </w:tr>
      <w:tr w:rsidR="00D00FC9" w:rsidRPr="009F2503" w:rsidTr="00605A38">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00FC9" w:rsidRPr="009F2503" w:rsidRDefault="00D00FC9" w:rsidP="00605A38">
            <w:pPr>
              <w:spacing w:line="276" w:lineRule="auto"/>
              <w:rPr>
                <w:noProof/>
                <w:szCs w:val="22"/>
              </w:rPr>
            </w:pPr>
            <w:r w:rsidRPr="009F2503">
              <w:rPr>
                <w:b/>
                <w:i/>
              </w:rPr>
              <w:t>**</w:t>
            </w:r>
            <w:r w:rsidRPr="009F2503">
              <w:rPr>
                <w:b/>
                <w:i/>
              </w:rPr>
              <w:tab/>
              <w:t>Potkrijepljena podacima o ispitivanju motora svih nazivnih snaga.</w:t>
            </w:r>
          </w:p>
        </w:tc>
      </w:tr>
    </w:tbl>
    <w:p w:rsidR="00D00FC9" w:rsidRPr="009F2503" w:rsidRDefault="00D00FC9" w:rsidP="00D00FC9">
      <w:pPr>
        <w:pStyle w:val="AmOrLang"/>
      </w:pPr>
    </w:p>
    <w:p w:rsidR="00D00FC9" w:rsidRPr="009F2503" w:rsidRDefault="00D00FC9" w:rsidP="00D00FC9"/>
    <w:p w:rsidR="00D00FC9" w:rsidRPr="009F2503" w:rsidRDefault="00D00FC9" w:rsidP="00D00FC9">
      <w:pPr>
        <w:pStyle w:val="PageHeading"/>
      </w:pPr>
    </w:p>
    <w:p w:rsidR="00D00FC9" w:rsidRPr="009F2503" w:rsidRDefault="00D00FC9" w:rsidP="00D00FC9"/>
    <w:p w:rsidR="00E365E1" w:rsidRPr="009F2503" w:rsidRDefault="00E365E1" w:rsidP="00E90581">
      <w:bookmarkStart w:id="9" w:name="TextBodyEnd"/>
      <w:bookmarkEnd w:id="9"/>
    </w:p>
    <w:sectPr w:rsidR="00E365E1" w:rsidRPr="009F2503" w:rsidSect="009F25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F05" w:rsidRPr="009F2503" w:rsidRDefault="004B1F05">
      <w:r w:rsidRPr="009F2503">
        <w:separator/>
      </w:r>
    </w:p>
  </w:endnote>
  <w:endnote w:type="continuationSeparator" w:id="0">
    <w:p w:rsidR="004B1F05" w:rsidRPr="009F2503" w:rsidRDefault="004B1F05">
      <w:r w:rsidRPr="009F25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F05" w:rsidRPr="009F2503" w:rsidRDefault="004B1F0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F05" w:rsidRPr="009F2503" w:rsidRDefault="004B1F0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F05" w:rsidRPr="009F2503" w:rsidRDefault="004B1F0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F05" w:rsidRPr="009F2503" w:rsidRDefault="004B1F05">
      <w:r w:rsidRPr="009F2503">
        <w:separator/>
      </w:r>
    </w:p>
  </w:footnote>
  <w:footnote w:type="continuationSeparator" w:id="0">
    <w:p w:rsidR="004B1F05" w:rsidRPr="009F2503" w:rsidRDefault="004B1F05">
      <w:r w:rsidRPr="009F2503">
        <w:continuationSeparator/>
      </w:r>
    </w:p>
  </w:footnote>
  <w:footnote w:id="1">
    <w:p w:rsidR="004B1F05" w:rsidRPr="00C108CE" w:rsidRDefault="004B1F05" w:rsidP="00C108CE">
      <w:pPr>
        <w:pStyle w:val="FootnoteText"/>
        <w:ind w:left="567" w:hanging="567"/>
        <w:rPr>
          <w:sz w:val="24"/>
          <w:szCs w:val="24"/>
          <w:lang w:val="sl-SI"/>
        </w:rPr>
      </w:pPr>
      <w:r>
        <w:rPr>
          <w:rStyle w:val="FootnoteReference"/>
        </w:rPr>
        <w:footnoteRef/>
      </w:r>
      <w:r>
        <w:t xml:space="preserve"> </w:t>
      </w:r>
      <w:r>
        <w:tab/>
      </w:r>
      <w:r w:rsidRPr="00C108CE">
        <w:rPr>
          <w:sz w:val="24"/>
          <w:szCs w:val="24"/>
          <w:lang w:val="hr-HR"/>
        </w:rPr>
        <w:t xml:space="preserve">Predmet se vraća nadležnom odboru na </w:t>
      </w:r>
      <w:proofErr w:type="spellStart"/>
      <w:r w:rsidRPr="00C108CE">
        <w:rPr>
          <w:sz w:val="24"/>
          <w:szCs w:val="24"/>
          <w:lang w:val="hr-HR"/>
        </w:rPr>
        <w:t>međuinstitucijske</w:t>
      </w:r>
      <w:proofErr w:type="spellEnd"/>
      <w:r w:rsidRPr="00C108CE">
        <w:rPr>
          <w:sz w:val="24"/>
          <w:szCs w:val="24"/>
          <w:lang w:val="hr-HR"/>
        </w:rPr>
        <w:t xml:space="preserve"> pregovore u skladu s člankom 59. stavkom 4., četvrtim podstavkom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F05" w:rsidRPr="009F2503" w:rsidRDefault="004B1F0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F05" w:rsidRPr="009F2503" w:rsidRDefault="004B1F0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F05" w:rsidRPr="009F2503" w:rsidRDefault="004B1F0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8E40BD16">
      <w:start w:val="1"/>
      <w:numFmt w:val="bullet"/>
      <w:lvlText w:val=""/>
      <w:lvlJc w:val="left"/>
      <w:pPr>
        <w:ind w:left="360" w:hanging="360"/>
      </w:pPr>
      <w:rPr>
        <w:rFonts w:ascii="Wingdings" w:hAnsi="Wingdings" w:hint="default"/>
      </w:rPr>
    </w:lvl>
    <w:lvl w:ilvl="1" w:tplc="7B76E26C">
      <w:start w:val="1"/>
      <w:numFmt w:val="bullet"/>
      <w:lvlText w:val="o"/>
      <w:lvlJc w:val="left"/>
      <w:pPr>
        <w:ind w:left="1080" w:hanging="360"/>
      </w:pPr>
      <w:rPr>
        <w:rFonts w:ascii="Courier New" w:hAnsi="Courier New" w:cs="Courier New" w:hint="default"/>
      </w:rPr>
    </w:lvl>
    <w:lvl w:ilvl="2" w:tplc="D842D876">
      <w:start w:val="1"/>
      <w:numFmt w:val="bullet"/>
      <w:lvlText w:val=""/>
      <w:lvlJc w:val="left"/>
      <w:pPr>
        <w:ind w:left="1800" w:hanging="360"/>
      </w:pPr>
      <w:rPr>
        <w:rFonts w:ascii="Wingdings" w:hAnsi="Wingdings" w:hint="default"/>
      </w:rPr>
    </w:lvl>
    <w:lvl w:ilvl="3" w:tplc="B3545464">
      <w:start w:val="1"/>
      <w:numFmt w:val="bullet"/>
      <w:lvlText w:val=""/>
      <w:lvlJc w:val="left"/>
      <w:pPr>
        <w:ind w:left="2520" w:hanging="360"/>
      </w:pPr>
      <w:rPr>
        <w:rFonts w:ascii="Symbol" w:hAnsi="Symbol" w:hint="default"/>
      </w:rPr>
    </w:lvl>
    <w:lvl w:ilvl="4" w:tplc="E1B21758">
      <w:start w:val="1"/>
      <w:numFmt w:val="bullet"/>
      <w:lvlText w:val="o"/>
      <w:lvlJc w:val="left"/>
      <w:pPr>
        <w:ind w:left="3240" w:hanging="360"/>
      </w:pPr>
      <w:rPr>
        <w:rFonts w:ascii="Courier New" w:hAnsi="Courier New" w:cs="Courier New" w:hint="default"/>
      </w:rPr>
    </w:lvl>
    <w:lvl w:ilvl="5" w:tplc="E656EF7C">
      <w:start w:val="1"/>
      <w:numFmt w:val="bullet"/>
      <w:lvlText w:val=""/>
      <w:lvlJc w:val="left"/>
      <w:pPr>
        <w:ind w:left="3960" w:hanging="360"/>
      </w:pPr>
      <w:rPr>
        <w:rFonts w:ascii="Wingdings" w:hAnsi="Wingdings" w:hint="default"/>
      </w:rPr>
    </w:lvl>
    <w:lvl w:ilvl="6" w:tplc="23D0236C">
      <w:start w:val="1"/>
      <w:numFmt w:val="bullet"/>
      <w:lvlText w:val=""/>
      <w:lvlJc w:val="left"/>
      <w:pPr>
        <w:ind w:left="4680" w:hanging="360"/>
      </w:pPr>
      <w:rPr>
        <w:rFonts w:ascii="Symbol" w:hAnsi="Symbol" w:hint="default"/>
      </w:rPr>
    </w:lvl>
    <w:lvl w:ilvl="7" w:tplc="5B089EE4">
      <w:start w:val="1"/>
      <w:numFmt w:val="bullet"/>
      <w:lvlText w:val="o"/>
      <w:lvlJc w:val="left"/>
      <w:pPr>
        <w:ind w:left="5400" w:hanging="360"/>
      </w:pPr>
      <w:rPr>
        <w:rFonts w:ascii="Courier New" w:hAnsi="Courier New" w:cs="Courier New" w:hint="default"/>
      </w:rPr>
    </w:lvl>
    <w:lvl w:ilvl="8" w:tplc="26E0DC7E">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4C2A6F94">
      <w:start w:val="48"/>
      <w:numFmt w:val="bullet"/>
      <w:lvlText w:val="•"/>
      <w:lvlJc w:val="left"/>
      <w:pPr>
        <w:ind w:left="720" w:hanging="360"/>
      </w:pPr>
      <w:rPr>
        <w:rFonts w:ascii="Verdana" w:eastAsia="Verdana" w:hAnsi="Verdana" w:cs="Times New Roman" w:hint="default"/>
      </w:rPr>
    </w:lvl>
    <w:lvl w:ilvl="1" w:tplc="F35E1014">
      <w:start w:val="1"/>
      <w:numFmt w:val="bullet"/>
      <w:lvlText w:val="o"/>
      <w:lvlJc w:val="left"/>
      <w:pPr>
        <w:ind w:left="1440" w:hanging="360"/>
      </w:pPr>
      <w:rPr>
        <w:rFonts w:ascii="Courier New" w:hAnsi="Courier New" w:cs="Courier New" w:hint="default"/>
      </w:rPr>
    </w:lvl>
    <w:lvl w:ilvl="2" w:tplc="0AE45262">
      <w:start w:val="1"/>
      <w:numFmt w:val="bullet"/>
      <w:lvlText w:val=""/>
      <w:lvlJc w:val="left"/>
      <w:pPr>
        <w:ind w:left="2160" w:hanging="360"/>
      </w:pPr>
      <w:rPr>
        <w:rFonts w:ascii="Wingdings" w:hAnsi="Wingdings" w:hint="default"/>
      </w:rPr>
    </w:lvl>
    <w:lvl w:ilvl="3" w:tplc="D9A63220">
      <w:start w:val="1"/>
      <w:numFmt w:val="bullet"/>
      <w:lvlText w:val=""/>
      <w:lvlJc w:val="left"/>
      <w:pPr>
        <w:ind w:left="2880" w:hanging="360"/>
      </w:pPr>
      <w:rPr>
        <w:rFonts w:ascii="Symbol" w:hAnsi="Symbol" w:hint="default"/>
      </w:rPr>
    </w:lvl>
    <w:lvl w:ilvl="4" w:tplc="7102C708">
      <w:start w:val="1"/>
      <w:numFmt w:val="bullet"/>
      <w:lvlText w:val="o"/>
      <w:lvlJc w:val="left"/>
      <w:pPr>
        <w:ind w:left="3600" w:hanging="360"/>
      </w:pPr>
      <w:rPr>
        <w:rFonts w:ascii="Courier New" w:hAnsi="Courier New" w:cs="Courier New" w:hint="default"/>
      </w:rPr>
    </w:lvl>
    <w:lvl w:ilvl="5" w:tplc="39D63D9E">
      <w:start w:val="1"/>
      <w:numFmt w:val="bullet"/>
      <w:lvlText w:val=""/>
      <w:lvlJc w:val="left"/>
      <w:pPr>
        <w:ind w:left="4320" w:hanging="360"/>
      </w:pPr>
      <w:rPr>
        <w:rFonts w:ascii="Wingdings" w:hAnsi="Wingdings" w:hint="default"/>
      </w:rPr>
    </w:lvl>
    <w:lvl w:ilvl="6" w:tplc="6156BE12">
      <w:start w:val="1"/>
      <w:numFmt w:val="bullet"/>
      <w:lvlText w:val=""/>
      <w:lvlJc w:val="left"/>
      <w:pPr>
        <w:ind w:left="5040" w:hanging="360"/>
      </w:pPr>
      <w:rPr>
        <w:rFonts w:ascii="Symbol" w:hAnsi="Symbol" w:hint="default"/>
      </w:rPr>
    </w:lvl>
    <w:lvl w:ilvl="7" w:tplc="70C4A6CA">
      <w:start w:val="1"/>
      <w:numFmt w:val="bullet"/>
      <w:lvlText w:val="o"/>
      <w:lvlJc w:val="left"/>
      <w:pPr>
        <w:ind w:left="5760" w:hanging="360"/>
      </w:pPr>
      <w:rPr>
        <w:rFonts w:ascii="Courier New" w:hAnsi="Courier New" w:cs="Courier New" w:hint="default"/>
      </w:rPr>
    </w:lvl>
    <w:lvl w:ilvl="8" w:tplc="15941C62">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68DAFC52">
      <w:start w:val="1"/>
      <w:numFmt w:val="bullet"/>
      <w:lvlText w:val=""/>
      <w:lvlJc w:val="left"/>
      <w:pPr>
        <w:ind w:left="360" w:hanging="360"/>
      </w:pPr>
      <w:rPr>
        <w:rFonts w:ascii="Wingdings" w:hAnsi="Wingdings" w:hint="default"/>
      </w:rPr>
    </w:lvl>
    <w:lvl w:ilvl="1" w:tplc="6A6C30E8">
      <w:numFmt w:val="bullet"/>
      <w:lvlText w:val="-"/>
      <w:lvlJc w:val="left"/>
      <w:pPr>
        <w:ind w:left="1080" w:hanging="360"/>
      </w:pPr>
      <w:rPr>
        <w:rFonts w:ascii="Calibri" w:eastAsiaTheme="minorHAnsi" w:hAnsi="Calibri" w:cs="Calibri" w:hint="default"/>
      </w:rPr>
    </w:lvl>
    <w:lvl w:ilvl="2" w:tplc="C3BC91FE">
      <w:start w:val="1"/>
      <w:numFmt w:val="bullet"/>
      <w:lvlText w:val=""/>
      <w:lvlJc w:val="left"/>
      <w:pPr>
        <w:ind w:left="1800" w:hanging="360"/>
      </w:pPr>
      <w:rPr>
        <w:rFonts w:ascii="Wingdings" w:hAnsi="Wingdings" w:hint="default"/>
      </w:rPr>
    </w:lvl>
    <w:lvl w:ilvl="3" w:tplc="56100866">
      <w:start w:val="1"/>
      <w:numFmt w:val="bullet"/>
      <w:lvlText w:val=""/>
      <w:lvlJc w:val="left"/>
      <w:pPr>
        <w:ind w:left="2520" w:hanging="360"/>
      </w:pPr>
      <w:rPr>
        <w:rFonts w:ascii="Symbol" w:hAnsi="Symbol" w:hint="default"/>
      </w:rPr>
    </w:lvl>
    <w:lvl w:ilvl="4" w:tplc="8752D514">
      <w:start w:val="1"/>
      <w:numFmt w:val="bullet"/>
      <w:lvlText w:val="o"/>
      <w:lvlJc w:val="left"/>
      <w:pPr>
        <w:ind w:left="3240" w:hanging="360"/>
      </w:pPr>
      <w:rPr>
        <w:rFonts w:ascii="Courier New" w:hAnsi="Courier New" w:cs="Courier New" w:hint="default"/>
      </w:rPr>
    </w:lvl>
    <w:lvl w:ilvl="5" w:tplc="017A0D6E">
      <w:start w:val="1"/>
      <w:numFmt w:val="bullet"/>
      <w:lvlText w:val=""/>
      <w:lvlJc w:val="left"/>
      <w:pPr>
        <w:ind w:left="3960" w:hanging="360"/>
      </w:pPr>
      <w:rPr>
        <w:rFonts w:ascii="Wingdings" w:hAnsi="Wingdings" w:hint="default"/>
      </w:rPr>
    </w:lvl>
    <w:lvl w:ilvl="6" w:tplc="7BB69606">
      <w:start w:val="1"/>
      <w:numFmt w:val="bullet"/>
      <w:lvlText w:val=""/>
      <w:lvlJc w:val="left"/>
      <w:pPr>
        <w:ind w:left="4680" w:hanging="360"/>
      </w:pPr>
      <w:rPr>
        <w:rFonts w:ascii="Symbol" w:hAnsi="Symbol" w:hint="default"/>
      </w:rPr>
    </w:lvl>
    <w:lvl w:ilvl="7" w:tplc="E99C8D02">
      <w:start w:val="1"/>
      <w:numFmt w:val="bullet"/>
      <w:lvlText w:val="o"/>
      <w:lvlJc w:val="left"/>
      <w:pPr>
        <w:ind w:left="5400" w:hanging="360"/>
      </w:pPr>
      <w:rPr>
        <w:rFonts w:ascii="Courier New" w:hAnsi="Courier New" w:cs="Courier New" w:hint="default"/>
      </w:rPr>
    </w:lvl>
    <w:lvl w:ilvl="8" w:tplc="145A4166">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HR"/>
    <w:docVar w:name="dvnumam" w:val="0"/>
    <w:docVar w:name="dvpe" w:val="746.876"/>
    <w:docVar w:name="dvrapporteur" w:val="Izvjestitelj: "/>
    <w:docVar w:name="dvstar" w:val="***I"/>
    <w:docVar w:name="dvtitre" w:val="Zakonodavna rezolucija Europskog parlamenta od .... 2023. o Prijedlogu uredbe Europskog parlamenta i Vijeća o homologaciji motornih vozila i motora te sustava, sastavnih dijelova i zasebnih tehničkih jedinica namijenjenih za takva vozila s obzirom na njihove emisije i trajnost baterija (Euro 7) i o stavljanju izvan snage uredaba (EZ) br. 715/2007 i (EZ) br. 595/2009(COM(2022)0586 – C9-0375/2022 – 2022/0365(COD))"/>
  </w:docVars>
  <w:rsids>
    <w:rsidRoot w:val="00E90581"/>
    <w:rsid w:val="00002272"/>
    <w:rsid w:val="0000695E"/>
    <w:rsid w:val="00064002"/>
    <w:rsid w:val="000677B9"/>
    <w:rsid w:val="000831BA"/>
    <w:rsid w:val="000A42CC"/>
    <w:rsid w:val="000E7DD9"/>
    <w:rsid w:val="0010095E"/>
    <w:rsid w:val="00125B37"/>
    <w:rsid w:val="00187494"/>
    <w:rsid w:val="001F32AE"/>
    <w:rsid w:val="00255ADF"/>
    <w:rsid w:val="002767FF"/>
    <w:rsid w:val="002B18FE"/>
    <w:rsid w:val="002B5493"/>
    <w:rsid w:val="00343214"/>
    <w:rsid w:val="00361C00"/>
    <w:rsid w:val="00395A12"/>
    <w:rsid w:val="00395FA1"/>
    <w:rsid w:val="003D6A3A"/>
    <w:rsid w:val="003E15D4"/>
    <w:rsid w:val="00411CCE"/>
    <w:rsid w:val="0041666E"/>
    <w:rsid w:val="00421060"/>
    <w:rsid w:val="00471C19"/>
    <w:rsid w:val="004867E3"/>
    <w:rsid w:val="00494A28"/>
    <w:rsid w:val="004B1F05"/>
    <w:rsid w:val="004C0004"/>
    <w:rsid w:val="004C5D52"/>
    <w:rsid w:val="0050519A"/>
    <w:rsid w:val="005072A1"/>
    <w:rsid w:val="00514517"/>
    <w:rsid w:val="00545827"/>
    <w:rsid w:val="00560270"/>
    <w:rsid w:val="005C2568"/>
    <w:rsid w:val="006037C0"/>
    <w:rsid w:val="00605A38"/>
    <w:rsid w:val="006631B6"/>
    <w:rsid w:val="00680577"/>
    <w:rsid w:val="00687E93"/>
    <w:rsid w:val="006F74FA"/>
    <w:rsid w:val="007024F3"/>
    <w:rsid w:val="007142F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503"/>
    <w:rsid w:val="00A1687D"/>
    <w:rsid w:val="00A275A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8CE"/>
    <w:rsid w:val="00C23CD4"/>
    <w:rsid w:val="00C26121"/>
    <w:rsid w:val="00C61C0C"/>
    <w:rsid w:val="00C941CB"/>
    <w:rsid w:val="00CC2357"/>
    <w:rsid w:val="00CF071A"/>
    <w:rsid w:val="00D00FC9"/>
    <w:rsid w:val="00D058B8"/>
    <w:rsid w:val="00D56C11"/>
    <w:rsid w:val="00D834A0"/>
    <w:rsid w:val="00D872DF"/>
    <w:rsid w:val="00D91E21"/>
    <w:rsid w:val="00DA7FCD"/>
    <w:rsid w:val="00DF20BF"/>
    <w:rsid w:val="00E365E1"/>
    <w:rsid w:val="00E47563"/>
    <w:rsid w:val="00E820A4"/>
    <w:rsid w:val="00E90581"/>
    <w:rsid w:val="00EA726F"/>
    <w:rsid w:val="00EB006A"/>
    <w:rsid w:val="00EB4772"/>
    <w:rsid w:val="00ED169E"/>
    <w:rsid w:val="00ED4235"/>
    <w:rsid w:val="00F04346"/>
    <w:rsid w:val="00F075DC"/>
    <w:rsid w:val="00F149E9"/>
    <w:rsid w:val="00F32E5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66121"/>
  <w15:chartTrackingRefBased/>
  <w15:docId w15:val="{6E37B5BB-8F21-4539-8022-6908CBD6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00FC9"/>
    <w:rPr>
      <w:b/>
      <w:kern w:val="28"/>
      <w:sz w:val="28"/>
      <w:lang w:val="fr-FR" w:eastAsia="fr-FR"/>
    </w:rPr>
  </w:style>
  <w:style w:type="character" w:customStyle="1" w:styleId="Heading2Char">
    <w:name w:val="Heading 2 Char"/>
    <w:basedOn w:val="DefaultParagraphFont"/>
    <w:link w:val="Heading2"/>
    <w:semiHidden/>
    <w:rsid w:val="00D00FC9"/>
    <w:rPr>
      <w:sz w:val="24"/>
      <w:lang w:val="fr-FR" w:eastAsia="fr-FR"/>
    </w:rPr>
  </w:style>
  <w:style w:type="character" w:customStyle="1" w:styleId="Heading3Char">
    <w:name w:val="Heading 3 Char"/>
    <w:basedOn w:val="DefaultParagraphFont"/>
    <w:link w:val="Heading3"/>
    <w:semiHidden/>
    <w:rsid w:val="00D00FC9"/>
    <w:rPr>
      <w:rFonts w:ascii="Arial" w:hAnsi="Arial"/>
      <w:sz w:val="24"/>
      <w:lang w:val="fr-FR" w:eastAsia="fr-FR"/>
    </w:rPr>
  </w:style>
  <w:style w:type="character" w:customStyle="1" w:styleId="Heading4Char">
    <w:name w:val="Heading 4 Char"/>
    <w:basedOn w:val="DefaultParagraphFont"/>
    <w:link w:val="Heading4"/>
    <w:semiHidden/>
    <w:rsid w:val="00D00FC9"/>
    <w:rPr>
      <w:sz w:val="24"/>
      <w:lang w:val="en-US" w:eastAsia="fr-FR"/>
    </w:rPr>
  </w:style>
  <w:style w:type="character" w:customStyle="1" w:styleId="Heading5Char">
    <w:name w:val="Heading 5 Char"/>
    <w:basedOn w:val="DefaultParagraphFont"/>
    <w:link w:val="Heading5"/>
    <w:semiHidden/>
    <w:rsid w:val="00D00FC9"/>
    <w:rPr>
      <w:sz w:val="24"/>
      <w:lang w:val="en-US" w:eastAsia="fr-FR"/>
    </w:rPr>
  </w:style>
  <w:style w:type="character" w:customStyle="1" w:styleId="Heading6Char">
    <w:name w:val="Heading 6 Char"/>
    <w:basedOn w:val="DefaultParagraphFont"/>
    <w:link w:val="Heading6"/>
    <w:semiHidden/>
    <w:rsid w:val="00D00FC9"/>
    <w:rPr>
      <w:i/>
      <w:sz w:val="22"/>
      <w:lang w:val="hr-HR"/>
    </w:rPr>
  </w:style>
  <w:style w:type="character" w:customStyle="1" w:styleId="Heading7Char">
    <w:name w:val="Heading 7 Char"/>
    <w:basedOn w:val="DefaultParagraphFont"/>
    <w:link w:val="Heading7"/>
    <w:semiHidden/>
    <w:rsid w:val="00D00FC9"/>
    <w:rPr>
      <w:rFonts w:ascii="Arial" w:hAnsi="Arial"/>
      <w:sz w:val="24"/>
      <w:lang w:val="hr-HR"/>
    </w:rPr>
  </w:style>
  <w:style w:type="character" w:customStyle="1" w:styleId="Heading8Char">
    <w:name w:val="Heading 8 Char"/>
    <w:basedOn w:val="DefaultParagraphFont"/>
    <w:link w:val="Heading8"/>
    <w:semiHidden/>
    <w:rsid w:val="00D00FC9"/>
    <w:rPr>
      <w:rFonts w:ascii="Arial" w:hAnsi="Arial"/>
      <w:i/>
      <w:sz w:val="24"/>
      <w:lang w:val="hr-HR"/>
    </w:rPr>
  </w:style>
  <w:style w:type="character" w:customStyle="1" w:styleId="Heading9Char">
    <w:name w:val="Heading 9 Char"/>
    <w:basedOn w:val="DefaultParagraphFont"/>
    <w:link w:val="Heading9"/>
    <w:semiHidden/>
    <w:rsid w:val="00D00FC9"/>
    <w:rPr>
      <w:rFonts w:ascii="Arial" w:hAnsi="Arial"/>
      <w:b/>
      <w:i/>
      <w:sz w:val="18"/>
      <w:lang w:val="hr-HR"/>
    </w:rPr>
  </w:style>
  <w:style w:type="paragraph" w:styleId="TOCHeading">
    <w:name w:val="TOC Heading"/>
    <w:basedOn w:val="Normal"/>
    <w:next w:val="Normal"/>
    <w:unhideWhenUsed/>
    <w:qFormat/>
    <w:rsid w:val="00D00FC9"/>
    <w:pPr>
      <w:widowControl/>
      <w:spacing w:after="240"/>
    </w:pPr>
    <w:rPr>
      <w:lang w:val="en-GB"/>
    </w:rPr>
  </w:style>
  <w:style w:type="paragraph" w:customStyle="1" w:styleId="EPFooter2">
    <w:name w:val="EPFooter2"/>
    <w:basedOn w:val="Normal"/>
    <w:next w:val="Normal"/>
    <w:rsid w:val="00D00FC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00FC9"/>
    <w:pPr>
      <w:keepNext/>
      <w:spacing w:after="240"/>
      <w:jc w:val="right"/>
    </w:pPr>
    <w:rPr>
      <w:rFonts w:ascii="Arial" w:hAnsi="Arial"/>
      <w:b/>
    </w:rPr>
  </w:style>
  <w:style w:type="paragraph" w:customStyle="1" w:styleId="Normal6a">
    <w:name w:val="Normal6a"/>
    <w:basedOn w:val="Normal"/>
    <w:rsid w:val="00D00FC9"/>
    <w:pPr>
      <w:spacing w:after="120"/>
    </w:pPr>
  </w:style>
  <w:style w:type="paragraph" w:customStyle="1" w:styleId="PageHeading">
    <w:name w:val="PageHeading"/>
    <w:basedOn w:val="Normal"/>
    <w:rsid w:val="00D00FC9"/>
    <w:pPr>
      <w:keepNext/>
      <w:spacing w:after="480"/>
      <w:jc w:val="center"/>
    </w:pPr>
    <w:rPr>
      <w:rFonts w:ascii="Arial" w:hAnsi="Arial" w:cs="Arial"/>
      <w:b/>
    </w:rPr>
  </w:style>
  <w:style w:type="paragraph" w:customStyle="1" w:styleId="NormalBold">
    <w:name w:val="NormalBold"/>
    <w:basedOn w:val="Normal"/>
    <w:link w:val="NormalBoldChar"/>
    <w:rsid w:val="00D00FC9"/>
    <w:rPr>
      <w:b/>
    </w:rPr>
  </w:style>
  <w:style w:type="character" w:customStyle="1" w:styleId="NormalBoldChar">
    <w:name w:val="NormalBold Char"/>
    <w:basedOn w:val="DefaultParagraphFont"/>
    <w:link w:val="NormalBold"/>
    <w:locked/>
    <w:rsid w:val="00D00FC9"/>
    <w:rPr>
      <w:b/>
      <w:sz w:val="24"/>
      <w:lang w:val="hr-HR"/>
    </w:rPr>
  </w:style>
  <w:style w:type="paragraph" w:customStyle="1" w:styleId="NormalBold12a">
    <w:name w:val="NormalBold12a"/>
    <w:basedOn w:val="Normal"/>
    <w:rsid w:val="00D00FC9"/>
    <w:pPr>
      <w:spacing w:after="240"/>
    </w:pPr>
    <w:rPr>
      <w:b/>
    </w:rPr>
  </w:style>
  <w:style w:type="paragraph" w:customStyle="1" w:styleId="AmJustText">
    <w:name w:val="AmJustText"/>
    <w:basedOn w:val="Normal"/>
    <w:rsid w:val="00D00FC9"/>
    <w:pPr>
      <w:spacing w:after="240"/>
    </w:pPr>
    <w:rPr>
      <w:i/>
    </w:rPr>
  </w:style>
  <w:style w:type="paragraph" w:customStyle="1" w:styleId="NormalHanging12a">
    <w:name w:val="NormalHanging12a"/>
    <w:basedOn w:val="Normal"/>
    <w:rsid w:val="00D00FC9"/>
    <w:pPr>
      <w:spacing w:after="240"/>
      <w:ind w:left="567" w:hanging="567"/>
    </w:pPr>
  </w:style>
  <w:style w:type="paragraph" w:customStyle="1" w:styleId="CoverNormal24a">
    <w:name w:val="CoverNormal24a"/>
    <w:basedOn w:val="Normal"/>
    <w:rsid w:val="00D00FC9"/>
    <w:pPr>
      <w:spacing w:after="480"/>
      <w:ind w:left="1417"/>
    </w:pPr>
  </w:style>
  <w:style w:type="paragraph" w:customStyle="1" w:styleId="CoverNormal">
    <w:name w:val="CoverNormal"/>
    <w:basedOn w:val="Normal"/>
    <w:rsid w:val="00D00FC9"/>
    <w:pPr>
      <w:ind w:left="1418"/>
    </w:pPr>
  </w:style>
  <w:style w:type="paragraph" w:customStyle="1" w:styleId="AmCrossRef">
    <w:name w:val="AmCrossRef"/>
    <w:basedOn w:val="Normal"/>
    <w:rsid w:val="00D00FC9"/>
    <w:pPr>
      <w:spacing w:before="240" w:after="240"/>
      <w:jc w:val="center"/>
    </w:pPr>
    <w:rPr>
      <w:i/>
    </w:rPr>
  </w:style>
  <w:style w:type="paragraph" w:customStyle="1" w:styleId="AmJustTitle">
    <w:name w:val="AmJustTitle"/>
    <w:basedOn w:val="Normal"/>
    <w:next w:val="AmJustText"/>
    <w:rsid w:val="00D00FC9"/>
    <w:pPr>
      <w:keepNext/>
      <w:spacing w:before="240" w:after="240"/>
      <w:jc w:val="center"/>
    </w:pPr>
    <w:rPr>
      <w:i/>
    </w:rPr>
  </w:style>
  <w:style w:type="paragraph" w:customStyle="1" w:styleId="CoverReference">
    <w:name w:val="CoverReference"/>
    <w:basedOn w:val="Normal"/>
    <w:rsid w:val="00D00FC9"/>
    <w:pPr>
      <w:spacing w:before="1080"/>
      <w:jc w:val="right"/>
    </w:pPr>
    <w:rPr>
      <w:rFonts w:ascii="Arial" w:hAnsi="Arial" w:cs="Arial"/>
      <w:b/>
    </w:rPr>
  </w:style>
  <w:style w:type="paragraph" w:customStyle="1" w:styleId="CoverDocType">
    <w:name w:val="CoverDocType"/>
    <w:basedOn w:val="Normal"/>
    <w:rsid w:val="00D00FC9"/>
    <w:pPr>
      <w:ind w:left="1418"/>
    </w:pPr>
    <w:rPr>
      <w:rFonts w:ascii="Arial" w:hAnsi="Arial"/>
      <w:b/>
      <w:sz w:val="48"/>
    </w:rPr>
  </w:style>
  <w:style w:type="paragraph" w:customStyle="1" w:styleId="CoverDocType24a">
    <w:name w:val="CoverDocType24a"/>
    <w:basedOn w:val="Normal"/>
    <w:rsid w:val="00D00FC9"/>
    <w:pPr>
      <w:spacing w:after="480"/>
      <w:ind w:left="1418"/>
    </w:pPr>
    <w:rPr>
      <w:rFonts w:ascii="Arial" w:hAnsi="Arial"/>
      <w:b/>
      <w:sz w:val="48"/>
    </w:rPr>
  </w:style>
  <w:style w:type="paragraph" w:customStyle="1" w:styleId="CoverDate">
    <w:name w:val="CoverDate"/>
    <w:basedOn w:val="Normal"/>
    <w:rsid w:val="00D00FC9"/>
    <w:pPr>
      <w:spacing w:before="240" w:after="1200"/>
    </w:pPr>
  </w:style>
  <w:style w:type="paragraph" w:styleId="Header">
    <w:name w:val="header"/>
    <w:basedOn w:val="Normal"/>
    <w:link w:val="HeaderChar"/>
    <w:rsid w:val="00D00FC9"/>
    <w:pPr>
      <w:tabs>
        <w:tab w:val="center" w:pos="4513"/>
        <w:tab w:val="right" w:pos="9026"/>
      </w:tabs>
    </w:pPr>
  </w:style>
  <w:style w:type="character" w:customStyle="1" w:styleId="HeaderChar">
    <w:name w:val="Header Char"/>
    <w:basedOn w:val="DefaultParagraphFont"/>
    <w:link w:val="Header"/>
    <w:rsid w:val="00D00FC9"/>
    <w:rPr>
      <w:sz w:val="24"/>
      <w:lang w:val="hr-HR"/>
    </w:rPr>
  </w:style>
  <w:style w:type="paragraph" w:customStyle="1" w:styleId="AmOrLang">
    <w:name w:val="AmOrLang"/>
    <w:basedOn w:val="Normal"/>
    <w:rsid w:val="00D00FC9"/>
    <w:pPr>
      <w:spacing w:before="240" w:after="240"/>
      <w:jc w:val="right"/>
    </w:pPr>
  </w:style>
  <w:style w:type="paragraph" w:customStyle="1" w:styleId="AmColumnHeading">
    <w:name w:val="AmColumnHeading"/>
    <w:basedOn w:val="Normal"/>
    <w:rsid w:val="00D00FC9"/>
    <w:pPr>
      <w:spacing w:after="240"/>
      <w:jc w:val="center"/>
    </w:pPr>
    <w:rPr>
      <w:i/>
    </w:rPr>
  </w:style>
  <w:style w:type="paragraph" w:customStyle="1" w:styleId="AmNumberTabs">
    <w:name w:val="AmNumberTabs"/>
    <w:basedOn w:val="Normal"/>
    <w:link w:val="AmNumberTabsChar"/>
    <w:rsid w:val="00D00F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00FC9"/>
    <w:rPr>
      <w:b/>
      <w:sz w:val="24"/>
      <w:lang w:val="hr-HR"/>
    </w:rPr>
  </w:style>
  <w:style w:type="paragraph" w:customStyle="1" w:styleId="NormalBold12b">
    <w:name w:val="NormalBold12b"/>
    <w:basedOn w:val="Normal"/>
    <w:link w:val="NormalBold12bChar"/>
    <w:rsid w:val="00D00FC9"/>
    <w:pPr>
      <w:spacing w:before="240"/>
    </w:pPr>
    <w:rPr>
      <w:b/>
    </w:rPr>
  </w:style>
  <w:style w:type="character" w:customStyle="1" w:styleId="NormalBold12bChar">
    <w:name w:val="NormalBold12b Char"/>
    <w:basedOn w:val="AmNumberTabsChar"/>
    <w:link w:val="NormalBold12b"/>
    <w:rsid w:val="00D00FC9"/>
    <w:rPr>
      <w:b/>
      <w:sz w:val="24"/>
      <w:lang w:val="hr-HR"/>
    </w:rPr>
  </w:style>
  <w:style w:type="paragraph" w:customStyle="1" w:styleId="EPBody">
    <w:name w:val="EPBody"/>
    <w:basedOn w:val="Normal"/>
    <w:rsid w:val="00D00FC9"/>
    <w:pPr>
      <w:jc w:val="center"/>
    </w:pPr>
    <w:rPr>
      <w:rFonts w:ascii="Arial" w:hAnsi="Arial" w:cs="Arial"/>
      <w:i/>
      <w:sz w:val="22"/>
      <w:szCs w:val="22"/>
    </w:rPr>
  </w:style>
  <w:style w:type="paragraph" w:customStyle="1" w:styleId="EPFooter">
    <w:name w:val="EPFooter"/>
    <w:basedOn w:val="Normal"/>
    <w:rsid w:val="00D00FC9"/>
    <w:pPr>
      <w:tabs>
        <w:tab w:val="center" w:pos="4535"/>
        <w:tab w:val="right" w:pos="9071"/>
      </w:tabs>
      <w:spacing w:before="240" w:after="240"/>
    </w:pPr>
    <w:rPr>
      <w:color w:val="010000"/>
      <w:sz w:val="22"/>
    </w:rPr>
  </w:style>
  <w:style w:type="paragraph" w:customStyle="1" w:styleId="EPComma">
    <w:name w:val="EPComma"/>
    <w:basedOn w:val="Normal"/>
    <w:rsid w:val="00D00FC9"/>
    <w:pPr>
      <w:spacing w:before="480" w:after="240"/>
    </w:pPr>
  </w:style>
  <w:style w:type="paragraph" w:customStyle="1" w:styleId="Lgendesigne">
    <w:name w:val="Légende signe"/>
    <w:basedOn w:val="Normal"/>
    <w:rsid w:val="00D00FC9"/>
    <w:pPr>
      <w:tabs>
        <w:tab w:val="right" w:pos="454"/>
        <w:tab w:val="left" w:pos="737"/>
      </w:tabs>
      <w:ind w:left="737" w:hanging="737"/>
    </w:pPr>
    <w:rPr>
      <w:snapToGrid w:val="0"/>
      <w:sz w:val="18"/>
      <w:lang w:eastAsia="en-US"/>
    </w:rPr>
  </w:style>
  <w:style w:type="paragraph" w:customStyle="1" w:styleId="Lgendetitre">
    <w:name w:val="Légende titre"/>
    <w:basedOn w:val="Normal"/>
    <w:rsid w:val="00D00FC9"/>
    <w:pPr>
      <w:spacing w:before="240" w:after="240"/>
    </w:pPr>
    <w:rPr>
      <w:b/>
      <w:i/>
      <w:snapToGrid w:val="0"/>
      <w:lang w:eastAsia="en-US"/>
    </w:rPr>
  </w:style>
  <w:style w:type="paragraph" w:customStyle="1" w:styleId="Lgendestandard">
    <w:name w:val="Légende standard"/>
    <w:basedOn w:val="Normal"/>
    <w:rsid w:val="00D00FC9"/>
    <w:rPr>
      <w:sz w:val="18"/>
    </w:rPr>
  </w:style>
  <w:style w:type="paragraph" w:customStyle="1" w:styleId="msonormal0">
    <w:name w:val="msonormal"/>
    <w:basedOn w:val="Normal"/>
    <w:rsid w:val="00D00FC9"/>
    <w:pPr>
      <w:widowControl/>
      <w:spacing w:before="100" w:beforeAutospacing="1" w:after="100" w:afterAutospacing="1"/>
    </w:pPr>
    <w:rPr>
      <w:szCs w:val="24"/>
    </w:rPr>
  </w:style>
  <w:style w:type="character" w:customStyle="1" w:styleId="Normal12Char">
    <w:name w:val="Normal12 Char"/>
    <w:basedOn w:val="DefaultParagraphFont"/>
    <w:link w:val="Normal12"/>
    <w:locked/>
    <w:rsid w:val="00D00FC9"/>
    <w:rPr>
      <w:noProof/>
      <w:sz w:val="24"/>
    </w:rPr>
  </w:style>
  <w:style w:type="paragraph" w:customStyle="1" w:styleId="Normal12">
    <w:name w:val="Normal12"/>
    <w:basedOn w:val="Normal"/>
    <w:link w:val="Normal12Char"/>
    <w:rsid w:val="00D00FC9"/>
    <w:pPr>
      <w:spacing w:after="240"/>
    </w:pPr>
    <w:rPr>
      <w:noProof/>
      <w:lang w:val="en-GB"/>
    </w:rPr>
  </w:style>
  <w:style w:type="paragraph" w:customStyle="1" w:styleId="CommitteeAM">
    <w:name w:val="CommitteeAM"/>
    <w:basedOn w:val="Normal"/>
    <w:rsid w:val="00D00FC9"/>
    <w:pPr>
      <w:spacing w:before="240" w:after="600"/>
      <w:jc w:val="center"/>
    </w:pPr>
    <w:rPr>
      <w:i/>
    </w:rPr>
  </w:style>
  <w:style w:type="paragraph" w:customStyle="1" w:styleId="ZDateAM">
    <w:name w:val="ZDateAM"/>
    <w:basedOn w:val="Normal"/>
    <w:rsid w:val="00D00FC9"/>
    <w:pPr>
      <w:tabs>
        <w:tab w:val="right" w:pos="9356"/>
      </w:tabs>
      <w:spacing w:after="480"/>
    </w:pPr>
    <w:rPr>
      <w:noProof/>
    </w:rPr>
  </w:style>
  <w:style w:type="paragraph" w:customStyle="1" w:styleId="ProjRap">
    <w:name w:val="ProjRap"/>
    <w:basedOn w:val="Normal"/>
    <w:rsid w:val="00D00FC9"/>
    <w:pPr>
      <w:tabs>
        <w:tab w:val="right" w:pos="9356"/>
      </w:tabs>
    </w:pPr>
    <w:rPr>
      <w:b/>
      <w:noProof/>
    </w:rPr>
  </w:style>
  <w:style w:type="paragraph" w:customStyle="1" w:styleId="PELeft">
    <w:name w:val="PELeft"/>
    <w:basedOn w:val="Normal"/>
    <w:rsid w:val="00D00FC9"/>
    <w:pPr>
      <w:spacing w:before="40" w:after="40"/>
    </w:pPr>
    <w:rPr>
      <w:rFonts w:ascii="Arial" w:hAnsi="Arial" w:cs="Arial"/>
      <w:sz w:val="22"/>
      <w:szCs w:val="22"/>
    </w:rPr>
  </w:style>
  <w:style w:type="paragraph" w:customStyle="1" w:styleId="PERight">
    <w:name w:val="PERight"/>
    <w:basedOn w:val="Normal"/>
    <w:next w:val="Normal"/>
    <w:rsid w:val="00D00FC9"/>
    <w:pPr>
      <w:jc w:val="right"/>
    </w:pPr>
    <w:rPr>
      <w:rFonts w:ascii="Arial" w:hAnsi="Arial" w:cs="Arial"/>
      <w:sz w:val="22"/>
      <w:szCs w:val="22"/>
    </w:rPr>
  </w:style>
  <w:style w:type="character" w:customStyle="1" w:styleId="Normal6Char">
    <w:name w:val="Normal6 Char"/>
    <w:basedOn w:val="DefaultParagraphFont"/>
    <w:link w:val="Normal6"/>
    <w:locked/>
    <w:rsid w:val="00D00FC9"/>
    <w:rPr>
      <w:sz w:val="24"/>
      <w:lang w:val="hr-HR"/>
    </w:rPr>
  </w:style>
  <w:style w:type="paragraph" w:customStyle="1" w:styleId="Normal6">
    <w:name w:val="Normal6"/>
    <w:basedOn w:val="Normal"/>
    <w:link w:val="Normal6Char"/>
    <w:rsid w:val="00D00FC9"/>
    <w:pPr>
      <w:spacing w:after="120"/>
    </w:pPr>
  </w:style>
  <w:style w:type="paragraph" w:customStyle="1" w:styleId="Normal12Italic">
    <w:name w:val="Normal12Italic"/>
    <w:basedOn w:val="Normal12"/>
    <w:rsid w:val="00D00FC9"/>
    <w:pPr>
      <w:jc w:val="both"/>
    </w:pPr>
  </w:style>
  <w:style w:type="paragraph" w:customStyle="1" w:styleId="JustificationTitle">
    <w:name w:val="JustificationTitle"/>
    <w:basedOn w:val="Normal"/>
    <w:next w:val="Normal12"/>
    <w:rsid w:val="00D00FC9"/>
    <w:pPr>
      <w:keepNext/>
      <w:spacing w:before="240" w:after="240"/>
      <w:jc w:val="center"/>
    </w:pPr>
    <w:rPr>
      <w:i/>
      <w:noProof/>
    </w:rPr>
  </w:style>
  <w:style w:type="paragraph" w:customStyle="1" w:styleId="Olang">
    <w:name w:val="Olang"/>
    <w:basedOn w:val="Normal"/>
    <w:rsid w:val="00D00FC9"/>
    <w:pPr>
      <w:spacing w:before="240" w:after="240"/>
      <w:jc w:val="right"/>
    </w:pPr>
    <w:rPr>
      <w:noProof/>
      <w:szCs w:val="24"/>
    </w:rPr>
  </w:style>
  <w:style w:type="paragraph" w:customStyle="1" w:styleId="ColumnHeading">
    <w:name w:val="ColumnHeading"/>
    <w:basedOn w:val="Normal"/>
    <w:rsid w:val="00D00FC9"/>
    <w:pPr>
      <w:spacing w:after="240"/>
      <w:jc w:val="center"/>
    </w:pPr>
    <w:rPr>
      <w:i/>
    </w:rPr>
  </w:style>
  <w:style w:type="paragraph" w:customStyle="1" w:styleId="AMNumberTabs0">
    <w:name w:val="AMNumberTabs"/>
    <w:basedOn w:val="Normal"/>
    <w:rsid w:val="00D00F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00FC9"/>
    <w:pPr>
      <w:spacing w:before="240"/>
      <w:jc w:val="center"/>
    </w:pPr>
    <w:rPr>
      <w:i/>
    </w:rPr>
  </w:style>
  <w:style w:type="character" w:customStyle="1" w:styleId="Footer2Middle">
    <w:name w:val="Footer2Middle"/>
    <w:rsid w:val="00D00FC9"/>
    <w:rPr>
      <w:rFonts w:ascii="Arial" w:hAnsi="Arial" w:cs="Arial" w:hint="default"/>
      <w:b w:val="0"/>
      <w:bCs w:val="0"/>
      <w:i/>
      <w:iCs w:val="0"/>
      <w:color w:val="C0C0C0"/>
      <w:sz w:val="22"/>
    </w:rPr>
  </w:style>
  <w:style w:type="paragraph" w:customStyle="1" w:styleId="EntPE">
    <w:name w:val="EntPE"/>
    <w:basedOn w:val="Normal12"/>
    <w:rsid w:val="00D00FC9"/>
    <w:pPr>
      <w:jc w:val="center"/>
    </w:pPr>
    <w:rPr>
      <w:noProof w:val="0"/>
      <w:sz w:val="56"/>
    </w:rPr>
  </w:style>
  <w:style w:type="paragraph" w:styleId="BalloonText">
    <w:name w:val="Balloon Text"/>
    <w:basedOn w:val="Normal"/>
    <w:link w:val="BalloonTextChar"/>
    <w:unhideWhenUsed/>
    <w:rsid w:val="00D00FC9"/>
    <w:pPr>
      <w:widowControl/>
    </w:pPr>
    <w:rPr>
      <w:rFonts w:ascii="Segoe UI" w:hAnsi="Segoe UI" w:cs="Segoe UI"/>
      <w:sz w:val="18"/>
      <w:szCs w:val="18"/>
    </w:rPr>
  </w:style>
  <w:style w:type="character" w:customStyle="1" w:styleId="BalloonTextChar">
    <w:name w:val="Balloon Text Char"/>
    <w:basedOn w:val="DefaultParagraphFont"/>
    <w:link w:val="BalloonText"/>
    <w:rsid w:val="00D00FC9"/>
    <w:rPr>
      <w:rFonts w:ascii="Segoe UI" w:hAnsi="Segoe UI" w:cs="Segoe UI"/>
      <w:sz w:val="18"/>
      <w:szCs w:val="18"/>
      <w:lang w:val="hr-HR"/>
    </w:rPr>
  </w:style>
  <w:style w:type="paragraph" w:customStyle="1" w:styleId="Normal12Hanging">
    <w:name w:val="Normal12Hanging"/>
    <w:basedOn w:val="Normal"/>
    <w:uiPriority w:val="99"/>
    <w:rsid w:val="00D00FC9"/>
    <w:pPr>
      <w:spacing w:after="240"/>
      <w:ind w:left="567" w:hanging="567"/>
    </w:pPr>
  </w:style>
  <w:style w:type="character" w:styleId="CommentReference">
    <w:name w:val="annotation reference"/>
    <w:basedOn w:val="DefaultParagraphFont"/>
    <w:rsid w:val="00D00FC9"/>
    <w:rPr>
      <w:sz w:val="16"/>
      <w:szCs w:val="16"/>
    </w:rPr>
  </w:style>
  <w:style w:type="paragraph" w:styleId="CommentText">
    <w:name w:val="annotation text"/>
    <w:basedOn w:val="Normal"/>
    <w:link w:val="CommentTextChar"/>
    <w:rsid w:val="00D00FC9"/>
    <w:rPr>
      <w:sz w:val="20"/>
    </w:rPr>
  </w:style>
  <w:style w:type="character" w:customStyle="1" w:styleId="CommentTextChar">
    <w:name w:val="Comment Text Char"/>
    <w:basedOn w:val="DefaultParagraphFont"/>
    <w:link w:val="CommentText"/>
    <w:rsid w:val="00D00FC9"/>
    <w:rPr>
      <w:lang w:val="hr-HR"/>
    </w:rPr>
  </w:style>
  <w:style w:type="paragraph" w:styleId="CommentSubject">
    <w:name w:val="annotation subject"/>
    <w:basedOn w:val="CommentText"/>
    <w:next w:val="CommentText"/>
    <w:link w:val="CommentSubjectChar"/>
    <w:unhideWhenUsed/>
    <w:rsid w:val="00D00FC9"/>
    <w:rPr>
      <w:b/>
      <w:bCs/>
    </w:rPr>
  </w:style>
  <w:style w:type="character" w:customStyle="1" w:styleId="CommentSubjectChar">
    <w:name w:val="Comment Subject Char"/>
    <w:basedOn w:val="CommentTextChar"/>
    <w:link w:val="CommentSubject"/>
    <w:rsid w:val="00D00FC9"/>
    <w:rPr>
      <w:b/>
      <w:bCs/>
      <w:lang w:val="hr-HR"/>
    </w:rPr>
  </w:style>
  <w:style w:type="paragraph" w:styleId="ListParagraph">
    <w:name w:val="List Paragraph"/>
    <w:basedOn w:val="Normal"/>
    <w:uiPriority w:val="34"/>
    <w:qFormat/>
    <w:rsid w:val="00D00FC9"/>
    <w:pPr>
      <w:widowControl/>
      <w:ind w:left="720"/>
      <w:contextualSpacing/>
      <w:jc w:val="both"/>
    </w:pPr>
    <w:rPr>
      <w:rFonts w:eastAsiaTheme="minorHAnsi"/>
      <w:szCs w:val="24"/>
      <w:lang w:eastAsia="en-US"/>
    </w:rPr>
  </w:style>
  <w:style w:type="paragraph" w:customStyle="1" w:styleId="PageHeadingNotTOC">
    <w:name w:val="PageHeadingNotTOC"/>
    <w:basedOn w:val="Normal"/>
    <w:rsid w:val="00D00FC9"/>
    <w:pPr>
      <w:keepNext/>
      <w:spacing w:after="480"/>
      <w:jc w:val="center"/>
    </w:pPr>
    <w:rPr>
      <w:rFonts w:ascii="Arial" w:hAnsi="Arial" w:cs="Arial"/>
      <w:b/>
    </w:rPr>
  </w:style>
  <w:style w:type="paragraph" w:styleId="Revision">
    <w:name w:val="Revision"/>
    <w:uiPriority w:val="99"/>
    <w:semiHidden/>
    <w:rsid w:val="00D00FC9"/>
    <w:rPr>
      <w:sz w:val="24"/>
      <w:lang w:val="hr-HR"/>
    </w:rPr>
  </w:style>
  <w:style w:type="paragraph" w:customStyle="1" w:styleId="Normal12a">
    <w:name w:val="Normal12a"/>
    <w:basedOn w:val="Normal"/>
    <w:rsid w:val="00D00FC9"/>
    <w:pPr>
      <w:spacing w:after="240"/>
    </w:pPr>
  </w:style>
  <w:style w:type="paragraph" w:customStyle="1" w:styleId="RollCallVotes">
    <w:name w:val="RollCallVotes"/>
    <w:basedOn w:val="Normal"/>
    <w:rsid w:val="00D00FC9"/>
    <w:pPr>
      <w:spacing w:before="120" w:after="120"/>
      <w:jc w:val="center"/>
    </w:pPr>
    <w:rPr>
      <w:b/>
      <w:bCs/>
      <w:snapToGrid w:val="0"/>
      <w:sz w:val="16"/>
      <w:lang w:eastAsia="en-US"/>
    </w:rPr>
  </w:style>
  <w:style w:type="paragraph" w:customStyle="1" w:styleId="RollCallTabs">
    <w:name w:val="RollCallTabs"/>
    <w:basedOn w:val="Normal"/>
    <w:qFormat/>
    <w:rsid w:val="00D00FC9"/>
    <w:pPr>
      <w:tabs>
        <w:tab w:val="center" w:pos="284"/>
        <w:tab w:val="left" w:pos="426"/>
      </w:tabs>
    </w:pPr>
    <w:rPr>
      <w:snapToGrid w:val="0"/>
      <w:lang w:eastAsia="en-US"/>
    </w:rPr>
  </w:style>
  <w:style w:type="paragraph" w:customStyle="1" w:styleId="RollCallSymbols14pt">
    <w:name w:val="RollCallSymbols14pt"/>
    <w:basedOn w:val="Normal"/>
    <w:rsid w:val="00D00FC9"/>
    <w:pPr>
      <w:spacing w:before="120" w:after="120"/>
      <w:jc w:val="center"/>
    </w:pPr>
    <w:rPr>
      <w:rFonts w:ascii="Arial" w:hAnsi="Arial"/>
      <w:b/>
      <w:bCs/>
      <w:snapToGrid w:val="0"/>
      <w:sz w:val="28"/>
      <w:lang w:eastAsia="en-US"/>
    </w:rPr>
  </w:style>
  <w:style w:type="paragraph" w:customStyle="1" w:styleId="RollCallTable">
    <w:name w:val="RollCallTable"/>
    <w:basedOn w:val="Normal"/>
    <w:rsid w:val="00D00FC9"/>
    <w:pPr>
      <w:spacing w:before="120" w:after="120"/>
    </w:pPr>
    <w:rPr>
      <w:snapToGrid w:val="0"/>
      <w:sz w:val="16"/>
      <w:lang w:eastAsia="en-US"/>
    </w:rPr>
  </w:style>
  <w:style w:type="paragraph" w:customStyle="1" w:styleId="TableParagraph">
    <w:name w:val="Table Paragraph"/>
    <w:basedOn w:val="Normal"/>
    <w:uiPriority w:val="1"/>
    <w:qFormat/>
    <w:rsid w:val="00D00FC9"/>
    <w:pPr>
      <w:autoSpaceDE w:val="0"/>
      <w:autoSpaceDN w:val="0"/>
      <w:spacing w:before="114"/>
      <w:ind w:left="110"/>
    </w:pPr>
    <w:rPr>
      <w:sz w:val="22"/>
      <w:szCs w:val="22"/>
      <w:lang w:eastAsia="en-US"/>
    </w:rPr>
  </w:style>
  <w:style w:type="paragraph" w:customStyle="1" w:styleId="Default">
    <w:name w:val="Default"/>
    <w:rsid w:val="00D00FC9"/>
    <w:pPr>
      <w:autoSpaceDE w:val="0"/>
      <w:autoSpaceDN w:val="0"/>
      <w:adjustRightInd w:val="0"/>
    </w:pPr>
    <w:rPr>
      <w:color w:val="000000"/>
      <w:sz w:val="24"/>
      <w:szCs w:val="24"/>
      <w:lang w:val="hr-HR"/>
    </w:rPr>
  </w:style>
  <w:style w:type="character" w:customStyle="1" w:styleId="contentpasted0">
    <w:name w:val="contentpasted0"/>
    <w:rsid w:val="00D00FC9"/>
  </w:style>
  <w:style w:type="table" w:customStyle="1" w:styleId="CV11">
    <w:name w:val="CV11"/>
    <w:basedOn w:val="TableNormal"/>
    <w:uiPriority w:val="39"/>
    <w:rsid w:val="00D00FC9"/>
    <w:rPr>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HeadingPA">
    <w:name w:val="AmHeadingPA"/>
    <w:basedOn w:val="Normal"/>
    <w:next w:val="Normal"/>
    <w:rsid w:val="00D00FC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D00FC9"/>
    <w:pPr>
      <w:spacing w:after="480"/>
    </w:pPr>
  </w:style>
  <w:style w:type="character" w:customStyle="1" w:styleId="Normal24aChar">
    <w:name w:val="Normal24a Char"/>
    <w:basedOn w:val="DefaultParagraphFont"/>
    <w:link w:val="Normal24a"/>
    <w:rsid w:val="00D00FC9"/>
    <w:rPr>
      <w:sz w:val="24"/>
      <w:lang w:val="hr-HR"/>
    </w:rPr>
  </w:style>
  <w:style w:type="paragraph" w:customStyle="1" w:styleId="Normal1">
    <w:name w:val="Normal1"/>
    <w:basedOn w:val="Normal"/>
    <w:rsid w:val="00D00FC9"/>
    <w:pPr>
      <w:widowControl/>
      <w:spacing w:before="100" w:beforeAutospacing="1" w:after="100" w:afterAutospacing="1"/>
    </w:pPr>
    <w:rPr>
      <w:szCs w:val="24"/>
    </w:rPr>
  </w:style>
  <w:style w:type="character" w:customStyle="1" w:styleId="footnotereference0">
    <w:name w:val="footnotereference"/>
    <w:basedOn w:val="DefaultParagraphFont"/>
    <w:rsid w:val="00D00FC9"/>
  </w:style>
  <w:style w:type="paragraph" w:customStyle="1" w:styleId="CoverBold">
    <w:name w:val="CoverBold"/>
    <w:basedOn w:val="Normal"/>
    <w:rsid w:val="00D00FC9"/>
    <w:pPr>
      <w:ind w:left="1417"/>
    </w:pPr>
    <w:rPr>
      <w:b/>
    </w:rPr>
  </w:style>
  <w:style w:type="paragraph" w:styleId="EndnoteText">
    <w:name w:val="endnote text"/>
    <w:basedOn w:val="Normal"/>
    <w:link w:val="EndnoteTextChar"/>
    <w:unhideWhenUsed/>
    <w:rsid w:val="00D00FC9"/>
    <w:rPr>
      <w:sz w:val="20"/>
    </w:rPr>
  </w:style>
  <w:style w:type="character" w:customStyle="1" w:styleId="EndnoteTextChar">
    <w:name w:val="Endnote Text Char"/>
    <w:basedOn w:val="DefaultParagraphFont"/>
    <w:link w:val="EndnoteText"/>
    <w:rsid w:val="00D00FC9"/>
    <w:rPr>
      <w:lang w:val="hr-HR"/>
    </w:rPr>
  </w:style>
  <w:style w:type="character" w:styleId="EndnoteReference">
    <w:name w:val="endnote reference"/>
    <w:basedOn w:val="DefaultParagraphFont"/>
    <w:unhideWhenUsed/>
    <w:rsid w:val="00D00FC9"/>
    <w:rPr>
      <w:vertAlign w:val="superscript"/>
    </w:rPr>
  </w:style>
  <w:style w:type="character" w:customStyle="1" w:styleId="UnresolvedMention1">
    <w:name w:val="Unresolved Mention1"/>
    <w:basedOn w:val="DefaultParagraphFont"/>
    <w:uiPriority w:val="99"/>
    <w:semiHidden/>
    <w:rsid w:val="00D00FC9"/>
    <w:rPr>
      <w:color w:val="605E5C"/>
      <w:shd w:val="clear" w:color="auto" w:fill="E1DFDD"/>
    </w:rPr>
  </w:style>
  <w:style w:type="paragraph" w:styleId="Footer">
    <w:name w:val="footer"/>
    <w:link w:val="FooterChar"/>
    <w:unhideWhenUsed/>
    <w:rsid w:val="00D00FC9"/>
    <w:pPr>
      <w:tabs>
        <w:tab w:val="center" w:pos="4536"/>
        <w:tab w:val="right" w:pos="9072"/>
      </w:tabs>
      <w:spacing w:before="240" w:after="240" w:line="220" w:lineRule="auto"/>
    </w:pPr>
    <w:rPr>
      <w:sz w:val="22"/>
      <w:lang w:val="hr-HR"/>
    </w:rPr>
  </w:style>
  <w:style w:type="character" w:customStyle="1" w:styleId="FooterChar">
    <w:name w:val="Footer Char"/>
    <w:basedOn w:val="DefaultParagraphFont"/>
    <w:link w:val="Footer"/>
    <w:rsid w:val="00D00FC9"/>
    <w:rPr>
      <w:sz w:val="22"/>
      <w:lang w:val="hr-HR"/>
    </w:rPr>
  </w:style>
  <w:style w:type="paragraph" w:customStyle="1" w:styleId="Footer2">
    <w:name w:val="Footer2"/>
    <w:basedOn w:val="Normal12"/>
    <w:rsid w:val="00D00FC9"/>
    <w:pPr>
      <w:tabs>
        <w:tab w:val="center" w:pos="4535"/>
        <w:tab w:val="right" w:pos="9923"/>
      </w:tabs>
      <w:spacing w:line="480" w:lineRule="auto"/>
      <w:ind w:left="-851"/>
    </w:pPr>
    <w:rPr>
      <w:rFonts w:ascii="Arial" w:cs="Arial"/>
      <w:b/>
      <w:sz w:val="48"/>
    </w:rPr>
  </w:style>
  <w:style w:type="paragraph" w:styleId="Title">
    <w:name w:val="Title"/>
    <w:basedOn w:val="Normal"/>
    <w:next w:val="Normal"/>
    <w:link w:val="TitleChar"/>
    <w:uiPriority w:val="10"/>
    <w:qFormat/>
    <w:rsid w:val="00D00FC9"/>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D00FC9"/>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D00FC9"/>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D00FC9"/>
    <w:rPr>
      <w:rFonts w:ascii="Arial" w:eastAsiaTheme="majorEastAsia" w:hAnsi="Arial" w:cs="Arial"/>
      <w:sz w:val="24"/>
      <w:szCs w:val="24"/>
      <w:lang w:val="hr-HR" w:eastAsia="en-US"/>
    </w:rPr>
  </w:style>
  <w:style w:type="character" w:styleId="Strong">
    <w:name w:val="Strong"/>
    <w:basedOn w:val="DefaultParagraphFont"/>
    <w:uiPriority w:val="22"/>
    <w:qFormat/>
    <w:rsid w:val="00D00FC9"/>
    <w:rPr>
      <w:b/>
      <w:bCs/>
    </w:rPr>
  </w:style>
  <w:style w:type="character" w:styleId="Emphasis">
    <w:name w:val="Emphasis"/>
    <w:basedOn w:val="DefaultParagraphFont"/>
    <w:uiPriority w:val="20"/>
    <w:qFormat/>
    <w:rsid w:val="00D00FC9"/>
    <w:rPr>
      <w:rFonts w:asciiTheme="minorHAnsi" w:hAnsiTheme="minorHAnsi"/>
      <w:b/>
      <w:i/>
      <w:iCs/>
    </w:rPr>
  </w:style>
  <w:style w:type="paragraph" w:styleId="NoSpacing">
    <w:name w:val="No Spacing"/>
    <w:basedOn w:val="Normal"/>
    <w:uiPriority w:val="1"/>
    <w:qFormat/>
    <w:rsid w:val="00D00FC9"/>
    <w:pPr>
      <w:widowControl/>
      <w:jc w:val="both"/>
    </w:pPr>
    <w:rPr>
      <w:rFonts w:eastAsiaTheme="minorHAnsi"/>
      <w:szCs w:val="32"/>
      <w:lang w:eastAsia="en-US"/>
    </w:rPr>
  </w:style>
  <w:style w:type="paragraph" w:styleId="Quote">
    <w:name w:val="Quote"/>
    <w:basedOn w:val="Normal"/>
    <w:next w:val="Normal"/>
    <w:link w:val="QuoteChar"/>
    <w:uiPriority w:val="29"/>
    <w:qFormat/>
    <w:rsid w:val="00D00FC9"/>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D00FC9"/>
    <w:rPr>
      <w:rFonts w:eastAsiaTheme="minorHAnsi"/>
      <w:i/>
      <w:sz w:val="24"/>
      <w:szCs w:val="24"/>
      <w:lang w:val="hr-HR" w:eastAsia="en-US"/>
    </w:rPr>
  </w:style>
  <w:style w:type="paragraph" w:styleId="IntenseQuote">
    <w:name w:val="Intense Quote"/>
    <w:basedOn w:val="Normal"/>
    <w:next w:val="Normal"/>
    <w:link w:val="IntenseQuoteChar"/>
    <w:uiPriority w:val="30"/>
    <w:qFormat/>
    <w:rsid w:val="00D00FC9"/>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D00FC9"/>
    <w:rPr>
      <w:rFonts w:eastAsiaTheme="minorHAnsi"/>
      <w:b/>
      <w:i/>
      <w:sz w:val="24"/>
      <w:szCs w:val="22"/>
      <w:lang w:val="hr-HR" w:eastAsia="en-US"/>
    </w:rPr>
  </w:style>
  <w:style w:type="character" w:styleId="SubtleEmphasis">
    <w:name w:val="Subtle Emphasis"/>
    <w:uiPriority w:val="19"/>
    <w:qFormat/>
    <w:rsid w:val="00D00FC9"/>
    <w:rPr>
      <w:i/>
      <w:color w:val="5A5A5A" w:themeColor="text1" w:themeTint="A5"/>
    </w:rPr>
  </w:style>
  <w:style w:type="character" w:styleId="IntenseEmphasis">
    <w:name w:val="Intense Emphasis"/>
    <w:basedOn w:val="DefaultParagraphFont"/>
    <w:uiPriority w:val="21"/>
    <w:qFormat/>
    <w:rsid w:val="00D00FC9"/>
    <w:rPr>
      <w:b/>
      <w:i/>
      <w:sz w:val="24"/>
      <w:szCs w:val="24"/>
      <w:u w:val="single"/>
    </w:rPr>
  </w:style>
  <w:style w:type="character" w:styleId="SubtleReference">
    <w:name w:val="Subtle Reference"/>
    <w:basedOn w:val="DefaultParagraphFont"/>
    <w:uiPriority w:val="31"/>
    <w:qFormat/>
    <w:rsid w:val="00D00FC9"/>
    <w:rPr>
      <w:sz w:val="24"/>
      <w:szCs w:val="24"/>
      <w:u w:val="single"/>
    </w:rPr>
  </w:style>
  <w:style w:type="character" w:styleId="IntenseReference">
    <w:name w:val="Intense Reference"/>
    <w:basedOn w:val="DefaultParagraphFont"/>
    <w:uiPriority w:val="32"/>
    <w:qFormat/>
    <w:rsid w:val="00D00FC9"/>
    <w:rPr>
      <w:b/>
      <w:sz w:val="24"/>
      <w:u w:val="single"/>
    </w:rPr>
  </w:style>
  <w:style w:type="character" w:styleId="BookTitle">
    <w:name w:val="Book Title"/>
    <w:basedOn w:val="DefaultParagraphFont"/>
    <w:uiPriority w:val="33"/>
    <w:qFormat/>
    <w:rsid w:val="00D00FC9"/>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53657">
      <w:bodyDiv w:val="1"/>
      <w:marLeft w:val="0"/>
      <w:marRight w:val="0"/>
      <w:marTop w:val="0"/>
      <w:marBottom w:val="0"/>
      <w:divBdr>
        <w:top w:val="none" w:sz="0" w:space="0" w:color="auto"/>
        <w:left w:val="none" w:sz="0" w:space="0" w:color="auto"/>
        <w:bottom w:val="none" w:sz="0" w:space="0" w:color="auto"/>
        <w:right w:val="none" w:sz="0" w:space="0" w:color="auto"/>
      </w:divBdr>
    </w:div>
    <w:div w:id="32972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17D7D-3414-41DF-A132-4AF4091E3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86</Pages>
  <Words>20605</Words>
  <Characters>119199</Characters>
  <Application>Microsoft Office Word</Application>
  <DocSecurity>0</DocSecurity>
  <Lines>993</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4</cp:revision>
  <cp:lastPrinted>2004-11-19T15:42:00Z</cp:lastPrinted>
  <dcterms:created xsi:type="dcterms:W3CDTF">2024-01-31T10:37:00Z</dcterms:created>
  <dcterms:modified xsi:type="dcterms:W3CDTF">2024-03-21T10:56:00Z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P9_TA(2023)0394_</vt:lpwstr>
  </property>
  <property fmtid="{D5CDD505-2E9C-101B-9397-08002B2CF9AE}" pid="4" name="&lt;Type&gt;">
    <vt:lpwstr>RR</vt:lpwstr>
  </property>
</Properties>
</file>