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21A9" w:rsidTr="0010095E">
        <w:trPr>
          <w:trHeight w:hRule="exact" w:val="1418"/>
        </w:trPr>
        <w:tc>
          <w:tcPr>
            <w:tcW w:w="6804" w:type="dxa"/>
            <w:shd w:val="clear" w:color="auto" w:fill="auto"/>
            <w:vAlign w:val="center"/>
          </w:tcPr>
          <w:p w:rsidR="00751A4A" w:rsidRPr="004321A9" w:rsidRDefault="00636711" w:rsidP="0010095E">
            <w:pPr>
              <w:pStyle w:val="EPName"/>
            </w:pPr>
            <w:r w:rsidRPr="004321A9">
              <w:t>Európai Parlament</w:t>
            </w:r>
          </w:p>
          <w:p w:rsidR="00751A4A" w:rsidRPr="004321A9" w:rsidRDefault="00817416" w:rsidP="00756632">
            <w:pPr>
              <w:pStyle w:val="EPTerm"/>
              <w:rPr>
                <w:rStyle w:val="HideTWBExt"/>
                <w:noProof w:val="0"/>
                <w:vanish w:val="0"/>
                <w:color w:val="auto"/>
              </w:rPr>
            </w:pPr>
            <w:r w:rsidRPr="004321A9">
              <w:t>2019-2024</w:t>
            </w:r>
          </w:p>
        </w:tc>
        <w:tc>
          <w:tcPr>
            <w:tcW w:w="2268" w:type="dxa"/>
            <w:shd w:val="clear" w:color="auto" w:fill="auto"/>
          </w:tcPr>
          <w:p w:rsidR="00751A4A" w:rsidRPr="004321A9" w:rsidRDefault="00187494" w:rsidP="0010095E">
            <w:pPr>
              <w:pStyle w:val="EPLogo"/>
            </w:pPr>
            <w:r w:rsidRPr="004321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21A9" w:rsidRDefault="00D058B8" w:rsidP="004C5D52">
      <w:pPr>
        <w:pStyle w:val="LineTop"/>
      </w:pPr>
    </w:p>
    <w:p w:rsidR="00680577" w:rsidRPr="004321A9" w:rsidRDefault="00636711" w:rsidP="00680577">
      <w:pPr>
        <w:pStyle w:val="EPBodyTA1"/>
      </w:pPr>
      <w:r w:rsidRPr="004321A9">
        <w:t>ELFOGADOTT SZÖVEGEK</w:t>
      </w:r>
    </w:p>
    <w:p w:rsidR="00D058B8" w:rsidRPr="004321A9" w:rsidRDefault="00D058B8" w:rsidP="00D058B8">
      <w:pPr>
        <w:pStyle w:val="LineBottom"/>
      </w:pPr>
    </w:p>
    <w:p w:rsidR="00636711" w:rsidRPr="004321A9" w:rsidRDefault="00636711" w:rsidP="00636711">
      <w:pPr>
        <w:pStyle w:val="ATHeading1"/>
      </w:pPr>
      <w:bookmarkStart w:id="0" w:name="TANumber"/>
      <w:r w:rsidRPr="004321A9">
        <w:t>P9_TA(2023)0</w:t>
      </w:r>
      <w:r w:rsidR="00064D23">
        <w:t>394</w:t>
      </w:r>
      <w:bookmarkEnd w:id="0"/>
    </w:p>
    <w:p w:rsidR="00636711" w:rsidRPr="004321A9" w:rsidRDefault="00CD27F0" w:rsidP="00636711">
      <w:pPr>
        <w:pStyle w:val="ATHeading2"/>
      </w:pPr>
      <w:bookmarkStart w:id="1" w:name="title"/>
      <w:r w:rsidRPr="00CD27F0">
        <w:rPr>
          <w:bCs/>
        </w:rPr>
        <w:t>A gépjárművek és motorok a kibocsátásuk és az akkumulátor tartóssága tekintetében történő típusjóváhagyása (Euro 7)</w:t>
      </w:r>
      <w:bookmarkEnd w:id="1"/>
    </w:p>
    <w:p w:rsidR="00636711" w:rsidRPr="004321A9" w:rsidRDefault="00636711" w:rsidP="00636711">
      <w:pPr>
        <w:rPr>
          <w:i/>
          <w:vanish/>
        </w:rPr>
      </w:pPr>
      <w:r w:rsidRPr="004321A9">
        <w:rPr>
          <w:i/>
        </w:rPr>
        <w:fldChar w:fldCharType="begin"/>
      </w:r>
      <w:r w:rsidRPr="004321A9">
        <w:rPr>
          <w:i/>
        </w:rPr>
        <w:instrText xml:space="preserve"> TC"(</w:instrText>
      </w:r>
      <w:bookmarkStart w:id="2" w:name="DocNumber"/>
      <w:r w:rsidRPr="004321A9">
        <w:rPr>
          <w:i/>
        </w:rPr>
        <w:instrText>A9-0298/2023</w:instrText>
      </w:r>
      <w:bookmarkEnd w:id="2"/>
      <w:r w:rsidRPr="004321A9">
        <w:rPr>
          <w:i/>
        </w:rPr>
        <w:instrText xml:space="preserve"> - Előadó: </w:instrText>
      </w:r>
      <w:proofErr w:type="spellStart"/>
      <w:r w:rsidRPr="004321A9">
        <w:rPr>
          <w:i/>
        </w:rPr>
        <w:instrText>Alexandr</w:instrText>
      </w:r>
      <w:proofErr w:type="spellEnd"/>
      <w:r w:rsidRPr="004321A9">
        <w:rPr>
          <w:i/>
        </w:rPr>
        <w:instrText xml:space="preserve"> </w:instrText>
      </w:r>
      <w:proofErr w:type="spellStart"/>
      <w:r w:rsidRPr="004321A9">
        <w:rPr>
          <w:i/>
        </w:rPr>
        <w:instrText>Vondra</w:instrText>
      </w:r>
      <w:proofErr w:type="spellEnd"/>
      <w:r w:rsidRPr="004321A9">
        <w:rPr>
          <w:i/>
        </w:rPr>
        <w:instrText xml:space="preserve">)"\l3 \n&gt; \* MERGEFORMAT </w:instrText>
      </w:r>
      <w:r w:rsidRPr="004321A9">
        <w:rPr>
          <w:i/>
        </w:rPr>
        <w:fldChar w:fldCharType="end"/>
      </w:r>
    </w:p>
    <w:p w:rsidR="00636711" w:rsidRPr="004321A9" w:rsidRDefault="00636711" w:rsidP="00636711">
      <w:pPr>
        <w:rPr>
          <w:vanish/>
        </w:rPr>
      </w:pPr>
      <w:bookmarkStart w:id="3" w:name="Commission"/>
      <w:r w:rsidRPr="004321A9">
        <w:rPr>
          <w:vanish/>
        </w:rPr>
        <w:t>Környezetvédelmi, Közegészségügyi és Élelmiszer-biztonsági Bizottság</w:t>
      </w:r>
      <w:bookmarkEnd w:id="3"/>
    </w:p>
    <w:p w:rsidR="00636711" w:rsidRPr="004321A9" w:rsidRDefault="00636711" w:rsidP="00636711">
      <w:pPr>
        <w:rPr>
          <w:vanish/>
        </w:rPr>
      </w:pPr>
      <w:bookmarkStart w:id="4" w:name="PE"/>
      <w:r w:rsidRPr="004321A9">
        <w:rPr>
          <w:vanish/>
        </w:rPr>
        <w:t>PE746.876</w:t>
      </w:r>
      <w:bookmarkEnd w:id="4"/>
    </w:p>
    <w:p w:rsidR="00636711" w:rsidRPr="004321A9" w:rsidRDefault="00636711" w:rsidP="00636711">
      <w:pPr>
        <w:pStyle w:val="ATHeading3"/>
      </w:pPr>
      <w:bookmarkStart w:id="5" w:name="Sujet"/>
      <w:r w:rsidRPr="004321A9">
        <w:t xml:space="preserve">Az Európai Parlament 2023. </w:t>
      </w:r>
      <w:r w:rsidR="00CD27F0">
        <w:t>november 9</w:t>
      </w:r>
      <w:r w:rsidRPr="004321A9">
        <w:t>-</w:t>
      </w:r>
      <w:r w:rsidR="000069D1">
        <w:t>én elfogadott</w:t>
      </w:r>
      <w:r w:rsidRPr="004321A9">
        <w:t xml:space="preserve"> </w:t>
      </w:r>
      <w:r w:rsidR="000069D1">
        <w:t>módosításai</w:t>
      </w:r>
      <w:r w:rsidRPr="004321A9">
        <w:t xml:space="preserve"> a gépjárművek és motorok, valamint az ilyen járművek rendszereinek, alkotóelemeinek és önálló műszaki egységeinek a kibocsátásuk és az akkumulátor tartóssága tekintetében történő típusjóváhagyásáról (Euro 7), továbbá a 715/2007/EK rendelet és az 595/2009/EK rendelet hatályon kívül helyezéséről szóló európai parlamenti és tanácsi rendeletre irányuló javaslatról</w:t>
      </w:r>
      <w:bookmarkEnd w:id="5"/>
      <w:r w:rsidRPr="004321A9">
        <w:t xml:space="preserve"> </w:t>
      </w:r>
      <w:bookmarkStart w:id="6" w:name="References"/>
      <w:r w:rsidRPr="004321A9">
        <w:t>(COM(2022)0586 – C9-0375/2022 – 2022/0365(COD))</w:t>
      </w:r>
      <w:bookmarkEnd w:id="6"/>
      <w:r w:rsidR="000069D1" w:rsidRPr="00B5509B">
        <w:rPr>
          <w:rStyle w:val="FootnoteReference"/>
          <w:szCs w:val="24"/>
        </w:rPr>
        <w:footnoteReference w:id="1"/>
      </w:r>
    </w:p>
    <w:p w:rsidR="00FF715E" w:rsidRPr="004321A9" w:rsidRDefault="00FF715E" w:rsidP="00FF715E">
      <w:pPr>
        <w:pStyle w:val="NormalBold"/>
      </w:pPr>
      <w:bookmarkStart w:id="7" w:name="TextBodyBegin"/>
      <w:bookmarkEnd w:id="7"/>
      <w:r w:rsidRPr="004321A9">
        <w:t>(Rendes jogalkotási eljárás: első olvasat)</w:t>
      </w:r>
    </w:p>
    <w:p w:rsidR="00FF715E" w:rsidRPr="004321A9" w:rsidRDefault="00FF715E" w:rsidP="00FF715E"/>
    <w:p w:rsidR="00FF715E" w:rsidRPr="00E344A0" w:rsidRDefault="00FF715E" w:rsidP="00FF715E">
      <w:pPr>
        <w:pStyle w:val="AmNumberTabs"/>
      </w:pPr>
      <w:r w:rsidRPr="00E344A0">
        <w:t>Módosítás</w:t>
      </w:r>
      <w:r w:rsidRPr="00E344A0">
        <w:tab/>
      </w:r>
      <w:r w:rsidRPr="00E344A0">
        <w:tab/>
        <w:t>1</w:t>
      </w:r>
    </w:p>
    <w:p w:rsidR="00FF715E" w:rsidRPr="00E344A0" w:rsidRDefault="00FF715E" w:rsidP="00FF715E">
      <w:pPr>
        <w:pStyle w:val="NormalBold12b"/>
      </w:pPr>
      <w:r w:rsidRPr="00E344A0">
        <w:t>Rendeletre irányuló javaslat</w:t>
      </w:r>
    </w:p>
    <w:p w:rsidR="00FF715E" w:rsidRPr="00E344A0" w:rsidRDefault="00FF715E" w:rsidP="00FF715E">
      <w:pPr>
        <w:pStyle w:val="NormalBold"/>
      </w:pPr>
      <w:r w:rsidRPr="00E344A0">
        <w:t>-1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267A15">
            <w:pPr>
              <w:pStyle w:val="Normal6a"/>
            </w:pPr>
            <w:r w:rsidRPr="00E344A0">
              <w:rPr>
                <w:b/>
                <w:i/>
              </w:rPr>
              <w:t>(-1)</w:t>
            </w:r>
            <w:r w:rsidRPr="00E344A0">
              <w:tab/>
            </w:r>
            <w:r w:rsidRPr="00E344A0">
              <w:rPr>
                <w:b/>
                <w:i/>
              </w:rPr>
              <w:t>A 2030-ig tartó időszakra szóló általános uniós környezetvédelmi cselekvési programról szóló (EU) 2022/591 európai parlamenti és tanácsi határozat</w:t>
            </w:r>
            <w:r w:rsidRPr="00E344A0">
              <w:rPr>
                <w:b/>
                <w:i/>
                <w:vertAlign w:val="superscript"/>
              </w:rPr>
              <w:t>1</w:t>
            </w:r>
            <w:r w:rsidRPr="00E344A0">
              <w:rPr>
                <w:b/>
                <w:i/>
              </w:rPr>
              <w:t xml:space="preserve"> a 2030. december 31-ig tartó időszakra vonatkozó hat uniós tematikus célkitűzés egyikeként határozza meg a szennyezőanyag-mentességre való törekvést, többek között a káros vegyi anyagok tekintetében is, a mérgező anyagoktól mentes környezet – ideértve a levegő, a víz és a talaj mérgezőanyag-mentességét, valamint a fény- és a zajszennyezés tekintetében is – </w:t>
            </w:r>
            <w:r w:rsidRPr="00E344A0">
              <w:rPr>
                <w:b/>
                <w:i/>
              </w:rPr>
              <w:lastRenderedPageBreak/>
              <w:t>megteremtése és az emberek, az állatok és az ökoszisztémák egészségének és jóllétének a környezeti kockázatokkal és negatív hatásokkal szembeni védelme érdekében.</w:t>
            </w:r>
          </w:p>
        </w:tc>
      </w:tr>
      <w:tr w:rsidR="00337EEE" w:rsidRPr="00E344A0" w:rsidTr="00CD27F0">
        <w:trPr>
          <w:jc w:val="center"/>
        </w:trPr>
        <w:tc>
          <w:tcPr>
            <w:tcW w:w="4876" w:type="dxa"/>
          </w:tcPr>
          <w:p w:rsidR="00337EEE" w:rsidRPr="00E344A0" w:rsidRDefault="00337EEE" w:rsidP="00CD27F0">
            <w:pPr>
              <w:pStyle w:val="Normal6a"/>
            </w:pPr>
          </w:p>
        </w:tc>
        <w:tc>
          <w:tcPr>
            <w:tcW w:w="4876" w:type="dxa"/>
          </w:tcPr>
          <w:p w:rsidR="00337EEE" w:rsidRPr="00E344A0" w:rsidRDefault="00337EEE" w:rsidP="00267A15">
            <w:pPr>
              <w:pStyle w:val="Normal6a"/>
              <w:rPr>
                <w:b/>
                <w:i/>
              </w:rPr>
            </w:pPr>
            <w:r w:rsidRPr="0096360B">
              <w:rPr>
                <w:b/>
                <w:i/>
              </w:rPr>
              <w:t>_________________</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bCs/>
                <w:i/>
                <w:iCs/>
                <w:vertAlign w:val="superscript"/>
              </w:rPr>
              <w:t>1</w:t>
            </w:r>
            <w:r w:rsidRPr="00E344A0">
              <w:rPr>
                <w:b/>
                <w:bCs/>
                <w:i/>
                <w:iCs/>
              </w:rPr>
              <w:t xml:space="preserve"> Az Európai Parlament és a Tanács (EU) 2022/591 határozata (2022. április 6.) a 2030-ig tartó időszakra szóló általános uniós környezetvédelmi cselekvési programról (HL L 114., 2022.4.12., 22. o.).</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w:t>
      </w:r>
    </w:p>
    <w:p w:rsidR="00FF715E" w:rsidRPr="00E344A0" w:rsidRDefault="00FF715E" w:rsidP="00FF715E">
      <w:pPr>
        <w:pStyle w:val="NormalBold12b"/>
      </w:pPr>
      <w:r w:rsidRPr="00E344A0">
        <w:t>Rendeletre irányuló javaslat</w:t>
      </w:r>
    </w:p>
    <w:p w:rsidR="00FF715E" w:rsidRPr="00E344A0" w:rsidRDefault="00FF715E" w:rsidP="00FF715E">
      <w:pPr>
        <w:pStyle w:val="NormalBold"/>
      </w:pPr>
      <w:r w:rsidRPr="00E344A0">
        <w:t>-1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(-1a)</w:t>
            </w:r>
            <w:r w:rsidRPr="00E344A0">
              <w:tab/>
            </w:r>
            <w:r w:rsidRPr="00E344A0">
              <w:rPr>
                <w:b/>
                <w:i/>
              </w:rPr>
              <w:t>Az európai zöld megállapodás</w:t>
            </w:r>
            <w:r w:rsidRPr="00E344A0">
              <w:rPr>
                <w:b/>
                <w:i/>
                <w:vertAlign w:val="superscript"/>
              </w:rPr>
              <w:t>1a</w:t>
            </w:r>
            <w:r w:rsidRPr="00E344A0">
              <w:rPr>
                <w:b/>
                <w:i/>
              </w:rPr>
              <w:t xml:space="preserve"> az Unió javaslata egy olyan átmenet kezdeményezésére, amelynek célja, hogy legkésőbb 2050-re klímasemleges, tiszta és körforgásos gazdaságot valósítson meg, optimalizálja az erőforrás-gazdálkodást, minimálisra csökkentse a szennyezést, elismerve ugyanakkor a jelentős átalakulást hozó szakpolitikák szükségességét.</w:t>
            </w:r>
            <w:r w:rsidRPr="00E344A0">
              <w:t xml:space="preserve"> </w:t>
            </w:r>
            <w:r w:rsidRPr="00E344A0">
              <w:rPr>
                <w:b/>
                <w:i/>
              </w:rPr>
              <w:t>Emellett az Unió elkötelezett a 2030-ig tartó időszakra vonatkozó fenntartható fejlődési menetrend</w:t>
            </w:r>
            <w:r w:rsidRPr="00E344A0">
              <w:rPr>
                <w:b/>
                <w:i/>
                <w:vertAlign w:val="superscript"/>
              </w:rPr>
              <w:t>1b</w:t>
            </w:r>
            <w:r w:rsidRPr="00E344A0">
              <w:rPr>
                <w:b/>
                <w:i/>
              </w:rPr>
              <w:t xml:space="preserve"> és az abban foglalt fenntartható fejlődési célok</w:t>
            </w:r>
            <w:r w:rsidRPr="00E344A0">
              <w:rPr>
                <w:b/>
                <w:i/>
                <w:vertAlign w:val="superscript"/>
              </w:rPr>
              <w:t>1c</w:t>
            </w:r>
            <w:r w:rsidRPr="00E344A0">
              <w:rPr>
                <w:b/>
                <w:i/>
              </w:rPr>
              <w:t xml:space="preserve"> mellett is.</w:t>
            </w:r>
            <w:r w:rsidRPr="00E344A0">
              <w:t xml:space="preserve"> </w:t>
            </w:r>
            <w:r w:rsidRPr="00E344A0">
              <w:rPr>
                <w:b/>
                <w:i/>
              </w:rPr>
              <w:t>A 2020 decemberében elfogadott fenntartható és intelligens mobilitási stratégia</w:t>
            </w:r>
            <w:r w:rsidRPr="00E344A0">
              <w:rPr>
                <w:b/>
                <w:i/>
                <w:vertAlign w:val="superscript"/>
              </w:rPr>
              <w:t>1d</w:t>
            </w:r>
            <w:r w:rsidRPr="00E344A0">
              <w:rPr>
                <w:b/>
                <w:i/>
              </w:rPr>
              <w:t xml:space="preserve"> és a 2021 májusában elfogadott szennyezőanyag-mentességi cselekvési terv</w:t>
            </w:r>
            <w:r w:rsidRPr="00E344A0">
              <w:rPr>
                <w:b/>
                <w:i/>
                <w:vertAlign w:val="superscript"/>
              </w:rPr>
              <w:t>1e</w:t>
            </w:r>
            <w:r w:rsidRPr="00E344A0">
              <w:rPr>
                <w:b/>
                <w:i/>
              </w:rPr>
              <w:t xml:space="preserve"> kifejezetten az európai zöld megállapodás közlekedésnek tulajdonítható környezetszennyezési aspektusaival foglalkozik.</w:t>
            </w:r>
            <w:r w:rsidRPr="00E344A0">
              <w:t xml:space="preserve"> </w:t>
            </w:r>
            <w:r w:rsidRPr="00E344A0">
              <w:rPr>
                <w:b/>
                <w:i/>
              </w:rPr>
              <w:t>A kezdeményezés szempontjából különösen releváns egyéb szakpolitikák közé tartozik például a levegőminőség-keretirányelv (AAQD)</w:t>
            </w:r>
            <w:r w:rsidRPr="00E344A0">
              <w:rPr>
                <w:b/>
                <w:i/>
                <w:vertAlign w:val="superscript"/>
              </w:rPr>
              <w:t>1f</w:t>
            </w:r>
            <w:r w:rsidRPr="00E344A0">
              <w:rPr>
                <w:b/>
                <w:i/>
              </w:rPr>
              <w:t>, az új európai iparstratégia</w:t>
            </w:r>
            <w:r w:rsidRPr="00E344A0">
              <w:rPr>
                <w:b/>
                <w:i/>
                <w:vertAlign w:val="superscript"/>
              </w:rPr>
              <w:t>1g</w:t>
            </w:r>
            <w:r w:rsidRPr="00E344A0">
              <w:rPr>
                <w:b/>
                <w:i/>
              </w:rPr>
              <w:t xml:space="preserve">, a személygépkocsikra és kisteherautókra vonatkozó szén-dioxid-kibocsátási </w:t>
            </w:r>
            <w:r w:rsidRPr="00E344A0">
              <w:rPr>
                <w:b/>
                <w:i/>
              </w:rPr>
              <w:lastRenderedPageBreak/>
              <w:t>előírások</w:t>
            </w:r>
            <w:r w:rsidRPr="00E344A0">
              <w:rPr>
                <w:b/>
                <w:i/>
                <w:vertAlign w:val="superscript"/>
              </w:rPr>
              <w:t>1h</w:t>
            </w:r>
            <w:r w:rsidRPr="00E344A0">
              <w:rPr>
                <w:b/>
                <w:i/>
              </w:rPr>
              <w:t>, valamint az új nehézgépjárművekre vonatkozó szén-dioxid-kibocsátási célértékek</w:t>
            </w:r>
            <w:r w:rsidRPr="00E344A0">
              <w:rPr>
                <w:b/>
                <w:i/>
                <w:vertAlign w:val="superscript"/>
              </w:rPr>
              <w:t>1i</w:t>
            </w:r>
            <w:r w:rsidRPr="00E344A0">
              <w:rPr>
                <w:b/>
                <w:i/>
              </w:rPr>
              <w:t>.</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rPr>
              <w:t>_________________</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267A15">
            <w:pPr>
              <w:pStyle w:val="Normal6a"/>
            </w:pPr>
            <w:r w:rsidRPr="00E344A0">
              <w:rPr>
                <w:b/>
                <w:bCs/>
                <w:i/>
                <w:iCs/>
                <w:vertAlign w:val="superscript"/>
              </w:rPr>
              <w:t>1a</w:t>
            </w:r>
            <w:r w:rsidRPr="00E344A0">
              <w:rPr>
                <w:b/>
                <w:bCs/>
                <w:i/>
                <w:iCs/>
              </w:rPr>
              <w:t xml:space="preserve"> A Bizottság közleménye az Európai Parlamentnek, az Európai Tanácsnak, a Tanácsnak, az Európai Gazdasági és Szociális Bizottságnak és a Régiók Bizottságának – Az európai zöld megállapodás</w:t>
            </w:r>
            <w:r w:rsidR="00267A15">
              <w:rPr>
                <w:b/>
                <w:bCs/>
                <w:i/>
                <w:iCs/>
              </w:rPr>
              <w:t xml:space="preserve"> (</w:t>
            </w:r>
            <w:r w:rsidRPr="00E344A0">
              <w:rPr>
                <w:b/>
                <w:i/>
              </w:rPr>
              <w:t>COM(2019)0640</w:t>
            </w:r>
            <w:r w:rsidR="00267A15">
              <w:rPr>
                <w:b/>
                <w:i/>
              </w:rPr>
              <w:t>)</w:t>
            </w:r>
            <w:r w:rsidRPr="00E344A0">
              <w:rPr>
                <w:b/>
                <w:i/>
              </w:rPr>
              <w:t>.</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1b</w:t>
            </w:r>
            <w:r w:rsidRPr="00E344A0">
              <w:t xml:space="preserve"> </w:t>
            </w:r>
            <w:r w:rsidRPr="00E344A0">
              <w:rPr>
                <w:b/>
                <w:i/>
              </w:rPr>
              <w:t>https://www.un.org/</w:t>
            </w:r>
            <w:proofErr w:type="spellStart"/>
            <w:r w:rsidRPr="00E344A0">
              <w:rPr>
                <w:b/>
                <w:i/>
              </w:rPr>
              <w:t>ga</w:t>
            </w:r>
            <w:proofErr w:type="spellEnd"/>
            <w:r w:rsidRPr="00E344A0">
              <w:rPr>
                <w:b/>
                <w:i/>
              </w:rPr>
              <w:t>/</w:t>
            </w:r>
            <w:proofErr w:type="spellStart"/>
            <w:r w:rsidRPr="00E344A0">
              <w:rPr>
                <w:b/>
                <w:i/>
              </w:rPr>
              <w:t>search</w:t>
            </w:r>
            <w:proofErr w:type="spellEnd"/>
            <w:r w:rsidRPr="00E344A0">
              <w:rPr>
                <w:b/>
                <w:i/>
              </w:rPr>
              <w:t>/</w:t>
            </w:r>
            <w:proofErr w:type="spellStart"/>
            <w:r w:rsidRPr="00E344A0">
              <w:rPr>
                <w:b/>
                <w:i/>
              </w:rPr>
              <w:t>view_doc.asp?symbol</w:t>
            </w:r>
            <w:proofErr w:type="spellEnd"/>
            <w:r w:rsidRPr="00E344A0">
              <w:rPr>
                <w:b/>
                <w:i/>
              </w:rPr>
              <w:t>=A/RES/70/1</w:t>
            </w:r>
            <w:r w:rsidRPr="00E344A0">
              <w:rPr>
                <w:rFonts w:ascii="Cambria Math" w:hAnsi="Cambria Math"/>
                <w:b/>
                <w:i/>
              </w:rPr>
              <w:t>⟪</w:t>
            </w:r>
            <w:r w:rsidRPr="00E344A0">
              <w:rPr>
                <w:b/>
                <w:i/>
              </w:rPr>
              <w:t xml:space="preserve">=E </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1c</w:t>
            </w:r>
            <w:r w:rsidRPr="00E344A0">
              <w:t xml:space="preserve"> </w:t>
            </w:r>
            <w:r w:rsidRPr="00E344A0">
              <w:rPr>
                <w:b/>
                <w:i/>
              </w:rPr>
              <w:t>https://sdgs.un.org/goals</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1d</w:t>
            </w:r>
            <w:r w:rsidRPr="00E344A0">
              <w:t xml:space="preserve"> </w:t>
            </w:r>
            <w:r w:rsidRPr="00E344A0">
              <w:rPr>
                <w:b/>
                <w:i/>
              </w:rPr>
              <w:t>COM(2020)0789</w:t>
            </w:r>
            <w:r w:rsidR="00267A15">
              <w:rPr>
                <w:b/>
                <w:i/>
              </w:rPr>
              <w:t>.</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1e</w:t>
            </w:r>
            <w:r w:rsidRPr="00E344A0">
              <w:t xml:space="preserve"> </w:t>
            </w:r>
            <w:r w:rsidRPr="00E344A0">
              <w:rPr>
                <w:b/>
                <w:i/>
              </w:rPr>
              <w:t>COM(2021)0400</w:t>
            </w:r>
            <w:r w:rsidR="00267A15">
              <w:rPr>
                <w:b/>
                <w:i/>
              </w:rPr>
              <w:t>.</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1f</w:t>
            </w:r>
            <w:r w:rsidRPr="00E344A0">
              <w:t xml:space="preserve"> </w:t>
            </w:r>
            <w:r w:rsidRPr="00E344A0">
              <w:rPr>
                <w:b/>
                <w:i/>
              </w:rPr>
              <w:t>2008/50/EK irányelv</w:t>
            </w:r>
            <w:r w:rsidR="00267A15">
              <w:rPr>
                <w:b/>
                <w:i/>
              </w:rPr>
              <w:t>.</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1g</w:t>
            </w:r>
            <w:r w:rsidRPr="00E344A0">
              <w:t xml:space="preserve"> </w:t>
            </w:r>
            <w:r w:rsidRPr="00E344A0">
              <w:rPr>
                <w:b/>
                <w:i/>
              </w:rPr>
              <w:t>COM(2020)0102 és COM(2021)0350</w:t>
            </w:r>
            <w:r w:rsidR="00267A15">
              <w:rPr>
                <w:b/>
                <w:i/>
              </w:rPr>
              <w:t>.</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1h</w:t>
            </w:r>
            <w:r w:rsidRPr="00E344A0">
              <w:t xml:space="preserve"> </w:t>
            </w:r>
            <w:r w:rsidRPr="00E344A0">
              <w:rPr>
                <w:b/>
                <w:i/>
              </w:rPr>
              <w:t>COM(2021)0556</w:t>
            </w:r>
            <w:r w:rsidR="00267A15">
              <w:rPr>
                <w:b/>
                <w:i/>
              </w:rPr>
              <w:t>.</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1i</w:t>
            </w:r>
            <w:r w:rsidRPr="00E344A0">
              <w:t xml:space="preserve"> </w:t>
            </w:r>
            <w:r w:rsidRPr="00E344A0">
              <w:rPr>
                <w:b/>
                <w:i/>
              </w:rPr>
              <w:t>COM(2023)0088</w:t>
            </w:r>
            <w:r w:rsidR="00267A15">
              <w:rPr>
                <w:b/>
                <w:i/>
              </w:rPr>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w:t>
      </w:r>
    </w:p>
    <w:p w:rsidR="00FF715E" w:rsidRPr="00E344A0" w:rsidRDefault="00FF715E" w:rsidP="00FF715E">
      <w:pPr>
        <w:pStyle w:val="NormalBold12b"/>
      </w:pPr>
      <w:r w:rsidRPr="00E344A0">
        <w:t>Rendeletre irányuló javaslat</w:t>
      </w:r>
    </w:p>
    <w:p w:rsidR="00FF715E" w:rsidRPr="00E344A0" w:rsidRDefault="00FF715E" w:rsidP="00FF715E">
      <w:pPr>
        <w:pStyle w:val="NormalBold"/>
      </w:pPr>
      <w:r w:rsidRPr="00E344A0">
        <w:t>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w:t>
            </w:r>
            <w:r w:rsidRPr="00E344A0">
              <w:tab/>
              <w:t>A belső piac olyan térség, ahol biztosítani kell az áruk, a személyek, a szolgáltatások és a tőke szabad mozgását. E célból az (EU) 2018/858 európai parlamenti és tanácsi rendelet</w:t>
            </w:r>
            <w:r w:rsidRPr="00E344A0">
              <w:rPr>
                <w:vertAlign w:val="superscript"/>
              </w:rPr>
              <w:t>43</w:t>
            </w:r>
            <w:r w:rsidRPr="00E344A0">
              <w:t xml:space="preserve"> átfogó típusjóváhagyási és piacfelügyeleti rendszert vezetett be a gépjárművekre és </w:t>
            </w:r>
            <w:proofErr w:type="spellStart"/>
            <w:r w:rsidRPr="00E344A0">
              <w:t>pótkocsijaikra</w:t>
            </w:r>
            <w:proofErr w:type="spellEnd"/>
            <w:r w:rsidRPr="00E344A0">
              <w:t xml:space="preserve">, </w:t>
            </w:r>
            <w:r w:rsidRPr="00E344A0">
              <w:rPr>
                <w:b/>
                <w:i/>
              </w:rPr>
              <w:t xml:space="preserve">valamint </w:t>
            </w:r>
            <w:r w:rsidRPr="00E344A0">
              <w:t>az ilyen járművek rendszereire, alkotóelemeire és önálló műszaki egységeire vonatkozóan.</w:t>
            </w:r>
          </w:p>
        </w:tc>
        <w:tc>
          <w:tcPr>
            <w:tcW w:w="4876" w:type="dxa"/>
          </w:tcPr>
          <w:p w:rsidR="00FF715E" w:rsidRPr="00E344A0" w:rsidRDefault="00FF715E" w:rsidP="00CD27F0">
            <w:pPr>
              <w:pStyle w:val="Normal6a"/>
            </w:pPr>
            <w:r w:rsidRPr="00E344A0">
              <w:t>(1)</w:t>
            </w:r>
            <w:r w:rsidRPr="00E344A0">
              <w:tab/>
              <w:t>A belső piac olyan térség, ahol biztosítani kell az áruk, a személyek, a szolgáltatások és a tőke szabad mozgását. E célból az (EU) 2018/858 európai parlamenti és tanácsi rendelet</w:t>
            </w:r>
            <w:r w:rsidRPr="00E344A0">
              <w:rPr>
                <w:vertAlign w:val="superscript"/>
              </w:rPr>
              <w:t>43</w:t>
            </w:r>
            <w:r w:rsidRPr="00E344A0">
              <w:t xml:space="preserve"> átfogó típusjóváhagyási és piacfelügyeleti rendszert vezetett be a gépjárművekre és </w:t>
            </w:r>
            <w:proofErr w:type="spellStart"/>
            <w:r w:rsidRPr="00E344A0">
              <w:t>pótkocsijaikra</w:t>
            </w:r>
            <w:proofErr w:type="spellEnd"/>
            <w:r w:rsidRPr="00E344A0">
              <w:t>, az ilyen járművek rendszereire, alkotóelemeire és önálló műszaki egységeire</w:t>
            </w:r>
            <w:r w:rsidRPr="00E344A0">
              <w:rPr>
                <w:b/>
                <w:i/>
              </w:rPr>
              <w:t>, továbbá valamennyi jármű gumiabroncsaira</w:t>
            </w:r>
            <w:r w:rsidRPr="00E344A0">
              <w:t xml:space="preserve"> vonatkozóan.</w:t>
            </w:r>
          </w:p>
        </w:tc>
      </w:tr>
      <w:tr w:rsidR="00FF715E" w:rsidRPr="00E344A0" w:rsidTr="00CD27F0">
        <w:trPr>
          <w:jc w:val="center"/>
        </w:trPr>
        <w:tc>
          <w:tcPr>
            <w:tcW w:w="4876" w:type="dxa"/>
          </w:tcPr>
          <w:p w:rsidR="00FF715E" w:rsidRPr="00E344A0" w:rsidRDefault="00FF715E" w:rsidP="00CD27F0">
            <w:pPr>
              <w:pStyle w:val="Normal6a"/>
            </w:pPr>
            <w:r w:rsidRPr="00E344A0">
              <w:rPr>
                <w:b/>
                <w:i/>
              </w:rPr>
              <w:t>_________________</w:t>
            </w:r>
          </w:p>
        </w:tc>
        <w:tc>
          <w:tcPr>
            <w:tcW w:w="4876" w:type="dxa"/>
          </w:tcPr>
          <w:p w:rsidR="00FF715E" w:rsidRPr="00E344A0" w:rsidRDefault="00FF715E" w:rsidP="00CD27F0">
            <w:pPr>
              <w:pStyle w:val="Normal6a"/>
            </w:pPr>
            <w:r w:rsidRPr="00E344A0">
              <w:rPr>
                <w:b/>
                <w:i/>
              </w:rPr>
              <w:t>_________________</w:t>
            </w:r>
          </w:p>
        </w:tc>
      </w:tr>
      <w:tr w:rsidR="00FF715E" w:rsidRPr="00E344A0" w:rsidTr="00CD27F0">
        <w:trPr>
          <w:jc w:val="center"/>
        </w:trPr>
        <w:tc>
          <w:tcPr>
            <w:tcW w:w="4876" w:type="dxa"/>
          </w:tcPr>
          <w:p w:rsidR="00FF715E" w:rsidRPr="00E344A0" w:rsidRDefault="00FF715E" w:rsidP="00CD27F0">
            <w:pPr>
              <w:pStyle w:val="Normal6a"/>
            </w:pPr>
            <w:r w:rsidRPr="00E344A0">
              <w:rPr>
                <w:vertAlign w:val="superscript"/>
              </w:rPr>
              <w:t>43</w:t>
            </w:r>
            <w:r w:rsidRPr="00E344A0">
              <w:t xml:space="preserve"> Az Európai Parlament és a Tanács (EU) 2018/858 rendelete (2018. május 30.) a gépjárművek és </w:t>
            </w:r>
            <w:proofErr w:type="spellStart"/>
            <w:r w:rsidRPr="00E344A0">
              <w:t>pótkocsijaik</w:t>
            </w:r>
            <w:proofErr w:type="spellEnd"/>
            <w:r w:rsidRPr="00E344A0">
              <w:t xml:space="preserve">, valamint az ilyen járművek rendszereinek, </w:t>
            </w:r>
            <w:r w:rsidRPr="00E344A0">
              <w:lastRenderedPageBreak/>
              <w:t>alkotóelemeinek és önálló műszaki egységeinek jóváhagyásáról és piacfelügyeletéről, a 715/2007/EK és az 595/2009/EK rendelet módosításáról, valamint a 2007/46/EK irányelv hatályon kívül helyezéséről (HL L 151., 2018.6.14., 1. o.).</w:t>
            </w:r>
          </w:p>
        </w:tc>
        <w:tc>
          <w:tcPr>
            <w:tcW w:w="4876" w:type="dxa"/>
          </w:tcPr>
          <w:p w:rsidR="00FF715E" w:rsidRPr="00E344A0" w:rsidRDefault="00FF715E" w:rsidP="00CD27F0">
            <w:pPr>
              <w:pStyle w:val="Normal6a"/>
            </w:pPr>
            <w:r w:rsidRPr="00E344A0">
              <w:rPr>
                <w:vertAlign w:val="superscript"/>
              </w:rPr>
              <w:lastRenderedPageBreak/>
              <w:t>43</w:t>
            </w:r>
            <w:r w:rsidRPr="00E344A0">
              <w:t xml:space="preserve"> Az Európai Parlament és a Tanács (EU) 2018/858 rendelete (2018. május 30.) a gépjárművek és </w:t>
            </w:r>
            <w:proofErr w:type="spellStart"/>
            <w:r w:rsidRPr="00E344A0">
              <w:t>pótkocsijaik</w:t>
            </w:r>
            <w:proofErr w:type="spellEnd"/>
            <w:r w:rsidRPr="00E344A0">
              <w:t xml:space="preserve">, valamint az ilyen járművek rendszereinek, </w:t>
            </w:r>
            <w:r w:rsidRPr="00E344A0">
              <w:lastRenderedPageBreak/>
              <w:t>alkotóelemeinek és önálló műszaki egységeinek jóváhagyásáról és piacfelügyeletéről, a 715/2007/EK és az 595/2009/EK rendelet módosításáról, valamint a 2007/46/EK irányelv hatályon kívül helyezéséről (HL L 151., 2018.6.14., 1. o.).</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(2a)</w:t>
            </w:r>
            <w:r w:rsidRPr="00E344A0">
              <w:tab/>
            </w:r>
            <w:r w:rsidRPr="00E344A0">
              <w:rPr>
                <w:b/>
                <w:i/>
              </w:rPr>
              <w:t xml:space="preserve">A kibocsátásmentes mobilitás felé való sikeres átmenet integrált megközelítést és olyan megfelelő környezetet igényel, amely ösztönzőleg hat az innovációra és megőrzi az Unió technológiai vezető szerepét ebben az ágazatban. Ez magában foglalja a kutatásba és innovációba történő állami és magánberuházásokat, a kibocsátásmentes és alacsony kibocsátású járművek növekvő kínálatát, az elektromos és egyéb töltőinfrastruktúra kiépítését, az energiarendszerekbe történő integrációt, valamint az akkumulátorok fenntartható anyagellátását és fenntartható gyártását, </w:t>
            </w:r>
            <w:proofErr w:type="spellStart"/>
            <w:r w:rsidRPr="00E344A0">
              <w:rPr>
                <w:b/>
                <w:i/>
              </w:rPr>
              <w:t>újrafelhasználását</w:t>
            </w:r>
            <w:proofErr w:type="spellEnd"/>
            <w:r w:rsidRPr="00E344A0">
              <w:rPr>
                <w:b/>
                <w:i/>
              </w:rPr>
              <w:t xml:space="preserve"> és újrafeldolgozását Európában. Ehhez következetes uniós, nemzeti, regionális és helyi szintű intézkedésre van szükség.</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(2b)</w:t>
            </w:r>
            <w:r w:rsidRPr="00E344A0">
              <w:tab/>
            </w:r>
            <w:r w:rsidRPr="00E344A0">
              <w:rPr>
                <w:b/>
                <w:i/>
              </w:rPr>
              <w:t xml:space="preserve">Európa </w:t>
            </w:r>
            <w:proofErr w:type="spellStart"/>
            <w:r w:rsidRPr="00E344A0">
              <w:rPr>
                <w:b/>
                <w:i/>
              </w:rPr>
              <w:t>újraiparosítása</w:t>
            </w:r>
            <w:proofErr w:type="spellEnd"/>
            <w:r w:rsidRPr="00E344A0">
              <w:rPr>
                <w:b/>
                <w:i/>
              </w:rPr>
              <w:t xml:space="preserve"> és a polgárok támogatása mellett, a tiszta mobilitásra való áttérés elősegítése érdekében elengedhetetlen, hogy a </w:t>
            </w:r>
            <w:r w:rsidRPr="00E344A0">
              <w:rPr>
                <w:b/>
                <w:i/>
              </w:rPr>
              <w:lastRenderedPageBreak/>
              <w:t>magáncélú és haszongépjárművek megfizethetők maradjanak a polgárok és a vállalkozások számára. Ez elősegíti az életminőség, az ipari versenyképesség és az innováció fenntartását, valamint támogatja a munkahelyteremtést és a készségfejlesztést az ágazatban.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 c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(2c)</w:t>
            </w:r>
            <w:r w:rsidRPr="00E344A0">
              <w:tab/>
            </w:r>
            <w:r w:rsidRPr="00E344A0">
              <w:rPr>
                <w:b/>
                <w:i/>
              </w:rPr>
              <w:t>A kibocsátásmentes mobilitás felé társadalmilag elfogadható és igazságos átmenetet kell biztosítani. Ezért fontos a gépjárműipari értéklánc egészében figyelembe venni ezen átmenet társadalmi hatásait, és proaktív módon kezelni a foglalkoztatásra gyakorolt hatásokat. Az igazságos átmenet mechanizmus keretében uniós, nemzeti és regionális szintű célzott programokat – például a gépjárművektől függő régióknak szóló, igazságos átmenetre vonatkozó terveket – kell kidolgozni a dolgozók átképzése, továbbképzése és átcsoportosítása, továbbá a hátrányosan érintett közösségeket és régiókat célzó oktatási és álláskeresési kezdeményezések érdekében, szoros párbeszédet folytatva a szociális partnerekkel és az illetékes hatóságokkal. Ezen átmenet keretében meg kell erősíteni a nők foglalkoztatását és az esélyegyenlőséget ebben az ágazatban.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(4)</w:t>
            </w:r>
            <w:r w:rsidRPr="00E344A0">
              <w:tab/>
              <w:t xml:space="preserve">A gépjárműveknek, motoroknak és </w:t>
            </w:r>
            <w:r w:rsidRPr="00E344A0">
              <w:lastRenderedPageBreak/>
              <w:t>tartalék alkatrészeknek a kibocsátás tekintetében történő típusjóváhagyására (a továbbiakban: kibocsátási típusjóváhagyás) vonatkozó műszaki előírásokat jelenleg két, a könnyű- és nehézgépjárművek kibocsátási típusjóváhagyására alkalmazandó rendelet, nevezetesen a 715/2007/EK európai parlamenti és tanácsi rendelet (a továbbiakban: Euro 6)</w:t>
            </w:r>
            <w:r w:rsidRPr="00E344A0">
              <w:rPr>
                <w:vertAlign w:val="superscript"/>
              </w:rPr>
              <w:t>44</w:t>
            </w:r>
            <w:r w:rsidRPr="00E344A0">
              <w:t xml:space="preserve"> és az 595/2009/EK európai parlamenti és tanácsi rendelet (a továbbiakban: Euro VI)</w:t>
            </w:r>
            <w:r w:rsidRPr="00E344A0">
              <w:rPr>
                <w:vertAlign w:val="superscript"/>
              </w:rPr>
              <w:t>45</w:t>
            </w:r>
            <w:r w:rsidRPr="00E344A0">
              <w:t xml:space="preserve"> határozza meg. </w:t>
            </w:r>
            <w:r w:rsidRPr="00E344A0">
              <w:rPr>
                <w:b/>
                <w:i/>
              </w:rPr>
              <w:t>A két rendelet alkalmazásának oka az volt, hogy a nehézgépjárművek kibocsátását motorvizsgálat alapján, míg a könnyűgépjárművekét az egész jármű vizsgálata alapján ellenőrizték. Azóta sor került olyan módszerek kidolgozására, amelyek lehetővé teszik mind a könnyű-, mind a nehézgépjárművek közúton történő vizsgálatát. Ezért a típusjóváhagyást már nem szükséges motorvizsgálatra alapozni.</w:t>
            </w:r>
          </w:p>
        </w:tc>
        <w:tc>
          <w:tcPr>
            <w:tcW w:w="4876" w:type="dxa"/>
          </w:tcPr>
          <w:p w:rsidR="00FF715E" w:rsidRPr="00E344A0" w:rsidRDefault="00FF715E" w:rsidP="00CD27F0">
            <w:pPr>
              <w:pStyle w:val="Normal6a"/>
            </w:pPr>
            <w:r w:rsidRPr="00E344A0">
              <w:lastRenderedPageBreak/>
              <w:t>(4)</w:t>
            </w:r>
            <w:r w:rsidRPr="00E344A0">
              <w:tab/>
              <w:t xml:space="preserve">A gépjárműveknek, motoroknak és </w:t>
            </w:r>
            <w:r w:rsidRPr="00E344A0">
              <w:lastRenderedPageBreak/>
              <w:t>tartalék alkatrészeknek a kibocsátás tekintetében történő típusjóváhagyására (a továbbiakban: kibocsátási típusjóváhagyás) vonatkozó műszaki előírásokat jelenleg két, a könnyű- és nehézgépjárművek kibocsátási típusjóváhagyására alkalmazandó rendelet, nevezetesen a 715/2007/EK európai parlamenti és tanácsi rendelet (a továbbiakban: Euro 6)</w:t>
            </w:r>
            <w:r w:rsidRPr="00E344A0">
              <w:rPr>
                <w:vertAlign w:val="superscript"/>
              </w:rPr>
              <w:t>44</w:t>
            </w:r>
            <w:r w:rsidRPr="00E344A0">
              <w:t xml:space="preserve"> és az 595/2009/EK európai parlamenti és tanácsi rendelet (a továbbiakban: Euro VI)</w:t>
            </w:r>
            <w:r w:rsidRPr="00E344A0">
              <w:rPr>
                <w:vertAlign w:val="superscript"/>
              </w:rPr>
              <w:t>45</w:t>
            </w:r>
            <w:r w:rsidRPr="00E344A0">
              <w:t xml:space="preserve"> határozza meg.</w:t>
            </w:r>
          </w:p>
        </w:tc>
      </w:tr>
      <w:tr w:rsidR="00FF715E" w:rsidRPr="00E344A0" w:rsidTr="00CD27F0">
        <w:trPr>
          <w:jc w:val="center"/>
        </w:trPr>
        <w:tc>
          <w:tcPr>
            <w:tcW w:w="4876" w:type="dxa"/>
          </w:tcPr>
          <w:p w:rsidR="00FF715E" w:rsidRPr="00E344A0" w:rsidRDefault="00FF715E" w:rsidP="00CD27F0">
            <w:pPr>
              <w:pStyle w:val="Normal6a"/>
            </w:pPr>
            <w:r w:rsidRPr="00E344A0">
              <w:rPr>
                <w:b/>
                <w:i/>
              </w:rPr>
              <w:lastRenderedPageBreak/>
              <w:t>_________________</w:t>
            </w:r>
          </w:p>
        </w:tc>
        <w:tc>
          <w:tcPr>
            <w:tcW w:w="4876" w:type="dxa"/>
          </w:tcPr>
          <w:p w:rsidR="00FF715E" w:rsidRPr="00E344A0" w:rsidRDefault="00FF715E" w:rsidP="00CD27F0">
            <w:pPr>
              <w:pStyle w:val="Normal6a"/>
            </w:pPr>
            <w:r w:rsidRPr="00E344A0">
              <w:rPr>
                <w:b/>
                <w:i/>
              </w:rPr>
              <w:t>_________________</w:t>
            </w:r>
          </w:p>
        </w:tc>
      </w:tr>
      <w:tr w:rsidR="00FF715E" w:rsidRPr="00E344A0" w:rsidTr="00CD27F0">
        <w:trPr>
          <w:jc w:val="center"/>
        </w:trPr>
        <w:tc>
          <w:tcPr>
            <w:tcW w:w="4876" w:type="dxa"/>
          </w:tcPr>
          <w:p w:rsidR="00FF715E" w:rsidRPr="00E344A0" w:rsidRDefault="00FF715E" w:rsidP="00CD27F0">
            <w:pPr>
              <w:pStyle w:val="Normal6a"/>
            </w:pPr>
            <w:r w:rsidRPr="00E344A0">
              <w:rPr>
                <w:vertAlign w:val="superscript"/>
              </w:rPr>
              <w:t>44</w:t>
            </w:r>
            <w:r w:rsidRPr="00E344A0">
              <w:t xml:space="preserve"> Az Európai Parlament és a Tanács 715/2007/EK rendelete (2007. június 20.) a könnyű személygépjárművek és haszongépjárművek (Euro 5 és Euro 6) kibocsátás tekintetében történő típusjóváhagyásáról és a járműjavítási és -karbantartási információk elérhetőségéről (HL L 171., 2007.6.29., 1. o.).</w:t>
            </w:r>
          </w:p>
        </w:tc>
        <w:tc>
          <w:tcPr>
            <w:tcW w:w="4876" w:type="dxa"/>
          </w:tcPr>
          <w:p w:rsidR="00FF715E" w:rsidRPr="00E344A0" w:rsidRDefault="00FF715E" w:rsidP="00CD27F0">
            <w:pPr>
              <w:pStyle w:val="Normal6a"/>
            </w:pPr>
            <w:r w:rsidRPr="00E344A0">
              <w:rPr>
                <w:vertAlign w:val="superscript"/>
              </w:rPr>
              <w:t>44</w:t>
            </w:r>
            <w:r w:rsidRPr="00E344A0">
              <w:t xml:space="preserve"> Az Európai Parlament és a Tanács 715/2007/EK rendelete (2007. június 20.) a könnyű személygépjárművek és haszongépjárművek (Euro 5 és Euro 6) kibocsátás tekintetében történő típusjóváhagyásáról és a járműjavítási és -karbantartási információk elérhetőségéről (HL L 171., 2007.6.29., 1. o.).</w:t>
            </w:r>
          </w:p>
        </w:tc>
      </w:tr>
      <w:tr w:rsidR="00FF715E" w:rsidRPr="00E344A0" w:rsidTr="00CD27F0">
        <w:trPr>
          <w:jc w:val="center"/>
        </w:trPr>
        <w:tc>
          <w:tcPr>
            <w:tcW w:w="4876" w:type="dxa"/>
          </w:tcPr>
          <w:p w:rsidR="00FF715E" w:rsidRPr="00E344A0" w:rsidRDefault="00FF715E" w:rsidP="00CD27F0">
            <w:pPr>
              <w:pStyle w:val="Normal6a"/>
            </w:pPr>
            <w:r w:rsidRPr="00E344A0">
              <w:rPr>
                <w:vertAlign w:val="superscript"/>
              </w:rPr>
              <w:t>45</w:t>
            </w:r>
            <w:r w:rsidRPr="00E344A0">
              <w:t xml:space="preserve"> Az Európai Parlament és a Tanács 595/2009/EK rendelete (2009. június 18.) a nehéz tehergépjárművek kibocsátásai (Euro VI) tekintetében a gépjárművek és motorok típusjóváhagyásáról, a járművek javítására és karbantartására vonatkozó információkhoz való hozzáférésről, a 715/2007/EK rendelet és a 2007/46/EK irányelv módosításáról, valamint a 80/1269/EGK, a 2005/55/EK és a 2005/78/EK irányelv hatályon kívül helyezéséről (HL L 188., 2009.7.18., 1. o.).</w:t>
            </w:r>
          </w:p>
        </w:tc>
        <w:tc>
          <w:tcPr>
            <w:tcW w:w="4876" w:type="dxa"/>
          </w:tcPr>
          <w:p w:rsidR="00FF715E" w:rsidRPr="00E344A0" w:rsidRDefault="00FF715E" w:rsidP="00CD27F0">
            <w:pPr>
              <w:pStyle w:val="Normal6a"/>
            </w:pPr>
            <w:r w:rsidRPr="00E344A0">
              <w:rPr>
                <w:vertAlign w:val="superscript"/>
              </w:rPr>
              <w:t>45</w:t>
            </w:r>
            <w:r w:rsidRPr="00E344A0">
              <w:t xml:space="preserve"> Az Európai Parlament és a Tanács 595/2009/EK rendelete (2009. június 18.) a nehéz tehergépjárművek kibocsátásai (Euro VI) tekintetében a gépjárművek és motorok típusjóváhagyásáról, a járművek javítására és karbantartására vonatkozó információkhoz való hozzáférésről, a 715/2007/EK rendelet és a 2007/46/EK irányelv módosításáról, valamint a 80/1269/EGK, a 2005/55/EK és a 2005/78/EK irányelv hatályon kívül helyezéséről (HL L 188., 2009.7.18., 1. o.).</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w:t>
      </w:r>
    </w:p>
    <w:p w:rsidR="00FF715E" w:rsidRPr="00E344A0" w:rsidRDefault="00FF715E" w:rsidP="00FF715E">
      <w:pPr>
        <w:pStyle w:val="NormalBold12b"/>
      </w:pPr>
    </w:p>
    <w:p w:rsidR="00FF715E" w:rsidRPr="00E344A0" w:rsidRDefault="00FF715E" w:rsidP="00FF715E">
      <w:pPr>
        <w:pStyle w:val="NormalBold"/>
      </w:pPr>
      <w:r w:rsidRPr="00E344A0">
        <w:lastRenderedPageBreak/>
        <w:t>Rendeletre irányuló javaslat</w:t>
      </w:r>
    </w:p>
    <w:p w:rsidR="00FF715E" w:rsidRPr="00E344A0" w:rsidRDefault="00FF715E" w:rsidP="00FF715E">
      <w:pPr>
        <w:pStyle w:val="NormalBold"/>
      </w:pPr>
      <w:r w:rsidRPr="00E344A0">
        <w:t>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(5)</w:t>
            </w:r>
            <w:r w:rsidRPr="00E344A0">
              <w:tab/>
              <w:t xml:space="preserve">A 715/2007/EK rendeletben és az 595/2009/EK rendeletben meghatározott követelmények egyetlen rendeletbe foglalásával biztosítani kell a kibocsátási típusjóváhagyási rendszer belső koherenciáját a könnyű- és a nehézgépjárművek tekintetében egyaránt, lehetővé téve ugyanakkor az ilyen </w:t>
            </w:r>
            <w:r w:rsidRPr="00E344A0">
              <w:rPr>
                <w:b/>
                <w:i/>
              </w:rPr>
              <w:t>járművek</w:t>
            </w:r>
            <w:r w:rsidRPr="00E344A0">
              <w:t xml:space="preserve"> eltérő kibocsátási </w:t>
            </w:r>
            <w:r w:rsidRPr="00E344A0">
              <w:rPr>
                <w:b/>
                <w:i/>
              </w:rPr>
              <w:t>határértékeit</w:t>
            </w:r>
            <w:r w:rsidRPr="00E344A0">
              <w:t>.</w:t>
            </w:r>
          </w:p>
        </w:tc>
        <w:tc>
          <w:tcPr>
            <w:tcW w:w="4876" w:type="dxa"/>
          </w:tcPr>
          <w:p w:rsidR="00FF715E" w:rsidRPr="00E344A0" w:rsidRDefault="00FF715E" w:rsidP="00CD27F0">
            <w:pPr>
              <w:pStyle w:val="Normal6a"/>
            </w:pPr>
            <w:r w:rsidRPr="00E344A0">
              <w:t>(5)</w:t>
            </w:r>
            <w:r w:rsidRPr="00E344A0">
              <w:tab/>
              <w:t xml:space="preserve">A 715/2007/EK rendeletben és az 595/2009/EK rendeletben meghatározott követelmények egyetlen rendeletbe foglalásával biztosítani kell a kibocsátási típusjóváhagyási rendszer belső koherenciáját a könnyű- és a nehézgépjárművek tekintetében egyaránt, lehetővé téve ugyanakkor az ilyen </w:t>
            </w:r>
            <w:r w:rsidRPr="00E344A0">
              <w:rPr>
                <w:b/>
                <w:i/>
              </w:rPr>
              <w:t>járművekre vonatkozó</w:t>
            </w:r>
            <w:r w:rsidRPr="00E344A0">
              <w:t xml:space="preserve"> eltérő kibocsátási </w:t>
            </w:r>
            <w:r w:rsidRPr="00E344A0">
              <w:rPr>
                <w:b/>
                <w:i/>
              </w:rPr>
              <w:t>határértékek, valamint vizsgálati szabályok és feltételek meghatározását</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(7)</w:t>
            </w:r>
            <w:r w:rsidRPr="00E344A0">
              <w:tab/>
              <w:t xml:space="preserve">Emellett egyszerűsítésre van szükség, csökkenteni kell a gyártók és a hatóságok igazgatási és végrehajtási költségeit, továbbá biztosítani kell az Euro kibocsátási előírások hatékony és eredményes végrehajtását. Az egyszerűsítés </w:t>
            </w:r>
            <w:r w:rsidRPr="00E344A0">
              <w:rPr>
                <w:b/>
                <w:i/>
              </w:rPr>
              <w:t>az Euro 6 és az Euro VI szerinti</w:t>
            </w:r>
            <w:r w:rsidRPr="00E344A0">
              <w:t xml:space="preserve"> határértékek és vizsgálatok különböző alkalmazási időpontjainak megszüntetésével, a többszörös és összetett kibocsátási vizsgálatok megszüntetésével – amennyiben nincs szükség ilyen vizsgálatokra –, adott esetben a meglévő ENSZ-előírások szerinti szabványokra való hivatkozással, valamint a kibocsátási típusjóváhagyás különböző szakaszaira vonatkozó észszerűsített és következetes eljárások és vizsgálatok biztosításával érhető el.</w:t>
            </w:r>
          </w:p>
        </w:tc>
        <w:tc>
          <w:tcPr>
            <w:tcW w:w="4876" w:type="dxa"/>
          </w:tcPr>
          <w:p w:rsidR="00FF715E" w:rsidRPr="00E344A0" w:rsidRDefault="00FF715E" w:rsidP="00CD27F0">
            <w:pPr>
              <w:pStyle w:val="Normal6a"/>
            </w:pPr>
            <w:r w:rsidRPr="00E344A0">
              <w:t>(7)</w:t>
            </w:r>
            <w:r w:rsidRPr="00E344A0">
              <w:tab/>
              <w:t xml:space="preserve">Emellett egyszerűsítésre van szükség, csökkenteni kell a gyártók és a hatóságok igazgatási és végrehajtási költségeit, továbbá biztosítani kell az Euro kibocsátási előírások hatékony és eredményes végrehajtását. Az egyszerűsítés </w:t>
            </w:r>
            <w:r w:rsidRPr="00E344A0">
              <w:rPr>
                <w:b/>
                <w:i/>
              </w:rPr>
              <w:t>a</w:t>
            </w:r>
            <w:r w:rsidRPr="00E344A0">
              <w:t xml:space="preserve"> határértékek és vizsgálatok különböző alkalmazási időpontjainak megszüntetésével, a többszörös és összetett kibocsátási vizsgálatok megszüntetésével – amennyiben nincs szükség ilyen vizsgálatokra –, adott esetben a meglévő ENSZ-előírások szerinti szabványokra való hivatkozással, valamint a kibocsátási típusjóváhagyás különböző szakaszaira vonatkozó észszerűsített és következetes eljárások és vizsgálatok biztosításával érhető el.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w:t>
      </w:r>
    </w:p>
    <w:p w:rsidR="00FF715E" w:rsidRPr="00E344A0" w:rsidRDefault="00FF715E" w:rsidP="00FF715E">
      <w:pPr>
        <w:pStyle w:val="NormalBold12b"/>
      </w:pPr>
    </w:p>
    <w:p w:rsidR="00FF715E" w:rsidRPr="00E344A0" w:rsidRDefault="00FF715E" w:rsidP="00FF715E">
      <w:pPr>
        <w:pStyle w:val="NormalBold"/>
      </w:pPr>
      <w:r w:rsidRPr="00E344A0">
        <w:lastRenderedPageBreak/>
        <w:t>Rendeletre irányuló javaslat</w:t>
      </w:r>
    </w:p>
    <w:p w:rsidR="00FF715E" w:rsidRPr="00E344A0" w:rsidRDefault="00FF715E" w:rsidP="00FF715E">
      <w:pPr>
        <w:pStyle w:val="NormalBold"/>
      </w:pPr>
      <w:r w:rsidRPr="00E344A0">
        <w:t>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(8)</w:t>
            </w:r>
            <w:r w:rsidRPr="00E344A0">
              <w:tab/>
              <w:t xml:space="preserve">Annak biztosítása érdekében, hogy a könnyű- és a nehézgépjárművek esetében is csökkenjen a valós vezetési feltételek melletti kibocsátás, a járműveket valós használati körülmények között, minimális korlátozások, határértékek és egyéb vezetési előírások mellett kell vizsgálni, és </w:t>
            </w:r>
            <w:r w:rsidRPr="00E344A0">
              <w:rPr>
                <w:b/>
                <w:i/>
              </w:rPr>
              <w:t>nem csak laboratóriumban</w:t>
            </w:r>
            <w:r w:rsidRPr="00E344A0">
              <w:t>.</w:t>
            </w:r>
          </w:p>
        </w:tc>
        <w:tc>
          <w:tcPr>
            <w:tcW w:w="4876" w:type="dxa"/>
          </w:tcPr>
          <w:p w:rsidR="00FF715E" w:rsidRPr="00E344A0" w:rsidRDefault="00FF715E" w:rsidP="00CD27F0">
            <w:pPr>
              <w:pStyle w:val="Normal6a"/>
            </w:pPr>
            <w:r w:rsidRPr="00E344A0">
              <w:t>(8)</w:t>
            </w:r>
            <w:r w:rsidRPr="00E344A0">
              <w:tab/>
              <w:t>Annak biztosítása érdekében, hogy a könnyű- és a nehézgépjárművek esetében is csökkenjen a valós vezetési feltételek melletti kibocsátás, a járműveket valós</w:t>
            </w:r>
            <w:r w:rsidRPr="00E344A0">
              <w:rPr>
                <w:b/>
                <w:i/>
              </w:rPr>
              <w:t>, statisztikailag releváns</w:t>
            </w:r>
            <w:r w:rsidRPr="00E344A0">
              <w:t xml:space="preserve"> használati körülmények között, minimális korlátozások, határértékek és egyéb vezetési előírások mellett kell vizsgálni</w:t>
            </w:r>
            <w:r w:rsidRPr="00E344A0">
              <w:rPr>
                <w:b/>
                <w:i/>
              </w:rPr>
              <w:t>.</w:t>
            </w:r>
            <w:r w:rsidRPr="00E344A0">
              <w:t xml:space="preserve"> </w:t>
            </w:r>
            <w:r w:rsidRPr="00E344A0">
              <w:rPr>
                <w:b/>
                <w:i/>
              </w:rPr>
              <w:t>Ennek a közúti vizsgálatnak szokásos vezetésen kell alapulnia, és ki kell zárnia a torzított vezetés lehetőségét.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(10)</w:t>
            </w:r>
            <w:r w:rsidRPr="00E344A0">
              <w:tab/>
              <w:t xml:space="preserve">A 715/2007/EK és az 595/2009/EK rendelet előírja, hogy a járműveknek meghatározott időtartamon keresztül meg kell felelniük a kibocsátási határértékeknek, amely időtartam már nem felel meg a járművek átlagos élettartamának. Ezért helyénvaló olyan tartóssági követelményeket megállapítani, amelyek tükrözik az </w:t>
            </w:r>
            <w:r w:rsidRPr="00E344A0">
              <w:rPr>
                <w:b/>
                <w:i/>
              </w:rPr>
              <w:t>uniós</w:t>
            </w:r>
            <w:r w:rsidRPr="00E344A0">
              <w:t xml:space="preserve"> járművek </w:t>
            </w:r>
            <w:r w:rsidRPr="00E344A0">
              <w:rPr>
                <w:b/>
                <w:i/>
              </w:rPr>
              <w:t>átlagos várható élettartamát</w:t>
            </w:r>
            <w:r w:rsidRPr="00E344A0">
              <w:t>.</w:t>
            </w:r>
          </w:p>
        </w:tc>
        <w:tc>
          <w:tcPr>
            <w:tcW w:w="4876" w:type="dxa"/>
          </w:tcPr>
          <w:p w:rsidR="00FF715E" w:rsidRPr="00E344A0" w:rsidRDefault="00FF715E" w:rsidP="00CD27F0">
            <w:pPr>
              <w:pStyle w:val="Normal6a"/>
            </w:pPr>
            <w:r w:rsidRPr="00E344A0">
              <w:t>(10)</w:t>
            </w:r>
            <w:r w:rsidRPr="00E344A0">
              <w:tab/>
              <w:t xml:space="preserve">A 715/2007/EK és az 595/2009/EK rendelet előírja, hogy a járműveknek meghatározott időtartamon keresztül meg kell felelniük a kibocsátási határértékeknek, amely időtartam már nem felel meg a járművek átlagos élettartamának. Ezért helyénvaló olyan tartóssági követelményeket megállapítani, amelyek tükrözik </w:t>
            </w:r>
            <w:r w:rsidRPr="00E344A0">
              <w:rPr>
                <w:b/>
                <w:i/>
              </w:rPr>
              <w:t>a járművek várható élettartamát</w:t>
            </w:r>
            <w:r w:rsidRPr="00E344A0">
              <w:rPr>
                <w:b/>
                <w:i/>
                <w:vertAlign w:val="superscript"/>
              </w:rPr>
              <w:t>1a</w:t>
            </w:r>
            <w:r w:rsidRPr="00E344A0">
              <w:rPr>
                <w:b/>
                <w:i/>
              </w:rPr>
              <w:t xml:space="preserve"> és szokásos használatát </w:t>
            </w:r>
            <w:r w:rsidRPr="00E344A0">
              <w:t xml:space="preserve">az </w:t>
            </w:r>
            <w:r w:rsidRPr="00E344A0">
              <w:rPr>
                <w:b/>
                <w:i/>
              </w:rPr>
              <w:t>Unió egészében, figyelembe véve a tagállamok közötti különbségeket.</w:t>
            </w:r>
            <w:r w:rsidRPr="00E344A0">
              <w:t xml:space="preserve"> </w:t>
            </w:r>
            <w:r w:rsidRPr="00E344A0">
              <w:rPr>
                <w:b/>
                <w:i/>
              </w:rPr>
              <w:t>Ez különösen fontos a használt járművek vásárlói számára, akik arra számítanak, hogy a jármű kibocsátása ugyanolyan mértékű lesz, mint az első forgalomba hozatalkor.</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rPr>
              <w:t>_________________</w:t>
            </w:r>
          </w:p>
        </w:tc>
      </w:tr>
      <w:tr w:rsidR="00FF715E" w:rsidRPr="00E344A0" w:rsidTr="00CD27F0">
        <w:trPr>
          <w:jc w:val="center"/>
        </w:trPr>
        <w:tc>
          <w:tcPr>
            <w:tcW w:w="4876" w:type="dxa"/>
          </w:tcPr>
          <w:p w:rsidR="00FF715E" w:rsidRPr="00E344A0" w:rsidRDefault="00FF715E" w:rsidP="00CD27F0"/>
        </w:tc>
        <w:tc>
          <w:tcPr>
            <w:tcW w:w="4876" w:type="dxa"/>
          </w:tcPr>
          <w:p w:rsidR="00FF715E" w:rsidRPr="00E344A0" w:rsidRDefault="00FF715E" w:rsidP="00CD27F0">
            <w:pPr>
              <w:pStyle w:val="Normal6a"/>
            </w:pPr>
            <w:r w:rsidRPr="00E344A0">
              <w:rPr>
                <w:b/>
                <w:i/>
                <w:vertAlign w:val="superscript"/>
              </w:rPr>
              <w:t>1a</w:t>
            </w:r>
            <w:r w:rsidRPr="00E344A0">
              <w:rPr>
                <w:b/>
                <w:i/>
              </w:rPr>
              <w:t xml:space="preserve"> Európai Gépjárműgyártók Szövetsége (ACEA) „</w:t>
            </w:r>
            <w:proofErr w:type="spellStart"/>
            <w:r w:rsidRPr="00E344A0">
              <w:rPr>
                <w:b/>
                <w:i/>
              </w:rPr>
              <w:t>Vehicles</w:t>
            </w:r>
            <w:proofErr w:type="spellEnd"/>
            <w:r w:rsidRPr="00E344A0">
              <w:rPr>
                <w:b/>
                <w:i/>
              </w:rPr>
              <w:t xml:space="preserve"> in </w:t>
            </w:r>
            <w:proofErr w:type="spellStart"/>
            <w:r w:rsidRPr="00E344A0">
              <w:rPr>
                <w:b/>
                <w:i/>
              </w:rPr>
              <w:t>Use</w:t>
            </w:r>
            <w:proofErr w:type="spellEnd"/>
            <w:r w:rsidRPr="00E344A0">
              <w:rPr>
                <w:b/>
                <w:i/>
              </w:rPr>
              <w:t>, Europe 2022”</w:t>
            </w:r>
            <w:r w:rsidR="00267A15">
              <w:rPr>
                <w:b/>
                <w:i/>
              </w:rPr>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(10a)</w:t>
            </w:r>
            <w:r w:rsidRPr="00E344A0">
              <w:tab/>
            </w:r>
            <w:r w:rsidRPr="00E344A0">
              <w:rPr>
                <w:b/>
                <w:i/>
              </w:rPr>
              <w:t>A tagállamok számára javasolt, hogy dolgozzanak ki és hajtsanak végre stratégiákat a flotta megújulásának ösztönzésére azzal a céllal, hogy elősegítsék az európai flotta csökkentett kibocsátású járművekre való fokozatos átállását, hozzájárulva egy tisztább és fenntarthatóbb közlekedési ökoszisztéma kialakításához.</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(11)</w:t>
            </w:r>
            <w:r w:rsidRPr="00E344A0">
              <w:tab/>
              <w:t xml:space="preserve">Ma már világszerte elérhetők és használatban vannak olyan technológiák, amelyek korlátozzák az illékony szerves vegyületek párolgási kibocsátását a járművek használata, állása és benzinüzemanyaggal való töltése során. </w:t>
            </w:r>
            <w:r w:rsidRPr="00E344A0">
              <w:rPr>
                <w:b/>
                <w:i/>
              </w:rPr>
              <w:t>Ezért</w:t>
            </w:r>
            <w:r w:rsidRPr="00E344A0">
              <w:t xml:space="preserve"> helyénvaló az ilyen illékony szerves vegyületekre vonatkozó kibocsátási határértékeket alacsonyabb szinten </w:t>
            </w:r>
            <w:r w:rsidRPr="00E344A0">
              <w:rPr>
                <w:b/>
                <w:i/>
              </w:rPr>
              <w:t>megállapítani</w:t>
            </w:r>
            <w:r w:rsidRPr="00E344A0">
              <w:t xml:space="preserve">, és kibocsátási határértékeket </w:t>
            </w:r>
            <w:r w:rsidRPr="00E344A0">
              <w:rPr>
                <w:b/>
                <w:i/>
              </w:rPr>
              <w:t>bevezetni</w:t>
            </w:r>
            <w:r w:rsidRPr="00E344A0">
              <w:t xml:space="preserve"> a töltési szakaszra vonatkozóan.</w:t>
            </w:r>
          </w:p>
        </w:tc>
        <w:tc>
          <w:tcPr>
            <w:tcW w:w="4876" w:type="dxa"/>
          </w:tcPr>
          <w:p w:rsidR="00FF715E" w:rsidRPr="00E344A0" w:rsidRDefault="00FF715E" w:rsidP="00CD27F0">
            <w:pPr>
              <w:pStyle w:val="Normal6a"/>
            </w:pPr>
            <w:r w:rsidRPr="00E344A0">
              <w:t>(11)</w:t>
            </w:r>
            <w:r w:rsidRPr="00E344A0">
              <w:tab/>
              <w:t xml:space="preserve">Ma már világszerte elérhetők és használatban vannak olyan technológiák, amelyek korlátozzák az illékony szerves vegyületek párolgási kibocsátását a járművek használata, állása és benzinüzemanyaggal való töltése során. </w:t>
            </w:r>
            <w:r w:rsidRPr="00E344A0">
              <w:rPr>
                <w:b/>
                <w:i/>
              </w:rPr>
              <w:t>Mivel más piacokon és régiókban ezek a technológiák már beváltak és költséghatékony bevezetésükre is sor került,</w:t>
            </w:r>
            <w:r w:rsidRPr="00E344A0">
              <w:t xml:space="preserve"> helyénvaló</w:t>
            </w:r>
            <w:r w:rsidRPr="00E344A0">
              <w:rPr>
                <w:b/>
                <w:i/>
              </w:rPr>
              <w:t>, hogy az EU összehangolja tevékenységét más piacokkal azáltal, hogy</w:t>
            </w:r>
            <w:r w:rsidRPr="00E344A0">
              <w:t xml:space="preserve"> az ilyen illékony szerves vegyületekre vonatkozó kibocsátási határértékeket alacsonyabb szinten </w:t>
            </w:r>
            <w:r w:rsidRPr="00E344A0">
              <w:rPr>
                <w:b/>
                <w:i/>
              </w:rPr>
              <w:t>állapítja meg</w:t>
            </w:r>
            <w:r w:rsidRPr="00E344A0">
              <w:t xml:space="preserve">, és kibocsátási határértékeket </w:t>
            </w:r>
            <w:r w:rsidRPr="00E344A0">
              <w:rPr>
                <w:b/>
                <w:i/>
              </w:rPr>
              <w:t>vezet be</w:t>
            </w:r>
            <w:r w:rsidRPr="00E344A0">
              <w:t xml:space="preserve"> a töltési szakaszra vonatkozóan.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w:t>
      </w:r>
    </w:p>
    <w:p w:rsidR="00FF715E" w:rsidRPr="00E344A0" w:rsidRDefault="00FF715E" w:rsidP="00FF715E">
      <w:pPr>
        <w:pStyle w:val="NormalBold12b"/>
      </w:pPr>
      <w:r w:rsidRPr="00E344A0">
        <w:t>Rendeletre irányuló javaslat</w:t>
      </w:r>
    </w:p>
    <w:p w:rsidR="00FF715E" w:rsidRPr="00E344A0" w:rsidRDefault="00FF715E" w:rsidP="00FF715E">
      <w:pPr>
        <w:pStyle w:val="NormalBold"/>
      </w:pPr>
      <w:r w:rsidRPr="00E344A0">
        <w:t>11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(11a)</w:t>
            </w:r>
            <w:r w:rsidRPr="00E344A0">
              <w:tab/>
            </w:r>
            <w:r w:rsidRPr="00E344A0">
              <w:rPr>
                <w:b/>
                <w:i/>
              </w:rPr>
              <w:t>Az üzemanyag-feltöltésből származó kibocsátások kezelése érdekében az üzemanyag-feltöltéskor kibocsátott benzingőz fedélzeti visszanyerését más piacokon és régiókban több mint 15 éve alkalmazzák, és az bizonyítottan képes a benzingőz hatékony kezelésére.</w:t>
            </w:r>
            <w:r w:rsidRPr="00E344A0">
              <w:t xml:space="preserve"> </w:t>
            </w:r>
            <w:r w:rsidRPr="00E344A0">
              <w:rPr>
                <w:b/>
                <w:i/>
              </w:rPr>
              <w:t>Az üzemanyag-feltöltéskor kibocsátott benzingőz fedélzeti visszanyerése esetében nincs szükség éves karbantartásra vagy ellenőrzésre ahhoz, hogy a feltöltéskor kibocsátott benzingőz kezelése nagyobb hatékonysággal, ugyanakkor továbbra is a jelenlegi II. fázisú benzinkutakkal kompatibilis módon történjen.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(12)</w:t>
            </w:r>
            <w:r w:rsidRPr="00E344A0">
              <w:tab/>
              <w:t xml:space="preserve">A nem kipufogógáz-eredetű kibocsátás a járművek gumiabroncsaiból és </w:t>
            </w:r>
            <w:proofErr w:type="spellStart"/>
            <w:r w:rsidRPr="00E344A0">
              <w:t>fékeiből</w:t>
            </w:r>
            <w:proofErr w:type="spellEnd"/>
            <w:r w:rsidRPr="00E344A0">
              <w:t xml:space="preserve"> származó részecskék kibocsátását jelenti. Becslések szerint a gumiabroncsokból származó kibocsátások jelentik a környezetbe kerülő </w:t>
            </w:r>
            <w:proofErr w:type="spellStart"/>
            <w:r w:rsidRPr="00E344A0">
              <w:t>mikroműanyagok</w:t>
            </w:r>
            <w:proofErr w:type="spellEnd"/>
            <w:r w:rsidRPr="00E344A0">
              <w:t xml:space="preserve"> legnagyobb forrását. Amint azt a hatásvizsgálat is mutatja, 2050-re a nem kipufogógáz-eredetű kibocsátás várhatóan a közúti közlekedés során kibocsátott összes részecske 90 %-át teszi ki, mivel a kipufogógáz-eredetű részecskék kibocsátása csökkenni fog a járművek villamosítása miatt. Ezeket a nem kipufogógáz-eredetű kibocsátásokat tehát mérni és korlátozni kell. A Bizottságnak </w:t>
            </w:r>
            <w:r w:rsidRPr="00E344A0">
              <w:rPr>
                <w:b/>
                <w:i/>
              </w:rPr>
              <w:t>2024</w:t>
            </w:r>
            <w:r w:rsidRPr="00E344A0">
              <w:t xml:space="preserve"> végéig </w:t>
            </w:r>
            <w:r w:rsidRPr="00E344A0">
              <w:rPr>
                <w:b/>
                <w:i/>
              </w:rPr>
              <w:t>jelentést</w:t>
            </w:r>
            <w:r w:rsidRPr="00E344A0">
              <w:t xml:space="preserve"> kell </w:t>
            </w:r>
            <w:r w:rsidRPr="00E344A0">
              <w:rPr>
                <w:b/>
                <w:i/>
              </w:rPr>
              <w:t>készítenie</w:t>
            </w:r>
            <w:r w:rsidRPr="00E344A0">
              <w:t xml:space="preserve"> a </w:t>
            </w:r>
            <w:r w:rsidRPr="00E344A0">
              <w:rPr>
                <w:b/>
                <w:i/>
              </w:rPr>
              <w:t>gumiabroncskopásról</w:t>
            </w:r>
            <w:r w:rsidRPr="00E344A0">
              <w:t xml:space="preserve">, </w:t>
            </w:r>
            <w:r w:rsidRPr="00E344A0">
              <w:rPr>
                <w:b/>
                <w:i/>
              </w:rPr>
              <w:t>amelyben áttekinti</w:t>
            </w:r>
            <w:r w:rsidRPr="00E344A0">
              <w:t xml:space="preserve"> a </w:t>
            </w:r>
            <w:r w:rsidRPr="00E344A0">
              <w:rPr>
                <w:b/>
                <w:i/>
              </w:rPr>
              <w:t>mérési módszereket</w:t>
            </w:r>
            <w:r w:rsidRPr="00E344A0">
              <w:t xml:space="preserve"> és a </w:t>
            </w:r>
            <w:r w:rsidRPr="00E344A0">
              <w:rPr>
                <w:b/>
                <w:i/>
              </w:rPr>
              <w:t>legkorszerűbb megoldásokat annak érdekében</w:t>
            </w:r>
            <w:r w:rsidRPr="00E344A0">
              <w:t xml:space="preserve">, hogy </w:t>
            </w:r>
            <w:r w:rsidRPr="00E344A0">
              <w:rPr>
                <w:b/>
                <w:i/>
              </w:rPr>
              <w:t>javaslatot tegyen gumiabroncskopási határértékekre</w:t>
            </w:r>
            <w:r w:rsidRPr="00E344A0">
              <w:t>.</w:t>
            </w:r>
          </w:p>
        </w:tc>
        <w:tc>
          <w:tcPr>
            <w:tcW w:w="4876" w:type="dxa"/>
          </w:tcPr>
          <w:p w:rsidR="00FF715E" w:rsidRPr="00E344A0" w:rsidRDefault="00FF715E" w:rsidP="00CD27F0">
            <w:pPr>
              <w:pStyle w:val="Normal6a"/>
            </w:pPr>
            <w:r w:rsidRPr="00E344A0">
              <w:t>(12)</w:t>
            </w:r>
            <w:r w:rsidRPr="00E344A0">
              <w:tab/>
              <w:t xml:space="preserve">A nem kipufogógáz-eredetű kibocsátás a járművek gumiabroncsaiból és </w:t>
            </w:r>
            <w:proofErr w:type="spellStart"/>
            <w:r w:rsidRPr="00E344A0">
              <w:t>fékeiből</w:t>
            </w:r>
            <w:proofErr w:type="spellEnd"/>
            <w:r w:rsidRPr="00E344A0">
              <w:t xml:space="preserve"> származó részecskék kibocsátását jelenti. Becslések szerint a gumiabroncsokból származó kibocsátások jelentik a környezetbe kerülő </w:t>
            </w:r>
            <w:proofErr w:type="spellStart"/>
            <w:r w:rsidRPr="00E344A0">
              <w:t>mikroműanyagok</w:t>
            </w:r>
            <w:proofErr w:type="spellEnd"/>
            <w:r w:rsidRPr="00E344A0">
              <w:t xml:space="preserve"> legnagyobb forrását. Amint azt a hatásvizsgálat is mutatja, 2050-re a nem kipufogógáz-eredetű kibocsátás várhatóan a közúti közlekedés során kibocsátott összes részecske 90 %-át teszi ki, mivel a kipufogógáz-eredetű részecskék kibocsátása csökkenni fog a járművek villamosítása miatt. Ezeket a nem kipufogógáz-eredetű kibocsátásokat tehát mérni és korlátozni kell. A Bizottságnak </w:t>
            </w:r>
            <w:r w:rsidRPr="00E344A0">
              <w:rPr>
                <w:b/>
                <w:i/>
              </w:rPr>
              <w:t>2025</w:t>
            </w:r>
            <w:r w:rsidRPr="00E344A0">
              <w:t xml:space="preserve"> végéig </w:t>
            </w:r>
            <w:r w:rsidRPr="00E344A0">
              <w:rPr>
                <w:b/>
                <w:i/>
              </w:rPr>
              <w:t>felülvizsgálatot</w:t>
            </w:r>
            <w:r w:rsidRPr="00E344A0">
              <w:t xml:space="preserve"> kell </w:t>
            </w:r>
            <w:r w:rsidRPr="00E344A0">
              <w:rPr>
                <w:b/>
                <w:i/>
              </w:rPr>
              <w:t>végeznie</w:t>
            </w:r>
            <w:r w:rsidRPr="00E344A0">
              <w:t xml:space="preserve"> a </w:t>
            </w:r>
            <w:r w:rsidRPr="00E344A0">
              <w:rPr>
                <w:b/>
                <w:i/>
              </w:rPr>
              <w:t>gumiabroncskopás mérése tekintetében</w:t>
            </w:r>
            <w:r w:rsidRPr="00E344A0">
              <w:t xml:space="preserve">, </w:t>
            </w:r>
            <w:r w:rsidRPr="00E344A0">
              <w:rPr>
                <w:b/>
                <w:i/>
              </w:rPr>
              <w:t>és a legkorszerűbb módszerek alapján kopási határértékeket kell meghatároznia arra az esetre, ha nem állapítottak meg olyan egységes rendelkezéseket, amelyek az ENSZ WP29 keretében</w:t>
            </w:r>
            <w:r w:rsidRPr="00E344A0">
              <w:t xml:space="preserve"> a </w:t>
            </w:r>
            <w:r w:rsidRPr="00E344A0">
              <w:rPr>
                <w:b/>
                <w:i/>
              </w:rPr>
              <w:t xml:space="preserve">gumiabroncskopással kapcsolatban 2026 közepéig végzett </w:t>
            </w:r>
            <w:r w:rsidRPr="00E344A0">
              <w:rPr>
                <w:b/>
                <w:i/>
              </w:rPr>
              <w:lastRenderedPageBreak/>
              <w:t>munkára hivatkoznak. A Bizottságnak biztosítania kell, hogy az ENSZ WP29 időben és a magas – szilárd tudományos és műszaki alapokon nyugvó – ambíciószintnek megfelelően elérje célkitűzéseit. A felülvizsgálatot az elektromosjármű-hajtóakkumulátorral rendelkező járművekre, köztük a hálózatról tölthető hibrid elektromos járművekre és az akkumulátoros elektromos járművekre vonatkozó jogalkotási javaslatnak kell kísérnie, amelynek célja olyan gumiabroncskopási határértékek elfogadása, amelyek összeegyeztethetők az Unió azon célkitűzésével</w:t>
            </w:r>
            <w:r w:rsidRPr="00E344A0">
              <w:t xml:space="preserve">, hogy </w:t>
            </w:r>
            <w:r w:rsidRPr="00E344A0">
              <w:rPr>
                <w:b/>
                <w:i/>
              </w:rPr>
              <w:t>2030-ig 30%-</w:t>
            </w:r>
            <w:proofErr w:type="spellStart"/>
            <w:r w:rsidRPr="00E344A0">
              <w:rPr>
                <w:b/>
                <w:i/>
              </w:rPr>
              <w:t>kal</w:t>
            </w:r>
            <w:proofErr w:type="spellEnd"/>
            <w:r w:rsidRPr="00E344A0">
              <w:rPr>
                <w:b/>
                <w:i/>
              </w:rPr>
              <w:t xml:space="preserve"> csökkentsék a környezetbe kerülő </w:t>
            </w:r>
            <w:proofErr w:type="spellStart"/>
            <w:r w:rsidRPr="00E344A0">
              <w:rPr>
                <w:b/>
                <w:i/>
              </w:rPr>
              <w:t>mikroműanyagok</w:t>
            </w:r>
            <w:proofErr w:type="spellEnd"/>
            <w:r w:rsidRPr="00E344A0">
              <w:rPr>
                <w:b/>
                <w:i/>
              </w:rPr>
              <w:t xml:space="preserve"> mennyiségét, és amelyek a legkorszerűbb kopási sebességeken alapulnak</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(14)</w:t>
            </w:r>
            <w:r w:rsidRPr="00E344A0">
              <w:tab/>
              <w:t xml:space="preserve">Az elektromosjármű-hajtóakkumulátorral rendelkező járművek, köztük a hálózatról tölthető hibrid elektromos járművek és az akkumulátoros elektromos járművek hozzájárulnak a közúti közlekedési ágazat </w:t>
            </w:r>
            <w:proofErr w:type="spellStart"/>
            <w:r w:rsidRPr="00E344A0">
              <w:t>dekarbonizációjához</w:t>
            </w:r>
            <w:proofErr w:type="spellEnd"/>
            <w:r w:rsidRPr="00E344A0">
              <w:t xml:space="preserve">. Az ilyen járművek iránti fogyasztói bizalom elnyerése és növelése érdekében e járműveknek jól teljesítőnek és tartósnak kell lenniük. Ezért fontos előírni, hogy az elektromosjármű-hajtóakkumulátorok sok éven át történő használat után is rendelkezzenek eredeti kapacitásuk jelentős részével. Ez különösen fontos a használt elektromos járművek vásárlói számára annak biztosítása érdekében, hogy a jármű továbbra is a várakozásoknak megfelelően működjön. Ezért minden elektromosjármű-hajtóakkumulátorral működő jármű </w:t>
            </w:r>
            <w:r w:rsidRPr="00E344A0">
              <w:lastRenderedPageBreak/>
              <w:t>esetében elő kell írni az akkumulátor állapotának ellenőrzését. Ezen túlmenően a teljesítőképességre vonatkozó minimumkövetelményeket kell bevezetni a személygépkocsik akkumulátorának tartóssága tekintetében, figyelembe véve az ENSZ 22. számú globális műszaki előírását</w:t>
            </w:r>
            <w:r w:rsidRPr="00E344A0">
              <w:rPr>
                <w:vertAlign w:val="superscript"/>
              </w:rPr>
              <w:t>47</w:t>
            </w:r>
            <w:r w:rsidRPr="00E344A0">
              <w:t>.</w:t>
            </w:r>
          </w:p>
        </w:tc>
        <w:tc>
          <w:tcPr>
            <w:tcW w:w="4876" w:type="dxa"/>
          </w:tcPr>
          <w:p w:rsidR="00FF715E" w:rsidRPr="00E344A0" w:rsidRDefault="00FF715E" w:rsidP="00CD27F0">
            <w:pPr>
              <w:pStyle w:val="Normal6a"/>
            </w:pPr>
            <w:r w:rsidRPr="00E344A0">
              <w:lastRenderedPageBreak/>
              <w:t>(14)</w:t>
            </w:r>
            <w:r w:rsidRPr="00E344A0">
              <w:tab/>
              <w:t xml:space="preserve">Az elektromosjármű-hajtóakkumulátorral rendelkező járművek, köztük a hálózatról tölthető hibrid elektromos járművek és az akkumulátoros elektromos járművek hozzájárulnak a közúti közlekedési ágazat </w:t>
            </w:r>
            <w:proofErr w:type="spellStart"/>
            <w:r w:rsidRPr="00E344A0">
              <w:t>dekarbonizációjához</w:t>
            </w:r>
            <w:proofErr w:type="spellEnd"/>
            <w:r w:rsidRPr="00E344A0">
              <w:t xml:space="preserve">. Az ilyen járművek iránti fogyasztói bizalom elnyerése és növelése érdekében e járműveknek jól teljesítőnek és tartósnak kell lenniük. Ezért fontos előírni, hogy az elektromosjármű-hajtóakkumulátorok sok éven át történő használat után is rendelkezzenek eredeti kapacitásuk jelentős részével. Ez különösen fontos a használt elektromos járművek vásárlói számára annak biztosítása érdekében, hogy a jármű továbbra is a várakozásoknak megfelelően működjön. Ezért minden elektromosjármű-hajtóakkumulátorral működő jármű </w:t>
            </w:r>
            <w:r w:rsidRPr="00E344A0">
              <w:lastRenderedPageBreak/>
              <w:t xml:space="preserve">esetében elő kell írni az akkumulátor állapotának ellenőrzését. Ezen túlmenően a teljesítőképességre vonatkozó minimumkövetelményeket kell bevezetni a személygépkocsik </w:t>
            </w:r>
            <w:r w:rsidRPr="00E344A0">
              <w:rPr>
                <w:b/>
                <w:i/>
              </w:rPr>
              <w:t xml:space="preserve">és könnyű haszongépjárművek </w:t>
            </w:r>
            <w:r w:rsidRPr="00E344A0">
              <w:t>akkumulátorának tartóssága tekintetében, figyelembe véve az ENSZ 22. számú globális műszaki előírását</w:t>
            </w:r>
            <w:r w:rsidRPr="00E344A0">
              <w:rPr>
                <w:vertAlign w:val="superscript"/>
              </w:rPr>
              <w:t>47</w:t>
            </w:r>
            <w:r w:rsidRPr="00E344A0">
              <w:t>.</w:t>
            </w:r>
          </w:p>
        </w:tc>
      </w:tr>
      <w:tr w:rsidR="00FF715E" w:rsidRPr="00E344A0" w:rsidTr="00CD27F0">
        <w:trPr>
          <w:jc w:val="center"/>
        </w:trPr>
        <w:tc>
          <w:tcPr>
            <w:tcW w:w="4876" w:type="dxa"/>
          </w:tcPr>
          <w:p w:rsidR="00FF715E" w:rsidRPr="00E344A0" w:rsidRDefault="00FF715E" w:rsidP="00CD27F0">
            <w:pPr>
              <w:pStyle w:val="Normal6a"/>
            </w:pPr>
            <w:r w:rsidRPr="00E344A0">
              <w:rPr>
                <w:b/>
                <w:i/>
              </w:rPr>
              <w:lastRenderedPageBreak/>
              <w:t>_________________</w:t>
            </w:r>
          </w:p>
        </w:tc>
        <w:tc>
          <w:tcPr>
            <w:tcW w:w="4876" w:type="dxa"/>
          </w:tcPr>
          <w:p w:rsidR="00FF715E" w:rsidRPr="00E344A0" w:rsidRDefault="00FF715E" w:rsidP="00CD27F0">
            <w:pPr>
              <w:pStyle w:val="Normal6a"/>
            </w:pPr>
            <w:r w:rsidRPr="00E344A0">
              <w:rPr>
                <w:b/>
                <w:i/>
              </w:rPr>
              <w:t>_________________</w:t>
            </w:r>
          </w:p>
        </w:tc>
      </w:tr>
      <w:tr w:rsidR="00FF715E" w:rsidRPr="00E344A0" w:rsidTr="00CD27F0">
        <w:trPr>
          <w:jc w:val="center"/>
        </w:trPr>
        <w:tc>
          <w:tcPr>
            <w:tcW w:w="4876" w:type="dxa"/>
          </w:tcPr>
          <w:p w:rsidR="00FF715E" w:rsidRPr="00E344A0" w:rsidRDefault="00FF715E" w:rsidP="00CD27F0">
            <w:pPr>
              <w:pStyle w:val="Normal6a"/>
            </w:pPr>
            <w:r w:rsidRPr="00E344A0">
              <w:rPr>
                <w:vertAlign w:val="superscript"/>
              </w:rPr>
              <w:t>47</w:t>
            </w:r>
            <w:r w:rsidRPr="00E344A0">
              <w:t xml:space="preserve"> Az Egyesült Nemzetek Szervezetének az elektromos járművekbe épített akkumulátorok tartósságára vonatkozó globális műszaki előírása (22. sz. ENSZ-GTR).</w:t>
            </w:r>
          </w:p>
        </w:tc>
        <w:tc>
          <w:tcPr>
            <w:tcW w:w="4876" w:type="dxa"/>
          </w:tcPr>
          <w:p w:rsidR="00FF715E" w:rsidRPr="00E344A0" w:rsidRDefault="00FF715E" w:rsidP="00CD27F0">
            <w:pPr>
              <w:pStyle w:val="Normal6a"/>
            </w:pPr>
            <w:r w:rsidRPr="00E344A0">
              <w:rPr>
                <w:vertAlign w:val="superscript"/>
              </w:rPr>
              <w:t>47</w:t>
            </w:r>
            <w:r w:rsidRPr="00E344A0">
              <w:t xml:space="preserve"> Az Egyesült Nemzetek Szervezetének az elektromos járművekbe épített akkumulátorok tartósságára vonatkozó globális műszaki előírása (22. sz. ENSZ-GTR).</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17</w:t>
      </w:r>
    </w:p>
    <w:p w:rsidR="00FF715E" w:rsidRPr="00E344A0" w:rsidRDefault="00FF715E" w:rsidP="00FF715E">
      <w:pPr>
        <w:pStyle w:val="NormalBold12b"/>
      </w:pPr>
      <w:r w:rsidRPr="00E344A0">
        <w:t>Rendeletre irányuló javaslat</w:t>
      </w:r>
    </w:p>
    <w:p w:rsidR="00FF715E" w:rsidRPr="00E344A0" w:rsidRDefault="00FF715E" w:rsidP="00FF715E">
      <w:pPr>
        <w:pStyle w:val="NormalBold"/>
      </w:pPr>
      <w:r w:rsidRPr="00E344A0">
        <w:t>14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(14a)</w:t>
            </w:r>
            <w:r w:rsidRPr="00E344A0">
              <w:tab/>
            </w:r>
            <w:r w:rsidRPr="00E344A0">
              <w:rPr>
                <w:b/>
                <w:i/>
              </w:rPr>
              <w:t>Az OBM, OBFCM vagy SOH eszközök a jármű által generált adatokat használják fel annak ellenőrzésére, hogy a jármű megfelel-e a rendeletnek.</w:t>
            </w:r>
            <w:r w:rsidRPr="00E344A0">
              <w:t xml:space="preserve"> </w:t>
            </w:r>
            <w:r w:rsidRPr="00E344A0">
              <w:rPr>
                <w:b/>
                <w:i/>
              </w:rPr>
              <w:t xml:space="preserve">Ugyanezeket az adatokat az adatmegosztási jogszabálynak megfelelően meg kell osztani a járműhasználókkal és </w:t>
            </w:r>
            <w:proofErr w:type="spellStart"/>
            <w:r w:rsidRPr="00E344A0">
              <w:rPr>
                <w:b/>
                <w:i/>
              </w:rPr>
              <w:t>szolgáltatóikkal</w:t>
            </w:r>
            <w:proofErr w:type="spellEnd"/>
            <w:r w:rsidRPr="00E344A0">
              <w:rPr>
                <w:b/>
                <w:i/>
              </w:rPr>
              <w:t>, hogy a járműhasználók tanácsokat és ajánlásokat kaphassanak arra vonatkozóan, hogy a jármű hatékonyabb használata révén hogyan korlátozhatják a jármű kibocsátását és energiafogyasztását, illetve hogyan hosszabbíthatják meg az akkumulátor élettartamát.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lastRenderedPageBreak/>
              <w:t>(15)</w:t>
            </w:r>
            <w:r w:rsidRPr="00E344A0">
              <w:tab/>
              <w:t xml:space="preserve">Jól ismert probléma a járművek manipulálása a kibocsátáscsökkentő rendszerek bizonyos részeinek eltávolítása vagy kikapcsolása érdekében. Ez a gyakorlat ellenőrizetlen </w:t>
            </w:r>
            <w:r w:rsidRPr="00E344A0">
              <w:rPr>
                <w:b/>
                <w:i/>
              </w:rPr>
              <w:t>kibocsátáshoz</w:t>
            </w:r>
            <w:r w:rsidRPr="00E344A0">
              <w:t xml:space="preserve"> vezet, ezért meg kell akadályozni. A kilométer-számláló manipulálása hamis futásteljesítményt eredményez és akadályozza a jármű megfelelő, üzem közbeni ellenőrzését. Ezért rendkívül fontos e rendszerek lehető legmagasabb szintű biztonsági védelmének garantálása biztonsági tanúsítványokkal és a manipulálás elleni megfelelő védelemmel kiegészítve annak biztosítása érdekében, hogy sem a kibocsátáscsökkentő rendszerek, sem a jármű kilométer-számlálója ne legyen manipulálható.</w:t>
            </w:r>
          </w:p>
        </w:tc>
        <w:tc>
          <w:tcPr>
            <w:tcW w:w="4876" w:type="dxa"/>
          </w:tcPr>
          <w:p w:rsidR="00FF715E" w:rsidRPr="00E344A0" w:rsidRDefault="00FF715E" w:rsidP="00CD27F0">
            <w:pPr>
              <w:pStyle w:val="Normal6a"/>
            </w:pPr>
            <w:r w:rsidRPr="00E344A0">
              <w:t>(15)</w:t>
            </w:r>
            <w:r w:rsidRPr="00E344A0">
              <w:tab/>
              <w:t xml:space="preserve">Jól ismert probléma a járművek manipulálása a kibocsátáscsökkentő rendszerek bizonyos részeinek eltávolítása vagy kikapcsolása érdekében. Ez a gyakorlat ellenőrizetlen </w:t>
            </w:r>
            <w:r w:rsidRPr="00E344A0">
              <w:rPr>
                <w:b/>
                <w:i/>
              </w:rPr>
              <w:t>kibocsátásokhoz</w:t>
            </w:r>
            <w:r w:rsidRPr="00E344A0">
              <w:t xml:space="preserve"> vezet, ezért </w:t>
            </w:r>
            <w:r w:rsidRPr="00E344A0">
              <w:rPr>
                <w:b/>
                <w:i/>
              </w:rPr>
              <w:t xml:space="preserve">azt </w:t>
            </w:r>
            <w:r w:rsidRPr="00E344A0">
              <w:t>meg kell akadályozni</w:t>
            </w:r>
            <w:r w:rsidRPr="00E344A0">
              <w:rPr>
                <w:b/>
                <w:i/>
              </w:rPr>
              <w:t xml:space="preserve"> többek között a manipuláló eszközök reklámozásától, értékesítésétől és beszerelésétől visszatartó intézkedésekkel, valamint szankcionálni kell</w:t>
            </w:r>
            <w:r w:rsidRPr="00E344A0">
              <w:t>. A kilométer-számláló manipulálása hamis futásteljesítményt eredményez és akadályozza a jármű megfelelő, üzem közbeni ellenőrzését. Ezért rendkívül fontos e rendszerek lehető legmagasabb szintű biztonsági védelmének garantálása biztonsági tanúsítványokkal és a manipulálás elleni megfelelő védelemmel kiegészítve annak biztosítása érdekében, hogy sem a kibocsátáscsökkentő rendszerek, sem a jármű kilométer-számlálója ne legyen manipulálható.</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(15a)</w:t>
            </w:r>
            <w:r w:rsidRPr="00E344A0">
              <w:tab/>
            </w:r>
            <w:r w:rsidRPr="00E344A0">
              <w:rPr>
                <w:b/>
                <w:i/>
              </w:rPr>
              <w:t xml:space="preserve">Annak érdekében, hogy a manipulálás elleni intézkedések ne akadályozzák indokolatlanul a versenyt, ennek a rendeletnek és másodlagos jogszabályainak fenn kell tartaniuk a lehetőséget a független szereplők számára, hogy </w:t>
            </w:r>
            <w:proofErr w:type="spellStart"/>
            <w:r w:rsidRPr="00E344A0">
              <w:rPr>
                <w:b/>
                <w:i/>
              </w:rPr>
              <w:t>utángyártott</w:t>
            </w:r>
            <w:proofErr w:type="spellEnd"/>
            <w:r w:rsidRPr="00E344A0">
              <w:rPr>
                <w:b/>
                <w:i/>
              </w:rPr>
              <w:t xml:space="preserve"> tartalék alkatrészeket fejlesszenek ki, forgalmazzanak, építsenek be és helyezzenek üzembe. Ezért a gyártóknak biztosítaniuk kell, hogy a független szereplők hozzáférhessenek az ilyen tartalék alkatrészek fejlesztéséhez és beépítéséhez feltétlenül szükséges információkhoz, eszközökhöz és folyamatokhoz.</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20</w:t>
      </w:r>
    </w:p>
    <w:p w:rsidR="00FF715E" w:rsidRPr="00E344A0" w:rsidRDefault="00FF715E" w:rsidP="00FF715E">
      <w:pPr>
        <w:pStyle w:val="NormalBold12b"/>
      </w:pPr>
      <w:r w:rsidRPr="00E344A0">
        <w:lastRenderedPageBreak/>
        <w:t>Rendeletre irányuló javaslat</w:t>
      </w:r>
    </w:p>
    <w:p w:rsidR="00FF715E" w:rsidRPr="00E344A0" w:rsidRDefault="00FF715E" w:rsidP="00FF715E">
      <w:pPr>
        <w:pStyle w:val="NormalBold"/>
      </w:pPr>
      <w:r w:rsidRPr="00E344A0">
        <w:t>16 preambulumbekezdés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(16)</w:t>
            </w:r>
            <w:r w:rsidRPr="00E344A0">
              <w:tab/>
              <w:t xml:space="preserve">Ma már járművekbe beépített érzékelőket használnak a kibocsátással kapcsolatos rendellenességek észlelésére és az ezekkel kapcsolatban szükséges javítások elindítására a fedélzeti diagnosztikai rendszeren keresztül. A jelenleg használatban lévő fedélzeti diagnosztikai rendszer azonban nem észleli pontosan vagy kellő időben a működési hibákat, és nem is </w:t>
            </w:r>
            <w:r w:rsidRPr="00E344A0">
              <w:rPr>
                <w:b/>
                <w:i/>
              </w:rPr>
              <w:t>végezteti el</w:t>
            </w:r>
            <w:r w:rsidRPr="00E344A0">
              <w:t xml:space="preserve"> megfelelően és kellő időben a szükséges javításokat. Ennek következtében előfordulhat, hogy a járművek kibocsátása jóval magasabb a megengedettnél. A fedélzeti diagnosztikai rendszerhez mindeddig használt érzékelők felhasználhatók a járművek </w:t>
            </w:r>
            <w:r w:rsidRPr="00E344A0">
              <w:rPr>
                <w:b/>
                <w:i/>
              </w:rPr>
              <w:t>kibocsátási</w:t>
            </w:r>
            <w:r w:rsidRPr="00E344A0">
              <w:t xml:space="preserve"> viselkedésének a fedélzeti ellenőrző rendszeren keresztül történő folyamatos ellenőrzésére és szabályozására is. A fedélzeti ellenőrző rendszer arra is figyelmezteti a használót, hogy szükség esetén végezze el a motor vagy a kibocsátáscsökkentő rendszerek javítását. Ezért helyénvaló előírni egy ilyen rendszer telepítését, és szabályozni annak műszaki előírásait.</w:t>
            </w:r>
          </w:p>
        </w:tc>
        <w:tc>
          <w:tcPr>
            <w:tcW w:w="4876" w:type="dxa"/>
          </w:tcPr>
          <w:p w:rsidR="00FF715E" w:rsidRPr="00E344A0" w:rsidRDefault="00FF715E" w:rsidP="00CD27F0">
            <w:pPr>
              <w:pStyle w:val="Normal6a"/>
            </w:pPr>
            <w:r w:rsidRPr="00E344A0">
              <w:t>(16)</w:t>
            </w:r>
            <w:r w:rsidRPr="00E344A0">
              <w:tab/>
              <w:t xml:space="preserve">Ma már járművekbe beépített érzékelőket használnak a kibocsátással kapcsolatos rendellenességek észlelésére és az ezekkel kapcsolatban szükséges javítások elindítására a fedélzeti diagnosztikai rendszeren keresztül. A jelenleg használatban lévő fedélzeti diagnosztikai rendszer azonban nem észleli pontosan vagy kellő időben a működési hibákat, és nem is </w:t>
            </w:r>
            <w:r w:rsidRPr="00E344A0">
              <w:rPr>
                <w:b/>
                <w:i/>
              </w:rPr>
              <w:t>kezdeményezi</w:t>
            </w:r>
            <w:r w:rsidRPr="00E344A0">
              <w:t xml:space="preserve"> megfelelően és kellő időben a szükséges javításokat. Ennek következtében előfordulhat, hogy a járművek kibocsátása jóval magasabb a megengedettnél. A fedélzeti diagnosztikai rendszerhez mindeddig használt érzékelők felhasználhatók a járművek </w:t>
            </w:r>
            <w:r w:rsidRPr="00E344A0">
              <w:rPr>
                <w:b/>
                <w:i/>
              </w:rPr>
              <w:t>kipufogógáz-kibocsátási</w:t>
            </w:r>
            <w:r w:rsidRPr="00E344A0">
              <w:t xml:space="preserve"> viselkedésének a fedélzeti ellenőrző rendszeren keresztül történő folyamatos ellenőrzésére és szabályozására is. A fedélzeti ellenőrző rendszer arra is figyelmezteti a használót, hogy szükség esetén végezze el a motor vagy a kibocsátáscsökkentő rendszerek javítását. Ezért helyénvaló előírni egy ilyen rendszer telepítését, és szabályozni annak műszaki előírásait. </w:t>
            </w:r>
            <w:r w:rsidRPr="00E344A0">
              <w:rPr>
                <w:b/>
                <w:i/>
              </w:rPr>
              <w:t>Az ilyen rendszerek által alkalmazott használatkorlátozó intézkedések nem vezethetnek a közúti biztonság veszélyeztetéséhez vagy a mobilitás korlátozásához.</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(17)</w:t>
            </w:r>
            <w:r w:rsidRPr="00E344A0">
              <w:tab/>
            </w:r>
            <w:r w:rsidRPr="00E344A0">
              <w:rPr>
                <w:b/>
                <w:i/>
              </w:rPr>
              <w:t xml:space="preserve">A gyártók dönthetnek úgy, hogy olyan járműveket gyártanak, amelyek az e rendeletben előírtnál alacsonyabb kibocsátási határértékeknek felelnek meg vagy jobban teljesítenek az akkumulátor </w:t>
            </w:r>
            <w:r w:rsidRPr="00E344A0">
              <w:rPr>
                <w:b/>
                <w:i/>
              </w:rPr>
              <w:lastRenderedPageBreak/>
              <w:t>tartóssága terén, vagy amelyek speciális funkciókkal rendelkeznek, mint például a virtuális elkerítés és az adaptív szabályozás. A fogyasztók és a nemzeti hatóságok számára lehetővé kell tenni az ilyen járművek megfelelő dokumentációval történő azonosítását.</w:t>
            </w:r>
            <w:r w:rsidRPr="00E344A0">
              <w:t xml:space="preserve"> </w:t>
            </w:r>
            <w:r w:rsidRPr="00E344A0">
              <w:rPr>
                <w:b/>
                <w:i/>
              </w:rPr>
              <w:t>Ezért környezetvédelmi járműútlevelet kell rendelkezésre bocsátani.</w:t>
            </w:r>
          </w:p>
        </w:tc>
        <w:tc>
          <w:tcPr>
            <w:tcW w:w="4876" w:type="dxa"/>
          </w:tcPr>
          <w:p w:rsidR="00FF715E" w:rsidRPr="00E344A0" w:rsidRDefault="00FF715E" w:rsidP="00CD27F0">
            <w:pPr>
              <w:pStyle w:val="Normal6a"/>
            </w:pPr>
            <w:r w:rsidRPr="00E344A0">
              <w:lastRenderedPageBreak/>
              <w:t>(17)</w:t>
            </w:r>
            <w:r w:rsidRPr="00E344A0">
              <w:tab/>
            </w:r>
            <w:r w:rsidRPr="00E344A0">
              <w:rPr>
                <w:b/>
                <w:i/>
              </w:rPr>
              <w:t xml:space="preserve"> </w:t>
            </w:r>
            <w:r w:rsidRPr="00E344A0">
              <w:t xml:space="preserve">A </w:t>
            </w:r>
            <w:r w:rsidRPr="00E344A0">
              <w:rPr>
                <w:b/>
                <w:i/>
              </w:rPr>
              <w:t>fogyasztók számára naprakész környezetvédelmi járműútlevelet kell rendelkezésre bocsátani, amelyből a jármű teljes élettartama alatt naprakész információkhoz juthatnak például</w:t>
            </w:r>
            <w:r w:rsidRPr="00E344A0">
              <w:t xml:space="preserve"> az </w:t>
            </w:r>
            <w:r w:rsidRPr="00E344A0">
              <w:rPr>
                <w:b/>
                <w:i/>
              </w:rPr>
              <w:lastRenderedPageBreak/>
              <w:t>üzemanyag-fogyasztást</w:t>
            </w:r>
            <w:r w:rsidRPr="00E344A0">
              <w:t xml:space="preserve">, </w:t>
            </w:r>
            <w:r w:rsidRPr="00E344A0">
              <w:rPr>
                <w:b/>
                <w:i/>
              </w:rPr>
              <w:t>az akkumulátorok állapotát</w:t>
            </w:r>
            <w:r w:rsidRPr="00E344A0">
              <w:t xml:space="preserve">, a </w:t>
            </w:r>
            <w:r w:rsidRPr="00E344A0">
              <w:rPr>
                <w:b/>
                <w:i/>
              </w:rPr>
              <w:t>kibocsátási határértékeket,</w:t>
            </w:r>
            <w:r w:rsidRPr="00E344A0">
              <w:t xml:space="preserve"> az </w:t>
            </w:r>
            <w:r w:rsidRPr="00E344A0">
              <w:rPr>
                <w:b/>
                <w:i/>
              </w:rPr>
              <w:t>időszakos műszaki ellenőrzések eredményeit</w:t>
            </w:r>
            <w:r w:rsidRPr="00E344A0">
              <w:t xml:space="preserve"> és a </w:t>
            </w:r>
            <w:r w:rsidRPr="00E344A0">
              <w:rPr>
                <w:b/>
                <w:i/>
              </w:rPr>
              <w:t>műszaki adatokat, valamint egyéb releváns információkat illetően</w:t>
            </w:r>
            <w:r w:rsidRPr="00E344A0">
              <w:t>.</w:t>
            </w:r>
            <w:r w:rsidRPr="00E344A0">
              <w:rPr>
                <w:b/>
                <w:i/>
              </w:rPr>
              <w:t xml:space="preserve"> </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22</w:t>
      </w:r>
    </w:p>
    <w:p w:rsidR="00FF715E" w:rsidRPr="00E344A0" w:rsidRDefault="00FF715E" w:rsidP="00FF715E">
      <w:pPr>
        <w:pStyle w:val="NormalBold12b"/>
      </w:pPr>
      <w:r w:rsidRPr="00E344A0">
        <w:t>Rendeletre irányuló javaslat</w:t>
      </w:r>
    </w:p>
    <w:p w:rsidR="00FF715E" w:rsidRPr="00E344A0" w:rsidRDefault="00FF715E" w:rsidP="00FF715E">
      <w:pPr>
        <w:pStyle w:val="NormalBold"/>
      </w:pPr>
      <w:r w:rsidRPr="00E344A0">
        <w:t>18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(18)</w:t>
            </w:r>
            <w:r w:rsidRPr="00E344A0">
              <w:tab/>
            </w:r>
            <w:r w:rsidRPr="00E344A0">
              <w:rPr>
                <w:b/>
                <w:i/>
              </w:rPr>
              <w:t>Abban az esetben, ha a Bizottság javaslatot tesz a kizárólag szén-dioxid-semleges üzemanyaggal működő, a szén-dioxidot kibocsátó gépjárműállományra vonatkozó előírások hatályán kívül eső új könnyű haszongépjárművek 2035 utáni nyilvántartásba vételére, továbbá az uniós joggal és az Unió klímasemlegességi célkitűzésével összhangban e rendeletet módosítani kell annak érdekében, hogy az magában foglalja az ilyen járművek típusjóváhagyásának lehetőségét.</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(19)</w:t>
            </w:r>
            <w:r w:rsidRPr="00E344A0">
              <w:tab/>
              <w:t xml:space="preserve">A kis sorozatú gyártók által értékesített járművekből származó kibocsátások az uniós kibocsátások elenyésző részét teszik ki. Ezért az ilyen gyártókra vonatkozó egyes követelmények tekintetében bizonyos fokú rugalmasság engedélyezhető. A kis sorozatú gyártók számára ezért lehetővé kell tenni, hogy a típusjóváhagyás során bizonyos vizsgálatokat megfelelőségi </w:t>
            </w:r>
            <w:r w:rsidRPr="00E344A0">
              <w:lastRenderedPageBreak/>
              <w:t xml:space="preserve">nyilatkozatokkal helyettesítsenek, míg az ultrakis sorozatú gyártók számára lehetővé kell tenni, hogy </w:t>
            </w:r>
            <w:r w:rsidRPr="00E344A0">
              <w:rPr>
                <w:b/>
                <w:i/>
              </w:rPr>
              <w:t xml:space="preserve">véletlenszerű, </w:t>
            </w:r>
            <w:r w:rsidRPr="00E344A0">
              <w:t>valós vezetési feltételek melletti munkaütemen alapuló laboratóriumi vizsgálatokat alkalmazzanak.</w:t>
            </w:r>
          </w:p>
        </w:tc>
        <w:tc>
          <w:tcPr>
            <w:tcW w:w="4876" w:type="dxa"/>
          </w:tcPr>
          <w:p w:rsidR="00FF715E" w:rsidRPr="00E344A0" w:rsidRDefault="00FF715E" w:rsidP="00CD27F0">
            <w:pPr>
              <w:pStyle w:val="Normal6a"/>
            </w:pPr>
            <w:r w:rsidRPr="00E344A0">
              <w:lastRenderedPageBreak/>
              <w:t>(19)</w:t>
            </w:r>
            <w:r w:rsidRPr="00E344A0">
              <w:tab/>
              <w:t xml:space="preserve">A kis sorozatú gyártók által értékesített járművekből származó kibocsátások az uniós kibocsátások elenyésző részét teszik ki. Ezért az ilyen gyártókra vonatkozó egyes követelmények tekintetében bizonyos fokú rugalmasság engedélyezhető. A kis sorozatú gyártók számára ezért lehetővé kell tenni, hogy a típusjóváhagyás során bizonyos vizsgálatokat megfelelőségi </w:t>
            </w:r>
            <w:r w:rsidRPr="00E344A0">
              <w:lastRenderedPageBreak/>
              <w:t>nyilatkozatokkal helyettesítsenek, míg az ultrakis sorozatú gyártók számára lehetővé kell tenni, hogy valós vezetési feltételek melletti</w:t>
            </w:r>
            <w:r w:rsidRPr="00E344A0">
              <w:rPr>
                <w:b/>
                <w:i/>
              </w:rPr>
              <w:t>, statisztikailag releváns</w:t>
            </w:r>
            <w:r w:rsidRPr="00E344A0">
              <w:t xml:space="preserve"> munkaütemen alapuló laboratóriumi vizsgálatokat alkalmazzanak.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20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(20a)</w:t>
            </w:r>
            <w:r w:rsidRPr="00E344A0">
              <w:tab/>
            </w:r>
            <w:r w:rsidRPr="00E344A0">
              <w:rPr>
                <w:b/>
                <w:i/>
              </w:rPr>
              <w:t>Míg az „állapot” (</w:t>
            </w:r>
            <w:proofErr w:type="spellStart"/>
            <w:r w:rsidRPr="00E344A0">
              <w:rPr>
                <w:b/>
                <w:i/>
              </w:rPr>
              <w:t>State</w:t>
            </w:r>
            <w:proofErr w:type="spellEnd"/>
            <w:r w:rsidRPr="00E344A0">
              <w:rPr>
                <w:b/>
                <w:i/>
              </w:rPr>
              <w:t xml:space="preserve"> of Health, SOH) kifejezés általában az akkumulátornak az élettartama egy adott pontján fennálló állapotára utal, erre a fogalomra nem létezik általános meghatározás, és azt különféle módszerekkel határozzák meg, mégpedig a „hitelesített energia állapota” (</w:t>
            </w:r>
            <w:proofErr w:type="spellStart"/>
            <w:r w:rsidRPr="00E344A0">
              <w:rPr>
                <w:b/>
                <w:i/>
              </w:rPr>
              <w:t>State</w:t>
            </w:r>
            <w:proofErr w:type="spellEnd"/>
            <w:r w:rsidRPr="00E344A0">
              <w:rPr>
                <w:b/>
                <w:i/>
              </w:rPr>
              <w:t xml:space="preserve"> of </w:t>
            </w:r>
            <w:proofErr w:type="spellStart"/>
            <w:r w:rsidRPr="00E344A0">
              <w:rPr>
                <w:b/>
                <w:i/>
              </w:rPr>
              <w:t>Certified</w:t>
            </w:r>
            <w:proofErr w:type="spellEnd"/>
            <w:r w:rsidRPr="00E344A0">
              <w:rPr>
                <w:b/>
                <w:i/>
              </w:rPr>
              <w:t xml:space="preserve"> </w:t>
            </w:r>
            <w:proofErr w:type="spellStart"/>
            <w:r w:rsidRPr="00E344A0">
              <w:rPr>
                <w:b/>
                <w:i/>
              </w:rPr>
              <w:t>Energy</w:t>
            </w:r>
            <w:proofErr w:type="spellEnd"/>
            <w:r w:rsidRPr="00E344A0">
              <w:rPr>
                <w:b/>
                <w:i/>
              </w:rPr>
              <w:t>, SOCE) és a „hitelesített tartomány állapota” (</w:t>
            </w:r>
            <w:proofErr w:type="spellStart"/>
            <w:r w:rsidRPr="00E344A0">
              <w:rPr>
                <w:b/>
                <w:i/>
              </w:rPr>
              <w:t>State</w:t>
            </w:r>
            <w:proofErr w:type="spellEnd"/>
            <w:r w:rsidRPr="00E344A0">
              <w:rPr>
                <w:b/>
                <w:i/>
              </w:rPr>
              <w:t xml:space="preserve"> of </w:t>
            </w:r>
            <w:proofErr w:type="spellStart"/>
            <w:r w:rsidRPr="00E344A0">
              <w:rPr>
                <w:b/>
                <w:i/>
              </w:rPr>
              <w:t>Certified</w:t>
            </w:r>
            <w:proofErr w:type="spellEnd"/>
            <w:r w:rsidRPr="00E344A0">
              <w:rPr>
                <w:b/>
                <w:i/>
              </w:rPr>
              <w:t xml:space="preserve"> </w:t>
            </w:r>
            <w:proofErr w:type="spellStart"/>
            <w:r w:rsidRPr="00E344A0">
              <w:rPr>
                <w:b/>
                <w:i/>
              </w:rPr>
              <w:t>Range</w:t>
            </w:r>
            <w:proofErr w:type="spellEnd"/>
            <w:r w:rsidRPr="00E344A0">
              <w:rPr>
                <w:b/>
                <w:i/>
              </w:rPr>
              <w:t>, SOCR) segítségével. Mindkét mérőszám a hitelesített akkumulátorenergia vagy elektromos hatótávolság adott időpontban fennmaradó százalékát fejezi ki.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21 preambulumbekezdés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(21)</w:t>
            </w:r>
            <w:r w:rsidRPr="00E344A0">
              <w:tab/>
            </w:r>
            <w:r w:rsidRPr="00E344A0">
              <w:rPr>
                <w:b/>
                <w:i/>
              </w:rPr>
              <w:t>E</w:t>
            </w:r>
            <w:r w:rsidRPr="00E344A0">
              <w:t xml:space="preserve"> rendelet egységes </w:t>
            </w:r>
            <w:r w:rsidRPr="00E344A0">
              <w:rPr>
                <w:b/>
                <w:i/>
              </w:rPr>
              <w:t>feltételek mellett történő végrehajtásának biztosítása</w:t>
            </w:r>
            <w:r w:rsidRPr="00E344A0">
              <w:t xml:space="preserve"> érdekében a Bizottságot végrehajtási hatáskörökkel</w:t>
            </w:r>
            <w:r w:rsidRPr="00E344A0">
              <w:rPr>
                <w:b/>
                <w:i/>
              </w:rPr>
              <w:t xml:space="preserve"> kell felruházni</w:t>
            </w:r>
            <w:r w:rsidRPr="00E344A0">
              <w:t xml:space="preserve"> a következők tekintetében: a gyártóknak a típusjóváhagyás részeként fennálló kötelezettségei, valamint a megfelelőségi nyilatkozatra, a gyártás megfelelőségének ellenőrzésére, a használat közbeni </w:t>
            </w:r>
            <w:r w:rsidRPr="00E344A0">
              <w:lastRenderedPageBreak/>
              <w:t>megfelelőség ellenőrzésére és a környezetvédelmi járműútlevélre alkalmazandó eljárások, vizsgálatok és módszerek; a járművek opciói</w:t>
            </w:r>
            <w:r w:rsidRPr="00E344A0">
              <w:rPr>
                <w:b/>
                <w:i/>
              </w:rPr>
              <w:t xml:space="preserve"> és megjelölései</w:t>
            </w:r>
            <w:r w:rsidRPr="00E344A0">
              <w:t xml:space="preserve">; a járművek, rendszerek, alkotóelemek és önálló műszaki egységek tartósságával, valamint a fedélzeti ellenőrző rendszerek nyilvántartásba vételi és kommunikációs képességeivel kapcsolatos követelmények, vizsgálatok, módszerek és korrekciós intézkedések, beleértve azokat is, amelyek időszakos műszaki vizsgálatok és műszaki ellenőrzések céljára szolgálnak; a többlépcsős előállítású </w:t>
            </w:r>
            <w:r w:rsidRPr="00E344A0">
              <w:rPr>
                <w:b/>
                <w:i/>
              </w:rPr>
              <w:t>járművek gyártóira</w:t>
            </w:r>
            <w:r w:rsidRPr="00E344A0">
              <w:t xml:space="preserve"> vonatkozó követelmények és az </w:t>
            </w:r>
            <w:r w:rsidRPr="00E344A0">
              <w:rPr>
                <w:b/>
                <w:i/>
              </w:rPr>
              <w:t>általuk</w:t>
            </w:r>
            <w:r w:rsidRPr="00E344A0">
              <w:t xml:space="preserve"> szolgáltatandó információk, valamint az ilyen többlépcsős előállítású járművek CO</w:t>
            </w:r>
            <w:r w:rsidRPr="00E344A0">
              <w:rPr>
                <w:vertAlign w:val="subscript"/>
              </w:rPr>
              <w:t>2</w:t>
            </w:r>
            <w:r w:rsidRPr="00E344A0">
              <w:t>-értékének meghatározására szolgáló eljárások; a kibocsátási típusjóváhagyásra, az ellenőrzésekre és vizsgálatokra, valamint a piacfelügyeleti ellenőrzésekre vonatkozó műszaki elemek, igazgatási és dokumentációs követelmények, továbbá jelentéstételi kötelezettségek, a járművek használat közbeni megfelelőségének és a gyártás megfelelőségének ellenőrzése; módszerek és vizsgálatok i. a kipufogógáz-eredetű kibocsátás laboratóriumban és közúton történő mérésére, beleértve a véletlenszerű</w:t>
            </w:r>
            <w:r w:rsidRPr="00E344A0">
              <w:rPr>
                <w:b/>
                <w:i/>
              </w:rPr>
              <w:t xml:space="preserve"> és a legkedvezőtlenebb</w:t>
            </w:r>
            <w:r w:rsidRPr="00E344A0">
              <w:t xml:space="preserve"> valós vezetési feltételek melletti kibocsátás vizsgálati ciklusait, hordozható kibocsátásmérő rendszerek használatát a valós vezetési feltételek melletti kibocsátások és az alapjárati kibocsátások ellenőrzésére, ii. a gépjármű CO</w:t>
            </w:r>
            <w:r w:rsidRPr="00E344A0">
              <w:rPr>
                <w:vertAlign w:val="subscript"/>
              </w:rPr>
              <w:t>2</w:t>
            </w:r>
            <w:r w:rsidRPr="00E344A0">
              <w:t>-kibocsátásának, üzemanyag- és energiafogyasztásának, elektromos hatótávolságának és motorteljesítményének meghatározására, iii. a sebességváltás-jelzőre (GSI) vonatkozó előírások meghatározására; az O</w:t>
            </w:r>
            <w:r w:rsidRPr="00E344A0">
              <w:rPr>
                <w:vertAlign w:val="subscript"/>
              </w:rPr>
              <w:t>3</w:t>
            </w:r>
            <w:r w:rsidRPr="00E344A0">
              <w:t>, O</w:t>
            </w:r>
            <w:r w:rsidRPr="00E344A0">
              <w:rPr>
                <w:vertAlign w:val="subscript"/>
              </w:rPr>
              <w:t>4</w:t>
            </w:r>
            <w:r w:rsidRPr="00E344A0">
              <w:t xml:space="preserve"> kategóriájú pótkocsik CO</w:t>
            </w:r>
            <w:r w:rsidRPr="00E344A0">
              <w:rPr>
                <w:vertAlign w:val="subscript"/>
              </w:rPr>
              <w:t>2</w:t>
            </w:r>
            <w:r w:rsidRPr="00E344A0">
              <w:t xml:space="preserve">-kibocsátásra, üzemanyag- és energiafogyasztásra, elektromos hatótávolságra és motorteljesítményre gyakorolt hatásának meghatározására, iv. a forgattyúsházból származó kibocsátások, a párolgási kibocsátások, valamint a fékek kibocsátásának mérésére, v. az </w:t>
            </w:r>
            <w:r w:rsidRPr="00E344A0">
              <w:lastRenderedPageBreak/>
              <w:t xml:space="preserve">akkumulátor tartóssága tekintetében meghatározott teljesítőképességi minimumkövetelményeknek való megfelelés értékelésére, vi. a motorok és járművek használat közbeni megfelelőségének értékelésére; megfelelési küszöbértékek és teljesítőképességi követelmények, valamint vii. </w:t>
            </w:r>
            <w:r w:rsidRPr="00E344A0">
              <w:rPr>
                <w:b/>
                <w:i/>
              </w:rPr>
              <w:t>az érzékelők (</w:t>
            </w:r>
            <w:r w:rsidRPr="00E344A0">
              <w:t>fedélzeti diagnosztikai és fedélzeti ellenőrző rendszer</w:t>
            </w:r>
            <w:r w:rsidRPr="00E344A0">
              <w:rPr>
                <w:b/>
                <w:i/>
              </w:rPr>
              <w:t>)</w:t>
            </w:r>
            <w:r w:rsidRPr="00E344A0">
              <w:t xml:space="preserve"> teljesítőképességét biztosító vizsgálatok és módszerek; viii. a biztonsági intézkedések biztosítására és értékelésére szolgáló módszerek; a járművezetőt figyelmeztető rendszerek és használatkorlátozó rendszerek specifikációja és jellemzői, valamint a helyes működésük értékelésére szolgáló módszerek; ix. az eredeti kibocsátáscsökkentő rendszer és a kibocsátáscsökkentő pótrendszer helyes működésének, hatékonyságának, regenerálásának és tartósságának értékelésére szolgáló módszerek; x. a biztonsági intézkedések biztosítására és értékelésére szolgáló módszerek, beleértve a sebezhetőség elemzését és a manipulálás elleni védelmet; </w:t>
            </w:r>
            <w:r w:rsidRPr="00E344A0">
              <w:rPr>
                <w:b/>
                <w:i/>
              </w:rPr>
              <w:t>xi. az egyes EURO 7 szerinti megjelölések alatt jóváhagyott típusok helyes működésének értékelésére szolgáló módszerek; xii</w:t>
            </w:r>
            <w:r w:rsidRPr="00E344A0">
              <w:t xml:space="preserve"> a kibocsátási típusjóváhagyásra vonatkozó kritériumok a kis és ultrakis sorozatú gyártók esetében; xiii. a többlépcsős előállítású járművekre vonatkozó ellenőrzések és vizsgálati eljárások; xiv. a vizsgálóberendezés teljesítőképességére vonatkozó követelmények; xv. a referencia-üzemanyagokra vonatkozó műszaki előírások; valamint xvi. a hatástalanító berendezések és a hatástalanító stratégiák hiányának értékelésére szolgáló módszerek; xvii. a gumiabroncskopás mérésére szolgáló módszerek, továbbá xviii. a környezetvédelmi járműútlevél formátuma, adatai és a környezetvédelmi járműútlevélben szereplő adatok továbbításának módja. </w:t>
            </w:r>
            <w:r w:rsidRPr="00E344A0">
              <w:rPr>
                <w:b/>
                <w:i/>
              </w:rPr>
              <w:t>Ezeket a végrehajtási hatásköröket a 182/2011/EU európai parlamenti és tanácsi rendeletnek</w:t>
            </w:r>
            <w:r w:rsidRPr="00E344A0">
              <w:rPr>
                <w:b/>
                <w:i/>
                <w:vertAlign w:val="superscript"/>
              </w:rPr>
              <w:t>50</w:t>
            </w:r>
            <w:r w:rsidRPr="00E344A0">
              <w:rPr>
                <w:b/>
                <w:i/>
              </w:rPr>
              <w:t xml:space="preserve"> megfelelően kell gyakorolni.</w:t>
            </w:r>
          </w:p>
        </w:tc>
        <w:tc>
          <w:tcPr>
            <w:tcW w:w="4876" w:type="dxa"/>
          </w:tcPr>
          <w:p w:rsidR="00FF715E" w:rsidRPr="00E344A0" w:rsidRDefault="00FF715E" w:rsidP="00CD27F0">
            <w:pPr>
              <w:pStyle w:val="Normal6a"/>
            </w:pPr>
            <w:r w:rsidRPr="00E344A0">
              <w:lastRenderedPageBreak/>
              <w:t>(21)</w:t>
            </w:r>
            <w:r w:rsidRPr="00E344A0">
              <w:tab/>
            </w:r>
            <w:r w:rsidRPr="00E344A0">
              <w:rPr>
                <w:b/>
                <w:i/>
              </w:rPr>
              <w:t>Ezen</w:t>
            </w:r>
            <w:r w:rsidRPr="00E344A0">
              <w:t xml:space="preserve"> rendelet </w:t>
            </w:r>
            <w:r w:rsidRPr="00E344A0">
              <w:rPr>
                <w:b/>
                <w:i/>
              </w:rPr>
              <w:t xml:space="preserve">végrehajtása </w:t>
            </w:r>
            <w:r w:rsidRPr="00E344A0">
              <w:t xml:space="preserve">egységes </w:t>
            </w:r>
            <w:r w:rsidRPr="00E344A0">
              <w:rPr>
                <w:b/>
                <w:i/>
              </w:rPr>
              <w:t>feltételeinek biztosítása és annak kiegészítése</w:t>
            </w:r>
            <w:r w:rsidRPr="00E344A0">
              <w:t xml:space="preserve"> érdekében a Bizottságot </w:t>
            </w:r>
            <w:r w:rsidRPr="00E344A0">
              <w:rPr>
                <w:b/>
                <w:i/>
              </w:rPr>
              <w:t xml:space="preserve">egyaránt fel kell ruházni a 182/2011/EU rendeletnek megfelelően </w:t>
            </w:r>
            <w:r w:rsidRPr="00E344A0">
              <w:t>végrehajtási hatáskörökkel</w:t>
            </w:r>
            <w:r w:rsidRPr="00E344A0">
              <w:rPr>
                <w:b/>
                <w:i/>
              </w:rPr>
              <w:t xml:space="preserve">, valamint az Európai Unió működéséről szóló szerződés 290 cikkének megfelelően felhatalmazáson alapuló jogi aktusok elfogadására vonatkozó </w:t>
            </w:r>
            <w:r w:rsidRPr="00E344A0">
              <w:rPr>
                <w:b/>
                <w:i/>
              </w:rPr>
              <w:lastRenderedPageBreak/>
              <w:t>hatáskörrel</w:t>
            </w:r>
            <w:r w:rsidRPr="00E344A0">
              <w:t xml:space="preserve"> a következők tekintetében: a gyártóknak a típusjóváhagyás részeként fennálló kötelezettségei, valamint a megfelelőségi nyilatkozatra, a gyártás megfelelőségének ellenőrzésére, a használat közbeni megfelelőség ellenőrzésére és a környezetvédelmi járműútlevélre alkalmazandó eljárások, vizsgálatok és módszerek; a járművek opciói; a járművek, rendszerek, alkotóelemek és önálló műszaki egységek tartósságával, valamint a fedélzeti ellenőrző rendszerek nyilvántartásba vételi és kommunikációs képességeivel kapcsolatos követelmények, vizsgálatok, módszerek és korrekciós intézkedések, beleértve azokat is, amelyek időszakos műszaki vizsgálatok és műszaki ellenőrzések céljára szolgálnak; a többlépcsős előállítású </w:t>
            </w:r>
            <w:r w:rsidRPr="00E344A0">
              <w:rPr>
                <w:b/>
                <w:i/>
              </w:rPr>
              <w:t>járművekre</w:t>
            </w:r>
            <w:r w:rsidRPr="00E344A0">
              <w:t xml:space="preserve"> vonatkozó követelmények és az </w:t>
            </w:r>
            <w:r w:rsidRPr="00E344A0">
              <w:rPr>
                <w:b/>
                <w:i/>
              </w:rPr>
              <w:t>azokkal kapcsolatban</w:t>
            </w:r>
            <w:r w:rsidRPr="00E344A0">
              <w:t xml:space="preserve"> szolgáltatandó információk, valamint az ilyen többlépcsős előállítású járművek CO</w:t>
            </w:r>
            <w:r w:rsidRPr="00E344A0">
              <w:rPr>
                <w:vertAlign w:val="subscript"/>
              </w:rPr>
              <w:t>2</w:t>
            </w:r>
            <w:r w:rsidRPr="00E344A0">
              <w:t>-értékének meghatározására szolgáló eljárások; a kibocsátási típusjóváhagyásra, az ellenőrzésekre és vizsgálatokra, valamint a piacfelügyeleti ellenőrzésekre vonatkozó műszaki elemek, igazgatási és dokumentációs követelmények, továbbá jelentéstételi kötelezettségek, a járművek használat közbeni megfelelőségének és a gyártás megfelelőségének ellenőrzése; módszerek és vizsgálatok i. a kipufogógáz-eredetű kibocsátás laboratóriumban és közúton történő mérésére, beleértve a véletlenszerű</w:t>
            </w:r>
            <w:r w:rsidRPr="00E344A0">
              <w:rPr>
                <w:b/>
                <w:i/>
              </w:rPr>
              <w:t>, de statisztikailag releváns,</w:t>
            </w:r>
            <w:r w:rsidRPr="00E344A0">
              <w:t xml:space="preserve"> valós vezetési feltételek melletti kibocsátás vizsgálati ciklusait, hordozható kibocsátásmérő rendszerek használatát a valós vezetési feltételek melletti kibocsátások és az alapjárati kibocsátások ellenőrzésére, ii. a gépjármű CO2-kibocsátásának, üzemanyag- és energiafogyasztásának, elektromos hatótávolságának és motorteljesítményének meghatározására, iii. a sebességváltás-jelzőre (GSI) vonatkozó előírások meghatározására; az O</w:t>
            </w:r>
            <w:r w:rsidRPr="00E344A0">
              <w:rPr>
                <w:vertAlign w:val="subscript"/>
              </w:rPr>
              <w:t>3</w:t>
            </w:r>
            <w:r w:rsidRPr="00E344A0">
              <w:t>, O</w:t>
            </w:r>
            <w:r w:rsidRPr="00E344A0">
              <w:rPr>
                <w:vertAlign w:val="subscript"/>
              </w:rPr>
              <w:t>4</w:t>
            </w:r>
            <w:r w:rsidRPr="00E344A0">
              <w:t xml:space="preserve"> kategóriájú pótkocsik CO2-kibocsátásra, üzemanyag- és </w:t>
            </w:r>
            <w:r w:rsidRPr="00E344A0">
              <w:lastRenderedPageBreak/>
              <w:t xml:space="preserve">energiafogyasztásra, elektromos hatótávolságra és motorteljesítményre gyakorolt hatásának meghatározására, iv. a forgattyúsházból származó kibocsátások, a párolgási kibocsátások, valamint a fékek kibocsátásának mérésére, v. az akkumulátor tartóssága tekintetében meghatározott teljesítőképességi minimumkövetelményeknek való megfelelés értékelésére, vi. a motorok és járművek használat közbeni megfelelőségének értékelésére; megfelelési küszöbértékek és teljesítőképességi követelmények, valamint vii. </w:t>
            </w:r>
            <w:r w:rsidRPr="00E344A0">
              <w:rPr>
                <w:b/>
                <w:i/>
              </w:rPr>
              <w:t>a </w:t>
            </w:r>
            <w:r w:rsidRPr="00E344A0">
              <w:t>fedélzeti diagnosztikai és fedélzeti ellenőrző rendszer</w:t>
            </w:r>
            <w:r w:rsidRPr="00E344A0">
              <w:rPr>
                <w:b/>
                <w:i/>
              </w:rPr>
              <w:t xml:space="preserve"> érzékelőinek</w:t>
            </w:r>
            <w:r w:rsidRPr="00E344A0">
              <w:t xml:space="preserve"> teljesítőképességét biztosító vizsgálatok és módszerek; viii. a biztonsági intézkedések biztosítására és értékelésére szolgáló módszerek; a járművezetőt figyelmeztető rendszerek és használatkorlátozó rendszerek specifikációja és jellemzői, valamint a helyes működésük értékelésére szolgáló módszerek; ix. az eredeti kibocsátáscsökkentő rendszer és a kibocsátáscsökkentő pótrendszer helyes működésének, hatékonyságának, regenerálásának és tartósságának értékelésére szolgáló módszerek; x. a biztonsági intézkedések biztosítására és értékelésére szolgáló módszerek, beleértve a sebezhetőség elemzését és a manipulálás elleni védelmet; xii. a kibocsátási típusjóváhagyásra vonatkozó kritériumok a kis és ultrakis sorozatú gyártók esetében; xiii. a többlépcsős előállítású járművekre vonatkozó ellenőrzések és vizsgálati eljárások; xiv. a vizsgálóberendezés teljesítőképességére vonatkozó követelmények; xv. a referencia-üzemanyagokra vonatkozó műszaki előírások; valamint xvi. a hatástalanító berendezések és a hatástalanító stratégiák hiányának értékelésére szolgáló módszerek; xvii. a gumiabroncskopás mérésére szolgáló módszerek, továbbá xviii. a környezetvédelmi járműútlevél formátuma, adatai és a környezetvédelmi járműútlevélben szereplő adatok továbbításának módja.</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(22)</w:t>
            </w:r>
            <w:r w:rsidRPr="00E344A0">
              <w:tab/>
              <w:t xml:space="preserve">E rendelet nem alapvető fontosságú elemeinek módosítása vagy kiegészítése érdekében a Bizottságot fel kell hatalmazni arra, hogy az Európai Unió működéséről szóló szerződés 290. cikkének megfelelően jogi aktusokat fogadjon el a következők tekintetében: az Euro 7 szerinti járművek, fékek vagy gumiabroncsok vizsgálata során gyűjtött adatokon alapuló vizsgálati feltételek; vizsgálati követelmények, különös figyelmet fordítva a műszaki fejlődésre és az Euro 7 szerinti járművek vizsgálata során gyűjtött adatokra; </w:t>
            </w:r>
            <w:r w:rsidRPr="00E344A0">
              <w:rPr>
                <w:b/>
                <w:i/>
              </w:rPr>
              <w:t xml:space="preserve">innovatív technológiákon alapuló járműopciók és -megjelölések bevezetése a gyártók számára, ugyanakkor pedig </w:t>
            </w:r>
            <w:r w:rsidRPr="00E344A0">
              <w:t>a fékrészecske-kibocsátási határértékeknek és gumiabroncstípusok kopási határértékeinek, valamint az akkumulátorok teljesítőképességére vonatkozó minimumkövetelményeknek és a tartóssági szorzóknak a meghatározása az Euro 7 szerinti járművek vizsgálata során gyűjtött adatokon alapján, továbbá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N</w:t>
            </w:r>
            <w:r w:rsidRPr="00E344A0">
              <w:rPr>
                <w:vertAlign w:val="subscript"/>
              </w:rPr>
              <w:t>3</w:t>
            </w:r>
            <w:r w:rsidRPr="00E344A0">
              <w:t xml:space="preserve"> kategóriájú járművek kis sorozatú gyártóira vonatkozó </w:t>
            </w:r>
            <w:r w:rsidRPr="00E344A0">
              <w:rPr>
                <w:b/>
                <w:i/>
              </w:rPr>
              <w:t xml:space="preserve">fogalommeghatározások és </w:t>
            </w:r>
            <w:r w:rsidRPr="00E344A0">
              <w:t xml:space="preserve">különleges szabályok meghatározása. Különösen fontos, hogy a Bizottság az előkészítő munkája során megfelelő konzultációkat folytasson, többek között szakértői szinten is, és hogy </w:t>
            </w:r>
            <w:r w:rsidRPr="00E344A0">
              <w:rPr>
                <w:b/>
                <w:i/>
              </w:rPr>
              <w:t>ezekre a</w:t>
            </w:r>
            <w:r w:rsidRPr="00E344A0">
              <w:t xml:space="preserve"> konzultációkra a jogalkotás minőségének javításáról szóló, 2016. április 13-i intézményközi megállapodásban</w:t>
            </w:r>
            <w:r w:rsidRPr="00E344A0">
              <w:rPr>
                <w:vertAlign w:val="superscript"/>
              </w:rPr>
              <w:t>51</w:t>
            </w:r>
            <w:r w:rsidRPr="00E344A0">
              <w:t xml:space="preserve"> </w:t>
            </w:r>
            <w:r w:rsidRPr="00E344A0">
              <w:rPr>
                <w:b/>
                <w:i/>
              </w:rPr>
              <w:t>foglalt</w:t>
            </w:r>
            <w:r w:rsidRPr="00E344A0">
              <w:t xml:space="preserve"> elvekkel összhangban kerüljön sor. A felhatalmazáson alapuló jogi aktusok előkészítésében való egyenlő részvétel biztosítása érdekében az Európai Parlament és a Tanács a tagállamok szakértőivel egyidejűleg </w:t>
            </w:r>
            <w:r w:rsidRPr="00E344A0">
              <w:rPr>
                <w:b/>
                <w:i/>
              </w:rPr>
              <w:t xml:space="preserve">kézhez </w:t>
            </w:r>
            <w:r w:rsidRPr="00E344A0">
              <w:t xml:space="preserve">kap minden </w:t>
            </w:r>
            <w:r w:rsidRPr="00E344A0">
              <w:lastRenderedPageBreak/>
              <w:t xml:space="preserve">dokumentumot, és szakértőik rendszeresen részt vehetnek a felhatalmazáson alapuló jogi aktusok előkészítésével foglalkozó </w:t>
            </w:r>
            <w:r w:rsidRPr="00E344A0">
              <w:rPr>
                <w:b/>
                <w:i/>
              </w:rPr>
              <w:t xml:space="preserve">bizottsági </w:t>
            </w:r>
            <w:r w:rsidRPr="00E344A0">
              <w:t xml:space="preserve">szakértői </w:t>
            </w:r>
            <w:r w:rsidRPr="00E344A0">
              <w:rPr>
                <w:b/>
                <w:i/>
              </w:rPr>
              <w:t>csoportok</w:t>
            </w:r>
            <w:r w:rsidRPr="00E344A0">
              <w:t xml:space="preserve"> ülésein.</w:t>
            </w:r>
          </w:p>
        </w:tc>
        <w:tc>
          <w:tcPr>
            <w:tcW w:w="4876" w:type="dxa"/>
          </w:tcPr>
          <w:p w:rsidR="00FF715E" w:rsidRPr="00E344A0" w:rsidRDefault="00FF715E" w:rsidP="00CD27F0">
            <w:pPr>
              <w:pStyle w:val="Normal6a"/>
            </w:pPr>
            <w:r w:rsidRPr="00E344A0">
              <w:lastRenderedPageBreak/>
              <w:t>(22)</w:t>
            </w:r>
            <w:r w:rsidRPr="00E344A0">
              <w:tab/>
              <w:t>E rendelet nem alapvető fontosságú elemeinek módosítása vagy kiegészítése érdekében a Bizottságot fel kell hatalmazni arra, hogy az Európai Unió működéséről szóló szerződés 290. cikkének megfelelően jogi aktusokat fogadjon el a következők tekintetében: az Euro 7 szerinti járművek, fékek vagy gumiabroncsok vizsgálata során gyűjtött adatokon alapuló vizsgálati feltételek; vizsgálati követelmények, különös figyelmet fordítva a műszaki fejlődésre és az Euro 7 szerinti járművek vizsgálata során gyűjtött adatokra; a fékrészecske-kibocsátási határértékeknek és gumiabroncstípusok kopási határértékeinek, valamint az akkumulátorok teljesítőképességére vonatkozó minimumkövetelményeknek és a tartóssági szorzóknak a meghatározása az Euro 7 szerinti járművek vizsgálata során gyűjtött adatokon alapján, továbbá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N</w:t>
            </w:r>
            <w:r w:rsidRPr="00E344A0">
              <w:rPr>
                <w:vertAlign w:val="subscript"/>
              </w:rPr>
              <w:t>3</w:t>
            </w:r>
            <w:r w:rsidRPr="00E344A0">
              <w:t xml:space="preserve"> kategóriájú járművek kis sorozatú gyártóira vonatkozó különleges szabályok meghatározása. Különösen fontos, hogy a Bizottság az előkészítő munkája során megfelelő konzultációkat folytasson, többek között szakértői szinten is, és hogy </w:t>
            </w:r>
            <w:r w:rsidRPr="00E344A0">
              <w:rPr>
                <w:b/>
                <w:i/>
              </w:rPr>
              <w:t>e</w:t>
            </w:r>
            <w:r w:rsidRPr="00E344A0">
              <w:t xml:space="preserve"> konzultációkra a jogalkotás minőségének javításáról szóló, 2016. április 13-i intézményközi megállapodásban</w:t>
            </w:r>
            <w:r w:rsidRPr="00E344A0">
              <w:rPr>
                <w:vertAlign w:val="superscript"/>
              </w:rPr>
              <w:t>51</w:t>
            </w:r>
            <w:r w:rsidRPr="00E344A0">
              <w:t xml:space="preserve"> </w:t>
            </w:r>
            <w:r w:rsidRPr="00E344A0">
              <w:rPr>
                <w:b/>
                <w:i/>
              </w:rPr>
              <w:t>megállapított</w:t>
            </w:r>
            <w:r w:rsidRPr="00E344A0">
              <w:t xml:space="preserve"> elvekkel összhangban kerüljön sor. </w:t>
            </w:r>
            <w:r w:rsidRPr="00E344A0">
              <w:rPr>
                <w:b/>
                <w:i/>
              </w:rPr>
              <w:t xml:space="preserve">Így különösen </w:t>
            </w:r>
            <w:r w:rsidRPr="00E344A0">
              <w:t>a felhatalmazáson alapuló jogi aktusok előkészítésében való egyenlő részvétel biztosítása érdekében az Európai Parlament és a Tanács a tagállamok szakértőivel egyidejűleg kap</w:t>
            </w:r>
            <w:r w:rsidRPr="00E344A0">
              <w:rPr>
                <w:b/>
                <w:i/>
              </w:rPr>
              <w:t xml:space="preserve"> kézhez</w:t>
            </w:r>
            <w:r w:rsidRPr="00E344A0">
              <w:t xml:space="preserve"> minden dokumentumot, és szakértőik rendszeresen részt vehetnek a </w:t>
            </w:r>
            <w:r w:rsidRPr="00E344A0">
              <w:rPr>
                <w:b/>
                <w:i/>
              </w:rPr>
              <w:t xml:space="preserve">Bizottság </w:t>
            </w:r>
            <w:r w:rsidRPr="00E344A0">
              <w:t xml:space="preserve">felhatalmazáson alapuló jogi aktusok előkészítésével </w:t>
            </w:r>
            <w:r w:rsidRPr="00E344A0">
              <w:lastRenderedPageBreak/>
              <w:t xml:space="preserve">foglalkozó szakértői </w:t>
            </w:r>
            <w:r w:rsidRPr="00E344A0">
              <w:rPr>
                <w:b/>
                <w:i/>
              </w:rPr>
              <w:t>csoportjainak</w:t>
            </w:r>
            <w:r w:rsidRPr="00E344A0">
              <w:t xml:space="preserve"> ülésein.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22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(22a)</w:t>
            </w:r>
            <w:r w:rsidRPr="00E344A0">
              <w:tab/>
            </w:r>
            <w:r w:rsidRPr="00E344A0">
              <w:rPr>
                <w:b/>
                <w:i/>
              </w:rPr>
              <w:t>Az Unió aláírója az ENSZ Európai Gazdasági Bizottsága (ENSZ-EGB) 1958. március 20-án létrejött megállapodásának. E megállapodás tárgya a kerekes járművekre, valamint az azokra felszerelhető és/vagy azokon használható berendezésekre és felszerelésekre vonatkozó műszaki előírások egységesítése. Megállapítja továbbá az ezen előírások alapján kibocsátott jóváhagyások kölcsönös elismerésének feltételeit is. Az e rendeletben meghatározott követelményeknek adott esetben összhangban kell lenniük az ENSZ-EGB-előírásokban vagy – amennyiben rendelkezésre állnak – az e rendelet bármely későbbi módosításában meghatározott előírásokkal, különösen a fékrészecske-kibocsátási határértékek, a gumiabroncstípusok kopási határértékei, valamint az akkumulátorokra vonatkozó minimális teljesítménykövetelmények meghatározása tekintetében.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(25)</w:t>
            </w:r>
            <w:r w:rsidRPr="00E344A0">
              <w:tab/>
              <w:t xml:space="preserve">Fontos, hogy a tagállamok, a nemzeti típusjóváhagyó hatóságok és a gazdasági </w:t>
            </w:r>
            <w:r w:rsidRPr="00E344A0">
              <w:lastRenderedPageBreak/>
              <w:t>szereplők elegendő időt kapjanak az e rendelet által bevezetett új szabályok alkalmazására való felkészülésre. A rendelet alkalmazásának kezdőnapját ezért el kell halasztani. Míg a könnyű haszongépjárművek esetében az alkalmazás kezdőnapját úgy kell meghatározni, hogy arra sor kerüljön amint az technikailag lehetséges, a nehézgépjárművek és a pótkocsik esetében az alkalmazás kezdőnapja</w:t>
            </w:r>
            <w:r w:rsidRPr="00E344A0">
              <w:rPr>
                <w:b/>
                <w:i/>
              </w:rPr>
              <w:t xml:space="preserve"> további két évvel</w:t>
            </w:r>
            <w:r w:rsidRPr="00E344A0">
              <w:t xml:space="preserve"> elhalasztható, mivel a nehézgépjárművek esetében hosszabb lesz a kibocsátásmentes járművekre való átállás.</w:t>
            </w:r>
          </w:p>
        </w:tc>
        <w:tc>
          <w:tcPr>
            <w:tcW w:w="4876" w:type="dxa"/>
          </w:tcPr>
          <w:p w:rsidR="00FF715E" w:rsidRPr="00E344A0" w:rsidRDefault="00FF715E" w:rsidP="00CD27F0">
            <w:pPr>
              <w:pStyle w:val="Normal6a"/>
            </w:pPr>
            <w:r w:rsidRPr="00E344A0">
              <w:lastRenderedPageBreak/>
              <w:t>(25)</w:t>
            </w:r>
            <w:r w:rsidRPr="00E344A0">
              <w:tab/>
              <w:t xml:space="preserve">Fontos, hogy a tagállamok, a nemzeti típusjóváhagyó hatóságok és a gazdasági </w:t>
            </w:r>
            <w:r w:rsidRPr="00E344A0">
              <w:lastRenderedPageBreak/>
              <w:t xml:space="preserve">szereplők elegendő időt kapjanak az e rendelet </w:t>
            </w:r>
            <w:r w:rsidRPr="00E344A0">
              <w:rPr>
                <w:b/>
                <w:i/>
              </w:rPr>
              <w:t xml:space="preserve">és annak másodlagos jogszabályai </w:t>
            </w:r>
            <w:r w:rsidRPr="00E344A0">
              <w:t>által bevezetett új szabályok alkalmazására való felkészülésre. A rendelet alkalmazásának kezdőnapját ezért el kell halasztani. Míg a könnyű haszongépjárművek esetében az alkalmazás kezdőnapját úgy kell meghatározni, hogy arra sor kerüljön</w:t>
            </w:r>
            <w:r w:rsidRPr="00E344A0">
              <w:rPr>
                <w:b/>
                <w:i/>
              </w:rPr>
              <w:t>,</w:t>
            </w:r>
            <w:r w:rsidRPr="00E344A0">
              <w:t xml:space="preserve"> amint az technikailag</w:t>
            </w:r>
            <w:r w:rsidRPr="00E344A0">
              <w:rPr>
                <w:b/>
                <w:i/>
              </w:rPr>
              <w:t xml:space="preserve"> és gazdaságilag</w:t>
            </w:r>
            <w:r w:rsidRPr="00E344A0">
              <w:t xml:space="preserve"> lehetséges, a nehézgépjárművek és a pótkocsik esetében az alkalmazás kezdőnapja elhalasztható, mivel a nehézgépjárművek esetében hosszabb lesz a kibocsátásmentes járművekre való átállás.</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29</w:t>
      </w:r>
    </w:p>
    <w:p w:rsidR="00FF715E" w:rsidRPr="00E344A0" w:rsidRDefault="00FF715E" w:rsidP="00FF715E"/>
    <w:p w:rsidR="00FF715E" w:rsidRPr="00E344A0" w:rsidRDefault="00FF715E" w:rsidP="00FF715E">
      <w:pPr>
        <w:pStyle w:val="NormalBold"/>
        <w:keepNext/>
      </w:pPr>
      <w:r w:rsidRPr="00E344A0">
        <w:t>Rendeletre irányuló javaslat</w:t>
      </w:r>
    </w:p>
    <w:p w:rsidR="00FF715E" w:rsidRPr="00E344A0" w:rsidRDefault="00FF715E" w:rsidP="00FF715E">
      <w:pPr>
        <w:pStyle w:val="NormalBold"/>
      </w:pPr>
      <w:r w:rsidRPr="00E344A0">
        <w:t>26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jc w:val="center"/>
        </w:trPr>
        <w:tc>
          <w:tcPr>
            <w:tcW w:w="9752" w:type="dxa"/>
            <w:gridSpan w:val="2"/>
          </w:tcPr>
          <w:p w:rsidR="00FF715E" w:rsidRPr="00E344A0" w:rsidRDefault="00FF715E" w:rsidP="00CD27F0">
            <w:pPr>
              <w:keepNext/>
            </w:pPr>
          </w:p>
        </w:tc>
      </w:tr>
      <w:tr w:rsidR="00FF715E" w:rsidRPr="00E344A0" w:rsidTr="00CD27F0">
        <w:trPr>
          <w:jc w:val="center"/>
        </w:trPr>
        <w:tc>
          <w:tcPr>
            <w:tcW w:w="4876" w:type="dxa"/>
            <w:hideMark/>
          </w:tcPr>
          <w:p w:rsidR="00FF715E" w:rsidRPr="00E344A0" w:rsidRDefault="00FF715E" w:rsidP="00CD27F0">
            <w:pPr>
              <w:pStyle w:val="ColumnHeading"/>
              <w:keepNext/>
            </w:pPr>
            <w:r w:rsidRPr="00E344A0">
              <w:t>A Bizottság által javasolt szöveg</w:t>
            </w:r>
          </w:p>
        </w:tc>
        <w:tc>
          <w:tcPr>
            <w:tcW w:w="4876" w:type="dxa"/>
            <w:hideMark/>
          </w:tcPr>
          <w:p w:rsidR="00FF715E" w:rsidRPr="00E344A0" w:rsidRDefault="00FF715E" w:rsidP="00CD27F0">
            <w:pPr>
              <w:pStyle w:val="ColumnHeading"/>
              <w:keepNext/>
            </w:pPr>
            <w:r w:rsidRPr="00E344A0">
              <w:t>Módosítás</w:t>
            </w:r>
          </w:p>
        </w:tc>
      </w:tr>
      <w:tr w:rsidR="00FF715E" w:rsidRPr="00E344A0" w:rsidTr="00CD27F0">
        <w:trPr>
          <w:jc w:val="center"/>
        </w:trPr>
        <w:tc>
          <w:tcPr>
            <w:tcW w:w="4876" w:type="dxa"/>
            <w:hideMark/>
          </w:tcPr>
          <w:p w:rsidR="00FF715E" w:rsidRPr="00E344A0" w:rsidRDefault="00FF715E" w:rsidP="00CD27F0">
            <w:pPr>
              <w:pStyle w:val="Normal6"/>
            </w:pPr>
            <w:r w:rsidRPr="00E344A0">
              <w:t>(26)</w:t>
            </w:r>
            <w:r w:rsidRPr="00E344A0">
              <w:tab/>
              <w:t xml:space="preserve">Mivel e rendelet </w:t>
            </w:r>
            <w:r w:rsidRPr="00E344A0">
              <w:rPr>
                <w:b/>
                <w:i/>
              </w:rPr>
              <w:t>célját –</w:t>
            </w:r>
            <w:r w:rsidRPr="00E344A0">
              <w:t xml:space="preserve"> azaz az M és N kategóriába tartozó járművek, valamint az ilyen járművek rendszereinek, alkotóelemeinek és önálló műszaki egységeinek típusjóváhagyására vonatkozó igazgatási és műszaki követelményekre, továbbá az ilyen járművek, rendszerek, alkotóelemek és önálló műszaki egységek piacfelügyeletére vonatkozó harmonizált szabályok meghatározását</w:t>
            </w:r>
            <w:r w:rsidRPr="00E344A0">
              <w:rPr>
                <w:b/>
                <w:i/>
              </w:rPr>
              <w:t xml:space="preserve"> –</w:t>
            </w:r>
            <w:r w:rsidRPr="00E344A0">
              <w:t xml:space="preserve"> a tagállamok nem tudják kielégítően megvalósítani, </w:t>
            </w:r>
            <w:r w:rsidRPr="00E344A0">
              <w:rPr>
                <w:b/>
                <w:i/>
              </w:rPr>
              <w:t>a cél</w:t>
            </w:r>
            <w:r w:rsidRPr="00E344A0">
              <w:t xml:space="preserve"> azonban </w:t>
            </w:r>
            <w:r w:rsidRPr="00E344A0">
              <w:rPr>
                <w:b/>
                <w:i/>
              </w:rPr>
              <w:t>nagyságrendje</w:t>
            </w:r>
            <w:r w:rsidRPr="00E344A0">
              <w:t xml:space="preserve"> és </w:t>
            </w:r>
            <w:r w:rsidRPr="00E344A0">
              <w:rPr>
                <w:b/>
                <w:i/>
              </w:rPr>
              <w:t>hatásai okán az Unió szintjén</w:t>
            </w:r>
            <w:r w:rsidRPr="00E344A0">
              <w:t xml:space="preserve"> jobban </w:t>
            </w:r>
            <w:r w:rsidRPr="00E344A0">
              <w:rPr>
                <w:b/>
                <w:i/>
              </w:rPr>
              <w:t>megvalósítható</w:t>
            </w:r>
            <w:r w:rsidRPr="00E344A0">
              <w:t xml:space="preserve">, az Unió intézkedéseket </w:t>
            </w:r>
            <w:r w:rsidRPr="00E344A0">
              <w:rPr>
                <w:b/>
                <w:i/>
              </w:rPr>
              <w:t>fogadhat el</w:t>
            </w:r>
            <w:r w:rsidRPr="00E344A0">
              <w:t xml:space="preserve"> az Európai Unióról szóló szerződés 5. cikkében foglalt </w:t>
            </w:r>
            <w:r w:rsidRPr="00E344A0">
              <w:rPr>
                <w:b/>
                <w:i/>
              </w:rPr>
              <w:t>szubszidiaritás elvének megfelelően</w:t>
            </w:r>
            <w:r w:rsidRPr="00E344A0">
              <w:t xml:space="preserve">. Az említett cikkben foglalt </w:t>
            </w:r>
            <w:r w:rsidRPr="00E344A0">
              <w:rPr>
                <w:b/>
                <w:i/>
              </w:rPr>
              <w:t>arányosság elvének megfelelően</w:t>
            </w:r>
            <w:r w:rsidRPr="00E344A0">
              <w:t xml:space="preserve"> ez a rendelet nem lépi túl az e célok eléréséhez szükséges mértéket,</w:t>
            </w:r>
          </w:p>
        </w:tc>
        <w:tc>
          <w:tcPr>
            <w:tcW w:w="4876" w:type="dxa"/>
            <w:hideMark/>
          </w:tcPr>
          <w:p w:rsidR="00FF715E" w:rsidRPr="00E344A0" w:rsidRDefault="00FF715E" w:rsidP="00CD27F0">
            <w:pPr>
              <w:pStyle w:val="Normal6"/>
              <w:rPr>
                <w:szCs w:val="24"/>
              </w:rPr>
            </w:pPr>
            <w:r w:rsidRPr="00E344A0">
              <w:t>(26)</w:t>
            </w:r>
            <w:r w:rsidRPr="00E344A0">
              <w:tab/>
              <w:t xml:space="preserve">Mivel e rendelet </w:t>
            </w:r>
            <w:r w:rsidRPr="00E344A0">
              <w:rPr>
                <w:b/>
                <w:i/>
              </w:rPr>
              <w:t>céljait, nevezetesen</w:t>
            </w:r>
            <w:r w:rsidRPr="00E344A0">
              <w:t xml:space="preserve"> azaz az M és N kategóriába tartozó járművek, valamint az ilyen járművek rendszereinek, alkotóelemeinek és önálló műszaki egységeinek típusjóváhagyására vonatkozó igazgatási és műszaki követelményekre, továbbá az ilyen járművek, rendszerek, alkotóelemek és önálló műszaki egységek piacfelügyeletére vonatkozó harmonizált szabályok meghatározását</w:t>
            </w:r>
            <w:r w:rsidRPr="00E344A0">
              <w:rPr>
                <w:b/>
                <w:i/>
              </w:rPr>
              <w:t>, illetve a környezetvédelem és az egészségvédelem magas szintjének elérését</w:t>
            </w:r>
            <w:r w:rsidRPr="00E344A0">
              <w:t xml:space="preserve"> a tagállamok nem tudják kielégítően megvalósítani, </w:t>
            </w:r>
            <w:r w:rsidRPr="00E344A0">
              <w:rPr>
                <w:b/>
                <w:i/>
              </w:rPr>
              <w:t>az Unió szintjén</w:t>
            </w:r>
            <w:r w:rsidRPr="00E344A0">
              <w:t xml:space="preserve"> azonban </w:t>
            </w:r>
            <w:r w:rsidRPr="00E344A0">
              <w:rPr>
                <w:b/>
                <w:i/>
              </w:rPr>
              <w:t>nagyságrendjük</w:t>
            </w:r>
            <w:r w:rsidRPr="00E344A0">
              <w:t xml:space="preserve"> és </w:t>
            </w:r>
            <w:r w:rsidRPr="00E344A0">
              <w:rPr>
                <w:b/>
                <w:i/>
              </w:rPr>
              <w:t>hatásaik miatt e célok</w:t>
            </w:r>
            <w:r w:rsidRPr="00E344A0">
              <w:t xml:space="preserve"> jobban </w:t>
            </w:r>
            <w:r w:rsidRPr="00E344A0">
              <w:rPr>
                <w:b/>
                <w:i/>
              </w:rPr>
              <w:t>megvalósíthatók</w:t>
            </w:r>
            <w:r w:rsidRPr="00E344A0">
              <w:t xml:space="preserve">, az Unió intézkedéseket </w:t>
            </w:r>
            <w:r w:rsidRPr="00E344A0">
              <w:rPr>
                <w:b/>
                <w:i/>
              </w:rPr>
              <w:t>hozhat a szubszidiaritásnak</w:t>
            </w:r>
            <w:r w:rsidRPr="00E344A0">
              <w:t xml:space="preserve"> az Európai Unióról szóló szerződés 5. cikkében foglalt </w:t>
            </w:r>
            <w:r w:rsidRPr="00E344A0">
              <w:rPr>
                <w:b/>
                <w:i/>
              </w:rPr>
              <w:t>elvével összhangban</w:t>
            </w:r>
            <w:r w:rsidRPr="00E344A0">
              <w:t xml:space="preserve">. Az </w:t>
            </w:r>
            <w:r w:rsidRPr="00E344A0">
              <w:rPr>
                <w:b/>
                <w:i/>
              </w:rPr>
              <w:t xml:space="preserve">arányosságnak az </w:t>
            </w:r>
            <w:r w:rsidRPr="00E344A0">
              <w:t xml:space="preserve">említett cikkben foglalt </w:t>
            </w:r>
            <w:r w:rsidRPr="00E344A0">
              <w:rPr>
                <w:b/>
                <w:i/>
              </w:rPr>
              <w:t>elvével összhangban</w:t>
            </w:r>
            <w:r w:rsidRPr="00E344A0">
              <w:t xml:space="preserve"> ez a rendelet nem lépi túl az e célok eléréséhez szükséges mértéket,</w:t>
            </w:r>
          </w:p>
        </w:tc>
      </w:tr>
    </w:tbl>
    <w:p w:rsidR="00FF715E" w:rsidRPr="00E344A0" w:rsidRDefault="00FF715E" w:rsidP="00FF715E"/>
    <w:p w:rsidR="00FF715E" w:rsidRPr="00E344A0" w:rsidRDefault="00FF715E" w:rsidP="00FF715E">
      <w:pPr>
        <w:pStyle w:val="AmNumberTabs"/>
      </w:pPr>
      <w:r w:rsidRPr="00E344A0">
        <w:lastRenderedPageBreak/>
        <w:t>Módosítás</w:t>
      </w:r>
      <w:r w:rsidRPr="00E344A0">
        <w:tab/>
      </w:r>
      <w:r w:rsidRPr="00E344A0">
        <w:tab/>
        <w:t>30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t>Ez a rendelet szabályokat állapít meg a kezdeti kibocsátási típusjóváhagyásra, a gyártás megfelelőségére, a használat közbeni megfelelőségre, a piacfelügyeletre, a kibocsátáscsökkentő rendszerek és az elektromosjármű-hajtóakkumulátorok tartósságára, a fedélzeti ellenőrző rendszerekre, a manipulálás korlátozására irányuló biztonsági rendelkezésekre és a kiberbiztonsági intézkedésekre, valamint a CO</w:t>
            </w:r>
            <w:r w:rsidRPr="00E344A0">
              <w:rPr>
                <w:vertAlign w:val="subscript"/>
              </w:rPr>
              <w:t>2</w:t>
            </w:r>
            <w:r w:rsidRPr="00E344A0">
              <w:rPr>
                <w:b/>
                <w:i/>
              </w:rPr>
              <w:t>-kibocsátás</w:t>
            </w:r>
            <w:r w:rsidRPr="00E344A0">
              <w:t>, az elektromos hatótávolság, az üzemanyag- és energiafogyasztás és az energiahatékonyság pontos meghatározására vonatkozóan.</w:t>
            </w:r>
          </w:p>
        </w:tc>
        <w:tc>
          <w:tcPr>
            <w:tcW w:w="4876" w:type="dxa"/>
          </w:tcPr>
          <w:p w:rsidR="00FF715E" w:rsidRPr="00E344A0" w:rsidRDefault="00FF715E" w:rsidP="00CD27F0">
            <w:pPr>
              <w:pStyle w:val="Normal6a"/>
            </w:pPr>
            <w:r w:rsidRPr="00E344A0">
              <w:t>(2)</w:t>
            </w:r>
            <w:r w:rsidRPr="00E344A0">
              <w:tab/>
              <w:t xml:space="preserve">Ez a rendelet </w:t>
            </w:r>
            <w:r w:rsidRPr="00E344A0">
              <w:rPr>
                <w:b/>
                <w:i/>
              </w:rPr>
              <w:t xml:space="preserve">továbbá </w:t>
            </w:r>
            <w:r w:rsidRPr="00E344A0">
              <w:t>szabályokat állapít meg a kezdeti kibocsátási típusjóváhagyásra, a gyártás megfelelőségére, a használat közbeni megfelelőségre, a piacfelügyeletre, a kibocsátáscsökkentő rendszerek és az elektromosjármű-hajtóakkumulátorok tartósságára, a fedélzeti ellenőrző rendszerekre, a manipulálás korlátozására irányuló biztonsági rendelkezésekre és a kiberbiztonsági intézkedésekre, valamint a CO</w:t>
            </w:r>
            <w:r w:rsidRPr="00267A15">
              <w:rPr>
                <w:vertAlign w:val="subscript"/>
              </w:rPr>
              <w:t>2</w:t>
            </w:r>
            <w:r w:rsidRPr="00E344A0">
              <w:rPr>
                <w:b/>
                <w:i/>
              </w:rPr>
              <w:t>- és szennyezőanyag-kibocsátás</w:t>
            </w:r>
            <w:r w:rsidRPr="00E344A0">
              <w:t>, az elektromos hatótávolság, az üzemanyag- és energiafogyasztás és az energiahatékonyság pontos meghatározására vonatkozóan.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(2a)</w:t>
            </w:r>
            <w:r w:rsidRPr="00E344A0">
              <w:tab/>
            </w:r>
            <w:r w:rsidRPr="00E344A0">
              <w:rPr>
                <w:b/>
                <w:i/>
              </w:rPr>
              <w:t>Ez a rendelet ezenkívül közös műszaki előírásokat és közigazgatási rendelkezéseket állapít meg az újonnan gyártott gumiabroncsok kopásból származó kibocsátás tekintetében történő típusjóváhagyása és piacfelügyelete tekintetében. Ezeket az (EU) 2019/2144 rendelet gumiabroncsokra vonatkozó műszaki előírásai és közigazgatási rendelkezései kiegészítésének kell tekinteni.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lastRenderedPageBreak/>
        <w:t>2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E rendelet hatálya kiterjed az M</w:t>
            </w:r>
            <w:r w:rsidRPr="00E344A0">
              <w:rPr>
                <w:vertAlign w:val="subscript"/>
              </w:rPr>
              <w:t>1</w:t>
            </w:r>
            <w:r w:rsidRPr="00E344A0">
              <w:t>, M</w:t>
            </w:r>
            <w:r w:rsidRPr="00E344A0">
              <w:rPr>
                <w:vertAlign w:val="subscript"/>
              </w:rPr>
              <w:t>2</w:t>
            </w:r>
            <w:r w:rsidRPr="00E344A0">
              <w:t>, M</w:t>
            </w:r>
            <w:r w:rsidRPr="00E344A0">
              <w:rPr>
                <w:vertAlign w:val="subscript"/>
              </w:rPr>
              <w:t>3</w:t>
            </w:r>
            <w:r w:rsidRPr="00E344A0">
              <w:t>, N</w:t>
            </w:r>
            <w:r w:rsidRPr="00E344A0">
              <w:rPr>
                <w:vertAlign w:val="subscript"/>
              </w:rPr>
              <w:t>1</w:t>
            </w:r>
            <w:r w:rsidRPr="00E344A0">
              <w:t>, N</w:t>
            </w:r>
            <w:r w:rsidRPr="00E344A0">
              <w:rPr>
                <w:vertAlign w:val="subscript"/>
              </w:rPr>
              <w:t>2</w:t>
            </w:r>
            <w:r w:rsidRPr="00E344A0">
              <w:t xml:space="preserve"> és N</w:t>
            </w:r>
            <w:r w:rsidRPr="00E344A0">
              <w:rPr>
                <w:vertAlign w:val="subscript"/>
              </w:rPr>
              <w:t>3</w:t>
            </w:r>
            <w:r w:rsidRPr="00E344A0">
              <w:t>, kategóriába tartozó gépjárművekre és ezeknek az (EU) 2018/858 rendelet 4. cikke szerinti O</w:t>
            </w:r>
            <w:r w:rsidRPr="00E344A0">
              <w:rPr>
                <w:vertAlign w:val="subscript"/>
              </w:rPr>
              <w:t>3</w:t>
            </w:r>
            <w:r w:rsidRPr="00E344A0">
              <w:t xml:space="preserve"> és O</w:t>
            </w:r>
            <w:r w:rsidRPr="00E344A0">
              <w:rPr>
                <w:vertAlign w:val="subscript"/>
              </w:rPr>
              <w:t>4</w:t>
            </w:r>
            <w:r w:rsidRPr="00E344A0">
              <w:t xml:space="preserve"> kategóriába tartozó </w:t>
            </w:r>
            <w:proofErr w:type="spellStart"/>
            <w:r w:rsidRPr="00E344A0">
              <w:t>pótkocsijaira</w:t>
            </w:r>
            <w:proofErr w:type="spellEnd"/>
            <w:r w:rsidRPr="00E344A0">
              <w:t>, ideértve az egy vagy több lépcsőben tervezett és gyártott járműveket is, továbbá az ilyen járművekhez szánt rendszerekre, alkotóelemekre és önálló műszaki egységekre is.</w:t>
            </w:r>
          </w:p>
        </w:tc>
        <w:tc>
          <w:tcPr>
            <w:tcW w:w="4876" w:type="dxa"/>
          </w:tcPr>
          <w:p w:rsidR="00FF715E" w:rsidRPr="00E344A0" w:rsidRDefault="00FF715E" w:rsidP="00CD27F0">
            <w:pPr>
              <w:pStyle w:val="Normal6a"/>
            </w:pPr>
            <w:r w:rsidRPr="00E344A0">
              <w:t>E rendelet hatálya kiterjed az M</w:t>
            </w:r>
            <w:r w:rsidRPr="00E344A0">
              <w:rPr>
                <w:vertAlign w:val="subscript"/>
              </w:rPr>
              <w:t>1</w:t>
            </w:r>
            <w:r w:rsidRPr="00E344A0">
              <w:t>, M</w:t>
            </w:r>
            <w:r w:rsidRPr="00E344A0">
              <w:rPr>
                <w:vertAlign w:val="subscript"/>
              </w:rPr>
              <w:t>2</w:t>
            </w:r>
            <w:r w:rsidRPr="00E344A0">
              <w:t>, M</w:t>
            </w:r>
            <w:r w:rsidRPr="00E344A0">
              <w:rPr>
                <w:vertAlign w:val="subscript"/>
              </w:rPr>
              <w:t>3</w:t>
            </w:r>
            <w:r w:rsidRPr="00E344A0">
              <w:t>, N</w:t>
            </w:r>
            <w:r w:rsidRPr="00E344A0">
              <w:rPr>
                <w:vertAlign w:val="subscript"/>
              </w:rPr>
              <w:t>1</w:t>
            </w:r>
            <w:r w:rsidRPr="00E344A0">
              <w:t>, N</w:t>
            </w:r>
            <w:r w:rsidRPr="00E344A0">
              <w:rPr>
                <w:vertAlign w:val="subscript"/>
              </w:rPr>
              <w:t>2</w:t>
            </w:r>
            <w:r w:rsidRPr="00E344A0">
              <w:t xml:space="preserve"> és N</w:t>
            </w:r>
            <w:r w:rsidRPr="00E344A0">
              <w:rPr>
                <w:vertAlign w:val="subscript"/>
              </w:rPr>
              <w:t>3</w:t>
            </w:r>
            <w:r w:rsidRPr="00E344A0">
              <w:t>, kategóriába tartozó gépjárművekre és ezeknek az (EU) 2018/858 rendelet 4. cikke szerinti O</w:t>
            </w:r>
            <w:r w:rsidRPr="00E344A0">
              <w:rPr>
                <w:vertAlign w:val="subscript"/>
              </w:rPr>
              <w:t>3</w:t>
            </w:r>
            <w:r w:rsidRPr="00E344A0">
              <w:t xml:space="preserve"> és O</w:t>
            </w:r>
            <w:r w:rsidRPr="00E344A0">
              <w:rPr>
                <w:vertAlign w:val="subscript"/>
              </w:rPr>
              <w:t>4</w:t>
            </w:r>
            <w:r w:rsidRPr="00E344A0">
              <w:t xml:space="preserve"> kategóriába tartozó </w:t>
            </w:r>
            <w:proofErr w:type="spellStart"/>
            <w:r w:rsidRPr="00E344A0">
              <w:t>pótkocsijaira</w:t>
            </w:r>
            <w:proofErr w:type="spellEnd"/>
            <w:r w:rsidRPr="00E344A0">
              <w:t>, ideértve az egy vagy több lépcsőben tervezett és gyártott járműveket is, továbbá az ilyen járművekhez szánt rendszerekre, alkotóelemekre és önálló műszaki egységekre is</w:t>
            </w:r>
            <w:r w:rsidRPr="00E344A0">
              <w:rPr>
                <w:b/>
                <w:i/>
              </w:rPr>
              <w:t>, valamint a jeges útviszonyokra szánt gumiabroncsok kivételével a 117. sz. ENSZ-előírásban meghatározott C1, C2 és C3 kategóriájú gumiabroncsokra is</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2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t>„kezdeti kibocsátási típusjóváhagyás”: a kibocsátási típusjóváhagyási eljárás első szakasza, mielőtt a hatóságok megadják a kibocsátási típusbizonyítványt, és elkezdődik a járművek gyártása;</w:t>
            </w:r>
          </w:p>
        </w:tc>
        <w:tc>
          <w:tcPr>
            <w:tcW w:w="4876" w:type="dxa"/>
          </w:tcPr>
          <w:p w:rsidR="00FF715E" w:rsidRPr="00E344A0" w:rsidRDefault="00FF715E" w:rsidP="00CD27F0">
            <w:pPr>
              <w:pStyle w:val="Normal6a"/>
            </w:pPr>
            <w:r w:rsidRPr="00E344A0">
              <w:t>2.</w:t>
            </w:r>
            <w:r w:rsidRPr="00E344A0">
              <w:tab/>
              <w:t>„kezdeti kibocsátási típusjóváhagyás”: a kibocsátási típusjóváhagyási eljárás első szakasza, mielőtt a hatóságok megadják a kibocsátási típusbizonyítványt, és elkezdődik a járművek</w:t>
            </w:r>
            <w:r w:rsidRPr="00E344A0">
              <w:rPr>
                <w:b/>
                <w:i/>
              </w:rPr>
              <w:t>, motorok, rendszerek, önálló műszaki egységek vagy alkotóelemek</w:t>
            </w:r>
            <w:r w:rsidRPr="00E344A0">
              <w:t xml:space="preserve"> gyártása;</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rPr>
          <w:b w:val="0"/>
        </w:rPr>
        <w:t>3 cikk – 2 bekezdés – 4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4.</w:t>
            </w:r>
            <w:r w:rsidRPr="00E344A0">
              <w:tab/>
              <w:t xml:space="preserve">„használat közbeni megfelelőség”: az e rendeletben meghatározott tartóssági követelmények ellenőrzése céljából a forgalomban lévő járműveken végzett </w:t>
            </w:r>
            <w:r w:rsidRPr="00E344A0">
              <w:lastRenderedPageBreak/>
              <w:t>tevékenységek;</w:t>
            </w:r>
          </w:p>
        </w:tc>
        <w:tc>
          <w:tcPr>
            <w:tcW w:w="4876" w:type="dxa"/>
          </w:tcPr>
          <w:p w:rsidR="00FF715E" w:rsidRPr="00E344A0" w:rsidRDefault="00FF715E" w:rsidP="00CD27F0">
            <w:pPr>
              <w:pStyle w:val="Normal6a"/>
            </w:pPr>
            <w:r w:rsidRPr="00E344A0">
              <w:lastRenderedPageBreak/>
              <w:t>4.</w:t>
            </w:r>
            <w:r w:rsidRPr="00E344A0">
              <w:tab/>
              <w:t>„használat közbeni megfelelőség”: az e rendeletben meghatározott tartóssági követelmények ellenőrzése céljából a forgalomban lévő járműveken</w:t>
            </w:r>
            <w:r w:rsidRPr="00E344A0">
              <w:rPr>
                <w:b/>
                <w:i/>
              </w:rPr>
              <w:t xml:space="preserve">, motorokon, rendszereken, önálló műszaki egységeken </w:t>
            </w:r>
            <w:r w:rsidRPr="00E344A0">
              <w:rPr>
                <w:b/>
                <w:i/>
              </w:rPr>
              <w:lastRenderedPageBreak/>
              <w:t>vagy alkotóelemeken</w:t>
            </w:r>
            <w:r w:rsidRPr="00E344A0">
              <w:t xml:space="preserve"> végzett tevékenységek;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5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5.</w:t>
            </w:r>
            <w:r w:rsidRPr="00E344A0">
              <w:tab/>
              <w:t xml:space="preserve">„motor”: a jármű </w:t>
            </w:r>
            <w:r w:rsidRPr="00E344A0">
              <w:rPr>
                <w:b/>
                <w:i/>
              </w:rPr>
              <w:t>meghajtását biztosító erőforrás</w:t>
            </w:r>
            <w:r w:rsidRPr="00E344A0">
              <w:t>;</w:t>
            </w:r>
          </w:p>
        </w:tc>
        <w:tc>
          <w:tcPr>
            <w:tcW w:w="4876" w:type="dxa"/>
          </w:tcPr>
          <w:p w:rsidR="00FF715E" w:rsidRPr="00E344A0" w:rsidRDefault="00FF715E" w:rsidP="00CD27F0">
            <w:pPr>
              <w:pStyle w:val="Normal6a"/>
            </w:pPr>
            <w:r w:rsidRPr="00E344A0">
              <w:t>5.</w:t>
            </w:r>
            <w:r w:rsidRPr="00E344A0">
              <w:tab/>
              <w:t xml:space="preserve">„motor”: a jármű </w:t>
            </w:r>
            <w:r w:rsidRPr="00E344A0">
              <w:rPr>
                <w:b/>
                <w:i/>
              </w:rPr>
              <w:t>belső égésű motorja</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9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9.</w:t>
            </w:r>
            <w:r w:rsidRPr="00E344A0">
              <w:tab/>
              <w:t>„szén-dioxid-kibocsátás” vagy „CO</w:t>
            </w:r>
            <w:r w:rsidRPr="00E344A0">
              <w:rPr>
                <w:vertAlign w:val="subscript"/>
              </w:rPr>
              <w:t>2</w:t>
            </w:r>
            <w:r w:rsidRPr="00E344A0">
              <w:t xml:space="preserve">-kibocsátás”: a </w:t>
            </w:r>
            <w:r w:rsidRPr="00E344A0">
              <w:rPr>
                <w:b/>
                <w:i/>
              </w:rPr>
              <w:t xml:space="preserve">gépjármű vagy a motor </w:t>
            </w:r>
            <w:proofErr w:type="spellStart"/>
            <w:r w:rsidRPr="00E344A0">
              <w:rPr>
                <w:b/>
                <w:i/>
              </w:rPr>
              <w:t>kipufogócsövén</w:t>
            </w:r>
            <w:proofErr w:type="spellEnd"/>
            <w:r w:rsidRPr="00E344A0">
              <w:t xml:space="preserve"> keresztül történő szén-dioxid-kibocsátás;</w:t>
            </w:r>
          </w:p>
        </w:tc>
        <w:tc>
          <w:tcPr>
            <w:tcW w:w="4876" w:type="dxa"/>
          </w:tcPr>
          <w:p w:rsidR="00FF715E" w:rsidRPr="00E344A0" w:rsidRDefault="00FF715E" w:rsidP="00CD27F0">
            <w:pPr>
              <w:pStyle w:val="Normal6a"/>
            </w:pPr>
            <w:r w:rsidRPr="00E344A0">
              <w:t>9.</w:t>
            </w:r>
            <w:r w:rsidRPr="00E344A0">
              <w:tab/>
              <w:t>„szén-dioxid-kibocsátás” vagy „CO</w:t>
            </w:r>
            <w:r w:rsidRPr="00E344A0">
              <w:rPr>
                <w:vertAlign w:val="subscript"/>
              </w:rPr>
              <w:t>2</w:t>
            </w:r>
            <w:r w:rsidRPr="00E344A0">
              <w:t xml:space="preserve">-kibocsátás”: a </w:t>
            </w:r>
            <w:r w:rsidRPr="00E344A0">
              <w:rPr>
                <w:b/>
                <w:i/>
              </w:rPr>
              <w:t>kipufogócsövön</w:t>
            </w:r>
            <w:r w:rsidRPr="00E344A0">
              <w:t xml:space="preserve"> keresztül történő szén-dioxid-kibocsátás;</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10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10.</w:t>
            </w:r>
            <w:r w:rsidRPr="00E344A0">
              <w:tab/>
              <w:t>„nitrogén-oxidok” vagy „</w:t>
            </w:r>
            <w:proofErr w:type="spellStart"/>
            <w:r w:rsidRPr="00E344A0">
              <w:t>NOx</w:t>
            </w:r>
            <w:proofErr w:type="spellEnd"/>
            <w:r w:rsidRPr="00E344A0">
              <w:t xml:space="preserve">”: a kipufogócsövön keresztül kibocsátott </w:t>
            </w:r>
            <w:r w:rsidRPr="00E344A0">
              <w:rPr>
                <w:b/>
                <w:i/>
              </w:rPr>
              <w:t>nitrogén-oxidok</w:t>
            </w:r>
            <w:r w:rsidRPr="00E344A0">
              <w:t xml:space="preserve"> összege;</w:t>
            </w:r>
          </w:p>
        </w:tc>
        <w:tc>
          <w:tcPr>
            <w:tcW w:w="4876" w:type="dxa"/>
          </w:tcPr>
          <w:p w:rsidR="00FF715E" w:rsidRPr="00E344A0" w:rsidRDefault="00FF715E" w:rsidP="00CD27F0">
            <w:pPr>
              <w:pStyle w:val="Normal6a"/>
            </w:pPr>
            <w:r w:rsidRPr="00E344A0">
              <w:t>10.</w:t>
            </w:r>
            <w:r w:rsidRPr="00E344A0">
              <w:tab/>
              <w:t>„nitrogén-oxidok” vagy „</w:t>
            </w:r>
            <w:proofErr w:type="spellStart"/>
            <w:r w:rsidRPr="00E344A0">
              <w:t>NOx</w:t>
            </w:r>
            <w:proofErr w:type="spellEnd"/>
            <w:r w:rsidRPr="00E344A0">
              <w:t xml:space="preserve">”: a kipufogócsövön keresztül kibocsátott </w:t>
            </w:r>
            <w:r w:rsidRPr="00E344A0">
              <w:rPr>
                <w:b/>
                <w:i/>
              </w:rPr>
              <w:t>nitrogén-monoxid (NO) és nitrogén-dioxid (NO</w:t>
            </w:r>
            <w:r w:rsidRPr="00E344A0">
              <w:rPr>
                <w:b/>
                <w:i/>
                <w:vertAlign w:val="subscript"/>
              </w:rPr>
              <w:t>2</w:t>
            </w:r>
            <w:r w:rsidRPr="00E344A0">
              <w:rPr>
                <w:b/>
                <w:i/>
              </w:rPr>
              <w:t>)</w:t>
            </w:r>
            <w:r w:rsidRPr="00E344A0">
              <w:t xml:space="preserve"> összege;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10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lastRenderedPageBreak/>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10a.</w:t>
            </w:r>
            <w:r w:rsidRPr="00E344A0">
              <w:tab/>
            </w:r>
            <w:r w:rsidRPr="00E344A0">
              <w:rPr>
                <w:b/>
                <w:i/>
              </w:rPr>
              <w:t>„</w:t>
            </w:r>
            <w:proofErr w:type="spellStart"/>
            <w:r w:rsidRPr="00E344A0">
              <w:rPr>
                <w:b/>
                <w:i/>
              </w:rPr>
              <w:t>dinitrogén</w:t>
            </w:r>
            <w:proofErr w:type="spellEnd"/>
            <w:r w:rsidRPr="00E344A0">
              <w:rPr>
                <w:b/>
                <w:i/>
              </w:rPr>
              <w:t>-oxid” vagy „N</w:t>
            </w:r>
            <w:r w:rsidRPr="00E344A0">
              <w:rPr>
                <w:b/>
                <w:i/>
                <w:vertAlign w:val="subscript"/>
              </w:rPr>
              <w:t>2</w:t>
            </w:r>
            <w:r w:rsidRPr="00E344A0">
              <w:rPr>
                <w:b/>
                <w:i/>
              </w:rPr>
              <w:t xml:space="preserve">O”: a kipufogócsövön keresztül történő </w:t>
            </w:r>
            <w:proofErr w:type="spellStart"/>
            <w:r w:rsidRPr="00E344A0">
              <w:rPr>
                <w:b/>
                <w:i/>
              </w:rPr>
              <w:t>dinitrogén</w:t>
            </w:r>
            <w:proofErr w:type="spellEnd"/>
            <w:r w:rsidRPr="00E344A0">
              <w:rPr>
                <w:b/>
                <w:i/>
              </w:rPr>
              <w:t>-oxid-kibocsátás;</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39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18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18.</w:t>
            </w:r>
            <w:r w:rsidRPr="00E344A0">
              <w:tab/>
              <w:t xml:space="preserve">„nem metán szénhidrogének” vagy </w:t>
            </w:r>
            <w:r w:rsidRPr="00E344A0">
              <w:rPr>
                <w:b/>
                <w:i/>
              </w:rPr>
              <w:t>„NHMC”</w:t>
            </w:r>
            <w:r w:rsidRPr="00E344A0">
              <w:t>: a kipufogócsövön keresztül kibocsátott, a metántól eltérő teljes szénhidrogén-mennyiség;</w:t>
            </w:r>
          </w:p>
        </w:tc>
        <w:tc>
          <w:tcPr>
            <w:tcW w:w="4876" w:type="dxa"/>
          </w:tcPr>
          <w:p w:rsidR="00FF715E" w:rsidRPr="00E344A0" w:rsidRDefault="00FF715E" w:rsidP="00CD27F0">
            <w:pPr>
              <w:pStyle w:val="Normal6a"/>
            </w:pPr>
            <w:r w:rsidRPr="00E344A0">
              <w:t>18.</w:t>
            </w:r>
            <w:r w:rsidRPr="00E344A0">
              <w:tab/>
              <w:t xml:space="preserve">„nem metán szénhidrogének” vagy </w:t>
            </w:r>
            <w:r w:rsidRPr="00E344A0">
              <w:rPr>
                <w:b/>
                <w:i/>
              </w:rPr>
              <w:t>„NMHC”</w:t>
            </w:r>
            <w:r w:rsidRPr="00E344A0">
              <w:t>: a kipufogócsövön keresztül kibocsátott, a metántól eltérő teljes szénhidrogén-mennyiség;</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24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24.</w:t>
            </w:r>
            <w:r w:rsidRPr="00E344A0">
              <w:tab/>
              <w:t>„a jármű energiafogyasztását kiszámító eszköz”: a nehézgépjárművek CO</w:t>
            </w:r>
            <w:r w:rsidRPr="00E344A0">
              <w:rPr>
                <w:vertAlign w:val="subscript"/>
              </w:rPr>
              <w:t>2</w:t>
            </w:r>
            <w:r w:rsidRPr="00E344A0">
              <w:t xml:space="preserve">-kibocsátásának, üzemanyag-fogyasztásának, elektromosenergia-fogyasztásának és elektromos hatótávolságának meghatározására szolgáló szimulációs eszköz; </w:t>
            </w:r>
            <w:r w:rsidRPr="00E344A0">
              <w:rPr>
                <w:b/>
                <w:i/>
              </w:rPr>
              <w:t>„energiafogyasztás”: a járműben lévő összes meghajtó erőforrásból származó elektromosenergia-fogyasztás;</w:t>
            </w:r>
          </w:p>
        </w:tc>
        <w:tc>
          <w:tcPr>
            <w:tcW w:w="4876" w:type="dxa"/>
          </w:tcPr>
          <w:p w:rsidR="00FF715E" w:rsidRPr="00E344A0" w:rsidRDefault="00FF715E" w:rsidP="00CD27F0">
            <w:pPr>
              <w:pStyle w:val="Normal6a"/>
            </w:pPr>
            <w:r w:rsidRPr="00E344A0">
              <w:t>24.</w:t>
            </w:r>
            <w:r w:rsidRPr="00E344A0">
              <w:tab/>
              <w:t>„a jármű energiafogyasztását kiszámító eszköz”: a nehézgépjárművek CO</w:t>
            </w:r>
            <w:r w:rsidRPr="00E344A0">
              <w:rPr>
                <w:vertAlign w:val="subscript"/>
              </w:rPr>
              <w:t>2</w:t>
            </w:r>
            <w:r w:rsidRPr="00E344A0">
              <w:t>-kibocsátásának, üzemanyag-fogyasztásának, elektromosenergia-fogyasztásának és elektromos hatótávolságának meghatározására szolgáló szimulációs eszköz;</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24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24a.</w:t>
            </w:r>
            <w:r w:rsidRPr="00E344A0">
              <w:tab/>
            </w:r>
            <w:r w:rsidRPr="00E344A0">
              <w:rPr>
                <w:b/>
                <w:i/>
              </w:rPr>
              <w:t xml:space="preserve">„energiafogyasztás”: a járműben lévő összes meghajtó erőforrásból </w:t>
            </w:r>
            <w:r w:rsidRPr="00E344A0">
              <w:rPr>
                <w:b/>
                <w:i/>
              </w:rPr>
              <w:lastRenderedPageBreak/>
              <w:t>származó elektromosenergia-fogyasztás;</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29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29.</w:t>
            </w:r>
            <w:r w:rsidRPr="00E344A0">
              <w:tab/>
              <w:t>„gumiabroncskopás”: a gumiabroncsból a kopási folyamat következtében elveszített és a környezetbe kibocsátott anyag tömege;</w:t>
            </w:r>
          </w:p>
        </w:tc>
        <w:tc>
          <w:tcPr>
            <w:tcW w:w="4876" w:type="dxa"/>
          </w:tcPr>
          <w:p w:rsidR="00FF715E" w:rsidRPr="00E344A0" w:rsidRDefault="00FF715E" w:rsidP="00CD27F0">
            <w:pPr>
              <w:pStyle w:val="Normal6a"/>
            </w:pPr>
            <w:r w:rsidRPr="00E344A0">
              <w:t>29.</w:t>
            </w:r>
            <w:r w:rsidRPr="00E344A0">
              <w:tab/>
              <w:t xml:space="preserve">„gumiabroncskopás”: a gumiabroncsból a kopási folyamat következtében elveszített </w:t>
            </w:r>
            <w:r w:rsidRPr="00E344A0">
              <w:rPr>
                <w:b/>
                <w:i/>
              </w:rPr>
              <w:t xml:space="preserve">– hivatkozva az ENSZ WP29 gumiabroncskopással foglalkozó GRBP/GRPE közös munkacsoportjában végzett munkára – </w:t>
            </w:r>
            <w:r w:rsidRPr="00E344A0">
              <w:t>és a környezetbe kibocsátott anyag tömege;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34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34.</w:t>
            </w:r>
            <w:r w:rsidRPr="00E344A0">
              <w:tab/>
              <w:t>„eredeti kibocsátáscsökkentő rendszer”: olyan kibocsátáscsökkentő rendszer vagy ilyen rendszerek együttese, amelyre kiterjed az adott járműre megadott típusjóváhagyás;</w:t>
            </w:r>
          </w:p>
        </w:tc>
        <w:tc>
          <w:tcPr>
            <w:tcW w:w="4876" w:type="dxa"/>
          </w:tcPr>
          <w:p w:rsidR="00FF715E" w:rsidRPr="00E344A0" w:rsidRDefault="00FF715E" w:rsidP="00CD27F0">
            <w:pPr>
              <w:pStyle w:val="Normal6a"/>
            </w:pPr>
            <w:r w:rsidRPr="00E344A0">
              <w:t>34.</w:t>
            </w:r>
            <w:r w:rsidRPr="00E344A0">
              <w:tab/>
              <w:t>„eredeti kibocsátáscsökkentő rendszer”: olyan kibocsátáscsökkentő rendszer vagy ilyen rendszerek együttese, amelyre kiterjed az adott járműre megadott típusjóváhagyás</w:t>
            </w:r>
            <w:r w:rsidRPr="00E344A0">
              <w:rPr>
                <w:b/>
                <w:i/>
              </w:rPr>
              <w:t>, és amelyet az első nyilvántartásba vételkor szerelnek be a járműbe</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36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36.</w:t>
            </w:r>
            <w:r w:rsidRPr="00E344A0">
              <w:tab/>
            </w:r>
            <w:r w:rsidRPr="00E344A0">
              <w:rPr>
                <w:b/>
                <w:i/>
              </w:rPr>
              <w:t xml:space="preserve">„adaptív szabályozási funkció”: olyan rendszer, amely a jármű várható használata alapján a motort, a kibocsátáscsökkentő rendszereket vagy a jármű egyéb paramétereit úgy állítja be, hogy javuljon az üzemanyag- vagy az </w:t>
            </w:r>
            <w:r w:rsidRPr="00E344A0">
              <w:rPr>
                <w:b/>
                <w:i/>
              </w:rPr>
              <w:lastRenderedPageBreak/>
              <w:t>energiafogyasztás és a kibocsátáscsökkentő rendszer hatékonysága;</w:t>
            </w:r>
          </w:p>
        </w:tc>
        <w:tc>
          <w:tcPr>
            <w:tcW w:w="4876" w:type="dxa"/>
          </w:tcPr>
          <w:p w:rsidR="00FF715E" w:rsidRPr="00E344A0" w:rsidRDefault="00FF715E" w:rsidP="00CD27F0">
            <w:pPr>
              <w:pStyle w:val="Normal6a"/>
            </w:pPr>
            <w:r w:rsidRPr="00E344A0">
              <w:rPr>
                <w:b/>
                <w:i/>
              </w:rPr>
              <w:lastRenderedPageBreak/>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38 pont</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38.</w:t>
            </w:r>
            <w:r w:rsidRPr="00E344A0">
              <w:tab/>
              <w:t xml:space="preserve">„fedélzeti ellenőrző rendszer” vagy „OBM”: a jármű fedélzetén lévő olyan rendszer, amely képes vagy a kibocsátási határértékek túllépésének észlelésére, vagy – adott esetben – annak észlelésére, amikor a jármű kibocsátásmentes üzemmódban van, és képes jelezni az ilyen túllépések előfordulását a járműben tárolt információk formájában, valamint ezen információkat a fedélzeti diagnosztikai </w:t>
            </w:r>
            <w:proofErr w:type="spellStart"/>
            <w:r w:rsidRPr="00E344A0">
              <w:t>porton</w:t>
            </w:r>
            <w:proofErr w:type="spellEnd"/>
            <w:r w:rsidRPr="00E344A0">
              <w:t xml:space="preserve"> keresztül és vezeték nélkül továbbítani;</w:t>
            </w:r>
          </w:p>
        </w:tc>
        <w:tc>
          <w:tcPr>
            <w:tcW w:w="4876" w:type="dxa"/>
          </w:tcPr>
          <w:p w:rsidR="00FF715E" w:rsidRPr="00E344A0" w:rsidRDefault="00FF715E" w:rsidP="00CD27F0">
            <w:pPr>
              <w:pStyle w:val="Normal6a"/>
            </w:pPr>
            <w:r w:rsidRPr="00E344A0">
              <w:t>38.</w:t>
            </w:r>
            <w:r w:rsidRPr="00E344A0">
              <w:tab/>
              <w:t xml:space="preserve">„fedélzeti ellenőrző rendszer” vagy „OBM”: a jármű fedélzetén lévő olyan rendszer, amely képes </w:t>
            </w:r>
            <w:r w:rsidRPr="00E344A0">
              <w:rPr>
                <w:b/>
                <w:i/>
              </w:rPr>
              <w:t xml:space="preserve">a kibocsátások ellenőrzésére, továbbá </w:t>
            </w:r>
            <w:r w:rsidRPr="00E344A0">
              <w:t xml:space="preserve">vagy a kibocsátási határértékek túllépésének észlelésére, vagy – adott esetben – annak észlelésére, amikor a jármű kibocsátásmentes üzemmódban van, és képes jelezni az ilyen túllépések előfordulását a járműben tárolt információk formájában, valamint ezen információkat a fedélzeti diagnosztikai </w:t>
            </w:r>
            <w:proofErr w:type="spellStart"/>
            <w:r w:rsidRPr="00E344A0">
              <w:t>porton</w:t>
            </w:r>
            <w:proofErr w:type="spellEnd"/>
            <w:r w:rsidRPr="00E344A0">
              <w:t xml:space="preserve"> keresztül és vezeték nélkül továbbítani;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39 pont</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39.</w:t>
            </w:r>
            <w:r w:rsidRPr="00E344A0">
              <w:tab/>
              <w:t xml:space="preserve">„üzemanyag- és/vagy energiafogyasztás-figyelő fedélzeti eszköz”: minden olyan szoftver vagy hardver, amely érzékeli és felhasználja a jármű-, a motor-, az üzemanyag- vagy az elektromosenergia-paramétereket, valamint a hasznos terhelésre/tömegre vonatkozó paramétereket ahhoz, hogy meghatározza és a járműben tárolja a jármű üzemanyag- és energiafogyasztási adatait, valamint a jármű üzemanyag- vagy energiafogyasztásának és energiahatékonyságának meghatározása </w:t>
            </w:r>
            <w:r w:rsidRPr="00E344A0">
              <w:lastRenderedPageBreak/>
              <w:t>szempontjából releváns egyéb paramétereket;</w:t>
            </w:r>
          </w:p>
        </w:tc>
        <w:tc>
          <w:tcPr>
            <w:tcW w:w="4876" w:type="dxa"/>
          </w:tcPr>
          <w:p w:rsidR="00FF715E" w:rsidRPr="00E344A0" w:rsidRDefault="00FF715E" w:rsidP="00CD27F0">
            <w:pPr>
              <w:pStyle w:val="Normal6a"/>
            </w:pPr>
            <w:r w:rsidRPr="00E344A0">
              <w:lastRenderedPageBreak/>
              <w:t>39.</w:t>
            </w:r>
            <w:r w:rsidRPr="00E344A0">
              <w:tab/>
              <w:t xml:space="preserve">„üzemanyag- és/vagy energiafogyasztás-figyelő fedélzeti eszköz”: minden olyan szoftver vagy hardver, amely érzékeli és felhasználja a jármű-, a motor-, az üzemanyag- vagy az elektromosenergia-paramétereket, valamint a hasznos terhelésre/tömegre vonatkozó paramétereket ahhoz, hogy meghatározza és a járműben tárolja a jármű üzemanyag- és energiafogyasztási adatait, valamint a jármű üzemanyag- vagy energiafogyasztásának és energiahatékonyságának meghatározása </w:t>
            </w:r>
            <w:r w:rsidRPr="00E344A0">
              <w:lastRenderedPageBreak/>
              <w:t>szempontjából</w:t>
            </w:r>
            <w:r w:rsidRPr="00E344A0">
              <w:rPr>
                <w:b/>
                <w:i/>
              </w:rPr>
              <w:t>, valamint a közlekedésre való alkalmasság ellenőrzése céljából</w:t>
            </w:r>
            <w:r w:rsidRPr="00E344A0">
              <w:t xml:space="preserve"> releváns egyéb paramétereket;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44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44.</w:t>
            </w:r>
            <w:r w:rsidRPr="00E344A0">
              <w:tab/>
              <w:t xml:space="preserve">„manipulálás”: a </w:t>
            </w:r>
            <w:r w:rsidRPr="00E344A0">
              <w:rPr>
                <w:b/>
                <w:i/>
              </w:rPr>
              <w:t>motor</w:t>
            </w:r>
            <w:r w:rsidRPr="00E344A0">
              <w:t>, a jármű, a kibocsátáscsökkentő berendezés vagy rendszer, a hajtásrendszer, az elektromosjármű-hajtóakkumulátor, a kilométer-számláló, az üzemanyag- és/vagy az energiafogyasztás-figyelő fedélzeti eszköz vagy a fedélzeti diagnosztikai rendszer/fedélzeti ellenőrző rendszer gazdasági szereplők vagy független szereplők általi kikapcsolása vagy módosítása, ideértve az említett rendszerek bármely szoftverét vagy más logikai szabályozó elemét, valamint azok adatait;</w:t>
            </w:r>
          </w:p>
        </w:tc>
        <w:tc>
          <w:tcPr>
            <w:tcW w:w="4876" w:type="dxa"/>
          </w:tcPr>
          <w:p w:rsidR="00FF715E" w:rsidRPr="00E344A0" w:rsidRDefault="00FF715E" w:rsidP="00CD27F0">
            <w:pPr>
              <w:pStyle w:val="Normal6a"/>
            </w:pPr>
            <w:r w:rsidRPr="00E344A0">
              <w:t>44.</w:t>
            </w:r>
            <w:r w:rsidRPr="00E344A0">
              <w:tab/>
              <w:t xml:space="preserve">„manipulálás”: a </w:t>
            </w:r>
            <w:r w:rsidRPr="00E344A0">
              <w:rPr>
                <w:b/>
                <w:i/>
              </w:rPr>
              <w:t>belső égésű vagy villanymotor</w:t>
            </w:r>
            <w:r w:rsidRPr="00E344A0">
              <w:t>, a jármű, a kibocsátáscsökkentő berendezés vagy rendszer, a hajtásrendszer, az elektromosjármű-hajtóakkumulátor, a kilométer-számláló, az üzemanyag- és/vagy az energiafogyasztás-figyelő fedélzeti eszköz vagy a fedélzeti diagnosztikai rendszer/fedélzeti ellenőrző rendszer gazdasági szereplők vagy független szereplők általi kikapcsolása vagy módosítása, ideértve az említett rendszerek bármely szoftverét vagy más logikai szabályozó elemét, valamint azok adatait;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47 albekezdés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47.</w:t>
            </w:r>
            <w:r w:rsidRPr="00E344A0">
              <w:tab/>
              <w:t>„kis sorozatú gyártó”: olyan gyártó, amely naptári évenként kevesebb</w:t>
            </w:r>
            <w:r w:rsidRPr="00E344A0">
              <w:rPr>
                <w:b/>
                <w:i/>
              </w:rPr>
              <w:t>,</w:t>
            </w:r>
            <w:r w:rsidRPr="00E344A0">
              <w:t xml:space="preserve"> mint 10 000 új M</w:t>
            </w:r>
            <w:r w:rsidRPr="00E344A0">
              <w:rPr>
                <w:vertAlign w:val="subscript"/>
              </w:rPr>
              <w:t>1</w:t>
            </w:r>
            <w:r w:rsidRPr="00E344A0">
              <w:t xml:space="preserve"> kategóriájú vagy kevesebb</w:t>
            </w:r>
            <w:r w:rsidRPr="00E344A0">
              <w:rPr>
                <w:b/>
                <w:i/>
              </w:rPr>
              <w:t>,</w:t>
            </w:r>
            <w:r w:rsidRPr="00E344A0">
              <w:t xml:space="preserve"> mint 22 000 új N</w:t>
            </w:r>
            <w:r w:rsidRPr="00E344A0">
              <w:rPr>
                <w:vertAlign w:val="subscript"/>
              </w:rPr>
              <w:t>1</w:t>
            </w:r>
            <w:r w:rsidRPr="00E344A0">
              <w:t xml:space="preserve"> kategóriájú, az Unióban nyilvántartásba vett gépjárművet gyárt, és amely:</w:t>
            </w:r>
          </w:p>
        </w:tc>
        <w:tc>
          <w:tcPr>
            <w:tcW w:w="4876" w:type="dxa"/>
          </w:tcPr>
          <w:p w:rsidR="00FF715E" w:rsidRPr="00E344A0" w:rsidRDefault="00FF715E" w:rsidP="00CD27F0">
            <w:pPr>
              <w:pStyle w:val="Normal6a"/>
            </w:pPr>
            <w:r w:rsidRPr="00E344A0">
              <w:t>47.</w:t>
            </w:r>
            <w:r w:rsidRPr="00E344A0">
              <w:tab/>
              <w:t>„kis sorozatú gyártó”: olyan gyártó, amely naptári évenként kevesebb mint 10 000 új M</w:t>
            </w:r>
            <w:r w:rsidRPr="00E344A0">
              <w:rPr>
                <w:vertAlign w:val="subscript"/>
              </w:rPr>
              <w:t>1</w:t>
            </w:r>
            <w:r w:rsidRPr="00E344A0">
              <w:t xml:space="preserve"> kategóriájú vagy kevesebb mint 22 000 új N</w:t>
            </w:r>
            <w:r w:rsidRPr="00E344A0">
              <w:rPr>
                <w:vertAlign w:val="subscript"/>
              </w:rPr>
              <w:t>1</w:t>
            </w:r>
            <w:r w:rsidRPr="00E344A0">
              <w:rPr>
                <w:b/>
                <w:i/>
              </w:rPr>
              <w:t xml:space="preserve"> kategóriájú vagy összesen kevesebb mint 600 új M</w:t>
            </w:r>
            <w:r w:rsidRPr="00E344A0">
              <w:rPr>
                <w:b/>
                <w:i/>
                <w:vertAlign w:val="subscript"/>
              </w:rPr>
              <w:t>2</w:t>
            </w:r>
            <w:r w:rsidRPr="00E344A0">
              <w:rPr>
                <w:b/>
                <w:i/>
              </w:rPr>
              <w:t>, M</w:t>
            </w:r>
            <w:r w:rsidRPr="00E344A0">
              <w:rPr>
                <w:b/>
                <w:i/>
                <w:vertAlign w:val="subscript"/>
              </w:rPr>
              <w:t>3</w:t>
            </w:r>
            <w:r w:rsidRPr="00E344A0">
              <w:rPr>
                <w:b/>
                <w:i/>
              </w:rPr>
              <w:t xml:space="preserve"> és 6900 új N</w:t>
            </w:r>
            <w:r w:rsidRPr="00E344A0">
              <w:rPr>
                <w:b/>
                <w:i/>
                <w:vertAlign w:val="subscript"/>
              </w:rPr>
              <w:t>2</w:t>
            </w:r>
            <w:r w:rsidRPr="00E344A0">
              <w:rPr>
                <w:b/>
                <w:i/>
              </w:rPr>
              <w:t xml:space="preserve"> és N</w:t>
            </w:r>
            <w:r w:rsidRPr="00E344A0">
              <w:rPr>
                <w:b/>
                <w:i/>
                <w:vertAlign w:val="subscript"/>
              </w:rPr>
              <w:t>3</w:t>
            </w:r>
            <w:r w:rsidRPr="00E344A0">
              <w:t xml:space="preserve"> kategóriájú, az Unióban nyilvántartásba vett gépjárművet gyárt, és amely:</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49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63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63.</w:t>
            </w:r>
            <w:r w:rsidRPr="00E344A0">
              <w:tab/>
              <w:t xml:space="preserve">„névleges teljesítmény”: a </w:t>
            </w:r>
            <w:r w:rsidRPr="00E344A0">
              <w:rPr>
                <w:b/>
                <w:i/>
              </w:rPr>
              <w:t>motor vagy meghajtó berendezés</w:t>
            </w:r>
            <w:r w:rsidRPr="00E344A0">
              <w:t xml:space="preserve"> kW-ban kifejezett legnagyobb hasznos teljesítménye;</w:t>
            </w:r>
          </w:p>
        </w:tc>
        <w:tc>
          <w:tcPr>
            <w:tcW w:w="4876" w:type="dxa"/>
          </w:tcPr>
          <w:p w:rsidR="00FF715E" w:rsidRPr="00E344A0" w:rsidRDefault="00FF715E" w:rsidP="00CD27F0">
            <w:pPr>
              <w:pStyle w:val="Normal6a"/>
            </w:pPr>
            <w:r w:rsidRPr="00E344A0">
              <w:t>63.</w:t>
            </w:r>
            <w:r w:rsidRPr="00E344A0">
              <w:tab/>
              <w:t xml:space="preserve">„névleges teljesítmény”: a </w:t>
            </w:r>
            <w:r w:rsidRPr="00E344A0">
              <w:rPr>
                <w:b/>
                <w:i/>
              </w:rPr>
              <w:t>belső égésű vagy villanymotor</w:t>
            </w:r>
            <w:r w:rsidRPr="00E344A0">
              <w:t xml:space="preserve"> kW-ban kifejezett legnagyobb hasznos teljesítménye;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65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65.</w:t>
            </w:r>
            <w:r w:rsidRPr="00E344A0">
              <w:tab/>
              <w:t>„elektromosjármű-hajtóakkumulátor”: olyan akkumulátorrendszer, amely energiát tárol elsősorban a jármű meghajtása céljából;</w:t>
            </w:r>
          </w:p>
        </w:tc>
        <w:tc>
          <w:tcPr>
            <w:tcW w:w="4876" w:type="dxa"/>
          </w:tcPr>
          <w:p w:rsidR="00FF715E" w:rsidRPr="00E344A0" w:rsidRDefault="00FF715E" w:rsidP="00CD27F0">
            <w:pPr>
              <w:pStyle w:val="Normal6a"/>
            </w:pPr>
            <w:r w:rsidRPr="00E344A0">
              <w:t>65.</w:t>
            </w:r>
            <w:r w:rsidRPr="00E344A0">
              <w:tab/>
              <w:t xml:space="preserve">„elektromosjármű-hajtóakkumulátor”: olyan akkumulátorrendszer, </w:t>
            </w:r>
            <w:r w:rsidRPr="00E344A0">
              <w:rPr>
                <w:b/>
                <w:i/>
              </w:rPr>
              <w:t xml:space="preserve">beleértve az akkumulátorfelügyeleti rendszert is, </w:t>
            </w:r>
            <w:r w:rsidRPr="00E344A0">
              <w:t>amely energiát tárol elsősorban a jármű meghajtása céljából;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65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65a.</w:t>
            </w:r>
            <w:r w:rsidRPr="00E344A0">
              <w:tab/>
            </w:r>
            <w:r w:rsidRPr="00E344A0">
              <w:rPr>
                <w:b/>
                <w:i/>
              </w:rPr>
              <w:t xml:space="preserve">„akkumulátorfelügyeleti rendszer”: elektronikus eszköz, amely </w:t>
            </w:r>
            <w:proofErr w:type="spellStart"/>
            <w:r w:rsidRPr="00E344A0">
              <w:rPr>
                <w:b/>
                <w:i/>
              </w:rPr>
              <w:t>vezérli</w:t>
            </w:r>
            <w:proofErr w:type="spellEnd"/>
            <w:r w:rsidRPr="00E344A0">
              <w:rPr>
                <w:b/>
                <w:i/>
              </w:rPr>
              <w:t xml:space="preserve"> vagy felügyeli az akkumulátor elektromos és termikus funkcióit az akkumulátor biztonságosságának, teljesítményének és élettartamának biztosítása érdekében, kezeli és tárolja az akkumulátorok állapotának és várható élettartamának meghatározásához szükséges, az (EU) 2023/1542 rendelet VII. mellékletben foglalt paraméterekre vonatkozó adatokat, és kommunikál azzal a járművel, amelybe az akkumulátort beépítették, illetve a köz- vagy magántulajdonban lévő </w:t>
            </w:r>
            <w:r w:rsidRPr="00E344A0">
              <w:rPr>
                <w:b/>
                <w:i/>
              </w:rPr>
              <w:lastRenderedPageBreak/>
              <w:t>töltőinfrastruktúrával;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67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67.</w:t>
            </w:r>
            <w:r w:rsidRPr="00E344A0">
              <w:tab/>
              <w:t>„kibocsátásmentes hatótávolság”: az a maximális távolság, amelyet a kibocsátásmentes jármű képes megtenni az elektromosjármű-hajtóakkumulátor lemerüléséig</w:t>
            </w:r>
            <w:r w:rsidRPr="00E344A0">
              <w:rPr>
                <w:b/>
                <w:i/>
              </w:rPr>
              <w:t xml:space="preserve"> vagy az üzemanyagtartály</w:t>
            </w:r>
            <w:r w:rsidRPr="00E344A0">
              <w:t xml:space="preserve"> kiürüléséig; tisztán elektromos járművek esetében ez megfelel az elektromos hatótávolságnak;</w:t>
            </w:r>
          </w:p>
        </w:tc>
        <w:tc>
          <w:tcPr>
            <w:tcW w:w="4876" w:type="dxa"/>
          </w:tcPr>
          <w:p w:rsidR="00FF715E" w:rsidRPr="00E344A0" w:rsidRDefault="00FF715E" w:rsidP="00CD27F0">
            <w:pPr>
              <w:pStyle w:val="Normal6a"/>
            </w:pPr>
            <w:r w:rsidRPr="00E344A0">
              <w:t>67.</w:t>
            </w:r>
            <w:r w:rsidRPr="00E344A0">
              <w:tab/>
              <w:t xml:space="preserve">„kibocsátásmentes hatótávolság”: az a maximális távolság, amelyet a kibocsátásmentes jármű </w:t>
            </w:r>
            <w:r w:rsidRPr="00E344A0">
              <w:rPr>
                <w:b/>
                <w:i/>
              </w:rPr>
              <w:t xml:space="preserve">vagy a kibocsátásmentes üzemmódban működtetett jármű </w:t>
            </w:r>
            <w:r w:rsidRPr="00E344A0">
              <w:t>képes megtenni az elektromosjármű-hajtóakkumulátor lemerüléséig</w:t>
            </w:r>
            <w:r w:rsidRPr="00E344A0">
              <w:rPr>
                <w:b/>
                <w:i/>
              </w:rPr>
              <w:t>, illetve a nem belső égésű motorral felszerelt jármű üzemanyagtartályának</w:t>
            </w:r>
            <w:r w:rsidRPr="00E344A0">
              <w:t xml:space="preserve"> kiürüléséig; tisztán elektromos járművek esetében ez megfelel az elektromos hatótávolságnak;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71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71.</w:t>
            </w:r>
            <w:r w:rsidRPr="00E344A0">
              <w:tab/>
              <w:t xml:space="preserve">„környezetvédelmi járműútlevél”: papíralapú és digitális adatrekord, amely </w:t>
            </w:r>
            <w:r w:rsidRPr="00E344A0">
              <w:rPr>
                <w:b/>
                <w:i/>
              </w:rPr>
              <w:t>információkat tartalmaz a járműnek a nyilvántartásba vétel időpontjában fennálló környezeti teljesítményéről</w:t>
            </w:r>
            <w:r w:rsidRPr="00E344A0">
              <w:t xml:space="preserve">, </w:t>
            </w:r>
            <w:r w:rsidRPr="00E344A0">
              <w:rPr>
                <w:b/>
                <w:i/>
              </w:rPr>
              <w:t>beleértve</w:t>
            </w:r>
            <w:r w:rsidRPr="00E344A0">
              <w:t xml:space="preserve"> a </w:t>
            </w:r>
            <w:r w:rsidRPr="00E344A0">
              <w:rPr>
                <w:b/>
                <w:i/>
              </w:rPr>
              <w:t>szennyezőanyag-kibocsátási határértékek szintjét,</w:t>
            </w:r>
            <w:r w:rsidRPr="00E344A0">
              <w:t xml:space="preserve"> a </w:t>
            </w:r>
            <w:r w:rsidRPr="00E344A0">
              <w:rPr>
                <w:b/>
                <w:i/>
              </w:rPr>
              <w:t>CO</w:t>
            </w:r>
            <w:r w:rsidRPr="00E344A0">
              <w:rPr>
                <w:b/>
                <w:i/>
                <w:vertAlign w:val="subscript"/>
              </w:rPr>
              <w:t>2</w:t>
            </w:r>
            <w:r w:rsidRPr="00E344A0">
              <w:rPr>
                <w:b/>
                <w:i/>
              </w:rPr>
              <w:t xml:space="preserve"> -kibocsátást, az üzemanyag-fogyasztást, az energiafogyasztást, az elektromos hatótávolságot</w:t>
            </w:r>
            <w:r w:rsidRPr="00E344A0">
              <w:t xml:space="preserve"> és a </w:t>
            </w:r>
            <w:r w:rsidRPr="00E344A0">
              <w:rPr>
                <w:b/>
                <w:i/>
              </w:rPr>
              <w:t>motorteljesítményt, valamint az akkumulátor tartósságát és más kapcsolódó értékeket</w:t>
            </w:r>
            <w:r w:rsidRPr="00E344A0">
              <w:t>;</w:t>
            </w:r>
          </w:p>
        </w:tc>
        <w:tc>
          <w:tcPr>
            <w:tcW w:w="4876" w:type="dxa"/>
          </w:tcPr>
          <w:p w:rsidR="00FF715E" w:rsidRPr="00E344A0" w:rsidRDefault="00FF715E" w:rsidP="00CD27F0">
            <w:pPr>
              <w:pStyle w:val="Normal6a"/>
            </w:pPr>
            <w:r w:rsidRPr="00E344A0">
              <w:t>71.</w:t>
            </w:r>
            <w:r w:rsidRPr="00E344A0">
              <w:tab/>
              <w:t xml:space="preserve">„környezetvédelmi járműútlevél”: papíralapú és digitális adatrekord, amely </w:t>
            </w:r>
            <w:r w:rsidRPr="00E344A0">
              <w:rPr>
                <w:b/>
                <w:i/>
              </w:rPr>
              <w:t>minden olyan információt tartalmaz</w:t>
            </w:r>
            <w:r w:rsidRPr="00E344A0">
              <w:t xml:space="preserve">, </w:t>
            </w:r>
            <w:r w:rsidRPr="00E344A0">
              <w:rPr>
                <w:b/>
                <w:i/>
              </w:rPr>
              <w:t>amely</w:t>
            </w:r>
            <w:r w:rsidRPr="00E344A0">
              <w:t xml:space="preserve"> a </w:t>
            </w:r>
            <w:r w:rsidRPr="00E344A0">
              <w:rPr>
                <w:b/>
                <w:i/>
              </w:rPr>
              <w:t>típusjóváhagyás során</w:t>
            </w:r>
            <w:r w:rsidRPr="00E344A0">
              <w:t xml:space="preserve"> a </w:t>
            </w:r>
            <w:r w:rsidRPr="00E344A0">
              <w:rPr>
                <w:b/>
                <w:i/>
              </w:rPr>
              <w:t>vizsgált</w:t>
            </w:r>
            <w:r w:rsidRPr="00E344A0">
              <w:t xml:space="preserve"> és a </w:t>
            </w:r>
            <w:r w:rsidRPr="00E344A0">
              <w:rPr>
                <w:b/>
                <w:i/>
              </w:rPr>
              <w:t>gyártó által megadott értékek ellenőrzéséhez szükséges</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lastRenderedPageBreak/>
        <w:t>3 cikk – 2 bekezdés – 72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72.</w:t>
            </w:r>
            <w:r w:rsidRPr="00E344A0">
              <w:tab/>
              <w:t xml:space="preserve">„a járművezetőt a </w:t>
            </w:r>
            <w:r w:rsidRPr="00E344A0">
              <w:rPr>
                <w:b/>
                <w:i/>
              </w:rPr>
              <w:t>kibocsátási</w:t>
            </w:r>
            <w:r w:rsidRPr="00E344A0">
              <w:t xml:space="preserve"> határértékek túllépésére figyelmeztető rendszer”: olyan rendszer, amelyet azért terveztek, gyártottak és építettek be a járműbe, hogy tájékoztassa a felhasználót a </w:t>
            </w:r>
            <w:r w:rsidRPr="00E344A0">
              <w:rPr>
                <w:b/>
                <w:i/>
              </w:rPr>
              <w:t>kibocsátási</w:t>
            </w:r>
            <w:r w:rsidRPr="00E344A0">
              <w:t xml:space="preserve"> határértékek túllépéséről, és biztosítsa, hogy sor kerüljön javítások végrehajtására;</w:t>
            </w:r>
          </w:p>
        </w:tc>
        <w:tc>
          <w:tcPr>
            <w:tcW w:w="4876" w:type="dxa"/>
          </w:tcPr>
          <w:p w:rsidR="00FF715E" w:rsidRPr="00E344A0" w:rsidRDefault="00FF715E" w:rsidP="00CD27F0">
            <w:pPr>
              <w:pStyle w:val="Normal6a"/>
            </w:pPr>
            <w:r w:rsidRPr="00E344A0">
              <w:t>72.</w:t>
            </w:r>
            <w:r w:rsidRPr="00E344A0">
              <w:tab/>
              <w:t xml:space="preserve">„a járművezetőt a </w:t>
            </w:r>
            <w:r w:rsidRPr="00E344A0">
              <w:rPr>
                <w:b/>
                <w:i/>
              </w:rPr>
              <w:t>kipufogógáz-kibocsátási</w:t>
            </w:r>
            <w:r w:rsidRPr="00E344A0">
              <w:t xml:space="preserve"> határértékek túllépésére figyelmeztető rendszer”: olyan rendszer, amelyet azért terveztek, gyártottak és építettek be a járműbe, hogy tájékoztassa a felhasználót a </w:t>
            </w:r>
            <w:r w:rsidRPr="00E344A0">
              <w:rPr>
                <w:b/>
                <w:i/>
              </w:rPr>
              <w:t>kipufogógáz-kibocsátási</w:t>
            </w:r>
            <w:r w:rsidRPr="00E344A0">
              <w:t xml:space="preserve"> határértékek túllépéséről, és biztosítsa, hogy sor kerüljön javítások végrehajtására;</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77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77.</w:t>
            </w:r>
            <w:r w:rsidRPr="00E344A0">
              <w:tab/>
            </w:r>
            <w:r w:rsidRPr="00E344A0">
              <w:rPr>
                <w:b/>
                <w:i/>
              </w:rPr>
              <w:t>„téli gumiabroncs”: olyan gumiabroncs, amelynél a futófelület mintázatát, a futófelület anyagának összetételét vagy a futófelület szerkezetét elsődlegesen arra tervezték, hogy havas viszonyok között a jármű mozgásának elindítására vagy fenntartására való képessége tekintetében jobb teljesítményt nyújtson, mint a normál gumiabroncs;</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78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78.</w:t>
            </w:r>
            <w:r w:rsidRPr="00E344A0">
              <w:tab/>
            </w:r>
            <w:r w:rsidRPr="00E344A0">
              <w:rPr>
                <w:b/>
                <w:i/>
              </w:rPr>
              <w:t>„speciális használatú gumiabroncs”: mind közúton, mind terepen használható gumiabroncs, vagy más speciális célú gumiabroncs. Ezeket elsősorban a jármű terepen történő elindítására és mozgásban tartására tervezték.</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lastRenderedPageBreak/>
        <w:t>Módosítás</w:t>
      </w:r>
      <w:r w:rsidRPr="00E344A0">
        <w:tab/>
      </w:r>
      <w:r w:rsidRPr="00E344A0">
        <w:tab/>
        <w:t>57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3 cikk – 2 bekezdés – 78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78a.</w:t>
            </w:r>
            <w:r w:rsidRPr="00E344A0">
              <w:tab/>
            </w:r>
            <w:r w:rsidRPr="00E344A0">
              <w:rPr>
                <w:b/>
                <w:i/>
              </w:rPr>
              <w:t>„jeges útviszonyokra szánt gumiabroncs”: olyan C1 kategóriájú, rendkívül havas útviszonyok közötti használatra szánt téli gumiabroncs, amelyet az említett viszonyokon felül a jéggel borított útfelületeken történő használatra terveztek, és amely megfelel az 117. sz. ENSZ-előírásban foglalt követelményeknek;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w:t>
            </w:r>
            <w:r w:rsidRPr="00E344A0">
              <w:tab/>
              <w:t>A gyártók biztosítják, hogy az általuk gyártott, majd az Unióban értékesített, nyilvántartásba vett vagy forgalomba helyezett új járművek e rendelet szerint típusjóváhagyáson essenek át. A gyártók biztosítják, hogy az általuk gyártott, majd az Unióban értékesített vagy üzembe helyezett, típusjóváhagyási engedélyhez kötött új alkotóelemek vagy önálló műszaki egységek – köztük motorok, elektromosjármű-hajtóakkumulátorok, fékrendszerek és kibocsátáscsökkentő pótrendszerek – e rendelet szerint típusjóváhagyáson essenek át.</w:t>
            </w:r>
          </w:p>
        </w:tc>
        <w:tc>
          <w:tcPr>
            <w:tcW w:w="4876" w:type="dxa"/>
          </w:tcPr>
          <w:p w:rsidR="00FF715E" w:rsidRPr="00E344A0" w:rsidRDefault="00FF715E" w:rsidP="00CD27F0">
            <w:pPr>
              <w:pStyle w:val="Normal6a"/>
            </w:pPr>
            <w:r w:rsidRPr="00E344A0">
              <w:t>(1)</w:t>
            </w:r>
            <w:r w:rsidRPr="00E344A0">
              <w:tab/>
              <w:t xml:space="preserve">A gyártók biztosítják, hogy az általuk gyártott, majd az Unióban értékesített, nyilvántartásba vett vagy forgalomba helyezett új járművek e rendelet szerint típusjóváhagyáson essenek át. </w:t>
            </w:r>
            <w:r w:rsidRPr="00E344A0">
              <w:rPr>
                <w:b/>
                <w:i/>
              </w:rPr>
              <w:t xml:space="preserve">Az e rendeletben szereplő konkrét alkalmazási időpontoktól kezdődően </w:t>
            </w:r>
            <w:r w:rsidRPr="00E344A0">
              <w:t>a gyártók biztosítják, hogy az általuk gyártott, majd az Unióban értékesített vagy üzembe helyezett, típusjóváhagyási engedélyhez kötött új alkotóelemek vagy önálló műszaki egységek – köztük motorok, elektromosjármű-hajtóakkumulátorok, fékrendszerek</w:t>
            </w:r>
            <w:r w:rsidRPr="00E344A0">
              <w:rPr>
                <w:b/>
                <w:i/>
              </w:rPr>
              <w:t>, gumiabroncsok</w:t>
            </w:r>
            <w:r w:rsidRPr="00E344A0">
              <w:t xml:space="preserve"> és kibocsátáscsökkentő pótrendszerek – e rendelet szerint típusjóváhagyáson essenek át.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59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3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 xml:space="preserve">A kipufogógáz-kibocsátási határértékeknek való megfelelés ellenőrzése során, amennyiben a vizsgálatot kiterjesztett vezetési </w:t>
            </w:r>
            <w:r w:rsidRPr="00E344A0">
              <w:rPr>
                <w:b/>
                <w:i/>
              </w:rPr>
              <w:t>feltételek</w:t>
            </w:r>
            <w:r w:rsidRPr="00E344A0">
              <w:t xml:space="preserve"> mellett végzik, a kibocsátásokat el kell osztani a III. mellékletben meghatározott kiterjesztett vezetési osztóval.</w:t>
            </w:r>
          </w:p>
        </w:tc>
        <w:tc>
          <w:tcPr>
            <w:tcW w:w="4876" w:type="dxa"/>
          </w:tcPr>
          <w:p w:rsidR="00FF715E" w:rsidRPr="00E344A0" w:rsidRDefault="00FF715E" w:rsidP="00CD27F0">
            <w:pPr>
              <w:pStyle w:val="Normal6a"/>
            </w:pPr>
            <w:r w:rsidRPr="00E344A0">
              <w:t xml:space="preserve">A kipufogógáz-kibocsátási határértékeknek való megfelelés ellenőrzése során, amennyiben a vizsgálatot </w:t>
            </w:r>
            <w:r w:rsidRPr="00E344A0">
              <w:rPr>
                <w:b/>
                <w:i/>
              </w:rPr>
              <w:t xml:space="preserve">egyszerre egy </w:t>
            </w:r>
            <w:r w:rsidRPr="00E344A0">
              <w:t xml:space="preserve">kiterjesztett vezetési </w:t>
            </w:r>
            <w:r w:rsidRPr="00E344A0">
              <w:rPr>
                <w:b/>
                <w:i/>
              </w:rPr>
              <w:t>feltétel</w:t>
            </w:r>
            <w:r w:rsidRPr="00E344A0">
              <w:t xml:space="preserve"> mellett végzik, a kibocsátásokat el kell osztani a III. mellékletben meghatározott kiterjesztett vezetési osztóval.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3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A kibocsátáscsökkentő rendszerek regenerációja során történő kibocsátásokat a regenerációk gyakorisága és időtartama alapján számított súlyozott átlagként kell figyelembe venni.</w:t>
            </w:r>
          </w:p>
        </w:tc>
        <w:tc>
          <w:tcPr>
            <w:tcW w:w="4876" w:type="dxa"/>
          </w:tcPr>
          <w:p w:rsidR="00FF715E" w:rsidRPr="00E344A0" w:rsidRDefault="00FF715E" w:rsidP="00CD27F0">
            <w:pPr>
              <w:pStyle w:val="Normal6a"/>
            </w:pPr>
            <w:r w:rsidRPr="00E344A0">
              <w:rPr>
                <w:i/>
              </w:rPr>
              <w:t>(A magyar változatot nem érinti.)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(4)</w:t>
            </w:r>
            <w:r w:rsidRPr="00E344A0">
              <w:tab/>
              <w:t>A gyártók az e rendeletnek – többek között az I. mellékletben meghatározott kibocsátási határértékeknek – megfelelő alkotóelemeket vagy önálló műszaki egységeket – úgymint motorokat, elektromosjármű-hajtóakkumulátorokat, fékrendszereket és kibocsátáscsökkentő pótrendszereket – terveznek és gyártanak.</w:t>
            </w:r>
          </w:p>
        </w:tc>
        <w:tc>
          <w:tcPr>
            <w:tcW w:w="4876" w:type="dxa"/>
          </w:tcPr>
          <w:p w:rsidR="00FF715E" w:rsidRPr="00E344A0" w:rsidRDefault="00FF715E" w:rsidP="00CD27F0">
            <w:pPr>
              <w:pStyle w:val="Normal6a"/>
            </w:pPr>
            <w:r w:rsidRPr="00E344A0">
              <w:t>(4)</w:t>
            </w:r>
            <w:r w:rsidRPr="00E344A0">
              <w:tab/>
              <w:t xml:space="preserve">A gyártók az e rendeletnek – többek között </w:t>
            </w:r>
            <w:r w:rsidRPr="00E344A0">
              <w:rPr>
                <w:b/>
                <w:i/>
              </w:rPr>
              <w:t xml:space="preserve">a III. mellékletben meghatározott vizsgálati feltételek mellett </w:t>
            </w:r>
            <w:r w:rsidRPr="00E344A0">
              <w:t>az I. mellékletben meghatározott kibocsátási határértékeknek – megfelelő alkotóelemeket vagy önálló műszaki egységeket – úgymint motorokat, elektromosjármű-hajtóakkumulátorokat, fékrendszereket és kibocsátáscsökkentő pótrendszereket – terveznek és gyártanak.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lastRenderedPageBreak/>
        <w:t>4 cikk – 6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a)</w:t>
            </w:r>
            <w:r w:rsidRPr="00E344A0">
              <w:tab/>
              <w:t xml:space="preserve">fedélzeti diagnosztikai rendszerek, amelyek képesek észlelni a </w:t>
            </w:r>
            <w:r w:rsidRPr="00E344A0">
              <w:rPr>
                <w:b/>
                <w:i/>
              </w:rPr>
              <w:t>kibocsátási</w:t>
            </w:r>
            <w:r w:rsidRPr="00E344A0">
              <w:t xml:space="preserve"> határértékek túllépését eredményező, hibásan működő rendszereket a javítások megkönnyítése érdekében;</w:t>
            </w:r>
          </w:p>
        </w:tc>
        <w:tc>
          <w:tcPr>
            <w:tcW w:w="4876" w:type="dxa"/>
          </w:tcPr>
          <w:p w:rsidR="00FF715E" w:rsidRPr="00E344A0" w:rsidRDefault="00FF715E" w:rsidP="00CD27F0">
            <w:pPr>
              <w:pStyle w:val="Normal6a"/>
            </w:pPr>
            <w:r w:rsidRPr="00E344A0">
              <w:t>a)</w:t>
            </w:r>
            <w:r w:rsidRPr="00E344A0">
              <w:tab/>
              <w:t xml:space="preserve">fedélzeti diagnosztikai rendszerek, amelyek képesek észlelni a </w:t>
            </w:r>
            <w:r w:rsidRPr="00E344A0">
              <w:rPr>
                <w:b/>
                <w:i/>
              </w:rPr>
              <w:t>kipufogógáz-kibocsátási</w:t>
            </w:r>
            <w:r w:rsidRPr="00E344A0">
              <w:t xml:space="preserve"> határértékek túllépését eredményező, hibásan működő rendszereket</w:t>
            </w:r>
            <w:r w:rsidRPr="00E344A0">
              <w:rPr>
                <w:b/>
                <w:i/>
              </w:rPr>
              <w:t xml:space="preserve"> vagy más alkatrészek meghibásodását</w:t>
            </w:r>
            <w:r w:rsidRPr="00E344A0">
              <w:t xml:space="preserve"> a javítások megkönnyítése érdekében;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6 bekezdés–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b)</w:t>
            </w:r>
            <w:r w:rsidRPr="00E344A0">
              <w:tab/>
              <w:t>fedélzeti ellenőrző rendszerek, amelyek képesek észlelni az üzemzavarok, a fokozott állagromlás vagy más, a kibocsátás növekedését okozó helyzetek miatt fellépő, kibocsátási határértékeket meghaladó kibocsátásokat;</w:t>
            </w:r>
          </w:p>
        </w:tc>
        <w:tc>
          <w:tcPr>
            <w:tcW w:w="4876" w:type="dxa"/>
          </w:tcPr>
          <w:p w:rsidR="00FF715E" w:rsidRPr="00E344A0" w:rsidRDefault="00FF715E" w:rsidP="00CD27F0">
            <w:pPr>
              <w:pStyle w:val="Normal6a"/>
            </w:pPr>
            <w:r w:rsidRPr="00E344A0">
              <w:t>b)</w:t>
            </w:r>
            <w:r w:rsidRPr="00E344A0">
              <w:tab/>
              <w:t>fedélzeti ellenőrző rendszerek, amelyek képesek észlelni az üzemzavarok, a fokozott állagromlás vagy más, a kibocsátás növekedését okozó helyzetek miatt fellépő, kibocsátási határértékeket meghaladó kibocsátásokat</w:t>
            </w:r>
            <w:r w:rsidRPr="00E344A0">
              <w:rPr>
                <w:b/>
                <w:i/>
              </w:rPr>
              <w:t xml:space="preserve"> a fedélzeti ellenőrző rendszer mérési tűréshatárain belül vagy a kibocsátásmentes üzemmódban</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6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d)</w:t>
            </w:r>
            <w:r w:rsidRPr="00E344A0">
              <w:tab/>
              <w:t xml:space="preserve">az elektromosjármű-hajtóakkumulátor </w:t>
            </w:r>
            <w:r w:rsidRPr="00E344A0">
              <w:rPr>
                <w:b/>
                <w:i/>
              </w:rPr>
              <w:t xml:space="preserve">és a kibocsátáscsökkentő rendszerek </w:t>
            </w:r>
            <w:r w:rsidRPr="00E344A0">
              <w:t>állapotfigyelői;</w:t>
            </w:r>
          </w:p>
        </w:tc>
        <w:tc>
          <w:tcPr>
            <w:tcW w:w="4876" w:type="dxa"/>
          </w:tcPr>
          <w:p w:rsidR="00FF715E" w:rsidRPr="00E344A0" w:rsidRDefault="00FF715E" w:rsidP="00CD27F0">
            <w:pPr>
              <w:pStyle w:val="Normal6a"/>
            </w:pPr>
            <w:r w:rsidRPr="00E344A0">
              <w:t>d)</w:t>
            </w:r>
            <w:r w:rsidRPr="00E344A0">
              <w:tab/>
              <w:t>az elektromosjármű-hajtóakkumulátor állapotfigyelői;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6 bekezdés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e)</w:t>
            </w:r>
            <w:r w:rsidRPr="00E344A0">
              <w:tab/>
              <w:t xml:space="preserve">a járművezetőt a </w:t>
            </w:r>
            <w:r w:rsidRPr="00E344A0">
              <w:rPr>
                <w:b/>
                <w:i/>
              </w:rPr>
              <w:t>kibocsátási</w:t>
            </w:r>
            <w:r w:rsidRPr="00E344A0">
              <w:t xml:space="preserve"> határértékek túllépésére figyelmeztető rendszerek;</w:t>
            </w:r>
          </w:p>
        </w:tc>
        <w:tc>
          <w:tcPr>
            <w:tcW w:w="4876" w:type="dxa"/>
          </w:tcPr>
          <w:p w:rsidR="00FF715E" w:rsidRPr="00E344A0" w:rsidRDefault="00FF715E" w:rsidP="00CD27F0">
            <w:pPr>
              <w:pStyle w:val="Normal6a"/>
            </w:pPr>
            <w:r w:rsidRPr="00E344A0">
              <w:t>e)</w:t>
            </w:r>
            <w:r w:rsidRPr="00E344A0">
              <w:tab/>
              <w:t xml:space="preserve">a járművezetőt a </w:t>
            </w:r>
            <w:r w:rsidRPr="00E344A0">
              <w:rPr>
                <w:b/>
                <w:i/>
              </w:rPr>
              <w:t>kipufogógáz-kibocsátási</w:t>
            </w:r>
            <w:r w:rsidRPr="00E344A0">
              <w:t xml:space="preserve"> határértékek túllépésére figyelmeztető rendszerek;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6 bekezdés – g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g)</w:t>
            </w:r>
            <w:r w:rsidRPr="00E344A0">
              <w:tab/>
              <w:t>eszközök, amelyek az e rendeletnek való megfelelést szolgáló, a jármű által generált adatokat és az üzemanyag- és energiafogyasztás-figyelő fedélzeti eszköz adatait vezeték nélkül továbbítják időszakos műszaki vizsgálatok és közúti műszaki ellenőrzések céljára, valamint</w:t>
            </w:r>
            <w:r w:rsidRPr="00E344A0">
              <w:rPr>
                <w:b/>
                <w:i/>
              </w:rPr>
              <w:t xml:space="preserve"> amelyek kommunikálnak</w:t>
            </w:r>
            <w:r w:rsidRPr="00E344A0">
              <w:t xml:space="preserve"> az intelligens és kétirányú töltési funkciók támogatására alkalmas töltőinfrastruktúrával és helyhez kötött energiarendszerekkel.</w:t>
            </w:r>
          </w:p>
        </w:tc>
        <w:tc>
          <w:tcPr>
            <w:tcW w:w="4876" w:type="dxa"/>
          </w:tcPr>
          <w:p w:rsidR="00FF715E" w:rsidRPr="00E344A0" w:rsidRDefault="00FF715E" w:rsidP="00CD27F0">
            <w:pPr>
              <w:pStyle w:val="Normal6a"/>
            </w:pPr>
            <w:r w:rsidRPr="00E344A0">
              <w:t>g)</w:t>
            </w:r>
            <w:r w:rsidRPr="00E344A0">
              <w:tab/>
              <w:t xml:space="preserve">eszközök, amelyek az e rendeletnek való megfelelést szolgáló, a jármű által generált adatokat és az üzemanyag- és energiafogyasztás-figyelő fedélzeti eszköz adatait </w:t>
            </w:r>
            <w:r w:rsidRPr="00E344A0">
              <w:rPr>
                <w:b/>
                <w:i/>
              </w:rPr>
              <w:t xml:space="preserve">a jóváhagyási számmal és a típusjóváhagyási változattal együtt </w:t>
            </w:r>
            <w:r w:rsidRPr="00E344A0">
              <w:t>vezeték nélkül továbbítják</w:t>
            </w:r>
            <w:r w:rsidRPr="00E344A0">
              <w:rPr>
                <w:b/>
                <w:i/>
              </w:rPr>
              <w:t xml:space="preserve"> az</w:t>
            </w:r>
            <w:r w:rsidRPr="00E344A0">
              <w:t xml:space="preserve"> időszakos műszaki vizsgálatok és közúti műszaki ellenőrzések céljára, valamint az intelligens és kétirányú töltési funkciók támogatására alkalmas töltőinfrastruktúrával és helyhez kötött energiarendszerekkel</w:t>
            </w:r>
            <w:r w:rsidRPr="00E344A0">
              <w:rPr>
                <w:b/>
                <w:i/>
              </w:rPr>
              <w:t xml:space="preserve"> folytatott kommunikáció keretében, továbbá a járműhasználó részére harmadik fél által nyújtott szolgáltatások biztosítása céljából a jármű használatának javítása, az energiafogyasztás és a kibocsátások csökkentése, illetve az akkumulátor élettartamának meghosszabbítása érdekében</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7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d)</w:t>
            </w:r>
            <w:r w:rsidRPr="00E344A0">
              <w:tab/>
              <w:t>kilométer-számláló</w:t>
            </w:r>
            <w:r w:rsidRPr="00E344A0">
              <w:rPr>
                <w:b/>
                <w:i/>
              </w:rPr>
              <w:t>; és</w:t>
            </w:r>
          </w:p>
        </w:tc>
        <w:tc>
          <w:tcPr>
            <w:tcW w:w="4876" w:type="dxa"/>
          </w:tcPr>
          <w:p w:rsidR="00FF715E" w:rsidRPr="00E344A0" w:rsidRDefault="00FF715E" w:rsidP="00CD27F0">
            <w:pPr>
              <w:pStyle w:val="Normal6a"/>
            </w:pPr>
            <w:r w:rsidRPr="00E344A0">
              <w:t>d)</w:t>
            </w:r>
            <w:r w:rsidRPr="00E344A0">
              <w:tab/>
              <w:t>kilométer-számláló</w:t>
            </w:r>
            <w:r w:rsidRPr="00E344A0">
              <w:rPr>
                <w:b/>
                <w:i/>
              </w:rPr>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7 bekezdés – e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proofErr w:type="spellStart"/>
            <w:r w:rsidRPr="00E344A0">
              <w:rPr>
                <w:b/>
                <w:i/>
              </w:rPr>
              <w:t>ea</w:t>
            </w:r>
            <w:proofErr w:type="spellEnd"/>
            <w:r w:rsidRPr="00E344A0">
              <w:rPr>
                <w:b/>
                <w:i/>
              </w:rPr>
              <w:t>)</w:t>
            </w:r>
            <w:r w:rsidRPr="00E344A0">
              <w:tab/>
            </w:r>
            <w:r w:rsidRPr="00E344A0">
              <w:rPr>
                <w:b/>
                <w:i/>
              </w:rPr>
              <w:t>villanymotor és kapcsolódó vezérlőegységek,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69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7 bekezdés – e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eb)</w:t>
            </w:r>
            <w:r w:rsidRPr="00E344A0">
              <w:tab/>
            </w:r>
            <w:r w:rsidRPr="00E344A0">
              <w:rPr>
                <w:b/>
                <w:i/>
              </w:rPr>
              <w:t>járműbiztonsági rendszerek.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8 bekezdés</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(8)</w:t>
            </w:r>
            <w:r w:rsidRPr="00E344A0">
              <w:tab/>
              <w:t xml:space="preserve">A gyártó megakadályozza a (7) bekezdésben említett sebezhetőségek kihasználásának lehetőségét. Ilyen sebezhetőség megállapítása esetén a gyártó szoftverfrissítés útján vagy bármely más megfelelő eszközzel </w:t>
            </w:r>
            <w:r w:rsidRPr="00E344A0">
              <w:rPr>
                <w:b/>
                <w:i/>
              </w:rPr>
              <w:t>megszünteti</w:t>
            </w:r>
            <w:r w:rsidRPr="00E344A0">
              <w:t xml:space="preserve"> a sebezhetőséget.</w:t>
            </w:r>
          </w:p>
        </w:tc>
        <w:tc>
          <w:tcPr>
            <w:tcW w:w="4876" w:type="dxa"/>
          </w:tcPr>
          <w:p w:rsidR="00FF715E" w:rsidRPr="00E344A0" w:rsidRDefault="00FF715E" w:rsidP="00CD27F0">
            <w:pPr>
              <w:pStyle w:val="Normal6a"/>
            </w:pPr>
            <w:r w:rsidRPr="00E344A0">
              <w:t>(8)</w:t>
            </w:r>
            <w:r w:rsidRPr="00E344A0">
              <w:tab/>
              <w:t xml:space="preserve">A gyártó </w:t>
            </w:r>
            <w:r w:rsidRPr="00E344A0">
              <w:rPr>
                <w:b/>
                <w:i/>
              </w:rPr>
              <w:t xml:space="preserve">a típusjóváhagyás időpontjában rendelkezésére álló legjobb ismeretek alapján a lehető legteljesebb mértékben </w:t>
            </w:r>
            <w:r w:rsidRPr="00E344A0">
              <w:t xml:space="preserve">megakadályozza a (7) bekezdésben említett sebezhetőségek kihasználásának lehetőségét. Ilyen sebezhetőség megállapítása esetén a gyártó </w:t>
            </w:r>
            <w:r w:rsidRPr="00E344A0">
              <w:rPr>
                <w:b/>
                <w:i/>
              </w:rPr>
              <w:t xml:space="preserve">– a technológia állását figyelembe véve – minden lehetséges intézkedést meghoz annak érdekében, hogy </w:t>
            </w:r>
            <w:r w:rsidRPr="00E344A0">
              <w:t xml:space="preserve">szoftverfrissítés útján vagy bármely más megfelelő eszközzel </w:t>
            </w:r>
            <w:r w:rsidRPr="00E344A0">
              <w:rPr>
                <w:b/>
                <w:i/>
              </w:rPr>
              <w:t>megszüntesse</w:t>
            </w:r>
            <w:r w:rsidRPr="00E344A0">
              <w:t xml:space="preserve"> a sebezhetőséget.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8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lastRenderedPageBreak/>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(8a)</w:t>
            </w:r>
            <w:r w:rsidRPr="00E344A0">
              <w:tab/>
            </w:r>
            <w:r w:rsidRPr="00E344A0">
              <w:rPr>
                <w:b/>
                <w:i/>
              </w:rPr>
              <w:t>A gyártók biztosítják, hogy a független gazdasági szereplők hozzáférjenek a gyártó műszaki követelményeinek megfelelő, kompatibilis, értékesítés utáni pótalkatrészek kifejlesztéséhez szükséges információkhoz, eszközökhöz és folyamatokhoz, valamint azt, hogy a gyártó által végrehajtott, manipulálás elleni intézkedésekkel összhangban a járműbe be lehessen építeni és abban használni lehessen ezeket az alkatrészeket, beleértve a fedélzeti ellenőrzéshez kapcsolódó alkatrészeket is.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A független gazdasági szereplők számára nélkülözhetetlen információk, eszközök és folyamatok manipulálás megakadályozása érdekében történő visszatartásának mérlegelésekor a járműgyártóknak bizonyítaniuk kell, hogy a szóban forgó információk, eszközök és eljárások visszatartása arányos eszköz a manipulálással kapcsolatos adott aggályok kezelésére. Ezért különösen azt kell megvizsgálniuk, hogy kevésbé korlátozó intézkedések is elegendők lennének-e.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4 cikk – 10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(10)</w:t>
            </w:r>
            <w:r w:rsidRPr="00E344A0">
              <w:tab/>
            </w:r>
            <w:r w:rsidRPr="00E344A0">
              <w:rPr>
                <w:b/>
                <w:i/>
              </w:rPr>
              <w:t>A Bizottság végrehajtási jogi aktusok útján részletes szabályokat fogad el az (1)–(9) bekezdésben meghatározott követelményeknek való megfelelés ellenőrzésére szolgáló eljárásokra, vizsgálatokra és módszerekre vonatkozóan. Ezeket a végrehajtási jogi aktusokat a 17. cikk (2) bekezdésében említett vizsgálóbizottsági eljárás keretében kell elfogadni.</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lastRenderedPageBreak/>
        <w:t>Módosítás</w:t>
      </w:r>
      <w:r w:rsidRPr="00E344A0">
        <w:tab/>
      </w:r>
      <w:r w:rsidRPr="00E344A0">
        <w:tab/>
        <w:t>73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5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(1)</w:t>
            </w:r>
            <w:r w:rsidRPr="00E344A0">
              <w:tab/>
            </w:r>
            <w:r w:rsidRPr="00E344A0">
              <w:rPr>
                <w:b/>
                <w:i/>
              </w:rPr>
              <w:t>A gyártók az általuk gyártott járműveket „Euro 7+ járműként” jelölhetik meg, amennyiben nyilatkozatot tesznek arról, hogy a járművek megfelelnek a következőknek:</w:t>
            </w:r>
          </w:p>
        </w:tc>
        <w:tc>
          <w:tcPr>
            <w:tcW w:w="4876" w:type="dxa"/>
          </w:tcPr>
          <w:p w:rsidR="00FF715E" w:rsidRPr="00E344A0" w:rsidRDefault="00FF715E" w:rsidP="00CD27F0">
            <w:pPr>
              <w:pStyle w:val="Normal6a"/>
            </w:pPr>
            <w:r w:rsidRPr="00E344A0">
              <w:rPr>
                <w:b/>
                <w:i/>
              </w:rPr>
              <w:t>törölve</w:t>
            </w:r>
          </w:p>
        </w:tc>
      </w:tr>
      <w:tr w:rsidR="00FF715E" w:rsidRPr="00E344A0" w:rsidTr="00CD27F0">
        <w:trPr>
          <w:jc w:val="center"/>
        </w:trPr>
        <w:tc>
          <w:tcPr>
            <w:tcW w:w="4876" w:type="dxa"/>
          </w:tcPr>
          <w:p w:rsidR="00FF715E" w:rsidRPr="00E344A0" w:rsidRDefault="00FF715E" w:rsidP="00CD27F0">
            <w:pPr>
              <w:pStyle w:val="Normal6a"/>
            </w:pPr>
            <w:r w:rsidRPr="00E344A0">
              <w:rPr>
                <w:b/>
                <w:i/>
              </w:rPr>
              <w:t xml:space="preserve">a) </w:t>
            </w:r>
            <w:r w:rsidRPr="00E344A0">
              <w:tab/>
            </w:r>
            <w:r w:rsidRPr="00E344A0">
              <w:rPr>
                <w:b/>
                <w:i/>
              </w:rPr>
              <w:t>belső égésű motorral felszerelt járművek és nem külső feltöltésű hibrid elektromos járművek esetében a gáz-halmazállapotú szennyező anyagok tekintetében az I. mellékletben meghatározottaknál legalább 20 %-</w:t>
            </w:r>
            <w:proofErr w:type="spellStart"/>
            <w:r w:rsidRPr="00E344A0">
              <w:rPr>
                <w:b/>
                <w:i/>
              </w:rPr>
              <w:t>kal</w:t>
            </w:r>
            <w:proofErr w:type="spellEnd"/>
            <w:r w:rsidRPr="00E344A0">
              <w:rPr>
                <w:b/>
                <w:i/>
              </w:rPr>
              <w:t xml:space="preserve"> alacsonyabb kibocsátási határértékeknek, valamint a részecskeszám-kibocsátás tekintetében egy nagyságrenddel alacsonyabb kibocsátási határértékeknek;</w:t>
            </w:r>
          </w:p>
        </w:tc>
        <w:tc>
          <w:tcPr>
            <w:tcW w:w="4876" w:type="dxa"/>
          </w:tcPr>
          <w:p w:rsidR="00FF715E" w:rsidRPr="00E344A0" w:rsidRDefault="00FF715E" w:rsidP="00CD27F0">
            <w:pPr>
              <w:pStyle w:val="Normal6a"/>
            </w:pPr>
          </w:p>
        </w:tc>
      </w:tr>
      <w:tr w:rsidR="00FF715E" w:rsidRPr="00E344A0" w:rsidTr="00CD27F0">
        <w:trPr>
          <w:jc w:val="center"/>
        </w:trPr>
        <w:tc>
          <w:tcPr>
            <w:tcW w:w="4876" w:type="dxa"/>
          </w:tcPr>
          <w:p w:rsidR="00FF715E" w:rsidRPr="00E344A0" w:rsidRDefault="00FF715E" w:rsidP="00CD27F0">
            <w:pPr>
              <w:pStyle w:val="Normal6a"/>
            </w:pPr>
            <w:r w:rsidRPr="00E344A0">
              <w:rPr>
                <w:b/>
                <w:i/>
              </w:rPr>
              <w:t xml:space="preserve">b) </w:t>
            </w:r>
            <w:r w:rsidRPr="00E344A0">
              <w:tab/>
            </w:r>
            <w:r w:rsidRPr="00E344A0">
              <w:rPr>
                <w:b/>
                <w:i/>
              </w:rPr>
              <w:t>külső feltöltésű hibrid elektromos járművek esetében a gáz-halmazállapotú szennyező anyagok tekintetében az I. mellékletben meghatározottaknál legalább 20%-</w:t>
            </w:r>
            <w:proofErr w:type="spellStart"/>
            <w:r w:rsidRPr="00E344A0">
              <w:rPr>
                <w:b/>
                <w:i/>
              </w:rPr>
              <w:t>kal</w:t>
            </w:r>
            <w:proofErr w:type="spellEnd"/>
            <w:r w:rsidRPr="00E344A0">
              <w:rPr>
                <w:b/>
                <w:i/>
              </w:rPr>
              <w:t xml:space="preserve"> alacsonyabb kibocsátási határértékeknek, a részecskeszám-kibocsátás tekintetében egy nagyságrenddel alacsonyabb kibocsátási határértékeknek, az akkumulátor tartóssága tekintetében pedig a II. mellékletben előírtaknál legalább 10 százalékponttal magasabb értéknek;</w:t>
            </w:r>
          </w:p>
        </w:tc>
        <w:tc>
          <w:tcPr>
            <w:tcW w:w="4876" w:type="dxa"/>
          </w:tcPr>
          <w:p w:rsidR="00FF715E" w:rsidRPr="00E344A0" w:rsidRDefault="00FF715E" w:rsidP="00CD27F0">
            <w:pPr>
              <w:pStyle w:val="Normal6a"/>
            </w:pPr>
          </w:p>
        </w:tc>
      </w:tr>
      <w:tr w:rsidR="00FF715E" w:rsidRPr="00E344A0" w:rsidTr="00CD27F0">
        <w:trPr>
          <w:jc w:val="center"/>
        </w:trPr>
        <w:tc>
          <w:tcPr>
            <w:tcW w:w="4876" w:type="dxa"/>
          </w:tcPr>
          <w:p w:rsidR="00FF715E" w:rsidRPr="00E344A0" w:rsidRDefault="00FF715E" w:rsidP="00CD27F0">
            <w:pPr>
              <w:pStyle w:val="Normal6a"/>
            </w:pPr>
            <w:r w:rsidRPr="00E344A0">
              <w:rPr>
                <w:b/>
                <w:i/>
              </w:rPr>
              <w:t>c)</w:t>
            </w:r>
            <w:r w:rsidRPr="00E344A0">
              <w:tab/>
            </w:r>
            <w:r w:rsidRPr="00E344A0">
              <w:rPr>
                <w:b/>
                <w:i/>
              </w:rPr>
              <w:t xml:space="preserve"> tisztán elektromos járművek esetében az akkumulátor tartóssága tekintetében a II. mellékletben előírtaknál legalább 10 százalékponttal magasabb értéknek.</w:t>
            </w:r>
          </w:p>
        </w:tc>
        <w:tc>
          <w:tcPr>
            <w:tcW w:w="4876" w:type="dxa"/>
          </w:tcPr>
          <w:p w:rsidR="00FF715E" w:rsidRPr="00E344A0" w:rsidRDefault="00FF715E" w:rsidP="00CD27F0">
            <w:pPr>
              <w:pStyle w:val="Normal6a"/>
            </w:pP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5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lastRenderedPageBreak/>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(2)</w:t>
            </w:r>
            <w:r w:rsidRPr="00E344A0">
              <w:tab/>
            </w:r>
            <w:r w:rsidRPr="00E344A0">
              <w:rPr>
                <w:b/>
                <w:i/>
              </w:rPr>
              <w:t>Ezeknek a járműveknek az (1) bekezdés szerinti követelményeknek való megfelelését a nyilatkozatban megadott értékek alapján kell ellenőrizni.</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5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(3)</w:t>
            </w:r>
            <w:r w:rsidRPr="00E344A0">
              <w:tab/>
            </w:r>
            <w:r w:rsidRPr="00E344A0">
              <w:rPr>
                <w:b/>
                <w:i/>
              </w:rPr>
              <w:t>A gyártók a járműveket „Euro 7A járműként” jelölhetik meg, amennyiben azok adaptív szabályozási funkciókkal rendelkeznek. Az adaptív szabályozási funkciók használatát a típusjóváhagyás során be kell mutatni a típusjóváhagyó hatóságoknak, és a jármű élettartama során ellenőrizni kell a IV. melléklet 1. táblázatában foglaltak szerint.</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5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(4)</w:t>
            </w:r>
            <w:r w:rsidRPr="00E344A0">
              <w:tab/>
            </w:r>
            <w:r w:rsidRPr="00E344A0">
              <w:rPr>
                <w:b/>
                <w:i/>
              </w:rPr>
              <w:t xml:space="preserve">A gyártók a járműveket „Euro 7G járműként” jelölhetik meg, amennyiben azok virtuális elkerítési technológiával ellátott belső égésű motorral rendelkeznek. A gyártók járművezetőt figyelmeztető rendszert építenek be ezekbe a járművekbe, amely tájékoztatja a használót, amikor az elektromosjármű-hajtóakkumulátorok közel állnak a </w:t>
            </w:r>
            <w:proofErr w:type="spellStart"/>
            <w:r w:rsidRPr="00E344A0">
              <w:rPr>
                <w:b/>
                <w:i/>
              </w:rPr>
              <w:t>lemerüléshez</w:t>
            </w:r>
            <w:proofErr w:type="spellEnd"/>
            <w:r w:rsidRPr="00E344A0">
              <w:rPr>
                <w:b/>
                <w:i/>
              </w:rPr>
              <w:t>, és leállítja a járművet, ha azt kibocsátásmentes üzemmódban az első figyelmeztetéstől számított 5 km-en belül nem töltik fel. Az ilyen virtuális elkerítési technológiák alkalmazása ellenőrizhető a jármű élettartama során.</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5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(5)</w:t>
            </w:r>
            <w:r w:rsidRPr="00E344A0">
              <w:tab/>
            </w:r>
            <w:r w:rsidRPr="00E344A0">
              <w:rPr>
                <w:b/>
                <w:i/>
              </w:rPr>
              <w:t>A gyártók gyárthatnak olyan járműveket, amelyek az (1), (2) vagy (3) bekezdésben említett jellemzők közül kettőt vagy többet egyesítenek, és ezeket jelek és betűk kombinációjának használatával „Euro 7+A”, „Euro 7+G”, „Euro 7+AG” vagy „Euro 7AG” járművekként jelölhetik meg.</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5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(6)</w:t>
            </w:r>
            <w:r w:rsidRPr="00E344A0">
              <w:tab/>
            </w:r>
            <w:r w:rsidRPr="00E344A0">
              <w:rPr>
                <w:b/>
                <w:i/>
              </w:rPr>
              <w:t>A gyártó kérésére az N</w:t>
            </w:r>
            <w:r w:rsidRPr="00E344A0">
              <w:rPr>
                <w:b/>
                <w:i/>
                <w:vertAlign w:val="subscript"/>
              </w:rPr>
              <w:t>1</w:t>
            </w:r>
            <w:r w:rsidRPr="00E344A0">
              <w:rPr>
                <w:b/>
                <w:i/>
              </w:rPr>
              <w:t xml:space="preserve"> járműtípusból származó, 3,5–4,0 tonna legnagyobb tömegű N</w:t>
            </w:r>
            <w:r w:rsidRPr="00E344A0">
              <w:rPr>
                <w:b/>
                <w:i/>
                <w:vertAlign w:val="subscript"/>
              </w:rPr>
              <w:t>2</w:t>
            </w:r>
            <w:r w:rsidRPr="00E344A0">
              <w:rPr>
                <w:b/>
                <w:i/>
              </w:rPr>
              <w:t xml:space="preserve"> kategóriájú járművek esetében a típusjóváhagyó hatóság kiadhat N</w:t>
            </w:r>
            <w:r w:rsidRPr="00E344A0">
              <w:rPr>
                <w:b/>
                <w:i/>
                <w:vertAlign w:val="subscript"/>
              </w:rPr>
              <w:t>1</w:t>
            </w:r>
            <w:r w:rsidRPr="00E344A0">
              <w:rPr>
                <w:b/>
                <w:i/>
              </w:rPr>
              <w:t xml:space="preserve"> járműtípusra vonatkozó kibocsátási típusjóváhagyást. Az ilyen járműveket „Euro 7ext járműként” kell megjelölni.</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79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5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(7)</w:t>
            </w:r>
            <w:r w:rsidRPr="00E344A0">
              <w:tab/>
            </w:r>
            <w:r w:rsidRPr="00E344A0">
              <w:rPr>
                <w:b/>
                <w:i/>
              </w:rPr>
              <w:t xml:space="preserve">A Bizottság végrehajtási jogi aktusok útján részletes szabályokat fogad el az (1)–(6) bekezdésben meghatározott követelményeknek való megfelelés ellenőrzésére szolgáló eljárásokra, </w:t>
            </w:r>
            <w:r w:rsidRPr="00E344A0">
              <w:rPr>
                <w:b/>
                <w:i/>
              </w:rPr>
              <w:lastRenderedPageBreak/>
              <w:t>vizsgálatokra és módszerekre vonatkozóan. Ezeket a végrehajtási jogi aktusokat a 17. cikk (2) bekezdésében említett vizsgálóbizottsági eljárás keretében kell elfogadni.</w:t>
            </w:r>
          </w:p>
        </w:tc>
        <w:tc>
          <w:tcPr>
            <w:tcW w:w="4876" w:type="dxa"/>
          </w:tcPr>
          <w:p w:rsidR="00FF715E" w:rsidRPr="00E344A0" w:rsidRDefault="00FF715E" w:rsidP="00CD27F0">
            <w:pPr>
              <w:pStyle w:val="Normal6a"/>
            </w:pPr>
            <w:r w:rsidRPr="00E344A0">
              <w:rPr>
                <w:b/>
                <w:i/>
              </w:rPr>
              <w:lastRenderedPageBreak/>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6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(3)</w:t>
            </w:r>
            <w:r w:rsidRPr="00E344A0">
              <w:tab/>
              <w:t xml:space="preserve">A gyártók biztosítják, hogy az ezekbe a járművekbe beépített üzemanyag- és energiafogyasztás-figyelő fedélzeti eszközök, fedélzeti diagnosztikai és fedélzeti ellenőrző eszközök, valamint manipulálás elleni intézkedések </w:t>
            </w:r>
            <w:r w:rsidRPr="00E344A0">
              <w:rPr>
                <w:b/>
                <w:i/>
              </w:rPr>
              <w:t>megfeleljenek</w:t>
            </w:r>
            <w:r w:rsidRPr="00E344A0">
              <w:t xml:space="preserve"> e rendelet rendelkezéseinek mindaddig, amíg a jármű használatban van.</w:t>
            </w:r>
          </w:p>
        </w:tc>
        <w:tc>
          <w:tcPr>
            <w:tcW w:w="4876" w:type="dxa"/>
          </w:tcPr>
          <w:p w:rsidR="00FF715E" w:rsidRPr="00E344A0" w:rsidRDefault="00FF715E" w:rsidP="00CD27F0">
            <w:pPr>
              <w:pStyle w:val="Normal6a"/>
            </w:pPr>
            <w:r w:rsidRPr="00E344A0">
              <w:t>(3)</w:t>
            </w:r>
            <w:r w:rsidRPr="00E344A0">
              <w:tab/>
              <w:t xml:space="preserve">A gyártók biztosítják, hogy az ezekbe a járművekbe beépített üzemanyag- és energiafogyasztás-figyelő fedélzeti eszközök, fedélzeti diagnosztikai és fedélzeti ellenőrző eszközök, valamint manipulálás elleni intézkedések </w:t>
            </w:r>
            <w:r w:rsidRPr="00E344A0">
              <w:rPr>
                <w:b/>
                <w:i/>
              </w:rPr>
              <w:t>tervezése és működése megfeleljen</w:t>
            </w:r>
            <w:r w:rsidRPr="00E344A0">
              <w:t xml:space="preserve"> e rendelet rendelkezéseinek</w:t>
            </w:r>
            <w:r w:rsidRPr="00E344A0">
              <w:rPr>
                <w:b/>
                <w:i/>
              </w:rPr>
              <w:t>, és azok ne</w:t>
            </w:r>
            <w:r w:rsidRPr="00E344A0">
              <w:rPr>
                <w:b/>
                <w:bCs/>
                <w:i/>
                <w:iCs/>
              </w:rPr>
              <w:t xml:space="preserve"> legyenek kikapcsolható</w:t>
            </w:r>
            <w:r w:rsidRPr="00E344A0">
              <w:rPr>
                <w:b/>
                <w:i/>
              </w:rPr>
              <w:t>k</w:t>
            </w:r>
            <w:r w:rsidRPr="00E344A0">
              <w:t xml:space="preserve"> mindaddig, amíg a jármű használatban van.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6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(4)</w:t>
            </w:r>
            <w:r w:rsidRPr="00E344A0">
              <w:tab/>
              <w:t>Az 1–3</w:t>
            </w:r>
            <w:r w:rsidRPr="00E344A0">
              <w:rPr>
                <w:b/>
                <w:i/>
              </w:rPr>
              <w:t>. pontban</w:t>
            </w:r>
            <w:r w:rsidRPr="00E344A0">
              <w:t xml:space="preserve"> említett követelmények bármely típusú üzemanyaggal vagy energiaforrással működő járműre alkalmazandók. </w:t>
            </w:r>
            <w:proofErr w:type="spellStart"/>
            <w:r w:rsidRPr="00E344A0">
              <w:t>Ugyanezek</w:t>
            </w:r>
            <w:proofErr w:type="spellEnd"/>
            <w:r w:rsidRPr="00E344A0">
              <w:t xml:space="preserve"> a követelmények vonatkoznak az ilyen járművekhez szánt valamennyi önálló műszaki egységre és alkotóelemre is.</w:t>
            </w:r>
          </w:p>
        </w:tc>
        <w:tc>
          <w:tcPr>
            <w:tcW w:w="4876" w:type="dxa"/>
          </w:tcPr>
          <w:p w:rsidR="00FF715E" w:rsidRPr="00E344A0" w:rsidRDefault="00FF715E" w:rsidP="00CD27F0">
            <w:pPr>
              <w:pStyle w:val="Normal6a"/>
            </w:pPr>
            <w:r w:rsidRPr="00E344A0">
              <w:t>(4)</w:t>
            </w:r>
            <w:r w:rsidRPr="00E344A0">
              <w:tab/>
              <w:t xml:space="preserve">Az </w:t>
            </w:r>
            <w:r w:rsidRPr="00E344A0">
              <w:rPr>
                <w:b/>
                <w:i/>
              </w:rPr>
              <w:t>(</w:t>
            </w:r>
            <w:r w:rsidRPr="00E344A0">
              <w:t>1</w:t>
            </w:r>
            <w:r w:rsidRPr="00E344A0">
              <w:rPr>
                <w:b/>
                <w:i/>
              </w:rPr>
              <w:t>)</w:t>
            </w:r>
            <w:r w:rsidRPr="00E344A0">
              <w:t>–</w:t>
            </w:r>
            <w:r w:rsidRPr="00E344A0">
              <w:rPr>
                <w:b/>
                <w:i/>
              </w:rPr>
              <w:t>(</w:t>
            </w:r>
            <w:r w:rsidRPr="00E344A0">
              <w:t>3</w:t>
            </w:r>
            <w:r w:rsidRPr="00E344A0">
              <w:rPr>
                <w:b/>
                <w:i/>
              </w:rPr>
              <w:t>) bekezdésben</w:t>
            </w:r>
            <w:r w:rsidRPr="00E344A0">
              <w:t xml:space="preserve"> említett követelmények bármely típusú üzemanyaggal vagy energiaforrással működő járműre alkalmazandók. </w:t>
            </w:r>
            <w:proofErr w:type="spellStart"/>
            <w:r w:rsidRPr="00E344A0">
              <w:t>Ugyanezek</w:t>
            </w:r>
            <w:proofErr w:type="spellEnd"/>
            <w:r w:rsidRPr="00E344A0">
              <w:t xml:space="preserve"> a követelmények vonatkoznak az ilyen járművekhez szánt valamennyi önálló műszaki egységre és alkotóelemre is.</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6 cikk – 6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(6)</w:t>
            </w:r>
            <w:r w:rsidRPr="00E344A0">
              <w:tab/>
              <w:t xml:space="preserve">Az ezekbe a járművekbe a gyártó által beépített fedélzeti ellenőrző rendszereknek képesnek kell lenniük a </w:t>
            </w:r>
            <w:r w:rsidRPr="00E344A0">
              <w:rPr>
                <w:b/>
                <w:i/>
              </w:rPr>
              <w:t>következők mindegyikére</w:t>
            </w:r>
            <w:r w:rsidRPr="00E344A0">
              <w:t>:</w:t>
            </w:r>
          </w:p>
        </w:tc>
        <w:tc>
          <w:tcPr>
            <w:tcW w:w="4876" w:type="dxa"/>
          </w:tcPr>
          <w:p w:rsidR="00FF715E" w:rsidRPr="00E344A0" w:rsidRDefault="00FF715E" w:rsidP="00CD27F0">
            <w:pPr>
              <w:pStyle w:val="Normal6a"/>
            </w:pPr>
            <w:r w:rsidRPr="00E344A0">
              <w:t>(6)</w:t>
            </w:r>
            <w:r w:rsidRPr="00E344A0">
              <w:tab/>
              <w:t xml:space="preserve">Az ezekbe a járművekbe a gyártó által beépített fedélzeti ellenőrző rendszereknek képesnek kell lenniük a </w:t>
            </w:r>
            <w:r w:rsidRPr="00E344A0">
              <w:rPr>
                <w:b/>
                <w:i/>
              </w:rPr>
              <w:t>következőkre</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6 cikk – 6 bekezdés–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b)</w:t>
            </w:r>
            <w:r w:rsidRPr="00E344A0">
              <w:tab/>
              <w:t xml:space="preserve">a jármű </w:t>
            </w:r>
            <w:r w:rsidRPr="00E344A0">
              <w:rPr>
                <w:b/>
                <w:i/>
              </w:rPr>
              <w:t>kibocsátási</w:t>
            </w:r>
            <w:r w:rsidRPr="00E344A0">
              <w:t xml:space="preserve"> viselkedésére vonatkozó adatok továbbítása – beleértve a szennyezőanyag-érzékelő és a kipufogógáz-áram adatait – a fedélzeti diagnosztikai </w:t>
            </w:r>
            <w:proofErr w:type="spellStart"/>
            <w:r w:rsidRPr="00E344A0">
              <w:t>porton</w:t>
            </w:r>
            <w:proofErr w:type="spellEnd"/>
            <w:r w:rsidRPr="00E344A0">
              <w:t xml:space="preserve"> keresztül és vezeték nélkül, többek között műszaki vizsgálatok és közúti műszaki ellenőrzések céljából,</w:t>
            </w:r>
            <w:r w:rsidRPr="00E344A0">
              <w:rPr>
                <w:vertAlign w:val="superscript"/>
              </w:rPr>
              <w:t>55</w:t>
            </w:r>
            <w:r w:rsidRPr="00E344A0">
              <w:t xml:space="preserve"> ,</w:t>
            </w:r>
            <w:r w:rsidRPr="00E344A0">
              <w:rPr>
                <w:vertAlign w:val="superscript"/>
              </w:rPr>
              <w:t>56</w:t>
            </w:r>
            <w:r w:rsidRPr="00E344A0">
              <w:t>;</w:t>
            </w:r>
          </w:p>
        </w:tc>
        <w:tc>
          <w:tcPr>
            <w:tcW w:w="4876" w:type="dxa"/>
          </w:tcPr>
          <w:p w:rsidR="00FF715E" w:rsidRPr="00E344A0" w:rsidRDefault="00FF715E" w:rsidP="00CD27F0">
            <w:pPr>
              <w:pStyle w:val="Normal6a"/>
            </w:pPr>
            <w:r w:rsidRPr="00E344A0">
              <w:t>b)</w:t>
            </w:r>
            <w:r w:rsidRPr="00E344A0">
              <w:tab/>
              <w:t xml:space="preserve">a jármű </w:t>
            </w:r>
            <w:r w:rsidRPr="00E344A0">
              <w:rPr>
                <w:b/>
                <w:i/>
              </w:rPr>
              <w:t>kipufogógáz-kibocsátási</w:t>
            </w:r>
            <w:r w:rsidRPr="00E344A0">
              <w:t xml:space="preserve"> viselkedésére vonatkozó adatok továbbítása – beleértve a szennyezőanyag-érzékelő és a kipufogógáz-áram adatait – a fedélzeti diagnosztikai </w:t>
            </w:r>
            <w:proofErr w:type="spellStart"/>
            <w:r w:rsidRPr="00E344A0">
              <w:t>porton</w:t>
            </w:r>
            <w:proofErr w:type="spellEnd"/>
            <w:r w:rsidRPr="00E344A0">
              <w:t xml:space="preserve"> keresztül és vezeték nélkül, többek között műszaki vizsgálatok és közúti műszaki ellenőrzések céljából,</w:t>
            </w:r>
            <w:r w:rsidRPr="00E344A0">
              <w:rPr>
                <w:vertAlign w:val="superscript"/>
              </w:rPr>
              <w:t>55</w:t>
            </w:r>
            <w:r w:rsidRPr="00E344A0">
              <w:t xml:space="preserve"> ,</w:t>
            </w:r>
            <w:r w:rsidRPr="00E344A0">
              <w:rPr>
                <w:vertAlign w:val="superscript"/>
              </w:rPr>
              <w:t>56</w:t>
            </w:r>
            <w:r w:rsidRPr="00E344A0">
              <w:rPr>
                <w:b/>
                <w:i/>
              </w:rPr>
              <w:t xml:space="preserve"> vagy manipulálás észlelése céljából, továbbá olyan harmadik fél által nyújtott szolgáltatások nyújtása céljából, amelyek segítik a jármű használóját a használat közbeni kibocsátások csökkentésében</w:t>
            </w:r>
            <w:r w:rsidRPr="00E344A0">
              <w:t>;</w:t>
            </w:r>
          </w:p>
        </w:tc>
      </w:tr>
      <w:tr w:rsidR="00FF715E" w:rsidRPr="00E344A0" w:rsidTr="00CD27F0">
        <w:trPr>
          <w:jc w:val="center"/>
        </w:trPr>
        <w:tc>
          <w:tcPr>
            <w:tcW w:w="4876" w:type="dxa"/>
          </w:tcPr>
          <w:p w:rsidR="00FF715E" w:rsidRPr="00E344A0" w:rsidRDefault="00FF715E" w:rsidP="00CD27F0">
            <w:pPr>
              <w:pStyle w:val="Normal6a"/>
            </w:pPr>
            <w:r w:rsidRPr="00E344A0">
              <w:rPr>
                <w:b/>
                <w:i/>
              </w:rPr>
              <w:t>_________________</w:t>
            </w:r>
          </w:p>
        </w:tc>
        <w:tc>
          <w:tcPr>
            <w:tcW w:w="4876" w:type="dxa"/>
          </w:tcPr>
          <w:p w:rsidR="00FF715E" w:rsidRPr="00E344A0" w:rsidRDefault="00FF715E" w:rsidP="00CD27F0">
            <w:pPr>
              <w:pStyle w:val="Normal6a"/>
            </w:pPr>
            <w:r w:rsidRPr="00E344A0">
              <w:rPr>
                <w:b/>
                <w:i/>
              </w:rPr>
              <w:t>_________________</w:t>
            </w:r>
          </w:p>
        </w:tc>
      </w:tr>
      <w:tr w:rsidR="00FF715E" w:rsidRPr="00E344A0" w:rsidTr="00CD27F0">
        <w:trPr>
          <w:jc w:val="center"/>
        </w:trPr>
        <w:tc>
          <w:tcPr>
            <w:tcW w:w="4876" w:type="dxa"/>
          </w:tcPr>
          <w:p w:rsidR="00FF715E" w:rsidRPr="00E344A0" w:rsidRDefault="00FF715E" w:rsidP="00CD27F0">
            <w:pPr>
              <w:pStyle w:val="Normal6a"/>
            </w:pPr>
            <w:r w:rsidRPr="00E344A0">
              <w:rPr>
                <w:vertAlign w:val="superscript"/>
              </w:rPr>
              <w:t>55</w:t>
            </w:r>
            <w:r w:rsidRPr="00E344A0">
              <w:t xml:space="preserve"> Az Európai Parlament és a Tanács 2014/47/EU irányelve (2014. április 3.) az Unió területén közlekedő haszonjárművek közlekedésre való </w:t>
            </w:r>
            <w:proofErr w:type="spellStart"/>
            <w:r w:rsidRPr="00E344A0">
              <w:t>alkalmasságának</w:t>
            </w:r>
            <w:proofErr w:type="spellEnd"/>
            <w:r w:rsidRPr="00E344A0">
              <w:t xml:space="preserve"> közúti műszaki ellenőrzéséről és a 2000/30/EK irányelv hatályon kívül helyezéséről (HL L 127., 2014.4.29., 134. o.).</w:t>
            </w:r>
          </w:p>
        </w:tc>
        <w:tc>
          <w:tcPr>
            <w:tcW w:w="4876" w:type="dxa"/>
          </w:tcPr>
          <w:p w:rsidR="00FF715E" w:rsidRPr="00E344A0" w:rsidRDefault="00FF715E" w:rsidP="00CD27F0">
            <w:pPr>
              <w:pStyle w:val="Normal6a"/>
            </w:pPr>
            <w:r w:rsidRPr="00E344A0">
              <w:rPr>
                <w:vertAlign w:val="superscript"/>
              </w:rPr>
              <w:t>55</w:t>
            </w:r>
            <w:r w:rsidRPr="00E344A0">
              <w:t xml:space="preserve"> Az Európai Parlament és a Tanács 2014/47/EU irányelve (2014. április 3.) az Unió területén közlekedő haszonjárművek közlekedésre való </w:t>
            </w:r>
            <w:proofErr w:type="spellStart"/>
            <w:r w:rsidRPr="00E344A0">
              <w:t>alkalmasságának</w:t>
            </w:r>
            <w:proofErr w:type="spellEnd"/>
            <w:r w:rsidRPr="00E344A0">
              <w:t xml:space="preserve"> közúti műszaki ellenőrzéséről és a 2000/30/EK irányelv hatályon kívül helyezéséről (HL L 127., 2014.4.29., 134. o.).</w:t>
            </w:r>
          </w:p>
        </w:tc>
      </w:tr>
      <w:tr w:rsidR="00FF715E" w:rsidRPr="00E344A0" w:rsidTr="00CD27F0">
        <w:trPr>
          <w:jc w:val="center"/>
        </w:trPr>
        <w:tc>
          <w:tcPr>
            <w:tcW w:w="4876" w:type="dxa"/>
          </w:tcPr>
          <w:p w:rsidR="00FF715E" w:rsidRPr="00E344A0" w:rsidRDefault="00FF715E" w:rsidP="00CD27F0">
            <w:pPr>
              <w:pStyle w:val="Normal6a"/>
            </w:pPr>
            <w:r w:rsidRPr="00E344A0">
              <w:rPr>
                <w:vertAlign w:val="superscript"/>
              </w:rPr>
              <w:t>56</w:t>
            </w:r>
            <w:r w:rsidRPr="00E344A0">
              <w:t xml:space="preserve"> Az Európai Parlament és a Tanács 2014/45/EU irányelve (2014. április 3.) a gépjárművek és </w:t>
            </w:r>
            <w:proofErr w:type="spellStart"/>
            <w:r w:rsidRPr="00E344A0">
              <w:t>pótkocsijaik</w:t>
            </w:r>
            <w:proofErr w:type="spellEnd"/>
            <w:r w:rsidRPr="00E344A0">
              <w:t xml:space="preserve"> időszakos műszaki vizsgálatáról és a 2009/40/EK irányelv hatályon kívül helyezéséről (HL L 127., 2014.4.29., 129. o.).</w:t>
            </w:r>
          </w:p>
        </w:tc>
        <w:tc>
          <w:tcPr>
            <w:tcW w:w="4876" w:type="dxa"/>
          </w:tcPr>
          <w:p w:rsidR="00FF715E" w:rsidRPr="00E344A0" w:rsidRDefault="00FF715E" w:rsidP="00CD27F0">
            <w:pPr>
              <w:pStyle w:val="Normal6a"/>
            </w:pPr>
            <w:r w:rsidRPr="00E344A0">
              <w:rPr>
                <w:vertAlign w:val="superscript"/>
              </w:rPr>
              <w:t>56</w:t>
            </w:r>
            <w:r w:rsidRPr="00E344A0">
              <w:t xml:space="preserve"> Az Európai Parlament és a Tanács 2014/45/EU irányelve (2014. április 3.) a gépjárművek és </w:t>
            </w:r>
            <w:proofErr w:type="spellStart"/>
            <w:r w:rsidRPr="00E344A0">
              <w:t>pótkocsijaik</w:t>
            </w:r>
            <w:proofErr w:type="spellEnd"/>
            <w:r w:rsidRPr="00E344A0">
              <w:t xml:space="preserve"> időszakos műszaki vizsgálatáról és a 2009/40/EK irányelv hatályon kívül helyezéséről (HL L 127., 2014.4.29., 129. o.).</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84</w:t>
      </w:r>
    </w:p>
    <w:p w:rsidR="00FF715E" w:rsidRPr="00E344A0" w:rsidRDefault="00FF715E" w:rsidP="00FF715E">
      <w:pPr>
        <w:pStyle w:val="NormalBold12b"/>
      </w:pPr>
    </w:p>
    <w:p w:rsidR="00FF715E" w:rsidRPr="00E344A0" w:rsidRDefault="00FF715E" w:rsidP="00FF715E">
      <w:pPr>
        <w:pStyle w:val="NormalBold"/>
      </w:pPr>
      <w:r w:rsidRPr="00E344A0">
        <w:lastRenderedPageBreak/>
        <w:t>Rendeletre irányuló javaslat</w:t>
      </w:r>
    </w:p>
    <w:p w:rsidR="00FF715E" w:rsidRPr="00E344A0" w:rsidRDefault="00FF715E" w:rsidP="00FF715E">
      <w:pPr>
        <w:pStyle w:val="NormalBold"/>
      </w:pPr>
      <w:r w:rsidRPr="00E344A0">
        <w:t>6 cikk – 6 bekezdés – c pont</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c)</w:t>
            </w:r>
            <w:r w:rsidRPr="00E344A0">
              <w:tab/>
              <w:t xml:space="preserve">a jármű </w:t>
            </w:r>
            <w:r w:rsidRPr="00E344A0">
              <w:rPr>
                <w:b/>
                <w:i/>
              </w:rPr>
              <w:t>javításának kiváltása</w:t>
            </w:r>
            <w:r w:rsidRPr="00E344A0">
              <w:t>, ha a járművezetőt figyelmeztető rendszer a kibocsátási határértékek jelentős túllépését jelzi.</w:t>
            </w:r>
          </w:p>
        </w:tc>
        <w:tc>
          <w:tcPr>
            <w:tcW w:w="4876" w:type="dxa"/>
          </w:tcPr>
          <w:p w:rsidR="00FF715E" w:rsidRPr="00E344A0" w:rsidRDefault="00FF715E" w:rsidP="00CD27F0">
            <w:pPr>
              <w:pStyle w:val="Normal6a"/>
            </w:pPr>
            <w:r w:rsidRPr="00E344A0">
              <w:t>c)</w:t>
            </w:r>
            <w:r w:rsidRPr="00E344A0">
              <w:tab/>
              <w:t xml:space="preserve">a jármű </w:t>
            </w:r>
            <w:r w:rsidRPr="00E344A0">
              <w:rPr>
                <w:b/>
                <w:i/>
              </w:rPr>
              <w:t>javítására való felszólítás</w:t>
            </w:r>
            <w:r w:rsidRPr="00E344A0">
              <w:t>, ha a járművezetőt figyelmeztető rendszer a kibocsátási határértékek jelentős túllépését jelzi.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6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(7)</w:t>
            </w:r>
            <w:r w:rsidRPr="00E344A0">
              <w:tab/>
              <w:t xml:space="preserve">Az ezekbe a járművekbe a gyártó által beépített üzemanyag- és energiafogyasztás-figyelő fedélzeti eszközöknek képesnek kell lenniük az általuk rögzített </w:t>
            </w:r>
            <w:proofErr w:type="spellStart"/>
            <w:r w:rsidRPr="00E344A0">
              <w:rPr>
                <w:b/>
                <w:i/>
              </w:rPr>
              <w:t>járműadatokat</w:t>
            </w:r>
            <w:proofErr w:type="spellEnd"/>
            <w:r w:rsidRPr="00E344A0">
              <w:t xml:space="preserve"> a fedélzeti diagnosztikai </w:t>
            </w:r>
            <w:proofErr w:type="spellStart"/>
            <w:r w:rsidRPr="00E344A0">
              <w:t>porton</w:t>
            </w:r>
            <w:proofErr w:type="spellEnd"/>
            <w:r w:rsidRPr="00E344A0">
              <w:t xml:space="preserve"> keresztül és vezeték nélkül továbbítani.</w:t>
            </w:r>
          </w:p>
        </w:tc>
        <w:tc>
          <w:tcPr>
            <w:tcW w:w="4876" w:type="dxa"/>
          </w:tcPr>
          <w:p w:rsidR="00FF715E" w:rsidRPr="00E344A0" w:rsidRDefault="00FF715E" w:rsidP="00CD27F0">
            <w:pPr>
              <w:pStyle w:val="Normal6a"/>
            </w:pPr>
            <w:r w:rsidRPr="00E344A0">
              <w:t>(7)</w:t>
            </w:r>
            <w:r w:rsidRPr="00E344A0">
              <w:tab/>
              <w:t xml:space="preserve">Az ezekbe a járművekbe a gyártó által beépített üzemanyag- és energiafogyasztás-figyelő fedélzeti eszközöknek képesnek kell lenniük az általuk rögzített </w:t>
            </w:r>
            <w:r w:rsidRPr="00E344A0">
              <w:rPr>
                <w:b/>
                <w:i/>
              </w:rPr>
              <w:t>valamennyi, jogszabályban előírt releváns járműadatot</w:t>
            </w:r>
            <w:r w:rsidRPr="00E344A0">
              <w:t xml:space="preserve"> a fedélzeti diagnosztikai </w:t>
            </w:r>
            <w:proofErr w:type="spellStart"/>
            <w:r w:rsidRPr="00E344A0">
              <w:t>porton</w:t>
            </w:r>
            <w:proofErr w:type="spellEnd"/>
            <w:r w:rsidRPr="00E344A0">
              <w:t xml:space="preserve"> keresztül és vezeték nélkül továbbítani</w:t>
            </w:r>
            <w:r w:rsidRPr="00E344A0">
              <w:rPr>
                <w:b/>
                <w:i/>
              </w:rPr>
              <w:t>, az (EU) 2016/679 rendelet rendelkezéseinek betartása mellett</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6 cikk – 8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(8)</w:t>
            </w:r>
            <w:r w:rsidRPr="00E344A0">
              <w:tab/>
              <w:t xml:space="preserve">A súlyos veszélyt jelentő vagy az e rendeletben meghatározott követelményeknek meg nem felelő járművek, rendszerek, alkotóelemek és önálló műszaki egységek esetében a gyártók </w:t>
            </w:r>
            <w:r w:rsidRPr="00E344A0">
              <w:rPr>
                <w:b/>
                <w:i/>
              </w:rPr>
              <w:t xml:space="preserve">haladéktalanul </w:t>
            </w:r>
            <w:r w:rsidRPr="00E344A0">
              <w:t xml:space="preserve">meghozzák az e rendeletnek való megfelelés biztosításához szükséges korrekciós intézkedéseket, beleértve adott esetben az ilyen járművek, rendszerek, alkotóelemek és önálló műszaki egységek javítását vagy </w:t>
            </w:r>
            <w:r w:rsidRPr="00E344A0">
              <w:lastRenderedPageBreak/>
              <w:t>módosítását is. A gyártó vagy bármely más gazdasági szereplő adott esetben kivonja a forgalomból vagy visszahívja a terméket. A gyártó haladéktalanul, részletesen tájékoztatja a típusjóváhagyást megadó jóváhagyó hatóságot a meg nem felelésről.</w:t>
            </w:r>
          </w:p>
        </w:tc>
        <w:tc>
          <w:tcPr>
            <w:tcW w:w="4876" w:type="dxa"/>
          </w:tcPr>
          <w:p w:rsidR="00FF715E" w:rsidRPr="00E344A0" w:rsidRDefault="00FF715E" w:rsidP="00CD27F0">
            <w:pPr>
              <w:pStyle w:val="Normal6a"/>
            </w:pPr>
            <w:r w:rsidRPr="00E344A0">
              <w:lastRenderedPageBreak/>
              <w:t>(8)</w:t>
            </w:r>
            <w:r w:rsidRPr="00E344A0">
              <w:tab/>
              <w:t xml:space="preserve">A súlyos veszélyt jelentő vagy az e rendeletben meghatározott követelményeknek meg nem felelő járművek, rendszerek, alkotóelemek és önálló műszaki egységek esetében a gyártók meghozzák az e rendeletnek való megfelelés biztosításához szükséges korrekciós intézkedéseket, beleértve adott esetben az ilyen járművek, rendszerek, alkotóelemek és önálló műszaki egységek javítását vagy módosítását is. A gyártó </w:t>
            </w:r>
            <w:r w:rsidRPr="00E344A0">
              <w:lastRenderedPageBreak/>
              <w:t>vagy bármely más gazdasági szereplő adott esetben kivonja a forgalomból vagy visszahívja a terméket. A gyártó haladéktalanul, részletesen tájékoztatja a típusjóváhagyást megadó jóváhagyó hatóságot</w:t>
            </w:r>
            <w:r w:rsidRPr="00E344A0">
              <w:rPr>
                <w:b/>
                <w:i/>
              </w:rPr>
              <w:t xml:space="preserve"> és a Bizottságot</w:t>
            </w:r>
            <w:r w:rsidRPr="00E344A0">
              <w:t xml:space="preserve"> a meg nem felelésről.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6 cikk – 9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(9)</w:t>
            </w:r>
            <w:r w:rsidRPr="00E344A0">
              <w:tab/>
            </w:r>
            <w:r w:rsidRPr="00E344A0">
              <w:rPr>
                <w:b/>
                <w:i/>
              </w:rPr>
              <w:t>A Bizottság végrehajtási jogi aktusok útján részletes szabályokat fogad el az (1)–(8) bekezdésben meghatározott kötelezettségekkel kapcsolatos követelményekre, vizsgálatokra, módszerekre és korrekciós intézkedésekre vonatkozóan. Ezeket a végrehajtási jogi aktusokat a 17. cikk (2) bekezdésében említett vizsgálóbizottsági eljárás keretében kell elfogadni.</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7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t>A gyártó a típusjóváhagyó hatóság rendelkezésére bocsátja az aláírt megfelelőségi nyilatkozatot az RDE-re, CO</w:t>
            </w:r>
            <w:r w:rsidRPr="00E344A0">
              <w:rPr>
                <w:vertAlign w:val="subscript"/>
              </w:rPr>
              <w:t>2</w:t>
            </w:r>
            <w:r w:rsidRPr="00E344A0">
              <w:t xml:space="preserve">-re, a környezeti hőmérséklet szerinti korrekcióra, a fedélzeti diagnosztikai eszközökre, a fedélzeti ellenőrző eszközökre, a kibocsátásra, az akkumulátor tartósságára, a folyamatos vagy időszakos regenerációra, a manipulálás elleni védelemre és a forgattyúsházra vonatkozó, az V. mellékletben meghatározott követelmények tekintetében. </w:t>
            </w:r>
            <w:r w:rsidRPr="00E344A0">
              <w:rPr>
                <w:b/>
                <w:i/>
              </w:rPr>
              <w:t xml:space="preserve">A gyártó benyújtja a típusjóváhagyó hatóságnak az </w:t>
            </w:r>
            <w:r w:rsidRPr="00E344A0">
              <w:rPr>
                <w:b/>
                <w:i/>
              </w:rPr>
              <w:lastRenderedPageBreak/>
              <w:t>aláírt megfelelőségi nyilatkozatot az adaptív szabályozási és virtuális elkerítési funkciók használatára vonatkozóan, amennyiben a gyártó alkalmazza ezeket a funkciókat.</w:t>
            </w:r>
          </w:p>
        </w:tc>
        <w:tc>
          <w:tcPr>
            <w:tcW w:w="4876" w:type="dxa"/>
          </w:tcPr>
          <w:p w:rsidR="00FF715E" w:rsidRPr="00E344A0" w:rsidRDefault="00FF715E" w:rsidP="00CD27F0">
            <w:pPr>
              <w:pStyle w:val="Normal6a"/>
            </w:pPr>
            <w:r w:rsidRPr="00E344A0">
              <w:lastRenderedPageBreak/>
              <w:t>(2)</w:t>
            </w:r>
            <w:r w:rsidRPr="00E344A0">
              <w:tab/>
              <w:t>A gyártó a típusjóváhagyó hatóság rendelkezésére bocsátja az aláírt megfelelőségi nyilatkozatot az RDE-re, CO</w:t>
            </w:r>
            <w:r w:rsidRPr="00E344A0">
              <w:rPr>
                <w:vertAlign w:val="subscript"/>
              </w:rPr>
              <w:t>2</w:t>
            </w:r>
            <w:r w:rsidRPr="00E344A0">
              <w:t>-re, a környezeti hőmérséklet szerinti korrekcióra, a fedélzeti diagnosztikai eszközökre, a fedélzeti ellenőrző eszközökre, a kibocsátásra, az akkumulátor tartósságára, a folyamatos vagy időszakos regenerációra, a manipulálás elleni védelemre és a forgattyúsházra vonatkozó, az V. mellékletben meghatározott követelmények tekintetében.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89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7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(4)</w:t>
            </w:r>
            <w:r w:rsidRPr="00E344A0">
              <w:tab/>
              <w:t>A gyártók minden egyes járműre vonatkozóan kiállítják a környezetvédelmi járműútlevelet, és azt</w:t>
            </w:r>
            <w:r w:rsidRPr="00E344A0">
              <w:rPr>
                <w:b/>
                <w:i/>
              </w:rPr>
              <w:t xml:space="preserve"> a járművel együtt</w:t>
            </w:r>
            <w:r w:rsidRPr="00E344A0">
              <w:t xml:space="preserve"> átadják a vásárlónak; a környezetvédelmi járműútlevélben rögzített adatokat olyan forrásokból nyerik ki, mint a megfelelőségi nyilatkozat és a típusjóváhagyási dokumentáció. A gyártó gondoskodik arról, hogy a környezetvédelmi járműútlevélben foglalt adatok a jármű elektronikus rendszereiben megjeleníthetők legyenek, és lehetőség legyen azok továbbítására a fedélzetről a fedélzeten kívülre.</w:t>
            </w:r>
          </w:p>
        </w:tc>
        <w:tc>
          <w:tcPr>
            <w:tcW w:w="4876" w:type="dxa"/>
          </w:tcPr>
          <w:p w:rsidR="00FF715E" w:rsidRPr="00E344A0" w:rsidRDefault="00FF715E" w:rsidP="00CD27F0">
            <w:pPr>
              <w:pStyle w:val="Normal6a"/>
            </w:pPr>
            <w:r w:rsidRPr="00E344A0">
              <w:t>(4)</w:t>
            </w:r>
            <w:r w:rsidRPr="00E344A0">
              <w:tab/>
              <w:t xml:space="preserve">A gyártók minden egyes járműre vonatkozóan kiállítják </w:t>
            </w:r>
            <w:r w:rsidRPr="00E344A0">
              <w:rPr>
                <w:b/>
                <w:i/>
              </w:rPr>
              <w:t xml:space="preserve">az értékesítés helyén </w:t>
            </w:r>
            <w:r w:rsidRPr="00E344A0">
              <w:t xml:space="preserve">a </w:t>
            </w:r>
            <w:r w:rsidRPr="00E344A0">
              <w:rPr>
                <w:b/>
                <w:i/>
              </w:rPr>
              <w:t xml:space="preserve">járművel együtt bemutatandó </w:t>
            </w:r>
            <w:r w:rsidRPr="00E344A0">
              <w:t>környezetvédelmi járműútlevelet, és azt átadják a vásárlónak; a környezetvédelmi járműútlevélben rögzített adatokat olyan forrásokból nyerik ki, mint a megfelelőségi nyilatkozat és a típusjóváhagyási dokumentáció. A gyártó gondoskodik arról, hogy a környezetvédelmi járműútlevélben foglalt adatok a jármű elektronikus rendszereiben megjeleníthetők legyenek, és lehetőség legyen azok továbbítására a fedélzetről a fedélzeten kívülre.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7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pPr>
              <w:rPr>
                <w:b/>
              </w:rPr>
            </w:pPr>
          </w:p>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(5)</w:t>
            </w:r>
            <w:r w:rsidRPr="00E344A0">
              <w:tab/>
              <w:t xml:space="preserve">A </w:t>
            </w:r>
            <w:r w:rsidRPr="00E344A0">
              <w:rPr>
                <w:b/>
                <w:i/>
              </w:rPr>
              <w:t>Bizottság végrehajtási jogi aktusokat fogad el</w:t>
            </w:r>
            <w:r w:rsidRPr="00E344A0">
              <w:t xml:space="preserve">, </w:t>
            </w:r>
            <w:r w:rsidRPr="00E344A0">
              <w:rPr>
                <w:b/>
                <w:i/>
              </w:rPr>
              <w:t>amelyekben meghatározza</w:t>
            </w:r>
            <w:r w:rsidRPr="00E344A0">
              <w:t xml:space="preserve"> az </w:t>
            </w:r>
            <w:r w:rsidRPr="00E344A0">
              <w:rPr>
                <w:b/>
                <w:i/>
              </w:rPr>
              <w:t>(1)–(4) bekezdés szerinti vizsgálatokat, megfelelőség-ellenőrzéseket és eljárásokat a kibocsátási típusjóváhagyással, a gyártás megfelelőségével,</w:t>
            </w:r>
            <w:r w:rsidRPr="00E344A0">
              <w:t xml:space="preserve"> a </w:t>
            </w:r>
            <w:r w:rsidRPr="00E344A0">
              <w:rPr>
                <w:b/>
                <w:i/>
              </w:rPr>
              <w:t>használat közbeni megfelelőséggel,</w:t>
            </w:r>
            <w:r w:rsidRPr="00E344A0">
              <w:t xml:space="preserve"> a </w:t>
            </w:r>
            <w:r w:rsidRPr="00E344A0">
              <w:rPr>
                <w:b/>
                <w:i/>
              </w:rPr>
              <w:t>megfelelőségi nyilatkozattal</w:t>
            </w:r>
            <w:r w:rsidRPr="00E344A0">
              <w:t xml:space="preserve"> és a </w:t>
            </w:r>
            <w:r w:rsidRPr="00E344A0">
              <w:rPr>
                <w:b/>
                <w:i/>
              </w:rPr>
              <w:t>környezetvédelmi járműútlevéllel kapcsolatban.</w:t>
            </w:r>
            <w:r w:rsidRPr="00E344A0">
              <w:t xml:space="preserve"> </w:t>
            </w:r>
            <w:r w:rsidRPr="00E344A0">
              <w:rPr>
                <w:b/>
                <w:i/>
              </w:rPr>
              <w:t>Ezeket</w:t>
            </w:r>
            <w:r w:rsidRPr="00E344A0">
              <w:t xml:space="preserve"> a </w:t>
            </w:r>
            <w:r w:rsidRPr="00E344A0">
              <w:rPr>
                <w:b/>
                <w:i/>
              </w:rPr>
              <w:lastRenderedPageBreak/>
              <w:t>végrehajtási jogi aktusokat</w:t>
            </w:r>
            <w:r w:rsidRPr="00E344A0">
              <w:t xml:space="preserve"> a </w:t>
            </w:r>
            <w:r w:rsidRPr="00E344A0">
              <w:rPr>
                <w:b/>
                <w:i/>
              </w:rPr>
              <w:t>17. cikk (2) bekezdésében említett vizsgálóbizottsági eljárás keretében kell elfogadni</w:t>
            </w:r>
            <w:r w:rsidRPr="00E344A0">
              <w:t>.</w:t>
            </w:r>
          </w:p>
        </w:tc>
        <w:tc>
          <w:tcPr>
            <w:tcW w:w="4876" w:type="dxa"/>
          </w:tcPr>
          <w:p w:rsidR="00FF715E" w:rsidRPr="00E344A0" w:rsidRDefault="00FF715E" w:rsidP="00CD27F0">
            <w:pPr>
              <w:pStyle w:val="Normal6a"/>
            </w:pPr>
            <w:r w:rsidRPr="00E344A0">
              <w:lastRenderedPageBreak/>
              <w:t>(5)</w:t>
            </w:r>
            <w:r w:rsidRPr="00E344A0">
              <w:tab/>
              <w:t xml:space="preserve">A </w:t>
            </w:r>
            <w:r w:rsidRPr="00E344A0">
              <w:rPr>
                <w:b/>
                <w:i/>
              </w:rPr>
              <w:t>gyártók az üzem közbeni megfelelőségi ellenőrzéseket követően frissített környezetvédelmi járműútlevelet állítanak ki</w:t>
            </w:r>
            <w:r w:rsidRPr="00E344A0">
              <w:t xml:space="preserve">, </w:t>
            </w:r>
            <w:r w:rsidRPr="00E344A0">
              <w:rPr>
                <w:b/>
                <w:i/>
              </w:rPr>
              <w:t>amely tartalmazza</w:t>
            </w:r>
            <w:r w:rsidRPr="00E344A0">
              <w:t xml:space="preserve"> az </w:t>
            </w:r>
            <w:r w:rsidRPr="00E344A0">
              <w:rPr>
                <w:b/>
                <w:i/>
              </w:rPr>
              <w:t>e rendelet 3. cikkének 71. pontjában említett információk frissített értékeit.</w:t>
            </w:r>
            <w:r w:rsidRPr="00E344A0">
              <w:t xml:space="preserve"> </w:t>
            </w:r>
            <w:r w:rsidRPr="00E344A0">
              <w:rPr>
                <w:b/>
                <w:i/>
              </w:rPr>
              <w:t>Az (EU) 2018/858 rendelettel és</w:t>
            </w:r>
            <w:r w:rsidRPr="00E344A0">
              <w:t xml:space="preserve"> a </w:t>
            </w:r>
            <w:r w:rsidRPr="00E344A0">
              <w:rPr>
                <w:b/>
                <w:i/>
              </w:rPr>
              <w:t>2014/45/EU irányelvvel összhangban</w:t>
            </w:r>
            <w:r w:rsidRPr="00E344A0">
              <w:t xml:space="preserve"> a </w:t>
            </w:r>
            <w:r w:rsidRPr="00E344A0">
              <w:rPr>
                <w:b/>
                <w:i/>
              </w:rPr>
              <w:t>gyártók lehetővé teszik az illetékes hatóságok</w:t>
            </w:r>
            <w:r w:rsidRPr="00E344A0">
              <w:t xml:space="preserve"> és a </w:t>
            </w:r>
            <w:r w:rsidRPr="00E344A0">
              <w:rPr>
                <w:b/>
                <w:i/>
              </w:rPr>
              <w:t xml:space="preserve">vizsgálóállomások </w:t>
            </w:r>
            <w:r w:rsidRPr="00E344A0">
              <w:rPr>
                <w:b/>
                <w:i/>
              </w:rPr>
              <w:lastRenderedPageBreak/>
              <w:t>számára, hogy</w:t>
            </w:r>
            <w:r w:rsidRPr="00E344A0">
              <w:t xml:space="preserve"> a </w:t>
            </w:r>
            <w:r w:rsidRPr="00E344A0">
              <w:rPr>
                <w:b/>
                <w:i/>
              </w:rPr>
              <w:t>környezetvédelmi járműútlevelet frissítsék</w:t>
            </w:r>
            <w:r w:rsidRPr="00E344A0">
              <w:t xml:space="preserve"> a </w:t>
            </w:r>
            <w:r w:rsidRPr="00E344A0">
              <w:rPr>
                <w:b/>
                <w:i/>
              </w:rPr>
              <w:t xml:space="preserve">jármű fedélzeti diagnosztikai </w:t>
            </w:r>
            <w:proofErr w:type="spellStart"/>
            <w:r w:rsidRPr="00E344A0">
              <w:rPr>
                <w:b/>
                <w:i/>
              </w:rPr>
              <w:t>portjából</w:t>
            </w:r>
            <w:proofErr w:type="spellEnd"/>
            <w:r w:rsidRPr="00E344A0">
              <w:rPr>
                <w:b/>
                <w:i/>
              </w:rPr>
              <w:t xml:space="preserve"> és üzemanyag- és/vagy energiafogyasztás-figyelő fedélzeti eszközéből származó pontos adatokkal</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7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jc w:val="center"/>
            </w:pPr>
            <w:r w:rsidRPr="00E344A0">
              <w:rPr>
                <w:b/>
                <w:i/>
              </w:rPr>
              <w:t>7a. cikk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jc w:val="center"/>
            </w:pPr>
            <w:r w:rsidRPr="00E344A0">
              <w:rPr>
                <w:b/>
                <w:i/>
              </w:rPr>
              <w:t>Járművek gumiabroncsainak kopására vonatkozó egyedi rendelkezések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Az ENSZ WP29 keretében kidolgozott vonatkozó egységes rendelkezések közzétételét követően a Bizottság a 16. cikknek megfelelően felhatalmazáson alapuló jogi aktusokat fogad el, amelyek kiegészítik ezt a rendeletet azzal, hogy a típusjóváhagyás céljából gumiabroncs-kategóriánként meghatározzák a kopási kibocsátás mérési módszereit és határértékeit, amelyekben hivatkozni kell a gumiabroncsok kopásból származó kibocsátás tekintetében történő típusjóváhagyására vonatkozón az ENSZ WP29 keretében megállapítandó egységes rendelkezésekre és eltérésekre.</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Abban az esetben, ha az ENSZ WP29 munkacsoport a C1 típusú gumiabroncsokra vonatkozóan 2026. június 30-ig, a C2 és C3 típusú gumiabroncsokra vonatkozóan pedig 2035. december 31-ig nem állapít meg egységes rendelkezéseket, a Bizottság felülvizsgálatot végez, és adott esetben – más meglévő, legkorszerűbb módszerek alapján – módszert dolgoz ki a gumiabroncskopás mérésére, és  meghatározza a gumiabroncsok kopási határértékeit. Az említett felülvizsgálatot követően és amennyiben indokolt, a Bizottság a 16. cikkel összhangban 2026. október 30-ig felhatalmazáson alapuló </w:t>
            </w:r>
            <w:r w:rsidRPr="00E344A0">
              <w:rPr>
                <w:b/>
                <w:i/>
              </w:rPr>
              <w:lastRenderedPageBreak/>
              <w:t>jogi aktusokat fogad el, amelyekben meghatározza ezeket a módszereket és gumiabroncs-kategóriánként meghatározza a kopási kibocsátási határértékeket.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8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A kis sorozatú gyártókra vonatkozó különleges szabályok</w:t>
            </w:r>
          </w:p>
        </w:tc>
        <w:tc>
          <w:tcPr>
            <w:tcW w:w="4876" w:type="dxa"/>
          </w:tcPr>
          <w:p w:rsidR="00FF715E" w:rsidRPr="00E344A0" w:rsidRDefault="00FF715E" w:rsidP="00CD27F0">
            <w:pPr>
              <w:pStyle w:val="Normal6a"/>
            </w:pPr>
            <w:r w:rsidRPr="00E344A0">
              <w:t xml:space="preserve">A kis sorozatú </w:t>
            </w:r>
            <w:r w:rsidRPr="00E344A0">
              <w:rPr>
                <w:b/>
                <w:i/>
              </w:rPr>
              <w:t xml:space="preserve">és ultrakis sorozatú </w:t>
            </w:r>
            <w:r w:rsidRPr="00E344A0">
              <w:t>gyártókra vonatkozó különleges szabályok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8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w:t>
            </w:r>
            <w:r w:rsidRPr="00E344A0">
              <w:tab/>
              <w:t>A szennyezőanyag-kibocsátás tekintetében a kis sorozatú gyártók az V. melléklet 1., 3., 5., 7. és 9. táblázatában meghatározott vizsgálatokat megfelelőségi nyilatkozatokkal helyettesíthetik. A kis sorozatú gyártók által gyártott és forgalomba hozott járművek megfelelősége vizsgálható a használat közbeni megfelelőség és a piacfelügyelet szempontjából, az V. melléklet 2., 4., 6., 8. és 10. táblázatával összhangban. Nem szükséges az V. mellékletben meghatározott gyártásmegfelelőségi vizsgálatok elvégzése. A 4. cikk (</w:t>
            </w:r>
            <w:r w:rsidRPr="00E344A0">
              <w:rPr>
                <w:b/>
                <w:i/>
              </w:rPr>
              <w:t>4</w:t>
            </w:r>
            <w:r w:rsidRPr="00E344A0">
              <w:t>) bekezdésének b) pontja nem alkalmazandó a kis sorozatú gyártókra.</w:t>
            </w:r>
          </w:p>
        </w:tc>
        <w:tc>
          <w:tcPr>
            <w:tcW w:w="4876" w:type="dxa"/>
          </w:tcPr>
          <w:p w:rsidR="00FF715E" w:rsidRPr="00E344A0" w:rsidRDefault="00FF715E" w:rsidP="00CD27F0">
            <w:pPr>
              <w:pStyle w:val="Normal6a"/>
            </w:pPr>
            <w:r w:rsidRPr="00E344A0">
              <w:t>(1)</w:t>
            </w:r>
            <w:r w:rsidRPr="00E344A0">
              <w:tab/>
              <w:t xml:space="preserve">A szennyezőanyag-kibocsátás tekintetében a kis </w:t>
            </w:r>
            <w:r w:rsidRPr="00E344A0">
              <w:rPr>
                <w:b/>
                <w:i/>
              </w:rPr>
              <w:t xml:space="preserve">és ultrakis </w:t>
            </w:r>
            <w:r w:rsidRPr="00E344A0">
              <w:t>sorozatú gyártók az V. melléklet 1., 3., 5., 7. és 9. táblázatában meghatározott vizsgálatokat megfelelőségi nyilatkozatokkal helyettesíthetik. A kis sorozatú gyártók által gyártott és forgalomba hozott járművek megfelelősége vizsgálható a használat közbeni megfelelőség és a piacfelügyelet szempontjából, az V. melléklet 2., 4., 6., 8. és 10. táblázatával összhangban. Nem szükséges az V. mellékletben meghatározott gyártásmegfelelőségi vizsgálatok elvégzése. A 4. cikk (</w:t>
            </w:r>
            <w:r w:rsidRPr="00E344A0">
              <w:rPr>
                <w:b/>
                <w:i/>
              </w:rPr>
              <w:t>6</w:t>
            </w:r>
            <w:r w:rsidRPr="00E344A0">
              <w:t>) bekezdésének b) pontja nem alkalmazandó a kis</w:t>
            </w:r>
            <w:r w:rsidRPr="00E344A0">
              <w:rPr>
                <w:b/>
                <w:i/>
              </w:rPr>
              <w:t xml:space="preserve"> sorozatú és ultrakis</w:t>
            </w:r>
            <w:r w:rsidRPr="00E344A0">
              <w:t xml:space="preserve"> sorozatú gyártókra.</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lastRenderedPageBreak/>
        <w:t>8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t>Az ultrakis sorozatú gyártóknak meg kell felelniük az I. mellékletben meghatározott kibocsátási határértékeknek a használat közbeni megfelelőség és a piacfelügyelet céljából végzett, valós vezetési feltételek melletti munkaütemen alapuló laboratóriumi vizsgálatok során.</w:t>
            </w:r>
          </w:p>
        </w:tc>
        <w:tc>
          <w:tcPr>
            <w:tcW w:w="4876" w:type="dxa"/>
          </w:tcPr>
          <w:p w:rsidR="00FF715E" w:rsidRPr="00E344A0" w:rsidRDefault="00FF715E" w:rsidP="00CD27F0">
            <w:pPr>
              <w:pStyle w:val="Normal6a"/>
            </w:pPr>
            <w:r w:rsidRPr="00E344A0">
              <w:t>(2)</w:t>
            </w:r>
            <w:r w:rsidRPr="00E344A0">
              <w:tab/>
              <w:t xml:space="preserve">Az ultrakis sorozatú gyártóknak meg kell felelniük az I. mellékletben meghatározott kibocsátási határértékeknek a használat közbeni megfelelőség és a piacfelügyelet céljából végzett, </w:t>
            </w:r>
            <w:r w:rsidRPr="00E344A0">
              <w:rPr>
                <w:b/>
                <w:i/>
              </w:rPr>
              <w:t xml:space="preserve">statisztikailag releváns </w:t>
            </w:r>
            <w:r w:rsidRPr="00E344A0">
              <w:t>valós vezetési feltételek melletti munkaütemen alapuló laboratóriumi vizsgálatok során.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9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 xml:space="preserve">A többlépcsős előállítású </w:t>
            </w:r>
            <w:r w:rsidRPr="00E344A0">
              <w:rPr>
                <w:b/>
                <w:i/>
              </w:rPr>
              <w:t>járművekre</w:t>
            </w:r>
            <w:r w:rsidRPr="00E344A0">
              <w:t xml:space="preserve"> vonatkozó különleges szabályok</w:t>
            </w:r>
          </w:p>
        </w:tc>
        <w:tc>
          <w:tcPr>
            <w:tcW w:w="4876" w:type="dxa"/>
          </w:tcPr>
          <w:p w:rsidR="00FF715E" w:rsidRPr="00E344A0" w:rsidRDefault="00FF715E" w:rsidP="00CD27F0">
            <w:pPr>
              <w:pStyle w:val="Normal6a"/>
            </w:pPr>
            <w:r w:rsidRPr="00E344A0">
              <w:t xml:space="preserve">A többlépcsős előállítású </w:t>
            </w:r>
            <w:r w:rsidRPr="00E344A0">
              <w:rPr>
                <w:b/>
                <w:i/>
              </w:rPr>
              <w:t>járművek típusjóváhagyására</w:t>
            </w:r>
            <w:r w:rsidRPr="00E344A0">
              <w:t xml:space="preserve"> vonatkozó különleges szabályok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9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w:t>
            </w:r>
            <w:r w:rsidRPr="00E344A0">
              <w:tab/>
              <w:t xml:space="preserve">A többlépcsős </w:t>
            </w:r>
            <w:r w:rsidRPr="00E344A0">
              <w:rPr>
                <w:b/>
                <w:i/>
              </w:rPr>
              <w:t>típusjóváhagyások esetében a második vagy a további lépcsők gyártói felelnek a kibocsátási típusjóváhagyásért</w:t>
            </w:r>
            <w:r w:rsidRPr="00E344A0">
              <w:t xml:space="preserve">, </w:t>
            </w:r>
            <w:r w:rsidRPr="00E344A0">
              <w:rPr>
                <w:b/>
                <w:i/>
              </w:rPr>
              <w:t>amennyiben módosítják a jármű bármely olyan részét, amely az előző lépcső gyártói által szolgáltatott adatok szerint hatással lehet a kibocsátásra vagy az akkumulátor tartósságára</w:t>
            </w:r>
            <w:r w:rsidRPr="00E344A0">
              <w:t>.</w:t>
            </w:r>
          </w:p>
        </w:tc>
        <w:tc>
          <w:tcPr>
            <w:tcW w:w="4876" w:type="dxa"/>
          </w:tcPr>
          <w:p w:rsidR="00FF715E" w:rsidRPr="00E344A0" w:rsidRDefault="00FF715E" w:rsidP="00CD27F0">
            <w:pPr>
              <w:pStyle w:val="Normal6a"/>
            </w:pPr>
            <w:r w:rsidRPr="00E344A0">
              <w:t>(1)</w:t>
            </w:r>
            <w:r w:rsidRPr="00E344A0">
              <w:tab/>
              <w:t xml:space="preserve">A többlépcsős </w:t>
            </w:r>
            <w:r w:rsidRPr="00E344A0">
              <w:rPr>
                <w:b/>
                <w:i/>
              </w:rPr>
              <w:t>előállítású járművekre az V. melléklet 3.</w:t>
            </w:r>
            <w:r w:rsidRPr="00E344A0">
              <w:t xml:space="preserve">, </w:t>
            </w:r>
            <w:r w:rsidRPr="00E344A0">
              <w:rPr>
                <w:b/>
                <w:i/>
              </w:rPr>
              <w:t>4. és 5. táblázatában meghatározott egyedi rendelkezések alkalmazandók</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9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(2)</w:t>
            </w:r>
            <w:r w:rsidRPr="00E344A0">
              <w:tab/>
            </w:r>
            <w:r w:rsidRPr="00E344A0">
              <w:rPr>
                <w:b/>
                <w:i/>
              </w:rPr>
              <w:t>A Bizottság végrehajtási jogi aktusokat fogad el, amelyekben meghatározza az igazgatási követelményeket és az előző lépcső gyártói által az (1) bekezdéssel összhangban benyújtandó adatokat, továbbá az ilyen járművek CO</w:t>
            </w:r>
            <w:r w:rsidRPr="00E344A0">
              <w:rPr>
                <w:b/>
                <w:i/>
                <w:vertAlign w:val="subscript"/>
              </w:rPr>
              <w:t>2</w:t>
            </w:r>
            <w:r w:rsidRPr="00E344A0">
              <w:rPr>
                <w:b/>
                <w:i/>
              </w:rPr>
              <w:t>-kibocsátásának meghatározására szolgáló eljárásokat. Ezeket a végrehajtási jogi aktusokat a 17. cikk (2) bekezdésében említett vizsgálóbizottsági eljárás keretében kell elfogadni.</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cikk – 1 bekezdés</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w:t>
            </w:r>
            <w:r w:rsidRPr="00E344A0">
              <w:tab/>
              <w:t>A nemzeti jóváhagyó hatóságok intézkedéseket vezetnek be a járműtípusok, alkotóelemek és önálló műszaki egységek kibocsátási típusjóváhagyásának megadására, valamint olyan tesztek, ellenőrzések és vizsgálatok elvégzésére, amelyek célja annak ellenőrzése, hogy a gyártók megfelelnek-e a gyártás megfelelőségére és a használat közbeni megfelelőségre vonatkozó követelményeknek az V. melléklet szerint.</w:t>
            </w:r>
          </w:p>
        </w:tc>
        <w:tc>
          <w:tcPr>
            <w:tcW w:w="4876" w:type="dxa"/>
          </w:tcPr>
          <w:p w:rsidR="00FF715E" w:rsidRPr="00E344A0" w:rsidRDefault="00FF715E" w:rsidP="00CD27F0">
            <w:pPr>
              <w:pStyle w:val="Normal6a"/>
            </w:pPr>
            <w:r w:rsidRPr="00E344A0">
              <w:t>(1)</w:t>
            </w:r>
            <w:r w:rsidRPr="00E344A0">
              <w:tab/>
              <w:t xml:space="preserve">A nemzeti jóváhagyó hatóságok intézkedéseket vezetnek be a járműtípusok, </w:t>
            </w:r>
            <w:r w:rsidRPr="00E344A0">
              <w:rPr>
                <w:b/>
                <w:i/>
              </w:rPr>
              <w:t xml:space="preserve">rendszerek, </w:t>
            </w:r>
            <w:r w:rsidRPr="00E344A0">
              <w:t>alkotóelemek és önálló műszaki egységek kibocsátási típusjóváhagyásának megadására, valamint olyan tesztek, ellenőrzések és vizsgálatok elvégzésére, amelyek célja annak ellenőrzése, hogy a gyártók megfelelnek-e a gyártás megfelelőségére és a használat közbeni megfelelőségre vonatkozó követelményeknek az V. melléklet szerint.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99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cikk – 2 a bekezdés (új)</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(2a)</w:t>
            </w:r>
            <w:r w:rsidRPr="00E344A0">
              <w:tab/>
            </w:r>
            <w:r w:rsidRPr="00E344A0">
              <w:rPr>
                <w:b/>
                <w:i/>
              </w:rPr>
              <w:t xml:space="preserve">A tesztek, ellenőrzések és vizsgálatok elvégzésekor a nemzeti hatóságoknak és a vizsgálóállomásoknak frissíteniük kell a </w:t>
            </w:r>
            <w:r w:rsidRPr="00E344A0">
              <w:rPr>
                <w:b/>
                <w:i/>
              </w:rPr>
              <w:lastRenderedPageBreak/>
              <w:t>környezetvédelmi járműútlevelet a 3. cikk 71. pontjában említett információk frissített értékeivel.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cikk – 3 a bekezdés (új)</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(3a)</w:t>
            </w:r>
            <w:r w:rsidRPr="00E344A0">
              <w:tab/>
            </w:r>
            <w:r w:rsidRPr="00E344A0">
              <w:rPr>
                <w:b/>
                <w:i/>
              </w:rPr>
              <w:t xml:space="preserve">Az összes </w:t>
            </w:r>
            <w:r w:rsidR="00C95A83" w:rsidRPr="00E344A0">
              <w:rPr>
                <w:b/>
                <w:i/>
              </w:rPr>
              <w:t xml:space="preserve">vonatkozó </w:t>
            </w:r>
            <w:r w:rsidRPr="00E344A0">
              <w:rPr>
                <w:b/>
                <w:i/>
              </w:rPr>
              <w:t>másodlagos jogszabály hatálybalépését követő 24 hónaptól kezdődő hatállyal és a rendszerekre, alkotóelemekre és önálló műszaki egységekre vonatkozó egyedi rendelkezéseknek megfelelően az e rendeletnek meg nem felelő M</w:t>
            </w:r>
            <w:r w:rsidRPr="00E344A0">
              <w:rPr>
                <w:b/>
                <w:i/>
                <w:vertAlign w:val="subscript"/>
              </w:rPr>
              <w:t>1</w:t>
            </w:r>
            <w:r w:rsidRPr="00E344A0">
              <w:rPr>
                <w:b/>
                <w:i/>
              </w:rPr>
              <w:t xml:space="preserve"> és N</w:t>
            </w:r>
            <w:r w:rsidRPr="00E344A0">
              <w:rPr>
                <w:b/>
                <w:i/>
                <w:vertAlign w:val="subscript"/>
              </w:rPr>
              <w:t>1</w:t>
            </w:r>
            <w:r w:rsidRPr="00E344A0">
              <w:rPr>
                <w:b/>
                <w:i/>
              </w:rPr>
              <w:t xml:space="preserve"> kategóriájú járművek új típusai esetében a nemzeti jóváhagyó hatóságok a CO</w:t>
            </w:r>
            <w:r w:rsidRPr="00E344A0">
              <w:rPr>
                <w:b/>
                <w:i/>
                <w:vertAlign w:val="subscript"/>
              </w:rPr>
              <w:t>2</w:t>
            </w:r>
            <w:r w:rsidRPr="00E344A0">
              <w:rPr>
                <w:b/>
                <w:i/>
              </w:rPr>
              <w:t>- és szennyezőanyag-kibocsátással, az üzemanyag- és energiafogyasztással vagy az akkumulátor tartósságával kapcsolatos indokokra hivatkozva megtagadják a kibocsátásra vonatkozó EU-típusjóváhagyás vagy nemzeti típusjóváhagyás megadását.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cikk – 4 bekezdés</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(4)</w:t>
            </w:r>
            <w:r w:rsidRPr="00E344A0">
              <w:tab/>
            </w:r>
            <w:r w:rsidRPr="00E344A0">
              <w:rPr>
                <w:b/>
                <w:i/>
              </w:rPr>
              <w:t>2025. július 1-jétől</w:t>
            </w:r>
            <w:r w:rsidRPr="00E344A0">
              <w:t xml:space="preserve"> kezdődő hatállyal az e rendeletnek meg nem felelő új, M</w:t>
            </w:r>
            <w:r w:rsidRPr="00E344A0">
              <w:rPr>
                <w:vertAlign w:val="subscript"/>
              </w:rPr>
              <w:t>1</w:t>
            </w:r>
            <w:r w:rsidRPr="00E344A0">
              <w:t>, N</w:t>
            </w:r>
            <w:r w:rsidRPr="00E344A0">
              <w:rPr>
                <w:vertAlign w:val="subscript"/>
              </w:rPr>
              <w:t>1</w:t>
            </w:r>
            <w:r w:rsidRPr="00E344A0">
              <w:t xml:space="preserve"> kategóriájú járművek esetében a nemzeti hatóságok többé nem tekintik érvényesnek a megfelelőségi igazolásokat nyilvántartásba vétel céljából, és CO</w:t>
            </w:r>
            <w:r w:rsidRPr="00E344A0">
              <w:rPr>
                <w:vertAlign w:val="subscript"/>
              </w:rPr>
              <w:t>2</w:t>
            </w:r>
            <w:r w:rsidRPr="00E344A0">
              <w:t xml:space="preserve">- és </w:t>
            </w:r>
            <w:r w:rsidRPr="00E344A0">
              <w:rPr>
                <w:b/>
                <w:i/>
              </w:rPr>
              <w:t>szennyezőanyag-kibocsátásra</w:t>
            </w:r>
            <w:r w:rsidRPr="00E344A0">
              <w:t xml:space="preserve">, üzemanyag- és </w:t>
            </w:r>
            <w:r w:rsidRPr="00E344A0">
              <w:rPr>
                <w:b/>
                <w:i/>
              </w:rPr>
              <w:t>energiafogyasztásra</w:t>
            </w:r>
            <w:r w:rsidRPr="00E344A0">
              <w:t xml:space="preserve">, illetve az akkumulátor </w:t>
            </w:r>
            <w:r w:rsidRPr="00E344A0">
              <w:rPr>
                <w:b/>
                <w:i/>
              </w:rPr>
              <w:t>tartósságára</w:t>
            </w:r>
            <w:r w:rsidRPr="00E344A0">
              <w:t xml:space="preserve"> hivatkozva </w:t>
            </w:r>
            <w:r w:rsidRPr="00E344A0">
              <w:lastRenderedPageBreak/>
              <w:t>megtiltják az ilyen járművek nyilvántartásba vételét, értékesítését vagy forgalomba helyezését.</w:t>
            </w:r>
          </w:p>
        </w:tc>
        <w:tc>
          <w:tcPr>
            <w:tcW w:w="4876" w:type="dxa"/>
          </w:tcPr>
          <w:p w:rsidR="00FF715E" w:rsidRPr="00E344A0" w:rsidRDefault="00FF715E" w:rsidP="00CD27F0">
            <w:pPr>
              <w:pStyle w:val="Normal6a"/>
            </w:pPr>
            <w:r w:rsidRPr="00E344A0">
              <w:lastRenderedPageBreak/>
              <w:t>(4)</w:t>
            </w:r>
            <w:r w:rsidRPr="00E344A0">
              <w:tab/>
            </w:r>
            <w:r w:rsidRPr="00E344A0">
              <w:rPr>
                <w:b/>
                <w:i/>
              </w:rPr>
              <w:t xml:space="preserve">Az összes </w:t>
            </w:r>
            <w:r w:rsidR="00C95A83" w:rsidRPr="00E344A0">
              <w:rPr>
                <w:b/>
                <w:i/>
              </w:rPr>
              <w:t xml:space="preserve">vonatkozó </w:t>
            </w:r>
            <w:r w:rsidRPr="00E344A0">
              <w:rPr>
                <w:b/>
                <w:i/>
              </w:rPr>
              <w:t>másodlagos jogszabály hatálybalépését követő 36 hónaptól</w:t>
            </w:r>
            <w:r w:rsidRPr="00E344A0">
              <w:t xml:space="preserve"> kezdődő hatállyal </w:t>
            </w:r>
            <w:r w:rsidRPr="00E344A0">
              <w:rPr>
                <w:b/>
                <w:i/>
              </w:rPr>
              <w:t xml:space="preserve">és a rendszerekre, alkotóelemekre és önálló műszaki egységekre vonatkozó egyedi rendelkezéseknek megfelelően </w:t>
            </w:r>
            <w:r w:rsidRPr="00E344A0">
              <w:t>az e rendeletnek meg nem felelő új, M</w:t>
            </w:r>
            <w:r w:rsidRPr="00E344A0">
              <w:rPr>
                <w:vertAlign w:val="subscript"/>
              </w:rPr>
              <w:t>1</w:t>
            </w:r>
            <w:r w:rsidRPr="00E344A0">
              <w:t>, N</w:t>
            </w:r>
            <w:r w:rsidRPr="00E344A0">
              <w:rPr>
                <w:vertAlign w:val="subscript"/>
              </w:rPr>
              <w:t>1</w:t>
            </w:r>
            <w:r w:rsidRPr="00E344A0">
              <w:t xml:space="preserve"> kategóriájú járművek esetében a nemzeti hatóságok többé nem tekintik érvényesnek </w:t>
            </w:r>
            <w:r w:rsidRPr="00E344A0">
              <w:lastRenderedPageBreak/>
              <w:t xml:space="preserve">a megfelelőségi igazolásokat nyilvántartásba vétel céljából, és </w:t>
            </w:r>
            <w:r w:rsidRPr="00E344A0">
              <w:rPr>
                <w:b/>
                <w:i/>
              </w:rPr>
              <w:t xml:space="preserve">a </w:t>
            </w:r>
            <w:r w:rsidRPr="00E344A0">
              <w:t>CO</w:t>
            </w:r>
            <w:r w:rsidRPr="00E344A0">
              <w:rPr>
                <w:vertAlign w:val="subscript"/>
              </w:rPr>
              <w:t>2</w:t>
            </w:r>
            <w:r w:rsidRPr="00E344A0">
              <w:t xml:space="preserve">- és </w:t>
            </w:r>
            <w:r w:rsidRPr="00E344A0">
              <w:rPr>
                <w:b/>
                <w:i/>
              </w:rPr>
              <w:t>szennyezőanyag-kibocsátással</w:t>
            </w:r>
            <w:r w:rsidRPr="00E344A0">
              <w:t xml:space="preserve">, </w:t>
            </w:r>
            <w:r w:rsidRPr="00E344A0">
              <w:rPr>
                <w:b/>
                <w:i/>
              </w:rPr>
              <w:t xml:space="preserve">az </w:t>
            </w:r>
            <w:r w:rsidRPr="00E344A0">
              <w:t xml:space="preserve">üzemanyag- és </w:t>
            </w:r>
            <w:r w:rsidRPr="00E344A0">
              <w:rPr>
                <w:b/>
                <w:i/>
              </w:rPr>
              <w:t>energiafogyasztással</w:t>
            </w:r>
            <w:r w:rsidRPr="00E344A0">
              <w:t xml:space="preserve">, illetve az akkumulátor </w:t>
            </w:r>
            <w:r w:rsidRPr="00E344A0">
              <w:rPr>
                <w:b/>
                <w:i/>
              </w:rPr>
              <w:t>tartósságával kapcsolatos indokokra</w:t>
            </w:r>
            <w:r w:rsidRPr="00E344A0">
              <w:t xml:space="preserve"> hivatkozva megtiltják az ilyen járművek nyilvántartásba vételét, értékesítését vagy forgalomba helyezését.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cikk – 4 a bekezdés (új)</w:t>
      </w:r>
    </w:p>
    <w:p w:rsidR="00FF715E" w:rsidRPr="00E344A0" w:rsidRDefault="00FF715E" w:rsidP="00FF715E"/>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(4a)</w:t>
            </w:r>
            <w:r w:rsidRPr="00E344A0">
              <w:tab/>
            </w:r>
            <w:r w:rsidRPr="00E344A0">
              <w:rPr>
                <w:b/>
                <w:i/>
              </w:rPr>
              <w:t>Az összes vonatkozó másodlagos jogszabály hatálybalépését követő 48 hónappal kezdődő hatállyal és a rendszerekre, alkotóelemekre és önálló műszaki egységekre vonatkozó egyedi rendelkezéseknek megfelelően az e rendeletnek meg nem felelő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N</w:t>
            </w:r>
            <w:r w:rsidRPr="00E344A0">
              <w:rPr>
                <w:b/>
                <w:i/>
                <w:vertAlign w:val="subscript"/>
              </w:rPr>
              <w:t>3</w:t>
            </w:r>
            <w:r w:rsidRPr="00E344A0">
              <w:rPr>
                <w:b/>
                <w:i/>
              </w:rPr>
              <w:t xml:space="preserve"> kategóriájú járművek új típusai és új O</w:t>
            </w:r>
            <w:r w:rsidRPr="00E344A0">
              <w:rPr>
                <w:b/>
                <w:i/>
                <w:vertAlign w:val="subscript"/>
              </w:rPr>
              <w:t>3</w:t>
            </w:r>
            <w:r w:rsidRPr="00E344A0">
              <w:rPr>
                <w:b/>
                <w:i/>
              </w:rPr>
              <w:t>, O</w:t>
            </w:r>
            <w:r w:rsidRPr="00E344A0">
              <w:rPr>
                <w:b/>
                <w:i/>
                <w:vertAlign w:val="subscript"/>
              </w:rPr>
              <w:t>4</w:t>
            </w:r>
            <w:r w:rsidRPr="00E344A0">
              <w:rPr>
                <w:b/>
                <w:i/>
              </w:rPr>
              <w:t xml:space="preserve"> kategóriájú pótkocsik esetében a nemzeti típusjóváhagyó hatóságok a CO</w:t>
            </w:r>
            <w:r w:rsidRPr="00E344A0">
              <w:rPr>
                <w:b/>
                <w:i/>
                <w:vertAlign w:val="subscript"/>
              </w:rPr>
              <w:t>2</w:t>
            </w:r>
            <w:r w:rsidRPr="00E344A0">
              <w:rPr>
                <w:b/>
                <w:i/>
              </w:rPr>
              <w:t>- és szennyezőanyag-kibocsátással, az üzemanyag- és energiafogyasztással, az energiahatékonysággal vagy az akkumulátor tartósságával kapcsolatos indokokra hivatkozva elutasítják a kibocsátásra vonatkozó EU-típusjóváhagyás vagy nemzeti típusjóváhagyás megadását.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(5)</w:t>
            </w:r>
            <w:r w:rsidRPr="00E344A0">
              <w:tab/>
            </w:r>
            <w:r w:rsidRPr="00E344A0">
              <w:rPr>
                <w:b/>
                <w:i/>
              </w:rPr>
              <w:t>2027. július 1-jétől</w:t>
            </w:r>
            <w:r w:rsidRPr="00E344A0">
              <w:t xml:space="preserve"> kezdődő hatállyal az e rendeletnek meg nem felelő új,M</w:t>
            </w:r>
            <w:r w:rsidRPr="00E344A0">
              <w:rPr>
                <w:vertAlign w:val="subscript"/>
              </w:rPr>
              <w:t>2</w:t>
            </w:r>
            <w:r w:rsidRPr="00E344A0">
              <w:t>, M</w:t>
            </w:r>
            <w:r w:rsidRPr="00E344A0">
              <w:rPr>
                <w:vertAlign w:val="subscript"/>
              </w:rPr>
              <w:t>3</w:t>
            </w:r>
            <w:r w:rsidRPr="00E344A0">
              <w:t xml:space="preserve">, </w:t>
            </w:r>
            <w:r w:rsidRPr="00E344A0">
              <w:lastRenderedPageBreak/>
              <w:t>N</w:t>
            </w:r>
            <w:r w:rsidRPr="00E344A0">
              <w:rPr>
                <w:vertAlign w:val="subscript"/>
              </w:rPr>
              <w:t>2</w:t>
            </w:r>
            <w:r w:rsidRPr="00E344A0">
              <w:t>, N</w:t>
            </w:r>
            <w:r w:rsidRPr="00E344A0">
              <w:rPr>
                <w:vertAlign w:val="subscript"/>
              </w:rPr>
              <w:t>3</w:t>
            </w:r>
            <w:r w:rsidRPr="00E344A0">
              <w:t xml:space="preserve"> kategóriájú járművek és új, O</w:t>
            </w:r>
            <w:r w:rsidRPr="00E344A0">
              <w:rPr>
                <w:vertAlign w:val="subscript"/>
              </w:rPr>
              <w:t>3</w:t>
            </w:r>
            <w:r w:rsidRPr="00E344A0">
              <w:t>, O</w:t>
            </w:r>
            <w:r w:rsidRPr="00E344A0">
              <w:rPr>
                <w:vertAlign w:val="subscript"/>
              </w:rPr>
              <w:t>4</w:t>
            </w:r>
            <w:r w:rsidRPr="00E344A0">
              <w:t>kategóriájú pótkocsik esetében a nemzeti hatóságok többé nem tekintik érvényesnek a megfelelőségi igazolásokat nyilvántartásba vétel céljából, és CO</w:t>
            </w:r>
            <w:r w:rsidRPr="00E344A0">
              <w:rPr>
                <w:vertAlign w:val="subscript"/>
              </w:rPr>
              <w:t>2</w:t>
            </w:r>
            <w:r w:rsidRPr="00E344A0">
              <w:t xml:space="preserve">- és </w:t>
            </w:r>
            <w:r w:rsidRPr="00E344A0">
              <w:rPr>
                <w:b/>
                <w:i/>
              </w:rPr>
              <w:t>szennyezőanyag-kibocsátásra</w:t>
            </w:r>
            <w:r w:rsidRPr="00E344A0">
              <w:t xml:space="preserve">, üzemanyag- és </w:t>
            </w:r>
            <w:r w:rsidRPr="00E344A0">
              <w:rPr>
                <w:b/>
                <w:i/>
              </w:rPr>
              <w:t>energiafogyasztásra</w:t>
            </w:r>
            <w:r w:rsidRPr="00E344A0">
              <w:t xml:space="preserve">, </w:t>
            </w:r>
            <w:r w:rsidRPr="00E344A0">
              <w:rPr>
                <w:b/>
                <w:i/>
              </w:rPr>
              <w:t>energiahatékonyságra</w:t>
            </w:r>
            <w:r w:rsidRPr="00E344A0">
              <w:t xml:space="preserve">, illetve az akkumulátor </w:t>
            </w:r>
            <w:r w:rsidRPr="00E344A0">
              <w:rPr>
                <w:b/>
                <w:i/>
              </w:rPr>
              <w:t>tartósságára</w:t>
            </w:r>
            <w:r w:rsidRPr="00E344A0">
              <w:t xml:space="preserve"> hivatkozva megtiltják az ilyen járművek nyilvántartásba vételét, értékesítését vagy forgalomba helyezését.</w:t>
            </w:r>
          </w:p>
        </w:tc>
        <w:tc>
          <w:tcPr>
            <w:tcW w:w="4876" w:type="dxa"/>
          </w:tcPr>
          <w:p w:rsidR="00FF715E" w:rsidRPr="00E344A0" w:rsidRDefault="00FF715E" w:rsidP="00CD27F0">
            <w:pPr>
              <w:pStyle w:val="Normal6a"/>
            </w:pPr>
            <w:r w:rsidRPr="00E344A0">
              <w:lastRenderedPageBreak/>
              <w:t>(5)</w:t>
            </w:r>
            <w:r w:rsidRPr="00E344A0">
              <w:tab/>
            </w:r>
            <w:r w:rsidRPr="00E344A0">
              <w:rPr>
                <w:b/>
                <w:i/>
              </w:rPr>
              <w:t xml:space="preserve">Az összes </w:t>
            </w:r>
            <w:r w:rsidR="00C95A83" w:rsidRPr="00E344A0">
              <w:rPr>
                <w:b/>
                <w:i/>
              </w:rPr>
              <w:t xml:space="preserve">vonatkozó </w:t>
            </w:r>
            <w:r w:rsidRPr="00E344A0">
              <w:rPr>
                <w:b/>
                <w:i/>
              </w:rPr>
              <w:t xml:space="preserve">másodlagos jogszabály hatálybalépését követő 60 </w:t>
            </w:r>
            <w:r w:rsidRPr="00E344A0">
              <w:rPr>
                <w:b/>
                <w:i/>
              </w:rPr>
              <w:lastRenderedPageBreak/>
              <w:t>hónappal</w:t>
            </w:r>
            <w:r w:rsidRPr="00E344A0">
              <w:t xml:space="preserve"> kezdődő hatállyal </w:t>
            </w:r>
            <w:r w:rsidRPr="00E344A0">
              <w:rPr>
                <w:b/>
                <w:i/>
              </w:rPr>
              <w:t xml:space="preserve">és a rendszerekre, alkotóelemekre és önálló műszaki egységekre vonatkozó egyedi rendelkezéseknek megfelelően </w:t>
            </w:r>
            <w:r w:rsidRPr="00E344A0">
              <w:t>az e rendeletnek meg nem felelő új,</w:t>
            </w:r>
            <w:r w:rsidRPr="00E344A0">
              <w:rPr>
                <w:b/>
                <w:i/>
              </w:rPr>
              <w:t xml:space="preserve"> </w:t>
            </w:r>
            <w:r w:rsidRPr="00E344A0">
              <w:t>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kategóriájú járművek és új, O</w:t>
            </w:r>
            <w:r w:rsidRPr="00E344A0">
              <w:rPr>
                <w:vertAlign w:val="subscript"/>
              </w:rPr>
              <w:t>3</w:t>
            </w:r>
            <w:r w:rsidRPr="00E344A0">
              <w:t>, O</w:t>
            </w:r>
            <w:r w:rsidRPr="00E344A0">
              <w:rPr>
                <w:vertAlign w:val="subscript"/>
              </w:rPr>
              <w:t>4</w:t>
            </w:r>
            <w:r w:rsidRPr="00E344A0">
              <w:rPr>
                <w:b/>
                <w:i/>
              </w:rPr>
              <w:t xml:space="preserve"> </w:t>
            </w:r>
            <w:r w:rsidRPr="00E344A0">
              <w:t xml:space="preserve">kategóriájú pótkocsik esetében a nemzeti hatóságok többé nem tekintik érvényesnek a megfelelőségi igazolásokat nyilvántartásba vétel céljából, és </w:t>
            </w:r>
            <w:r w:rsidRPr="00E344A0">
              <w:rPr>
                <w:b/>
                <w:i/>
              </w:rPr>
              <w:t xml:space="preserve">a </w:t>
            </w:r>
            <w:r w:rsidRPr="00E344A0">
              <w:t>CO</w:t>
            </w:r>
            <w:r w:rsidRPr="00E344A0">
              <w:rPr>
                <w:vertAlign w:val="subscript"/>
              </w:rPr>
              <w:t>2</w:t>
            </w:r>
            <w:r w:rsidRPr="00E344A0">
              <w:t xml:space="preserve">- és </w:t>
            </w:r>
            <w:r w:rsidRPr="00E344A0">
              <w:rPr>
                <w:b/>
                <w:i/>
              </w:rPr>
              <w:t>szennyezőanyag-kibocsátással</w:t>
            </w:r>
            <w:r w:rsidRPr="00E344A0">
              <w:t xml:space="preserve">, </w:t>
            </w:r>
            <w:r w:rsidRPr="00E344A0">
              <w:rPr>
                <w:b/>
                <w:i/>
              </w:rPr>
              <w:t xml:space="preserve">az </w:t>
            </w:r>
            <w:r w:rsidRPr="00E344A0">
              <w:t xml:space="preserve">üzemanyag- és </w:t>
            </w:r>
            <w:r w:rsidRPr="00E344A0">
              <w:rPr>
                <w:b/>
                <w:i/>
              </w:rPr>
              <w:t>energiafogyasztással</w:t>
            </w:r>
            <w:r w:rsidRPr="00E344A0">
              <w:t xml:space="preserve">, </w:t>
            </w:r>
            <w:r w:rsidRPr="00E344A0">
              <w:rPr>
                <w:b/>
                <w:i/>
              </w:rPr>
              <w:t>az energiahatékonysággal</w:t>
            </w:r>
            <w:r w:rsidRPr="00E344A0">
              <w:t xml:space="preserve">, illetve az akkumulátor </w:t>
            </w:r>
            <w:r w:rsidRPr="00E344A0">
              <w:rPr>
                <w:b/>
                <w:i/>
              </w:rPr>
              <w:t>tartósságával kapcsolatos indokokra</w:t>
            </w:r>
            <w:r w:rsidRPr="00E344A0">
              <w:t xml:space="preserve"> hivatkozva megtiltják az ilyen </w:t>
            </w:r>
            <w:r w:rsidRPr="00E344A0">
              <w:rPr>
                <w:b/>
                <w:i/>
              </w:rPr>
              <w:t xml:space="preserve">motorok, </w:t>
            </w:r>
            <w:r w:rsidRPr="00E344A0">
              <w:t>járművek</w:t>
            </w:r>
            <w:r w:rsidRPr="00E344A0">
              <w:rPr>
                <w:b/>
                <w:i/>
              </w:rPr>
              <w:t xml:space="preserve"> vagy pótkocsik</w:t>
            </w:r>
            <w:r w:rsidRPr="00E344A0">
              <w:t xml:space="preserve"> nyilvántartásba vételét, értékesítését vagy forgalomba helyezését.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10 cikk – 8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(8)</w:t>
            </w:r>
            <w:r w:rsidRPr="00E344A0">
              <w:tab/>
            </w:r>
            <w:r w:rsidRPr="00E344A0">
              <w:rPr>
                <w:b/>
                <w:i/>
              </w:rPr>
              <w:t>A Bizottság végrehajtási jogi aktusokat fogad el, amelyekben meghatározza az (1) bekezdésnek való megfelelés ellenőrzésére szolgáló tesztek, ellenőrzések és vizsgálatok elvégzéséhez szükséges igazgatási és technikai elemeket, valamint a (2) bekezdés szerinti piacfelügyeleti ellenőrzésekhez szükséges technikai elemeket. Ezeket a végrehajtási jogi aktusokat a 17. cikk (2) bekezdésében említett vizsgálóbizottsági eljárás keretében kell elfogadni.</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lastRenderedPageBreak/>
              <w:t>(1)</w:t>
            </w:r>
            <w:r w:rsidRPr="00E344A0">
              <w:tab/>
            </w:r>
            <w:r w:rsidRPr="00E344A0">
              <w:rPr>
                <w:b/>
                <w:i/>
              </w:rPr>
              <w:t>2025. július 1-jétől</w:t>
            </w:r>
            <w:r w:rsidRPr="00E344A0">
              <w:t xml:space="preserve"> kezdődő hatállyal tilos az e rendelet alapján jóváhagyott M</w:t>
            </w:r>
            <w:r w:rsidRPr="00E344A0">
              <w:rPr>
                <w:vertAlign w:val="subscript"/>
              </w:rPr>
              <w:t>1</w:t>
            </w:r>
            <w:r w:rsidRPr="00E344A0">
              <w:t>, N</w:t>
            </w:r>
            <w:r w:rsidRPr="00E344A0">
              <w:rPr>
                <w:vertAlign w:val="subscript"/>
              </w:rPr>
              <w:t>1</w:t>
            </w:r>
            <w:r w:rsidRPr="00E344A0">
              <w:t xml:space="preserve"> kategóriájú járműbe való beszerelésre szánt rendszer, alkotóelem vagy önálló műszaki egység értékesítése vagy beépítése, ha a rendszer, alkotóelem vagy önálló műszaki egység nem rendelkezik az e rendelet szerinti típusjóváhagyással.</w:t>
            </w:r>
          </w:p>
        </w:tc>
        <w:tc>
          <w:tcPr>
            <w:tcW w:w="4876" w:type="dxa"/>
          </w:tcPr>
          <w:p w:rsidR="00FF715E" w:rsidRPr="00E344A0" w:rsidRDefault="00FF715E" w:rsidP="00CD27F0">
            <w:pPr>
              <w:pStyle w:val="Normal6a"/>
            </w:pPr>
            <w:r w:rsidRPr="00E344A0">
              <w:t>(1)</w:t>
            </w:r>
            <w:r w:rsidRPr="00E344A0">
              <w:tab/>
            </w:r>
            <w:r w:rsidRPr="00E344A0">
              <w:rPr>
                <w:b/>
                <w:i/>
              </w:rPr>
              <w:t xml:space="preserve">Az összes </w:t>
            </w:r>
            <w:r w:rsidR="00C95A83" w:rsidRPr="00E344A0">
              <w:rPr>
                <w:b/>
                <w:i/>
              </w:rPr>
              <w:t xml:space="preserve">vonatkozó </w:t>
            </w:r>
            <w:r w:rsidRPr="00E344A0">
              <w:rPr>
                <w:b/>
                <w:i/>
              </w:rPr>
              <w:t>másodlagos jogszabály hatálybalépését követő 24 hónappal</w:t>
            </w:r>
            <w:r w:rsidRPr="00E344A0">
              <w:t xml:space="preserve"> kezdődő hatállyal tilos az e rendelet alapján jóváhagyott M</w:t>
            </w:r>
            <w:r w:rsidRPr="00E344A0">
              <w:rPr>
                <w:vertAlign w:val="subscript"/>
              </w:rPr>
              <w:t>1</w:t>
            </w:r>
            <w:r w:rsidRPr="00E344A0">
              <w:t>, N</w:t>
            </w:r>
            <w:r w:rsidRPr="00E344A0">
              <w:rPr>
                <w:vertAlign w:val="subscript"/>
              </w:rPr>
              <w:t>1</w:t>
            </w:r>
            <w:r w:rsidRPr="00E344A0">
              <w:t xml:space="preserve"> kategóriájú járműbe való beszerelésre szánt rendszer, alkotóelem vagy önálló műszaki egység értékesítése vagy beépítése, ha a rendszer, alkotóelem vagy önálló műszaki egység nem rendelkezik az e rendelet szerinti típusjóváhagyással.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11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r>
            <w:r w:rsidRPr="00E344A0">
              <w:rPr>
                <w:b/>
                <w:i/>
              </w:rPr>
              <w:t>2027. július 1-jétől</w:t>
            </w:r>
            <w:r w:rsidRPr="00E344A0">
              <w:t xml:space="preserve"> kezdődő hatállyal tilos az e rendelet alapján jóváhagyott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kategóriájú járműbe való beszerelésre szánt rendszer, alkotóelem vagy önálló műszaki egység értékesítése vagy beépítése, ha a rendszer, alkotóelem vagy önálló műszaki egység nem rendelkezik az e rendelet szerinti típusjóváhagyással.</w:t>
            </w:r>
          </w:p>
        </w:tc>
        <w:tc>
          <w:tcPr>
            <w:tcW w:w="4876" w:type="dxa"/>
          </w:tcPr>
          <w:p w:rsidR="00FF715E" w:rsidRPr="00E344A0" w:rsidRDefault="00FF715E" w:rsidP="00CD27F0">
            <w:pPr>
              <w:pStyle w:val="Normal6a"/>
            </w:pPr>
            <w:r w:rsidRPr="00E344A0">
              <w:t>(2)</w:t>
            </w:r>
            <w:r w:rsidRPr="00E344A0">
              <w:tab/>
            </w:r>
            <w:r w:rsidRPr="00E344A0">
              <w:rPr>
                <w:b/>
                <w:i/>
              </w:rPr>
              <w:t>Az összes vonatkozó másodlagos jogszabály hatálybalépését követő 48 hónappal</w:t>
            </w:r>
            <w:r w:rsidRPr="00E344A0">
              <w:t xml:space="preserve"> kezdődő hatállyal tilos az e rendelet alapján jóváhagyott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kategóriájú járműbe</w:t>
            </w:r>
            <w:r w:rsidRPr="00E344A0">
              <w:rPr>
                <w:b/>
                <w:i/>
              </w:rPr>
              <w:t xml:space="preserve"> és O</w:t>
            </w:r>
            <w:r w:rsidRPr="00E344A0">
              <w:rPr>
                <w:b/>
                <w:i/>
                <w:vertAlign w:val="subscript"/>
              </w:rPr>
              <w:t>3</w:t>
            </w:r>
            <w:r w:rsidRPr="00E344A0">
              <w:rPr>
                <w:b/>
                <w:i/>
              </w:rPr>
              <w:t>, O</w:t>
            </w:r>
            <w:r w:rsidRPr="00E344A0">
              <w:rPr>
                <w:b/>
                <w:i/>
                <w:vertAlign w:val="subscript"/>
              </w:rPr>
              <w:t>4</w:t>
            </w:r>
            <w:r w:rsidRPr="00E344A0">
              <w:rPr>
                <w:b/>
                <w:i/>
              </w:rPr>
              <w:t xml:space="preserve"> kategóriájú pótkocsiba</w:t>
            </w:r>
            <w:r w:rsidRPr="00E344A0">
              <w:t xml:space="preserve"> való beszerelésre szánt rendszer, alkotóelem vagy önálló műszaki egység értékesítése vagy beépítése, ha a rendszer, alkotóelem vagy önálló műszaki egység nem rendelkezik az e rendelet szerinti típusjóváhagyással.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11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AA028B">
            <w:pPr>
              <w:pStyle w:val="Normal6a"/>
            </w:pPr>
            <w:r w:rsidRPr="00E344A0">
              <w:rPr>
                <w:b/>
                <w:i/>
              </w:rPr>
              <w:t>(3a)</w:t>
            </w:r>
            <w:r w:rsidRPr="00E344A0">
              <w:tab/>
            </w:r>
            <w:r w:rsidRPr="00E344A0">
              <w:rPr>
                <w:b/>
                <w:i/>
              </w:rPr>
              <w:t xml:space="preserve">A C1 gumiabroncsok kopási kibocsátási határértékek tekintetében történő, a 7a. cikk szerinti típusjóváhagyásáról szóló, felhatalmazáson alapuló jogi aktus elfogadása után 12 hónappal kezdődő hatállyal a nemzeti hatóságok csak az e rendeletnek megfelelő új gumiabroncstípusokra adják meg az </w:t>
            </w:r>
            <w:r w:rsidRPr="00E344A0">
              <w:rPr>
                <w:b/>
                <w:i/>
              </w:rPr>
              <w:lastRenderedPageBreak/>
              <w:t>alkotóelem/önálló műszaki egység E</w:t>
            </w:r>
            <w:r w:rsidR="00AA028B" w:rsidRPr="00E344A0">
              <w:rPr>
                <w:b/>
                <w:i/>
              </w:rPr>
              <w:t>U</w:t>
            </w:r>
            <w:r w:rsidRPr="00E344A0">
              <w:rPr>
                <w:b/>
                <w:i/>
              </w:rPr>
              <w:t>-típusjóváhagyást, és megtagadják az alkotóelem/önálló műszaki egység E</w:t>
            </w:r>
            <w:r w:rsidR="00AA028B" w:rsidRPr="00E344A0">
              <w:rPr>
                <w:b/>
                <w:i/>
              </w:rPr>
              <w:t>U</w:t>
            </w:r>
            <w:r w:rsidRPr="00E344A0">
              <w:rPr>
                <w:b/>
                <w:i/>
              </w:rPr>
              <w:t>-típusjóváhagyásának megadását azon új gumiabroncstípusok tekintetében, amelyek nem felelnek meg a rendeletnek.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A C1 típusú gumiabroncsok kopáskibocsátás tekintetében történő, a 7a. cikk szerinti típusjóváhagyásáról szóló, felhatalmazáson alapuló jogi aktus elfogadása után 36 hónappal kezdődő hatállyal a nemzeti hatóságok megtagadják a típusjóváhagyás vagy a típusjóváhagyás megadását azon új C1 típusú gumiabroncsok esetében, amelyek nem felelnek meg e rendeletnek. Azok az ezen albekezdésben meghatározott hatálybalépési időpontok előtt gyártott C1 típusú gumiabroncsok, amelyek nem felelnek meg e rendelet követelményeinek és az ahhoz kapcsolódó végrehajtási intézkedéseknek, legfeljebb 30 hónapig értékesíthetők.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12 cikk – 1 bekezdés – 1 a albekezdés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Amennyiben a jármű manipulációja az 1. mellékletben meghatározott határértékek túllépését eredményezi, a jármű már nem felel meg ennek a rendeletnek.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109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12 cikk – 1 bekezdés – 1 b albekezdés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A manipulálásból eredő meg nem felelés megfelelő korrekciós intézkedések, többek között visszahívások, valamint hatékony, </w:t>
            </w:r>
            <w:r w:rsidRPr="00E344A0">
              <w:rPr>
                <w:b/>
                <w:i/>
              </w:rPr>
              <w:lastRenderedPageBreak/>
              <w:t>arányos és visszatartó erejű pénzügyi szankciók elfogadását eredményezi az illetékes nemzeti hatóságok részéről.</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12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t>A nemzeti hatóságoknak a használat közbeni megfelelőségi vagy piacfelügyeleti ellenőrzések során ellenőrizniük kell, hogy a járműgyártók megfelelően építették-e be a járművezetőt a kibocsátási határértékek túllépésére figyelmeztető rendszereket és a járművezetőt a reagens alacsony szintjére figyelmeztető rendszereket, valamint hogy a járművek manipulálhatók-e.</w:t>
            </w:r>
          </w:p>
        </w:tc>
        <w:tc>
          <w:tcPr>
            <w:tcW w:w="4876" w:type="dxa"/>
          </w:tcPr>
          <w:p w:rsidR="00FF715E" w:rsidRPr="00E344A0" w:rsidRDefault="00FF715E" w:rsidP="00CD27F0">
            <w:pPr>
              <w:pStyle w:val="Normal6a"/>
            </w:pPr>
            <w:r w:rsidRPr="00E344A0">
              <w:t>(2)</w:t>
            </w:r>
            <w:r w:rsidRPr="00E344A0">
              <w:tab/>
              <w:t>A nemzeti hatóságoknak a használat közbeni megfelelőségi vagy piacfelügyeleti ellenőrzések során ellenőrizniük kell</w:t>
            </w:r>
            <w:r w:rsidRPr="00E344A0">
              <w:rPr>
                <w:b/>
                <w:i/>
              </w:rPr>
              <w:t xml:space="preserve"> az alkalmazott reagens minőségét, azt</w:t>
            </w:r>
            <w:r w:rsidRPr="00E344A0">
              <w:t>, hogy a járműgyártók megfelelően építették-e be a járművezetőt a kibocsátási határértékek túllépésére figyelmeztető rendszereket és a járművezetőt a reagens alacsony szintjére figyelmeztető rendszereket, valamint hogy a járművek manipulálhatók-e.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w:t>
            </w:r>
            <w:r w:rsidRPr="00E344A0">
              <w:tab/>
              <w:t xml:space="preserve">A Bizottság, illetve harmadik felek az (EU) 2018/858 rendelet 9. cikkével és 13. cikkének (10) bekezdésével összhangban </w:t>
            </w:r>
            <w:r w:rsidRPr="00E344A0">
              <w:rPr>
                <w:b/>
                <w:i/>
              </w:rPr>
              <w:t>elvégezhetik</w:t>
            </w:r>
            <w:r w:rsidRPr="00E344A0">
              <w:t xml:space="preserve"> az V. melléklet 2., 4., 6., 8. és 10. táblázatában meghatározott, használat közbeni megfelelőségi és piacfelügyeleti ellenőrzéseket a járművek, alkotóelemek és önálló műszaki egységek e rendeletnek való megfelelésének ellenőrzése érdekében.</w:t>
            </w:r>
          </w:p>
        </w:tc>
        <w:tc>
          <w:tcPr>
            <w:tcW w:w="4876" w:type="dxa"/>
          </w:tcPr>
          <w:p w:rsidR="00FF715E" w:rsidRPr="00E344A0" w:rsidRDefault="00FF715E" w:rsidP="00CD27F0">
            <w:pPr>
              <w:pStyle w:val="Normal6a"/>
            </w:pPr>
            <w:r w:rsidRPr="00E344A0">
              <w:t>(1)</w:t>
            </w:r>
            <w:r w:rsidRPr="00E344A0">
              <w:tab/>
              <w:t xml:space="preserve">A Bizottság, illetve harmadik felek az (EU) 2018/858 rendelet 9. cikkével és 13. cikkének (10) bekezdésével összhangban </w:t>
            </w:r>
            <w:r w:rsidRPr="00E344A0">
              <w:rPr>
                <w:b/>
                <w:i/>
              </w:rPr>
              <w:t>elvégzik</w:t>
            </w:r>
            <w:r w:rsidRPr="00E344A0">
              <w:t xml:space="preserve"> az V. melléklet 2., 4., 6., 8. és 10. táblázatában meghatározott, használat közbeni megfelelőségi és piacfelügyeleti ellenőrzéseket a járművek, alkotóelemek és önálló műszaki egységek e rendeletnek való megfelelésének ellenőrzése érdekében.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lastRenderedPageBreak/>
        <w:t>13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(2a)</w:t>
            </w:r>
            <w:r w:rsidRPr="00E344A0">
              <w:tab/>
            </w:r>
            <w:r w:rsidRPr="00E344A0">
              <w:rPr>
                <w:b/>
                <w:i/>
              </w:rPr>
              <w:t>A Bizottság uniós szinten folyamatosan nyomon követi a helyzetet a jogszabályok kijátszását és a meg nem felelést eredményező gyakorlatok azonosítása érdekében. Amennyiben a megfelelőség megsértését állapítják meg, a Bizottság jelentést nyújt be az Európai Parlamentnek és a Tanácsnak, és adott esetben jogalkotási javaslatot terjeszt elő a meg nem felelés kockázatainak kezelése és kiküszöbölése érdekében.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r>
            <w:r w:rsidRPr="00E344A0">
              <w:rPr>
                <w:b/>
                <w:i/>
              </w:rPr>
              <w:t>A 4. cikk</w:t>
            </w:r>
            <w:r w:rsidRPr="00E344A0">
              <w:t xml:space="preserve"> követelményeinek való megfelelést igazoló vizsgálatokat a gyártók és a nemzeti hatóságok az V. mellékletben meghatározottak szerint alkalmazzák. </w:t>
            </w:r>
            <w:r w:rsidRPr="00E344A0">
              <w:rPr>
                <w:b/>
                <w:i/>
              </w:rPr>
              <w:t>A 4. cikk</w:t>
            </w:r>
            <w:r w:rsidRPr="00E344A0">
              <w:t xml:space="preserve"> követelményeinek való megfelelést igazoló vizsgálatokat a Bizottság és harmadik felek is alkalmazhatják az V. mellékletben meghatározottak szerint.</w:t>
            </w:r>
          </w:p>
        </w:tc>
        <w:tc>
          <w:tcPr>
            <w:tcW w:w="4876" w:type="dxa"/>
          </w:tcPr>
          <w:p w:rsidR="00FF715E" w:rsidRPr="00E344A0" w:rsidRDefault="00FF715E" w:rsidP="00CD27F0">
            <w:pPr>
              <w:pStyle w:val="Normal6a"/>
            </w:pPr>
            <w:r w:rsidRPr="00E344A0">
              <w:t>(2)</w:t>
            </w:r>
            <w:r w:rsidRPr="00E344A0">
              <w:tab/>
            </w:r>
            <w:r w:rsidRPr="00E344A0">
              <w:rPr>
                <w:b/>
                <w:i/>
              </w:rPr>
              <w:t>Az e rendelet</w:t>
            </w:r>
            <w:r w:rsidRPr="00E344A0">
              <w:t xml:space="preserve"> követelményeinek való megfelelést igazoló vizsgálatokat a gyártók és a nemzeti hatóságok az V. mellékletben meghatározottak szerint alkalmazzák. </w:t>
            </w:r>
            <w:r w:rsidRPr="00E344A0">
              <w:rPr>
                <w:b/>
                <w:i/>
              </w:rPr>
              <w:t>Az e rendelet</w:t>
            </w:r>
            <w:r w:rsidRPr="00E344A0">
              <w:t xml:space="preserve"> követelményeinek való megfelelést igazoló vizsgálatokat a Bizottság és harmadik felek is alkalmazhatják az V. mellékletben meghatározottak szerint.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3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(3)</w:t>
            </w:r>
            <w:r w:rsidRPr="00E344A0">
              <w:tab/>
              <w:t xml:space="preserve">A Bizottság végrehajtási jogi aktusokat fogad el a kibocsátási típusjóváhagyás valamennyi szakaszára vonatkozóan, beleértve a gyártás megfelelőségét, a használat közbeni megfelelőséget és a piacfelügyeletet, kitérve </w:t>
            </w:r>
            <w:r w:rsidRPr="00E344A0">
              <w:rPr>
                <w:b/>
                <w:i/>
              </w:rPr>
              <w:t xml:space="preserve">a kibocsátási típusjóváhagyásra </w:t>
            </w:r>
            <w:r w:rsidRPr="00E344A0">
              <w:rPr>
                <w:b/>
                <w:i/>
              </w:rPr>
              <w:lastRenderedPageBreak/>
              <w:t xml:space="preserve">irányuló eljárásokra és vizsgálatokra, a vizsgálati módszerekre, </w:t>
            </w:r>
            <w:r w:rsidRPr="00E344A0">
              <w:t>az igazgatási rendelkezésekre, a kibocsátási típusjóváhagyások módosítására és kiterjesztésére, az adatokhoz való hozzáférésre, a dokumentációs követelményekre és sablonokra az alábbiak mindegyike tekintetében:</w:t>
            </w:r>
          </w:p>
        </w:tc>
        <w:tc>
          <w:tcPr>
            <w:tcW w:w="4876" w:type="dxa"/>
          </w:tcPr>
          <w:p w:rsidR="00FF715E" w:rsidRPr="00E344A0" w:rsidRDefault="00FF715E" w:rsidP="00CD27F0">
            <w:pPr>
              <w:pStyle w:val="Normal6a"/>
            </w:pPr>
            <w:r w:rsidRPr="00E344A0">
              <w:lastRenderedPageBreak/>
              <w:t>(3)</w:t>
            </w:r>
            <w:r w:rsidRPr="00E344A0">
              <w:tab/>
              <w:t xml:space="preserve">A Bizottság végrehajtási jogi aktusokat fogad el a kibocsátási típusjóváhagyás valamennyi szakaszára vonatkozóan, beleértve a gyártás megfelelőségét, a használat közbeni megfelelőséget és a piacfelügyeletet, kitérve az igazgatási rendelkezésekre, a </w:t>
            </w:r>
            <w:r w:rsidRPr="00E344A0">
              <w:lastRenderedPageBreak/>
              <w:t>kibocsátási típusjóváhagyások módosítására és kiterjesztésére, az adatokhoz való hozzáférésre, a dokumentációs követelményekre és sablonokra az alábbiak mindegyike tekintetében: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3 bekezdés – d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da)</w:t>
            </w:r>
            <w:r w:rsidRPr="00E344A0">
              <w:tab/>
            </w:r>
            <w:r w:rsidRPr="00E344A0">
              <w:rPr>
                <w:b/>
                <w:i/>
              </w:rPr>
              <w:t>a járművezetőt a kibocsátási határértékek túllépésére figyelmeztető rendszer;</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3 bekezdés – d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db)</w:t>
            </w:r>
            <w:r w:rsidRPr="00E344A0">
              <w:tab/>
            </w:r>
            <w:r w:rsidRPr="00E344A0">
              <w:rPr>
                <w:b/>
                <w:i/>
              </w:rPr>
              <w:t>a járművezetőt a reagens alacsony szintjére figyelmeztető rendszer;</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3 bekezdés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e)</w:t>
            </w:r>
            <w:r w:rsidRPr="00E344A0">
              <w:tab/>
              <w:t>manipulálás elleni, biztonsági és kiberbiztonsági rendszerek;</w:t>
            </w:r>
          </w:p>
        </w:tc>
        <w:tc>
          <w:tcPr>
            <w:tcW w:w="4876" w:type="dxa"/>
          </w:tcPr>
          <w:p w:rsidR="00FF715E" w:rsidRPr="00E344A0" w:rsidRDefault="00FF715E" w:rsidP="00CD27F0">
            <w:pPr>
              <w:pStyle w:val="Normal6a"/>
            </w:pPr>
            <w:r w:rsidRPr="00E344A0">
              <w:t>e)</w:t>
            </w:r>
            <w:r w:rsidRPr="00E344A0">
              <w:tab/>
              <w:t>manipulálás elleni</w:t>
            </w:r>
            <w:r w:rsidRPr="00E344A0">
              <w:rPr>
                <w:b/>
                <w:i/>
              </w:rPr>
              <w:t xml:space="preserve"> rendszerek</w:t>
            </w:r>
            <w:r w:rsidRPr="00E344A0">
              <w:t>,</w:t>
            </w:r>
            <w:r w:rsidRPr="00E344A0">
              <w:rPr>
                <w:b/>
                <w:i/>
              </w:rPr>
              <w:t xml:space="preserve"> figyelembe véve az utópiaci igényeket és a pótalkatrészek fejlesztéséhez és beszereléséhez szükséges valamennyi információ, eszköz és folyamat független gazdasági szereplők számára történő biztosítását, valamint</w:t>
            </w:r>
            <w:r w:rsidRPr="00E344A0">
              <w:t xml:space="preserve"> biztonsági és </w:t>
            </w:r>
            <w:r w:rsidRPr="00E344A0">
              <w:lastRenderedPageBreak/>
              <w:t>kiberbiztonsági rendszerek;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3 bekezdés – g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g)</w:t>
            </w:r>
            <w:r w:rsidRPr="00E344A0">
              <w:tab/>
              <w:t>fékrendszerek típusai és tartalék alkatrészei;</w:t>
            </w:r>
          </w:p>
        </w:tc>
        <w:tc>
          <w:tcPr>
            <w:tcW w:w="4876" w:type="dxa"/>
          </w:tcPr>
          <w:p w:rsidR="00FF715E" w:rsidRPr="00E344A0" w:rsidRDefault="00FF715E" w:rsidP="00CD27F0">
            <w:pPr>
              <w:pStyle w:val="Normal6a"/>
            </w:pPr>
            <w:r w:rsidRPr="00E344A0">
              <w:t>g)</w:t>
            </w:r>
            <w:r w:rsidRPr="00E344A0">
              <w:tab/>
              <w:t>fékrendszerek típusai és tartalék alkatrészei</w:t>
            </w:r>
            <w:r w:rsidRPr="00E344A0">
              <w:rPr>
                <w:b/>
                <w:i/>
              </w:rPr>
              <w:t xml:space="preserve"> valamennyi járműkategória részecskekibocsátása tekintetében, figyelembe véve a járművek fékezéséhez hozzájáruló egyéb járműfedélzeti rendszereket is</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119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3 bekezdés – g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proofErr w:type="spellStart"/>
            <w:r w:rsidRPr="00E344A0">
              <w:rPr>
                <w:b/>
                <w:i/>
              </w:rPr>
              <w:t>ga</w:t>
            </w:r>
            <w:proofErr w:type="spellEnd"/>
            <w:r w:rsidRPr="00E344A0">
              <w:rPr>
                <w:b/>
                <w:i/>
              </w:rPr>
              <w:t>)</w:t>
            </w:r>
            <w:r w:rsidRPr="00E344A0">
              <w:tab/>
            </w:r>
            <w:r w:rsidRPr="00E344A0">
              <w:rPr>
                <w:b/>
                <w:i/>
              </w:rPr>
              <w:t>olyan fékrendszerek típusai és tartalék alkatrészei, amelyeket utólag szerelnek be már forgalmazás alatt álló járművekbe a fékezésből származó kibocsátás jelentős csökkentése érdekében;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(3a)</w:t>
            </w:r>
            <w:r w:rsidRPr="00E344A0">
              <w:tab/>
            </w:r>
            <w:r w:rsidRPr="00E344A0">
              <w:rPr>
                <w:b/>
                <w:i/>
              </w:rPr>
              <w:t xml:space="preserve">A Bizottság felhatalmazást kap arra, hogy a 16. cikknek megfelelően felhatalmazáson alapuló jogi aktusokat fogadjon el a kibocsátási típusjóváhagyásra irányuló eljárásokra és vizsgálatokra, valamint vizsgálati módszerekre vonatkozóan a kibocsátási típusjóváhagyás valamennyi szakaszát </w:t>
            </w:r>
            <w:r w:rsidRPr="00E344A0">
              <w:rPr>
                <w:b/>
                <w:i/>
              </w:rPr>
              <w:lastRenderedPageBreak/>
              <w:t>érintően, beleértve a használat közbeni megfelelőséget, a gyártás megfelelőségét és a piacfelügyeletet, a következők mindegyike tekintetében:</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a) </w:t>
            </w:r>
            <w:r w:rsidRPr="00E344A0">
              <w:tab/>
            </w:r>
            <w:r w:rsidRPr="00E344A0">
              <w:rPr>
                <w:b/>
                <w:i/>
              </w:rPr>
              <w:t>M</w:t>
            </w:r>
            <w:r w:rsidRPr="00E344A0">
              <w:rPr>
                <w:b/>
                <w:i/>
                <w:vertAlign w:val="subscript"/>
              </w:rPr>
              <w:t>1</w:t>
            </w:r>
            <w:r w:rsidRPr="00E344A0">
              <w:rPr>
                <w:b/>
                <w:i/>
              </w:rPr>
              <w:t xml:space="preserve"> és N</w:t>
            </w:r>
            <w:r w:rsidRPr="00E344A0">
              <w:rPr>
                <w:b/>
                <w:i/>
                <w:vertAlign w:val="subscript"/>
              </w:rPr>
              <w:t>1</w:t>
            </w:r>
            <w:r w:rsidRPr="00E344A0">
              <w:rPr>
                <w:b/>
                <w:i/>
              </w:rPr>
              <w:t xml:space="preserve"> kategóriájú járműtípusok;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b) </w:t>
            </w:r>
            <w:r w:rsidRPr="00E344A0">
              <w:tab/>
            </w:r>
            <w:r w:rsidRPr="00E344A0">
              <w:rPr>
                <w:b/>
                <w:i/>
              </w:rPr>
              <w:t>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xml:space="preserve"> és N</w:t>
            </w:r>
            <w:r w:rsidRPr="00E344A0">
              <w:rPr>
                <w:b/>
                <w:i/>
                <w:vertAlign w:val="subscript"/>
              </w:rPr>
              <w:t>3</w:t>
            </w:r>
            <w:r w:rsidRPr="00E344A0">
              <w:rPr>
                <w:b/>
                <w:i/>
              </w:rPr>
              <w:t xml:space="preserve"> kategóriájú járműtípusok;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c) </w:t>
            </w:r>
            <w:r w:rsidRPr="00E344A0">
              <w:tab/>
            </w:r>
            <w:r w:rsidRPr="00E344A0">
              <w:rPr>
                <w:b/>
                <w:i/>
              </w:rPr>
              <w:t>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xml:space="preserve"> és N</w:t>
            </w:r>
            <w:r w:rsidRPr="00E344A0">
              <w:rPr>
                <w:b/>
                <w:i/>
                <w:vertAlign w:val="subscript"/>
              </w:rPr>
              <w:t>3</w:t>
            </w:r>
            <w:r w:rsidRPr="00E344A0">
              <w:rPr>
                <w:b/>
                <w:i/>
              </w:rPr>
              <w:t xml:space="preserve"> kategóriájú járműtípusokban használt motorok;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d) </w:t>
            </w:r>
            <w:r w:rsidRPr="00E344A0">
              <w:tab/>
            </w:r>
            <w:r w:rsidRPr="00E344A0">
              <w:rPr>
                <w:b/>
                <w:i/>
              </w:rPr>
              <w:t>fedélzeti ellenőrző/fedélzeti diagnosztikai rendszerek;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da) </w:t>
            </w:r>
            <w:r w:rsidRPr="00E344A0">
              <w:tab/>
            </w:r>
            <w:r w:rsidRPr="00E344A0">
              <w:rPr>
                <w:b/>
                <w:i/>
              </w:rPr>
              <w:t>a járművezetőt a kibocsátási határértékek túllépésére figyelmeztető rendszer;</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db) </w:t>
            </w:r>
            <w:r w:rsidRPr="00E344A0">
              <w:tab/>
            </w:r>
            <w:r w:rsidRPr="00E344A0">
              <w:rPr>
                <w:b/>
                <w:i/>
              </w:rPr>
              <w:t>a járművezetőt a reagens alacsony szintjére figyelmeztető rendszer;</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e) </w:t>
            </w:r>
            <w:r w:rsidRPr="00E344A0">
              <w:tab/>
            </w:r>
            <w:r w:rsidRPr="00E344A0">
              <w:rPr>
                <w:b/>
                <w:i/>
              </w:rPr>
              <w:t>manipulálás elleni rendszerek, figyelembe véve az utópiaci igényeket és a pótalkatrészek fejlesztéséhez és beszereléséhez szükséges valamennyi információ, eszköz és folyamat független gazdasági szereplők számára történő biztosítását, valamint biztonsági és kiberbiztonsági rendszerek;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f) </w:t>
            </w:r>
            <w:r w:rsidRPr="00E344A0">
              <w:tab/>
            </w:r>
            <w:r w:rsidRPr="00E344A0">
              <w:rPr>
                <w:b/>
                <w:i/>
              </w:rPr>
              <w:t>kibocsátáscsökkentő pótrendszerek típusai és alkatrészei;</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g) </w:t>
            </w:r>
            <w:r w:rsidRPr="00E344A0">
              <w:tab/>
            </w:r>
            <w:r w:rsidRPr="00E344A0">
              <w:rPr>
                <w:b/>
                <w:i/>
              </w:rPr>
              <w:t>fékrendszerek típusai és tartalék alkatrészei;</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proofErr w:type="spellStart"/>
            <w:r w:rsidRPr="00E344A0">
              <w:rPr>
                <w:b/>
                <w:i/>
              </w:rPr>
              <w:t>ga</w:t>
            </w:r>
            <w:proofErr w:type="spellEnd"/>
            <w:r w:rsidRPr="00E344A0">
              <w:rPr>
                <w:b/>
                <w:i/>
              </w:rPr>
              <w:t xml:space="preserve">) </w:t>
            </w:r>
            <w:r w:rsidRPr="00E344A0">
              <w:tab/>
            </w:r>
            <w:r w:rsidRPr="00E344A0">
              <w:rPr>
                <w:b/>
                <w:i/>
              </w:rPr>
              <w:t>olyan fékrendszerek típusai és tartalék alkatrészei, amelyeket utólag szerelnek be már forgalmazás alatt álló járművekbe a fékezésből származó kibocsátás jelentős csökkentése érdekében;</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h) </w:t>
            </w:r>
            <w:r w:rsidRPr="00E344A0">
              <w:tab/>
            </w:r>
            <w:r w:rsidRPr="00E344A0">
              <w:rPr>
                <w:b/>
                <w:i/>
              </w:rPr>
              <w:t>gumiabroncstípusok a gumiabroncskopás tekintetében;</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i) </w:t>
            </w:r>
            <w:r w:rsidRPr="00E344A0">
              <w:tab/>
            </w:r>
            <w:r w:rsidRPr="00E344A0">
              <w:rPr>
                <w:b/>
                <w:i/>
              </w:rPr>
              <w:t>M</w:t>
            </w:r>
            <w:r w:rsidRPr="00E344A0">
              <w:rPr>
                <w:b/>
                <w:i/>
                <w:vertAlign w:val="subscript"/>
              </w:rPr>
              <w:t>1</w:t>
            </w:r>
            <w:r w:rsidRPr="00E344A0">
              <w:rPr>
                <w:b/>
                <w:i/>
              </w:rPr>
              <w:t xml:space="preserve"> és N</w:t>
            </w:r>
            <w:r w:rsidRPr="00E344A0">
              <w:rPr>
                <w:b/>
                <w:i/>
                <w:vertAlign w:val="subscript"/>
              </w:rPr>
              <w:t>1</w:t>
            </w:r>
            <w:r w:rsidRPr="00E344A0">
              <w:rPr>
                <w:b/>
                <w:i/>
              </w:rPr>
              <w:t xml:space="preserve"> kategóriájú járműtípusok;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j) </w:t>
            </w:r>
            <w:r w:rsidRPr="00E344A0">
              <w:tab/>
            </w:r>
            <w:r w:rsidRPr="00E344A0">
              <w:rPr>
                <w:b/>
                <w:i/>
              </w:rPr>
              <w:t>CO</w:t>
            </w:r>
            <w:r w:rsidRPr="00E344A0">
              <w:rPr>
                <w:b/>
                <w:i/>
                <w:vertAlign w:val="subscript"/>
              </w:rPr>
              <w:t>2</w:t>
            </w:r>
            <w:r w:rsidRPr="00E344A0">
              <w:rPr>
                <w:b/>
                <w:i/>
              </w:rPr>
              <w:t>, üzemanyag- és energiafogyasztás, elektromos hatótávolság és motorteljesítmény meghatározása M</w:t>
            </w:r>
            <w:r w:rsidRPr="00E344A0">
              <w:rPr>
                <w:b/>
                <w:i/>
                <w:vertAlign w:val="subscript"/>
              </w:rPr>
              <w:t>1</w:t>
            </w:r>
            <w:r w:rsidRPr="00E344A0">
              <w:rPr>
                <w:b/>
                <w:i/>
              </w:rPr>
              <w:t xml:space="preserve"> és N</w:t>
            </w:r>
            <w:r w:rsidRPr="00E344A0">
              <w:rPr>
                <w:b/>
                <w:i/>
                <w:vertAlign w:val="subscript"/>
              </w:rPr>
              <w:t>1</w:t>
            </w:r>
            <w:r w:rsidRPr="00E344A0">
              <w:rPr>
                <w:b/>
                <w:i/>
              </w:rPr>
              <w:t xml:space="preserve"> kategóriájú járművek esetén, az üzemanyag- és energiafogyasztás-figyelő fedélzeti eszközökre vonatkozó rendelkezések;</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 xml:space="preserve">k) </w:t>
            </w:r>
            <w:r w:rsidRPr="00E344A0">
              <w:tab/>
            </w:r>
            <w:r w:rsidRPr="00E344A0">
              <w:rPr>
                <w:b/>
                <w:i/>
              </w:rPr>
              <w:t>CO</w:t>
            </w:r>
            <w:r w:rsidRPr="00E344A0">
              <w:rPr>
                <w:b/>
                <w:i/>
                <w:vertAlign w:val="subscript"/>
              </w:rPr>
              <w:t>2</w:t>
            </w:r>
            <w:r w:rsidRPr="00E344A0">
              <w:rPr>
                <w:b/>
                <w:i/>
              </w:rPr>
              <w:t>, üzemanyag- és energiafogyasztás, kibocsátásmentes hatótávolság, elektromos hatótávolság és motorteljesítmény meghatározása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xml:space="preserve"> és N</w:t>
            </w:r>
            <w:r w:rsidRPr="00E344A0">
              <w:rPr>
                <w:b/>
                <w:i/>
                <w:vertAlign w:val="subscript"/>
              </w:rPr>
              <w:t>3</w:t>
            </w:r>
            <w:r w:rsidRPr="00E344A0">
              <w:rPr>
                <w:b/>
                <w:i/>
              </w:rPr>
              <w:t xml:space="preserve"> kategóriájú járművek esetén, O</w:t>
            </w:r>
            <w:r w:rsidRPr="00E344A0">
              <w:rPr>
                <w:b/>
                <w:i/>
                <w:vertAlign w:val="subscript"/>
              </w:rPr>
              <w:t>3</w:t>
            </w:r>
            <w:r w:rsidRPr="00E344A0">
              <w:rPr>
                <w:b/>
                <w:i/>
              </w:rPr>
              <w:t xml:space="preserve"> és O</w:t>
            </w:r>
            <w:r w:rsidRPr="00E344A0">
              <w:rPr>
                <w:b/>
                <w:i/>
                <w:vertAlign w:val="subscript"/>
              </w:rPr>
              <w:t>4</w:t>
            </w:r>
            <w:r w:rsidRPr="00E344A0">
              <w:rPr>
                <w:b/>
                <w:i/>
              </w:rPr>
              <w:t xml:space="preserve"> kategóriájú pótkocsik energiahatékonysága, az üzemanyag- és energiafogyasztás-figyelő fedélzeti eszközökre vonatkozó rendelkezések.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 xml:space="preserve">A Bizottság felhatalmazást kap arra, hogy </w:t>
            </w:r>
            <w:r w:rsidRPr="00E344A0">
              <w:rPr>
                <w:b/>
                <w:i/>
              </w:rPr>
              <w:t>végrehajtási</w:t>
            </w:r>
            <w:r w:rsidRPr="00E344A0">
              <w:t xml:space="preserve"> jogi aktusokat fogadjon el a kibocsátási típusjóváhagyás valamennyi szakaszára vonatkozóan, beleértve a használat közbeni megfelelőséget, a gyártás megfelelőségét és a piacfelügyeletet, a következők meghatározása érdekében:</w:t>
            </w:r>
          </w:p>
        </w:tc>
        <w:tc>
          <w:tcPr>
            <w:tcW w:w="4876" w:type="dxa"/>
          </w:tcPr>
          <w:p w:rsidR="00FF715E" w:rsidRPr="00E344A0" w:rsidRDefault="00FF715E" w:rsidP="00CD27F0">
            <w:pPr>
              <w:pStyle w:val="Normal6a"/>
            </w:pPr>
            <w:r w:rsidRPr="00E344A0">
              <w:t xml:space="preserve">A Bizottság felhatalmazást kap arra, hogy </w:t>
            </w:r>
            <w:r w:rsidRPr="00E344A0">
              <w:rPr>
                <w:b/>
                <w:i/>
              </w:rPr>
              <w:t>felhatalmazáson alapuló</w:t>
            </w:r>
            <w:r w:rsidRPr="00E344A0">
              <w:t xml:space="preserve"> jogi aktusokat fogadjon el a kibocsátási típusjóváhagyás valamennyi szakaszára vonatkozóan, beleértve a használat közbeni megfelelőséget, a gyártás megfelelőségét és a piacfelügyeletet, a következők meghatározása érdekében: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b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proofErr w:type="spellStart"/>
            <w:r w:rsidRPr="00E344A0">
              <w:rPr>
                <w:b/>
                <w:i/>
              </w:rPr>
              <w:t>ba</w:t>
            </w:r>
            <w:proofErr w:type="spellEnd"/>
            <w:r w:rsidRPr="00E344A0">
              <w:rPr>
                <w:b/>
                <w:i/>
              </w:rPr>
              <w:t>)</w:t>
            </w:r>
            <w:r w:rsidRPr="00E344A0">
              <w:tab/>
            </w:r>
            <w:r w:rsidRPr="00E344A0">
              <w:rPr>
                <w:b/>
                <w:i/>
              </w:rPr>
              <w:t>az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xml:space="preserve"> és N</w:t>
            </w:r>
            <w:r w:rsidRPr="00E344A0">
              <w:rPr>
                <w:b/>
                <w:i/>
                <w:vertAlign w:val="subscript"/>
              </w:rPr>
              <w:t>3</w:t>
            </w:r>
            <w:r w:rsidRPr="00E344A0">
              <w:rPr>
                <w:b/>
                <w:i/>
              </w:rPr>
              <w:t xml:space="preserve"> kategóriájú járművek alkalmazható hibridtechnológiáinak típusjóváhagyására vonatkozó módszerek;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g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lastRenderedPageBreak/>
              <w:t>g)</w:t>
            </w:r>
            <w:r w:rsidRPr="00E344A0">
              <w:tab/>
              <w:t>a fékrészecske-kibocsátás mérésére szolgáló módszerek, beleértve a nehézgépjárművekre, a valós vezetési feltételek melletti fékrészecske-kibocsátásra és a visszatápláló fékezésre irányuló módszereket;</w:t>
            </w:r>
          </w:p>
        </w:tc>
        <w:tc>
          <w:tcPr>
            <w:tcW w:w="4876" w:type="dxa"/>
          </w:tcPr>
          <w:p w:rsidR="00FF715E" w:rsidRPr="00E344A0" w:rsidRDefault="00FF715E" w:rsidP="00CD27F0">
            <w:pPr>
              <w:pStyle w:val="Normal6a"/>
            </w:pPr>
            <w:r w:rsidRPr="00E344A0">
              <w:t>g)</w:t>
            </w:r>
            <w:r w:rsidRPr="00E344A0">
              <w:tab/>
              <w:t>a fékrészecske-kibocsátás mérésére szolgáló módszerek</w:t>
            </w:r>
            <w:r w:rsidRPr="00E344A0">
              <w:rPr>
                <w:b/>
                <w:i/>
              </w:rPr>
              <w:t xml:space="preserve"> az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xml:space="preserve"> és N</w:t>
            </w:r>
            <w:r w:rsidRPr="00E344A0">
              <w:rPr>
                <w:b/>
                <w:i/>
                <w:vertAlign w:val="subscript"/>
              </w:rPr>
              <w:t>3</w:t>
            </w:r>
            <w:r w:rsidRPr="00E344A0">
              <w:rPr>
                <w:b/>
                <w:i/>
              </w:rPr>
              <w:t xml:space="preserve"> kategóriájú járművek esetében</w:t>
            </w:r>
            <w:r w:rsidRPr="00E344A0">
              <w:t>, beleértve a nehézgépjárművekre, a valós vezetési feltételek melletti fékrészecske-kibocsátásra és a visszatápláló fékezésre irányuló módszereket;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j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j)</w:t>
            </w:r>
            <w:r w:rsidRPr="00E344A0">
              <w:tab/>
              <w:t xml:space="preserve">üzemanyag- és energiafogyasztás-figyelő fedélzeti </w:t>
            </w:r>
            <w:r w:rsidRPr="00E344A0">
              <w:rPr>
                <w:b/>
                <w:i/>
              </w:rPr>
              <w:t>eszköz</w:t>
            </w:r>
            <w:r w:rsidRPr="00E344A0">
              <w:t>, fedélzeti ellenőrző és fedélzeti diagnosztikai rendszerek, beleértve a megfelelési küszöbértékeket, a teljesítőképességi követelményeket, az érzékelők teljesítőképességét biztosító vizsgálatokat és módszereket, valamint az ilyen eszközök és rendszerek által rögzített adatok vezeték nélküli továbbítását;</w:t>
            </w:r>
          </w:p>
        </w:tc>
        <w:tc>
          <w:tcPr>
            <w:tcW w:w="4876" w:type="dxa"/>
          </w:tcPr>
          <w:p w:rsidR="00FF715E" w:rsidRPr="00E344A0" w:rsidRDefault="00FF715E" w:rsidP="00CD27F0">
            <w:pPr>
              <w:pStyle w:val="Normal6a"/>
            </w:pPr>
            <w:r w:rsidRPr="00E344A0">
              <w:t>j)</w:t>
            </w:r>
            <w:r w:rsidRPr="00E344A0">
              <w:tab/>
              <w:t xml:space="preserve">üzemanyag- és energiafogyasztás-figyelő fedélzeti </w:t>
            </w:r>
            <w:r w:rsidRPr="00E344A0">
              <w:rPr>
                <w:b/>
                <w:i/>
              </w:rPr>
              <w:t>eszközök</w:t>
            </w:r>
            <w:r w:rsidRPr="00E344A0">
              <w:t>, fedélzeti ellenőrző és fedélzeti diagnosztikai rendszerek</w:t>
            </w:r>
            <w:r w:rsidRPr="00E344A0">
              <w:rPr>
                <w:b/>
                <w:i/>
              </w:rPr>
              <w:t xml:space="preserve"> jellemzői és teljesítménye</w:t>
            </w:r>
            <w:r w:rsidRPr="00E344A0">
              <w:t>, beleértve a megfelelési küszöbértékeket, a teljesítőképességi követelményeket, az érzékelők teljesítőképességét biztosító vizsgálatokat és módszereket, valamint az ilyen eszközök és rendszerek által rögzített adatok vezeték nélküli továbbítását;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l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l)</w:t>
            </w:r>
            <w:r w:rsidRPr="00E344A0">
              <w:tab/>
              <w:t>az eredeti kibocsátáscsökkentő rendszer és a kibocsátáscsökkentő pótrendszer helyes működésének, hatékonyságának, regenerálásának és tartósságának értékelésére szolgáló módszerek;</w:t>
            </w:r>
          </w:p>
        </w:tc>
        <w:tc>
          <w:tcPr>
            <w:tcW w:w="4876" w:type="dxa"/>
          </w:tcPr>
          <w:p w:rsidR="00FF715E" w:rsidRPr="00E344A0" w:rsidRDefault="00FF715E" w:rsidP="00CD27F0">
            <w:pPr>
              <w:pStyle w:val="Normal6a"/>
            </w:pPr>
            <w:r w:rsidRPr="00E344A0">
              <w:t>l)</w:t>
            </w:r>
            <w:r w:rsidRPr="00E344A0">
              <w:tab/>
              <w:t xml:space="preserve">az eredeti kibocsátáscsökkentő rendszer és a kibocsátáscsökkentő pótrendszer helyes működésének, hatékonyságának, regenerálásának és tartósságának </w:t>
            </w:r>
            <w:r w:rsidRPr="00E344A0">
              <w:rPr>
                <w:b/>
                <w:i/>
              </w:rPr>
              <w:t xml:space="preserve">és reagensek minőségének </w:t>
            </w:r>
            <w:r w:rsidRPr="00E344A0">
              <w:t>értékelésére szolgáló módszerek</w:t>
            </w:r>
            <w:r w:rsidRPr="00E344A0">
              <w:rPr>
                <w:b/>
                <w:i/>
              </w:rPr>
              <w:t xml:space="preserve"> és követelmények</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lastRenderedPageBreak/>
        <w:t>14 cikk – 4 bekezdés – 1 albekezdés – o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o)</w:t>
            </w:r>
            <w:r w:rsidRPr="00E344A0">
              <w:tab/>
            </w:r>
            <w:r w:rsidRPr="00E344A0">
              <w:rPr>
                <w:b/>
                <w:i/>
              </w:rPr>
              <w:t>az 5. cikk szerinti megjelölések alatt jóváhagyott</w:t>
            </w:r>
            <w:r w:rsidRPr="00E344A0">
              <w:t xml:space="preserve"> járműtípusok helyes működésének értékelésére szolgáló módszerek;</w:t>
            </w:r>
          </w:p>
        </w:tc>
        <w:tc>
          <w:tcPr>
            <w:tcW w:w="4876" w:type="dxa"/>
          </w:tcPr>
          <w:p w:rsidR="00FF715E" w:rsidRPr="00E344A0" w:rsidRDefault="00FF715E" w:rsidP="00CD27F0">
            <w:pPr>
              <w:pStyle w:val="Normal6a"/>
            </w:pPr>
            <w:r w:rsidRPr="00E344A0">
              <w:t>o)</w:t>
            </w:r>
            <w:r w:rsidRPr="00E344A0">
              <w:tab/>
            </w:r>
            <w:r w:rsidRPr="00E344A0">
              <w:rPr>
                <w:b/>
                <w:i/>
              </w:rPr>
              <w:t>a</w:t>
            </w:r>
            <w:r w:rsidRPr="00E344A0">
              <w:t xml:space="preserve"> járműtípusok helyes működésének értékelésére szolgáló módszerek;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p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p)</w:t>
            </w:r>
            <w:r w:rsidRPr="00E344A0">
              <w:tab/>
              <w:t xml:space="preserve">a </w:t>
            </w:r>
            <w:r w:rsidRPr="00E344A0">
              <w:rPr>
                <w:b/>
                <w:i/>
              </w:rPr>
              <w:t xml:space="preserve">9. cikk (1) bekezdésében foglalt rendelkezéseknek való megfelelés ellenőrzése, valamint a </w:t>
            </w:r>
            <w:r w:rsidRPr="00E344A0">
              <w:t>többlépcsős előállítású járművekre vonatkozó vizsgálati eljárások;</w:t>
            </w:r>
          </w:p>
        </w:tc>
        <w:tc>
          <w:tcPr>
            <w:tcW w:w="4876" w:type="dxa"/>
          </w:tcPr>
          <w:p w:rsidR="00FF715E" w:rsidRPr="00E344A0" w:rsidRDefault="00FF715E" w:rsidP="00CD27F0">
            <w:pPr>
              <w:pStyle w:val="Normal6a"/>
            </w:pPr>
            <w:r w:rsidRPr="00E344A0">
              <w:t>p)</w:t>
            </w:r>
            <w:r w:rsidRPr="00E344A0">
              <w:tab/>
              <w:t>a többlépcsős előállítású járművekre vonatkozó</w:t>
            </w:r>
            <w:r w:rsidRPr="00E344A0">
              <w:rPr>
                <w:b/>
                <w:i/>
              </w:rPr>
              <w:t xml:space="preserve"> megfelelőségi ellenőrzések és</w:t>
            </w:r>
            <w:r w:rsidRPr="00E344A0">
              <w:t xml:space="preserve"> vizsgálati eljárások;</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128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s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s)</w:t>
            </w:r>
            <w:r w:rsidRPr="00E344A0">
              <w:tab/>
              <w:t>a hatástalanító berendezések és a hatástalanító stratégiák hiányának megállapítására szolgáló módszerek;</w:t>
            </w:r>
          </w:p>
        </w:tc>
        <w:tc>
          <w:tcPr>
            <w:tcW w:w="4876" w:type="dxa"/>
          </w:tcPr>
          <w:p w:rsidR="00FF715E" w:rsidRPr="00E344A0" w:rsidRDefault="00FF715E" w:rsidP="00CD27F0">
            <w:pPr>
              <w:pStyle w:val="Normal6a"/>
            </w:pPr>
            <w:r w:rsidRPr="00E344A0">
              <w:t>s)</w:t>
            </w:r>
            <w:r w:rsidRPr="00E344A0">
              <w:tab/>
              <w:t>a hatástalanító berendezések és a hatástalanító stratégiák hiányának megállapítására szolgáló módszerek</w:t>
            </w:r>
            <w:r w:rsidRPr="00E344A0">
              <w:rPr>
                <w:b/>
                <w:i/>
              </w:rPr>
              <w:t>, valamint a 715/2007/EK rendelet 5. cikkének (2) bekezdésében és az (EU) 2017/1151 rendelet 5. cikkének (11) bekezdésében foglalt, az M</w:t>
            </w:r>
            <w:r w:rsidRPr="00E344A0">
              <w:rPr>
                <w:b/>
                <w:i/>
                <w:vertAlign w:val="subscript"/>
              </w:rPr>
              <w:t>1</w:t>
            </w:r>
            <w:r w:rsidRPr="00E344A0">
              <w:rPr>
                <w:b/>
                <w:i/>
              </w:rPr>
              <w:t xml:space="preserve"> és N</w:t>
            </w:r>
            <w:r w:rsidRPr="00E344A0">
              <w:rPr>
                <w:b/>
                <w:i/>
                <w:vertAlign w:val="subscript"/>
              </w:rPr>
              <w:t>1</w:t>
            </w:r>
            <w:r w:rsidRPr="00E344A0">
              <w:rPr>
                <w:b/>
                <w:i/>
              </w:rPr>
              <w:t xml:space="preserve"> kategóriájú járművekre alkalmazandó követelmények átemelése ebbe a rendeletbe, továbbá a 49. sz. ENSZ-EGB-előírás 6. felülvizsgált változata 10. mellékletének 5.1.2. bekezdésében az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xml:space="preserve"> és N</w:t>
            </w:r>
            <w:r w:rsidRPr="00E344A0">
              <w:rPr>
                <w:b/>
                <w:i/>
                <w:vertAlign w:val="subscript"/>
              </w:rPr>
              <w:t>3</w:t>
            </w:r>
            <w:r w:rsidRPr="00E344A0">
              <w:rPr>
                <w:b/>
                <w:i/>
              </w:rPr>
              <w:t xml:space="preserve"> kategóriájú járművek tekintetében meghatározott követelmények átemelése</w:t>
            </w:r>
            <w:r w:rsidRPr="00E344A0">
              <w:t>;</w:t>
            </w:r>
          </w:p>
        </w:tc>
      </w:tr>
    </w:tbl>
    <w:p w:rsidR="00FF715E" w:rsidRPr="00E344A0" w:rsidRDefault="00FF715E" w:rsidP="00FF715E"/>
    <w:p w:rsidR="00FF715E" w:rsidRPr="00E344A0" w:rsidRDefault="00FF715E" w:rsidP="00FF715E">
      <w:pPr>
        <w:pStyle w:val="AmNumberTabs"/>
      </w:pPr>
      <w:r w:rsidRPr="00E344A0">
        <w:lastRenderedPageBreak/>
        <w:t>Módosítás</w:t>
      </w:r>
      <w:r w:rsidRPr="00E344A0">
        <w:tab/>
      </w:r>
      <w:r w:rsidRPr="00E344A0">
        <w:tab/>
        <w:t>129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t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t)</w:t>
            </w:r>
            <w:r w:rsidRPr="00E344A0">
              <w:tab/>
            </w:r>
            <w:r w:rsidRPr="00E344A0">
              <w:rPr>
                <w:b/>
                <w:i/>
              </w:rPr>
              <w:t>a gumiabroncskopás mérésére szolgáló módszerek;</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v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v)</w:t>
            </w:r>
            <w:r w:rsidRPr="00E344A0">
              <w:tab/>
              <w:t>a kibocsátási típusjóváhagyásra vonatkozó igazgatási követelmények és dokumentáció;</w:t>
            </w:r>
          </w:p>
        </w:tc>
        <w:tc>
          <w:tcPr>
            <w:tcW w:w="4876" w:type="dxa"/>
          </w:tcPr>
          <w:p w:rsidR="00FF715E" w:rsidRPr="00E344A0" w:rsidRDefault="00FF715E" w:rsidP="00CD27F0">
            <w:pPr>
              <w:pStyle w:val="Normal6a"/>
            </w:pPr>
            <w:r w:rsidRPr="00E344A0">
              <w:t>v)</w:t>
            </w:r>
            <w:r w:rsidRPr="00E344A0">
              <w:tab/>
              <w:t>a kibocsátási típusjóváhagyásra</w:t>
            </w:r>
            <w:r w:rsidRPr="00E344A0">
              <w:rPr>
                <w:b/>
                <w:i/>
              </w:rPr>
              <w:t xml:space="preserve">, valamint a megfelelés ellenőrzésére szolgáló tesztek, ellenőrzések és vizsgálatok elvégzésére </w:t>
            </w:r>
            <w:r w:rsidRPr="00E344A0">
              <w:t>vonatkozó igazgatási követelmények és dokumentáció;</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131</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1 albekezdés – w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w)</w:t>
            </w:r>
            <w:r w:rsidRPr="00E344A0">
              <w:tab/>
              <w:t xml:space="preserve">adott esetben </w:t>
            </w:r>
            <w:r w:rsidRPr="00E344A0">
              <w:rPr>
                <w:b/>
                <w:i/>
              </w:rPr>
              <w:t>jelentéstételi</w:t>
            </w:r>
            <w:r w:rsidRPr="00E344A0">
              <w:t xml:space="preserve"> kötelezettségek</w:t>
            </w:r>
            <w:r w:rsidRPr="00E344A0">
              <w:rPr>
                <w:b/>
                <w:i/>
              </w:rPr>
              <w:t>.</w:t>
            </w:r>
          </w:p>
        </w:tc>
        <w:tc>
          <w:tcPr>
            <w:tcW w:w="4876" w:type="dxa"/>
          </w:tcPr>
          <w:p w:rsidR="00FF715E" w:rsidRPr="00E344A0" w:rsidRDefault="00FF715E" w:rsidP="00CD27F0">
            <w:pPr>
              <w:pStyle w:val="Normal6a"/>
            </w:pPr>
            <w:r w:rsidRPr="00E344A0">
              <w:t>w)</w:t>
            </w:r>
            <w:r w:rsidRPr="00E344A0">
              <w:tab/>
              <w:t xml:space="preserve">adott esetben </w:t>
            </w:r>
            <w:r w:rsidRPr="00E344A0">
              <w:rPr>
                <w:b/>
                <w:i/>
              </w:rPr>
              <w:t>a formátum és az adatszolgáltatási</w:t>
            </w:r>
            <w:r w:rsidRPr="00E344A0">
              <w:t xml:space="preserve"> kötelezettségek</w:t>
            </w:r>
            <w:r w:rsidRPr="00E344A0">
              <w:rPr>
                <w:b/>
                <w:i/>
              </w:rPr>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14 cikk – 4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 xml:space="preserve">Ezeket a végrehajtási jogi aktusokat a 17. cikk (2) bekezdésében említett vizsgálóbizottsági eljárás keretében kell </w:t>
            </w:r>
            <w:r w:rsidRPr="00E344A0">
              <w:lastRenderedPageBreak/>
              <w:t>elfogadni.</w:t>
            </w:r>
          </w:p>
        </w:tc>
        <w:tc>
          <w:tcPr>
            <w:tcW w:w="4876" w:type="dxa"/>
          </w:tcPr>
          <w:p w:rsidR="00FF715E" w:rsidRPr="00E344A0" w:rsidRDefault="00FF715E" w:rsidP="00CD27F0">
            <w:pPr>
              <w:pStyle w:val="Normal6a"/>
            </w:pPr>
            <w:r w:rsidRPr="00E344A0">
              <w:rPr>
                <w:b/>
                <w:i/>
              </w:rPr>
              <w:lastRenderedPageBreak/>
              <w:t>(5)</w:t>
            </w:r>
            <w:r w:rsidRPr="00E344A0">
              <w:t xml:space="preserve"> </w:t>
            </w:r>
            <w:r w:rsidRPr="00E344A0">
              <w:tab/>
              <w:t xml:space="preserve">Ezeket a végrehajtási jogi aktusokat a 17. cikk (2) bekezdésében említett vizsgálóbizottsági eljárás keretében kell </w:t>
            </w:r>
            <w:r w:rsidRPr="00E344A0">
              <w:lastRenderedPageBreak/>
              <w:t>elfogadni.</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A (3) bekezdés a)–f) és i)–k) pontjában említett végrehajtási jogi aktusokat, valamint a (3a) bekezdés a)–f) és i)–k) pontjában és a (4) bekezdés a)–f) és j)–w) pontjában említett, felhatalmazáson alapuló jogi aktusokat legkésőbb [e rendelet hatálybalépésétől számított 12 hónap]-</w:t>
            </w:r>
            <w:proofErr w:type="spellStart"/>
            <w:r w:rsidRPr="00E344A0">
              <w:rPr>
                <w:b/>
                <w:i/>
              </w:rPr>
              <w:t>ig</w:t>
            </w:r>
            <w:proofErr w:type="spellEnd"/>
            <w:r w:rsidRPr="00E344A0">
              <w:rPr>
                <w:b/>
                <w:i/>
              </w:rPr>
              <w:t xml:space="preserve"> kell elfogadni.</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A (3) bekezdés g)–h) pontjában említett végrehajtási jogi aktusokat, valamint a (3a) bekezdés g)–h) pontjában és a (4) bekezdés g)–i) pontjában említett, felhatalmazáson alapuló jogi aktusokat az ENSZ WP29 vonatkozó egységes rendelkezéseinek közzétételét követően, indokolatlan késedelem nélkül kell elfogadni.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(1)</w:t>
            </w:r>
            <w:r w:rsidRPr="00E344A0">
              <w:tab/>
              <w:t xml:space="preserve">A Bizottság felhatalmazást kap arra, hogy a 16. cikknek megfelelően felhatalmazáson alapuló jogi aktusokat fogadjon el a műszaki fejlődés figyelembevétele érdekében, </w:t>
            </w:r>
            <w:r w:rsidRPr="00E344A0">
              <w:rPr>
                <w:b/>
                <w:i/>
              </w:rPr>
              <w:t>az</w:t>
            </w:r>
            <w:r w:rsidRPr="00E344A0">
              <w:t xml:space="preserve"> alábbiak </w:t>
            </w:r>
            <w:r w:rsidRPr="00E344A0">
              <w:rPr>
                <w:b/>
                <w:i/>
              </w:rPr>
              <w:t>módosítására vonatkozóan</w:t>
            </w:r>
            <w:r w:rsidRPr="00E344A0">
              <w:t>:</w:t>
            </w:r>
          </w:p>
        </w:tc>
        <w:tc>
          <w:tcPr>
            <w:tcW w:w="4876" w:type="dxa"/>
          </w:tcPr>
          <w:p w:rsidR="00FF715E" w:rsidRPr="00E344A0" w:rsidRDefault="00FF715E" w:rsidP="00CD27F0">
            <w:pPr>
              <w:pStyle w:val="Normal6a"/>
            </w:pPr>
            <w:r w:rsidRPr="00E344A0">
              <w:t>(1)</w:t>
            </w:r>
            <w:r w:rsidRPr="00E344A0">
              <w:tab/>
              <w:t xml:space="preserve">A Bizottság felhatalmazást kap arra, hogy a 16. cikknek megfelelően felhatalmazáson alapuló jogi aktusokat fogadjon el a műszaki fejlődés figyelembevétele érdekében, </w:t>
            </w:r>
            <w:r w:rsidRPr="00E344A0">
              <w:rPr>
                <w:b/>
                <w:i/>
              </w:rPr>
              <w:t>e rendelet</w:t>
            </w:r>
            <w:r w:rsidRPr="00E344A0">
              <w:t xml:space="preserve"> alábbiak </w:t>
            </w:r>
            <w:r w:rsidRPr="00E344A0">
              <w:rPr>
                <w:b/>
                <w:i/>
              </w:rPr>
              <w:t>szerinti módosítása céljából</w:t>
            </w:r>
            <w:r w:rsidRPr="00E344A0">
              <w: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a)</w:t>
            </w:r>
            <w:r w:rsidRPr="00E344A0">
              <w:tab/>
              <w:t>III. melléklet,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járművek tekintetében, az Euro 7 szerinti járművek vizsgálata során gyűjtött adatok alapján;</w:t>
            </w:r>
          </w:p>
        </w:tc>
        <w:tc>
          <w:tcPr>
            <w:tcW w:w="4876" w:type="dxa"/>
          </w:tcPr>
          <w:p w:rsidR="00FF715E" w:rsidRPr="00E344A0" w:rsidRDefault="00FF715E" w:rsidP="00CD27F0">
            <w:pPr>
              <w:pStyle w:val="Normal6a"/>
            </w:pPr>
            <w:r w:rsidRPr="00E344A0">
              <w:t>a)</w:t>
            </w:r>
            <w:r w:rsidRPr="00E344A0">
              <w:tab/>
              <w:t>III. melléklet</w:t>
            </w:r>
            <w:r w:rsidRPr="00E344A0">
              <w:rPr>
                <w:b/>
                <w:i/>
              </w:rPr>
              <w:t xml:space="preserve"> 2. táblázata</w:t>
            </w:r>
            <w:r w:rsidRPr="00E344A0">
              <w:t>,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járművek tekintetében, az Euro 7 szerinti járművek vizsgálata során gyűjtött adatok alapján;</w:t>
            </w:r>
          </w:p>
        </w:tc>
      </w:tr>
    </w:tbl>
    <w:p w:rsidR="00FF715E" w:rsidRPr="00E344A0" w:rsidRDefault="00FF715E" w:rsidP="00FF715E"/>
    <w:p w:rsidR="00FF715E" w:rsidRPr="00E344A0" w:rsidRDefault="00FF715E" w:rsidP="00FF715E">
      <w:pPr>
        <w:pStyle w:val="AmNumberTabs"/>
      </w:pPr>
      <w:r w:rsidRPr="00E344A0">
        <w:lastRenderedPageBreak/>
        <w:t>Módosítás</w:t>
      </w:r>
      <w:r w:rsidRPr="00E344A0">
        <w:tab/>
      </w:r>
      <w:r w:rsidRPr="00E344A0">
        <w:tab/>
        <w:t>135</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cikk – 1 bekezdés–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b)</w:t>
            </w:r>
            <w:r w:rsidRPr="00E344A0">
              <w:tab/>
              <w:t>III. melléklet, a vizsgálati feltételek tekintetében, az Euro 7 szerinti fékek vagy gumiabroncsok vizsgálata során gyűjtött adatok alapján;</w:t>
            </w:r>
          </w:p>
        </w:tc>
        <w:tc>
          <w:tcPr>
            <w:tcW w:w="4876" w:type="dxa"/>
          </w:tcPr>
          <w:p w:rsidR="00FF715E" w:rsidRPr="00E344A0" w:rsidRDefault="00FF715E" w:rsidP="00CD27F0">
            <w:pPr>
              <w:pStyle w:val="Normal6a"/>
            </w:pPr>
            <w:r w:rsidRPr="00E344A0">
              <w:t>b)</w:t>
            </w:r>
            <w:r w:rsidRPr="00E344A0">
              <w:tab/>
              <w:t>III. melléklet</w:t>
            </w:r>
            <w:r w:rsidRPr="00E344A0">
              <w:rPr>
                <w:b/>
                <w:i/>
              </w:rPr>
              <w:t xml:space="preserve"> 4. és 5. táblázata</w:t>
            </w:r>
            <w:r w:rsidRPr="00E344A0">
              <w:t>, a vizsgálati feltételek tekintetében, az Euro 7 szerinti fékek vagy gumiabroncsok vizsgálata során gyűjtött adatok alapján;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cikk – 1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rPr>
                <w:b/>
                <w:i/>
              </w:rPr>
              <w:t>d)</w:t>
            </w:r>
            <w:r w:rsidRPr="00E344A0">
              <w:tab/>
            </w:r>
            <w:r w:rsidRPr="00E344A0">
              <w:rPr>
                <w:b/>
                <w:i/>
              </w:rPr>
              <w:t>5. cikk, innovatív technológiákon alapuló funkciók és megjelölések bevezetésével a gyártók számára.</w:t>
            </w:r>
          </w:p>
        </w:tc>
        <w:tc>
          <w:tcPr>
            <w:tcW w:w="4876" w:type="dxa"/>
          </w:tcPr>
          <w:p w:rsidR="00FF715E" w:rsidRPr="00E344A0" w:rsidRDefault="00FF715E" w:rsidP="00CD27F0">
            <w:pPr>
              <w:pStyle w:val="Normal6a"/>
            </w:pPr>
            <w:r w:rsidRPr="00E344A0">
              <w:rPr>
                <w:b/>
                <w:i/>
              </w:rPr>
              <w:t>törölve</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cikk – 2 bekezdés – c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proofErr w:type="spellStart"/>
            <w:r w:rsidRPr="00E344A0">
              <w:rPr>
                <w:b/>
                <w:i/>
              </w:rPr>
              <w:t>ca</w:t>
            </w:r>
            <w:proofErr w:type="spellEnd"/>
            <w:r w:rsidRPr="00E344A0">
              <w:rPr>
                <w:b/>
                <w:i/>
              </w:rPr>
              <w:t>)</w:t>
            </w:r>
            <w:r w:rsidRPr="00E344A0">
              <w:tab/>
            </w:r>
            <w:r w:rsidRPr="00E344A0">
              <w:rPr>
                <w:b/>
                <w:i/>
              </w:rPr>
              <w:t>adott esetben a gumiabroncstípusok kopási határértékeinek meghatározása az I. mellékletben, amennyiben az ENSZ WP29 a 7a. cikkben meghatározott határidőig nem állapít meg egységes rendelkezéseket;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cikk – 2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lastRenderedPageBreak/>
              <w:t>d)</w:t>
            </w:r>
            <w:r w:rsidRPr="00E344A0">
              <w:tab/>
              <w:t>tartóssági szorzók meghatározása a IV. mellékletben az Euro 7 szerinti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kategóriájú járművek vizsgálata során gyűjtött adatok, valamint a nehézgépjárművek </w:t>
            </w:r>
            <w:r w:rsidRPr="00E344A0">
              <w:rPr>
                <w:b/>
                <w:i/>
              </w:rPr>
              <w:t>tartósságáról szóló</w:t>
            </w:r>
            <w:r w:rsidRPr="00E344A0">
              <w:t>, az Európai Parlament és a Tanács részére benyújtott jelentés alapján;</w:t>
            </w:r>
          </w:p>
        </w:tc>
        <w:tc>
          <w:tcPr>
            <w:tcW w:w="4876" w:type="dxa"/>
          </w:tcPr>
          <w:p w:rsidR="00FF715E" w:rsidRPr="00E344A0" w:rsidRDefault="00FF715E" w:rsidP="00CD27F0">
            <w:pPr>
              <w:pStyle w:val="Normal6a"/>
            </w:pPr>
            <w:r w:rsidRPr="00E344A0">
              <w:t>d)</w:t>
            </w:r>
            <w:r w:rsidRPr="00E344A0">
              <w:tab/>
              <w:t>tartóssági szorzók meghatározása a IV. mellékletben az Euro 7 szerinti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kategóriájú járművek vizsgálata során gyűjtött adatok, valamint a nehézgépjárművek </w:t>
            </w:r>
            <w:r w:rsidRPr="00E344A0">
              <w:rPr>
                <w:b/>
                <w:i/>
              </w:rPr>
              <w:t>kibocsátás tekintetében mutatott tartósságát értékelő</w:t>
            </w:r>
            <w:r w:rsidRPr="00E344A0">
              <w:t>, az Európai Parlament és a Tanács részére benyújtott jelentés</w:t>
            </w:r>
            <w:r w:rsidRPr="00E344A0">
              <w:rPr>
                <w:b/>
                <w:i/>
              </w:rPr>
              <w:t xml:space="preserve"> megállapításai</w:t>
            </w:r>
            <w:r w:rsidRPr="00E344A0">
              <w:t xml:space="preserve"> alapján;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139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cikk – 2 bekezdés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e)</w:t>
            </w:r>
            <w:r w:rsidRPr="00E344A0">
              <w:tab/>
              <w:t xml:space="preserve">a kis sorozatú gyártókra vonatkozó </w:t>
            </w:r>
            <w:r w:rsidRPr="00E344A0">
              <w:rPr>
                <w:b/>
                <w:i/>
              </w:rPr>
              <w:t xml:space="preserve">fogalommeghatározások és </w:t>
            </w:r>
            <w:r w:rsidRPr="00E344A0">
              <w:t>különleges szabályok meghatározása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járműkategóriák tekintetében, e rendelet 3. és 8. cikke alapján.</w:t>
            </w:r>
          </w:p>
        </w:tc>
        <w:tc>
          <w:tcPr>
            <w:tcW w:w="4876" w:type="dxa"/>
          </w:tcPr>
          <w:p w:rsidR="00FF715E" w:rsidRPr="00E344A0" w:rsidRDefault="00FF715E" w:rsidP="00CD27F0">
            <w:pPr>
              <w:pStyle w:val="Normal6a"/>
            </w:pPr>
            <w:r w:rsidRPr="00E344A0">
              <w:t>e)</w:t>
            </w:r>
            <w:r w:rsidRPr="00E344A0">
              <w:tab/>
              <w:t>a kis sorozatú gyártókra vonatkozó különleges szabályok meghatározása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N</w:t>
            </w:r>
            <w:r w:rsidRPr="00E344A0">
              <w:rPr>
                <w:vertAlign w:val="subscript"/>
              </w:rPr>
              <w:t>3</w:t>
            </w:r>
            <w:r w:rsidRPr="00E344A0">
              <w:t xml:space="preserve"> járműkategóriák tekintetében, e rendelet 3. és 8. cikke alapján.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140</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15 cikk – 2 bekezdés – 1 a albekezdés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A Bizottság az ENSZ WP29 vonatkozó egységes rendelkezéseinek közzétételét követően indokolatlan késedelem nélkül elfogadja az a)–c) pontban említett, felhatalmazáson alapuló jogi aktusokat. Abban az esetben, ha az ENSZ WP29 a C1 típusú gumiabroncsokra vonatkozóan 2026. június 30-ig, a C2 és C3 típusú gumiabroncsokra vonatkozóan pedig 2035. december 31-ig nem állapít meg egységes rendelkezéseket, e rendelet 7a. cikke alkalmazandó.</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141</w:t>
      </w:r>
    </w:p>
    <w:p w:rsidR="00FF715E" w:rsidRPr="00E344A0" w:rsidRDefault="00FF715E" w:rsidP="00FF715E">
      <w:pPr>
        <w:pStyle w:val="NormalBold12b"/>
      </w:pPr>
    </w:p>
    <w:p w:rsidR="00FF715E" w:rsidRPr="00E344A0" w:rsidRDefault="00FF715E" w:rsidP="00FF715E">
      <w:pPr>
        <w:pStyle w:val="NormalBold"/>
      </w:pPr>
      <w:r w:rsidRPr="00E344A0">
        <w:lastRenderedPageBreak/>
        <w:t>Rendeletre irányuló javaslat</w:t>
      </w:r>
    </w:p>
    <w:p w:rsidR="00FF715E" w:rsidRPr="00E344A0" w:rsidRDefault="00FF715E" w:rsidP="00FF715E">
      <w:pPr>
        <w:pStyle w:val="NormalBold"/>
      </w:pPr>
      <w:r w:rsidRPr="00E344A0">
        <w:t>16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t xml:space="preserve">A </w:t>
            </w:r>
            <w:r w:rsidRPr="00E344A0">
              <w:rPr>
                <w:b/>
                <w:bCs/>
                <w:i/>
                <w:iCs/>
              </w:rPr>
              <w:t>Bizottság</w:t>
            </w:r>
            <w:r w:rsidRPr="00E344A0">
              <w:t xml:space="preserve"> 15. cikkben említett, felhatalmazáson alapuló jogi aktus elfogadására vonatkozó felhatalmazása ötéves időtartamra szól, …-</w:t>
            </w:r>
            <w:proofErr w:type="spellStart"/>
            <w:r w:rsidRPr="00E344A0">
              <w:t>tól</w:t>
            </w:r>
            <w:proofErr w:type="spellEnd"/>
            <w:r w:rsidRPr="00E344A0">
              <w:t>/-</w:t>
            </w:r>
            <w:proofErr w:type="spellStart"/>
            <w:r w:rsidRPr="00E344A0">
              <w:t>től</w:t>
            </w:r>
            <w:proofErr w:type="spellEnd"/>
            <w:r w:rsidRPr="00E344A0">
              <w:t xml:space="preserve"> kezdődő hatállyal. [Kiadóhivatal: kérjük, illesszék be a dátumot = e rendelet hatálybalépésének időpontja]. A Bizottság legkésőbb kilenc hónappal az ötéves időtartam letelte előtt jelentést készít a felhatalmazásról. A felhatalmazás hallgatólagosan meghosszabbodik a korábbival megegyező időtartamra, amennyiben az Európai Parlament vagy a Tanács nem </w:t>
            </w:r>
            <w:proofErr w:type="spellStart"/>
            <w:r w:rsidRPr="00E344A0">
              <w:t>ellenzi</w:t>
            </w:r>
            <w:proofErr w:type="spellEnd"/>
            <w:r w:rsidRPr="00E344A0">
              <w:t xml:space="preserve"> a meghosszabbítást legkésőbb három hónappal minden egyes időtartam letelte előtt.</w:t>
            </w:r>
          </w:p>
        </w:tc>
        <w:tc>
          <w:tcPr>
            <w:tcW w:w="4876" w:type="dxa"/>
          </w:tcPr>
          <w:p w:rsidR="00FF715E" w:rsidRPr="00E344A0" w:rsidRDefault="00FF715E" w:rsidP="00CD27F0">
            <w:pPr>
              <w:pStyle w:val="Normal6a"/>
            </w:pPr>
            <w:r w:rsidRPr="00E344A0">
              <w:t>(2)</w:t>
            </w:r>
            <w:r w:rsidRPr="00E344A0">
              <w:tab/>
              <w:t xml:space="preserve">A </w:t>
            </w:r>
            <w:r w:rsidRPr="00E344A0">
              <w:rPr>
                <w:b/>
                <w:bCs/>
                <w:i/>
                <w:iCs/>
              </w:rPr>
              <w:t>Bizottságnak a 14. cikk (3a) bekezdésében,</w:t>
            </w:r>
            <w:r w:rsidRPr="00E344A0">
              <w:t xml:space="preserve"> a </w:t>
            </w:r>
            <w:r w:rsidRPr="00E344A0">
              <w:rPr>
                <w:b/>
                <w:i/>
              </w:rPr>
              <w:t xml:space="preserve">14. cikk (4) bekezdésében és a </w:t>
            </w:r>
            <w:r w:rsidRPr="00E344A0">
              <w:t>15. cikkben említett, felhatalmazáson alapuló jogi aktus elfogadására vonatkozó felhatalmazása ötéves időtartamra szól, …-</w:t>
            </w:r>
            <w:proofErr w:type="spellStart"/>
            <w:r w:rsidRPr="00E344A0">
              <w:t>tól</w:t>
            </w:r>
            <w:proofErr w:type="spellEnd"/>
            <w:r w:rsidRPr="00E344A0">
              <w:t>/-</w:t>
            </w:r>
            <w:proofErr w:type="spellStart"/>
            <w:r w:rsidRPr="00E344A0">
              <w:t>től</w:t>
            </w:r>
            <w:proofErr w:type="spellEnd"/>
            <w:r w:rsidRPr="00E344A0">
              <w:t xml:space="preserve"> kezdődő hatállyal. [Kiadóhivatal: kérjük, illesszék be a dátumot = e rendelet hatálybalépésének időpontja]. A Bizottság legkésőbb kilenc hónappal az ötéves időtartam letelte előtt jelentést készít a felhatalmazásról. A felhatalmazás hallgatólagosan meghosszabbodik a korábbival megegyező időtartamra, amennyiben az Európai Parlament vagy a Tanács nem </w:t>
            </w:r>
            <w:proofErr w:type="spellStart"/>
            <w:r w:rsidRPr="00E344A0">
              <w:t>ellenzi</w:t>
            </w:r>
            <w:proofErr w:type="spellEnd"/>
            <w:r w:rsidRPr="00E344A0">
              <w:t xml:space="preserve"> a meghosszabbítást legkésőbb három hónappal minden egyes időtartam letelte előtt.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142</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16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(3)</w:t>
            </w:r>
            <w:r w:rsidRPr="00E344A0">
              <w:tab/>
              <w:t xml:space="preserve">Az Európai Parlament vagy a Tanács bármikor visszavonhatja a 15. cikkben említett felhatalmazást. A visszavonásról szóló határozat megszünteti a benne meghatározott felhatalmazást. A határozat az </w:t>
            </w:r>
            <w:r w:rsidRPr="00267A15">
              <w:rPr>
                <w:i/>
              </w:rPr>
              <w:t>Európai Unió Hivatalos Lapjában</w:t>
            </w:r>
            <w:r w:rsidRPr="00E344A0">
              <w:t xml:space="preserve"> való kihirdetését követő napon vagy a benne megjelölt későbbi időpontban lép hatályba. A határozat nem érinti a már hatályban lévő, felhatalmazáson alapuló jogi aktusok érvényességét.</w:t>
            </w:r>
          </w:p>
        </w:tc>
        <w:tc>
          <w:tcPr>
            <w:tcW w:w="4876" w:type="dxa"/>
          </w:tcPr>
          <w:p w:rsidR="00FF715E" w:rsidRPr="00E344A0" w:rsidRDefault="00FF715E" w:rsidP="00CD27F0">
            <w:pPr>
              <w:pStyle w:val="Normal6a"/>
            </w:pPr>
            <w:r w:rsidRPr="00E344A0">
              <w:t>(3)</w:t>
            </w:r>
            <w:r w:rsidRPr="00E344A0">
              <w:tab/>
              <w:t xml:space="preserve">Az Európai Parlament vagy a Tanács bármikor visszavonhatja a </w:t>
            </w:r>
            <w:r w:rsidRPr="00E344A0">
              <w:rPr>
                <w:b/>
                <w:i/>
              </w:rPr>
              <w:t xml:space="preserve">14. cikk (3a) bekezdésében, a 14. cikk (4) bekezdésében és a </w:t>
            </w:r>
            <w:r w:rsidRPr="00E344A0">
              <w:t xml:space="preserve">15. cikkben említett felhatalmazást. A visszavonásról szóló határozat megszünteti a benne meghatározott felhatalmazást. A határozat az </w:t>
            </w:r>
            <w:r w:rsidRPr="00E344A0">
              <w:rPr>
                <w:i/>
                <w:iCs/>
              </w:rPr>
              <w:t>Európai Unió Hivatalos Lapjában</w:t>
            </w:r>
            <w:r w:rsidRPr="00E344A0">
              <w:t xml:space="preserve"> való kihirdetését követő napon, vagy a benne megjelölt későbbi időpontban lép hatályba. A határozat nem érinti a már hatályban lévő, felhatalmazáson alapuló jogi aktusok érvényességét.</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143</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lastRenderedPageBreak/>
        <w:t>16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(6)</w:t>
            </w:r>
            <w:r w:rsidRPr="00E344A0">
              <w:tab/>
              <w:t xml:space="preserve">A </w:t>
            </w:r>
            <w:r w:rsidRPr="00E344A0">
              <w:rPr>
                <w:b/>
                <w:i/>
              </w:rPr>
              <w:t>15</w:t>
            </w:r>
            <w:r w:rsidRPr="00E344A0">
              <w:t>. cikk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c>
          <w:tcPr>
            <w:tcW w:w="4876" w:type="dxa"/>
          </w:tcPr>
          <w:p w:rsidR="00FF715E" w:rsidRPr="00E344A0" w:rsidRDefault="00FF715E" w:rsidP="00CD27F0">
            <w:pPr>
              <w:pStyle w:val="Normal6a"/>
            </w:pPr>
            <w:r w:rsidRPr="00E344A0">
              <w:t>(6)</w:t>
            </w:r>
            <w:r w:rsidRPr="00E344A0">
              <w:tab/>
              <w:t xml:space="preserve">A </w:t>
            </w:r>
            <w:r w:rsidRPr="00E344A0">
              <w:rPr>
                <w:b/>
                <w:i/>
              </w:rPr>
              <w:t>14</w:t>
            </w:r>
            <w:r w:rsidRPr="00E344A0">
              <w:t xml:space="preserve">. cikk </w:t>
            </w:r>
            <w:r w:rsidRPr="00E344A0">
              <w:rPr>
                <w:b/>
                <w:i/>
              </w:rPr>
              <w:t>(3a) bekezdése, a 14. cikk (4) bekezdése és a 15. cikk </w:t>
            </w:r>
            <w:r w:rsidRPr="00E344A0">
              <w:t>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rsidR="00FF715E" w:rsidRPr="00E344A0" w:rsidRDefault="00FF715E" w:rsidP="00FF715E"/>
    <w:p w:rsidR="000069D1" w:rsidRPr="00E344A0" w:rsidRDefault="000069D1" w:rsidP="000069D1">
      <w:pPr>
        <w:pStyle w:val="AmNumberTabs"/>
      </w:pPr>
      <w:r w:rsidRPr="00E344A0">
        <w:t>Módosítás</w:t>
      </w:r>
      <w:r w:rsidRPr="00E344A0">
        <w:tab/>
      </w:r>
      <w:r w:rsidRPr="00E344A0">
        <w:tab/>
      </w:r>
      <w:r w:rsidRPr="00E344A0">
        <w:rPr>
          <w:rStyle w:val="HideTWBExt"/>
        </w:rPr>
        <w:t>&lt;NumAm&gt;</w:t>
      </w:r>
      <w:r w:rsidRPr="00E344A0">
        <w:t>242</w:t>
      </w:r>
      <w:r w:rsidRPr="00E344A0">
        <w:rPr>
          <w:rStyle w:val="HideTWBExt"/>
        </w:rPr>
        <w:t>&lt;/</w:t>
      </w:r>
      <w:proofErr w:type="spellStart"/>
      <w:r w:rsidRPr="00E344A0">
        <w:rPr>
          <w:rStyle w:val="HideTWBExt"/>
        </w:rPr>
        <w:t>NumAm</w:t>
      </w:r>
      <w:proofErr w:type="spellEnd"/>
      <w:r w:rsidRPr="00E344A0">
        <w:rPr>
          <w:rStyle w:val="HideTWBExt"/>
        </w:rPr>
        <w:t>&gt;</w:t>
      </w:r>
    </w:p>
    <w:p w:rsidR="000069D1" w:rsidRPr="00E344A0" w:rsidRDefault="000069D1" w:rsidP="000069D1">
      <w:pPr>
        <w:pStyle w:val="NormalBold"/>
      </w:pPr>
      <w:r w:rsidRPr="00E344A0">
        <w:rPr>
          <w:rStyle w:val="HideTWBExt"/>
        </w:rPr>
        <w:t>&lt;DocAmend&gt;</w:t>
      </w:r>
      <w:r w:rsidRPr="00E344A0">
        <w:t>Rendeletre irányuló javaslat</w:t>
      </w:r>
      <w:r w:rsidRPr="00E344A0">
        <w:rPr>
          <w:rStyle w:val="HideTWBExt"/>
        </w:rPr>
        <w:t>&lt;/</w:t>
      </w:r>
      <w:proofErr w:type="spellStart"/>
      <w:r w:rsidRPr="00E344A0">
        <w:rPr>
          <w:rStyle w:val="HideTWBExt"/>
        </w:rPr>
        <w:t>DocAmend</w:t>
      </w:r>
      <w:proofErr w:type="spellEnd"/>
      <w:r w:rsidRPr="00E344A0">
        <w:rPr>
          <w:rStyle w:val="HideTWBExt"/>
        </w:rPr>
        <w:t>&gt;</w:t>
      </w:r>
    </w:p>
    <w:p w:rsidR="000069D1" w:rsidRPr="00E344A0" w:rsidRDefault="000069D1" w:rsidP="000069D1">
      <w:pPr>
        <w:pStyle w:val="NormalBold"/>
      </w:pPr>
      <w:r w:rsidRPr="00E344A0">
        <w:rPr>
          <w:rStyle w:val="HideTWBExt"/>
        </w:rPr>
        <w:t>&lt;Article&gt;</w:t>
      </w:r>
      <w:r w:rsidRPr="00E344A0">
        <w:t>16 a cikk (új)</w:t>
      </w:r>
      <w:r w:rsidRPr="00E344A0">
        <w:rPr>
          <w:rStyle w:val="HideTWBExt"/>
        </w:rPr>
        <w:t>&lt;/</w:t>
      </w:r>
      <w:proofErr w:type="spellStart"/>
      <w:r w:rsidRPr="00E344A0">
        <w:rPr>
          <w:rStyle w:val="HideTWBExt"/>
        </w:rPr>
        <w:t>Article</w:t>
      </w:r>
      <w:proofErr w:type="spellEnd"/>
      <w:r w:rsidRPr="00E344A0">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69D1" w:rsidRPr="00E344A0" w:rsidTr="00D06835">
        <w:trPr>
          <w:trHeight w:hRule="exact" w:val="240"/>
          <w:jc w:val="center"/>
        </w:trPr>
        <w:tc>
          <w:tcPr>
            <w:tcW w:w="9752" w:type="dxa"/>
            <w:gridSpan w:val="2"/>
          </w:tcPr>
          <w:p w:rsidR="000069D1" w:rsidRPr="00E344A0" w:rsidRDefault="000069D1" w:rsidP="00D06835"/>
        </w:tc>
      </w:tr>
      <w:tr w:rsidR="000069D1" w:rsidRPr="00E344A0" w:rsidTr="00D06835">
        <w:trPr>
          <w:trHeight w:val="240"/>
          <w:jc w:val="center"/>
        </w:trPr>
        <w:tc>
          <w:tcPr>
            <w:tcW w:w="4876" w:type="dxa"/>
          </w:tcPr>
          <w:p w:rsidR="000069D1" w:rsidRPr="00E344A0" w:rsidRDefault="000069D1" w:rsidP="00D06835">
            <w:pPr>
              <w:pStyle w:val="AmColumnHeading"/>
            </w:pPr>
            <w:r w:rsidRPr="00E344A0">
              <w:t>A Bizottság által javasolt szöveg</w:t>
            </w:r>
          </w:p>
        </w:tc>
        <w:tc>
          <w:tcPr>
            <w:tcW w:w="4876" w:type="dxa"/>
          </w:tcPr>
          <w:p w:rsidR="000069D1" w:rsidRPr="00E344A0" w:rsidRDefault="000069D1" w:rsidP="00D06835">
            <w:pPr>
              <w:pStyle w:val="AmColumnHeading"/>
            </w:pPr>
            <w:r w:rsidRPr="00E344A0">
              <w:t>Módosítás</w:t>
            </w:r>
          </w:p>
        </w:tc>
      </w:tr>
      <w:tr w:rsidR="000069D1" w:rsidRPr="00E344A0" w:rsidTr="00D06835">
        <w:trPr>
          <w:jc w:val="center"/>
        </w:trPr>
        <w:tc>
          <w:tcPr>
            <w:tcW w:w="4876" w:type="dxa"/>
          </w:tcPr>
          <w:p w:rsidR="000069D1" w:rsidRPr="00E344A0" w:rsidRDefault="000069D1" w:rsidP="00D06835">
            <w:pPr>
              <w:pStyle w:val="Normal6a"/>
            </w:pPr>
          </w:p>
        </w:tc>
        <w:tc>
          <w:tcPr>
            <w:tcW w:w="4876" w:type="dxa"/>
          </w:tcPr>
          <w:p w:rsidR="000069D1" w:rsidRPr="00E344A0" w:rsidRDefault="000069D1" w:rsidP="00D06835">
            <w:pPr>
              <w:pStyle w:val="Normal6a"/>
              <w:jc w:val="center"/>
            </w:pPr>
            <w:r w:rsidRPr="00E344A0">
              <w:rPr>
                <w:b/>
                <w:i/>
              </w:rPr>
              <w:t>16a. cikk</w:t>
            </w:r>
          </w:p>
        </w:tc>
      </w:tr>
      <w:tr w:rsidR="000069D1" w:rsidRPr="00E344A0" w:rsidTr="00D06835">
        <w:trPr>
          <w:jc w:val="center"/>
        </w:trPr>
        <w:tc>
          <w:tcPr>
            <w:tcW w:w="4876" w:type="dxa"/>
          </w:tcPr>
          <w:p w:rsidR="000069D1" w:rsidRPr="00E344A0" w:rsidRDefault="000069D1" w:rsidP="00D06835">
            <w:pPr>
              <w:pStyle w:val="Normal6a"/>
            </w:pPr>
          </w:p>
        </w:tc>
        <w:tc>
          <w:tcPr>
            <w:tcW w:w="4876" w:type="dxa"/>
          </w:tcPr>
          <w:p w:rsidR="000069D1" w:rsidRPr="00E344A0" w:rsidRDefault="000069D1" w:rsidP="00D06835">
            <w:pPr>
              <w:pStyle w:val="Normal6a"/>
              <w:jc w:val="center"/>
            </w:pPr>
            <w:r w:rsidRPr="00E344A0">
              <w:rPr>
                <w:b/>
                <w:i/>
              </w:rPr>
              <w:t>Természetes vagy jogi személyek megalapozott panaszai</w:t>
            </w:r>
          </w:p>
        </w:tc>
      </w:tr>
      <w:tr w:rsidR="000069D1" w:rsidRPr="00E344A0" w:rsidTr="00D06835">
        <w:trPr>
          <w:jc w:val="center"/>
        </w:trPr>
        <w:tc>
          <w:tcPr>
            <w:tcW w:w="4876" w:type="dxa"/>
          </w:tcPr>
          <w:p w:rsidR="000069D1" w:rsidRPr="00E344A0" w:rsidRDefault="000069D1" w:rsidP="00D06835">
            <w:pPr>
              <w:pStyle w:val="Normal6a"/>
            </w:pPr>
          </w:p>
        </w:tc>
        <w:tc>
          <w:tcPr>
            <w:tcW w:w="4876" w:type="dxa"/>
          </w:tcPr>
          <w:p w:rsidR="000069D1" w:rsidRPr="00E344A0" w:rsidRDefault="000069D1" w:rsidP="00D06835">
            <w:pPr>
              <w:pStyle w:val="Normal6a"/>
            </w:pPr>
            <w:r w:rsidRPr="00E344A0">
              <w:rPr>
                <w:b/>
                <w:i/>
              </w:rPr>
              <w:t>(1)</w:t>
            </w:r>
            <w:r w:rsidRPr="00E344A0">
              <w:tab/>
            </w:r>
            <w:r w:rsidRPr="00E344A0">
              <w:rPr>
                <w:b/>
                <w:i/>
              </w:rPr>
              <w:t>Bármely természetes vagy jogi személy – egyénileg vagy társulásban – jogosult megalapozott panaszt benyújtani a nemzeti piacfelügyeleti hatóságokhoz, amennyiben okkal feltételezi, hogy egy vagy több gyártó, gazdasági szereplő vagy független gazdasági szereplő nem felel meg e rendeletnek.</w:t>
            </w:r>
          </w:p>
        </w:tc>
      </w:tr>
      <w:tr w:rsidR="000069D1" w:rsidRPr="00E344A0" w:rsidTr="00D06835">
        <w:trPr>
          <w:jc w:val="center"/>
        </w:trPr>
        <w:tc>
          <w:tcPr>
            <w:tcW w:w="4876" w:type="dxa"/>
          </w:tcPr>
          <w:p w:rsidR="000069D1" w:rsidRPr="00E344A0" w:rsidRDefault="000069D1" w:rsidP="00D06835">
            <w:pPr>
              <w:pStyle w:val="Normal6a"/>
            </w:pPr>
          </w:p>
        </w:tc>
        <w:tc>
          <w:tcPr>
            <w:tcW w:w="4876" w:type="dxa"/>
          </w:tcPr>
          <w:p w:rsidR="000069D1" w:rsidRPr="00E344A0" w:rsidRDefault="000069D1" w:rsidP="00D06835">
            <w:pPr>
              <w:pStyle w:val="Normal6a"/>
            </w:pPr>
            <w:r w:rsidRPr="00E344A0">
              <w:rPr>
                <w:b/>
                <w:i/>
              </w:rPr>
              <w:t>(2)</w:t>
            </w:r>
            <w:r w:rsidRPr="00E344A0">
              <w:tab/>
            </w:r>
            <w:r w:rsidRPr="00E344A0">
              <w:rPr>
                <w:b/>
                <w:i/>
              </w:rPr>
              <w:t>Amennyiben a megalapozott panaszokat előterjesztő személyek ezt kérik, a piacfelügyeleti hatóságok meghozzák a szükséges intézkedéseket az adott személy személyazonosságának és személyes adatainak megfelelő védelme érdekében, amelyek felfedése az adott személyre nézve káros lenne.</w:t>
            </w:r>
          </w:p>
        </w:tc>
      </w:tr>
      <w:tr w:rsidR="000069D1" w:rsidRPr="00E344A0" w:rsidTr="00D06835">
        <w:trPr>
          <w:jc w:val="center"/>
        </w:trPr>
        <w:tc>
          <w:tcPr>
            <w:tcW w:w="4876" w:type="dxa"/>
          </w:tcPr>
          <w:p w:rsidR="000069D1" w:rsidRPr="00E344A0" w:rsidRDefault="000069D1" w:rsidP="00D06835">
            <w:pPr>
              <w:pStyle w:val="Normal6a"/>
            </w:pPr>
          </w:p>
        </w:tc>
        <w:tc>
          <w:tcPr>
            <w:tcW w:w="4876" w:type="dxa"/>
          </w:tcPr>
          <w:p w:rsidR="000069D1" w:rsidRPr="00E344A0" w:rsidRDefault="000069D1" w:rsidP="00D06835">
            <w:pPr>
              <w:pStyle w:val="Normal6a"/>
            </w:pPr>
            <w:r w:rsidRPr="00E344A0">
              <w:rPr>
                <w:b/>
                <w:i/>
              </w:rPr>
              <w:t>(3)</w:t>
            </w:r>
            <w:r w:rsidRPr="00E344A0">
              <w:tab/>
            </w:r>
            <w:r w:rsidRPr="00E344A0">
              <w:rPr>
                <w:b/>
                <w:i/>
              </w:rPr>
              <w:t xml:space="preserve">A nemzeti piacfelügyeleti hatóságok indokolatlan késedelem nélkül gondosan és pártatlanul értékelik a megalapozott </w:t>
            </w:r>
            <w:r w:rsidRPr="00E344A0">
              <w:rPr>
                <w:b/>
                <w:i/>
              </w:rPr>
              <w:lastRenderedPageBreak/>
              <w:t>panaszokat, beleértve azt is, hogy az állítások kellően megalapozottak-e, és megteszik a szükséges lépéseket – beleértve az (EK) 2018/858 rendelet 8. és 51. cikke szerinti ellenőrzések és értékelések elvégzését is – annak érdekében, hogy feltárják az e rendeletnek való esetleges meg nem felelést, és adott esetben korrekciós intézkedéseket írjanak elő, vagy az (EU) 2018/858 rendelet 52. cikke alapján megfelelő korlátozó intézkedéseket hozzanak.</w:t>
            </w:r>
          </w:p>
        </w:tc>
      </w:tr>
      <w:tr w:rsidR="000069D1" w:rsidRPr="00E344A0" w:rsidTr="00D06835">
        <w:trPr>
          <w:jc w:val="center"/>
        </w:trPr>
        <w:tc>
          <w:tcPr>
            <w:tcW w:w="4876" w:type="dxa"/>
          </w:tcPr>
          <w:p w:rsidR="000069D1" w:rsidRPr="00E344A0" w:rsidRDefault="000069D1" w:rsidP="00D06835">
            <w:pPr>
              <w:pStyle w:val="Normal6a"/>
            </w:pPr>
          </w:p>
        </w:tc>
        <w:tc>
          <w:tcPr>
            <w:tcW w:w="4876" w:type="dxa"/>
          </w:tcPr>
          <w:p w:rsidR="000069D1" w:rsidRPr="00E344A0" w:rsidRDefault="000069D1" w:rsidP="00D06835">
            <w:pPr>
              <w:pStyle w:val="Normal6a"/>
            </w:pPr>
            <w:r w:rsidRPr="00E344A0">
              <w:rPr>
                <w:b/>
                <w:i/>
              </w:rPr>
              <w:t>(4)</w:t>
            </w:r>
            <w:r w:rsidRPr="00E344A0">
              <w:tab/>
            </w:r>
            <w:r w:rsidRPr="00E344A0">
              <w:rPr>
                <w:b/>
                <w:i/>
              </w:rPr>
              <w:t>A nemzeti piacfelügyeleti hatóság három hónapon belül tájékoztatja az (1) bekezdésben említett természetes vagy jogi személyeket az intézkedés iránti kérelem teljesítésére vagy elutasítására vonatkozó határozatáról, valamint a megalapozott panaszban felvetett aggályok kezelésére tervezett lépésekről, megadva mind a meghozott határozat, mind a javasolt lépések indokait.</w:t>
            </w:r>
          </w:p>
        </w:tc>
      </w:tr>
    </w:tbl>
    <w:p w:rsidR="00FF715E" w:rsidRPr="00E344A0" w:rsidRDefault="00FF715E" w:rsidP="00FF715E">
      <w:pPr>
        <w:pStyle w:val="AmNumberTabs"/>
      </w:pPr>
      <w:r w:rsidRPr="00E344A0">
        <w:t>Módosítás</w:t>
      </w:r>
      <w:r w:rsidRPr="00E344A0">
        <w:tab/>
      </w:r>
      <w:r w:rsidRPr="00E344A0">
        <w:tab/>
        <w:t>144</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18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(2)</w:t>
            </w:r>
            <w:r w:rsidRPr="00E344A0">
              <w:tab/>
              <w:t>Az (1) bekezdés szerint megadott információk alapján a Bizottság 2031. szeptember 1-jéig értékelő jelentést nyújt be az Európai Parlamentnek és a Tanácsnak e rendelet alkalmazásáról.</w:t>
            </w:r>
          </w:p>
        </w:tc>
        <w:tc>
          <w:tcPr>
            <w:tcW w:w="4876" w:type="dxa"/>
          </w:tcPr>
          <w:p w:rsidR="00FF715E" w:rsidRPr="00E344A0" w:rsidRDefault="00FF715E" w:rsidP="00CD27F0">
            <w:pPr>
              <w:pStyle w:val="Normal6a"/>
            </w:pPr>
            <w:r w:rsidRPr="00E344A0">
              <w:t>(2)</w:t>
            </w:r>
            <w:r w:rsidRPr="00E344A0">
              <w:tab/>
              <w:t>Az (1) bekezdés szerint megadott információk alapján a Bizottság 2031. szeptember 1-jéig értékelő jelentést nyújt be az Európai Parlamentnek és a Tanácsnak e rendelet alkalmazásáról</w:t>
            </w:r>
            <w:r w:rsidRPr="00E344A0">
              <w:rPr>
                <w:b/>
                <w:i/>
              </w:rPr>
              <w:t>, ezen belül a kipufogógáz-eredetű és a nem kipufogógáz-eredetű kibocsátások terén elért csökkentés, valamint [a környezeti levegő minőségéről szóló irányelv átdolgozására irányuló XXX javaslatban] meghatározott levegőszennyezési előírások teljesítése terén a rendelet által megvalósított hozzájárulás értékeléséről</w:t>
            </w:r>
            <w:r w:rsidRPr="00E344A0">
              <w:t>.</w:t>
            </w:r>
          </w:p>
        </w:tc>
      </w:tr>
    </w:tbl>
    <w:p w:rsidR="00FF715E" w:rsidRPr="00E344A0" w:rsidRDefault="00FF715E" w:rsidP="00FF715E"/>
    <w:p w:rsidR="000069D1" w:rsidRPr="00E344A0" w:rsidRDefault="000069D1" w:rsidP="000069D1">
      <w:pPr>
        <w:pStyle w:val="AmNumberTabs"/>
      </w:pPr>
      <w:r w:rsidRPr="00E344A0">
        <w:t>Módosítás</w:t>
      </w:r>
      <w:r w:rsidRPr="00E344A0">
        <w:tab/>
      </w:r>
      <w:r w:rsidRPr="00E344A0">
        <w:tab/>
      </w:r>
      <w:r w:rsidRPr="00E344A0">
        <w:rPr>
          <w:rStyle w:val="HideTWBExt"/>
        </w:rPr>
        <w:t>&lt;NumAm&gt;</w:t>
      </w:r>
      <w:r w:rsidRPr="00E344A0">
        <w:t>181 és 192</w:t>
      </w:r>
      <w:r w:rsidRPr="00E344A0">
        <w:rPr>
          <w:rStyle w:val="HideTWBExt"/>
        </w:rPr>
        <w:t>&lt;/</w:t>
      </w:r>
      <w:proofErr w:type="spellStart"/>
      <w:r w:rsidRPr="00E344A0">
        <w:rPr>
          <w:rStyle w:val="HideTWBExt"/>
        </w:rPr>
        <w:t>NumAm</w:t>
      </w:r>
      <w:proofErr w:type="spellEnd"/>
      <w:r w:rsidRPr="00E344A0">
        <w:rPr>
          <w:rStyle w:val="HideTWBExt"/>
        </w:rPr>
        <w:t>&gt;</w:t>
      </w:r>
    </w:p>
    <w:p w:rsidR="000069D1" w:rsidRPr="00E344A0" w:rsidRDefault="000069D1" w:rsidP="000069D1">
      <w:pPr>
        <w:pStyle w:val="NormalBold"/>
      </w:pPr>
      <w:r w:rsidRPr="00E344A0">
        <w:rPr>
          <w:rStyle w:val="HideTWBExt"/>
        </w:rPr>
        <w:t>&lt;DocAmend&gt;</w:t>
      </w:r>
      <w:r w:rsidRPr="00E344A0">
        <w:t>Rendeletre irányuló javaslat</w:t>
      </w:r>
      <w:r w:rsidRPr="00E344A0">
        <w:rPr>
          <w:rStyle w:val="HideTWBExt"/>
        </w:rPr>
        <w:t>&lt;/</w:t>
      </w:r>
      <w:proofErr w:type="spellStart"/>
      <w:r w:rsidRPr="00E344A0">
        <w:rPr>
          <w:rStyle w:val="HideTWBExt"/>
        </w:rPr>
        <w:t>DocAmend</w:t>
      </w:r>
      <w:proofErr w:type="spellEnd"/>
      <w:r w:rsidRPr="00E344A0">
        <w:rPr>
          <w:rStyle w:val="HideTWBExt"/>
        </w:rPr>
        <w:t>&gt;</w:t>
      </w:r>
    </w:p>
    <w:p w:rsidR="000069D1" w:rsidRPr="00E344A0" w:rsidRDefault="000069D1" w:rsidP="000069D1">
      <w:pPr>
        <w:pStyle w:val="NormalBold"/>
      </w:pPr>
      <w:r w:rsidRPr="00E344A0">
        <w:rPr>
          <w:rStyle w:val="HideTWBExt"/>
        </w:rPr>
        <w:t>&lt;Article&gt;</w:t>
      </w:r>
      <w:r w:rsidRPr="00E344A0">
        <w:t>18 cikk – 2 a bekezdés (új)</w:t>
      </w:r>
      <w:r w:rsidRPr="00E344A0">
        <w:rPr>
          <w:rStyle w:val="HideTWBExt"/>
        </w:rPr>
        <w:t>&lt;/</w:t>
      </w:r>
      <w:proofErr w:type="spellStart"/>
      <w:r w:rsidRPr="00E344A0">
        <w:rPr>
          <w:rStyle w:val="HideTWBExt"/>
        </w:rPr>
        <w:t>Article</w:t>
      </w:r>
      <w:proofErr w:type="spellEnd"/>
      <w:r w:rsidRPr="00E344A0">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69D1" w:rsidRPr="00E344A0" w:rsidTr="00D06835">
        <w:trPr>
          <w:trHeight w:hRule="exact" w:val="240"/>
          <w:jc w:val="center"/>
        </w:trPr>
        <w:tc>
          <w:tcPr>
            <w:tcW w:w="9752" w:type="dxa"/>
            <w:gridSpan w:val="2"/>
          </w:tcPr>
          <w:p w:rsidR="000069D1" w:rsidRPr="00E344A0" w:rsidRDefault="000069D1" w:rsidP="00D06835"/>
        </w:tc>
      </w:tr>
      <w:tr w:rsidR="000069D1" w:rsidRPr="00E344A0" w:rsidTr="00D06835">
        <w:trPr>
          <w:trHeight w:val="240"/>
          <w:jc w:val="center"/>
        </w:trPr>
        <w:tc>
          <w:tcPr>
            <w:tcW w:w="4876" w:type="dxa"/>
          </w:tcPr>
          <w:p w:rsidR="000069D1" w:rsidRPr="00E344A0" w:rsidRDefault="000069D1" w:rsidP="00D06835">
            <w:pPr>
              <w:pStyle w:val="AmColumnHeading"/>
            </w:pPr>
            <w:r w:rsidRPr="00E344A0">
              <w:lastRenderedPageBreak/>
              <w:t>A Bizottság által javasolt szöveg</w:t>
            </w:r>
          </w:p>
        </w:tc>
        <w:tc>
          <w:tcPr>
            <w:tcW w:w="4876" w:type="dxa"/>
          </w:tcPr>
          <w:p w:rsidR="000069D1" w:rsidRPr="00E344A0" w:rsidRDefault="000069D1" w:rsidP="00D06835">
            <w:pPr>
              <w:pStyle w:val="AmColumnHeading"/>
            </w:pPr>
            <w:r w:rsidRPr="00E344A0">
              <w:t>Módosítás</w:t>
            </w:r>
          </w:p>
        </w:tc>
      </w:tr>
      <w:tr w:rsidR="000069D1" w:rsidRPr="00E344A0" w:rsidTr="00D06835">
        <w:trPr>
          <w:jc w:val="center"/>
        </w:trPr>
        <w:tc>
          <w:tcPr>
            <w:tcW w:w="4876" w:type="dxa"/>
          </w:tcPr>
          <w:p w:rsidR="000069D1" w:rsidRPr="00E344A0" w:rsidRDefault="000069D1" w:rsidP="00D06835">
            <w:pPr>
              <w:pStyle w:val="Normal6a"/>
            </w:pPr>
          </w:p>
        </w:tc>
        <w:tc>
          <w:tcPr>
            <w:tcW w:w="4876" w:type="dxa"/>
          </w:tcPr>
          <w:p w:rsidR="000069D1" w:rsidRPr="00E344A0" w:rsidRDefault="000069D1" w:rsidP="00D06835">
            <w:pPr>
              <w:pStyle w:val="Normal6a"/>
            </w:pPr>
            <w:r w:rsidRPr="00E344A0">
              <w:rPr>
                <w:b/>
                <w:i/>
              </w:rPr>
              <w:t>(2a)</w:t>
            </w:r>
            <w:r w:rsidRPr="00E344A0">
              <w:tab/>
            </w:r>
            <w:r w:rsidRPr="00E344A0">
              <w:rPr>
                <w:b/>
                <w:i/>
              </w:rPr>
              <w:t>A Bizottság legkésőbb 2025. december 31-ig jelentést nyújt be az Európai Parlamentnek és a Tanácsnak, amelyben értékeli a nehézgépjárművek tartóssági teljesítményét a kibocsátások tekintetében.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146</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19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 xml:space="preserve">A 715/2007/EK rendelet </w:t>
            </w:r>
            <w:r w:rsidRPr="00E344A0">
              <w:rPr>
                <w:b/>
                <w:i/>
              </w:rPr>
              <w:t>2025</w:t>
            </w:r>
            <w:r w:rsidRPr="00E344A0">
              <w:t>. július 1-jével hatályát veszti.</w:t>
            </w:r>
          </w:p>
        </w:tc>
        <w:tc>
          <w:tcPr>
            <w:tcW w:w="4876" w:type="dxa"/>
          </w:tcPr>
          <w:p w:rsidR="00FF715E" w:rsidRPr="00E344A0" w:rsidRDefault="00FF715E" w:rsidP="00CD27F0">
            <w:pPr>
              <w:pStyle w:val="Normal6a"/>
            </w:pPr>
            <w:r w:rsidRPr="00E344A0">
              <w:t xml:space="preserve">A 715/2007/EK rendelet </w:t>
            </w:r>
            <w:r w:rsidRPr="00E344A0">
              <w:rPr>
                <w:b/>
                <w:i/>
              </w:rPr>
              <w:t>2030</w:t>
            </w:r>
            <w:r w:rsidRPr="00E344A0">
              <w:t>. július 1-jével hatályát veszti.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147</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19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 xml:space="preserve">Az 595/2009/EK rendelet </w:t>
            </w:r>
            <w:r w:rsidRPr="00E344A0">
              <w:rPr>
                <w:b/>
                <w:i/>
              </w:rPr>
              <w:t>2027</w:t>
            </w:r>
            <w:r w:rsidRPr="00E344A0">
              <w:t>. július 1-jével hatályát veszti.</w:t>
            </w:r>
          </w:p>
        </w:tc>
        <w:tc>
          <w:tcPr>
            <w:tcW w:w="4876" w:type="dxa"/>
          </w:tcPr>
          <w:p w:rsidR="00FF715E" w:rsidRPr="00E344A0" w:rsidRDefault="00FF715E" w:rsidP="00CD27F0">
            <w:pPr>
              <w:pStyle w:val="Normal6a"/>
            </w:pPr>
            <w:r w:rsidRPr="00E344A0">
              <w:t xml:space="preserve">Az 595/2009/EK rendelet </w:t>
            </w:r>
            <w:r w:rsidRPr="00E344A0">
              <w:rPr>
                <w:b/>
                <w:i/>
              </w:rPr>
              <w:t>2031</w:t>
            </w:r>
            <w:r w:rsidRPr="00E344A0">
              <w:t>. július 1-jével hatályát veszti.</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148</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20 cikk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 xml:space="preserve">Ez a rendelet </w:t>
            </w:r>
            <w:r w:rsidRPr="00E344A0">
              <w:rPr>
                <w:b/>
                <w:i/>
              </w:rPr>
              <w:t>2025. július 1-jétől</w:t>
            </w:r>
            <w:r w:rsidRPr="00E344A0">
              <w:t xml:space="preserve"> alkalmazandó az M</w:t>
            </w:r>
            <w:r w:rsidRPr="00E344A0">
              <w:rPr>
                <w:vertAlign w:val="subscript"/>
              </w:rPr>
              <w:t>1</w:t>
            </w:r>
            <w:r w:rsidRPr="00E344A0">
              <w:t>, N</w:t>
            </w:r>
            <w:r w:rsidRPr="00E344A0">
              <w:rPr>
                <w:vertAlign w:val="subscript"/>
              </w:rPr>
              <w:t>1</w:t>
            </w:r>
            <w:r w:rsidRPr="00E344A0">
              <w:t xml:space="preserve"> kategóriájú járművek, valamint az ilyen járművek alkotóelemei és önálló műszaki egységei tekintetében, és </w:t>
            </w:r>
            <w:r w:rsidRPr="00E344A0">
              <w:rPr>
                <w:b/>
                <w:i/>
              </w:rPr>
              <w:t>2027. július 1-jétől</w:t>
            </w:r>
            <w:r w:rsidRPr="00E344A0">
              <w:t xml:space="preserve"> alkalmazandó az </w:t>
            </w:r>
            <w:r w:rsidRPr="00E344A0">
              <w:rPr>
                <w:b/>
                <w:i/>
              </w:rPr>
              <w:t>M</w:t>
            </w:r>
            <w:r w:rsidRPr="00E344A0">
              <w:rPr>
                <w:b/>
                <w:i/>
                <w:vertAlign w:val="subscript"/>
              </w:rPr>
              <w:t>2</w:t>
            </w:r>
            <w:r w:rsidRPr="00E344A0">
              <w:rPr>
                <w:b/>
                <w:i/>
              </w:rPr>
              <w:t>,</w:t>
            </w:r>
            <w:r w:rsidRPr="00E344A0">
              <w:t xml:space="preserve"> M</w:t>
            </w:r>
            <w:r w:rsidRPr="00E344A0">
              <w:rPr>
                <w:b/>
                <w:i/>
                <w:vertAlign w:val="subscript"/>
              </w:rPr>
              <w:t>3</w:t>
            </w:r>
            <w:r w:rsidRPr="00E344A0">
              <w:rPr>
                <w:b/>
                <w:i/>
              </w:rPr>
              <w:t>, N</w:t>
            </w:r>
            <w:r w:rsidRPr="00E344A0">
              <w:rPr>
                <w:b/>
                <w:i/>
                <w:vertAlign w:val="subscript"/>
              </w:rPr>
              <w:t>2</w:t>
            </w:r>
            <w:r w:rsidRPr="00E344A0">
              <w:t>, N</w:t>
            </w:r>
            <w:r w:rsidRPr="00E344A0">
              <w:rPr>
                <w:b/>
                <w:i/>
                <w:vertAlign w:val="subscript"/>
              </w:rPr>
              <w:t>3</w:t>
            </w:r>
            <w:r w:rsidRPr="00E344A0">
              <w:t xml:space="preserve"> kategóriájú járművek, valamint az ilyen járművek alkotóelemei és önálló műszaki egységei</w:t>
            </w:r>
            <w:r w:rsidRPr="00E344A0">
              <w:rPr>
                <w:b/>
                <w:i/>
              </w:rPr>
              <w:t>, továbbá az O</w:t>
            </w:r>
            <w:r w:rsidRPr="00E344A0">
              <w:rPr>
                <w:b/>
                <w:i/>
                <w:vertAlign w:val="subscript"/>
              </w:rPr>
              <w:t>3</w:t>
            </w:r>
            <w:r w:rsidRPr="00E344A0">
              <w:rPr>
                <w:b/>
                <w:i/>
              </w:rPr>
              <w:t>, O</w:t>
            </w:r>
            <w:r w:rsidRPr="00E344A0">
              <w:rPr>
                <w:b/>
                <w:i/>
                <w:vertAlign w:val="subscript"/>
              </w:rPr>
              <w:t>4</w:t>
            </w:r>
            <w:r w:rsidRPr="00E344A0">
              <w:rPr>
                <w:b/>
                <w:i/>
              </w:rPr>
              <w:t xml:space="preserve"> kategóriájú </w:t>
            </w:r>
            <w:r w:rsidRPr="00E344A0">
              <w:rPr>
                <w:b/>
                <w:i/>
              </w:rPr>
              <w:lastRenderedPageBreak/>
              <w:t>pótkocsik</w:t>
            </w:r>
            <w:r w:rsidRPr="00E344A0">
              <w:t xml:space="preserve"> tekintetében.</w:t>
            </w:r>
          </w:p>
        </w:tc>
        <w:tc>
          <w:tcPr>
            <w:tcW w:w="4876" w:type="dxa"/>
          </w:tcPr>
          <w:p w:rsidR="00FF715E" w:rsidRPr="00E344A0" w:rsidRDefault="00FF715E" w:rsidP="00CD27F0">
            <w:pPr>
              <w:pStyle w:val="Normal6a"/>
            </w:pPr>
            <w:r w:rsidRPr="00E344A0">
              <w:lastRenderedPageBreak/>
              <w:t xml:space="preserve">Ez a rendelet </w:t>
            </w:r>
            <w:r w:rsidRPr="00E344A0">
              <w:rPr>
                <w:b/>
                <w:i/>
              </w:rPr>
              <w:t>valamennyi vonatkozó másodlagos jogszabály hatálybalépését követő 24 hónap elteltével</w:t>
            </w:r>
            <w:r w:rsidRPr="00E344A0">
              <w:t xml:space="preserve"> alkalmazandó az M</w:t>
            </w:r>
            <w:r w:rsidRPr="00E344A0">
              <w:rPr>
                <w:vertAlign w:val="subscript"/>
              </w:rPr>
              <w:t>1</w:t>
            </w:r>
            <w:r w:rsidRPr="00E344A0">
              <w:t>, N</w:t>
            </w:r>
            <w:r w:rsidRPr="00E344A0">
              <w:rPr>
                <w:vertAlign w:val="subscript"/>
              </w:rPr>
              <w:t>1</w:t>
            </w:r>
            <w:r w:rsidRPr="00E344A0">
              <w:t xml:space="preserve"> kategóriájú járművek</w:t>
            </w:r>
            <w:r w:rsidRPr="00E344A0">
              <w:rPr>
                <w:b/>
                <w:i/>
              </w:rPr>
              <w:t xml:space="preserve"> új típusai</w:t>
            </w:r>
            <w:r w:rsidRPr="00E344A0">
              <w:t xml:space="preserve">, valamint az ilyen járművek alkotóelemei és önálló műszaki egységei tekintetében, és </w:t>
            </w:r>
            <w:r w:rsidRPr="00E344A0">
              <w:rPr>
                <w:b/>
                <w:i/>
              </w:rPr>
              <w:t>a vonatkozó másodlagos jogszabályok hatálybalépését követő 36 hónap elteltével</w:t>
            </w:r>
            <w:r w:rsidRPr="00E344A0">
              <w:t xml:space="preserve"> alkalmazandó az </w:t>
            </w:r>
            <w:r w:rsidRPr="00E344A0">
              <w:rPr>
                <w:b/>
                <w:i/>
              </w:rPr>
              <w:t>új</w:t>
            </w:r>
            <w:r w:rsidRPr="00E344A0">
              <w:t xml:space="preserve"> M</w:t>
            </w:r>
            <w:r w:rsidRPr="00E344A0">
              <w:rPr>
                <w:b/>
                <w:i/>
                <w:vertAlign w:val="subscript"/>
              </w:rPr>
              <w:t>1</w:t>
            </w:r>
            <w:r w:rsidRPr="00E344A0">
              <w:t>, N</w:t>
            </w:r>
            <w:r w:rsidRPr="00E344A0">
              <w:rPr>
                <w:b/>
                <w:i/>
                <w:vertAlign w:val="subscript"/>
              </w:rPr>
              <w:t>1</w:t>
            </w:r>
            <w:r w:rsidRPr="00E344A0">
              <w:t xml:space="preserve"> kategóriájú </w:t>
            </w:r>
            <w:r w:rsidRPr="00E344A0">
              <w:lastRenderedPageBreak/>
              <w:t>járművek, valamint az ilyen járművek alkotóelemei és önálló műszaki egységei tekintetében.</w:t>
            </w:r>
          </w:p>
        </w:tc>
      </w:tr>
      <w:tr w:rsidR="00FF715E" w:rsidRPr="00E344A0" w:rsidTr="00CD27F0">
        <w:trPr>
          <w:jc w:val="center"/>
        </w:trPr>
        <w:tc>
          <w:tcPr>
            <w:tcW w:w="4876" w:type="dxa"/>
          </w:tcPr>
          <w:p w:rsidR="00FF715E" w:rsidRPr="00E344A0" w:rsidRDefault="00FF715E" w:rsidP="00CD27F0">
            <w:pPr>
              <w:pStyle w:val="Normal6a"/>
            </w:pPr>
          </w:p>
        </w:tc>
        <w:tc>
          <w:tcPr>
            <w:tcW w:w="4876" w:type="dxa"/>
          </w:tcPr>
          <w:p w:rsidR="00FF715E" w:rsidRPr="00E344A0" w:rsidRDefault="00FF715E" w:rsidP="00CD27F0">
            <w:pPr>
              <w:pStyle w:val="Normal6a"/>
            </w:pPr>
            <w:r w:rsidRPr="00E344A0">
              <w:rPr>
                <w:b/>
                <w:i/>
              </w:rPr>
              <w:t>Ez a rendelet valamennyi vonatkozó másodlagos jogszabály hatálybalépését követő 48 hónap elteltével alkalmazandó az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N</w:t>
            </w:r>
            <w:r w:rsidRPr="00E344A0">
              <w:rPr>
                <w:b/>
                <w:i/>
                <w:vertAlign w:val="subscript"/>
              </w:rPr>
              <w:t>3</w:t>
            </w:r>
            <w:r w:rsidRPr="00E344A0">
              <w:rPr>
                <w:b/>
                <w:i/>
              </w:rPr>
              <w:t xml:space="preserve"> kategóriájú járművek új típusai, valamint az ilyen járművek alkotóelemei és önálló műszaki egységei, továbbá az O</w:t>
            </w:r>
            <w:r w:rsidRPr="00E344A0">
              <w:rPr>
                <w:b/>
                <w:i/>
                <w:vertAlign w:val="subscript"/>
              </w:rPr>
              <w:t>3</w:t>
            </w:r>
            <w:r w:rsidRPr="00E344A0">
              <w:rPr>
                <w:b/>
                <w:i/>
              </w:rPr>
              <w:t>, O</w:t>
            </w:r>
            <w:r w:rsidRPr="00E344A0">
              <w:rPr>
                <w:b/>
                <w:i/>
                <w:vertAlign w:val="subscript"/>
              </w:rPr>
              <w:t>4</w:t>
            </w:r>
            <w:r w:rsidRPr="00E344A0">
              <w:rPr>
                <w:b/>
                <w:i/>
              </w:rPr>
              <w:t xml:space="preserve"> kategóriájú pótkocsik tekintetében, és valamennyi vonatkozó másodlagos jogszabály hatálybalépését követő 60 hónap elteltével alkalmazandó az új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N</w:t>
            </w:r>
            <w:r w:rsidRPr="00E344A0">
              <w:rPr>
                <w:b/>
                <w:i/>
                <w:vertAlign w:val="subscript"/>
              </w:rPr>
              <w:t>3</w:t>
            </w:r>
            <w:r w:rsidRPr="00E344A0">
              <w:rPr>
                <w:b/>
                <w:i/>
              </w:rPr>
              <w:t xml:space="preserve">  kategóriájú járművek, valamint az ilyen járművek alkotóelemei és önálló műszaki egységei, továbbá az O</w:t>
            </w:r>
            <w:r w:rsidRPr="00E344A0">
              <w:rPr>
                <w:b/>
                <w:i/>
                <w:vertAlign w:val="subscript"/>
              </w:rPr>
              <w:t>3</w:t>
            </w:r>
            <w:r w:rsidRPr="00E344A0">
              <w:rPr>
                <w:b/>
                <w:i/>
              </w:rPr>
              <w:t>, O</w:t>
            </w:r>
            <w:r w:rsidRPr="00E344A0">
              <w:rPr>
                <w:b/>
                <w:i/>
                <w:vertAlign w:val="subscript"/>
              </w:rPr>
              <w:t>4</w:t>
            </w:r>
            <w:r w:rsidRPr="00E344A0">
              <w:rPr>
                <w:b/>
                <w:i/>
              </w:rPr>
              <w:t xml:space="preserve">  kategóriájú pótkocsik tekintetében.</w:t>
            </w:r>
          </w:p>
        </w:tc>
      </w:tr>
    </w:tbl>
    <w:p w:rsidR="00FF715E" w:rsidRPr="00E344A0" w:rsidRDefault="00FF715E" w:rsidP="00FF715E"/>
    <w:p w:rsidR="00FF715E" w:rsidRPr="00E344A0" w:rsidRDefault="00FF715E" w:rsidP="00FF715E">
      <w:pPr>
        <w:pStyle w:val="AmNumberTabs"/>
      </w:pPr>
      <w:r w:rsidRPr="00E344A0">
        <w:t>Módosítás</w:t>
      </w:r>
      <w:r w:rsidRPr="00E344A0">
        <w:tab/>
      </w:r>
      <w:r w:rsidRPr="00E344A0">
        <w:tab/>
        <w:t>149</w:t>
      </w:r>
    </w:p>
    <w:p w:rsidR="00FF715E" w:rsidRPr="00E344A0" w:rsidRDefault="00FF715E" w:rsidP="00FF715E">
      <w:pPr>
        <w:pStyle w:val="NormalBold12b"/>
      </w:pPr>
    </w:p>
    <w:p w:rsidR="00FF715E" w:rsidRPr="00E344A0" w:rsidRDefault="00FF715E" w:rsidP="00FF715E">
      <w:pPr>
        <w:pStyle w:val="NormalBold"/>
      </w:pPr>
      <w:r w:rsidRPr="00E344A0">
        <w:t>Rendeletre irányuló javaslat</w:t>
      </w:r>
    </w:p>
    <w:p w:rsidR="00FF715E" w:rsidRPr="00E344A0" w:rsidRDefault="00FF715E" w:rsidP="00FF715E">
      <w:pPr>
        <w:pStyle w:val="NormalBold"/>
      </w:pPr>
      <w:r w:rsidRPr="00E344A0">
        <w:t>20 cikk – 3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715E" w:rsidRPr="00E344A0" w:rsidTr="00CD27F0">
        <w:trPr>
          <w:trHeight w:hRule="exact" w:val="240"/>
          <w:jc w:val="center"/>
        </w:trPr>
        <w:tc>
          <w:tcPr>
            <w:tcW w:w="9752" w:type="dxa"/>
            <w:gridSpan w:val="2"/>
          </w:tcPr>
          <w:p w:rsidR="00FF715E" w:rsidRPr="00E344A0" w:rsidRDefault="00FF715E" w:rsidP="00CD27F0"/>
        </w:tc>
      </w:tr>
      <w:tr w:rsidR="00FF715E" w:rsidRPr="00E344A0" w:rsidTr="00CD27F0">
        <w:trPr>
          <w:trHeight w:val="240"/>
          <w:jc w:val="center"/>
        </w:trPr>
        <w:tc>
          <w:tcPr>
            <w:tcW w:w="4876" w:type="dxa"/>
          </w:tcPr>
          <w:p w:rsidR="00FF715E" w:rsidRPr="00E344A0" w:rsidRDefault="00FF715E" w:rsidP="00CD27F0">
            <w:pPr>
              <w:pStyle w:val="AmColumnHeading"/>
            </w:pPr>
            <w:r w:rsidRPr="00E344A0">
              <w:t>A Bizottság által javasolt szöveg</w:t>
            </w:r>
          </w:p>
        </w:tc>
        <w:tc>
          <w:tcPr>
            <w:tcW w:w="4876" w:type="dxa"/>
          </w:tcPr>
          <w:p w:rsidR="00FF715E" w:rsidRPr="00E344A0" w:rsidRDefault="00FF715E" w:rsidP="00CD27F0">
            <w:pPr>
              <w:pStyle w:val="AmColumnHeading"/>
            </w:pPr>
            <w:r w:rsidRPr="00E344A0">
              <w:t>Módosítás</w:t>
            </w:r>
          </w:p>
        </w:tc>
      </w:tr>
      <w:tr w:rsidR="00FF715E" w:rsidRPr="00E344A0" w:rsidTr="00CD27F0">
        <w:trPr>
          <w:jc w:val="center"/>
        </w:trPr>
        <w:tc>
          <w:tcPr>
            <w:tcW w:w="4876" w:type="dxa"/>
          </w:tcPr>
          <w:p w:rsidR="00FF715E" w:rsidRPr="00E344A0" w:rsidRDefault="00FF715E" w:rsidP="00CD27F0">
            <w:pPr>
              <w:pStyle w:val="Normal6a"/>
            </w:pPr>
            <w:r w:rsidRPr="00E344A0">
              <w:t>Ez a rendelet 2030. július 1-jétől alkalmazandó a kis sorozatú gyártók által előállított M</w:t>
            </w:r>
            <w:r w:rsidRPr="00E344A0">
              <w:rPr>
                <w:vertAlign w:val="subscript"/>
              </w:rPr>
              <w:t>1</w:t>
            </w:r>
            <w:r w:rsidRPr="00E344A0">
              <w:t>, N</w:t>
            </w:r>
            <w:r w:rsidRPr="00E344A0">
              <w:rPr>
                <w:vertAlign w:val="subscript"/>
              </w:rPr>
              <w:t>1</w:t>
            </w:r>
            <w:r w:rsidRPr="00E344A0">
              <w:t xml:space="preserve"> kategóriájú járművek tekintetében.</w:t>
            </w:r>
          </w:p>
        </w:tc>
        <w:tc>
          <w:tcPr>
            <w:tcW w:w="4876" w:type="dxa"/>
          </w:tcPr>
          <w:p w:rsidR="00FF715E" w:rsidRPr="00E344A0" w:rsidRDefault="00FF715E" w:rsidP="00CD27F0">
            <w:pPr>
              <w:pStyle w:val="Normal6a"/>
            </w:pPr>
            <w:r w:rsidRPr="00E344A0">
              <w:t>Ez a rendelet 2030. július 1-jétől alkalmazandó a kis sorozatú gyártók által előállított M</w:t>
            </w:r>
            <w:r w:rsidRPr="00E344A0">
              <w:rPr>
                <w:vertAlign w:val="subscript"/>
              </w:rPr>
              <w:t>1</w:t>
            </w:r>
            <w:r w:rsidRPr="00E344A0">
              <w:t>, N</w:t>
            </w:r>
            <w:r w:rsidRPr="00E344A0">
              <w:rPr>
                <w:vertAlign w:val="subscript"/>
              </w:rPr>
              <w:t>1</w:t>
            </w:r>
            <w:r w:rsidRPr="00E344A0">
              <w:t xml:space="preserve"> kategóriájú járművek</w:t>
            </w:r>
            <w:r w:rsidRPr="00E344A0">
              <w:rPr>
                <w:b/>
                <w:i/>
              </w:rPr>
              <w:t>, továbbá 2031. július 1-jétől alkalmazandó a kis sorozatú gyártók által gyártott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xml:space="preserve"> és N</w:t>
            </w:r>
            <w:r w:rsidRPr="00E344A0">
              <w:rPr>
                <w:b/>
                <w:i/>
                <w:vertAlign w:val="subscript"/>
              </w:rPr>
              <w:t>3</w:t>
            </w:r>
            <w:r w:rsidRPr="00E344A0">
              <w:rPr>
                <w:b/>
                <w:i/>
              </w:rPr>
              <w:t xml:space="preserve"> kategóriájú járművek</w:t>
            </w:r>
            <w:r w:rsidRPr="00E344A0">
              <w:t xml:space="preserve"> tekintetében.</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150</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 melléklet – 1 táblázat</w:t>
      </w:r>
    </w:p>
    <w:tbl>
      <w:tblPr>
        <w:tblStyle w:val="TableGrid"/>
        <w:tblW w:w="5000" w:type="pct"/>
        <w:tblLook w:val="04A0" w:firstRow="1" w:lastRow="0" w:firstColumn="1" w:lastColumn="0" w:noHBand="0" w:noVBand="1"/>
      </w:tblPr>
      <w:tblGrid>
        <w:gridCol w:w="1598"/>
        <w:gridCol w:w="1489"/>
        <w:gridCol w:w="2887"/>
        <w:gridCol w:w="1184"/>
        <w:gridCol w:w="1902"/>
      </w:tblGrid>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1. táblázat: A belső égésű motorral felszerelt M</w:t>
            </w:r>
            <w:r w:rsidRPr="00E344A0">
              <w:rPr>
                <w:vertAlign w:val="subscript"/>
              </w:rPr>
              <w:t>1</w:t>
            </w:r>
            <w:r w:rsidRPr="00E344A0">
              <w:t>, N</w:t>
            </w:r>
            <w:r w:rsidRPr="00E344A0">
              <w:rPr>
                <w:vertAlign w:val="subscript"/>
              </w:rPr>
              <w:t>1</w:t>
            </w:r>
            <w:r w:rsidRPr="00E344A0">
              <w:t xml:space="preserve"> kategóriájú járművekre vonatkozó Euro 7 kipufogógáz-kibocsátási határértékek</w:t>
            </w:r>
          </w:p>
        </w:tc>
      </w:tr>
      <w:tr w:rsidR="00FF715E" w:rsidRPr="00E344A0" w:rsidTr="00CD27F0">
        <w:tc>
          <w:tcPr>
            <w:tcW w:w="1000" w:type="pct"/>
            <w:vMerge w:val="restar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Szennyezőanyag-kibocsátás</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M</w:t>
            </w:r>
            <w:r w:rsidRPr="00E344A0">
              <w:rPr>
                <w:vertAlign w:val="subscript"/>
              </w:rPr>
              <w:t>1</w:t>
            </w:r>
            <w:r w:rsidRPr="00E344A0">
              <w:rPr>
                <w:b/>
                <w:bCs/>
                <w:i/>
                <w:iCs/>
              </w:rPr>
              <w:t>, N</w:t>
            </w:r>
            <w:r w:rsidRPr="00E344A0">
              <w:rPr>
                <w:b/>
                <w:bCs/>
                <w:i/>
                <w:iCs/>
                <w:vertAlign w:val="subscript"/>
              </w:rPr>
              <w:t>1</w:t>
            </w:r>
            <w:r w:rsidRPr="00E344A0">
              <w:t xml:space="preserve"> kategóriájú járművek</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b/>
                <w:bCs/>
                <w:i/>
                <w:iCs/>
              </w:rPr>
              <w:t>Csak a 35 kW/t-</w:t>
            </w:r>
            <w:proofErr w:type="spellStart"/>
            <w:r w:rsidRPr="00E344A0">
              <w:rPr>
                <w:b/>
                <w:bCs/>
                <w:i/>
                <w:iCs/>
              </w:rPr>
              <w:t>nál</w:t>
            </w:r>
            <w:proofErr w:type="spellEnd"/>
            <w:r w:rsidRPr="00E344A0">
              <w:rPr>
                <w:b/>
                <w:bCs/>
                <w:i/>
                <w:iCs/>
              </w:rPr>
              <w:t xml:space="preserve"> alacsonyabb fajlagos motorteljesítménnyel</w:t>
            </w:r>
            <w:r w:rsidRPr="00E344A0">
              <w:rPr>
                <w:b/>
                <w:bCs/>
                <w:i/>
                <w:iCs/>
                <w:vertAlign w:val="superscript"/>
              </w:rPr>
              <w:t>1</w:t>
            </w:r>
            <w:r w:rsidRPr="00E344A0">
              <w:rPr>
                <w:b/>
                <w:bCs/>
                <w:i/>
                <w:iCs/>
              </w:rPr>
              <w:t>rendelkező,</w:t>
            </w:r>
            <w:r w:rsidRPr="00E344A0">
              <w:t xml:space="preserve"> N</w:t>
            </w:r>
            <w:r w:rsidRPr="00E344A0">
              <w:rPr>
                <w:vertAlign w:val="subscript"/>
              </w:rPr>
              <w:t>1</w:t>
            </w:r>
            <w:r w:rsidRPr="00E344A0">
              <w:t xml:space="preserve"> </w:t>
            </w:r>
            <w:r w:rsidRPr="00E344A0">
              <w:rPr>
                <w:b/>
                <w:bCs/>
                <w:i/>
                <w:iCs/>
              </w:rPr>
              <w:t>kategóriájú járművek esetében</w:t>
            </w:r>
          </w:p>
        </w:tc>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rPr>
            </w:pPr>
            <w:r w:rsidRPr="00E344A0">
              <w:t xml:space="preserve">A 10 km-nél rövidebb utakra vonatkozó </w:t>
            </w:r>
            <w:r w:rsidRPr="00E344A0">
              <w:lastRenderedPageBreak/>
              <w:t>kibocsátási költségvetés az M</w:t>
            </w:r>
            <w:r w:rsidRPr="00E344A0">
              <w:rPr>
                <w:vertAlign w:val="subscript"/>
              </w:rPr>
              <w:t>1</w:t>
            </w:r>
            <w:r w:rsidRPr="00E344A0">
              <w:t xml:space="preserve"> és N</w:t>
            </w:r>
            <w:r w:rsidRPr="00E344A0">
              <w:rPr>
                <w:vertAlign w:val="subscript"/>
              </w:rPr>
              <w:t>1</w:t>
            </w:r>
            <w:r w:rsidRPr="00E344A0">
              <w:t xml:space="preserve"> kategóriájú járművek esetében</w:t>
            </w:r>
          </w:p>
        </w:tc>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rPr>
            </w:pPr>
            <w:r w:rsidRPr="00E344A0">
              <w:lastRenderedPageBreak/>
              <w:t xml:space="preserve">A 10 km-nél rövidebb utakra vonatkozó kibocsátási költségvetés csak </w:t>
            </w:r>
            <w:r w:rsidRPr="00E344A0">
              <w:rPr>
                <w:b/>
                <w:bCs/>
                <w:i/>
                <w:iCs/>
              </w:rPr>
              <w:t>a 35 kW/t-</w:t>
            </w:r>
            <w:proofErr w:type="spellStart"/>
            <w:r w:rsidRPr="00E344A0">
              <w:rPr>
                <w:b/>
                <w:bCs/>
                <w:i/>
                <w:iCs/>
              </w:rPr>
              <w:t>nál</w:t>
            </w:r>
            <w:proofErr w:type="spellEnd"/>
            <w:r w:rsidRPr="00E344A0">
              <w:rPr>
                <w:b/>
                <w:bCs/>
                <w:i/>
                <w:iCs/>
              </w:rPr>
              <w:t xml:space="preserve"> </w:t>
            </w:r>
            <w:r w:rsidRPr="00E344A0">
              <w:rPr>
                <w:b/>
                <w:bCs/>
                <w:i/>
                <w:iCs/>
              </w:rPr>
              <w:lastRenderedPageBreak/>
              <w:t>kisebb fajlagos motorteljesítménnyel rendelkező</w:t>
            </w:r>
            <w:r w:rsidRPr="00E344A0">
              <w:t xml:space="preserve"> N</w:t>
            </w:r>
            <w:r w:rsidRPr="00E344A0">
              <w:rPr>
                <w:vertAlign w:val="subscript"/>
              </w:rPr>
              <w:t>1</w:t>
            </w:r>
            <w:r w:rsidRPr="00E344A0">
              <w:t xml:space="preserve"> kategóriájú járművek esetében</w:t>
            </w:r>
          </w:p>
        </w:tc>
      </w:tr>
      <w:tr w:rsidR="00FF715E" w:rsidRPr="00E344A0" w:rsidTr="00CD27F0">
        <w:tc>
          <w:tcPr>
            <w:tcW w:w="0" w:type="auto"/>
            <w:vMerge/>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 xml:space="preserve">kilométerenként </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kilométerenként</w:t>
            </w:r>
          </w:p>
        </w:tc>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rPr>
            </w:pPr>
            <w:r w:rsidRPr="00E344A0">
              <w:t>utanként</w:t>
            </w:r>
          </w:p>
        </w:tc>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rPr>
            </w:pPr>
            <w:r w:rsidRPr="00E344A0">
              <w:t>utanként</w:t>
            </w:r>
          </w:p>
        </w:tc>
      </w:tr>
      <w:tr w:rsidR="00FF715E" w:rsidRPr="00E344A0" w:rsidTr="00CD27F0">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proofErr w:type="spellStart"/>
            <w:r w:rsidRPr="00E344A0">
              <w:t>NO</w:t>
            </w:r>
            <w:r w:rsidRPr="00E344A0">
              <w:rPr>
                <w:vertAlign w:val="subscript"/>
              </w:rPr>
              <w:t>x</w:t>
            </w:r>
            <w:proofErr w:type="spellEnd"/>
            <w:r w:rsidRPr="00E344A0">
              <w:t xml:space="preserve">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750</w:t>
            </w:r>
          </w:p>
        </w:tc>
      </w:tr>
      <w:tr w:rsidR="00FF715E" w:rsidRPr="00E344A0" w:rsidTr="00CD27F0">
        <w:trPr>
          <w:trHeight w:val="50"/>
        </w:trPr>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PM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45</w:t>
            </w:r>
          </w:p>
        </w:tc>
      </w:tr>
      <w:tr w:rsidR="00FF715E" w:rsidRPr="00E344A0" w:rsidTr="00CD27F0">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PN</w:t>
            </w:r>
            <w:r w:rsidRPr="00E344A0">
              <w:rPr>
                <w:vertAlign w:val="subscript"/>
              </w:rPr>
              <w:t xml:space="preserve">10 </w:t>
            </w:r>
            <w:r w:rsidRPr="00E344A0">
              <w:t xml:space="preserve">(darabszám)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6×10</w:t>
            </w:r>
            <w:r w:rsidRPr="00E344A0">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6×10</w:t>
            </w:r>
            <w:r w:rsidRPr="00E344A0">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6×10</w:t>
            </w:r>
            <w:r w:rsidRPr="00E344A0">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6×10</w:t>
            </w:r>
            <w:r w:rsidRPr="00E344A0">
              <w:rPr>
                <w:sz w:val="22"/>
                <w:vertAlign w:val="superscript"/>
              </w:rPr>
              <w:t>12</w:t>
            </w:r>
          </w:p>
        </w:tc>
      </w:tr>
      <w:tr w:rsidR="00FF715E" w:rsidRPr="00E344A0" w:rsidTr="00CD27F0">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CO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6300</w:t>
            </w:r>
          </w:p>
        </w:tc>
      </w:tr>
      <w:tr w:rsidR="00FF715E" w:rsidRPr="00E344A0" w:rsidTr="00CD27F0">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THC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1300</w:t>
            </w:r>
          </w:p>
        </w:tc>
      </w:tr>
      <w:tr w:rsidR="00FF715E" w:rsidRPr="00E344A0" w:rsidTr="00CD27F0">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NMHC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900</w:t>
            </w:r>
          </w:p>
        </w:tc>
      </w:tr>
      <w:tr w:rsidR="00FF715E" w:rsidRPr="00E344A0" w:rsidTr="00CD27F0">
        <w:tc>
          <w:tcPr>
            <w:tcW w:w="1000"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NH</w:t>
            </w:r>
            <w:r w:rsidRPr="00E344A0">
              <w:rPr>
                <w:vertAlign w:val="subscript"/>
              </w:rPr>
              <w:t>3</w:t>
            </w:r>
            <w:r w:rsidRPr="00E344A0">
              <w:t xml:space="preserve">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200</w:t>
            </w:r>
          </w:p>
        </w:tc>
      </w:tr>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FootnoteText"/>
              <w:rPr>
                <w:b/>
                <w:i/>
                <w:noProof/>
                <w:lang w:val="hu-HU"/>
              </w:rPr>
            </w:pPr>
            <w:r w:rsidRPr="00E344A0">
              <w:rPr>
                <w:b/>
                <w:i/>
                <w:sz w:val="18"/>
                <w:vertAlign w:val="superscript"/>
                <w:lang w:val="hu-HU"/>
              </w:rPr>
              <w:t>1</w:t>
            </w:r>
            <w:r w:rsidRPr="00E344A0">
              <w:rPr>
                <w:b/>
                <w:i/>
                <w:sz w:val="18"/>
                <w:lang w:val="hu-HU"/>
              </w:rPr>
              <w:t xml:space="preserve"> A belső égésű motorral felszerelt járművek és a tisztán elektromos járművek esetében a 85. számú ENSZ EGB-előírás 5.3.2. pontja szerint mérve, valamennyi egyéb jármű esetében pedig az ENSZ 21. számú globális műszaki előírásának a 6. pontjában meghatározott vizsgálati eljárás szerint mérve</w:t>
            </w:r>
          </w:p>
        </w:tc>
      </w:tr>
    </w:tbl>
    <w:p w:rsidR="00FF715E" w:rsidRPr="00E344A0" w:rsidRDefault="00FF715E" w:rsidP="00FF715E">
      <w:pPr>
        <w:pStyle w:val="AmOrLang"/>
      </w:pPr>
    </w:p>
    <w:tbl>
      <w:tblPr>
        <w:tblStyle w:val="TableGrid"/>
        <w:tblW w:w="5000" w:type="pct"/>
        <w:tblLook w:val="04A0" w:firstRow="1" w:lastRow="0" w:firstColumn="1" w:lastColumn="0" w:noHBand="0" w:noVBand="1"/>
      </w:tblPr>
      <w:tblGrid>
        <w:gridCol w:w="1197"/>
        <w:gridCol w:w="1120"/>
        <w:gridCol w:w="1067"/>
        <w:gridCol w:w="1121"/>
        <w:gridCol w:w="1067"/>
        <w:gridCol w:w="904"/>
        <w:gridCol w:w="840"/>
        <w:gridCol w:w="904"/>
        <w:gridCol w:w="840"/>
      </w:tblGrid>
      <w:tr w:rsidR="00FF715E" w:rsidRPr="00E344A0" w:rsidTr="00CD27F0">
        <w:tc>
          <w:tcPr>
            <w:tcW w:w="623"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c>
          <w:tcPr>
            <w:tcW w:w="56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p>
        </w:tc>
      </w:tr>
      <w:tr w:rsidR="00FF715E" w:rsidRPr="00E344A0" w:rsidTr="00CD27F0">
        <w:tc>
          <w:tcPr>
            <w:tcW w:w="4998" w:type="pct"/>
            <w:gridSpan w:val="9"/>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1. táblázat: A belső égésű motorral felszerelt M</w:t>
            </w:r>
            <w:r w:rsidRPr="00E344A0">
              <w:rPr>
                <w:vertAlign w:val="subscript"/>
              </w:rPr>
              <w:t>1</w:t>
            </w:r>
            <w:r w:rsidRPr="00E344A0">
              <w:t>, N</w:t>
            </w:r>
            <w:r w:rsidRPr="00E344A0">
              <w:rPr>
                <w:vertAlign w:val="subscript"/>
              </w:rPr>
              <w:t>1</w:t>
            </w:r>
            <w:r w:rsidRPr="00E344A0">
              <w:t xml:space="preserve"> kategóriájú járművekre vonatkozó Euro 7 kipufogógáz-kibocsátási határértékek</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M</w:t>
            </w:r>
            <w:r w:rsidRPr="00E344A0">
              <w:rPr>
                <w:vertAlign w:val="subscript"/>
              </w:rPr>
              <w:t>1</w:t>
            </w:r>
            <w:r w:rsidRPr="00E344A0">
              <w:t xml:space="preserve"> kategóriájú járművek</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bCs/>
                <w:i/>
                <w:sz w:val="22"/>
              </w:rPr>
              <w:t>N</w:t>
            </w:r>
            <w:r w:rsidRPr="00E344A0">
              <w:rPr>
                <w:b/>
                <w:bCs/>
                <w:i/>
                <w:sz w:val="22"/>
                <w:vertAlign w:val="subscript"/>
              </w:rPr>
              <w:t>1</w:t>
            </w:r>
            <w:r w:rsidRPr="00E344A0">
              <w:rPr>
                <w:b/>
                <w:i/>
                <w:sz w:val="22"/>
              </w:rPr>
              <w:t xml:space="preserve"> (I. osztály)</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N</w:t>
            </w:r>
            <w:r w:rsidRPr="00E344A0">
              <w:rPr>
                <w:vertAlign w:val="subscript"/>
              </w:rPr>
              <w:t>1</w:t>
            </w:r>
            <w:r w:rsidRPr="00E344A0">
              <w:t xml:space="preserve"> </w:t>
            </w:r>
            <w:r w:rsidRPr="00E344A0">
              <w:rPr>
                <w:b/>
                <w:i/>
              </w:rPr>
              <w:t>(II. osztály)</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noProof/>
              </w:rPr>
            </w:pPr>
            <w:r w:rsidRPr="00E344A0">
              <w:rPr>
                <w:b/>
                <w:i/>
                <w:sz w:val="22"/>
              </w:rPr>
              <w:t>N</w:t>
            </w:r>
            <w:r w:rsidRPr="00E344A0">
              <w:rPr>
                <w:b/>
                <w:i/>
                <w:sz w:val="22"/>
                <w:vertAlign w:val="subscript"/>
              </w:rPr>
              <w:t>1</w:t>
            </w:r>
            <w:r w:rsidRPr="00E344A0">
              <w:rPr>
                <w:b/>
                <w:i/>
                <w:sz w:val="22"/>
              </w:rPr>
              <w:t xml:space="preserve"> (III. osztály)</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A 10 km-nél rövidebb utakra vonatkozó kibocsátási költségvetés az M</w:t>
            </w:r>
            <w:r w:rsidRPr="00E344A0">
              <w:rPr>
                <w:vertAlign w:val="subscript"/>
              </w:rPr>
              <w:t>1</w:t>
            </w:r>
            <w:r w:rsidRPr="00E344A0">
              <w:t xml:space="preserve"> és N</w:t>
            </w:r>
            <w:r w:rsidRPr="00E344A0">
              <w:rPr>
                <w:vertAlign w:val="subscript"/>
              </w:rPr>
              <w:t>1</w:t>
            </w:r>
            <w:r w:rsidRPr="00E344A0">
              <w:t xml:space="preserve"> kategóriájú járművek esetében</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A 10 km-nél rövidebb utakra vonatkozó kibocsátási költségvetés az N</w:t>
            </w:r>
            <w:r w:rsidRPr="00E344A0">
              <w:rPr>
                <w:b/>
                <w:i/>
                <w:sz w:val="22"/>
                <w:vertAlign w:val="subscript"/>
              </w:rPr>
              <w:t>1</w:t>
            </w:r>
            <w:r w:rsidRPr="00E344A0">
              <w:rPr>
                <w:b/>
                <w:i/>
                <w:sz w:val="22"/>
              </w:rPr>
              <w:t xml:space="preserve"> (I. osztály) kategóriájú járművek esetében</w:t>
            </w:r>
          </w:p>
        </w:tc>
        <w:tc>
          <w:tcPr>
            <w:tcW w:w="595"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rPr>
            </w:pPr>
            <w:r w:rsidRPr="00E344A0">
              <w:t xml:space="preserve">A 10 km-nél rövidebb utakra vonatkozó kibocsátási költségvetés csak </w:t>
            </w:r>
            <w:r w:rsidRPr="00E344A0">
              <w:rPr>
                <w:b/>
                <w:bCs/>
                <w:i/>
                <w:iCs/>
              </w:rPr>
              <w:t>az</w:t>
            </w:r>
            <w:r w:rsidRPr="00E344A0">
              <w:rPr>
                <w:b/>
                <w:bCs/>
              </w:rPr>
              <w:t xml:space="preserve"> </w:t>
            </w:r>
            <w:r w:rsidRPr="00E344A0">
              <w:t>N</w:t>
            </w:r>
            <w:r w:rsidRPr="00E344A0">
              <w:rPr>
                <w:vertAlign w:val="subscript"/>
              </w:rPr>
              <w:t>1</w:t>
            </w:r>
            <w:r w:rsidRPr="00E344A0">
              <w:t xml:space="preserve"> </w:t>
            </w:r>
            <w:r w:rsidRPr="00E344A0">
              <w:rPr>
                <w:b/>
                <w:bCs/>
                <w:i/>
                <w:iCs/>
              </w:rPr>
              <w:t>(II. osztály)</w:t>
            </w:r>
            <w:r w:rsidRPr="00E344A0">
              <w:t xml:space="preserve"> kategóriájú járművek esetéb</w:t>
            </w:r>
            <w:r w:rsidRPr="00E344A0">
              <w:lastRenderedPageBreak/>
              <w:t>en</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lastRenderedPageBreak/>
              <w:t>A 10 km-nél rövidebb utakra vonatkozó kibocsátási költségvetés az N</w:t>
            </w:r>
            <w:r w:rsidRPr="00E344A0">
              <w:rPr>
                <w:b/>
                <w:i/>
                <w:sz w:val="22"/>
                <w:vertAlign w:val="subscript"/>
              </w:rPr>
              <w:t>1</w:t>
            </w:r>
            <w:r w:rsidRPr="00E344A0">
              <w:rPr>
                <w:b/>
                <w:i/>
                <w:sz w:val="22"/>
              </w:rPr>
              <w:t xml:space="preserve"> (III. osztály) kategóriájú járművek esetében</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rPr>
                <w:b/>
                <w:i/>
                <w:sz w:val="22"/>
              </w:rPr>
              <w:t>Menetkész tömeg (kg)</w:t>
            </w:r>
          </w:p>
        </w:tc>
        <w:tc>
          <w:tcPr>
            <w:tcW w:w="538"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noProof/>
              </w:rPr>
            </w:pPr>
            <w:r w:rsidRPr="00E344A0">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Legfeljebb 1280 kg menetkész tömegű N</w:t>
            </w:r>
            <w:r w:rsidRPr="00E344A0">
              <w:rPr>
                <w:b/>
                <w:i/>
                <w:sz w:val="22"/>
                <w:vertAlign w:val="subscript"/>
              </w:rPr>
              <w:t>1</w:t>
            </w:r>
            <w:r w:rsidRPr="00E344A0">
              <w:rPr>
                <w:b/>
                <w:i/>
                <w:sz w:val="22"/>
              </w:rPr>
              <w:t xml:space="preserve"> kategóriájú járművek esetében</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1280 kg-nál nagyobb, de legfeljebb 1735 kg menetkész tömegű N</w:t>
            </w:r>
            <w:r w:rsidRPr="00E344A0">
              <w:rPr>
                <w:b/>
                <w:i/>
                <w:sz w:val="22"/>
                <w:vertAlign w:val="subscript"/>
              </w:rPr>
              <w:t>1</w:t>
            </w:r>
            <w:r w:rsidRPr="00E344A0">
              <w:rPr>
                <w:b/>
                <w:i/>
                <w:sz w:val="22"/>
              </w:rPr>
              <w:t xml:space="preserve"> kategóriájú járművek esetében</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1735 kg-nál nagyobb menetkész tömegű N</w:t>
            </w:r>
            <w:r w:rsidRPr="00E344A0">
              <w:rPr>
                <w:b/>
                <w:i/>
                <w:sz w:val="22"/>
                <w:vertAlign w:val="subscript"/>
              </w:rPr>
              <w:t>1</w:t>
            </w:r>
            <w:r w:rsidRPr="00E344A0">
              <w:rPr>
                <w:b/>
                <w:i/>
                <w:sz w:val="22"/>
              </w:rPr>
              <w:t xml:space="preserve"> kategóriájú járművek esetében</w:t>
            </w:r>
          </w:p>
        </w:tc>
        <w:tc>
          <w:tcPr>
            <w:tcW w:w="595"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noProof/>
              </w:rPr>
            </w:pPr>
            <w:r w:rsidRPr="00E344A0">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Legfeljebb 1280 kg menetkész tömegű N1 kategóriájú járművek esetében</w:t>
            </w:r>
          </w:p>
        </w:tc>
        <w:tc>
          <w:tcPr>
            <w:tcW w:w="595"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noProof/>
              </w:rPr>
            </w:pPr>
            <w:r w:rsidRPr="00E344A0">
              <w:rPr>
                <w:b/>
                <w:i/>
                <w:sz w:val="22"/>
              </w:rPr>
              <w:t>1280 kg-nál nagyobb, de legfeljebb 1735 kg menetkész tömegű N1 kategóriájú járművek esetében</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1735 kg-nál nagyobb menetkész tömegű N</w:t>
            </w:r>
            <w:r w:rsidRPr="00E344A0">
              <w:rPr>
                <w:b/>
                <w:i/>
                <w:sz w:val="22"/>
                <w:vertAlign w:val="subscript"/>
              </w:rPr>
              <w:t>1</w:t>
            </w:r>
            <w:r w:rsidRPr="00E344A0">
              <w:rPr>
                <w:b/>
                <w:i/>
                <w:sz w:val="22"/>
              </w:rPr>
              <w:t xml:space="preserve"> kategóriájú járművek esetében</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Szennyezőanyag-kibocsátás</w:t>
            </w: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 xml:space="preserve">kilométerenként </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kilométerenként</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kilométerenként</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kilométerenként</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utanként</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sz w:val="22"/>
                <w:szCs w:val="22"/>
              </w:rPr>
            </w:pPr>
            <w:r w:rsidRPr="00E344A0">
              <w:rPr>
                <w:sz w:val="22"/>
              </w:rPr>
              <w:t>utanként</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utanként</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sz w:val="22"/>
                <w:szCs w:val="22"/>
              </w:rPr>
            </w:pPr>
            <w:r w:rsidRPr="00E344A0">
              <w:rPr>
                <w:sz w:val="22"/>
              </w:rPr>
              <w:t>utanként</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proofErr w:type="spellStart"/>
            <w:r w:rsidRPr="00E344A0">
              <w:t>NO</w:t>
            </w:r>
            <w:r w:rsidRPr="00E344A0">
              <w:rPr>
                <w:vertAlign w:val="subscript"/>
              </w:rPr>
              <w:t>x</w:t>
            </w:r>
            <w:proofErr w:type="spellEnd"/>
            <w:r w:rsidRPr="00E344A0">
              <w:t xml:space="preserve">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820</w:t>
            </w:r>
          </w:p>
        </w:tc>
      </w:tr>
      <w:tr w:rsidR="00FF715E" w:rsidRPr="00E344A0" w:rsidTr="00CD27F0">
        <w:trPr>
          <w:trHeight w:val="50"/>
        </w:trPr>
        <w:tc>
          <w:tcPr>
            <w:tcW w:w="62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PM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45</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PN</w:t>
            </w:r>
            <w:r w:rsidRPr="00E344A0">
              <w:rPr>
                <w:vertAlign w:val="subscript"/>
              </w:rPr>
              <w:t xml:space="preserve">10 </w:t>
            </w:r>
            <w:r w:rsidRPr="00E344A0">
              <w:t xml:space="preserve">(darabszám) </w:t>
            </w: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6×10</w:t>
            </w:r>
            <w:r w:rsidRPr="00E344A0">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6×10</w:t>
            </w:r>
            <w:r w:rsidRPr="00E344A0">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6×10</w:t>
            </w:r>
            <w:r w:rsidRPr="00E344A0">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6×10</w:t>
            </w:r>
            <w:r w:rsidRPr="00E344A0">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6×10</w:t>
            </w:r>
            <w:r w:rsidRPr="00E344A0">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6×10</w:t>
            </w:r>
            <w:r w:rsidRPr="00E344A0">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6×10</w:t>
            </w:r>
            <w:r w:rsidRPr="00E344A0">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6×10</w:t>
            </w:r>
            <w:r w:rsidRPr="00E344A0">
              <w:rPr>
                <w:b/>
                <w:i/>
                <w:sz w:val="22"/>
                <w:vertAlign w:val="superscript"/>
              </w:rPr>
              <w:t>12</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CO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7400</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THC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1600</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NMHC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1080</w:t>
            </w:r>
          </w:p>
        </w:tc>
      </w:tr>
      <w:tr w:rsidR="00FF715E" w:rsidRPr="00E344A0" w:rsidTr="00CD27F0">
        <w:tc>
          <w:tcPr>
            <w:tcW w:w="62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NH</w:t>
            </w:r>
            <w:r w:rsidRPr="00E344A0">
              <w:rPr>
                <w:vertAlign w:val="subscript"/>
              </w:rPr>
              <w:t>3</w:t>
            </w:r>
            <w:r w:rsidRPr="00E344A0">
              <w:t xml:space="preserve">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i/>
                <w:sz w:val="22"/>
                <w:szCs w:val="22"/>
              </w:rPr>
            </w:pPr>
            <w:r w:rsidRPr="00E344A0">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200</w:t>
            </w:r>
          </w:p>
        </w:tc>
        <w:tc>
          <w:tcPr>
            <w:tcW w:w="56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noProof/>
                <w:sz w:val="22"/>
              </w:rPr>
            </w:pPr>
            <w:r w:rsidRPr="00E344A0">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b/>
                <w:bCs/>
                <w:i/>
                <w:iCs/>
                <w:sz w:val="22"/>
                <w:szCs w:val="22"/>
              </w:rPr>
            </w:pPr>
            <w:r w:rsidRPr="00E344A0">
              <w:rPr>
                <w:b/>
                <w:i/>
                <w:sz w:val="22"/>
              </w:rPr>
              <w:t>200</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151</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 melléklet – 2 táblázat</w:t>
      </w:r>
    </w:p>
    <w:tbl>
      <w:tblPr>
        <w:tblStyle w:val="TableGrid"/>
        <w:tblW w:w="5000" w:type="pct"/>
        <w:tblLook w:val="04A0" w:firstRow="1" w:lastRow="0" w:firstColumn="1" w:lastColumn="0" w:noHBand="0" w:noVBand="1"/>
      </w:tblPr>
      <w:tblGrid>
        <w:gridCol w:w="1909"/>
        <w:gridCol w:w="1843"/>
        <w:gridCol w:w="1843"/>
        <w:gridCol w:w="1897"/>
        <w:gridCol w:w="1568"/>
      </w:tblGrid>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2. táblázat: A belső égésű motorral felszerelt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 xml:space="preserve">3 </w:t>
            </w:r>
            <w:r w:rsidRPr="00E344A0">
              <w:t>kategóriájú járművekre, valamint az ilyen járművekben használt belső égésű motorokra vonatkozó Euro 7 kibocsátási határértékek</w:t>
            </w:r>
          </w:p>
        </w:tc>
      </w:tr>
      <w:tr w:rsidR="00FF715E" w:rsidRPr="00E344A0" w:rsidTr="00CD27F0">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rPr>
                <w:noProof/>
              </w:rPr>
            </w:pPr>
            <w:r w:rsidRPr="00E344A0">
              <w:t>Szennyezőanyag-kibocsátás</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i/>
                <w:noProof/>
              </w:rPr>
            </w:pPr>
            <w:r w:rsidRPr="00E344A0">
              <w:rPr>
                <w:b/>
                <w:i/>
              </w:rPr>
              <w:t>Hideg kibocsátások</w:t>
            </w:r>
            <w:r w:rsidRPr="00E344A0">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Meleg kibocsátások</w:t>
            </w:r>
            <w:r w:rsidRPr="00E344A0">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A 3*WHTC-</w:t>
            </w:r>
            <w:proofErr w:type="spellStart"/>
            <w:r w:rsidRPr="00E344A0">
              <w:rPr>
                <w:b/>
                <w:i/>
              </w:rPr>
              <w:t>nél</w:t>
            </w:r>
            <w:proofErr w:type="spellEnd"/>
            <w:r w:rsidRPr="00E344A0">
              <w:rPr>
                <w:b/>
                <w:i/>
              </w:rPr>
              <w:t xml:space="preserve"> rövidebb utakra vonatkozó kibocsátási költségvetés</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Opcionális alapjárati kibocsátási határértékek</w:t>
            </w:r>
            <w:r w:rsidRPr="00E344A0">
              <w:rPr>
                <w:b/>
                <w:i/>
                <w:vertAlign w:val="superscript"/>
              </w:rPr>
              <w:t>3</w:t>
            </w:r>
          </w:p>
        </w:tc>
      </w:tr>
      <w:tr w:rsidR="00FF715E" w:rsidRPr="00E344A0" w:rsidTr="00CD27F0">
        <w:tc>
          <w:tcPr>
            <w:tcW w:w="0" w:type="auto"/>
            <w:vMerge/>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i/>
                <w:noProof/>
              </w:rPr>
            </w:pPr>
            <w:r w:rsidRPr="00E344A0">
              <w:rPr>
                <w:i/>
              </w:rPr>
              <w:t>kilowattóránként</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i/>
                <w:noProof/>
                <w:szCs w:val="24"/>
              </w:rPr>
            </w:pPr>
            <w:r w:rsidRPr="00E344A0">
              <w:rPr>
                <w:i/>
              </w:rPr>
              <w:t>kilowattóránként</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2"/>
              </w:rPr>
            </w:pPr>
            <w:r w:rsidRPr="00E344A0">
              <w:rPr>
                <w:b/>
                <w:i/>
              </w:rPr>
              <w:t>kilowattóránként</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óránként</w:t>
            </w:r>
          </w:p>
        </w:tc>
      </w:tr>
      <w:tr w:rsidR="00FF715E" w:rsidRPr="00E344A0" w:rsidTr="00CD27F0">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proofErr w:type="spellStart"/>
            <w:r w:rsidRPr="00E344A0">
              <w:lastRenderedPageBreak/>
              <w:t>NO</w:t>
            </w:r>
            <w:r w:rsidRPr="00E344A0">
              <w:rPr>
                <w:vertAlign w:val="subscript"/>
              </w:rPr>
              <w:t>x</w:t>
            </w:r>
            <w:proofErr w:type="spellEnd"/>
            <w:r w:rsidRPr="00E344A0">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b/>
                <w:i/>
                <w:noProof/>
              </w:rPr>
            </w:pPr>
            <w:r w:rsidRPr="00E344A0">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5000</w:t>
            </w:r>
          </w:p>
        </w:tc>
      </w:tr>
      <w:tr w:rsidR="00FF715E" w:rsidRPr="00E344A0" w:rsidTr="00CD27F0">
        <w:trPr>
          <w:trHeight w:val="50"/>
        </w:trPr>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PM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b/>
                <w:i/>
                <w:noProof/>
              </w:rPr>
            </w:pPr>
            <w:r w:rsidRPr="00E344A0">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8</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 xml:space="preserve"> </w:t>
            </w:r>
          </w:p>
        </w:tc>
      </w:tr>
      <w:tr w:rsidR="00FF715E" w:rsidRPr="00E344A0" w:rsidTr="00CD27F0">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PN</w:t>
            </w:r>
            <w:r w:rsidRPr="00E344A0">
              <w:rPr>
                <w:vertAlign w:val="subscript"/>
              </w:rPr>
              <w:t xml:space="preserve">10 </w:t>
            </w:r>
            <w:r w:rsidRPr="00E344A0">
              <w:t>(darabszám)</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b/>
                <w:i/>
                <w:noProof/>
              </w:rPr>
            </w:pPr>
            <w:r w:rsidRPr="00E344A0">
              <w:rPr>
                <w:b/>
                <w:i/>
              </w:rPr>
              <w:t>5x10</w:t>
            </w:r>
            <w:r w:rsidRPr="00E344A0">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2x10</w:t>
            </w:r>
            <w:r w:rsidRPr="00E344A0">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3x10</w:t>
            </w:r>
            <w:r w:rsidRPr="00E344A0">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 xml:space="preserve"> </w:t>
            </w:r>
          </w:p>
        </w:tc>
      </w:tr>
      <w:tr w:rsidR="00FF715E" w:rsidRPr="00E344A0" w:rsidTr="00CD27F0">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CO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b/>
                <w:i/>
                <w:noProof/>
              </w:rPr>
            </w:pPr>
            <w:r w:rsidRPr="00E344A0">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 xml:space="preserve"> </w:t>
            </w:r>
          </w:p>
        </w:tc>
      </w:tr>
      <w:tr w:rsidR="00FF715E" w:rsidRPr="00E344A0" w:rsidTr="00CD27F0">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NMOG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b/>
                <w:i/>
                <w:noProof/>
              </w:rPr>
            </w:pPr>
            <w:r w:rsidRPr="00E344A0">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 xml:space="preserve"> </w:t>
            </w:r>
          </w:p>
        </w:tc>
      </w:tr>
      <w:tr w:rsidR="00FF715E" w:rsidRPr="00E344A0" w:rsidTr="00CD27F0">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NH</w:t>
            </w:r>
            <w:r w:rsidRPr="00E344A0">
              <w:rPr>
                <w:vertAlign w:val="subscript"/>
              </w:rPr>
              <w:t>3</w:t>
            </w:r>
            <w:r w:rsidRPr="00E344A0">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b/>
                <w:i/>
                <w:noProof/>
              </w:rPr>
            </w:pPr>
            <w:r w:rsidRPr="00E344A0">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 xml:space="preserve"> </w:t>
            </w:r>
          </w:p>
        </w:tc>
      </w:tr>
      <w:tr w:rsidR="00FF715E" w:rsidRPr="00E344A0" w:rsidTr="00CD27F0">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CH</w:t>
            </w:r>
            <w:r w:rsidRPr="00E344A0">
              <w:rPr>
                <w:vertAlign w:val="subscript"/>
              </w:rPr>
              <w:t>4</w:t>
            </w:r>
            <w:r w:rsidRPr="00E344A0">
              <w:t xml:space="preserve">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t>500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 xml:space="preserve"> </w:t>
            </w:r>
          </w:p>
        </w:tc>
      </w:tr>
      <w:tr w:rsidR="00FF715E" w:rsidRPr="00E344A0" w:rsidTr="00CD27F0">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w:t>
            </w:r>
            <w:r w:rsidRPr="00E344A0">
              <w:rPr>
                <w:vertAlign w:val="subscript"/>
              </w:rPr>
              <w:t>2</w:t>
            </w:r>
            <w:r w:rsidRPr="00E344A0">
              <w:t>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spacing w:line="276" w:lineRule="auto"/>
              <w:jc w:val="center"/>
              <w:rPr>
                <w:noProof/>
              </w:rPr>
            </w:pPr>
            <w:r w:rsidRPr="00E344A0">
              <w:t>160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140</w:t>
            </w:r>
          </w:p>
        </w:tc>
        <w:tc>
          <w:tcPr>
            <w:tcW w:w="1083"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noProof/>
              </w:rPr>
            </w:pPr>
          </w:p>
        </w:tc>
      </w:tr>
      <w:tr w:rsidR="00FF715E" w:rsidRPr="00E344A0" w:rsidTr="00CD27F0">
        <w:tc>
          <w:tcPr>
            <w:tcW w:w="806"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HCHO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rPr>
            </w:pPr>
            <w:r w:rsidRPr="00E344A0">
              <w:t>30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 xml:space="preserve"> </w:t>
            </w:r>
          </w:p>
        </w:tc>
      </w:tr>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FootnoteText"/>
              <w:rPr>
                <w:b/>
                <w:i/>
                <w:lang w:val="hu-HU"/>
              </w:rPr>
            </w:pPr>
            <w:r w:rsidRPr="00E344A0">
              <w:rPr>
                <w:b/>
                <w:i/>
                <w:vertAlign w:val="superscript"/>
                <w:lang w:val="hu-HU"/>
              </w:rPr>
              <w:t>1</w:t>
            </w:r>
            <w:r w:rsidRPr="00E344A0">
              <w:rPr>
                <w:b/>
                <w:i/>
                <w:lang w:val="hu-HU"/>
              </w:rPr>
              <w:t xml:space="preserve"> A hideg kibocsátások a járművek esetében az 1 WHTC mozgóablakának 100. </w:t>
            </w:r>
            <w:proofErr w:type="spellStart"/>
            <w:r w:rsidRPr="00E344A0">
              <w:rPr>
                <w:b/>
                <w:i/>
                <w:lang w:val="hu-HU"/>
              </w:rPr>
              <w:t>percentilisét</w:t>
            </w:r>
            <w:proofErr w:type="spellEnd"/>
            <w:r w:rsidRPr="00E344A0">
              <w:rPr>
                <w:b/>
                <w:i/>
                <w:lang w:val="hu-HU"/>
              </w:rPr>
              <w:t xml:space="preserve">, míg motorok esetében a </w:t>
            </w:r>
            <w:proofErr w:type="spellStart"/>
            <w:r w:rsidRPr="00E344A0">
              <w:rPr>
                <w:b/>
                <w:i/>
                <w:lang w:val="hu-HU"/>
              </w:rPr>
              <w:t>WHTC</w:t>
            </w:r>
            <w:r w:rsidRPr="00E344A0">
              <w:rPr>
                <w:b/>
                <w:i/>
                <w:vertAlign w:val="subscript"/>
                <w:lang w:val="hu-HU"/>
              </w:rPr>
              <w:t>cold</w:t>
            </w:r>
            <w:proofErr w:type="spellEnd"/>
            <w:r w:rsidRPr="00E344A0">
              <w:rPr>
                <w:b/>
                <w:i/>
                <w:lang w:val="hu-HU"/>
              </w:rPr>
              <w:t xml:space="preserve"> értéket jelentik.</w:t>
            </w:r>
          </w:p>
          <w:p w:rsidR="00FF715E" w:rsidRPr="00E344A0" w:rsidRDefault="00FF715E" w:rsidP="00CD27F0">
            <w:pPr>
              <w:pStyle w:val="FootnoteText"/>
              <w:rPr>
                <w:b/>
                <w:i/>
                <w:lang w:val="hu-HU"/>
              </w:rPr>
            </w:pPr>
            <w:r w:rsidRPr="00E344A0">
              <w:rPr>
                <w:b/>
                <w:i/>
                <w:vertAlign w:val="superscript"/>
                <w:lang w:val="hu-HU"/>
              </w:rPr>
              <w:t>2</w:t>
            </w:r>
            <w:r w:rsidRPr="00E344A0">
              <w:rPr>
                <w:b/>
                <w:i/>
                <w:lang w:val="hu-HU"/>
              </w:rPr>
              <w:t xml:space="preserve"> A meleg kibocsátások a járművek esetében az 1 WHTC mozgóablakának 90. </w:t>
            </w:r>
            <w:proofErr w:type="spellStart"/>
            <w:r w:rsidRPr="00E344A0">
              <w:rPr>
                <w:b/>
                <w:i/>
                <w:lang w:val="hu-HU"/>
              </w:rPr>
              <w:t>percentilisét</w:t>
            </w:r>
            <w:proofErr w:type="spellEnd"/>
            <w:r w:rsidRPr="00E344A0">
              <w:rPr>
                <w:b/>
                <w:i/>
                <w:lang w:val="hu-HU"/>
              </w:rPr>
              <w:t xml:space="preserve">, míg motorok esetében a </w:t>
            </w:r>
            <w:proofErr w:type="spellStart"/>
            <w:r w:rsidRPr="00E344A0">
              <w:rPr>
                <w:b/>
                <w:i/>
                <w:lang w:val="hu-HU"/>
              </w:rPr>
              <w:t>WHTC</w:t>
            </w:r>
            <w:r w:rsidRPr="00E344A0">
              <w:rPr>
                <w:b/>
                <w:i/>
                <w:vertAlign w:val="subscript"/>
                <w:lang w:val="hu-HU"/>
              </w:rPr>
              <w:t>hot</w:t>
            </w:r>
            <w:proofErr w:type="spellEnd"/>
            <w:r w:rsidRPr="00E344A0">
              <w:rPr>
                <w:b/>
                <w:i/>
                <w:lang w:val="hu-HU"/>
              </w:rPr>
              <w:t xml:space="preserve"> értéket jelentik.</w:t>
            </w:r>
          </w:p>
          <w:p w:rsidR="00FF715E" w:rsidRPr="00E344A0" w:rsidRDefault="00FF715E" w:rsidP="00CD27F0">
            <w:pPr>
              <w:rPr>
                <w:b/>
                <w:i/>
                <w:noProof/>
              </w:rPr>
            </w:pPr>
            <w:r w:rsidRPr="00E344A0">
              <w:rPr>
                <w:b/>
                <w:i/>
                <w:vertAlign w:val="superscript"/>
              </w:rPr>
              <w:t>3</w:t>
            </w:r>
            <w:r w:rsidRPr="00E344A0">
              <w:rPr>
                <w:b/>
                <w:i/>
              </w:rPr>
              <w:t xml:space="preserve"> Csak akkor alkalmazandó, ha nincs olyan rendszer, amely 300 másodpercnyi alapjáraton való folyamatos üzemelés után automatikusan leállítja a motort</w:t>
            </w:r>
          </w:p>
        </w:tc>
      </w:tr>
    </w:tbl>
    <w:p w:rsidR="00FF715E" w:rsidRPr="00E344A0" w:rsidRDefault="00FF715E" w:rsidP="00FF715E">
      <w:pPr>
        <w:pStyle w:val="AmOrLang"/>
      </w:pPr>
    </w:p>
    <w:tbl>
      <w:tblPr>
        <w:tblStyle w:val="TableGrid"/>
        <w:tblW w:w="5000" w:type="pct"/>
        <w:tblLook w:val="04A0" w:firstRow="1" w:lastRow="0" w:firstColumn="1" w:lastColumn="0" w:noHBand="0" w:noVBand="1"/>
      </w:tblPr>
      <w:tblGrid>
        <w:gridCol w:w="1909"/>
        <w:gridCol w:w="3362"/>
        <w:gridCol w:w="3789"/>
      </w:tblGrid>
      <w:tr w:rsidR="00FF715E" w:rsidRPr="00E344A0" w:rsidTr="00CD27F0">
        <w:tc>
          <w:tcPr>
            <w:tcW w:w="4998" w:type="pct"/>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r>
      <w:tr w:rsidR="00FF715E" w:rsidRPr="00E344A0" w:rsidTr="00CD27F0">
        <w:tc>
          <w:tcPr>
            <w:tcW w:w="4998" w:type="pct"/>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2. táblázat: A belső égésű motorral felszerelt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járművekre, valamint az ilyen járművekben használt belső égésű motorokra vonatkozó Euro 7 kibocsátási határértékek</w:t>
            </w:r>
          </w:p>
        </w:tc>
      </w:tr>
      <w:tr w:rsidR="00FF715E" w:rsidRPr="00E344A0" w:rsidTr="00CD27F0">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rPr>
                <w:noProof/>
              </w:rPr>
            </w:pPr>
            <w:r w:rsidRPr="00E344A0">
              <w:t>Szennyezőanyag-kibocsátás</w:t>
            </w:r>
          </w:p>
        </w:tc>
        <w:tc>
          <w:tcPr>
            <w:tcW w:w="1886"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i/>
                <w:noProof/>
              </w:rPr>
            </w:pPr>
            <w:r w:rsidRPr="00E344A0">
              <w:rPr>
                <w:b/>
                <w:i/>
              </w:rPr>
              <w:t>WHSC (CI) és WHTC (CI és PI)</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rPr>
            </w:pPr>
            <w:r w:rsidRPr="00E344A0">
              <w:rPr>
                <w:b/>
                <w:i/>
                <w:iCs/>
              </w:rPr>
              <w:t>Valós vezetési feltételek melletti kibocsátás (RDE)</w:t>
            </w:r>
          </w:p>
        </w:tc>
      </w:tr>
      <w:tr w:rsidR="00FF715E" w:rsidRPr="00E344A0" w:rsidTr="00CD27F0">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i/>
                <w:noProof/>
              </w:rPr>
            </w:pPr>
            <w:r w:rsidRPr="00E344A0">
              <w:rPr>
                <w:i/>
              </w:rPr>
              <w:t>kilowattóránként</w:t>
            </w:r>
          </w:p>
        </w:tc>
        <w:tc>
          <w:tcPr>
            <w:tcW w:w="2121" w:type="pct"/>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i/>
                <w:noProof/>
                <w:szCs w:val="24"/>
              </w:rPr>
            </w:pPr>
            <w:r w:rsidRPr="00E344A0">
              <w:rPr>
                <w:i/>
              </w:rPr>
              <w:t>kilowattóránként</w:t>
            </w:r>
          </w:p>
        </w:tc>
      </w:tr>
      <w:tr w:rsidR="00FF715E" w:rsidRPr="00E344A0" w:rsidTr="00CD27F0">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proofErr w:type="spellStart"/>
            <w:r w:rsidRPr="00E344A0">
              <w:t>NO</w:t>
            </w:r>
            <w:r w:rsidRPr="00E344A0">
              <w:rPr>
                <w:vertAlign w:val="subscript"/>
              </w:rPr>
              <w:t>x</w:t>
            </w:r>
            <w:proofErr w:type="spellEnd"/>
            <w:r w:rsidRPr="00E344A0">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line="276" w:lineRule="auto"/>
              <w:jc w:val="center"/>
              <w:rPr>
                <w:b/>
                <w:i/>
                <w:noProof/>
              </w:rPr>
            </w:pPr>
            <w:r w:rsidRPr="00E344A0">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260</w:t>
            </w:r>
          </w:p>
        </w:tc>
      </w:tr>
      <w:tr w:rsidR="00FF715E" w:rsidRPr="00E344A0" w:rsidTr="00CD27F0">
        <w:trPr>
          <w:trHeight w:val="50"/>
        </w:trPr>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PM [mg]</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line="276" w:lineRule="auto"/>
              <w:jc w:val="center"/>
              <w:rPr>
                <w:b/>
                <w:i/>
                <w:noProof/>
              </w:rPr>
            </w:pPr>
            <w:r w:rsidRPr="00E344A0">
              <w:rPr>
                <w:b/>
                <w:i/>
              </w:rPr>
              <w:t>8</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10</w:t>
            </w:r>
          </w:p>
        </w:tc>
      </w:tr>
      <w:tr w:rsidR="00FF715E" w:rsidRPr="00E344A0" w:rsidTr="00CD27F0">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PN</w:t>
            </w:r>
            <w:r w:rsidRPr="00E344A0">
              <w:rPr>
                <w:vertAlign w:val="subscript"/>
              </w:rPr>
              <w:t xml:space="preserve">10 </w:t>
            </w:r>
            <w:r w:rsidRPr="00E344A0">
              <w:t>(darabszám)</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line="276" w:lineRule="auto"/>
              <w:jc w:val="center"/>
              <w:rPr>
                <w:b/>
                <w:i/>
                <w:noProof/>
              </w:rPr>
            </w:pPr>
            <w:r w:rsidRPr="00E344A0">
              <w:rPr>
                <w:b/>
                <w:i/>
              </w:rPr>
              <w:t>6x10</w:t>
            </w:r>
            <w:r w:rsidRPr="00E344A0">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7,8x10</w:t>
            </w:r>
            <w:r w:rsidRPr="00E344A0">
              <w:rPr>
                <w:b/>
                <w:i/>
                <w:vertAlign w:val="superscript"/>
              </w:rPr>
              <w:t>11</w:t>
            </w:r>
          </w:p>
        </w:tc>
      </w:tr>
      <w:tr w:rsidR="00FF715E" w:rsidRPr="00E344A0" w:rsidTr="00CD27F0">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CO [mg]</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line="276" w:lineRule="auto"/>
              <w:jc w:val="center"/>
              <w:rPr>
                <w:b/>
                <w:i/>
                <w:noProof/>
              </w:rPr>
            </w:pPr>
            <w:r w:rsidRPr="00E344A0">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1950</w:t>
            </w:r>
          </w:p>
        </w:tc>
      </w:tr>
      <w:tr w:rsidR="00FF715E" w:rsidRPr="00E344A0" w:rsidTr="00CD27F0">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NMOG [mg]</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line="276" w:lineRule="auto"/>
              <w:jc w:val="center"/>
              <w:rPr>
                <w:b/>
                <w:i/>
                <w:noProof/>
              </w:rPr>
            </w:pPr>
            <w:r w:rsidRPr="00E344A0">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98</w:t>
            </w:r>
          </w:p>
        </w:tc>
      </w:tr>
      <w:tr w:rsidR="00FF715E" w:rsidRPr="00E344A0" w:rsidTr="00CD27F0">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NH</w:t>
            </w:r>
            <w:r w:rsidRPr="00E344A0">
              <w:rPr>
                <w:vertAlign w:val="subscript"/>
              </w:rPr>
              <w:t>3</w:t>
            </w:r>
            <w:r w:rsidRPr="00E344A0">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line="276" w:lineRule="auto"/>
              <w:jc w:val="center"/>
              <w:rPr>
                <w:b/>
                <w:i/>
                <w:noProof/>
              </w:rPr>
            </w:pPr>
            <w:r w:rsidRPr="00E344A0">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78</w:t>
            </w:r>
          </w:p>
        </w:tc>
      </w:tr>
      <w:tr w:rsidR="00FF715E" w:rsidRPr="00E344A0" w:rsidTr="00CD27F0">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CH</w:t>
            </w:r>
            <w:r w:rsidRPr="00E344A0">
              <w:rPr>
                <w:vertAlign w:val="subscript"/>
              </w:rPr>
              <w:t>4</w:t>
            </w:r>
            <w:r w:rsidRPr="00E344A0">
              <w:t xml:space="preserve"> [mg]</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line="276" w:lineRule="auto"/>
              <w:jc w:val="center"/>
              <w:rPr>
                <w:noProof/>
              </w:rPr>
            </w:pPr>
            <w:r w:rsidRPr="00E344A0">
              <w:t>500</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650</w:t>
            </w:r>
          </w:p>
        </w:tc>
      </w:tr>
      <w:tr w:rsidR="00FF715E" w:rsidRPr="00E344A0" w:rsidTr="00CD27F0">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spacing w:line="276" w:lineRule="auto"/>
              <w:rPr>
                <w:noProof/>
              </w:rPr>
            </w:pPr>
            <w:r w:rsidRPr="00E344A0">
              <w:t>N</w:t>
            </w:r>
            <w:r w:rsidRPr="00E344A0">
              <w:rPr>
                <w:vertAlign w:val="subscript"/>
              </w:rPr>
              <w:t>2</w:t>
            </w:r>
            <w:r w:rsidRPr="00E344A0">
              <w:t>O [mg]</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line="276" w:lineRule="auto"/>
              <w:jc w:val="center"/>
              <w:rPr>
                <w:noProof/>
              </w:rPr>
            </w:pPr>
            <w:r w:rsidRPr="00E344A0">
              <w:t>160</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AA028B" w:rsidP="00CD27F0">
            <w:pPr>
              <w:jc w:val="center"/>
              <w:rPr>
                <w:b/>
                <w:i/>
                <w:noProof/>
              </w:rPr>
            </w:pPr>
            <w:r w:rsidRPr="00E344A0">
              <w:rPr>
                <w:b/>
                <w:i/>
              </w:rPr>
              <w:t>208</w:t>
            </w:r>
          </w:p>
        </w:tc>
      </w:tr>
      <w:tr w:rsidR="00FF715E" w:rsidRPr="00E344A0" w:rsidTr="00CD27F0">
        <w:tc>
          <w:tcPr>
            <w:tcW w:w="99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HCHO [mg]</w:t>
            </w:r>
          </w:p>
        </w:tc>
        <w:tc>
          <w:tcPr>
            <w:tcW w:w="1886"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jc w:val="center"/>
              <w:rPr>
                <w:noProof/>
              </w:rPr>
            </w:pPr>
            <w:r w:rsidRPr="00E344A0">
              <w:t>30</w:t>
            </w:r>
          </w:p>
        </w:tc>
        <w:tc>
          <w:tcPr>
            <w:tcW w:w="2121" w:type="pct"/>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rPr>
            </w:pPr>
            <w:r w:rsidRPr="00E344A0">
              <w:rPr>
                <w:b/>
                <w:i/>
              </w:rPr>
              <w:t>39</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152</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 melléklet – 4 táblázat – cím</w:t>
      </w:r>
    </w:p>
    <w:tbl>
      <w:tblPr>
        <w:tblStyle w:val="TableGrid"/>
        <w:tblW w:w="0" w:type="auto"/>
        <w:tblLook w:val="04A0" w:firstRow="1" w:lastRow="0" w:firstColumn="1" w:lastColumn="0" w:noHBand="0" w:noVBand="1"/>
      </w:tblPr>
      <w:tblGrid>
        <w:gridCol w:w="4539"/>
        <w:gridCol w:w="4521"/>
      </w:tblGrid>
      <w:tr w:rsidR="00FF715E" w:rsidRPr="00E344A0" w:rsidTr="00CD27F0">
        <w:tc>
          <w:tcPr>
            <w:tcW w:w="4539" w:type="dxa"/>
          </w:tcPr>
          <w:p w:rsidR="00FF715E" w:rsidRPr="00E344A0" w:rsidRDefault="00FF715E" w:rsidP="00CD27F0">
            <w:pPr>
              <w:jc w:val="center"/>
              <w:rPr>
                <w:i/>
                <w:noProof/>
              </w:rPr>
            </w:pPr>
            <w:r w:rsidRPr="00E344A0">
              <w:rPr>
                <w:i/>
              </w:rPr>
              <w:t>A Bizottság által javasolt szöveg</w:t>
            </w:r>
          </w:p>
        </w:tc>
        <w:tc>
          <w:tcPr>
            <w:tcW w:w="4521" w:type="dxa"/>
          </w:tcPr>
          <w:p w:rsidR="00FF715E" w:rsidRPr="00E344A0" w:rsidRDefault="00FF715E" w:rsidP="00CD27F0">
            <w:pPr>
              <w:jc w:val="center"/>
              <w:rPr>
                <w:i/>
                <w:noProof/>
              </w:rPr>
            </w:pPr>
            <w:r w:rsidRPr="00E344A0">
              <w:rPr>
                <w:i/>
              </w:rPr>
              <w:t>Módosítás</w:t>
            </w:r>
          </w:p>
        </w:tc>
      </w:tr>
      <w:tr w:rsidR="00FF715E" w:rsidRPr="00E344A0" w:rsidTr="00CD27F0">
        <w:trPr>
          <w:trHeight w:val="888"/>
        </w:trPr>
        <w:tc>
          <w:tcPr>
            <w:tcW w:w="4539" w:type="dxa"/>
          </w:tcPr>
          <w:p w:rsidR="00FF715E" w:rsidRPr="00E344A0" w:rsidRDefault="00FF715E" w:rsidP="00CD27F0">
            <w:r w:rsidRPr="00E344A0">
              <w:t>A 2034.12.31-ig hatályos, normál menetciklusra vonatkozó Euro 7 fékrészecske-kibocsátási határértékek</w:t>
            </w:r>
          </w:p>
        </w:tc>
        <w:tc>
          <w:tcPr>
            <w:tcW w:w="4521" w:type="dxa"/>
          </w:tcPr>
          <w:p w:rsidR="00FF715E" w:rsidRPr="00E344A0" w:rsidRDefault="00FF715E" w:rsidP="00CD27F0">
            <w:r w:rsidRPr="00E344A0">
              <w:t xml:space="preserve">A </w:t>
            </w:r>
            <w:r w:rsidRPr="00E344A0">
              <w:rPr>
                <w:b/>
                <w:bCs/>
                <w:i/>
                <w:iCs/>
              </w:rPr>
              <w:t xml:space="preserve">belső égésű motorral felszerelt járművek tekintetében </w:t>
            </w:r>
            <w:r w:rsidRPr="00E344A0">
              <w:t>2034.12.31-ig hatályos, normál menetciklusra vonatkozó Euro 7 fékrészecske-kibocsátási határértékek</w:t>
            </w:r>
          </w:p>
        </w:tc>
      </w:tr>
    </w:tbl>
    <w:p w:rsidR="00FF715E" w:rsidRPr="00E344A0" w:rsidRDefault="00FF715E" w:rsidP="00FF715E"/>
    <w:p w:rsidR="00FF715E" w:rsidRPr="00E344A0" w:rsidRDefault="00FF715E" w:rsidP="00FF715E">
      <w:pPr>
        <w:pStyle w:val="AmNumberTabs"/>
        <w:keepNext/>
      </w:pPr>
      <w:r w:rsidRPr="00E344A0">
        <w:lastRenderedPageBreak/>
        <w:t>Módosítás</w:t>
      </w:r>
      <w:r w:rsidRPr="00E344A0">
        <w:tab/>
      </w:r>
      <w:r w:rsidRPr="00E344A0">
        <w:tab/>
        <w:t>153</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II melléklet – 4 a táblázat (új)</w:t>
      </w:r>
    </w:p>
    <w:tbl>
      <w:tblPr>
        <w:tblStyle w:val="TableGrid"/>
        <w:tblW w:w="5000" w:type="pct"/>
        <w:tblLook w:val="04A0" w:firstRow="1" w:lastRow="0" w:firstColumn="1" w:lastColumn="0" w:noHBand="0" w:noVBand="1"/>
      </w:tblPr>
      <w:tblGrid>
        <w:gridCol w:w="9060"/>
      </w:tblGrid>
      <w:tr w:rsidR="00FF715E" w:rsidRPr="00E344A0" w:rsidTr="00CD27F0">
        <w:tc>
          <w:tcPr>
            <w:tcW w:w="4998"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8"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r>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rPr>
                <w:b/>
                <w:i/>
              </w:rPr>
              <w:t>4a. táblázat: A tisztán elektromos járművek, az üzemanyagcellás járművek és a hibrid elektromos járművek normál menetciklusára vonatkozó, 2029.12.31-ig hatályos Euro 7 fékrészecske-kibocsátási határértékek</w:t>
            </w:r>
            <w:r w:rsidRPr="00E344A0">
              <w:rPr>
                <w:i/>
              </w:rPr>
              <w:t xml:space="preserve"> </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TableParagraph"/>
              <w:kinsoku w:val="0"/>
              <w:overflowPunct w:val="0"/>
              <w:spacing w:before="119"/>
              <w:ind w:left="107"/>
              <w:jc w:val="center"/>
              <w:rPr>
                <w:b/>
                <w:bCs/>
                <w:i/>
                <w:spacing w:val="-2"/>
                <w:sz w:val="24"/>
                <w:szCs w:val="24"/>
                <w:lang w:val="hu-HU"/>
              </w:rPr>
            </w:pPr>
            <w:r w:rsidRPr="00E344A0">
              <w:rPr>
                <w:b/>
                <w:i/>
                <w:sz w:val="24"/>
                <w:lang w:val="hu-HU"/>
              </w:rPr>
              <w:t>Kibocsátási határértékek, mg/km/jármű</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TableParagraph"/>
              <w:kinsoku w:val="0"/>
              <w:overflowPunct w:val="0"/>
              <w:spacing w:before="118"/>
              <w:ind w:left="108"/>
              <w:jc w:val="center"/>
              <w:rPr>
                <w:b/>
                <w:bCs/>
                <w:i/>
                <w:spacing w:val="-2"/>
                <w:position w:val="1"/>
                <w:sz w:val="24"/>
                <w:szCs w:val="24"/>
                <w:lang w:val="hu-HU"/>
              </w:rPr>
            </w:pPr>
            <w:r w:rsidRPr="00E344A0">
              <w:rPr>
                <w:b/>
                <w:i/>
                <w:sz w:val="24"/>
                <w:lang w:val="hu-HU"/>
              </w:rPr>
              <w:t>M</w:t>
            </w:r>
            <w:r w:rsidRPr="00E344A0">
              <w:rPr>
                <w:b/>
                <w:i/>
                <w:sz w:val="24"/>
                <w:vertAlign w:val="subscript"/>
                <w:lang w:val="hu-HU"/>
              </w:rPr>
              <w:t>1</w:t>
            </w:r>
            <w:r w:rsidRPr="00E344A0">
              <w:rPr>
                <w:b/>
                <w:i/>
                <w:sz w:val="24"/>
                <w:lang w:val="hu-HU"/>
              </w:rPr>
              <w:t>, N</w:t>
            </w:r>
            <w:r w:rsidRPr="00E344A0">
              <w:rPr>
                <w:b/>
                <w:i/>
                <w:sz w:val="24"/>
                <w:vertAlign w:val="subscript"/>
                <w:lang w:val="hu-HU"/>
              </w:rPr>
              <w:t>1</w:t>
            </w:r>
            <w:r w:rsidRPr="00E344A0">
              <w:rPr>
                <w:b/>
                <w:i/>
                <w:sz w:val="24"/>
                <w:lang w:val="hu-HU"/>
              </w:rPr>
              <w:t xml:space="preserve"> kategóriájú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TableParagraph"/>
              <w:kinsoku w:val="0"/>
              <w:overflowPunct w:val="0"/>
              <w:spacing w:before="118"/>
              <w:jc w:val="center"/>
              <w:rPr>
                <w:b/>
                <w:bCs/>
                <w:i/>
                <w:spacing w:val="-2"/>
                <w:position w:val="1"/>
                <w:sz w:val="24"/>
                <w:szCs w:val="24"/>
                <w:lang w:val="hu-HU"/>
              </w:rPr>
            </w:pPr>
            <w:r w:rsidRPr="00E344A0">
              <w:rPr>
                <w:b/>
                <w:i/>
                <w:sz w:val="24"/>
                <w:lang w:val="hu-HU"/>
              </w:rPr>
              <w:t>M</w:t>
            </w:r>
            <w:r w:rsidRPr="00E344A0">
              <w:rPr>
                <w:b/>
                <w:i/>
                <w:sz w:val="24"/>
                <w:vertAlign w:val="subscript"/>
                <w:lang w:val="hu-HU"/>
              </w:rPr>
              <w:t>2</w:t>
            </w:r>
            <w:r w:rsidRPr="00E344A0">
              <w:rPr>
                <w:b/>
                <w:i/>
                <w:sz w:val="24"/>
                <w:lang w:val="hu-HU"/>
              </w:rPr>
              <w:t>, M</w:t>
            </w:r>
            <w:r w:rsidRPr="00E344A0">
              <w:rPr>
                <w:b/>
                <w:i/>
                <w:sz w:val="24"/>
                <w:vertAlign w:val="subscript"/>
                <w:lang w:val="hu-HU"/>
              </w:rPr>
              <w:t>3</w:t>
            </w:r>
            <w:r w:rsidRPr="00E344A0">
              <w:rPr>
                <w:b/>
                <w:i/>
                <w:sz w:val="24"/>
                <w:lang w:val="hu-HU"/>
              </w:rPr>
              <w:t xml:space="preserve"> kategóriájú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TableParagraph"/>
              <w:kinsoku w:val="0"/>
              <w:overflowPunct w:val="0"/>
              <w:spacing w:before="118"/>
              <w:jc w:val="center"/>
              <w:rPr>
                <w:b/>
                <w:bCs/>
                <w:i/>
                <w:spacing w:val="-2"/>
                <w:position w:val="1"/>
                <w:sz w:val="24"/>
                <w:szCs w:val="24"/>
                <w:lang w:val="hu-HU"/>
              </w:rPr>
            </w:pPr>
            <w:r w:rsidRPr="00E344A0">
              <w:rPr>
                <w:b/>
                <w:i/>
                <w:sz w:val="24"/>
                <w:lang w:val="hu-HU"/>
              </w:rPr>
              <w:t>N</w:t>
            </w:r>
            <w:r w:rsidRPr="00E344A0">
              <w:rPr>
                <w:b/>
                <w:i/>
                <w:sz w:val="24"/>
                <w:vertAlign w:val="subscript"/>
                <w:lang w:val="hu-HU"/>
              </w:rPr>
              <w:t>2</w:t>
            </w:r>
            <w:r w:rsidRPr="00E344A0">
              <w:rPr>
                <w:b/>
                <w:i/>
                <w:sz w:val="24"/>
                <w:lang w:val="hu-HU"/>
              </w:rPr>
              <w:t>, N</w:t>
            </w:r>
            <w:r w:rsidRPr="00E344A0">
              <w:rPr>
                <w:b/>
                <w:i/>
                <w:sz w:val="24"/>
                <w:vertAlign w:val="subscript"/>
                <w:lang w:val="hu-HU"/>
              </w:rPr>
              <w:t>3</w:t>
            </w:r>
            <w:r w:rsidRPr="00E344A0">
              <w:rPr>
                <w:b/>
                <w:i/>
                <w:sz w:val="24"/>
                <w:lang w:val="hu-HU"/>
              </w:rPr>
              <w:t xml:space="preserve"> kategóriájú járművek</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szCs w:val="24"/>
              </w:rPr>
            </w:pPr>
            <w:r w:rsidRPr="00E344A0">
              <w:rPr>
                <w:b/>
                <w:i/>
              </w:rPr>
              <w:t>Fékrészecske-kibocsátások (PM</w:t>
            </w:r>
            <w:r w:rsidRPr="00E344A0">
              <w:rPr>
                <w:b/>
                <w:i/>
                <w:vertAlign w:val="subscript"/>
              </w:rPr>
              <w:t>10</w:t>
            </w:r>
            <w:r w:rsidRPr="00E344A0">
              <w:rPr>
                <w:b/>
                <w:i/>
              </w:rPr>
              <w:t>)</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szCs w:val="24"/>
              </w:rPr>
            </w:pPr>
            <w:r w:rsidRPr="00E344A0">
              <w:rPr>
                <w:b/>
                <w:i/>
              </w:rPr>
              <w:t>3</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szCs w:val="24"/>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Default"/>
              <w:jc w:val="center"/>
              <w:rPr>
                <w:b/>
                <w:bCs/>
                <w:i/>
                <w:color w:val="auto"/>
                <w:lang w:val="hu-HU"/>
              </w:rPr>
            </w:pPr>
            <w:r w:rsidRPr="00E344A0">
              <w:rPr>
                <w:b/>
                <w:i/>
                <w:color w:val="auto"/>
                <w:lang w:val="hu-HU"/>
              </w:rPr>
              <w:t>Fékrészecske-kibocsátások (PN)</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Default"/>
              <w:jc w:val="center"/>
              <w:rPr>
                <w:b/>
                <w:bCs/>
                <w:i/>
                <w:color w:val="auto"/>
                <w:lang w:val="hu-HU"/>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Default"/>
              <w:jc w:val="center"/>
              <w:rPr>
                <w:b/>
                <w:bCs/>
                <w:i/>
                <w:color w:val="auto"/>
                <w:lang w:val="hu-HU"/>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Default"/>
              <w:jc w:val="center"/>
              <w:rPr>
                <w:b/>
                <w:bCs/>
                <w:i/>
                <w:color w:val="auto"/>
                <w:lang w:val="hu-HU"/>
              </w:rPr>
            </w:pP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154</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 melléklet – 4 b táblázat (új)</w:t>
      </w:r>
    </w:p>
    <w:tbl>
      <w:tblPr>
        <w:tblStyle w:val="TableGrid"/>
        <w:tblW w:w="5000" w:type="pct"/>
        <w:tblLook w:val="04A0" w:firstRow="1" w:lastRow="0" w:firstColumn="1" w:lastColumn="0" w:noHBand="0" w:noVBand="1"/>
      </w:tblPr>
      <w:tblGrid>
        <w:gridCol w:w="9060"/>
      </w:tblGrid>
      <w:tr w:rsidR="00FF715E" w:rsidRPr="00E344A0" w:rsidTr="00CD27F0">
        <w:tc>
          <w:tcPr>
            <w:tcW w:w="4998"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8"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r>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szCs w:val="24"/>
              </w:rPr>
            </w:pPr>
            <w:r w:rsidRPr="00E344A0">
              <w:rPr>
                <w:b/>
                <w:i/>
              </w:rPr>
              <w:t>4b. táblázat: A tisztán elektromos járművek, az üzemanyagcellás járművek és a hibrid elektromos járművek szabványos menetciklusára vonatkozó, 2030. január 1-jétől hatályos Euro 7 fékrészecske-kibocsátási határértékek</w:t>
            </w:r>
          </w:p>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TableParagraph"/>
              <w:kinsoku w:val="0"/>
              <w:overflowPunct w:val="0"/>
              <w:spacing w:before="119"/>
              <w:ind w:left="107"/>
              <w:jc w:val="center"/>
              <w:rPr>
                <w:b/>
                <w:bCs/>
                <w:i/>
                <w:spacing w:val="-2"/>
                <w:sz w:val="24"/>
                <w:szCs w:val="24"/>
                <w:lang w:val="hu-HU"/>
              </w:rPr>
            </w:pPr>
            <w:r w:rsidRPr="00E344A0">
              <w:rPr>
                <w:b/>
                <w:i/>
                <w:sz w:val="24"/>
                <w:lang w:val="hu-HU"/>
              </w:rPr>
              <w:t>Kibocsátási határértékek, mg/km/jármű</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TableParagraph"/>
              <w:kinsoku w:val="0"/>
              <w:overflowPunct w:val="0"/>
              <w:spacing w:before="118"/>
              <w:ind w:left="108"/>
              <w:jc w:val="center"/>
              <w:rPr>
                <w:b/>
                <w:bCs/>
                <w:i/>
                <w:spacing w:val="-2"/>
                <w:position w:val="1"/>
                <w:sz w:val="24"/>
                <w:szCs w:val="24"/>
                <w:lang w:val="hu-HU"/>
              </w:rPr>
            </w:pPr>
            <w:r w:rsidRPr="00E344A0">
              <w:rPr>
                <w:b/>
                <w:i/>
                <w:sz w:val="24"/>
                <w:lang w:val="hu-HU"/>
              </w:rPr>
              <w:t>M</w:t>
            </w:r>
            <w:r w:rsidRPr="00E344A0">
              <w:rPr>
                <w:b/>
                <w:i/>
                <w:sz w:val="24"/>
                <w:vertAlign w:val="subscript"/>
                <w:lang w:val="hu-HU"/>
              </w:rPr>
              <w:t>1</w:t>
            </w:r>
            <w:r w:rsidRPr="00E344A0">
              <w:rPr>
                <w:b/>
                <w:i/>
                <w:sz w:val="24"/>
                <w:lang w:val="hu-HU"/>
              </w:rPr>
              <w:t>, N</w:t>
            </w:r>
            <w:r w:rsidRPr="00E344A0">
              <w:rPr>
                <w:b/>
                <w:i/>
                <w:sz w:val="24"/>
                <w:vertAlign w:val="subscript"/>
                <w:lang w:val="hu-HU"/>
              </w:rPr>
              <w:t>1</w:t>
            </w:r>
            <w:r w:rsidRPr="00E344A0">
              <w:rPr>
                <w:b/>
                <w:i/>
                <w:sz w:val="24"/>
                <w:lang w:val="hu-HU"/>
              </w:rPr>
              <w:t xml:space="preserve"> kategóriájú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TableParagraph"/>
              <w:kinsoku w:val="0"/>
              <w:overflowPunct w:val="0"/>
              <w:spacing w:before="118"/>
              <w:jc w:val="center"/>
              <w:rPr>
                <w:b/>
                <w:bCs/>
                <w:i/>
                <w:spacing w:val="-2"/>
                <w:position w:val="1"/>
                <w:sz w:val="24"/>
                <w:szCs w:val="24"/>
                <w:lang w:val="hu-HU"/>
              </w:rPr>
            </w:pPr>
            <w:r w:rsidRPr="00E344A0">
              <w:rPr>
                <w:b/>
                <w:i/>
                <w:sz w:val="24"/>
                <w:lang w:val="hu-HU"/>
              </w:rPr>
              <w:t>M</w:t>
            </w:r>
            <w:r w:rsidRPr="00E344A0">
              <w:rPr>
                <w:b/>
                <w:i/>
                <w:sz w:val="24"/>
                <w:vertAlign w:val="subscript"/>
                <w:lang w:val="hu-HU"/>
              </w:rPr>
              <w:t>2</w:t>
            </w:r>
            <w:r w:rsidRPr="00E344A0">
              <w:rPr>
                <w:b/>
                <w:i/>
                <w:sz w:val="24"/>
                <w:lang w:val="hu-HU"/>
              </w:rPr>
              <w:t>, M</w:t>
            </w:r>
            <w:r w:rsidRPr="00E344A0">
              <w:rPr>
                <w:b/>
                <w:i/>
                <w:sz w:val="24"/>
                <w:vertAlign w:val="subscript"/>
                <w:lang w:val="hu-HU"/>
              </w:rPr>
              <w:t>3</w:t>
            </w:r>
            <w:r w:rsidRPr="00E344A0">
              <w:rPr>
                <w:b/>
                <w:i/>
                <w:sz w:val="24"/>
                <w:lang w:val="hu-HU"/>
              </w:rPr>
              <w:t xml:space="preserve"> kategóriájú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TableParagraph"/>
              <w:kinsoku w:val="0"/>
              <w:overflowPunct w:val="0"/>
              <w:spacing w:before="118"/>
              <w:jc w:val="center"/>
              <w:rPr>
                <w:b/>
                <w:bCs/>
                <w:i/>
                <w:spacing w:val="-2"/>
                <w:position w:val="1"/>
                <w:sz w:val="24"/>
                <w:szCs w:val="24"/>
                <w:lang w:val="hu-HU"/>
              </w:rPr>
            </w:pPr>
            <w:r w:rsidRPr="00E344A0">
              <w:rPr>
                <w:b/>
                <w:i/>
                <w:sz w:val="24"/>
                <w:lang w:val="hu-HU"/>
              </w:rPr>
              <w:t>N</w:t>
            </w:r>
            <w:r w:rsidRPr="00E344A0">
              <w:rPr>
                <w:b/>
                <w:i/>
                <w:sz w:val="24"/>
                <w:vertAlign w:val="subscript"/>
                <w:lang w:val="hu-HU"/>
              </w:rPr>
              <w:t>2</w:t>
            </w:r>
            <w:r w:rsidRPr="00E344A0">
              <w:rPr>
                <w:b/>
                <w:i/>
                <w:sz w:val="24"/>
                <w:lang w:val="hu-HU"/>
              </w:rPr>
              <w:t>, N</w:t>
            </w:r>
            <w:r w:rsidRPr="00E344A0">
              <w:rPr>
                <w:b/>
                <w:i/>
                <w:sz w:val="24"/>
                <w:vertAlign w:val="subscript"/>
                <w:lang w:val="hu-HU"/>
              </w:rPr>
              <w:t>3</w:t>
            </w:r>
            <w:r w:rsidRPr="00E344A0">
              <w:rPr>
                <w:b/>
                <w:i/>
                <w:sz w:val="24"/>
                <w:lang w:val="hu-HU"/>
              </w:rPr>
              <w:t xml:space="preserve"> kategóriájú járművek</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szCs w:val="24"/>
              </w:rPr>
            </w:pPr>
            <w:r w:rsidRPr="00E344A0">
              <w:rPr>
                <w:b/>
                <w:i/>
              </w:rPr>
              <w:t>Fékrészecske-kibocsátások (PM</w:t>
            </w:r>
            <w:r w:rsidRPr="00E344A0">
              <w:rPr>
                <w:b/>
                <w:i/>
                <w:vertAlign w:val="subscript"/>
              </w:rPr>
              <w:t>10</w:t>
            </w:r>
            <w:r w:rsidRPr="00E344A0">
              <w:rPr>
                <w:b/>
                <w:i/>
              </w:rPr>
              <w:t>)</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b/>
                <w:i/>
                <w:szCs w:val="24"/>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Default"/>
              <w:jc w:val="center"/>
              <w:rPr>
                <w:b/>
                <w:bCs/>
                <w:i/>
                <w:color w:val="auto"/>
                <w:lang w:val="hu-HU"/>
              </w:rPr>
            </w:pPr>
            <w:r w:rsidRPr="00E344A0">
              <w:rPr>
                <w:b/>
                <w:i/>
                <w:color w:val="auto"/>
                <w:lang w:val="hu-HU"/>
              </w:rPr>
              <w:t>Fékrészecske-kibocsátások (PN)</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Default"/>
              <w:jc w:val="center"/>
              <w:rPr>
                <w:b/>
                <w:bCs/>
                <w:i/>
                <w:color w:val="auto"/>
                <w:lang w:val="hu-HU"/>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Default"/>
              <w:jc w:val="center"/>
              <w:rPr>
                <w:b/>
                <w:bCs/>
                <w:i/>
                <w:color w:val="auto"/>
                <w:lang w:val="hu-HU"/>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pStyle w:val="Default"/>
              <w:jc w:val="center"/>
              <w:rPr>
                <w:b/>
                <w:bCs/>
                <w:i/>
                <w:color w:val="auto"/>
                <w:lang w:val="hu-HU"/>
              </w:rPr>
            </w:pP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155</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 melléklet – 5 táblázat</w:t>
      </w:r>
    </w:p>
    <w:tbl>
      <w:tblPr>
        <w:tblStyle w:val="TableGrid"/>
        <w:tblW w:w="5000" w:type="pct"/>
        <w:tblLook w:val="04A0" w:firstRow="1" w:lastRow="0" w:firstColumn="1" w:lastColumn="0" w:noHBand="0" w:noVBand="1"/>
      </w:tblPr>
      <w:tblGrid>
        <w:gridCol w:w="2264"/>
        <w:gridCol w:w="2264"/>
        <w:gridCol w:w="2263"/>
        <w:gridCol w:w="2269"/>
      </w:tblGrid>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i/>
                <w:noProof/>
              </w:rPr>
            </w:pPr>
            <w:r w:rsidRPr="00E344A0">
              <w:lastRenderedPageBreak/>
              <w:t xml:space="preserve">5. táblázat: </w:t>
            </w:r>
            <w:r w:rsidRPr="00E344A0">
              <w:rPr>
                <w:b/>
                <w:bCs/>
                <w:i/>
                <w:iCs/>
              </w:rPr>
              <w:t>A</w:t>
            </w:r>
            <w:r w:rsidRPr="00E344A0">
              <w:t xml:space="preserve"> 2035.1.1-jétől hatályos Euro 7 fékrészecske-kibocsátási határértékek</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Kibocsátási határértékek, mg/km/jármű</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M</w:t>
            </w:r>
            <w:r w:rsidRPr="00E344A0">
              <w:rPr>
                <w:vertAlign w:val="subscript"/>
              </w:rPr>
              <w:t>1</w:t>
            </w:r>
            <w:r w:rsidRPr="00E344A0">
              <w:t>, N</w:t>
            </w:r>
            <w:r w:rsidRPr="00E344A0">
              <w:rPr>
                <w:vertAlign w:val="subscript"/>
              </w:rPr>
              <w:t>1</w:t>
            </w:r>
            <w:r w:rsidRPr="00E344A0">
              <w:t xml:space="preserve"> kategóriájú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M</w:t>
            </w:r>
            <w:r w:rsidRPr="00E344A0">
              <w:rPr>
                <w:vertAlign w:val="subscript"/>
              </w:rPr>
              <w:t>2</w:t>
            </w:r>
            <w:r w:rsidRPr="00E344A0">
              <w:t>, M</w:t>
            </w:r>
            <w:r w:rsidRPr="00E344A0">
              <w:rPr>
                <w:vertAlign w:val="subscript"/>
              </w:rPr>
              <w:t>3</w:t>
            </w:r>
            <w:r w:rsidRPr="00E344A0">
              <w:t xml:space="preserve"> kategóriájú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N</w:t>
            </w:r>
            <w:r w:rsidRPr="00E344A0">
              <w:rPr>
                <w:vertAlign w:val="subscript"/>
              </w:rPr>
              <w:t>2</w:t>
            </w:r>
            <w:r w:rsidRPr="00E344A0">
              <w:t>, N</w:t>
            </w:r>
            <w:r w:rsidRPr="00E344A0">
              <w:rPr>
                <w:vertAlign w:val="subscript"/>
              </w:rPr>
              <w:t>3</w:t>
            </w:r>
            <w:r w:rsidRPr="00E344A0">
              <w:t xml:space="preserve"> kategóriájú járművek</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Fékrészecske-kibocsátások (PM</w:t>
            </w:r>
            <w:r w:rsidRPr="00E344A0">
              <w:rPr>
                <w:vertAlign w:val="subscript"/>
              </w:rPr>
              <w:t>10</w:t>
            </w:r>
            <w:r w:rsidRPr="00E344A0">
              <w:t>)</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3</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Fékrészecske-kibocsátások (PN)</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r>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i/>
                <w:noProof/>
              </w:rPr>
            </w:pPr>
            <w:r w:rsidRPr="00E344A0">
              <w:t xml:space="preserve">5. táblázat: </w:t>
            </w:r>
            <w:r w:rsidRPr="00E344A0">
              <w:rPr>
                <w:b/>
                <w:bCs/>
                <w:i/>
                <w:iCs/>
              </w:rPr>
              <w:t>Valamennyi jármű normál menetciklusára vonatkozó,</w:t>
            </w:r>
            <w:r w:rsidRPr="00E344A0">
              <w:t xml:space="preserve"> 2035.1.1-jétől hatályos Euro 7 fékrészecske-kibocsátási határértékek</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Kibocsátási határértékek, mg/km/jármű</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M</w:t>
            </w:r>
            <w:r w:rsidRPr="00E344A0">
              <w:rPr>
                <w:vertAlign w:val="subscript"/>
              </w:rPr>
              <w:t>1</w:t>
            </w:r>
            <w:r w:rsidRPr="00E344A0">
              <w:t>, N</w:t>
            </w:r>
            <w:r w:rsidRPr="00E344A0">
              <w:rPr>
                <w:vertAlign w:val="subscript"/>
              </w:rPr>
              <w:t>1</w:t>
            </w:r>
            <w:r w:rsidRPr="00E344A0">
              <w:t xml:space="preserve"> kategóriájú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M</w:t>
            </w:r>
            <w:r w:rsidRPr="00E344A0">
              <w:rPr>
                <w:vertAlign w:val="subscript"/>
              </w:rPr>
              <w:t>2</w:t>
            </w:r>
            <w:r w:rsidRPr="00E344A0">
              <w:t>, M</w:t>
            </w:r>
            <w:r w:rsidRPr="00E344A0">
              <w:rPr>
                <w:vertAlign w:val="subscript"/>
              </w:rPr>
              <w:t>3</w:t>
            </w:r>
            <w:r w:rsidRPr="00E344A0">
              <w:t xml:space="preserve"> kategóriájú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N</w:t>
            </w:r>
            <w:r w:rsidRPr="00E344A0">
              <w:rPr>
                <w:vertAlign w:val="subscript"/>
              </w:rPr>
              <w:t>2</w:t>
            </w:r>
            <w:r w:rsidRPr="00E344A0">
              <w:t>, N</w:t>
            </w:r>
            <w:r w:rsidRPr="00E344A0">
              <w:rPr>
                <w:vertAlign w:val="subscript"/>
              </w:rPr>
              <w:t>3</w:t>
            </w:r>
            <w:r w:rsidRPr="00E344A0">
              <w:t xml:space="preserve"> kategóriájú járművek</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Fékrészecske-kibocsátások (PM</w:t>
            </w:r>
            <w:r w:rsidRPr="00E344A0">
              <w:rPr>
                <w:vertAlign w:val="subscript"/>
              </w:rPr>
              <w:t>10</w:t>
            </w:r>
            <w:r w:rsidRPr="00E344A0">
              <w:t>)</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Fékrészecske-kibocsátások (PN)</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156</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 melléklet – 6 táblázat</w:t>
      </w:r>
    </w:p>
    <w:tbl>
      <w:tblPr>
        <w:tblStyle w:val="TableGrid"/>
        <w:tblW w:w="5000" w:type="pct"/>
        <w:tblLook w:val="04A0" w:firstRow="1" w:lastRow="0" w:firstColumn="1" w:lastColumn="0" w:noHBand="0" w:noVBand="1"/>
      </w:tblPr>
      <w:tblGrid>
        <w:gridCol w:w="2264"/>
        <w:gridCol w:w="2264"/>
        <w:gridCol w:w="2263"/>
        <w:gridCol w:w="2269"/>
      </w:tblGrid>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6. táblázat: A gumiabroncsok </w:t>
            </w:r>
            <w:r w:rsidRPr="00E344A0">
              <w:rPr>
                <w:b/>
                <w:bCs/>
                <w:i/>
                <w:iCs/>
              </w:rPr>
              <w:t>kopási sebességére vonatkozó</w:t>
            </w:r>
            <w:r w:rsidRPr="00E344A0">
              <w:t xml:space="preserve"> Euro 7 </w:t>
            </w:r>
            <w:r w:rsidRPr="00E344A0">
              <w:rPr>
                <w:b/>
                <w:bCs/>
                <w:i/>
                <w:iCs/>
              </w:rPr>
              <w:t>határértékek</w:t>
            </w:r>
            <w:r w:rsidRPr="00E344A0">
              <w:t xml:space="preserve"> </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A gumiabroncs elveszett tömege [g/1000 km]</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 xml:space="preserve">C1 típusú gumiabroncsok </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 xml:space="preserve">C2 típusú gumiabroncsok </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C3 típusú gumiabroncsok</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Normál abroncsok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Téli gumiabroncsok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Speciális használatú gumiabroncsok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p>
        </w:tc>
      </w:tr>
    </w:tbl>
    <w:p w:rsidR="00FF715E" w:rsidRPr="00E344A0" w:rsidRDefault="00FF715E" w:rsidP="00FF715E">
      <w:pPr>
        <w:pStyle w:val="AmOrLang"/>
      </w:pPr>
    </w:p>
    <w:tbl>
      <w:tblPr>
        <w:tblStyle w:val="TableGrid"/>
        <w:tblW w:w="5000" w:type="pct"/>
        <w:tblLook w:val="04A0" w:firstRow="1" w:lastRow="0" w:firstColumn="1" w:lastColumn="0" w:noHBand="0" w:noVBand="1"/>
      </w:tblPr>
      <w:tblGrid>
        <w:gridCol w:w="1682"/>
        <w:gridCol w:w="1803"/>
        <w:gridCol w:w="2330"/>
        <w:gridCol w:w="1562"/>
        <w:gridCol w:w="1683"/>
      </w:tblGrid>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r>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6. táblázat: A gumiabroncsok </w:t>
            </w:r>
            <w:r w:rsidRPr="00E344A0">
              <w:rPr>
                <w:b/>
                <w:bCs/>
                <w:i/>
                <w:iCs/>
              </w:rPr>
              <w:t>kopásának</w:t>
            </w:r>
            <w:r w:rsidRPr="00E344A0">
              <w:t xml:space="preserve"> Euro 7 </w:t>
            </w:r>
            <w:r w:rsidRPr="00E344A0">
              <w:rPr>
                <w:b/>
                <w:bCs/>
                <w:i/>
                <w:iCs/>
              </w:rPr>
              <w:t>szerinti vizsgálati módszere, határértékei és végrehajtási ütemterve</w:t>
            </w:r>
            <w:r w:rsidRPr="00E344A0">
              <w:t xml:space="preserve"> </w:t>
            </w:r>
          </w:p>
        </w:tc>
      </w:tr>
      <w:tr w:rsidR="00FF715E" w:rsidRPr="00E344A0" w:rsidTr="00CD27F0">
        <w:tc>
          <w:tcPr>
            <w:tcW w:w="1000"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rPr>
                <w:b/>
                <w:i/>
              </w:rPr>
              <w:t>ENSZ-előírás száma</w:t>
            </w:r>
          </w:p>
        </w:tc>
        <w:tc>
          <w:tcPr>
            <w:tcW w:w="1000"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after="160"/>
              <w:rPr>
                <w:b/>
                <w:i/>
              </w:rPr>
            </w:pPr>
            <w:r w:rsidRPr="00E344A0">
              <w:rPr>
                <w:b/>
                <w:i/>
              </w:rPr>
              <w:t>Tárgy</w:t>
            </w:r>
          </w:p>
        </w:tc>
        <w:tc>
          <w:tcPr>
            <w:tcW w:w="1000"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after="160"/>
              <w:rPr>
                <w:b/>
                <w:i/>
              </w:rPr>
            </w:pPr>
            <w:r w:rsidRPr="00E344A0">
              <w:rPr>
                <w:b/>
                <w:i/>
              </w:rPr>
              <w:t>A HL-ben közzétett módosítássorozat</w:t>
            </w:r>
          </w:p>
        </w:tc>
        <w:tc>
          <w:tcPr>
            <w:tcW w:w="1000"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after="160" w:line="252" w:lineRule="auto"/>
              <w:rPr>
                <w:i/>
              </w:rPr>
            </w:pPr>
            <w:r w:rsidRPr="00E344A0">
              <w:rPr>
                <w:b/>
                <w:i/>
              </w:rPr>
              <w:t>HL-hivatkozás</w:t>
            </w:r>
            <w:r w:rsidRPr="00E344A0">
              <w:rPr>
                <w:i/>
              </w:rPr>
              <w:t> </w:t>
            </w:r>
          </w:p>
        </w:tc>
        <w:tc>
          <w:tcPr>
            <w:tcW w:w="1000"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spacing w:after="160" w:line="252" w:lineRule="auto"/>
              <w:rPr>
                <w:b/>
                <w:bCs/>
                <w:i/>
              </w:rPr>
            </w:pPr>
            <w:r w:rsidRPr="00E344A0">
              <w:rPr>
                <w:b/>
                <w:i/>
              </w:rPr>
              <w:t xml:space="preserve">A jelenlegi és jövőbeli ENSZ WP29-előírások által érintett terület </w:t>
            </w:r>
            <w:r w:rsidRPr="00E344A0">
              <w:rPr>
                <w:i/>
              </w:rPr>
              <w:t> </w:t>
            </w:r>
          </w:p>
        </w:tc>
      </w:tr>
      <w:tr w:rsidR="00FF715E" w:rsidRPr="00E344A0" w:rsidTr="00CD27F0">
        <w:tc>
          <w:tcPr>
            <w:tcW w:w="1000"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after="160"/>
              <w:rPr>
                <w:b/>
                <w:i/>
              </w:rPr>
            </w:pPr>
            <w:r w:rsidRPr="00E344A0">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after="160"/>
              <w:rPr>
                <w:b/>
                <w:i/>
              </w:rPr>
            </w:pPr>
            <w:r w:rsidRPr="00E344A0">
              <w:rPr>
                <w:b/>
                <w:i/>
              </w:rPr>
              <w:t xml:space="preserve">Gumiabroncsok </w:t>
            </w:r>
            <w:r w:rsidRPr="00E344A0">
              <w:rPr>
                <w:b/>
                <w:i/>
              </w:rPr>
              <w:lastRenderedPageBreak/>
              <w:t>a kopás tekintetében </w:t>
            </w:r>
          </w:p>
        </w:tc>
        <w:tc>
          <w:tcPr>
            <w:tcW w:w="1000"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after="160"/>
              <w:rPr>
                <w:b/>
                <w:i/>
              </w:rPr>
            </w:pPr>
            <w:r w:rsidRPr="00E344A0">
              <w:rPr>
                <w:b/>
                <w:i/>
              </w:rPr>
              <w:lastRenderedPageBreak/>
              <w:t>00. módosítássorozat </w:t>
            </w:r>
          </w:p>
        </w:tc>
        <w:tc>
          <w:tcPr>
            <w:tcW w:w="1000" w:type="pct"/>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spacing w:after="160"/>
              <w:rPr>
                <w:b/>
                <w:i/>
              </w:rPr>
            </w:pPr>
            <w:r w:rsidRPr="00E344A0">
              <w:rPr>
                <w:rStyle w:val="contentpasted0"/>
                <w:i/>
              </w:rPr>
              <w:t xml:space="preserve">HL L. xxx., </w:t>
            </w:r>
            <w:r w:rsidRPr="00E344A0">
              <w:rPr>
                <w:rStyle w:val="contentpasted0"/>
                <w:i/>
              </w:rPr>
              <w:lastRenderedPageBreak/>
              <w:t>20XX.xx.xx., x. o.</w:t>
            </w:r>
            <w:r w:rsidRPr="00E344A0">
              <w:rPr>
                <w:b/>
                <w:i/>
              </w:rPr>
              <w:t> </w:t>
            </w:r>
          </w:p>
        </w:tc>
        <w:tc>
          <w:tcPr>
            <w:tcW w:w="1000"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spacing w:after="160"/>
              <w:rPr>
                <w:rStyle w:val="contentpasted0"/>
              </w:rPr>
            </w:pPr>
            <w:r w:rsidRPr="00E344A0">
              <w:rPr>
                <w:b/>
                <w:i/>
              </w:rPr>
              <w:lastRenderedPageBreak/>
              <w:t>C1, C2*, C3*</w:t>
            </w:r>
          </w:p>
        </w:tc>
      </w:tr>
      <w:tr w:rsidR="00FF715E" w:rsidRPr="00E344A0" w:rsidTr="00CD27F0">
        <w:tc>
          <w:tcPr>
            <w:tcW w:w="4998" w:type="pct"/>
            <w:gridSpan w:val="5"/>
            <w:tcBorders>
              <w:top w:val="single" w:sz="4" w:space="0" w:color="auto"/>
              <w:left w:val="single" w:sz="4" w:space="0" w:color="auto"/>
              <w:bottom w:val="single" w:sz="4" w:space="0" w:color="auto"/>
              <w:right w:val="single" w:sz="4" w:space="0" w:color="auto"/>
            </w:tcBorders>
          </w:tcPr>
          <w:p w:rsidR="00FF715E" w:rsidRPr="00E344A0" w:rsidRDefault="00FF715E" w:rsidP="00CD27F0">
            <w:pPr>
              <w:spacing w:after="160"/>
              <w:rPr>
                <w:rFonts w:ascii="Calibri" w:eastAsia="Calibri" w:hAnsi="Calibri" w:cs="Calibri"/>
                <w:b/>
                <w:i/>
                <w:sz w:val="22"/>
                <w:szCs w:val="22"/>
              </w:rPr>
            </w:pPr>
            <w:r w:rsidRPr="00E344A0">
              <w:rPr>
                <w:b/>
                <w:i/>
              </w:rPr>
              <w:t xml:space="preserve">* A jövőben az Egyesült Nemzetek Szervezete (ENSZ) a megfelelő vizsgálati módszer és a határértékek kidolgozását </w:t>
            </w:r>
            <w:r w:rsidRPr="00E344A0">
              <w:rPr>
                <w:b/>
                <w:bCs/>
                <w:i/>
              </w:rPr>
              <w:t xml:space="preserve">ki fogja terjeszteni </w:t>
            </w:r>
            <w:r w:rsidRPr="00E344A0">
              <w:rPr>
                <w:b/>
                <w:i/>
              </w:rPr>
              <w:t>a C2 és C3 típusú gumiabroncsok kopási teljesítményének értékelésére.</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157</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II melléklet – 1 táblázat</w:t>
      </w:r>
    </w:p>
    <w:tbl>
      <w:tblPr>
        <w:tblStyle w:val="TableGrid"/>
        <w:tblW w:w="5000" w:type="pct"/>
        <w:tblLook w:val="04A0" w:firstRow="1" w:lastRow="0" w:firstColumn="1" w:lastColumn="0" w:noHBand="0" w:noVBand="1"/>
      </w:tblPr>
      <w:tblGrid>
        <w:gridCol w:w="2264"/>
        <w:gridCol w:w="2264"/>
        <w:gridCol w:w="2263"/>
        <w:gridCol w:w="2269"/>
      </w:tblGrid>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1. táblázat: Az akkumulátor tartósságára vonatkozó Euro 7 teljesítőképességi minimumkövetelmények (MPR) az M</w:t>
            </w:r>
            <w:r w:rsidRPr="00E344A0">
              <w:rPr>
                <w:vertAlign w:val="subscript"/>
              </w:rPr>
              <w:t>1</w:t>
            </w:r>
            <w:r w:rsidRPr="00E344A0">
              <w:t xml:space="preserve"> kategóriájú járművek esetében </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Akkumulátor-energián alapuló MPR</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élettartam kezdetétől 5 évig vagy 100 000 km-ig; amelyik előbb bekövetkezik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5 évnél idősebb vagy 100 000 km-nél nagyobb futásteljesítménnyel rendelkező járművektől a </w:t>
            </w:r>
            <w:r w:rsidRPr="00E344A0">
              <w:rPr>
                <w:b/>
                <w:bCs/>
                <w:i/>
                <w:iCs/>
              </w:rPr>
              <w:t>8</w:t>
            </w:r>
            <w:r w:rsidRPr="00E344A0">
              <w:t xml:space="preserve"> éves vagy </w:t>
            </w:r>
            <w:r w:rsidRPr="00E344A0">
              <w:rPr>
                <w:b/>
                <w:bCs/>
                <w:i/>
                <w:iCs/>
              </w:rPr>
              <w:t xml:space="preserve">160 000 </w:t>
            </w:r>
            <w:r w:rsidRPr="00E344A0">
              <w:t>km futásteljesítménnyel rendelkező (amelyik előbb bekövetkezik) járművekig</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Járművek a további élettartamuk alatt*</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Külső feltöltésű hibrid hajtású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80%</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Tisztán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80%</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70%</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tbl>
      <w:tblPr>
        <w:tblStyle w:val="TableGrid"/>
        <w:tblW w:w="5000" w:type="pct"/>
        <w:tblLook w:val="04A0" w:firstRow="1" w:lastRow="0" w:firstColumn="1" w:lastColumn="0" w:noHBand="0" w:noVBand="1"/>
      </w:tblPr>
      <w:tblGrid>
        <w:gridCol w:w="2265"/>
        <w:gridCol w:w="2265"/>
        <w:gridCol w:w="2265"/>
        <w:gridCol w:w="2265"/>
      </w:tblGrid>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Hatótávolságon alapuló MPR</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élettartam kezdetétől 5 évig vagy 100 000 km-ig; amelyik előbb bekövetkezik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5 évnél idősebb vagy 100 000 km-nél nagyobb futásteljesítménnyel rendelkező járművektől a </w:t>
            </w:r>
            <w:r w:rsidRPr="00E344A0">
              <w:rPr>
                <w:b/>
                <w:bCs/>
                <w:i/>
                <w:iCs/>
              </w:rPr>
              <w:t>8</w:t>
            </w:r>
            <w:r w:rsidRPr="00E344A0">
              <w:t xml:space="preserve"> éves vagy </w:t>
            </w:r>
            <w:r w:rsidRPr="00E344A0">
              <w:rPr>
                <w:b/>
                <w:bCs/>
                <w:i/>
                <w:iCs/>
              </w:rPr>
              <w:t>160 000</w:t>
            </w:r>
            <w:r w:rsidRPr="00E344A0">
              <w:t> km futásteljesítménnyel rendelkező (amelyik előbb bekövetkezik) járművekig</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Járművek a további élettartamuk alatt*</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Külső feltöltésű hibrid hajtású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Tisztán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lastRenderedPageBreak/>
              <w:t>Módosítás</w:t>
            </w:r>
          </w:p>
        </w:tc>
      </w:tr>
      <w:tr w:rsidR="00FF715E" w:rsidRPr="00E344A0" w:rsidTr="00CD27F0">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1. táblázat: Az akkumulátor tartósságára vonatkozó Euro 7 teljesítőképességi minimumkövetelmények (MPR) az M</w:t>
            </w:r>
            <w:r w:rsidRPr="00E344A0">
              <w:rPr>
                <w:vertAlign w:val="subscript"/>
              </w:rPr>
              <w:t>1</w:t>
            </w:r>
            <w:r w:rsidRPr="00E344A0">
              <w:t xml:space="preserve"> kategóriájú járművek esetében </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Akkumulátor-energián alapuló MPR</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élettartam kezdetétől 5 évig vagy 100 000 km-ig; amelyik előbb bekövetkezik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5 évnél idősebb vagy 100 000 km-nél nagyobb futásteljesítménnyel rendelkező járművektől a </w:t>
            </w:r>
            <w:r w:rsidRPr="00E344A0">
              <w:rPr>
                <w:b/>
                <w:bCs/>
                <w:i/>
                <w:iCs/>
              </w:rPr>
              <w:t>10</w:t>
            </w:r>
            <w:r w:rsidRPr="00E344A0">
              <w:t xml:space="preserve"> éves vagy </w:t>
            </w:r>
            <w:r w:rsidRPr="00E344A0">
              <w:rPr>
                <w:b/>
                <w:bCs/>
                <w:i/>
                <w:iCs/>
              </w:rPr>
              <w:t>200 000</w:t>
            </w:r>
            <w:r w:rsidRPr="00E344A0">
              <w:t> km futásteljesítménnyel rendelkező (amelyik előbb bekövetkezik) járművekig</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Járművek a további élettartamuk alatt*</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Külső feltöltésű hibrid hajtású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85%</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 xml:space="preserve">75% </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Tisztán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85%</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75%</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tbl>
      <w:tblPr>
        <w:tblStyle w:val="TableGrid"/>
        <w:tblW w:w="5000" w:type="pct"/>
        <w:tblLook w:val="04A0" w:firstRow="1" w:lastRow="0" w:firstColumn="1" w:lastColumn="0" w:noHBand="0" w:noVBand="1"/>
      </w:tblPr>
      <w:tblGrid>
        <w:gridCol w:w="2265"/>
        <w:gridCol w:w="2265"/>
        <w:gridCol w:w="2265"/>
        <w:gridCol w:w="2265"/>
      </w:tblGrid>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Hatótávolságon alapuló MPR</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élettartam kezdetétől 5 évig vagy 100 000 km-ig; amelyik előbb bekövetkezik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5 évnél idősebb vagy 100 000 km-nél nagyobb futásteljesítménnyel rendelkező járművektől a </w:t>
            </w:r>
            <w:r w:rsidRPr="00E344A0">
              <w:rPr>
                <w:b/>
                <w:bCs/>
                <w:i/>
                <w:iCs/>
              </w:rPr>
              <w:t>10</w:t>
            </w:r>
            <w:r w:rsidRPr="00E344A0">
              <w:t xml:space="preserve"> éves vagy </w:t>
            </w:r>
            <w:r w:rsidRPr="00E344A0">
              <w:rPr>
                <w:b/>
                <w:bCs/>
                <w:i/>
                <w:iCs/>
              </w:rPr>
              <w:t>200 000</w:t>
            </w:r>
            <w:r w:rsidRPr="00E344A0">
              <w:t> km futásteljesítménnyel rendelkező (amelyik előbb bekövetkezik) járművekig</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Járművek a további élettartamuk alatt*</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Külső feltöltésű hibrid hajtású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Tisztán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158</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II melléklet – 2 táblázat</w:t>
      </w:r>
    </w:p>
    <w:tbl>
      <w:tblPr>
        <w:tblStyle w:val="TableGrid"/>
        <w:tblW w:w="5001" w:type="pct"/>
        <w:tblLook w:val="04A0" w:firstRow="1" w:lastRow="0" w:firstColumn="1" w:lastColumn="0" w:noHBand="0" w:noVBand="1"/>
      </w:tblPr>
      <w:tblGrid>
        <w:gridCol w:w="2210"/>
        <w:gridCol w:w="2211"/>
        <w:gridCol w:w="2209"/>
        <w:gridCol w:w="2432"/>
      </w:tblGrid>
      <w:tr w:rsidR="00FF715E" w:rsidRPr="00E344A0" w:rsidTr="00CD27F0">
        <w:tc>
          <w:tcPr>
            <w:tcW w:w="4999"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9"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2. táblázat: Az akkumulátor tartósságára vonatkozó Euro 7 teljesítőképességi minimumkövetelmények (MPR) az N</w:t>
            </w:r>
            <w:r w:rsidRPr="00E344A0">
              <w:rPr>
                <w:vertAlign w:val="subscript"/>
              </w:rPr>
              <w:t>1</w:t>
            </w:r>
            <w:r w:rsidRPr="00E344A0">
              <w:t xml:space="preserve"> kategóriájú járművek esetében</w:t>
            </w:r>
          </w:p>
        </w:tc>
      </w:tr>
      <w:tr w:rsidR="00FF715E" w:rsidRPr="00E344A0" w:rsidTr="00CD27F0">
        <w:tc>
          <w:tcPr>
            <w:tcW w:w="121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Akkumulátor-energián alapuló MPR</w:t>
            </w:r>
          </w:p>
        </w:tc>
        <w:tc>
          <w:tcPr>
            <w:tcW w:w="1220"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élettartam kezdetétől 5 évig vagy 100 000 km-</w:t>
            </w:r>
            <w:r w:rsidRPr="00E344A0">
              <w:lastRenderedPageBreak/>
              <w:t>ig; amelyik előbb bekövetkezik</w:t>
            </w:r>
          </w:p>
        </w:tc>
        <w:tc>
          <w:tcPr>
            <w:tcW w:w="121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lastRenderedPageBreak/>
              <w:t xml:space="preserve">5 évnél idősebb vagy 100 000 km-nél nagyobb </w:t>
            </w:r>
            <w:r w:rsidRPr="00E344A0">
              <w:lastRenderedPageBreak/>
              <w:t xml:space="preserve">futásteljesítménnyel rendelkező járművektől a </w:t>
            </w:r>
            <w:r w:rsidRPr="00E344A0">
              <w:rPr>
                <w:b/>
                <w:bCs/>
                <w:i/>
                <w:iCs/>
              </w:rPr>
              <w:t>8</w:t>
            </w:r>
            <w:r w:rsidRPr="00E344A0">
              <w:t xml:space="preserve"> éves vagy </w:t>
            </w:r>
            <w:r w:rsidRPr="00E344A0">
              <w:rPr>
                <w:b/>
                <w:bCs/>
                <w:i/>
                <w:iCs/>
              </w:rPr>
              <w:t>160 000</w:t>
            </w:r>
            <w:r w:rsidRPr="00E344A0">
              <w:t> km futásteljesítménnyel rendelkező (amelyik előbb bekövetkezik) járművekig</w:t>
            </w:r>
          </w:p>
        </w:tc>
        <w:tc>
          <w:tcPr>
            <w:tcW w:w="1342"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lastRenderedPageBreak/>
              <w:t>Járművek a további élettartamuk alatt*</w:t>
            </w:r>
          </w:p>
        </w:tc>
      </w:tr>
      <w:tr w:rsidR="00FF715E" w:rsidRPr="00E344A0" w:rsidTr="00CD27F0">
        <w:tc>
          <w:tcPr>
            <w:tcW w:w="121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Külső feltöltésű hibrid hajtású elektromos járművek</w:t>
            </w:r>
          </w:p>
        </w:tc>
        <w:tc>
          <w:tcPr>
            <w:tcW w:w="1220"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75%</w:t>
            </w:r>
          </w:p>
        </w:tc>
        <w:tc>
          <w:tcPr>
            <w:tcW w:w="121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1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Tisztán elektromos járművek</w:t>
            </w:r>
          </w:p>
        </w:tc>
        <w:tc>
          <w:tcPr>
            <w:tcW w:w="1220"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75%</w:t>
            </w:r>
          </w:p>
        </w:tc>
        <w:tc>
          <w:tcPr>
            <w:tcW w:w="121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tbl>
      <w:tblPr>
        <w:tblStyle w:val="TableGrid"/>
        <w:tblW w:w="5000" w:type="pct"/>
        <w:tblLook w:val="04A0" w:firstRow="1" w:lastRow="0" w:firstColumn="1" w:lastColumn="0" w:noHBand="0" w:noVBand="1"/>
      </w:tblPr>
      <w:tblGrid>
        <w:gridCol w:w="2265"/>
        <w:gridCol w:w="2265"/>
        <w:gridCol w:w="2265"/>
        <w:gridCol w:w="2265"/>
      </w:tblGrid>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Hatótávolságon alapuló MPR</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élettartam kezdetétől 5 évig vagy 100 000 km-ig; amelyik előbb bekövetkezik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5 évnél idősebb vagy 100 000 km-nél nagyobb futásteljesítménnyel rendelkező járművektől a </w:t>
            </w:r>
            <w:r w:rsidRPr="00E344A0">
              <w:rPr>
                <w:b/>
                <w:bCs/>
                <w:i/>
                <w:iCs/>
              </w:rPr>
              <w:t>8</w:t>
            </w:r>
            <w:r w:rsidRPr="00E344A0">
              <w:t xml:space="preserve"> éves vagy </w:t>
            </w:r>
            <w:r w:rsidRPr="00E344A0">
              <w:rPr>
                <w:b/>
                <w:bCs/>
                <w:i/>
                <w:iCs/>
              </w:rPr>
              <w:t>160 000</w:t>
            </w:r>
            <w:r w:rsidRPr="00E344A0">
              <w:t> km futásteljesítménnyel rendelkező (amelyik előbb bekövetkezik) járművekig</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Járművek a további élettartamuk alatt*</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Külső feltöltésű hibrid hajtású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Tisztán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FF715E" w:rsidRPr="00E344A0" w:rsidTr="00CD27F0">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r>
      <w:tr w:rsidR="00FF715E" w:rsidRPr="00E344A0" w:rsidTr="00CD27F0">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2. táblázat: Az akkumulátor tartósságára vonatkozó Euro 7 teljesítőképességi minimumkövetelmények (MPR) az N</w:t>
            </w:r>
            <w:r w:rsidRPr="00E344A0">
              <w:rPr>
                <w:vertAlign w:val="subscript"/>
              </w:rPr>
              <w:t>1</w:t>
            </w:r>
            <w:r w:rsidRPr="00E344A0">
              <w:t xml:space="preserve"> kategóriájú járművek esetében</w:t>
            </w:r>
          </w:p>
        </w:tc>
      </w:tr>
      <w:tr w:rsidR="00FF715E" w:rsidRPr="00E344A0" w:rsidTr="00CD27F0">
        <w:trPr>
          <w:trHeight w:val="1698"/>
        </w:trPr>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Akkumulátor-energián alapuló MPR</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élettartam kezdetétől 5 évig vagy 100 000 km-ig; amelyik előbb bekövetkezik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5 évnél idősebb vagy 100 000 km-nél nagyobb futásteljesítménnyel rendelkező járművektől a </w:t>
            </w:r>
            <w:r w:rsidRPr="00E344A0">
              <w:rPr>
                <w:b/>
                <w:bCs/>
                <w:i/>
                <w:iCs/>
              </w:rPr>
              <w:t>10</w:t>
            </w:r>
            <w:r w:rsidRPr="00E344A0">
              <w:t xml:space="preserve"> éves vagy </w:t>
            </w:r>
            <w:r w:rsidRPr="00E344A0">
              <w:rPr>
                <w:b/>
                <w:bCs/>
                <w:i/>
                <w:iCs/>
              </w:rPr>
              <w:t>200 000</w:t>
            </w:r>
            <w:r w:rsidRPr="00E344A0">
              <w:t> km futásteljesítménnyel rendelkező (amelyik előbb bekövetkezik) járművekig</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Járművek a további élettartamuk alatt*</w:t>
            </w:r>
          </w:p>
        </w:tc>
      </w:tr>
      <w:tr w:rsidR="00FF715E" w:rsidRPr="00E344A0" w:rsidTr="00CD27F0">
        <w:trPr>
          <w:trHeight w:val="284"/>
        </w:trPr>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Külső feltöltésű </w:t>
            </w:r>
            <w:r w:rsidRPr="00E344A0">
              <w:lastRenderedPageBreak/>
              <w:t>hibrid hajtású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lastRenderedPageBreak/>
              <w:t>80%</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rPr>
          <w:trHeight w:val="291"/>
        </w:trPr>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Tisztán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80%</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i/>
                <w:noProof/>
              </w:rPr>
            </w:pPr>
            <w:r w:rsidRPr="00E344A0">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tbl>
      <w:tblPr>
        <w:tblStyle w:val="TableGrid"/>
        <w:tblW w:w="5000" w:type="pct"/>
        <w:tblLook w:val="04A0" w:firstRow="1" w:lastRow="0" w:firstColumn="1" w:lastColumn="0" w:noHBand="0" w:noVBand="1"/>
      </w:tblPr>
      <w:tblGrid>
        <w:gridCol w:w="2265"/>
        <w:gridCol w:w="2265"/>
        <w:gridCol w:w="2265"/>
        <w:gridCol w:w="2265"/>
      </w:tblGrid>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Hatótávolságon alapuló MPR</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élettartam kezdetétől 5 évig vagy 100 000 km-ig; amelyik előbb bekövetkezik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5 évnél idősebb vagy 100 000 km-nél nagyobb futásteljesítménnyel rendelkező járművektől a </w:t>
            </w:r>
            <w:r w:rsidRPr="00E344A0">
              <w:rPr>
                <w:b/>
                <w:bCs/>
                <w:i/>
                <w:iCs/>
              </w:rPr>
              <w:t>10</w:t>
            </w:r>
            <w:r w:rsidRPr="00E344A0">
              <w:t xml:space="preserve"> éves vagy </w:t>
            </w:r>
            <w:r w:rsidRPr="00E344A0">
              <w:rPr>
                <w:b/>
                <w:bCs/>
                <w:i/>
                <w:iCs/>
              </w:rPr>
              <w:t>200 000</w:t>
            </w:r>
            <w:r w:rsidRPr="00E344A0">
              <w:t> km futásteljesítménnyel rendelkező (amelyik előbb bekövetkezik) járművekig</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Járművek a további élettartamuk alatt*</w:t>
            </w: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Külső feltöltésű hibrid hajtású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r w:rsidR="00FF715E" w:rsidRPr="00E344A0" w:rsidTr="00CD27F0">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Tisztán elektromos járművek</w:t>
            </w: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249"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r>
      <w:bookmarkStart w:id="8" w:name="_GoBack"/>
      <w:r w:rsidRPr="00E344A0">
        <w:t>159</w:t>
      </w:r>
      <w:bookmarkEnd w:id="8"/>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III melléklet – 1 táblázat</w:t>
      </w:r>
    </w:p>
    <w:tbl>
      <w:tblPr>
        <w:tblStyle w:val="CV11"/>
        <w:tblW w:w="0" w:type="auto"/>
        <w:tblInd w:w="0" w:type="dxa"/>
        <w:tblLook w:val="04A0" w:firstRow="1" w:lastRow="0" w:firstColumn="1" w:lastColumn="0" w:noHBand="0" w:noVBand="1"/>
      </w:tblPr>
      <w:tblGrid>
        <w:gridCol w:w="2768"/>
        <w:gridCol w:w="2811"/>
        <w:gridCol w:w="3481"/>
      </w:tblGrid>
      <w:tr w:rsidR="00FF715E" w:rsidRPr="00E344A0" w:rsidTr="00CD27F0">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ind w:left="360"/>
              <w:jc w:val="center"/>
              <w:rPr>
                <w:i/>
                <w:noProof/>
              </w:rPr>
            </w:pPr>
            <w:r w:rsidRPr="00E344A0">
              <w:rPr>
                <w:i/>
              </w:rPr>
              <w:t>A Bizottság által javasolt szöveg</w:t>
            </w:r>
          </w:p>
        </w:tc>
      </w:tr>
      <w:tr w:rsidR="00FF715E" w:rsidRPr="00E344A0" w:rsidTr="00CD27F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szCs w:val="24"/>
              </w:rPr>
            </w:pPr>
            <w:r w:rsidRPr="00E344A0">
              <w:t>1. táblázat: A kibocsátási határértékeknek való megfelelés vizsgálatának feltételei az M</w:t>
            </w:r>
            <w:r w:rsidRPr="00E344A0">
              <w:rPr>
                <w:vertAlign w:val="subscript"/>
              </w:rPr>
              <w:t>1</w:t>
            </w:r>
            <w:r w:rsidRPr="00E344A0">
              <w:t>, N</w:t>
            </w:r>
            <w:r w:rsidRPr="00E344A0">
              <w:rPr>
                <w:vertAlign w:val="subscript"/>
              </w:rPr>
              <w:t>1</w:t>
            </w:r>
            <w:r w:rsidRPr="00E344A0">
              <w:t xml:space="preserve"> kategóriájú járművek esetében a jármű gyártója által kiadott specifikációknak megfelelő, kereskedelmi forgalomban kapható bármely üzem- és kenőanyag használata esetén</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kern w:val="24"/>
                <w:szCs w:val="24"/>
              </w:rPr>
            </w:pPr>
            <w:r w:rsidRPr="00E344A0">
              <w:t>Paraméter</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 xml:space="preserve">Szokásos vezetési feltételek </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Kiterjesztett vezetési feltételek</w:t>
            </w:r>
            <w:r w:rsidRPr="00E344A0">
              <w:rPr>
                <w:b/>
                <w:bCs/>
                <w:i/>
                <w:iCs/>
              </w:rPr>
              <w:t>*</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 xml:space="preserve">Kiterjesztett vezetési feltételek esetén alkalmazott osztó </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1.6 1,6 (csak akkor alkalmazandó a mért kibocsátásokra, amikor az ebben az oszlopban meghatározott feltételek valamelyike fennáll)</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Környezeti hőmérséklet</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 xml:space="preserve">0 °C–35 °C </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rPr>
                <w:b/>
                <w:bCs/>
                <w:i/>
                <w:iCs/>
              </w:rPr>
              <w:t>–10</w:t>
            </w:r>
            <w:r w:rsidRPr="00E344A0">
              <w:t> °C–0 °C vagy 35 °C–</w:t>
            </w:r>
            <w:r w:rsidRPr="00E344A0">
              <w:rPr>
                <w:b/>
                <w:bCs/>
                <w:i/>
                <w:iCs/>
              </w:rPr>
              <w:t>45</w:t>
            </w:r>
            <w:r w:rsidRPr="00E344A0">
              <w:t> °C</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kern w:val="24"/>
                <w:szCs w:val="24"/>
              </w:rPr>
            </w:pPr>
            <w:r w:rsidRPr="00E344A0">
              <w:t>Maximális tengerszint feletti magasság</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700 m</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 xml:space="preserve">700 m felett, de </w:t>
            </w:r>
            <w:r w:rsidRPr="00E344A0">
              <w:rPr>
                <w:b/>
                <w:bCs/>
                <w:i/>
                <w:iCs/>
              </w:rPr>
              <w:t>1 800</w:t>
            </w:r>
            <w:r w:rsidRPr="00E344A0">
              <w:t> m alatt</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Legnagyobb sebesség</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 xml:space="preserve">legfeljebb 145 km/h </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145 és 160 km/h között</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Vontatási/aerodinamikai módosítások</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57"/>
              <w:jc w:val="center"/>
              <w:rPr>
                <w:b/>
                <w:bCs/>
                <w:noProof/>
              </w:rPr>
            </w:pPr>
            <w:r w:rsidRPr="00E344A0">
              <w:t>Nem engedélyezett</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57"/>
              <w:jc w:val="center"/>
              <w:rPr>
                <w:b/>
                <w:bCs/>
                <w:noProof/>
              </w:rPr>
            </w:pPr>
            <w:r w:rsidRPr="00E344A0">
              <w:t>Megengedett a gyártó előírásai szerint és az előírt sebességig.</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kern w:val="24"/>
                <w:szCs w:val="24"/>
              </w:rPr>
            </w:pPr>
            <w:r w:rsidRPr="00E344A0">
              <w:t>Segédberendezések</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rFonts w:eastAsiaTheme="minorEastAsia"/>
                <w:noProof/>
                <w:kern w:val="24"/>
              </w:rPr>
            </w:pPr>
            <w:r w:rsidRPr="00E344A0">
              <w:t xml:space="preserve">A szokásos használatnak </w:t>
            </w:r>
            <w:r w:rsidRPr="00E344A0">
              <w:lastRenderedPageBreak/>
              <w:t>megfelelően használhatók</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rFonts w:eastAsiaTheme="minorEastAsia"/>
                <w:noProof/>
                <w:kern w:val="24"/>
              </w:rPr>
            </w:pPr>
            <w:r w:rsidRPr="00E344A0">
              <w:lastRenderedPageBreak/>
              <w:t>-</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Legnagyobb átlagos kerékteljesítmény a hidegindítást követő első 2 km-en</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kern w:val="24"/>
                <w:szCs w:val="24"/>
              </w:rPr>
            </w:pPr>
            <w:r w:rsidRPr="00E344A0">
              <w:t>A legnagyobb kerékteljesítmény 20 %-</w:t>
            </w:r>
            <w:proofErr w:type="spellStart"/>
            <w:r w:rsidRPr="00E344A0">
              <w:t>ánál</w:t>
            </w:r>
            <w:proofErr w:type="spellEnd"/>
            <w:r w:rsidRPr="00E344A0">
              <w:t xml:space="preserve"> kisebb</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kern w:val="24"/>
                <w:szCs w:val="24"/>
              </w:rPr>
            </w:pPr>
            <w:r w:rsidRPr="00E344A0">
              <w:t xml:space="preserve">A legnagyobb kerékteljesítmény </w:t>
            </w:r>
            <w:r w:rsidRPr="00E344A0">
              <w:rPr>
                <w:b/>
                <w:bCs/>
                <w:i/>
                <w:iCs/>
              </w:rPr>
              <w:t>20 %-</w:t>
            </w:r>
            <w:proofErr w:type="spellStart"/>
            <w:r w:rsidRPr="00E344A0">
              <w:rPr>
                <w:b/>
                <w:bCs/>
                <w:i/>
                <w:iCs/>
              </w:rPr>
              <w:t>ánál</w:t>
            </w:r>
            <w:proofErr w:type="spellEnd"/>
            <w:r w:rsidRPr="00E344A0">
              <w:rPr>
                <w:b/>
                <w:bCs/>
                <w:i/>
                <w:iCs/>
              </w:rPr>
              <w:t xml:space="preserve"> nagyobb</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szCs w:val="24"/>
              </w:rPr>
            </w:pPr>
            <w:r w:rsidRPr="00E344A0">
              <w:t>A vizsgálati út összetétele</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Cs/>
                <w:noProof/>
              </w:rPr>
            </w:pPr>
            <w:r w:rsidRPr="00E344A0">
              <w:t>Bármilyen</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i/>
                <w:noProof/>
              </w:rPr>
            </w:pPr>
            <w:r w:rsidRPr="00E344A0">
              <w:rPr>
                <w:b/>
                <w:i/>
              </w:rPr>
              <w:t>-</w:t>
            </w:r>
          </w:p>
        </w:tc>
      </w:tr>
      <w:tr w:rsidR="00FF715E" w:rsidRPr="00E344A0" w:rsidTr="00CD27F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kern w:val="24"/>
                <w:szCs w:val="24"/>
              </w:rPr>
            </w:pPr>
            <w:r w:rsidRPr="00E344A0">
              <w:t>Minimális futásteljesítmény</w:t>
            </w:r>
          </w:p>
        </w:tc>
        <w:tc>
          <w:tcPr>
            <w:tcW w:w="281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10 000 km</w:t>
            </w:r>
          </w:p>
        </w:tc>
        <w:tc>
          <w:tcPr>
            <w:tcW w:w="348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3 000–10 000 km</w:t>
            </w:r>
          </w:p>
        </w:tc>
      </w:tr>
      <w:tr w:rsidR="00FF715E" w:rsidRPr="00E344A0" w:rsidTr="00CD27F0">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rPr>
                <w:b/>
                <w:i/>
                <w:noProof/>
                <w:sz w:val="20"/>
              </w:rPr>
            </w:pPr>
            <w:r w:rsidRPr="00E344A0">
              <w:rPr>
                <w:b/>
                <w:i/>
                <w:sz w:val="20"/>
              </w:rPr>
              <w:t>* Ugyanezt a kibocsátáscsökkentési stratégiát kell alkalmazni, ha a járművet e feltételeken kívül üzemeltetik, kivéve, ha az ettől való eltérést a típusjóváhagyó hatóság által jóváhagyott műszaki ok indokolja.</w:t>
            </w:r>
          </w:p>
        </w:tc>
      </w:tr>
    </w:tbl>
    <w:p w:rsidR="00FF715E" w:rsidRPr="00E344A0" w:rsidRDefault="00FF715E" w:rsidP="00FF715E">
      <w:pPr>
        <w:pStyle w:val="AmOrLang"/>
      </w:pPr>
    </w:p>
    <w:tbl>
      <w:tblPr>
        <w:tblStyle w:val="CV11"/>
        <w:tblW w:w="0" w:type="auto"/>
        <w:tblInd w:w="0" w:type="dxa"/>
        <w:tblLook w:val="04A0" w:firstRow="1" w:lastRow="0" w:firstColumn="1" w:lastColumn="0" w:noHBand="0" w:noVBand="1"/>
      </w:tblPr>
      <w:tblGrid>
        <w:gridCol w:w="2763"/>
        <w:gridCol w:w="2832"/>
        <w:gridCol w:w="3465"/>
      </w:tblGrid>
      <w:tr w:rsidR="00FF715E" w:rsidRPr="00E344A0" w:rsidTr="00CD27F0">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FF715E" w:rsidRPr="00E344A0" w:rsidRDefault="00FF715E" w:rsidP="00CD27F0">
            <w:pPr>
              <w:ind w:left="360"/>
              <w:jc w:val="center"/>
              <w:rPr>
                <w:i/>
                <w:noProof/>
              </w:rPr>
            </w:pPr>
            <w:r w:rsidRPr="00E344A0">
              <w:rPr>
                <w:i/>
              </w:rPr>
              <w:t>Módosítás</w:t>
            </w:r>
          </w:p>
        </w:tc>
      </w:tr>
      <w:tr w:rsidR="00FF715E" w:rsidRPr="00E344A0" w:rsidTr="00CD27F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szCs w:val="24"/>
              </w:rPr>
            </w:pPr>
            <w:r w:rsidRPr="00E344A0">
              <w:t>1. táblázat: A kibocsátási határértékeknek való megfelelés vizsgálatának feltételei az M</w:t>
            </w:r>
            <w:r w:rsidRPr="00E344A0">
              <w:rPr>
                <w:vertAlign w:val="subscript"/>
              </w:rPr>
              <w:t>1</w:t>
            </w:r>
            <w:r w:rsidRPr="00E344A0">
              <w:t>, N</w:t>
            </w:r>
            <w:r w:rsidRPr="00E344A0">
              <w:rPr>
                <w:vertAlign w:val="subscript"/>
              </w:rPr>
              <w:t>1</w:t>
            </w:r>
            <w:r w:rsidRPr="00E344A0">
              <w:t xml:space="preserve"> kategóriájú járművek esetében a jármű gyártója által kiadott specifikációknak megfelelő, kereskedelmi forgalomban kapható bármely üzem- és kenőanyag használata esetén</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noProof/>
                <w:kern w:val="24"/>
                <w:szCs w:val="24"/>
              </w:rPr>
            </w:pPr>
            <w:r w:rsidRPr="00E344A0">
              <w:rPr>
                <w:b/>
              </w:rPr>
              <w:t>Paraméter</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rPr>
                <w:b/>
              </w:rPr>
              <w:t xml:space="preserve">Szokásos vezetési feltételek </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Kiterjesztett vezetési feltételek</w:t>
            </w:r>
            <w:r w:rsidRPr="00E344A0">
              <w:rPr>
                <w:b/>
                <w:bCs/>
                <w:i/>
                <w:iCs/>
                <w:vertAlign w:val="superscript"/>
              </w:rPr>
              <w:t>1</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 xml:space="preserve">Kiterjesztett vezetési feltételek esetén alkalmazott osztó </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267A15">
            <w:pPr>
              <w:widowControl/>
              <w:rPr>
                <w:b/>
                <w:bCs/>
                <w:noProof/>
                <w:szCs w:val="24"/>
              </w:rPr>
            </w:pPr>
            <w:r w:rsidRPr="00E344A0">
              <w:t xml:space="preserve">1.6 (csak akkor alkalmazandó a mért kibocsátásokra, amikor az ebben az oszlopban meghatározott feltételek valamelyike fennáll) </w:t>
            </w:r>
            <w:r w:rsidRPr="00E344A0">
              <w:rPr>
                <w:b/>
                <w:bCs/>
                <w:i/>
                <w:iCs/>
              </w:rPr>
              <w:t>a vizsgálatból ki kell zárni azokat az adatokat, amelyeket akkor mérnek, amikor az ebben az oszlopban meghatározott feltételek közül egynél több fennáll.</w:t>
            </w:r>
            <w:r w:rsidRPr="00E344A0">
              <w:rPr>
                <w:b/>
                <w:i/>
              </w:rPr>
              <w:t xml:space="preserve"> </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Környezeti hőmérséklet</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 xml:space="preserve">0 °C–35 °C </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rPr>
                <w:b/>
                <w:bCs/>
                <w:i/>
                <w:iCs/>
              </w:rPr>
              <w:t>–7 </w:t>
            </w:r>
            <w:r w:rsidRPr="00E344A0">
              <w:t>°C–0 °C vagy 35 °C–</w:t>
            </w:r>
            <w:r w:rsidRPr="00E344A0">
              <w:rPr>
                <w:b/>
                <w:bCs/>
                <w:i/>
                <w:iCs/>
              </w:rPr>
              <w:t>38</w:t>
            </w:r>
            <w:r w:rsidRPr="00E344A0">
              <w:t> °C</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kern w:val="24"/>
                <w:szCs w:val="24"/>
              </w:rPr>
            </w:pPr>
            <w:r w:rsidRPr="00E344A0">
              <w:t>Maximális tengerszint feletti magasság</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700 m</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 xml:space="preserve">700 m felett, de </w:t>
            </w:r>
            <w:r w:rsidRPr="00E344A0">
              <w:rPr>
                <w:b/>
                <w:bCs/>
                <w:i/>
                <w:iCs/>
              </w:rPr>
              <w:t>1 300</w:t>
            </w:r>
            <w:r w:rsidRPr="00E344A0">
              <w:t> m alatt</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Legnagyobb sebesség</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 xml:space="preserve">legfeljebb 145 km/h </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bCs/>
                <w:noProof/>
              </w:rPr>
            </w:pPr>
            <w:r w:rsidRPr="00E344A0">
              <w:t>145 és 160 km/h között</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Vontatási/aerodinamikai módosítások</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57"/>
              <w:jc w:val="center"/>
              <w:rPr>
                <w:b/>
                <w:bCs/>
                <w:noProof/>
              </w:rPr>
            </w:pPr>
            <w:r w:rsidRPr="00E344A0">
              <w:t>Nem engedélyezett</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57"/>
              <w:jc w:val="center"/>
              <w:rPr>
                <w:b/>
                <w:bCs/>
                <w:noProof/>
              </w:rPr>
            </w:pPr>
            <w:r w:rsidRPr="00E344A0">
              <w:t>Megengedett a gyártó előírásai szerint és az előírt sebességig.</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kern w:val="24"/>
                <w:szCs w:val="24"/>
              </w:rPr>
            </w:pPr>
            <w:r w:rsidRPr="00E344A0">
              <w:t>Segédberendezések</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rFonts w:eastAsiaTheme="minorEastAsia"/>
                <w:noProof/>
                <w:kern w:val="24"/>
              </w:rPr>
            </w:pPr>
            <w:r w:rsidRPr="00E344A0">
              <w:t>A szokásos használatnak megfelelően használhatók</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rFonts w:eastAsiaTheme="minorEastAsia"/>
                <w:noProof/>
                <w:kern w:val="24"/>
              </w:rPr>
            </w:pPr>
            <w:r w:rsidRPr="00E344A0">
              <w:t>-</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noProof/>
                <w:szCs w:val="24"/>
              </w:rPr>
            </w:pPr>
            <w:r w:rsidRPr="00E344A0">
              <w:t>Legnagyobb átlagos kerékteljesítmény a hidegindítást követő első 2 km-en</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kern w:val="24"/>
                <w:szCs w:val="24"/>
              </w:rPr>
            </w:pPr>
            <w:r w:rsidRPr="00E344A0">
              <w:t>A legnagyobb kerékteljesítmény 20 %-</w:t>
            </w:r>
            <w:proofErr w:type="spellStart"/>
            <w:r w:rsidRPr="00E344A0">
              <w:t>ánál</w:t>
            </w:r>
            <w:proofErr w:type="spellEnd"/>
            <w:r w:rsidRPr="00E344A0">
              <w:t xml:space="preserve"> kisebb</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noProof/>
                <w:kern w:val="24"/>
                <w:szCs w:val="24"/>
              </w:rPr>
            </w:pPr>
            <w:r w:rsidRPr="00E344A0">
              <w:t xml:space="preserve">A legnagyobb kerékteljesítmény </w:t>
            </w:r>
            <w:r w:rsidRPr="00E344A0">
              <w:rPr>
                <w:b/>
                <w:bCs/>
                <w:i/>
                <w:iCs/>
              </w:rPr>
              <w:t>20–30%-a között</w:t>
            </w:r>
            <w:r w:rsidRPr="00E344A0">
              <w:t xml:space="preserve"> </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szCs w:val="24"/>
              </w:rPr>
            </w:pPr>
            <w:r w:rsidRPr="00E344A0">
              <w:lastRenderedPageBreak/>
              <w:t>A vizsgálati út összetétele</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widowControl/>
              <w:jc w:val="center"/>
              <w:rPr>
                <w:bCs/>
                <w:noProof/>
                <w:szCs w:val="24"/>
              </w:rPr>
            </w:pPr>
            <w:r w:rsidRPr="00E344A0">
              <w:t xml:space="preserve">Bármilyen, </w:t>
            </w:r>
            <w:r w:rsidRPr="00E344A0">
              <w:rPr>
                <w:b/>
                <w:bCs/>
                <w:i/>
                <w:iCs/>
              </w:rPr>
              <w:t>a szokásos használatnak megfelelően</w:t>
            </w:r>
            <w:r w:rsidRPr="00E344A0">
              <w:rPr>
                <w:b/>
                <w:bCs/>
                <w:i/>
                <w:iCs/>
                <w:vertAlign w:val="superscript"/>
              </w:rPr>
              <w:t>2</w:t>
            </w:r>
            <w:r w:rsidRPr="00E344A0">
              <w:rPr>
                <w:b/>
                <w:bCs/>
                <w:i/>
                <w:iCs/>
              </w:rPr>
              <w:t>, kivéve a torzított vezetést</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widowControl/>
              <w:jc w:val="center"/>
              <w:rPr>
                <w:b/>
                <w:i/>
                <w:szCs w:val="24"/>
              </w:rPr>
            </w:pPr>
            <w:r w:rsidRPr="00E344A0">
              <w:rPr>
                <w:b/>
                <w:i/>
              </w:rPr>
              <w:t xml:space="preserve">Bármilyen, </w:t>
            </w:r>
            <w:r w:rsidRPr="00E344A0">
              <w:rPr>
                <w:b/>
                <w:bCs/>
                <w:i/>
                <w:iCs/>
              </w:rPr>
              <w:t>a szokásos használatnak megfelelően</w:t>
            </w:r>
            <w:r w:rsidRPr="00E344A0">
              <w:rPr>
                <w:b/>
                <w:bCs/>
                <w:i/>
                <w:iCs/>
                <w:vertAlign w:val="superscript"/>
              </w:rPr>
              <w:t>2</w:t>
            </w:r>
            <w:r w:rsidRPr="00E344A0">
              <w:rPr>
                <w:b/>
                <w:bCs/>
                <w:i/>
                <w:iCs/>
              </w:rPr>
              <w:t>, kivéve a torzított vezetést</w:t>
            </w:r>
          </w:p>
        </w:tc>
      </w:tr>
      <w:tr w:rsidR="00FF715E" w:rsidRPr="00E344A0" w:rsidTr="00CD27F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noProof/>
                <w:kern w:val="24"/>
                <w:szCs w:val="24"/>
              </w:rPr>
            </w:pPr>
            <w:r w:rsidRPr="00E344A0">
              <w:t>Minimális futásteljesítmény</w:t>
            </w:r>
          </w:p>
        </w:tc>
        <w:tc>
          <w:tcPr>
            <w:tcW w:w="2832"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10 000 km</w:t>
            </w:r>
          </w:p>
        </w:tc>
        <w:tc>
          <w:tcPr>
            <w:tcW w:w="3465"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noProof/>
                <w:kern w:val="24"/>
              </w:rPr>
            </w:pPr>
            <w:r w:rsidRPr="00E344A0">
              <w:t>3 000–10 000 km</w:t>
            </w:r>
          </w:p>
        </w:tc>
      </w:tr>
      <w:tr w:rsidR="00FF715E" w:rsidRPr="00E344A0" w:rsidTr="00CD27F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rPr>
                <w:b/>
                <w:bCs/>
                <w:i/>
                <w:noProof/>
                <w:sz w:val="20"/>
              </w:rPr>
            </w:pPr>
            <w:r w:rsidRPr="00E344A0">
              <w:rPr>
                <w:b/>
                <w:i/>
                <w:sz w:val="20"/>
                <w:vertAlign w:val="superscript"/>
              </w:rPr>
              <w:t>1</w:t>
            </w:r>
            <w:r w:rsidRPr="00E344A0">
              <w:rPr>
                <w:b/>
                <w:i/>
                <w:sz w:val="20"/>
              </w:rPr>
              <w:t xml:space="preserve"> Csak két, hőmérsékletre és tengerszint feletti magasságra vonatkozó kiterjesztett feltétel kombinációja megengedett.</w:t>
            </w:r>
          </w:p>
          <w:p w:rsidR="00FF715E" w:rsidRPr="00E344A0" w:rsidRDefault="00FF715E" w:rsidP="00CD27F0">
            <w:pPr>
              <w:jc w:val="both"/>
              <w:rPr>
                <w:b/>
                <w:bCs/>
                <w:i/>
                <w:noProof/>
              </w:rPr>
            </w:pPr>
            <w:r w:rsidRPr="00E344A0">
              <w:rPr>
                <w:b/>
                <w:i/>
                <w:sz w:val="20"/>
                <w:vertAlign w:val="superscript"/>
              </w:rPr>
              <w:t>2</w:t>
            </w:r>
            <w:r w:rsidRPr="00E344A0">
              <w:rPr>
                <w:b/>
                <w:i/>
                <w:sz w:val="20"/>
              </w:rPr>
              <w:t xml:space="preserve"> A szokásos használat a vizsgálati útnak a 168. számú ENSZ-előírás 9. mellékletében foglaltak szerinti dinamikáját jelenti.</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160</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III melléklet – 2 táblázat</w:t>
      </w:r>
    </w:p>
    <w:tbl>
      <w:tblPr>
        <w:tblStyle w:val="CV11"/>
        <w:tblW w:w="0" w:type="auto"/>
        <w:tblInd w:w="0" w:type="dxa"/>
        <w:tblLook w:val="04A0" w:firstRow="1" w:lastRow="0" w:firstColumn="1" w:lastColumn="0" w:noHBand="0" w:noVBand="1"/>
      </w:tblPr>
      <w:tblGrid>
        <w:gridCol w:w="2670"/>
        <w:gridCol w:w="3150"/>
        <w:gridCol w:w="3240"/>
      </w:tblGrid>
      <w:tr w:rsidR="00FF715E" w:rsidRPr="00E344A0" w:rsidTr="00CD27F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ind w:left="360"/>
              <w:jc w:val="center"/>
              <w:rPr>
                <w:i/>
                <w:noProof/>
              </w:rPr>
            </w:pPr>
            <w:r w:rsidRPr="00E344A0">
              <w:rPr>
                <w:i/>
              </w:rPr>
              <w:t>A Bizottság által javasolt szöveg</w:t>
            </w:r>
          </w:p>
        </w:tc>
      </w:tr>
      <w:tr w:rsidR="00FF715E" w:rsidRPr="00E344A0" w:rsidTr="00CD27F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rPr>
                <w:rFonts w:eastAsiaTheme="minorEastAsia"/>
                <w:noProof/>
                <w:kern w:val="24"/>
                <w:szCs w:val="24"/>
              </w:rPr>
            </w:pPr>
            <w:r w:rsidRPr="00E344A0">
              <w:t>2. táblázat: A kibocsátási határértékeknek való megfelelés vizsgálatának feltételei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 esetében a jármű gyártója által kiadott specifikációknak megfelelő, kereskedelmi forgalomban kapható bármely üzem- és kenőanyag használata esetén</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Paraméter</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i/>
                <w:noProof/>
                <w:kern w:val="24"/>
              </w:rPr>
            </w:pPr>
            <w:r w:rsidRPr="00E344A0">
              <w:rPr>
                <w:b/>
                <w:i/>
              </w:rPr>
              <w:t xml:space="preserve">Szokásos vezetési feltételek </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ind w:left="360"/>
              <w:jc w:val="center"/>
              <w:rPr>
                <w:b/>
                <w:i/>
                <w:noProof/>
                <w:kern w:val="24"/>
              </w:rPr>
            </w:pPr>
            <w:r w:rsidRPr="00E344A0">
              <w:rPr>
                <w:b/>
                <w:i/>
              </w:rPr>
              <w:t>Kiterjesztett vezetési feltételek</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i/>
                <w:noProof/>
                <w:szCs w:val="24"/>
              </w:rPr>
            </w:pPr>
            <w:r w:rsidRPr="00E344A0">
              <w:rPr>
                <w:b/>
                <w:i/>
              </w:rPr>
              <w:t>Kiterjesztett vezetési feltételek esetén alkalmazott osztó</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4"/>
              </w:rPr>
            </w:pPr>
            <w:r w:rsidRPr="00E344A0">
              <w:rPr>
                <w:b/>
                <w:i/>
              </w:rPr>
              <w:t>-</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4"/>
              </w:rPr>
            </w:pPr>
            <w:r w:rsidRPr="00E344A0">
              <w:rPr>
                <w:b/>
                <w:i/>
              </w:rPr>
              <w:t>2 (csak akkor alkalmazandó a mért kibocsátásokra, amikor az ebben az oszlopban meghatározott feltételek valamelyike fennáll)</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rFonts w:eastAsiaTheme="minorEastAsia"/>
                <w:b/>
                <w:i/>
                <w:noProof/>
                <w:kern w:val="24"/>
                <w:szCs w:val="24"/>
              </w:rPr>
            </w:pPr>
            <w:r w:rsidRPr="00E344A0">
              <w:rPr>
                <w:b/>
                <w:i/>
              </w:rPr>
              <w:t>Környezeti hőmérséklet</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–7 °C–35 °C</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–10 °C––7 °C vagy 35 °C–45 °C</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i/>
                <w:noProof/>
                <w:szCs w:val="24"/>
              </w:rPr>
            </w:pPr>
            <w:r w:rsidRPr="00E344A0">
              <w:rPr>
                <w:b/>
                <w:i/>
              </w:rPr>
              <w:t>Maximális tengerszint feletti magasság</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4"/>
              </w:rPr>
            </w:pPr>
            <w:r w:rsidRPr="00E344A0">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4"/>
              </w:rPr>
            </w:pPr>
            <w:r w:rsidRPr="00E344A0">
              <w:rPr>
                <w:b/>
                <w:i/>
              </w:rPr>
              <w:t>1 600–1 800 m</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rFonts w:eastAsiaTheme="minorEastAsia"/>
                <w:b/>
                <w:i/>
                <w:noProof/>
                <w:kern w:val="24"/>
                <w:szCs w:val="24"/>
              </w:rPr>
            </w:pPr>
            <w:r w:rsidRPr="00E344A0">
              <w:rPr>
                <w:b/>
                <w:i/>
              </w:rPr>
              <w:t>Vontatási/aerodinamikai módosítások</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Nem engedélyezett</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 xml:space="preserve">Megengedett a gyártó előírásai szerint és az előírt sebességig </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rFonts w:eastAsiaTheme="minorEastAsia"/>
                <w:b/>
                <w:i/>
                <w:noProof/>
                <w:kern w:val="24"/>
                <w:szCs w:val="24"/>
              </w:rPr>
            </w:pPr>
            <w:r w:rsidRPr="00E344A0">
              <w:rPr>
                <w:b/>
                <w:i/>
              </w:rPr>
              <w:t>A jármű hasznos terhelése</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Legalább 10 %</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Kevesebb mint 10 %</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rFonts w:eastAsiaTheme="minorEastAsia"/>
                <w:b/>
                <w:i/>
                <w:noProof/>
                <w:kern w:val="24"/>
                <w:szCs w:val="24"/>
              </w:rPr>
            </w:pPr>
            <w:r w:rsidRPr="00E344A0">
              <w:rPr>
                <w:b/>
                <w:i/>
              </w:rPr>
              <w:t>Segédberendezések</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A szokásos használatnak megfelelően használhatók</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i/>
                <w:noProof/>
                <w:szCs w:val="24"/>
              </w:rPr>
            </w:pPr>
            <w:r w:rsidRPr="00E344A0">
              <w:rPr>
                <w:b/>
                <w:i/>
              </w:rPr>
              <w:t>A belső égésű motor terhelése hidegindításkor</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4"/>
              </w:rPr>
            </w:pPr>
            <w:r w:rsidRPr="00E344A0">
              <w:rPr>
                <w:b/>
                <w:i/>
              </w:rPr>
              <w:t>Bármilyen</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4"/>
              </w:rPr>
            </w:pPr>
            <w:r w:rsidRPr="00E344A0">
              <w:rPr>
                <w:b/>
                <w:i/>
              </w:rPr>
              <w:t>-</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b/>
                <w:i/>
                <w:noProof/>
                <w:szCs w:val="24"/>
              </w:rPr>
            </w:pPr>
            <w:r w:rsidRPr="00E344A0">
              <w:rPr>
                <w:b/>
                <w:i/>
              </w:rPr>
              <w:t>A vizsgálati út összetétele</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4"/>
              </w:rPr>
            </w:pPr>
            <w:r w:rsidRPr="00E344A0">
              <w:rPr>
                <w:b/>
                <w:i/>
              </w:rPr>
              <w:t xml:space="preserve">A szokásos használatnak megfelelő </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szCs w:val="24"/>
              </w:rPr>
            </w:pPr>
            <w:r w:rsidRPr="00E344A0">
              <w:rPr>
                <w:b/>
                <w:i/>
              </w:rPr>
              <w:t>-</w:t>
            </w:r>
          </w:p>
        </w:tc>
      </w:tr>
      <w:tr w:rsidR="00FF715E" w:rsidRPr="00E344A0" w:rsidTr="00CD27F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FF715E" w:rsidRPr="00E344A0" w:rsidRDefault="00FF715E" w:rsidP="00CD27F0">
            <w:pPr>
              <w:jc w:val="center"/>
              <w:rPr>
                <w:rFonts w:eastAsiaTheme="minorEastAsia"/>
                <w:b/>
                <w:i/>
                <w:noProof/>
                <w:kern w:val="24"/>
                <w:szCs w:val="24"/>
              </w:rPr>
            </w:pPr>
            <w:r w:rsidRPr="00E344A0">
              <w:rPr>
                <w:b/>
                <w:i/>
              </w:rPr>
              <w:t>Minimális futásteljesítmény</w:t>
            </w:r>
          </w:p>
        </w:tc>
        <w:tc>
          <w:tcPr>
            <w:tcW w:w="333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t xml:space="preserve">5 000 km &lt; 16 tonna műszakilag megengedett legnagyobb terhelt tömeg esetén </w:t>
            </w:r>
            <w:r w:rsidRPr="00E344A0">
              <w:rPr>
                <w:b/>
                <w:i/>
              </w:rPr>
              <w:br/>
              <w:t xml:space="preserve">10 000 km &gt; 16 tonna műszakilag megengedett </w:t>
            </w:r>
            <w:r w:rsidRPr="00E344A0">
              <w:rPr>
                <w:b/>
                <w:i/>
              </w:rPr>
              <w:lastRenderedPageBreak/>
              <w:t>legnagyobb terhelt tömeg esetén</w:t>
            </w:r>
          </w:p>
        </w:tc>
        <w:tc>
          <w:tcPr>
            <w:tcW w:w="340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jc w:val="center"/>
              <w:rPr>
                <w:b/>
                <w:i/>
                <w:noProof/>
                <w:kern w:val="24"/>
                <w:szCs w:val="24"/>
              </w:rPr>
            </w:pPr>
            <w:r w:rsidRPr="00E344A0">
              <w:rPr>
                <w:b/>
                <w:i/>
              </w:rPr>
              <w:lastRenderedPageBreak/>
              <w:t xml:space="preserve">3 000 km és 5 000 km között &lt;16 tonna műszakilag megengedett legnagyobb terhelt tömeg esetén </w:t>
            </w:r>
            <w:r w:rsidRPr="00E344A0">
              <w:rPr>
                <w:b/>
                <w:i/>
              </w:rPr>
              <w:br/>
              <w:t xml:space="preserve">3 000 km és 10 000 km között &gt;16 tonna műszakilag </w:t>
            </w:r>
            <w:r w:rsidRPr="00E344A0">
              <w:rPr>
                <w:b/>
                <w:i/>
              </w:rPr>
              <w:lastRenderedPageBreak/>
              <w:t>megengedett legnagyobb terhelt tömeg esetén</w:t>
            </w:r>
          </w:p>
        </w:tc>
      </w:tr>
    </w:tbl>
    <w:p w:rsidR="00FF715E" w:rsidRPr="00E344A0" w:rsidRDefault="00FF715E" w:rsidP="00FF715E">
      <w:pPr>
        <w:pStyle w:val="AmOrLang"/>
      </w:pPr>
    </w:p>
    <w:tbl>
      <w:tblPr>
        <w:tblStyle w:val="CV11"/>
        <w:tblW w:w="0" w:type="auto"/>
        <w:tblInd w:w="0" w:type="dxa"/>
        <w:tblLook w:val="04A0" w:firstRow="1" w:lastRow="0" w:firstColumn="1" w:lastColumn="0" w:noHBand="0" w:noVBand="1"/>
      </w:tblPr>
      <w:tblGrid>
        <w:gridCol w:w="4376"/>
        <w:gridCol w:w="4684"/>
      </w:tblGrid>
      <w:tr w:rsidR="00FF715E" w:rsidRPr="00E344A0" w:rsidTr="00CD27F0">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FF715E" w:rsidRPr="00E344A0" w:rsidRDefault="00FF715E" w:rsidP="00CD27F0">
            <w:pPr>
              <w:ind w:left="360"/>
              <w:jc w:val="center"/>
              <w:rPr>
                <w:i/>
                <w:noProof/>
              </w:rPr>
            </w:pPr>
            <w:r w:rsidRPr="00E344A0">
              <w:rPr>
                <w:i/>
              </w:rPr>
              <w:t>Módosítás</w:t>
            </w:r>
          </w:p>
        </w:tc>
      </w:tr>
      <w:tr w:rsidR="00FF715E" w:rsidRPr="00E344A0" w:rsidTr="00CD27F0">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FF715E" w:rsidRPr="00E344A0" w:rsidRDefault="00FF715E" w:rsidP="00CD27F0">
            <w:pPr>
              <w:rPr>
                <w:rFonts w:eastAsiaTheme="minorEastAsia"/>
                <w:noProof/>
                <w:kern w:val="24"/>
                <w:szCs w:val="24"/>
              </w:rPr>
            </w:pPr>
            <w:r w:rsidRPr="00E344A0">
              <w:t>2. táblázat: A kibocsátási határértékeknek való megfelelés vizsgálatának feltételei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 esetében a jármű gyártója által kiadott specifikációknak megfelelő, kereskedelmi forgalomban kapható bármely üzem- és kenőanyag használata esetén</w:t>
            </w:r>
          </w:p>
        </w:tc>
      </w:tr>
      <w:tr w:rsidR="00FF715E" w:rsidRPr="00E344A0" w:rsidTr="00CD27F0">
        <w:trPr>
          <w:trHeight w:val="312"/>
        </w:trPr>
        <w:tc>
          <w:tcPr>
            <w:tcW w:w="4376" w:type="dxa"/>
            <w:tcBorders>
              <w:top w:val="single" w:sz="4" w:space="0" w:color="auto"/>
              <w:left w:val="single" w:sz="4" w:space="0" w:color="auto"/>
              <w:bottom w:val="single" w:sz="4" w:space="0" w:color="auto"/>
              <w:right w:val="single" w:sz="4" w:space="0" w:color="auto"/>
            </w:tcBorders>
          </w:tcPr>
          <w:p w:rsidR="00FF715E" w:rsidRPr="00E344A0" w:rsidRDefault="00FF715E" w:rsidP="00CD27F0">
            <w:pPr>
              <w:spacing w:before="60" w:after="60"/>
              <w:jc w:val="center"/>
              <w:rPr>
                <w:b/>
                <w:bCs/>
                <w:i/>
                <w:sz w:val="22"/>
                <w:szCs w:val="22"/>
              </w:rPr>
            </w:pPr>
            <w:r w:rsidRPr="00E344A0">
              <w:rPr>
                <w:b/>
                <w:i/>
                <w:sz w:val="22"/>
              </w:rPr>
              <w:t>A kipufogógáz-kibocsátás laboratóriumi mérése</w:t>
            </w:r>
          </w:p>
        </w:tc>
        <w:tc>
          <w:tcPr>
            <w:tcW w:w="4684" w:type="dxa"/>
            <w:tcBorders>
              <w:top w:val="single" w:sz="4" w:space="0" w:color="auto"/>
              <w:left w:val="single" w:sz="4" w:space="0" w:color="auto"/>
              <w:bottom w:val="single" w:sz="4" w:space="0" w:color="auto"/>
              <w:right w:val="single" w:sz="4" w:space="0" w:color="auto"/>
            </w:tcBorders>
          </w:tcPr>
          <w:p w:rsidR="00FF715E" w:rsidRPr="00E344A0" w:rsidRDefault="00FF715E" w:rsidP="00CD27F0">
            <w:pPr>
              <w:spacing w:before="60" w:after="60"/>
              <w:jc w:val="center"/>
              <w:rPr>
                <w:rFonts w:ascii="Calibri" w:hAnsi="Calibri" w:cs="Calibri"/>
                <w:b/>
                <w:bCs/>
                <w:i/>
                <w:sz w:val="22"/>
                <w:szCs w:val="22"/>
              </w:rPr>
            </w:pPr>
            <w:r w:rsidRPr="00E344A0">
              <w:rPr>
                <w:b/>
                <w:i/>
                <w:sz w:val="22"/>
              </w:rPr>
              <w:t>A valós vezetési feltételek melletti kibocsátás (RDE) mérése</w:t>
            </w:r>
          </w:p>
        </w:tc>
      </w:tr>
      <w:tr w:rsidR="00FF715E" w:rsidRPr="00E344A0" w:rsidTr="00CD27F0">
        <w:trPr>
          <w:trHeight w:val="312"/>
        </w:trPr>
        <w:tc>
          <w:tcPr>
            <w:tcW w:w="4376" w:type="dxa"/>
            <w:tcBorders>
              <w:top w:val="single" w:sz="4" w:space="0" w:color="auto"/>
              <w:left w:val="single" w:sz="4" w:space="0" w:color="auto"/>
              <w:bottom w:val="single" w:sz="4" w:space="0" w:color="auto"/>
              <w:right w:val="single" w:sz="4" w:space="0" w:color="auto"/>
            </w:tcBorders>
          </w:tcPr>
          <w:p w:rsidR="00FF715E" w:rsidRPr="00E344A0" w:rsidRDefault="00FF715E" w:rsidP="00CD27F0">
            <w:pPr>
              <w:spacing w:before="60" w:after="60"/>
              <w:rPr>
                <w:b/>
                <w:bCs/>
                <w:i/>
                <w:sz w:val="22"/>
                <w:szCs w:val="22"/>
              </w:rPr>
            </w:pPr>
            <w:r w:rsidRPr="00E344A0">
              <w:rPr>
                <w:b/>
                <w:i/>
                <w:sz w:val="22"/>
              </w:rPr>
              <w:t>A WHTC/WHSC próbapados vizsgálati ciklusokkal végzett valamennyi kipufogógáz-kibocsátási vizsgálat esetében a 49. számú ENSZ-előírás</w:t>
            </w:r>
            <w:r w:rsidRPr="00E344A0">
              <w:rPr>
                <w:b/>
                <w:i/>
                <w:sz w:val="22"/>
                <w:vertAlign w:val="superscript"/>
              </w:rPr>
              <w:t>1</w:t>
            </w:r>
            <w:r w:rsidRPr="00E344A0">
              <w:rPr>
                <w:b/>
                <w:i/>
                <w:sz w:val="22"/>
              </w:rPr>
              <w:t xml:space="preserve"> 4. mellékletében foglalt rendelkezéseket kell alkalmazni.</w:t>
            </w:r>
          </w:p>
        </w:tc>
        <w:tc>
          <w:tcPr>
            <w:tcW w:w="4684" w:type="dxa"/>
            <w:tcBorders>
              <w:top w:val="single" w:sz="4" w:space="0" w:color="auto"/>
              <w:left w:val="single" w:sz="4" w:space="0" w:color="auto"/>
              <w:bottom w:val="single" w:sz="4" w:space="0" w:color="auto"/>
              <w:right w:val="single" w:sz="4" w:space="0" w:color="auto"/>
            </w:tcBorders>
          </w:tcPr>
          <w:p w:rsidR="00FF715E" w:rsidRPr="00E344A0" w:rsidRDefault="00FF715E" w:rsidP="00CD27F0">
            <w:pPr>
              <w:spacing w:before="60" w:after="60"/>
              <w:rPr>
                <w:b/>
                <w:bCs/>
                <w:i/>
                <w:sz w:val="22"/>
                <w:szCs w:val="22"/>
              </w:rPr>
            </w:pPr>
            <w:r w:rsidRPr="00E344A0">
              <w:rPr>
                <w:b/>
                <w:i/>
                <w:sz w:val="22"/>
              </w:rPr>
              <w:t xml:space="preserve">A 49. számú ENSZ-előírás 8. mellékletének rendelkezéseit </w:t>
            </w:r>
            <w:r w:rsidRPr="00E344A0">
              <w:rPr>
                <w:b/>
                <w:i/>
                <w:sz w:val="22"/>
                <w:u w:val="single"/>
              </w:rPr>
              <w:t>a következő kivételekkel</w:t>
            </w:r>
            <w:r w:rsidRPr="00E344A0">
              <w:rPr>
                <w:b/>
                <w:i/>
                <w:sz w:val="22"/>
              </w:rPr>
              <w:t xml:space="preserve"> kell alkalmazni:</w:t>
            </w:r>
          </w:p>
          <w:p w:rsidR="00FF715E" w:rsidRPr="00E344A0" w:rsidRDefault="00FF715E" w:rsidP="00CD27F0">
            <w:pPr>
              <w:spacing w:before="60" w:after="60"/>
              <w:rPr>
                <w:b/>
                <w:bCs/>
                <w:i/>
                <w:sz w:val="22"/>
                <w:szCs w:val="22"/>
              </w:rPr>
            </w:pPr>
            <w:r w:rsidRPr="00E344A0">
              <w:rPr>
                <w:b/>
                <w:i/>
                <w:sz w:val="22"/>
              </w:rPr>
              <w:t>• a III. melléklet 1. táblázatában szereplő teljesítmény-küszöb 0 %. A 6 % alatti teljesítményű ablakok esetében a számításokhoz 6 %-</w:t>
            </w:r>
            <w:proofErr w:type="spellStart"/>
            <w:r w:rsidRPr="00E344A0">
              <w:rPr>
                <w:b/>
                <w:i/>
                <w:sz w:val="22"/>
              </w:rPr>
              <w:t>ot</w:t>
            </w:r>
            <w:proofErr w:type="spellEnd"/>
            <w:r w:rsidRPr="00E344A0">
              <w:rPr>
                <w:b/>
                <w:i/>
                <w:sz w:val="22"/>
              </w:rPr>
              <w:t xml:space="preserve"> kell használni,</w:t>
            </w:r>
          </w:p>
          <w:p w:rsidR="00FF715E" w:rsidRPr="00E344A0" w:rsidRDefault="00FF715E" w:rsidP="00CD27F0">
            <w:pPr>
              <w:spacing w:before="60" w:after="60"/>
              <w:rPr>
                <w:b/>
                <w:bCs/>
                <w:i/>
                <w:sz w:val="22"/>
                <w:szCs w:val="22"/>
              </w:rPr>
            </w:pPr>
            <w:r w:rsidRPr="00E344A0">
              <w:rPr>
                <w:b/>
                <w:i/>
                <w:sz w:val="22"/>
              </w:rPr>
              <w:t xml:space="preserve">• a 6.3. pontban foglalt 2. táblázatban szereplő megfelelési tényezőt, ahol az érték = 1,0, minden szennyező anyag esetében alkalmazni kell. Az alkalmazandó határértékek az I. melléklet 2. táblázatában szereplő, valós vezetési feltételek melletti kibocsátásra (RDE) vonatkozó határértékek. </w:t>
            </w:r>
          </w:p>
        </w:tc>
      </w:tr>
      <w:tr w:rsidR="00FF715E" w:rsidRPr="00E344A0" w:rsidTr="00CD27F0">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FF715E" w:rsidRPr="00267A15" w:rsidRDefault="00FF715E" w:rsidP="00CD27F0">
            <w:pPr>
              <w:spacing w:before="60" w:after="60"/>
              <w:rPr>
                <w:b/>
                <w:bCs/>
                <w:i/>
                <w:sz w:val="20"/>
              </w:rPr>
            </w:pPr>
            <w:r w:rsidRPr="00267A15">
              <w:rPr>
                <w:b/>
                <w:i/>
                <w:sz w:val="20"/>
                <w:vertAlign w:val="superscript"/>
              </w:rPr>
              <w:t>1</w:t>
            </w:r>
            <w:r w:rsidRPr="00267A15">
              <w:rPr>
                <w:b/>
                <w:i/>
                <w:sz w:val="20"/>
              </w:rPr>
              <w:t xml:space="preserve"> 07. módosítássorozat (HL L 14., 2023.1.16., 1. o.).</w:t>
            </w:r>
          </w:p>
          <w:p w:rsidR="00FF715E" w:rsidRPr="00E344A0" w:rsidRDefault="00FF715E" w:rsidP="00CD27F0">
            <w:pPr>
              <w:spacing w:before="60" w:after="60"/>
              <w:rPr>
                <w:b/>
                <w:bCs/>
                <w:i/>
                <w:sz w:val="22"/>
                <w:szCs w:val="22"/>
              </w:rPr>
            </w:pPr>
            <w:r w:rsidRPr="00267A15">
              <w:rPr>
                <w:b/>
                <w:i/>
                <w:sz w:val="20"/>
                <w:vertAlign w:val="superscript"/>
              </w:rPr>
              <w:t>2</w:t>
            </w:r>
            <w:r w:rsidRPr="00267A15">
              <w:rPr>
                <w:b/>
                <w:i/>
                <w:sz w:val="20"/>
              </w:rPr>
              <w:t xml:space="preserve"> 07. módosítássorozat (HL L 14., 2023.1.16., 1. o.).</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161</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III melléklet – 5 táblázat</w:t>
      </w:r>
    </w:p>
    <w:tbl>
      <w:tblPr>
        <w:tblStyle w:val="TableGrid"/>
        <w:tblW w:w="5000" w:type="pct"/>
        <w:tblLook w:val="04A0" w:firstRow="1" w:lastRow="0" w:firstColumn="1" w:lastColumn="0" w:noHBand="0" w:noVBand="1"/>
      </w:tblPr>
      <w:tblGrid>
        <w:gridCol w:w="3018"/>
        <w:gridCol w:w="3020"/>
        <w:gridCol w:w="3022"/>
      </w:tblGrid>
      <w:tr w:rsidR="00FF715E" w:rsidRPr="00E344A0" w:rsidTr="00CD27F0">
        <w:tc>
          <w:tcPr>
            <w:tcW w:w="4998" w:type="pct"/>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c>
          <w:tcPr>
            <w:tcW w:w="4998" w:type="pct"/>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5. táblázat: A gumiabroncskopásra vonatkozó határértéknek való megfelelés vizsgálatának feltételei</w:t>
            </w:r>
          </w:p>
        </w:tc>
      </w:tr>
      <w:tr w:rsidR="00FF715E" w:rsidRPr="00E344A0" w:rsidTr="00CD27F0">
        <w:tc>
          <w:tcPr>
            <w:tcW w:w="1665"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666"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M</w:t>
            </w:r>
            <w:r w:rsidRPr="00E344A0">
              <w:rPr>
                <w:vertAlign w:val="subscript"/>
              </w:rPr>
              <w:t>1</w:t>
            </w:r>
            <w:r w:rsidRPr="00E344A0">
              <w:t>, N</w:t>
            </w:r>
            <w:r w:rsidRPr="00E344A0">
              <w:rPr>
                <w:vertAlign w:val="subscript"/>
              </w:rPr>
              <w:t>1</w:t>
            </w:r>
            <w:r w:rsidRPr="00E344A0">
              <w:t xml:space="preserve"> kategóriájú járművek</w:t>
            </w:r>
          </w:p>
        </w:tc>
        <w:tc>
          <w:tcPr>
            <w:tcW w:w="1666"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w:t>
            </w:r>
          </w:p>
        </w:tc>
      </w:tr>
      <w:tr w:rsidR="00FF715E" w:rsidRPr="00E344A0" w:rsidTr="00CD27F0">
        <w:tc>
          <w:tcPr>
            <w:tcW w:w="1665"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 gumiabroncskopásra vonatkozó határérték vizsgálata</w:t>
            </w:r>
          </w:p>
        </w:tc>
        <w:tc>
          <w:tcPr>
            <w:tcW w:w="1666"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ENSZ által a gumiabroncskopás valós feltételek melletti vizsgálatára kidolgozott vizsgálati módszerek alapján</w:t>
            </w:r>
          </w:p>
        </w:tc>
        <w:tc>
          <w:tcPr>
            <w:tcW w:w="1666"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ENSZ által a gumiabroncskopás valós feltételek melletti vizsgálatára kidolgozott vizsgálati módszerek alapján</w:t>
            </w:r>
          </w:p>
        </w:tc>
      </w:tr>
    </w:tbl>
    <w:p w:rsidR="00FF715E" w:rsidRPr="00E344A0" w:rsidRDefault="00FF715E" w:rsidP="00FF715E"/>
    <w:p w:rsidR="00FF715E" w:rsidRPr="00E344A0" w:rsidRDefault="00FF715E" w:rsidP="00FF715E">
      <w:pPr>
        <w:pStyle w:val="AmOrLang"/>
      </w:pPr>
    </w:p>
    <w:tbl>
      <w:tblPr>
        <w:tblStyle w:val="TableGrid"/>
        <w:tblW w:w="5000" w:type="pct"/>
        <w:tblLook w:val="04A0" w:firstRow="1" w:lastRow="0" w:firstColumn="1" w:lastColumn="0" w:noHBand="0" w:noVBand="1"/>
      </w:tblPr>
      <w:tblGrid>
        <w:gridCol w:w="3018"/>
        <w:gridCol w:w="3020"/>
        <w:gridCol w:w="3022"/>
      </w:tblGrid>
      <w:tr w:rsidR="00FF715E" w:rsidRPr="00E344A0" w:rsidTr="00CD27F0">
        <w:tc>
          <w:tcPr>
            <w:tcW w:w="4998" w:type="pct"/>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r>
      <w:tr w:rsidR="00FF715E" w:rsidRPr="00E344A0" w:rsidTr="00CD27F0">
        <w:tc>
          <w:tcPr>
            <w:tcW w:w="4998" w:type="pct"/>
            <w:gridSpan w:val="3"/>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 xml:space="preserve">5. táblázat: A gumiabroncskopásra vonatkozó határértéknek való megfelelés vizsgálatának </w:t>
            </w:r>
            <w:r w:rsidRPr="00E344A0">
              <w:lastRenderedPageBreak/>
              <w:t>feltételei</w:t>
            </w:r>
          </w:p>
        </w:tc>
      </w:tr>
      <w:tr w:rsidR="00FF715E" w:rsidRPr="00E344A0" w:rsidTr="00CD27F0">
        <w:tc>
          <w:tcPr>
            <w:tcW w:w="1665"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p>
        </w:tc>
        <w:tc>
          <w:tcPr>
            <w:tcW w:w="1666"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M</w:t>
            </w:r>
            <w:r w:rsidRPr="00E344A0">
              <w:rPr>
                <w:vertAlign w:val="subscript"/>
              </w:rPr>
              <w:t>1</w:t>
            </w:r>
            <w:r w:rsidRPr="00E344A0">
              <w:t>, N</w:t>
            </w:r>
            <w:r w:rsidRPr="00E344A0">
              <w:rPr>
                <w:vertAlign w:val="subscript"/>
              </w:rPr>
              <w:t>1</w:t>
            </w:r>
            <w:r w:rsidRPr="00E344A0">
              <w:t xml:space="preserve"> kategóriájú járművek</w:t>
            </w:r>
          </w:p>
        </w:tc>
        <w:tc>
          <w:tcPr>
            <w:tcW w:w="1666"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w:t>
            </w:r>
          </w:p>
        </w:tc>
      </w:tr>
      <w:tr w:rsidR="00FF715E" w:rsidRPr="00E344A0" w:rsidTr="00CD27F0">
        <w:tc>
          <w:tcPr>
            <w:tcW w:w="1665"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 gumiabroncskopásra vonatkozó határérték vizsgálata</w:t>
            </w:r>
          </w:p>
        </w:tc>
        <w:tc>
          <w:tcPr>
            <w:tcW w:w="1666"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ENSZ által a gumiabroncskopás valós feltételek melletti vizsgálatára kidolgozott vizsgálati módszerek alapján</w:t>
            </w:r>
            <w:r w:rsidRPr="00E344A0">
              <w:rPr>
                <w:b/>
                <w:bCs/>
                <w:i/>
                <w:iCs/>
              </w:rPr>
              <w:t>, a 7a. (új) cikknek megfelelően</w:t>
            </w:r>
          </w:p>
        </w:tc>
        <w:tc>
          <w:tcPr>
            <w:tcW w:w="1666" w:type="pct"/>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Az ENSZ által a gumiabroncskopás valós feltételek melletti vizsgálatára kidolgozott vizsgálati módszerek alapján</w:t>
            </w:r>
            <w:r w:rsidRPr="00E344A0">
              <w:rPr>
                <w:b/>
                <w:bCs/>
                <w:i/>
                <w:iCs/>
              </w:rPr>
              <w:t>, a 7a. (új) cikknek megfelelően</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162</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IV melléklet – 1 táblázat</w:t>
      </w:r>
    </w:p>
    <w:tbl>
      <w:tblPr>
        <w:tblStyle w:val="TableGrid"/>
        <w:tblW w:w="9172" w:type="dxa"/>
        <w:tblLook w:val="04A0" w:firstRow="1" w:lastRow="0" w:firstColumn="1" w:lastColumn="0" w:noHBand="0" w:noVBand="1"/>
      </w:tblPr>
      <w:tblGrid>
        <w:gridCol w:w="2189"/>
        <w:gridCol w:w="2228"/>
        <w:gridCol w:w="2419"/>
        <w:gridCol w:w="2336"/>
      </w:tblGrid>
      <w:tr w:rsidR="00FF715E" w:rsidRPr="00E344A0" w:rsidTr="00CD27F0">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A Bizottság által javasolt szöveg</w:t>
            </w:r>
          </w:p>
        </w:tc>
      </w:tr>
      <w:tr w:rsidR="00FF715E" w:rsidRPr="00E344A0" w:rsidTr="00CD27F0">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1. táblázat: A járművek, motorok és kibocsátáscsökkentő rendszerek élettartama</w:t>
            </w:r>
          </w:p>
        </w:tc>
      </w:tr>
      <w:tr w:rsidR="00FF715E" w:rsidRPr="00E344A0" w:rsidTr="00CD27F0">
        <w:trPr>
          <w:trHeight w:val="564"/>
        </w:trPr>
        <w:tc>
          <w:tcPr>
            <w:tcW w:w="1730"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A járművek, motorok és kibocsátáscsökkentő pótrendszerek élettartama</w:t>
            </w:r>
          </w:p>
        </w:tc>
        <w:tc>
          <w:tcPr>
            <w:tcW w:w="236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M</w:t>
            </w:r>
            <w:r w:rsidRPr="00E344A0">
              <w:rPr>
                <w:vertAlign w:val="subscript"/>
              </w:rPr>
              <w:t>1</w:t>
            </w:r>
            <w:r w:rsidRPr="00E344A0">
              <w:t>, N</w:t>
            </w:r>
            <w:r w:rsidRPr="00E344A0">
              <w:rPr>
                <w:vertAlign w:val="subscript"/>
              </w:rPr>
              <w:t>1</w:t>
            </w:r>
            <w:r w:rsidRPr="00E344A0">
              <w:t xml:space="preserve"> és M</w:t>
            </w:r>
            <w:r w:rsidRPr="00E344A0">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N</w:t>
            </w:r>
            <w:r w:rsidRPr="00E344A0">
              <w:rPr>
                <w:vertAlign w:val="subscript"/>
              </w:rPr>
              <w:t>2</w:t>
            </w:r>
            <w:r w:rsidRPr="00E344A0">
              <w:t xml:space="preserve">, </w:t>
            </w:r>
            <w:r w:rsidRPr="00E344A0">
              <w:rPr>
                <w:b/>
                <w:i/>
              </w:rPr>
              <w:t>N</w:t>
            </w:r>
            <w:r w:rsidRPr="00E344A0">
              <w:rPr>
                <w:b/>
                <w:i/>
                <w:vertAlign w:val="subscript"/>
              </w:rPr>
              <w:t>3</w:t>
            </w:r>
            <w:r w:rsidRPr="00E344A0">
              <w:rPr>
                <w:b/>
                <w:i/>
              </w:rPr>
              <w:t>&lt;16t</w:t>
            </w:r>
            <w:r w:rsidRPr="00E344A0">
              <w:t xml:space="preserve">, </w:t>
            </w:r>
            <w:r w:rsidRPr="00E344A0">
              <w:rPr>
                <w:b/>
                <w:i/>
              </w:rPr>
              <w:t>M</w:t>
            </w:r>
            <w:r w:rsidRPr="00E344A0">
              <w:rPr>
                <w:b/>
                <w:i/>
                <w:vertAlign w:val="subscript"/>
              </w:rPr>
              <w:t>3</w:t>
            </w:r>
            <w:r w:rsidRPr="00E344A0">
              <w:rPr>
                <w:b/>
                <w:i/>
              </w:rPr>
              <w:t>&lt;7,5t</w:t>
            </w:r>
            <w:r w:rsidRPr="00E344A0">
              <w:t>:</w:t>
            </w:r>
          </w:p>
        </w:tc>
        <w:tc>
          <w:tcPr>
            <w:tcW w:w="2490"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N</w:t>
            </w:r>
            <w:r w:rsidRPr="00E344A0">
              <w:rPr>
                <w:vertAlign w:val="subscript"/>
              </w:rPr>
              <w:t>3</w:t>
            </w:r>
            <w:r w:rsidRPr="00E344A0">
              <w:t>&gt;16t, M</w:t>
            </w:r>
            <w:r w:rsidRPr="00E344A0">
              <w:rPr>
                <w:vertAlign w:val="subscript"/>
              </w:rPr>
              <w:t>3</w:t>
            </w:r>
            <w:r w:rsidRPr="00E344A0">
              <w:t>&gt;7,5t</w:t>
            </w:r>
          </w:p>
        </w:tc>
      </w:tr>
      <w:tr w:rsidR="00FF715E" w:rsidRPr="00E344A0" w:rsidTr="00CD27F0">
        <w:trPr>
          <w:trHeight w:val="376"/>
        </w:trPr>
        <w:tc>
          <w:tcPr>
            <w:tcW w:w="1730"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Alap élettartam</w:t>
            </w:r>
          </w:p>
        </w:tc>
        <w:tc>
          <w:tcPr>
            <w:tcW w:w="236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Legfeljebb </w:t>
            </w:r>
            <w:r w:rsidRPr="00E344A0">
              <w:rPr>
                <w:b/>
                <w:bCs/>
                <w:i/>
                <w:iCs/>
              </w:rPr>
              <w:t>160 000</w:t>
            </w:r>
            <w:r w:rsidRPr="00E344A0">
              <w:t xml:space="preserve"> km vagy </w:t>
            </w:r>
            <w:r w:rsidRPr="00E344A0">
              <w:rPr>
                <w:b/>
                <w:bCs/>
                <w:i/>
                <w:iCs/>
              </w:rPr>
              <w:t>8</w:t>
            </w:r>
            <w:r w:rsidRPr="00E344A0">
              <w:t xml:space="preserve"> év, amelyik előbb bekövetkezik</w:t>
            </w:r>
          </w:p>
        </w:tc>
        <w:tc>
          <w:tcPr>
            <w:tcW w:w="2589"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Legfeljebb </w:t>
            </w:r>
            <w:r w:rsidRPr="00E344A0">
              <w:rPr>
                <w:b/>
                <w:bCs/>
                <w:i/>
                <w:iCs/>
              </w:rPr>
              <w:t>300 000</w:t>
            </w:r>
            <w:r w:rsidRPr="00E344A0">
              <w:t xml:space="preserve"> km vagy </w:t>
            </w:r>
            <w:r w:rsidRPr="00E344A0">
              <w:rPr>
                <w:b/>
                <w:bCs/>
                <w:i/>
                <w:iCs/>
              </w:rPr>
              <w:t>8</w:t>
            </w:r>
            <w:r w:rsidRPr="00E344A0">
              <w:t xml:space="preserve"> év, amelyik előbb bekövetkezik</w:t>
            </w:r>
          </w:p>
        </w:tc>
        <w:tc>
          <w:tcPr>
            <w:tcW w:w="2490"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Legfeljebb</w:t>
            </w:r>
            <w:r w:rsidRPr="00E344A0">
              <w:rPr>
                <w:b/>
                <w:bCs/>
              </w:rPr>
              <w:t xml:space="preserve"> </w:t>
            </w:r>
            <w:r w:rsidRPr="00E344A0">
              <w:rPr>
                <w:b/>
                <w:bCs/>
                <w:i/>
                <w:iCs/>
              </w:rPr>
              <w:t>700 000</w:t>
            </w:r>
            <w:r w:rsidRPr="00E344A0">
              <w:t> km vagy 15 év, amelyik előbb bekövetkezik</w:t>
            </w:r>
          </w:p>
        </w:tc>
      </w:tr>
      <w:tr w:rsidR="00FF715E" w:rsidRPr="00E344A0" w:rsidTr="00CD27F0">
        <w:trPr>
          <w:trHeight w:val="564"/>
        </w:trPr>
        <w:tc>
          <w:tcPr>
            <w:tcW w:w="1730"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További élettartam</w:t>
            </w:r>
          </w:p>
        </w:tc>
        <w:tc>
          <w:tcPr>
            <w:tcW w:w="2363"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Az alap élettartam túllépése után; legfeljebb </w:t>
            </w:r>
            <w:r w:rsidRPr="00E344A0">
              <w:rPr>
                <w:b/>
                <w:bCs/>
                <w:i/>
                <w:iCs/>
              </w:rPr>
              <w:t>200 000</w:t>
            </w:r>
            <w:r w:rsidRPr="00E344A0">
              <w:t xml:space="preserve"> km vagy </w:t>
            </w:r>
            <w:r w:rsidRPr="00E344A0">
              <w:rPr>
                <w:b/>
                <w:bCs/>
                <w:i/>
                <w:iCs/>
              </w:rPr>
              <w:t>10</w:t>
            </w:r>
            <w:r w:rsidRPr="00E344A0">
              <w:t xml:space="preserve"> év, amelyik előbb bekövetkezik</w:t>
            </w:r>
          </w:p>
        </w:tc>
        <w:tc>
          <w:tcPr>
            <w:tcW w:w="2589"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Az alap élettartam túllépése után; legfeljebb </w:t>
            </w:r>
            <w:r w:rsidRPr="00E344A0">
              <w:rPr>
                <w:b/>
                <w:bCs/>
                <w:i/>
                <w:iCs/>
              </w:rPr>
              <w:t>375 000</w:t>
            </w:r>
            <w:r w:rsidRPr="00E344A0">
              <w:t> km</w:t>
            </w:r>
          </w:p>
        </w:tc>
        <w:tc>
          <w:tcPr>
            <w:tcW w:w="2490"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Az alap élettartam túllépése után; legfeljebb </w:t>
            </w:r>
          </w:p>
          <w:p w:rsidR="00FF715E" w:rsidRPr="00E344A0" w:rsidRDefault="00FF715E" w:rsidP="00CD27F0">
            <w:pPr>
              <w:rPr>
                <w:noProof/>
              </w:rPr>
            </w:pPr>
            <w:r w:rsidRPr="00E344A0">
              <w:rPr>
                <w:b/>
                <w:i/>
              </w:rPr>
              <w:t>875 000</w:t>
            </w:r>
            <w:r w:rsidRPr="00E344A0">
              <w:t xml:space="preserve"> km </w:t>
            </w:r>
          </w:p>
        </w:tc>
      </w:tr>
    </w:tbl>
    <w:p w:rsidR="00FF715E" w:rsidRPr="00E344A0" w:rsidRDefault="00FF715E" w:rsidP="00FF715E">
      <w:pPr>
        <w:pStyle w:val="AmOrLang"/>
      </w:pPr>
    </w:p>
    <w:tbl>
      <w:tblPr>
        <w:tblStyle w:val="TableGrid"/>
        <w:tblW w:w="9165" w:type="dxa"/>
        <w:tblLook w:val="04A0" w:firstRow="1" w:lastRow="0" w:firstColumn="1" w:lastColumn="0" w:noHBand="0" w:noVBand="1"/>
      </w:tblPr>
      <w:tblGrid>
        <w:gridCol w:w="2189"/>
        <w:gridCol w:w="2226"/>
        <w:gridCol w:w="2417"/>
        <w:gridCol w:w="2333"/>
      </w:tblGrid>
      <w:tr w:rsidR="00FF715E" w:rsidRPr="00E344A0" w:rsidTr="00CD27F0">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jc w:val="center"/>
              <w:rPr>
                <w:i/>
                <w:noProof/>
              </w:rPr>
            </w:pPr>
            <w:r w:rsidRPr="00E344A0">
              <w:rPr>
                <w:i/>
              </w:rPr>
              <w:t>Módosítás</w:t>
            </w:r>
          </w:p>
        </w:tc>
      </w:tr>
      <w:tr w:rsidR="00FF715E" w:rsidRPr="00E344A0" w:rsidTr="00CD27F0">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FF715E" w:rsidRPr="00E344A0" w:rsidRDefault="00FF715E" w:rsidP="00CD27F0">
            <w:pPr>
              <w:rPr>
                <w:noProof/>
              </w:rPr>
            </w:pPr>
            <w:r w:rsidRPr="00E344A0">
              <w:t>1. táblázat: A járművek, motorok és kibocsátáscsökkentő rendszerek élettartama</w:t>
            </w:r>
          </w:p>
        </w:tc>
      </w:tr>
      <w:tr w:rsidR="00FF715E" w:rsidRPr="00E344A0" w:rsidTr="00CD27F0">
        <w:trPr>
          <w:trHeight w:val="690"/>
        </w:trPr>
        <w:tc>
          <w:tcPr>
            <w:tcW w:w="1729"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A járművek, motorok és kibocsátáscsökkentő pótrendszerek élettartama</w:t>
            </w:r>
          </w:p>
        </w:tc>
        <w:tc>
          <w:tcPr>
            <w:tcW w:w="236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M</w:t>
            </w:r>
            <w:r w:rsidRPr="00E344A0">
              <w:rPr>
                <w:vertAlign w:val="subscript"/>
              </w:rPr>
              <w:t>1</w:t>
            </w:r>
            <w:r w:rsidRPr="00E344A0">
              <w:t>, N</w:t>
            </w:r>
            <w:r w:rsidRPr="00E344A0">
              <w:rPr>
                <w:vertAlign w:val="subscript"/>
              </w:rPr>
              <w:t>1</w:t>
            </w:r>
            <w:r w:rsidRPr="00E344A0">
              <w:t xml:space="preserve"> és M</w:t>
            </w:r>
            <w:r w:rsidRPr="00E344A0">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N</w:t>
            </w:r>
            <w:r w:rsidRPr="00E344A0">
              <w:rPr>
                <w:vertAlign w:val="subscript"/>
              </w:rPr>
              <w:t>2</w:t>
            </w:r>
            <w:r w:rsidRPr="00E344A0">
              <w:t xml:space="preserve">, </w:t>
            </w:r>
            <w:r w:rsidRPr="00E344A0">
              <w:rPr>
                <w:b/>
                <w:i/>
              </w:rPr>
              <w:t>N</w:t>
            </w:r>
            <w:r w:rsidRPr="00E344A0">
              <w:rPr>
                <w:b/>
                <w:i/>
                <w:vertAlign w:val="subscript"/>
              </w:rPr>
              <w:t>3</w:t>
            </w:r>
            <w:r w:rsidRPr="00E344A0">
              <w:rPr>
                <w:b/>
                <w:i/>
              </w:rPr>
              <w:t>≤16t</w:t>
            </w:r>
            <w:r w:rsidRPr="00E344A0">
              <w:t xml:space="preserve">, </w:t>
            </w:r>
            <w:r w:rsidRPr="00E344A0">
              <w:rPr>
                <w:b/>
                <w:i/>
              </w:rPr>
              <w:t>M</w:t>
            </w:r>
            <w:r w:rsidRPr="00E344A0">
              <w:rPr>
                <w:b/>
                <w:i/>
                <w:vertAlign w:val="subscript"/>
              </w:rPr>
              <w:t>3</w:t>
            </w:r>
            <w:r w:rsidRPr="00E344A0">
              <w:rPr>
                <w:b/>
                <w:i/>
              </w:rPr>
              <w:t>≤7,5t</w:t>
            </w:r>
            <w:r w:rsidRPr="00E344A0">
              <w:t>:</w:t>
            </w:r>
          </w:p>
        </w:tc>
        <w:tc>
          <w:tcPr>
            <w:tcW w:w="248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N</w:t>
            </w:r>
            <w:r w:rsidRPr="00E344A0">
              <w:rPr>
                <w:vertAlign w:val="subscript"/>
              </w:rPr>
              <w:t>3</w:t>
            </w:r>
            <w:r w:rsidRPr="00E344A0">
              <w:t>&gt;16t, M</w:t>
            </w:r>
            <w:r w:rsidRPr="00E344A0">
              <w:rPr>
                <w:vertAlign w:val="subscript"/>
              </w:rPr>
              <w:t>3</w:t>
            </w:r>
            <w:r w:rsidRPr="00E344A0">
              <w:t>&gt;7,5t</w:t>
            </w:r>
          </w:p>
        </w:tc>
      </w:tr>
      <w:tr w:rsidR="00FF715E" w:rsidRPr="00E344A0" w:rsidTr="00CD27F0">
        <w:trPr>
          <w:trHeight w:val="1344"/>
        </w:trPr>
        <w:tc>
          <w:tcPr>
            <w:tcW w:w="1729"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lastRenderedPageBreak/>
              <w:t>Alap élettartam</w:t>
            </w:r>
          </w:p>
        </w:tc>
        <w:tc>
          <w:tcPr>
            <w:tcW w:w="236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Legfeljebb </w:t>
            </w:r>
            <w:r w:rsidRPr="00E344A0">
              <w:rPr>
                <w:b/>
                <w:bCs/>
                <w:i/>
                <w:iCs/>
              </w:rPr>
              <w:t>200 000</w:t>
            </w:r>
            <w:r w:rsidRPr="00E344A0">
              <w:t xml:space="preserve"> km vagy </w:t>
            </w:r>
            <w:r w:rsidRPr="00E344A0">
              <w:rPr>
                <w:b/>
                <w:bCs/>
                <w:i/>
                <w:iCs/>
              </w:rPr>
              <w:t>10</w:t>
            </w:r>
            <w:r w:rsidRPr="00E344A0">
              <w:t xml:space="preserve"> év, amelyik előbb bekövetkezik</w:t>
            </w:r>
          </w:p>
        </w:tc>
        <w:tc>
          <w:tcPr>
            <w:tcW w:w="2587"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Legfeljebb </w:t>
            </w:r>
            <w:r w:rsidRPr="00E344A0">
              <w:rPr>
                <w:b/>
                <w:bCs/>
                <w:i/>
                <w:iCs/>
              </w:rPr>
              <w:t>340 000</w:t>
            </w:r>
            <w:r w:rsidRPr="00E344A0">
              <w:t xml:space="preserve"> km vagy </w:t>
            </w:r>
            <w:r w:rsidRPr="00E344A0">
              <w:rPr>
                <w:b/>
                <w:bCs/>
                <w:i/>
                <w:iCs/>
              </w:rPr>
              <w:t>10</w:t>
            </w:r>
            <w:r w:rsidRPr="00E344A0">
              <w:t xml:space="preserve"> év, amelyik előbb bekövetkezik</w:t>
            </w:r>
          </w:p>
        </w:tc>
        <w:tc>
          <w:tcPr>
            <w:tcW w:w="248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Legfeljebb </w:t>
            </w:r>
            <w:r w:rsidRPr="00E344A0">
              <w:rPr>
                <w:b/>
                <w:bCs/>
                <w:i/>
                <w:iCs/>
              </w:rPr>
              <w:t>750 000</w:t>
            </w:r>
            <w:r w:rsidRPr="00E344A0">
              <w:t> km vagy 15 év, amelyik előbb bekövetkezik</w:t>
            </w:r>
          </w:p>
        </w:tc>
      </w:tr>
      <w:tr w:rsidR="00FF715E" w:rsidRPr="00E344A0" w:rsidTr="00CD27F0">
        <w:trPr>
          <w:trHeight w:val="2019"/>
        </w:trPr>
        <w:tc>
          <w:tcPr>
            <w:tcW w:w="1729"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További élettartam</w:t>
            </w:r>
          </w:p>
        </w:tc>
        <w:tc>
          <w:tcPr>
            <w:tcW w:w="2361"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Az alap élettartam túllépése után; legfeljebb </w:t>
            </w:r>
            <w:r w:rsidRPr="00E344A0">
              <w:rPr>
                <w:b/>
                <w:bCs/>
                <w:i/>
                <w:iCs/>
              </w:rPr>
              <w:t>240 000</w:t>
            </w:r>
            <w:r w:rsidRPr="00E344A0">
              <w:t xml:space="preserve"> km vagy </w:t>
            </w:r>
            <w:r w:rsidRPr="00E344A0">
              <w:rPr>
                <w:b/>
                <w:bCs/>
                <w:i/>
                <w:iCs/>
              </w:rPr>
              <w:t>12</w:t>
            </w:r>
            <w:r w:rsidRPr="00E344A0">
              <w:t xml:space="preserve"> év, amelyik előbb bekövetkezik</w:t>
            </w:r>
          </w:p>
        </w:tc>
        <w:tc>
          <w:tcPr>
            <w:tcW w:w="2587"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b/>
                <w:i/>
                <w:noProof/>
              </w:rPr>
            </w:pPr>
            <w:r w:rsidRPr="00E344A0">
              <w:t xml:space="preserve">Az alap élettartam túllépése után; legfeljebb </w:t>
            </w:r>
            <w:r w:rsidRPr="00E344A0">
              <w:rPr>
                <w:b/>
                <w:bCs/>
                <w:i/>
                <w:iCs/>
              </w:rPr>
              <w:t>400 000</w:t>
            </w:r>
            <w:r w:rsidRPr="00E344A0">
              <w:t xml:space="preserve"> km </w:t>
            </w:r>
            <w:r w:rsidRPr="00E344A0">
              <w:rPr>
                <w:b/>
                <w:bCs/>
                <w:i/>
                <w:iCs/>
              </w:rPr>
              <w:t>vagy 12 év, amelyik előbb bekövetkezik</w:t>
            </w:r>
          </w:p>
        </w:tc>
        <w:tc>
          <w:tcPr>
            <w:tcW w:w="2488" w:type="dxa"/>
            <w:tcBorders>
              <w:top w:val="single" w:sz="4" w:space="0" w:color="auto"/>
              <w:left w:val="single" w:sz="4" w:space="0" w:color="auto"/>
              <w:bottom w:val="single" w:sz="4" w:space="0" w:color="auto"/>
              <w:right w:val="single" w:sz="4" w:space="0" w:color="auto"/>
            </w:tcBorders>
            <w:hideMark/>
          </w:tcPr>
          <w:p w:rsidR="00FF715E" w:rsidRPr="00E344A0" w:rsidRDefault="00FF715E" w:rsidP="00CD27F0">
            <w:pPr>
              <w:rPr>
                <w:noProof/>
              </w:rPr>
            </w:pPr>
            <w:r w:rsidRPr="00E344A0">
              <w:t xml:space="preserve">Az alap élettartam túllépése után; legfeljebb </w:t>
            </w:r>
          </w:p>
          <w:p w:rsidR="00FF715E" w:rsidRPr="00E344A0" w:rsidRDefault="00FF715E" w:rsidP="00CD27F0">
            <w:pPr>
              <w:rPr>
                <w:noProof/>
              </w:rPr>
            </w:pPr>
            <w:r w:rsidRPr="00E344A0">
              <w:rPr>
                <w:b/>
                <w:bCs/>
                <w:i/>
                <w:iCs/>
              </w:rPr>
              <w:t>900 000</w:t>
            </w:r>
            <w:r w:rsidRPr="00E344A0">
              <w:t xml:space="preserve"> km </w:t>
            </w:r>
            <w:r w:rsidRPr="00E344A0">
              <w:rPr>
                <w:b/>
                <w:bCs/>
                <w:i/>
                <w:iCs/>
              </w:rPr>
              <w:t>vagy 17 év, amelyik előbb bekövetkezik</w:t>
            </w:r>
            <w:r w:rsidRPr="00E344A0">
              <w:t xml:space="preserve"> </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163</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V melléklet – 3 táblázat</w:t>
      </w:r>
    </w:p>
    <w:tbl>
      <w:tblPr>
        <w:tblW w:w="9214" w:type="dxa"/>
        <w:tblInd w:w="-3" w:type="dxa"/>
        <w:tblLayout w:type="fixed"/>
        <w:tblLook w:val="04A0" w:firstRow="1" w:lastRow="0" w:firstColumn="1" w:lastColumn="0" w:noHBand="0" w:noVBand="1"/>
      </w:tblPr>
      <w:tblGrid>
        <w:gridCol w:w="2210"/>
        <w:gridCol w:w="2210"/>
        <w:gridCol w:w="2210"/>
        <w:gridCol w:w="2584"/>
      </w:tblGrid>
      <w:tr w:rsidR="00FF715E" w:rsidRPr="00E344A0" w:rsidTr="00CD27F0">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jc w:val="center"/>
              <w:rPr>
                <w:b/>
                <w:i/>
                <w:noProof/>
              </w:rPr>
            </w:pPr>
            <w:r w:rsidRPr="00E344A0">
              <w:rPr>
                <w:i/>
              </w:rPr>
              <w:t>A Bizottság által javasolt szöveg</w:t>
            </w:r>
          </w:p>
        </w:tc>
      </w:tr>
      <w:tr w:rsidR="00FF715E" w:rsidRPr="00E344A0" w:rsidTr="00CD27F0">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rPr>
                <w:noProof/>
              </w:rPr>
            </w:pPr>
            <w:r w:rsidRPr="00E344A0">
              <w:t>3. táblázat: A vizsgálati követelményeknek a nyilatkozatoknak, valamint a típusjóváhagyásokra és kiterjesztésekre vonatkozó egyéb követelményeknek a gyártó általi alkalmazása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 esetében</w:t>
            </w:r>
          </w:p>
        </w:tc>
      </w:tr>
      <w:tr w:rsidR="00FF715E" w:rsidRPr="00E344A0" w:rsidTr="00CD27F0">
        <w:trPr>
          <w:trHeight w:val="222"/>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Vizsgálati követelmények</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 xml:space="preserve">Vizsgálatok és követelmények </w:t>
            </w:r>
            <w:r w:rsidRPr="00E344A0">
              <w:rPr>
                <w:b/>
                <w:bCs/>
                <w:i/>
                <w:iCs/>
              </w:rPr>
              <w:t>az első kibocsátási típusjóváhagyáskor</w:t>
            </w:r>
            <w:r w:rsidRPr="00E344A0">
              <w:t xml:space="preserve"> </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 xml:space="preserve">A gyártás megfelelőségének ellenőrzésére irányuló vizsgálatok </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A használatban lévő járművek megfelelőségének ellenőrzésére irányuló vizsgálatok</w:t>
            </w:r>
          </w:p>
        </w:tc>
      </w:tr>
      <w:tr w:rsidR="00FF715E" w:rsidRPr="00E344A0" w:rsidTr="00CD27F0">
        <w:trPr>
          <w:trHeight w:val="274"/>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noProof/>
              </w:rPr>
            </w:pPr>
            <w:r w:rsidRPr="00E344A0">
              <w:t xml:space="preserve">Gáz-halmazállapotú szennyező anyagok, </w:t>
            </w:r>
            <w:r w:rsidRPr="00E344A0">
              <w:rPr>
                <w:b/>
                <w:bCs/>
                <w:i/>
                <w:iCs/>
              </w:rPr>
              <w:t>PM és</w:t>
            </w:r>
            <w:r w:rsidRPr="00E344A0">
              <w:t xml:space="preserve"> PN a közúti (RDE) vizsgálatok során minden egyes üzemanyag és lefedett járműkategória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tekintetében</w:t>
            </w:r>
            <w:r w:rsidRPr="00E344A0">
              <w:rPr>
                <w:b/>
                <w:bCs/>
                <w:i/>
                <w:iCs/>
              </w:rPr>
              <w:t>, valamint (adott esetben) alacsony terhelés melletti vizsgálat</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Előírt igazoló vizsgálat járműtípusonként minden olyan tüzelőanyag esetében, amelyre a típusjóváhagyást megadták, valamint megfelelőségi nyilatkozat valamennyi tüzelőanyag, hasznos terhelés és lefedett </w:t>
            </w:r>
            <w:r w:rsidRPr="00E344A0">
              <w:rPr>
                <w:b/>
                <w:bCs/>
                <w:i/>
                <w:iCs/>
              </w:rPr>
              <w:t>járműtípus</w:t>
            </w:r>
            <w:r w:rsidRPr="00E344A0">
              <w:t xml:space="preserve"> tekintetében</w:t>
            </w:r>
          </w:p>
        </w:tc>
        <w:tc>
          <w:tcPr>
            <w:tcW w:w="2210"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rPr>
                <w:b/>
                <w:i/>
                <w:noProof/>
              </w:rPr>
            </w:pPr>
            <w:r w:rsidRPr="00E344A0">
              <w:rPr>
                <w:b/>
                <w:i/>
              </w:rPr>
              <w:t>A gyártás megfelelőségének ellenőrzése csak a motor szintjén</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Kétévente kötelező vizsgálat üzemanyagrendszertől, járműkategóriától és hasznos terheléstől függetlenül minden motortípus esetében</w:t>
            </w:r>
          </w:p>
        </w:tc>
      </w:tr>
      <w:tr w:rsidR="00FF715E" w:rsidRPr="00E344A0" w:rsidTr="00CD27F0">
        <w:trPr>
          <w:trHeight w:val="215"/>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A gépjármű CO</w:t>
            </w:r>
            <w:r w:rsidRPr="00E344A0">
              <w:rPr>
                <w:b/>
                <w:i/>
                <w:vertAlign w:val="subscript"/>
              </w:rPr>
              <w:t>2</w:t>
            </w:r>
            <w:r w:rsidRPr="00E344A0">
              <w:rPr>
                <w:b/>
                <w:i/>
              </w:rPr>
              <w:t>-kibocsátásának, üzemanyag- és energiafogyasztásá</w:t>
            </w:r>
            <w:r w:rsidRPr="00E344A0">
              <w:rPr>
                <w:b/>
                <w:i/>
              </w:rPr>
              <w:lastRenderedPageBreak/>
              <w:t>nak, kibocsátásmentes/elektromos hatótávolságának és motorteljesítményének meghatározása</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lastRenderedPageBreak/>
              <w:t>A jármű energiafogyasztását kiszámító eszköz engedély</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A komponensek esetében</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r>
      <w:tr w:rsidR="00FF715E" w:rsidRPr="00E344A0" w:rsidTr="00CD27F0">
        <w:trPr>
          <w:trHeight w:val="215"/>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pótkocsik energiahatékonysága</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jármű energiafogyasztását kiszámító eszköz engedély</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komponensek esetében</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r>
      <w:tr w:rsidR="00FF715E" w:rsidRPr="00E344A0" w:rsidTr="00CD27F0">
        <w:trPr>
          <w:trHeight w:val="215"/>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Ellenőrzési vizsgálati eljárás</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r>
      <w:tr w:rsidR="00FF715E" w:rsidRPr="00E344A0" w:rsidTr="00CD27F0">
        <w:trPr>
          <w:trHeight w:val="215"/>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Kartergáz-kibocsátás</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Annak ellenőrzése, hogy a forgattyúházrendszer zárt-e, vagy be van-e szerelve elvezetés a kipufogócsőhöz</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r w:rsidRPr="00E344A0">
              <w:rPr>
                <w:vertAlign w:val="superscript"/>
              </w:rPr>
              <w:t>6</w:t>
            </w:r>
          </w:p>
        </w:tc>
      </w:tr>
      <w:tr w:rsidR="00FF715E" w:rsidRPr="00E344A0" w:rsidTr="00CD27F0">
        <w:trPr>
          <w:trHeight w:val="222"/>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kibocsátáscsökkentési teljesítményének tartóssága</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r>
      <w:tr w:rsidR="00FF715E" w:rsidRPr="00E344A0" w:rsidTr="00CD27F0">
        <w:trPr>
          <w:trHeight w:val="222"/>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Akkumulátortartósság</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r>
      <w:tr w:rsidR="00FF715E" w:rsidRPr="00E344A0" w:rsidTr="00CD27F0">
        <w:trPr>
          <w:trHeight w:val="222"/>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Fedélzeti diagnosztika (OBD-család szintű) </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r w:rsidRPr="00E344A0">
              <w:rPr>
                <w:vertAlign w:val="superscript"/>
              </w:rPr>
              <w:t>6</w:t>
            </w:r>
          </w:p>
        </w:tc>
      </w:tr>
      <w:tr w:rsidR="00FF715E" w:rsidRPr="00E344A0" w:rsidTr="00CD27F0">
        <w:trPr>
          <w:trHeight w:val="365"/>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Fedélzeti ellenőrző rendszer (OBM-család szintű)</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Igazolás és nyilatkozat</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r>
      <w:tr w:rsidR="00FF715E" w:rsidRPr="00E344A0" w:rsidTr="00CD27F0">
        <w:trPr>
          <w:trHeight w:val="222"/>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Manipulálás elleni, biztonsági és kiberbiztonsági rendszerek</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 és dokumentáció</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r>
      <w:tr w:rsidR="00FF715E" w:rsidRPr="00E344A0" w:rsidTr="00CD27F0">
        <w:trPr>
          <w:trHeight w:val="222"/>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Adaptív szabályozás (adott esetben)</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Nyilatkozat</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r>
      <w:tr w:rsidR="00FF715E" w:rsidRPr="00E344A0" w:rsidTr="00CD27F0">
        <w:trPr>
          <w:trHeight w:val="222"/>
        </w:trPr>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Virtuális elkerítési technológiák (adott esetben)</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Nyilatkozat és igazolás</w:t>
            </w:r>
          </w:p>
        </w:tc>
        <w:tc>
          <w:tcPr>
            <w:tcW w:w="2210"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c>
          <w:tcPr>
            <w:tcW w:w="2584"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r>
    </w:tbl>
    <w:p w:rsidR="00FF715E" w:rsidRPr="00E344A0" w:rsidRDefault="00FF715E" w:rsidP="00FF715E"/>
    <w:p w:rsidR="00FF715E" w:rsidRPr="00E344A0" w:rsidRDefault="00FF715E" w:rsidP="00FF715E"/>
    <w:tbl>
      <w:tblPr>
        <w:tblW w:w="8931" w:type="dxa"/>
        <w:tblInd w:w="-3" w:type="dxa"/>
        <w:tblLayout w:type="fixed"/>
        <w:tblLook w:val="04A0" w:firstRow="1" w:lastRow="0" w:firstColumn="1" w:lastColumn="0" w:noHBand="0" w:noVBand="1"/>
      </w:tblPr>
      <w:tblGrid>
        <w:gridCol w:w="2368"/>
        <w:gridCol w:w="2368"/>
        <w:gridCol w:w="2368"/>
        <w:gridCol w:w="1827"/>
      </w:tblGrid>
      <w:tr w:rsidR="00FF715E" w:rsidRPr="00E344A0" w:rsidTr="00CD27F0">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jc w:val="center"/>
              <w:rPr>
                <w:i/>
                <w:noProof/>
                <w:szCs w:val="24"/>
              </w:rPr>
            </w:pPr>
            <w:r w:rsidRPr="00E344A0">
              <w:rPr>
                <w:i/>
              </w:rPr>
              <w:lastRenderedPageBreak/>
              <w:t>Módosítás</w:t>
            </w:r>
          </w:p>
        </w:tc>
      </w:tr>
      <w:tr w:rsidR="00FF715E" w:rsidRPr="00E344A0" w:rsidTr="00CD27F0">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after="200" w:line="276" w:lineRule="auto"/>
              <w:rPr>
                <w:noProof/>
                <w:szCs w:val="24"/>
              </w:rPr>
            </w:pPr>
            <w:r w:rsidRPr="00E344A0">
              <w:t>3. táblázat: A vizsgálati követelményeknek, a nyilatkozatoknak, valamint a típusjóváhagyásokra és kiterjesztésekre vonatkozó egyéb követelményeknek a gyártó általi alkalmazása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 esetében</w:t>
            </w:r>
          </w:p>
        </w:tc>
      </w:tr>
      <w:tr w:rsidR="00FF715E" w:rsidRPr="00E344A0" w:rsidTr="00CD27F0">
        <w:trPr>
          <w:trHeight w:val="228"/>
        </w:trPr>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jc w:val="center"/>
              <w:rPr>
                <w:noProof/>
                <w:szCs w:val="24"/>
              </w:rPr>
            </w:pPr>
            <w:r w:rsidRPr="00E344A0">
              <w:t>Vizsgálati követelmények</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jc w:val="center"/>
              <w:rPr>
                <w:noProof/>
                <w:szCs w:val="24"/>
              </w:rPr>
            </w:pPr>
            <w:r w:rsidRPr="00E344A0">
              <w:rPr>
                <w:b/>
                <w:bCs/>
                <w:i/>
                <w:iCs/>
              </w:rPr>
              <w:t>A kibocsátási típusjóváhagyásra vonatkozó</w:t>
            </w:r>
            <w:r w:rsidRPr="00E344A0">
              <w:t xml:space="preserve"> vizsgálatok és követelmények  </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jc w:val="center"/>
              <w:rPr>
                <w:noProof/>
                <w:szCs w:val="24"/>
              </w:rPr>
            </w:pPr>
            <w:r w:rsidRPr="00E344A0">
              <w:t xml:space="preserve">A gyártás megfelelőségének ellenőrzésére irányuló vizsgálatok </w:t>
            </w:r>
          </w:p>
        </w:tc>
        <w:tc>
          <w:tcPr>
            <w:tcW w:w="1827"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jc w:val="center"/>
              <w:rPr>
                <w:noProof/>
                <w:szCs w:val="24"/>
              </w:rPr>
            </w:pPr>
            <w:r w:rsidRPr="00E344A0">
              <w:t>A használatban lévő járművek megfelelőségének ellenőrzésére irányuló vizsgálatok</w:t>
            </w:r>
          </w:p>
        </w:tc>
      </w:tr>
      <w:tr w:rsidR="00FF715E" w:rsidRPr="00E344A0" w:rsidTr="00CD27F0">
        <w:trPr>
          <w:trHeight w:val="282"/>
        </w:trPr>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b/>
                <w:i/>
                <w:noProof/>
                <w:szCs w:val="24"/>
              </w:rPr>
            </w:pPr>
            <w:r w:rsidRPr="00E344A0">
              <w:rPr>
                <w:b/>
                <w:i/>
              </w:rPr>
              <w:t>Gáz-halmazállapotú szennyező anyagok, PM és PN, CO</w:t>
            </w:r>
            <w:r w:rsidRPr="00E344A0">
              <w:rPr>
                <w:b/>
                <w:i/>
                <w:vertAlign w:val="subscript"/>
              </w:rPr>
              <w:t>2</w:t>
            </w:r>
            <w:r w:rsidRPr="00E344A0">
              <w:rPr>
                <w:b/>
                <w:i/>
              </w:rPr>
              <w:t>-kibocsátás, üzemanyag-fogyasztás tranziens vizsgálati ciklus alatt (hideg és meleg WHTC)</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b/>
                <w:bCs/>
                <w:i/>
                <w:noProof/>
                <w:szCs w:val="24"/>
              </w:rPr>
            </w:pPr>
            <w:r w:rsidRPr="00E344A0">
              <w:rPr>
                <w:b/>
                <w:i/>
              </w:rPr>
              <w:t>Kötelező a kibocsátási járműcsalád alapmotorja esetében, és nyilatkozat a járműcsalád valamennyi tagja tekintetében*</w:t>
            </w:r>
          </w:p>
          <w:p w:rsidR="00FF715E" w:rsidRPr="00E344A0" w:rsidRDefault="00FF715E" w:rsidP="00CD27F0">
            <w:pPr>
              <w:spacing w:before="60" w:after="60"/>
              <w:rPr>
                <w:b/>
                <w:i/>
                <w:noProof/>
                <w:szCs w:val="24"/>
              </w:rPr>
            </w:pPr>
            <w:r w:rsidRPr="00E344A0">
              <w:rPr>
                <w:b/>
                <w:i/>
              </w:rPr>
              <w:t>**</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b/>
                <w:i/>
                <w:noProof/>
                <w:szCs w:val="24"/>
              </w:rPr>
            </w:pPr>
            <w:r w:rsidRPr="00E344A0">
              <w:rPr>
                <w:b/>
                <w:i/>
              </w:rPr>
              <w:t>Kötelező a motorcsalád egy tagja esetében</w:t>
            </w:r>
          </w:p>
          <w:p w:rsidR="00FF715E" w:rsidRPr="00E344A0" w:rsidRDefault="00FF715E" w:rsidP="00CD27F0">
            <w:pPr>
              <w:spacing w:before="60" w:after="60"/>
              <w:rPr>
                <w:b/>
                <w:i/>
                <w:noProof/>
                <w:szCs w:val="24"/>
              </w:rPr>
            </w:pPr>
            <w:r w:rsidRPr="00E344A0">
              <w:rPr>
                <w:b/>
                <w:i/>
              </w:rPr>
              <w:t>**</w:t>
            </w:r>
          </w:p>
        </w:tc>
        <w:tc>
          <w:tcPr>
            <w:tcW w:w="1827"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p>
        </w:tc>
      </w:tr>
      <w:tr w:rsidR="00FF715E" w:rsidRPr="00E344A0" w:rsidTr="00CD27F0">
        <w:trPr>
          <w:trHeight w:val="221"/>
        </w:trPr>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Gáz-halmazállapotú szennyező anyagok, PN a közúti (RDE) vizsgálatok során minden egyes üzemanyag és lefedett járműkategória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tekintetében</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b/>
                <w:bCs/>
                <w:noProof/>
                <w:szCs w:val="24"/>
                <w:u w:val="single"/>
              </w:rPr>
            </w:pPr>
            <w:r w:rsidRPr="00E344A0">
              <w:t xml:space="preserve">Előírt igazoló vizsgálat járműtípusonként minden olyan tüzelőanyag esetében, amelyre a típusjóváhagyást megadták, valamint megfelelőségi nyilatkozat valamennyi tüzelőanyag, hasznos terhelés és lefedett </w:t>
            </w:r>
            <w:r w:rsidRPr="00E344A0">
              <w:rPr>
                <w:b/>
                <w:bCs/>
                <w:i/>
                <w:iCs/>
              </w:rPr>
              <w:t>járműkategória</w:t>
            </w:r>
            <w:r w:rsidRPr="00E344A0">
              <w:rPr>
                <w:b/>
                <w:bCs/>
              </w:rPr>
              <w:t xml:space="preserve"> </w:t>
            </w:r>
            <w:r w:rsidRPr="00E344A0">
              <w:t>tekintetében</w:t>
            </w:r>
          </w:p>
          <w:p w:rsidR="00FF715E" w:rsidRPr="00E344A0" w:rsidRDefault="00FF715E" w:rsidP="00CD27F0">
            <w:pPr>
              <w:spacing w:before="60" w:after="60"/>
              <w:rPr>
                <w:b/>
                <w:i/>
                <w:noProof/>
                <w:szCs w:val="24"/>
              </w:rPr>
            </w:pPr>
            <w:r w:rsidRPr="00E344A0">
              <w:rPr>
                <w:b/>
                <w:i/>
              </w:rPr>
              <w:t>**</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i/>
                <w:noProof/>
                <w:szCs w:val="24"/>
              </w:rPr>
            </w:pPr>
            <w:r w:rsidRPr="00E344A0">
              <w:rPr>
                <w:b/>
                <w:i/>
              </w:rPr>
              <w:t>Nem kötelező</w:t>
            </w:r>
          </w:p>
        </w:tc>
        <w:tc>
          <w:tcPr>
            <w:tcW w:w="1827"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Kétévente kötelező vizsgálat üzemanyagrendszertől, járműkategóriától és hasznos terheléstől függetlenül minden motortípus esetében</w:t>
            </w:r>
          </w:p>
          <w:p w:rsidR="00FF715E" w:rsidRPr="00E344A0" w:rsidRDefault="00FF715E" w:rsidP="00CD27F0">
            <w:pPr>
              <w:spacing w:before="60" w:after="60"/>
              <w:rPr>
                <w:i/>
                <w:noProof/>
                <w:szCs w:val="24"/>
              </w:rPr>
            </w:pPr>
            <w:r w:rsidRPr="00E344A0">
              <w:rPr>
                <w:b/>
                <w:i/>
              </w:rPr>
              <w:t>**</w:t>
            </w:r>
          </w:p>
        </w:tc>
      </w:tr>
      <w:tr w:rsidR="00FF715E" w:rsidRPr="00E344A0" w:rsidTr="00CD27F0">
        <w:trPr>
          <w:trHeight w:val="221"/>
        </w:trPr>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A pótkocsik energiahatékonysága</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A jármű energiafogyasztását kiszámító eszköz engedély</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A komponensek esetében</w:t>
            </w:r>
          </w:p>
        </w:tc>
        <w:tc>
          <w:tcPr>
            <w:tcW w:w="1827"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Nem kötelező</w:t>
            </w:r>
          </w:p>
        </w:tc>
      </w:tr>
      <w:tr w:rsidR="00FF715E" w:rsidRPr="00E344A0" w:rsidTr="00CD27F0">
        <w:trPr>
          <w:trHeight w:val="221"/>
        </w:trPr>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Ellenőrzési vizsgálati eljárás</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Nem kötelező</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Kötelező</w:t>
            </w:r>
          </w:p>
        </w:tc>
        <w:tc>
          <w:tcPr>
            <w:tcW w:w="1827"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Nem kötelező</w:t>
            </w:r>
          </w:p>
        </w:tc>
      </w:tr>
      <w:tr w:rsidR="00FF715E" w:rsidRPr="00E344A0" w:rsidTr="00CD27F0">
        <w:trPr>
          <w:trHeight w:val="221"/>
        </w:trPr>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Kartergáz-kibocsátás</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 xml:space="preserve">Annak ellenőrzése, hogy a forgattyúházrendszer zárt-e, vagy be van-e </w:t>
            </w:r>
            <w:r w:rsidRPr="00E344A0">
              <w:lastRenderedPageBreak/>
              <w:t>szerelve elvezetés a kipufogócsőhöz</w:t>
            </w:r>
          </w:p>
          <w:p w:rsidR="00FF715E" w:rsidRPr="00E344A0" w:rsidRDefault="00FF715E" w:rsidP="00CD27F0">
            <w:pPr>
              <w:spacing w:before="60" w:after="60"/>
              <w:rPr>
                <w:i/>
                <w:noProof/>
                <w:szCs w:val="24"/>
              </w:rPr>
            </w:pPr>
            <w:r w:rsidRPr="00E344A0">
              <w:rPr>
                <w:b/>
                <w:i/>
              </w:rPr>
              <w:t>**</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lastRenderedPageBreak/>
              <w:t>Nem kötelező</w:t>
            </w:r>
          </w:p>
        </w:tc>
        <w:tc>
          <w:tcPr>
            <w:tcW w:w="1827"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Opcionális</w:t>
            </w:r>
            <w:r w:rsidRPr="00E344A0">
              <w:rPr>
                <w:vertAlign w:val="superscript"/>
              </w:rPr>
              <w:t>28</w:t>
            </w:r>
          </w:p>
        </w:tc>
      </w:tr>
      <w:tr w:rsidR="00FF715E" w:rsidRPr="00E344A0" w:rsidTr="00CD27F0">
        <w:trPr>
          <w:trHeight w:val="228"/>
        </w:trPr>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A kibocsátáscsökkentési teljesítményének tartóssága</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Nyilatkozat</w:t>
            </w:r>
          </w:p>
          <w:p w:rsidR="00FF715E" w:rsidRPr="00E344A0" w:rsidRDefault="00FF715E" w:rsidP="00CD27F0">
            <w:pPr>
              <w:spacing w:before="60" w:after="60"/>
              <w:ind w:left="567" w:hanging="567"/>
              <w:rPr>
                <w:i/>
                <w:noProof/>
                <w:szCs w:val="24"/>
              </w:rPr>
            </w:pPr>
            <w:r w:rsidRPr="00E344A0">
              <w:rPr>
                <w:b/>
                <w:i/>
              </w:rPr>
              <w:t>**</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Nem kötelező</w:t>
            </w:r>
          </w:p>
        </w:tc>
        <w:tc>
          <w:tcPr>
            <w:tcW w:w="1827"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noProof/>
                <w:szCs w:val="24"/>
              </w:rPr>
            </w:pPr>
            <w:r w:rsidRPr="00E344A0">
              <w:t>Nem kötelező</w:t>
            </w:r>
          </w:p>
        </w:tc>
      </w:tr>
      <w:tr w:rsidR="00FF715E" w:rsidRPr="00E344A0" w:rsidTr="00CD27F0">
        <w:trPr>
          <w:trHeight w:val="228"/>
        </w:trPr>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b/>
                <w:bCs/>
                <w:i/>
                <w:noProof/>
                <w:szCs w:val="24"/>
              </w:rPr>
            </w:pPr>
            <w:r w:rsidRPr="00E344A0">
              <w:rPr>
                <w:b/>
                <w:i/>
              </w:rPr>
              <w:t>A reagenst és kibocsátáscsökkentő rendszereket használó rendszerek helyes működése</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b/>
                <w:bCs/>
                <w:i/>
                <w:noProof/>
                <w:szCs w:val="24"/>
              </w:rPr>
            </w:pPr>
            <w:r w:rsidRPr="00E344A0">
              <w:rPr>
                <w:b/>
                <w:i/>
              </w:rPr>
              <w:t>Nyilatkozat</w:t>
            </w:r>
          </w:p>
          <w:p w:rsidR="00FF715E" w:rsidRPr="00E344A0" w:rsidRDefault="00FF715E" w:rsidP="00CD27F0">
            <w:pPr>
              <w:spacing w:before="60" w:after="60"/>
              <w:rPr>
                <w:b/>
                <w:bCs/>
                <w:i/>
                <w:noProof/>
                <w:szCs w:val="24"/>
              </w:rPr>
            </w:pPr>
            <w:r w:rsidRPr="00E344A0">
              <w:rPr>
                <w:b/>
                <w:i/>
              </w:rPr>
              <w:t>**</w:t>
            </w:r>
          </w:p>
        </w:tc>
        <w:tc>
          <w:tcPr>
            <w:tcW w:w="2368"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b/>
                <w:bCs/>
                <w:i/>
                <w:noProof/>
                <w:szCs w:val="24"/>
              </w:rPr>
            </w:pPr>
            <w:r w:rsidRPr="00E344A0">
              <w:rPr>
                <w:b/>
                <w:i/>
              </w:rPr>
              <w:t>Nem kötelező</w:t>
            </w:r>
          </w:p>
          <w:p w:rsidR="00FF715E" w:rsidRPr="00E344A0" w:rsidRDefault="00FF715E" w:rsidP="00CD27F0">
            <w:pPr>
              <w:spacing w:before="60" w:after="60"/>
              <w:rPr>
                <w:b/>
                <w:bCs/>
                <w:i/>
                <w:noProof/>
                <w:szCs w:val="24"/>
              </w:rPr>
            </w:pPr>
            <w:r w:rsidRPr="00E344A0">
              <w:rPr>
                <w:b/>
                <w:i/>
              </w:rPr>
              <w:t>**</w:t>
            </w:r>
          </w:p>
        </w:tc>
        <w:tc>
          <w:tcPr>
            <w:tcW w:w="1827" w:type="dxa"/>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before="60" w:after="60"/>
              <w:rPr>
                <w:b/>
                <w:bCs/>
                <w:i/>
                <w:noProof/>
                <w:szCs w:val="24"/>
              </w:rPr>
            </w:pPr>
            <w:r w:rsidRPr="00E344A0">
              <w:rPr>
                <w:b/>
                <w:i/>
              </w:rPr>
              <w:t>Opcionális</w:t>
            </w:r>
          </w:p>
          <w:p w:rsidR="00FF715E" w:rsidRPr="00E344A0" w:rsidRDefault="00FF715E" w:rsidP="00CD27F0">
            <w:pPr>
              <w:spacing w:before="60" w:after="60"/>
              <w:rPr>
                <w:b/>
                <w:bCs/>
                <w:i/>
                <w:noProof/>
                <w:szCs w:val="24"/>
              </w:rPr>
            </w:pPr>
            <w:r w:rsidRPr="00E344A0">
              <w:rPr>
                <w:b/>
                <w:i/>
              </w:rPr>
              <w:t>**</w:t>
            </w:r>
          </w:p>
        </w:tc>
      </w:tr>
      <w:tr w:rsidR="00FF715E" w:rsidRPr="00E344A0" w:rsidTr="00CD27F0">
        <w:trPr>
          <w:trHeight w:val="228"/>
        </w:trPr>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Akkumulátortartósság</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Nyilatkozat</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Nem kötelező</w:t>
            </w:r>
          </w:p>
        </w:tc>
        <w:tc>
          <w:tcPr>
            <w:tcW w:w="1827"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Nem kötelező</w:t>
            </w:r>
          </w:p>
        </w:tc>
      </w:tr>
      <w:tr w:rsidR="00FF715E" w:rsidRPr="00E344A0" w:rsidTr="00CD27F0">
        <w:trPr>
          <w:trHeight w:val="228"/>
        </w:trPr>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bCs/>
                <w:i/>
                <w:noProof/>
                <w:szCs w:val="24"/>
              </w:rPr>
            </w:pPr>
            <w:r w:rsidRPr="00E344A0">
              <w:rPr>
                <w:b/>
                <w:i/>
              </w:rPr>
              <w:t>Teljesítménymeghatározás</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bCs/>
                <w:i/>
                <w:noProof/>
                <w:szCs w:val="24"/>
              </w:rPr>
            </w:pPr>
            <w:r w:rsidRPr="00E344A0">
              <w:rPr>
                <w:b/>
                <w:i/>
              </w:rPr>
              <w:t>Kötelező</w:t>
            </w:r>
          </w:p>
          <w:p w:rsidR="00FF715E" w:rsidRPr="00E344A0" w:rsidRDefault="00FF715E" w:rsidP="00CD27F0">
            <w:pPr>
              <w:spacing w:before="60" w:after="60"/>
              <w:rPr>
                <w:b/>
                <w:bCs/>
                <w:i/>
                <w:noProof/>
                <w:szCs w:val="24"/>
              </w:rPr>
            </w:pPr>
            <w:r w:rsidRPr="00E344A0">
              <w:rPr>
                <w:b/>
                <w:i/>
              </w:rPr>
              <w:t>**</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bCs/>
                <w:i/>
                <w:noProof/>
                <w:szCs w:val="24"/>
              </w:rPr>
            </w:pPr>
            <w:r w:rsidRPr="00E344A0">
              <w:rPr>
                <w:b/>
                <w:i/>
              </w:rPr>
              <w:t xml:space="preserve">Nem kötelező </w:t>
            </w:r>
          </w:p>
        </w:tc>
        <w:tc>
          <w:tcPr>
            <w:tcW w:w="1827"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bCs/>
                <w:i/>
                <w:noProof/>
                <w:szCs w:val="24"/>
              </w:rPr>
            </w:pPr>
            <w:r w:rsidRPr="00E344A0">
              <w:rPr>
                <w:b/>
                <w:i/>
              </w:rPr>
              <w:t>Nem kötelező</w:t>
            </w:r>
          </w:p>
        </w:tc>
      </w:tr>
      <w:tr w:rsidR="00FF715E" w:rsidRPr="00E344A0" w:rsidTr="00CD27F0">
        <w:trPr>
          <w:trHeight w:val="228"/>
        </w:trPr>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 xml:space="preserve">Fedélzeti diagnosztika (OBD-család szintű) </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Nyilatkozat</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Nem kötelező</w:t>
            </w:r>
          </w:p>
        </w:tc>
        <w:tc>
          <w:tcPr>
            <w:tcW w:w="1827"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Opcionális</w:t>
            </w:r>
            <w:r w:rsidRPr="00E344A0">
              <w:rPr>
                <w:vertAlign w:val="superscript"/>
              </w:rPr>
              <w:t>28</w:t>
            </w:r>
          </w:p>
        </w:tc>
      </w:tr>
      <w:tr w:rsidR="00FF715E" w:rsidRPr="00E344A0" w:rsidTr="00CD27F0">
        <w:trPr>
          <w:trHeight w:val="228"/>
        </w:trPr>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Fedélzeti ellenőrző rendszer (OBM-család szintű)</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Igazolás és nyilatkozat</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Nem kötelező</w:t>
            </w:r>
          </w:p>
        </w:tc>
        <w:tc>
          <w:tcPr>
            <w:tcW w:w="1827"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Kötelező</w:t>
            </w:r>
          </w:p>
        </w:tc>
      </w:tr>
      <w:tr w:rsidR="00FF715E" w:rsidRPr="00E344A0" w:rsidTr="00CD27F0">
        <w:trPr>
          <w:trHeight w:val="228"/>
        </w:trPr>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Manipulálás elleni, biztonsági és kiberbiztonsági rendszerek</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Nyilatkozat és dokumentáció</w:t>
            </w:r>
          </w:p>
        </w:tc>
        <w:tc>
          <w:tcPr>
            <w:tcW w:w="2368"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Nem kötelező</w:t>
            </w:r>
          </w:p>
        </w:tc>
        <w:tc>
          <w:tcPr>
            <w:tcW w:w="1827" w:type="dxa"/>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noProof/>
                <w:szCs w:val="24"/>
              </w:rPr>
            </w:pPr>
            <w:r w:rsidRPr="00E344A0">
              <w:t>Nem kötelező</w:t>
            </w:r>
          </w:p>
        </w:tc>
      </w:tr>
      <w:tr w:rsidR="00FF715E" w:rsidRPr="00E344A0" w:rsidTr="00CD27F0">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rPr>
                <w:b/>
                <w:bCs/>
                <w:i/>
                <w:noProof/>
              </w:rPr>
            </w:pPr>
            <w:r w:rsidRPr="00E344A0">
              <w:rPr>
                <w:b/>
                <w:i/>
              </w:rPr>
              <w:t xml:space="preserve">* </w:t>
            </w:r>
            <w:r w:rsidRPr="00E344A0">
              <w:rPr>
                <w:b/>
                <w:i/>
              </w:rPr>
              <w:tab/>
              <w:t>Az összes motorteljesítmény-érték esetében alá kell támasztani a vonatkozó motorvizsgálati adatokkal.</w:t>
            </w:r>
          </w:p>
          <w:p w:rsidR="00FF715E" w:rsidRPr="00E344A0" w:rsidRDefault="00FF715E" w:rsidP="00CD27F0">
            <w:pPr>
              <w:rPr>
                <w:noProof/>
              </w:rPr>
            </w:pPr>
            <w:r w:rsidRPr="00E344A0">
              <w:rPr>
                <w:b/>
                <w:i/>
              </w:rPr>
              <w:t>**</w:t>
            </w:r>
            <w:r w:rsidRPr="00E344A0">
              <w:rPr>
                <w:b/>
                <w:i/>
              </w:rPr>
              <w:tab/>
              <w:t>A kibocsátások tekintetében jóváhagyott motorrendszerrel rendelkező jármű esetén a motor gyártója felelős e vizsgálat elvégzéséért.</w:t>
            </w:r>
          </w:p>
        </w:tc>
      </w:tr>
    </w:tbl>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164</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V melléklet – 4 táblázat</w:t>
      </w:r>
    </w:p>
    <w:tbl>
      <w:tblPr>
        <w:tblW w:w="5000" w:type="pct"/>
        <w:tblLook w:val="04A0" w:firstRow="1" w:lastRow="0" w:firstColumn="1" w:lastColumn="0" w:noHBand="0" w:noVBand="1"/>
      </w:tblPr>
      <w:tblGrid>
        <w:gridCol w:w="1951"/>
        <w:gridCol w:w="1466"/>
        <w:gridCol w:w="1346"/>
        <w:gridCol w:w="1466"/>
        <w:gridCol w:w="857"/>
        <w:gridCol w:w="1104"/>
        <w:gridCol w:w="874"/>
      </w:tblGrid>
      <w:tr w:rsidR="00FF715E" w:rsidRPr="00E344A0" w:rsidTr="00CD27F0">
        <w:tc>
          <w:tcPr>
            <w:tcW w:w="5000" w:type="pct"/>
            <w:gridSpan w:val="7"/>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jc w:val="center"/>
              <w:rPr>
                <w:b/>
                <w:noProof/>
              </w:rPr>
            </w:pPr>
            <w:r w:rsidRPr="00E344A0">
              <w:t>A Bizottság által javasolt szöveg</w:t>
            </w:r>
          </w:p>
        </w:tc>
      </w:tr>
      <w:tr w:rsidR="00FF715E" w:rsidRPr="00E344A0" w:rsidTr="00CD27F0">
        <w:tc>
          <w:tcPr>
            <w:tcW w:w="5000" w:type="pct"/>
            <w:gridSpan w:val="7"/>
            <w:tcBorders>
              <w:top w:val="single" w:sz="2" w:space="0" w:color="auto"/>
              <w:left w:val="single" w:sz="2" w:space="0" w:color="auto"/>
              <w:bottom w:val="single" w:sz="2" w:space="0" w:color="auto"/>
              <w:right w:val="single" w:sz="2" w:space="0" w:color="auto"/>
            </w:tcBorders>
          </w:tcPr>
          <w:p w:rsidR="00FF715E" w:rsidRPr="00E344A0" w:rsidRDefault="00FF715E" w:rsidP="00CD27F0">
            <w:pPr>
              <w:rPr>
                <w:noProof/>
              </w:rPr>
            </w:pPr>
            <w:r w:rsidRPr="00E344A0">
              <w:t>4. táblázat: A típusjóváhagyásokra és a kiterjesztésekre vonatkozó vizsgálati követelményeknek a nyilatkozatoknak a tagállamok és az elismert harmadik felek / a Bizottság általi alkalmazása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 esetében</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Vizsgálati követelmények</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 xml:space="preserve">Vizsgálatok és követelmények </w:t>
            </w:r>
            <w:r w:rsidRPr="00E344A0">
              <w:rPr>
                <w:b/>
                <w:bCs/>
                <w:i/>
                <w:iCs/>
              </w:rPr>
              <w:t>az első kibocsátási típusjóváha</w:t>
            </w:r>
            <w:r w:rsidRPr="00E344A0">
              <w:rPr>
                <w:b/>
                <w:bCs/>
                <w:i/>
                <w:iCs/>
              </w:rPr>
              <w:lastRenderedPageBreak/>
              <w:t>gyáskor</w:t>
            </w:r>
            <w:r w:rsidRPr="00E344A0">
              <w:t xml:space="preserve"> </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lastRenderedPageBreak/>
              <w:t xml:space="preserve">A gyártás megfelelőségének ellenőrzésére irányuló vizsgálatok </w:t>
            </w:r>
          </w:p>
        </w:tc>
        <w:tc>
          <w:tcPr>
            <w:tcW w:w="1139" w:type="pct"/>
            <w:gridSpan w:val="2"/>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A használatban lévő járművek megfelelőségének ellenőrzésére irányuló vizsgálatok</w:t>
            </w:r>
          </w:p>
        </w:tc>
        <w:tc>
          <w:tcPr>
            <w:tcW w:w="1529" w:type="pct"/>
            <w:gridSpan w:val="2"/>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A piacfelügyeletre irányuló vizsgálatok</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Érintett szereplők</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rPr>
                <w:b/>
                <w:bCs/>
                <w:i/>
                <w:iCs/>
              </w:rPr>
              <w:t>A típusjóváhagyás kiadásáért felelős</w:t>
            </w:r>
            <w:r w:rsidRPr="00E344A0">
              <w:t xml:space="preserve"> típusjóváhagyó hatóság</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Típusjóváhagyó hatóság</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b/>
                <w:i/>
                <w:noProof/>
              </w:rPr>
            </w:pPr>
            <w:r w:rsidRPr="00E344A0">
              <w:t>Típusjóváhagyó hatóság</w:t>
            </w:r>
            <w:r w:rsidRPr="00E344A0">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Harmadik felek és a Bizottság</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 xml:space="preserve">Piacfelügyeleti hatóságok </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Harmadik felek és a Bizottság</w:t>
            </w:r>
          </w:p>
        </w:tc>
      </w:tr>
      <w:tr w:rsidR="00FF715E" w:rsidRPr="00E344A0" w:rsidTr="00CD27F0">
        <w:trPr>
          <w:trHeight w:val="469"/>
        </w:trPr>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Gáz-halmazállapotú szennyező anyagok, PM és PN a közúti (RDE) vizsgálatok során minden egyes üzemanyag és lefedett járműkategória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tekintetében</w:t>
            </w:r>
            <w:r w:rsidRPr="00E344A0">
              <w:rPr>
                <w:b/>
                <w:bCs/>
                <w:i/>
                <w:iCs/>
              </w:rPr>
              <w:t>, valamint (adott esetben) alacsony terhelés melletti vizsgálat</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Előírt igazoló vizsgálat járműtípusonként minden olyan tüzelőanyag esetében, amelyre a típusjóváhagyást megadták, valamint megfelelőségi nyilatkozat valamennyi tüzelőanyag, hasznos terhelés és lefedett </w:t>
            </w:r>
            <w:r w:rsidRPr="00E344A0">
              <w:rPr>
                <w:b/>
                <w:bCs/>
                <w:i/>
                <w:iCs/>
              </w:rPr>
              <w:t>járműtípus</w:t>
            </w:r>
            <w:r w:rsidRPr="00E344A0">
              <w:t xml:space="preserve"> tekintetében</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after="120"/>
              <w:ind w:left="112"/>
              <w:rPr>
                <w:noProof/>
              </w:rPr>
            </w:pPr>
            <w:r w:rsidRPr="00E344A0">
              <w:t>(lásd a motorra vonatkozó követelményeket)</w:t>
            </w:r>
          </w:p>
        </w:tc>
        <w:tc>
          <w:tcPr>
            <w:tcW w:w="498"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rPr>
                <w:noProof/>
              </w:rPr>
            </w:pPr>
            <w:r w:rsidRPr="00E344A0">
              <w:t xml:space="preserve">Évente kötelező a kibocsátási típusjóváhagyás hatálya alá tartozó, bármilyen üzemanyagrendszerű és bármely járműkategóriába tartozó, megfelelő számú járműtípus esetében </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 / 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rPr>
          <w:trHeight w:val="469"/>
        </w:trPr>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gépjármű CO</w:t>
            </w:r>
            <w:r w:rsidRPr="00E344A0">
              <w:rPr>
                <w:vertAlign w:val="subscript"/>
              </w:rPr>
              <w:t>2</w:t>
            </w:r>
            <w:r w:rsidRPr="00E344A0">
              <w:t>-kibocsátásának, üzemanyag- és energiafogyasztásának, kibocsátásmentes/elektromos hatótávolságának és motorteljesítményének meghatározása</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jármű energiafogyasztását kiszámító eszköz engedélyének kiállítása</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komponensek esetében</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rPr>
          <w:trHeight w:val="469"/>
        </w:trPr>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lastRenderedPageBreak/>
              <w:t>A pótkocsik energiahatékonysága</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jármű energiafogyasztását kiszámító eszköz engedélyének kiállítása</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komponensek esetében</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rPr>
          <w:trHeight w:val="469"/>
        </w:trPr>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Ellenőrzési vizsgálati eljárás</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Kartergáz-kibocsátás</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Annak ellenőrzése, hogy a forgattyúházrendszer zárt-e, vagy be van-e szerelve elvezetés a kipufogócsőhöz </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kibocsátáscsökkentési teljesítményének tartóssága</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Akkumulátortartósság</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Fedélzeti diagnosztika (OBD-család szintű) </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Fedélzeti ellenőrző rendszer (OBM-család szintű)</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 és igazolás</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Manipulálás elleni, biztonsági és kiberbiztonsági rendszerek</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 és dokumentáció</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Adaptív szabályozás (adott esetben)</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Nyilatkozat</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 xml:space="preserve">Nem kötelező </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 xml:space="preserve">Nem kötelező </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 xml:space="preserve">Nem kötelező </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Opcionális</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Opcionális</w:t>
            </w:r>
          </w:p>
        </w:tc>
      </w:tr>
      <w:tr w:rsidR="00FF715E" w:rsidRPr="00E344A0" w:rsidTr="00CD27F0">
        <w:tc>
          <w:tcPr>
            <w:tcW w:w="85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lastRenderedPageBreak/>
              <w:t>Virtuális elkerítési technológiák (adott esetben)</w:t>
            </w:r>
          </w:p>
        </w:tc>
        <w:tc>
          <w:tcPr>
            <w:tcW w:w="73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Nyilatkozat és igazolás</w:t>
            </w:r>
          </w:p>
        </w:tc>
        <w:tc>
          <w:tcPr>
            <w:tcW w:w="7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c>
          <w:tcPr>
            <w:tcW w:w="49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Nem kötelező</w:t>
            </w:r>
          </w:p>
        </w:tc>
        <w:tc>
          <w:tcPr>
            <w:tcW w:w="888"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Kötelező</w:t>
            </w:r>
          </w:p>
        </w:tc>
        <w:tc>
          <w:tcPr>
            <w:tcW w:w="64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Opcionális</w:t>
            </w:r>
          </w:p>
        </w:tc>
      </w:tr>
    </w:tbl>
    <w:p w:rsidR="00FF715E" w:rsidRPr="00E344A0" w:rsidRDefault="00FF715E" w:rsidP="00FF715E">
      <w:pPr>
        <w:pStyle w:val="AmOrLang"/>
      </w:pPr>
    </w:p>
    <w:tbl>
      <w:tblPr>
        <w:tblW w:w="5000" w:type="pct"/>
        <w:tblLook w:val="04A0" w:firstRow="1" w:lastRow="0" w:firstColumn="1" w:lastColumn="0" w:noHBand="0" w:noVBand="1"/>
      </w:tblPr>
      <w:tblGrid>
        <w:gridCol w:w="1822"/>
        <w:gridCol w:w="1373"/>
        <w:gridCol w:w="1263"/>
        <w:gridCol w:w="1374"/>
        <w:gridCol w:w="826"/>
        <w:gridCol w:w="1039"/>
        <w:gridCol w:w="1367"/>
      </w:tblGrid>
      <w:tr w:rsidR="00FF715E" w:rsidRPr="00E344A0" w:rsidTr="00CD27F0">
        <w:tc>
          <w:tcPr>
            <w:tcW w:w="5000" w:type="pct"/>
            <w:gridSpan w:val="7"/>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jc w:val="center"/>
              <w:rPr>
                <w:b/>
                <w:i/>
                <w:noProof/>
              </w:rPr>
            </w:pPr>
            <w:r w:rsidRPr="00E344A0">
              <w:rPr>
                <w:i/>
              </w:rPr>
              <w:t>Módosítás</w:t>
            </w:r>
          </w:p>
        </w:tc>
      </w:tr>
      <w:tr w:rsidR="00FF715E" w:rsidRPr="00E344A0" w:rsidTr="00CD27F0">
        <w:tc>
          <w:tcPr>
            <w:tcW w:w="5000" w:type="pct"/>
            <w:gridSpan w:val="7"/>
            <w:tcBorders>
              <w:top w:val="single" w:sz="2" w:space="0" w:color="auto"/>
              <w:left w:val="single" w:sz="2" w:space="0" w:color="auto"/>
              <w:bottom w:val="single" w:sz="2" w:space="0" w:color="auto"/>
              <w:right w:val="single" w:sz="2" w:space="0" w:color="auto"/>
            </w:tcBorders>
          </w:tcPr>
          <w:p w:rsidR="00FF715E" w:rsidRPr="00E344A0" w:rsidRDefault="00FF715E" w:rsidP="00CD27F0">
            <w:pPr>
              <w:rPr>
                <w:noProof/>
              </w:rPr>
            </w:pPr>
            <w:r w:rsidRPr="00E344A0">
              <w:t>táblázat: A típusjóváhagyásokra és a kiterjesztésekre vonatkozó vizsgálati követelményeknek a nyilatkozatoknak a tagállamok és az elismert harmadik felek / a Bizottság általi alkalmazása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 esetében</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Vizsgálati követelmények</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rPr>
                <w:b/>
                <w:bCs/>
                <w:i/>
                <w:iCs/>
              </w:rPr>
              <w:t>A kibocsátási típusjóváhagyásra vonatkozó</w:t>
            </w:r>
            <w:r w:rsidRPr="00E344A0">
              <w:t xml:space="preserve"> vizsgálatok és követelmények </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 xml:space="preserve">A gyártás megfelelőségének ellenőrzésére irányuló vizsgálatok </w:t>
            </w:r>
          </w:p>
        </w:tc>
        <w:tc>
          <w:tcPr>
            <w:tcW w:w="1148" w:type="pct"/>
            <w:gridSpan w:val="2"/>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A használatban lévő járművek megfelelőségének ellenőrzésére irányuló vizsgálatok</w:t>
            </w:r>
          </w:p>
        </w:tc>
        <w:tc>
          <w:tcPr>
            <w:tcW w:w="1525" w:type="pct"/>
            <w:gridSpan w:val="2"/>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A piacfelügyeletre irányuló vizsgálatok</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Érintett szereplők</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b/>
                <w:i/>
                <w:noProof/>
              </w:rPr>
            </w:pPr>
            <w:r w:rsidRPr="00E344A0">
              <w:rPr>
                <w:b/>
                <w:bCs/>
                <w:i/>
                <w:iCs/>
              </w:rPr>
              <w:t>Kiadó</w:t>
            </w:r>
            <w:r w:rsidRPr="00E344A0">
              <w:t xml:space="preserve"> típusjóváhagyó hatóság</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b/>
                <w:i/>
                <w:noProof/>
              </w:rPr>
            </w:pPr>
            <w:r w:rsidRPr="00E344A0">
              <w:rPr>
                <w:b/>
                <w:bCs/>
                <w:i/>
                <w:iCs/>
              </w:rPr>
              <w:t>Kiadó</w:t>
            </w:r>
            <w:r w:rsidRPr="00E344A0">
              <w:t xml:space="preserve"> típusjóváhagyó hatóság</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b/>
                <w:i/>
                <w:noProof/>
              </w:rPr>
            </w:pPr>
            <w:r w:rsidRPr="00E344A0">
              <w:rPr>
                <w:b/>
                <w:bCs/>
                <w:i/>
                <w:iCs/>
              </w:rPr>
              <w:t>Kiadó</w:t>
            </w:r>
            <w:r w:rsidRPr="00E344A0">
              <w:t xml:space="preserve"> típusjóváhagyó hatóság</w:t>
            </w:r>
            <w:r w:rsidRPr="00E344A0">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Harmadik felek és a Bizottság</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 xml:space="preserve">Piacfelügyeleti hatóságok </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Harmadik felek és a Bizottság</w:t>
            </w:r>
          </w:p>
        </w:tc>
      </w:tr>
      <w:tr w:rsidR="00FF715E" w:rsidRPr="00E344A0" w:rsidTr="00CD27F0">
        <w:trPr>
          <w:trHeight w:val="469"/>
        </w:trPr>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Gáz-halmazállapotú szennyező anyagok, PM és PN a közúti (RDE) vizsgálatok során minden egyes üzemanyag és lefedett járműkategória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tekintetében</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t>Előírt igazoló vizsgálat járműtípusonként minden olyan tüzelőanyag esetében, amelyre a típusjóváhagyást megadták, valamint megfelelőségi nyilatkozat valamennyi tüzelőanya</w:t>
            </w:r>
            <w:r w:rsidRPr="00E344A0">
              <w:lastRenderedPageBreak/>
              <w:t xml:space="preserve">g, hasznos terhelés és lefedett </w:t>
            </w:r>
            <w:r w:rsidRPr="00E344A0">
              <w:rPr>
                <w:b/>
                <w:bCs/>
                <w:i/>
                <w:iCs/>
              </w:rPr>
              <w:t>járműkategória</w:t>
            </w:r>
            <w:r w:rsidRPr="00E344A0">
              <w:rPr>
                <w:b/>
                <w:bCs/>
              </w:rPr>
              <w:t xml:space="preserve"> </w:t>
            </w:r>
            <w:r w:rsidRPr="00E344A0">
              <w:t>tekintetében</w:t>
            </w:r>
          </w:p>
          <w:p w:rsidR="00FF715E" w:rsidRPr="00E344A0" w:rsidRDefault="00FF715E" w:rsidP="00CD27F0">
            <w:pPr>
              <w:spacing w:line="276" w:lineRule="auto"/>
              <w:rPr>
                <w:noProof/>
              </w:rPr>
            </w:pPr>
            <w:r w:rsidRPr="00E344A0">
              <w:t>**</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after="120"/>
              <w:ind w:left="112"/>
              <w:rPr>
                <w:noProof/>
              </w:rPr>
            </w:pPr>
            <w:r w:rsidRPr="00E344A0">
              <w:lastRenderedPageBreak/>
              <w:t>(lásd a motorra vonatkozó követelményeket)</w:t>
            </w:r>
          </w:p>
        </w:tc>
        <w:tc>
          <w:tcPr>
            <w:tcW w:w="509"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rPr>
                <w:noProof/>
              </w:rPr>
            </w:pPr>
            <w:r w:rsidRPr="00E344A0">
              <w:t xml:space="preserve">Évente kötelező a kibocsátási típusjóváhagyás hatálya alá tartozó, bármilyen üzemanyagrendszerű és bármely járműkategóriába tartozó, megfelelő számú járműtípus esetében </w:t>
            </w:r>
          </w:p>
          <w:p w:rsidR="00FF715E" w:rsidRPr="00E344A0" w:rsidRDefault="00FF715E" w:rsidP="00CD27F0">
            <w:pPr>
              <w:spacing w:line="276" w:lineRule="auto"/>
              <w:rPr>
                <w:b/>
                <w:i/>
                <w:noProof/>
              </w:rPr>
            </w:pPr>
            <w:r w:rsidRPr="00E344A0">
              <w:rPr>
                <w:b/>
                <w:i/>
              </w:rPr>
              <w:t>**</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 / 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rPr>
          <w:trHeight w:val="469"/>
        </w:trPr>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gépjármű CO</w:t>
            </w:r>
            <w:r w:rsidRPr="00E344A0">
              <w:rPr>
                <w:vertAlign w:val="subscript"/>
              </w:rPr>
              <w:t>2</w:t>
            </w:r>
            <w:r w:rsidRPr="00E344A0">
              <w:t>-kibocsátásának, üzemanyag- és energiafogyasztásának, kibocsátásmentes/elektromos hatótávolságának és motorteljesítményének meghatározása</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jármű energiafogyasztását kiszámító eszköz engedélyének kiállítása</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komponensek esetében</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rPr>
          <w:trHeight w:val="469"/>
        </w:trPr>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pótkocsik energiahatékonysága</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jármű energiafogyasztását kiszámító eszköz engedélyének kiállítása</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komponensek esetében</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rPr>
          <w:trHeight w:val="469"/>
        </w:trPr>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Ellenőrzési vizsgálati eljárás</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Kartergáz-kibocsátás</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Annak ellenőrzése, hogy a forgattyúházrendszer zárt-e, vagy be van-e szerelve elvezetés a kipufogócsőhöz </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A kibocsátáscsökkentési </w:t>
            </w:r>
            <w:r w:rsidRPr="00E344A0">
              <w:lastRenderedPageBreak/>
              <w:t>teljesítményének tartóssága</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lastRenderedPageBreak/>
              <w:t>Nyilatkozat</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szCs w:val="24"/>
              </w:rPr>
            </w:pPr>
            <w:r w:rsidRPr="00E344A0">
              <w:rPr>
                <w:b/>
                <w:i/>
              </w:rPr>
              <w:t>A reagenst és kibocsátáscsökkentő rendszereket használó rendszerek helyes működése</w:t>
            </w:r>
          </w:p>
        </w:tc>
        <w:tc>
          <w:tcPr>
            <w:tcW w:w="731"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szCs w:val="24"/>
              </w:rPr>
            </w:pPr>
            <w:r w:rsidRPr="00E344A0">
              <w:rPr>
                <w:b/>
                <w:i/>
              </w:rPr>
              <w:t>Nem kötelező</w:t>
            </w:r>
          </w:p>
        </w:tc>
        <w:tc>
          <w:tcPr>
            <w:tcW w:w="739"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szCs w:val="24"/>
              </w:rPr>
            </w:pPr>
            <w:r w:rsidRPr="00E344A0">
              <w:rPr>
                <w:b/>
                <w:i/>
              </w:rPr>
              <w:t>Nem kötelező</w:t>
            </w:r>
          </w:p>
        </w:tc>
        <w:tc>
          <w:tcPr>
            <w:tcW w:w="509"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szCs w:val="24"/>
              </w:rPr>
            </w:pPr>
            <w:r w:rsidRPr="00E344A0">
              <w:rPr>
                <w:b/>
                <w:i/>
              </w:rPr>
              <w:t>Kötelező</w:t>
            </w:r>
          </w:p>
        </w:tc>
        <w:tc>
          <w:tcPr>
            <w:tcW w:w="640"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szCs w:val="24"/>
              </w:rPr>
            </w:pPr>
            <w:r w:rsidRPr="00E344A0">
              <w:rPr>
                <w:b/>
                <w:i/>
              </w:rPr>
              <w:t>Opcionális</w:t>
            </w:r>
          </w:p>
        </w:tc>
        <w:tc>
          <w:tcPr>
            <w:tcW w:w="885"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szCs w:val="24"/>
              </w:rPr>
            </w:pPr>
            <w:r w:rsidRPr="00E344A0">
              <w:rPr>
                <w:b/>
                <w:i/>
              </w:rPr>
              <w:t>Kötelező</w:t>
            </w:r>
          </w:p>
        </w:tc>
        <w:tc>
          <w:tcPr>
            <w:tcW w:w="640"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szCs w:val="24"/>
              </w:rPr>
            </w:pPr>
            <w:r w:rsidRPr="00E344A0">
              <w:rPr>
                <w:b/>
                <w:i/>
              </w:rPr>
              <w:t>A reagenst és kibocsátáscsökkentő rendszereket használó rendszerek helyes működése</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Akkumulátortartósság</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bCs/>
                <w:i/>
                <w:noProof/>
                <w:szCs w:val="24"/>
              </w:rPr>
            </w:pPr>
            <w:r w:rsidRPr="00E344A0">
              <w:rPr>
                <w:b/>
                <w:i/>
              </w:rPr>
              <w:t>Teljesítménymeghatározás</w:t>
            </w:r>
          </w:p>
        </w:tc>
        <w:tc>
          <w:tcPr>
            <w:tcW w:w="731"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Kötelező</w:t>
            </w:r>
          </w:p>
          <w:p w:rsidR="00FF715E" w:rsidRPr="00E344A0" w:rsidRDefault="00FF715E" w:rsidP="00CD27F0">
            <w:pPr>
              <w:spacing w:before="60" w:after="60"/>
              <w:rPr>
                <w:b/>
                <w:i/>
                <w:noProof/>
                <w:szCs w:val="24"/>
              </w:rPr>
            </w:pPr>
            <w:r w:rsidRPr="00E344A0">
              <w:rPr>
                <w:b/>
                <w:i/>
              </w:rPr>
              <w:t>**</w:t>
            </w:r>
          </w:p>
        </w:tc>
        <w:tc>
          <w:tcPr>
            <w:tcW w:w="739"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Nem kötelező</w:t>
            </w:r>
          </w:p>
        </w:tc>
        <w:tc>
          <w:tcPr>
            <w:tcW w:w="509"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Opcionális</w:t>
            </w:r>
          </w:p>
        </w:tc>
        <w:tc>
          <w:tcPr>
            <w:tcW w:w="640"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Opcionális</w:t>
            </w:r>
          </w:p>
        </w:tc>
        <w:tc>
          <w:tcPr>
            <w:tcW w:w="885"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Opcionális</w:t>
            </w:r>
          </w:p>
        </w:tc>
        <w:tc>
          <w:tcPr>
            <w:tcW w:w="640"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Opcionális</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Fedélzeti diagnosztika (OBD-család szintű) </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Fedélzeti ellenőrző rendszer (OBM-család szintű)</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 és igazolás</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Kötelező</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857"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Manipulálás elleni, biztonsági és kiberbiztonsági rendszerek</w:t>
            </w:r>
          </w:p>
        </w:tc>
        <w:tc>
          <w:tcPr>
            <w:tcW w:w="7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 és dokumentáció</w:t>
            </w:r>
          </w:p>
        </w:tc>
        <w:tc>
          <w:tcPr>
            <w:tcW w:w="73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509"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885"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w:t>
            </w:r>
          </w:p>
        </w:tc>
        <w:tc>
          <w:tcPr>
            <w:tcW w:w="640"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Opcionális</w:t>
            </w:r>
          </w:p>
        </w:tc>
      </w:tr>
      <w:tr w:rsidR="00FF715E" w:rsidRPr="00E344A0" w:rsidTr="00CD27F0">
        <w:tc>
          <w:tcPr>
            <w:tcW w:w="5000" w:type="pct"/>
            <w:gridSpan w:val="7"/>
            <w:tcBorders>
              <w:top w:val="single" w:sz="2" w:space="0" w:color="auto"/>
              <w:left w:val="single" w:sz="2" w:space="0" w:color="auto"/>
              <w:bottom w:val="single" w:sz="2" w:space="0" w:color="auto"/>
              <w:right w:val="single" w:sz="2" w:space="0" w:color="auto"/>
            </w:tcBorders>
          </w:tcPr>
          <w:p w:rsidR="00FF715E" w:rsidRPr="00E344A0" w:rsidRDefault="00FF715E" w:rsidP="00CD27F0">
            <w:pPr>
              <w:rPr>
                <w:b/>
                <w:noProof/>
                <w:sz w:val="20"/>
              </w:rPr>
            </w:pPr>
            <w:r w:rsidRPr="00E344A0">
              <w:rPr>
                <w:b/>
                <w:i/>
                <w:sz w:val="20"/>
              </w:rPr>
              <w:t>**</w:t>
            </w:r>
            <w:r w:rsidRPr="00E344A0">
              <w:rPr>
                <w:b/>
                <w:i/>
                <w:sz w:val="20"/>
              </w:rPr>
              <w:tab/>
              <w:t>A kibocsátások tekintetében jóváhagyott motorrendszerrel rendelkező jármű esetén a motor gyártója felelős e vizsgálat elvégzéséért.</w:t>
            </w:r>
          </w:p>
        </w:tc>
      </w:tr>
    </w:tbl>
    <w:p w:rsidR="00FF715E" w:rsidRPr="00E344A0" w:rsidRDefault="00FF715E" w:rsidP="00FF715E">
      <w:pPr>
        <w:pStyle w:val="AmOrLang"/>
      </w:pPr>
    </w:p>
    <w:p w:rsidR="00FF715E" w:rsidRPr="00E344A0" w:rsidRDefault="00FF715E" w:rsidP="00FF715E"/>
    <w:p w:rsidR="00FF715E" w:rsidRPr="00E344A0" w:rsidRDefault="00FF715E" w:rsidP="00FF715E">
      <w:pPr>
        <w:pStyle w:val="AmNumberTabs"/>
        <w:keepNext/>
      </w:pPr>
      <w:r w:rsidRPr="00E344A0">
        <w:t>Módosítás</w:t>
      </w:r>
      <w:r w:rsidRPr="00E344A0">
        <w:tab/>
      </w:r>
      <w:r w:rsidRPr="00E344A0">
        <w:tab/>
        <w:t>165</w:t>
      </w:r>
    </w:p>
    <w:p w:rsidR="00FF715E" w:rsidRPr="00E344A0" w:rsidRDefault="00FF715E" w:rsidP="00FF715E">
      <w:pPr>
        <w:pStyle w:val="NormalBold12b"/>
      </w:pPr>
      <w:r w:rsidRPr="00E344A0">
        <w:t>Rendeletre irányuló javaslat</w:t>
      </w:r>
    </w:p>
    <w:p w:rsidR="00FF715E" w:rsidRPr="00E344A0" w:rsidRDefault="00FF715E" w:rsidP="00FF715E">
      <w:pPr>
        <w:pStyle w:val="NormalBold"/>
        <w:keepNext/>
      </w:pPr>
      <w:r w:rsidRPr="00E344A0">
        <w:t>V melléklet – 5 táblázat</w:t>
      </w:r>
    </w:p>
    <w:tbl>
      <w:tblPr>
        <w:tblW w:w="5000" w:type="pct"/>
        <w:tblLook w:val="04A0" w:firstRow="1" w:lastRow="0" w:firstColumn="1" w:lastColumn="0" w:noHBand="0" w:noVBand="1"/>
      </w:tblPr>
      <w:tblGrid>
        <w:gridCol w:w="2413"/>
        <w:gridCol w:w="2690"/>
        <w:gridCol w:w="1981"/>
        <w:gridCol w:w="1980"/>
      </w:tblGrid>
      <w:tr w:rsidR="00FF715E" w:rsidRPr="00E344A0" w:rsidTr="00CD27F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jc w:val="center"/>
              <w:rPr>
                <w:i/>
                <w:noProof/>
              </w:rPr>
            </w:pPr>
            <w:r w:rsidRPr="00E344A0">
              <w:rPr>
                <w:i/>
              </w:rPr>
              <w:t>A Bizottság által javasolt szöveg</w:t>
            </w:r>
          </w:p>
        </w:tc>
      </w:tr>
      <w:tr w:rsidR="00FF715E" w:rsidRPr="00E344A0" w:rsidTr="00CD27F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rPr>
                <w:noProof/>
              </w:rPr>
            </w:pPr>
            <w:r w:rsidRPr="00E344A0">
              <w:t>5. táblázat: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járművekbe szánt motorok típusjóváhagyására és azok kiterjesztésekre vonatkozó vizsgálati követelményeknek és nyilatkozatoknak a gyártó általi alkalmazása</w:t>
            </w:r>
          </w:p>
        </w:tc>
      </w:tr>
      <w:tr w:rsidR="00FF715E" w:rsidRPr="00E344A0" w:rsidTr="00CD27F0">
        <w:trPr>
          <w:trHeight w:val="2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 xml:space="preserve">Az egyes üzemanyagokra vonatkozó vizsgálati </w:t>
            </w:r>
            <w:r w:rsidRPr="00E344A0">
              <w:lastRenderedPageBreak/>
              <w:t>követelmények</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lastRenderedPageBreak/>
              <w:t xml:space="preserve">Vizsgálatok és követelmények </w:t>
            </w:r>
            <w:r w:rsidRPr="00E344A0">
              <w:rPr>
                <w:b/>
                <w:bCs/>
                <w:i/>
                <w:iCs/>
              </w:rPr>
              <w:t xml:space="preserve">az első kibocsátási </w:t>
            </w:r>
            <w:r w:rsidRPr="00E344A0">
              <w:rPr>
                <w:b/>
                <w:bCs/>
                <w:i/>
                <w:iCs/>
              </w:rPr>
              <w:lastRenderedPageBreak/>
              <w:t>típusjóváhagyáskor</w:t>
            </w:r>
            <w:r w:rsidRPr="00E344A0">
              <w:t xml:space="preserve"> </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lastRenderedPageBreak/>
              <w:t xml:space="preserve">A gyártás megfelelőségének ellenőrzésére </w:t>
            </w:r>
            <w:r w:rsidRPr="00E344A0">
              <w:lastRenderedPageBreak/>
              <w:t xml:space="preserve">irányuló vizsgálatok </w:t>
            </w:r>
          </w:p>
        </w:tc>
        <w:tc>
          <w:tcPr>
            <w:tcW w:w="1092"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lastRenderedPageBreak/>
              <w:t xml:space="preserve">A használatban lévő járművek megfelelőségének </w:t>
            </w:r>
            <w:r w:rsidRPr="00E344A0">
              <w:lastRenderedPageBreak/>
              <w:t>ellenőrzésére irányuló vizsgálatok</w:t>
            </w:r>
          </w:p>
        </w:tc>
      </w:tr>
      <w:tr w:rsidR="00FF715E" w:rsidRPr="00E344A0" w:rsidTr="00CD27F0">
        <w:trPr>
          <w:trHeight w:val="885"/>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lastRenderedPageBreak/>
              <w:t>Gáz-halmazállapotú szennyező anyagok, PM és PN, CO</w:t>
            </w:r>
            <w:r w:rsidRPr="00E344A0">
              <w:rPr>
                <w:vertAlign w:val="subscript"/>
              </w:rPr>
              <w:t>2</w:t>
            </w:r>
            <w:r w:rsidRPr="00E344A0">
              <w:t>-kibocsátás, üzemanyag-fogyasztás tranziens vizsgálati ciklus alatt (hideg és meleg WHTC)</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 a kibocsátási járműcsalád alapmotorja esetében, és nyilatkozat a járműcsalád valamennyi tagja tekintetében**</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 a motorcsalád egy tagja esetében</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jc w:val="center"/>
              <w:rPr>
                <w:noProof/>
              </w:rPr>
            </w:pPr>
            <w:r w:rsidRPr="00E344A0">
              <w:t>Csak a teljes járművel végzendő, a 3. és 4. táblázat szerint</w:t>
            </w:r>
          </w:p>
        </w:tc>
      </w:tr>
      <w:tr w:rsidR="00FF715E" w:rsidRPr="00E344A0" w:rsidTr="00CD27F0">
        <w:trPr>
          <w:trHeight w:val="685"/>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motoron végzett vizsgálatok a CO</w:t>
            </w:r>
            <w:r w:rsidRPr="00E344A0">
              <w:rPr>
                <w:vertAlign w:val="subscript"/>
              </w:rPr>
              <w:t>2</w:t>
            </w:r>
            <w:r w:rsidRPr="00E344A0">
              <w:t xml:space="preserve"> meghatározásához szükséges adat ellenőrzése céljából </w:t>
            </w:r>
          </w:p>
        </w:tc>
        <w:tc>
          <w:tcPr>
            <w:tcW w:w="1484"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rPr>
                <w:noProof/>
              </w:rPr>
            </w:pPr>
            <w:r w:rsidRPr="00E344A0">
              <w:t xml:space="preserve">Kötelező </w:t>
            </w:r>
          </w:p>
          <w:p w:rsidR="00FF715E" w:rsidRPr="00E344A0" w:rsidRDefault="00FF715E" w:rsidP="00CD27F0">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Kötelező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50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Folyamatos/időszakos regenerálás</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4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Kartergáz-kibocsátás</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Annak ellenőrzése, hogy a forgattyúházrendszer zárt-e, vagy be van-e szerelve elvezetés a kipufogócsőhöz</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48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kibocsátáscsökkentési teljesítményének tartóssága</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2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Fedélzeti diagnosztika (OBD-család szintű)</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2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Fedélzeti ellenőrző rendszer (OBM-család szintű)</w:t>
            </w:r>
          </w:p>
        </w:tc>
        <w:tc>
          <w:tcPr>
            <w:tcW w:w="1484" w:type="pct"/>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rPr>
            </w:pPr>
            <w:r w:rsidRPr="00E344A0">
              <w:t>Csak a teljes járművel végzendő, a 3. és 4. táblázat szerint</w:t>
            </w:r>
          </w:p>
        </w:tc>
        <w:tc>
          <w:tcPr>
            <w:tcW w:w="1093" w:type="pct"/>
            <w:tcBorders>
              <w:top w:val="nil"/>
              <w:left w:val="single" w:sz="2" w:space="0" w:color="auto"/>
              <w:bottom w:val="nil"/>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2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b/>
                <w:i/>
                <w:noProof/>
              </w:rPr>
            </w:pPr>
            <w:r w:rsidRPr="00E344A0">
              <w:rPr>
                <w:b/>
                <w:i/>
              </w:rPr>
              <w:t>Motorteljesítmény</w:t>
            </w:r>
          </w:p>
        </w:tc>
        <w:tc>
          <w:tcPr>
            <w:tcW w:w="2577" w:type="pct"/>
            <w:gridSpan w:val="2"/>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b/>
                <w:i/>
                <w:noProof/>
              </w:rPr>
            </w:pPr>
            <w:r w:rsidRPr="00E344A0">
              <w:rPr>
                <w:b/>
                <w:i/>
              </w:rPr>
              <w:t>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b/>
                <w:i/>
                <w:noProof/>
                <w:szCs w:val="22"/>
                <w:lang w:eastAsia="en-US"/>
              </w:rPr>
            </w:pPr>
          </w:p>
        </w:tc>
      </w:tr>
      <w:tr w:rsidR="00FF715E" w:rsidRPr="00E344A0" w:rsidTr="00CD27F0">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rPr>
                <w:bCs/>
                <w:noProof/>
                <w:sz w:val="20"/>
                <w:szCs w:val="19"/>
              </w:rPr>
            </w:pPr>
            <w:r w:rsidRPr="00E344A0">
              <w:rPr>
                <w:sz w:val="20"/>
              </w:rPr>
              <w:t xml:space="preserve">* A típusjóváhagyó hatóság kérheti a vizsgálat elvégzését az első típusjóváhagyás során. </w:t>
            </w:r>
          </w:p>
          <w:p w:rsidR="00FF715E" w:rsidRPr="00E344A0" w:rsidRDefault="00FF715E" w:rsidP="00CD27F0">
            <w:pPr>
              <w:rPr>
                <w:b/>
                <w:bCs/>
                <w:noProof/>
                <w:sz w:val="19"/>
                <w:szCs w:val="19"/>
              </w:rPr>
            </w:pPr>
            <w:r w:rsidRPr="00E344A0">
              <w:rPr>
                <w:sz w:val="20"/>
              </w:rPr>
              <w:t>** Az összes motorteljesítmény-érték esetében alá kell támasztani a vonatkozó motorvizsgálati adatokkal.</w:t>
            </w:r>
          </w:p>
        </w:tc>
      </w:tr>
    </w:tbl>
    <w:p w:rsidR="00FF715E" w:rsidRPr="00E344A0" w:rsidRDefault="00FF715E" w:rsidP="00FF715E">
      <w:pPr>
        <w:pStyle w:val="AmOrLang"/>
      </w:pPr>
    </w:p>
    <w:tbl>
      <w:tblPr>
        <w:tblW w:w="5000" w:type="pct"/>
        <w:tblLook w:val="04A0" w:firstRow="1" w:lastRow="0" w:firstColumn="1" w:lastColumn="0" w:noHBand="0" w:noVBand="1"/>
      </w:tblPr>
      <w:tblGrid>
        <w:gridCol w:w="2843"/>
        <w:gridCol w:w="2323"/>
        <w:gridCol w:w="1949"/>
        <w:gridCol w:w="1949"/>
      </w:tblGrid>
      <w:tr w:rsidR="00FF715E" w:rsidRPr="00E344A0" w:rsidTr="00CD27F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jc w:val="center"/>
              <w:rPr>
                <w:i/>
                <w:noProof/>
              </w:rPr>
            </w:pPr>
            <w:r w:rsidRPr="00E344A0">
              <w:rPr>
                <w:i/>
              </w:rPr>
              <w:t>Módosítás</w:t>
            </w:r>
          </w:p>
        </w:tc>
      </w:tr>
      <w:tr w:rsidR="00FF715E" w:rsidRPr="00E344A0" w:rsidTr="00CD27F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rPr>
                <w:noProof/>
              </w:rPr>
            </w:pPr>
            <w:r w:rsidRPr="00E344A0">
              <w:t>táblázat: Az M</w:t>
            </w:r>
            <w:r w:rsidRPr="00E344A0">
              <w:rPr>
                <w:vertAlign w:val="subscript"/>
              </w:rPr>
              <w:t>2</w:t>
            </w:r>
            <w:r w:rsidRPr="00E344A0">
              <w:t>, M</w:t>
            </w:r>
            <w:r w:rsidRPr="00E344A0">
              <w:rPr>
                <w:vertAlign w:val="subscript"/>
              </w:rPr>
              <w:t>3</w:t>
            </w:r>
            <w:r w:rsidRPr="00E344A0">
              <w:t>, N</w:t>
            </w:r>
            <w:r w:rsidRPr="00E344A0">
              <w:rPr>
                <w:vertAlign w:val="subscript"/>
              </w:rPr>
              <w:t>2</w:t>
            </w:r>
            <w:r w:rsidRPr="00E344A0">
              <w:t xml:space="preserve"> és N</w:t>
            </w:r>
            <w:r w:rsidRPr="00E344A0">
              <w:rPr>
                <w:vertAlign w:val="subscript"/>
              </w:rPr>
              <w:t>3</w:t>
            </w:r>
            <w:r w:rsidRPr="00E344A0">
              <w:t xml:space="preserve"> kategóriájú járművekbe szánt motorok típusjóváhagyására és azok kiterjesztésekre vonatkozó vizsgálati követelményeknek és nyilatkozatoknak a gyártó általi alkalmazása</w:t>
            </w:r>
          </w:p>
        </w:tc>
      </w:tr>
      <w:tr w:rsidR="00FF715E" w:rsidRPr="00E344A0" w:rsidTr="00CD27F0">
        <w:trPr>
          <w:trHeight w:val="2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t>Az egyes üzemanyagokra vonatkozó vizsgálati követelmények</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rPr>
                <w:b/>
                <w:bCs/>
                <w:i/>
                <w:iCs/>
              </w:rPr>
              <w:t>A kibocsátási típusjóváhagyásra vonatkozó</w:t>
            </w:r>
            <w:r w:rsidRPr="00E344A0">
              <w:t xml:space="preserve"> </w:t>
            </w:r>
            <w:r w:rsidRPr="00E344A0">
              <w:lastRenderedPageBreak/>
              <w:t xml:space="preserve">vizsgálatok és követelmények </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lastRenderedPageBreak/>
              <w:t xml:space="preserve">A gyártás megfelelőségének ellenőrzésére </w:t>
            </w:r>
            <w:r w:rsidRPr="00E344A0">
              <w:lastRenderedPageBreak/>
              <w:t xml:space="preserve">irányuló vizsgálatok </w:t>
            </w:r>
          </w:p>
        </w:tc>
        <w:tc>
          <w:tcPr>
            <w:tcW w:w="1092"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jc w:val="center"/>
              <w:rPr>
                <w:noProof/>
              </w:rPr>
            </w:pPr>
            <w:r w:rsidRPr="00E344A0">
              <w:lastRenderedPageBreak/>
              <w:t xml:space="preserve">A használatban lévő járművek megfelelőségének </w:t>
            </w:r>
            <w:r w:rsidRPr="00E344A0">
              <w:lastRenderedPageBreak/>
              <w:t>ellenőrzésére irányuló vizsgálatok</w:t>
            </w:r>
          </w:p>
        </w:tc>
      </w:tr>
      <w:tr w:rsidR="00FF715E" w:rsidRPr="00E344A0" w:rsidTr="00CD27F0">
        <w:trPr>
          <w:trHeight w:val="885"/>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lastRenderedPageBreak/>
              <w:t>Gáz-halmazállapotú szennyező anyagok, PM és PN, CO</w:t>
            </w:r>
            <w:r w:rsidRPr="00E344A0">
              <w:rPr>
                <w:vertAlign w:val="subscript"/>
              </w:rPr>
              <w:t>2</w:t>
            </w:r>
            <w:r w:rsidRPr="00E344A0">
              <w:t>-kibocsátás, üzemanyag-fogyasztás tranziens vizsgálati ciklus alatt (hideg és meleg WHTC)</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 a kibocsátási járműcsalád alapmotorja esetében, és nyilatkozat a járműcsalád valamennyi tagja tekintetében**</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Kötelező a motorcsalád egy tagja esetében</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jc w:val="center"/>
              <w:rPr>
                <w:noProof/>
              </w:rPr>
            </w:pPr>
            <w:r w:rsidRPr="00E344A0">
              <w:t>Csak a teljes járművel végzendő, a 3. és 4. táblázat szerint</w:t>
            </w:r>
          </w:p>
        </w:tc>
      </w:tr>
      <w:tr w:rsidR="00FF715E" w:rsidRPr="00E344A0" w:rsidTr="00CD27F0">
        <w:trPr>
          <w:trHeight w:val="685"/>
        </w:trPr>
        <w:tc>
          <w:tcPr>
            <w:tcW w:w="1331"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Gáz-halmazállapotú szennyező anyagok, PN a közúti (RDE) vizsgálatok során minden egyes üzemanyag és lefedett járműkategória (M</w:t>
            </w:r>
            <w:r w:rsidRPr="00E344A0">
              <w:rPr>
                <w:b/>
                <w:i/>
                <w:vertAlign w:val="subscript"/>
              </w:rPr>
              <w:t>2</w:t>
            </w:r>
            <w:r w:rsidRPr="00E344A0">
              <w:rPr>
                <w:b/>
                <w:i/>
              </w:rPr>
              <w:t>, M</w:t>
            </w:r>
            <w:r w:rsidRPr="00E344A0">
              <w:rPr>
                <w:b/>
                <w:i/>
                <w:vertAlign w:val="subscript"/>
              </w:rPr>
              <w:t>3</w:t>
            </w:r>
            <w:r w:rsidRPr="00E344A0">
              <w:rPr>
                <w:b/>
                <w:i/>
              </w:rPr>
              <w:t>, N</w:t>
            </w:r>
            <w:r w:rsidRPr="00E344A0">
              <w:rPr>
                <w:b/>
                <w:i/>
                <w:vertAlign w:val="subscript"/>
              </w:rPr>
              <w:t>2</w:t>
            </w:r>
            <w:r w:rsidRPr="00E344A0">
              <w:rPr>
                <w:b/>
                <w:i/>
              </w:rPr>
              <w:t xml:space="preserve"> és N</w:t>
            </w:r>
            <w:r w:rsidRPr="00E344A0">
              <w:rPr>
                <w:b/>
                <w:i/>
                <w:vertAlign w:val="subscript"/>
              </w:rPr>
              <w:t>3</w:t>
            </w:r>
            <w:r w:rsidRPr="00E344A0">
              <w:rPr>
                <w:b/>
                <w:i/>
              </w:rPr>
              <w:t>) tekintetében</w:t>
            </w:r>
          </w:p>
        </w:tc>
        <w:tc>
          <w:tcPr>
            <w:tcW w:w="1484"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 xml:space="preserve">Előírt igazoló vizsgálat járműtípusonként minden olyan tüzelőanyag esetében, amelyre a típusjóváhagyást megadták, valamint megfelelőségi nyilatkozat valamennyi tüzelőanyag, hasznos terhelés és lefedett </w:t>
            </w:r>
            <w:r w:rsidRPr="00E344A0">
              <w:rPr>
                <w:b/>
                <w:bCs/>
                <w:i/>
                <w:iCs/>
              </w:rPr>
              <w:t>járműkategória</w:t>
            </w:r>
            <w:r w:rsidRPr="00E344A0">
              <w:rPr>
                <w:b/>
                <w:bCs/>
                <w:i/>
              </w:rPr>
              <w:t xml:space="preserve"> </w:t>
            </w:r>
            <w:r w:rsidRPr="00E344A0">
              <w:rPr>
                <w:b/>
                <w:i/>
              </w:rPr>
              <w:t>tekintetében</w:t>
            </w:r>
          </w:p>
        </w:tc>
        <w:tc>
          <w:tcPr>
            <w:tcW w:w="1093"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i/>
                <w:noProof/>
                <w:szCs w:val="24"/>
              </w:rPr>
            </w:pPr>
            <w:r w:rsidRPr="00E344A0">
              <w:rPr>
                <w:b/>
                <w:i/>
              </w:rPr>
              <w:t>Nem kötelező</w:t>
            </w:r>
          </w:p>
        </w:tc>
        <w:tc>
          <w:tcPr>
            <w:tcW w:w="0" w:type="auto"/>
            <w:vMerge/>
            <w:tcBorders>
              <w:top w:val="single" w:sz="2" w:space="0" w:color="auto"/>
              <w:left w:val="single" w:sz="2" w:space="0" w:color="auto"/>
              <w:bottom w:val="single" w:sz="2" w:space="0" w:color="auto"/>
              <w:right w:val="single" w:sz="2" w:space="0" w:color="auto"/>
            </w:tcBorders>
            <w:vAlign w:val="center"/>
          </w:tcPr>
          <w:p w:rsidR="00FF715E" w:rsidRPr="00E344A0" w:rsidRDefault="00FF715E" w:rsidP="00CD27F0">
            <w:pPr>
              <w:spacing w:line="276" w:lineRule="auto"/>
              <w:rPr>
                <w:noProof/>
                <w:szCs w:val="22"/>
                <w:lang w:eastAsia="en-US"/>
              </w:rPr>
            </w:pPr>
          </w:p>
        </w:tc>
      </w:tr>
      <w:tr w:rsidR="00FF715E" w:rsidRPr="00E344A0" w:rsidTr="00CD27F0">
        <w:trPr>
          <w:trHeight w:val="685"/>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motoron végzett vizsgálatok a CO</w:t>
            </w:r>
            <w:r w:rsidRPr="00E344A0">
              <w:rPr>
                <w:vertAlign w:val="subscript"/>
              </w:rPr>
              <w:t>2</w:t>
            </w:r>
            <w:r w:rsidRPr="00E344A0">
              <w:t xml:space="preserve"> meghatározásához szükséges adat ellenőrzése céljából </w:t>
            </w:r>
          </w:p>
        </w:tc>
        <w:tc>
          <w:tcPr>
            <w:tcW w:w="1484"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line="276" w:lineRule="auto"/>
              <w:rPr>
                <w:noProof/>
              </w:rPr>
            </w:pPr>
            <w:r w:rsidRPr="00E344A0">
              <w:t xml:space="preserve">Kötelező </w:t>
            </w:r>
          </w:p>
          <w:p w:rsidR="00FF715E" w:rsidRPr="00E344A0" w:rsidRDefault="00FF715E" w:rsidP="00CD27F0">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 xml:space="preserve">Kötelező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50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Folyamatos/időszakos regenerálás</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4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Kartergáz-kibocsátás</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Annak ellenőrzése, hogy a forgattyúházrendszer zárt-e, vagy be van-e szerelve elvezetés a kipufogócsőhöz</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48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A kibocsátáscsökkentési teljesítményének tartóssága</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294"/>
        </w:trPr>
        <w:tc>
          <w:tcPr>
            <w:tcW w:w="1331"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b/>
                <w:bCs/>
                <w:i/>
                <w:noProof/>
                <w:szCs w:val="24"/>
              </w:rPr>
            </w:pPr>
            <w:r w:rsidRPr="00E344A0">
              <w:rPr>
                <w:b/>
                <w:i/>
              </w:rPr>
              <w:t>Teljesítménymeghatározás</w:t>
            </w:r>
          </w:p>
        </w:tc>
        <w:tc>
          <w:tcPr>
            <w:tcW w:w="1484"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i/>
                <w:noProof/>
                <w:szCs w:val="24"/>
              </w:rPr>
            </w:pPr>
            <w:r w:rsidRPr="00E344A0">
              <w:rPr>
                <w:b/>
                <w:i/>
              </w:rPr>
              <w:t>Kötelező</w:t>
            </w:r>
          </w:p>
        </w:tc>
        <w:tc>
          <w:tcPr>
            <w:tcW w:w="1093" w:type="pct"/>
            <w:tcBorders>
              <w:top w:val="single" w:sz="2" w:space="0" w:color="auto"/>
              <w:left w:val="single" w:sz="2" w:space="0" w:color="auto"/>
              <w:bottom w:val="single" w:sz="2" w:space="0" w:color="auto"/>
              <w:right w:val="single" w:sz="2" w:space="0" w:color="auto"/>
            </w:tcBorders>
          </w:tcPr>
          <w:p w:rsidR="00FF715E" w:rsidRPr="00E344A0" w:rsidRDefault="00FF715E" w:rsidP="00CD27F0">
            <w:pPr>
              <w:spacing w:before="60" w:after="60"/>
              <w:rPr>
                <w:i/>
                <w:noProof/>
                <w:szCs w:val="24"/>
              </w:rPr>
            </w:pPr>
            <w:r w:rsidRPr="00E344A0">
              <w:rPr>
                <w:b/>
                <w:i/>
              </w:rPr>
              <w:t>Nem kötelező</w:t>
            </w:r>
          </w:p>
        </w:tc>
        <w:tc>
          <w:tcPr>
            <w:tcW w:w="0" w:type="auto"/>
            <w:vMerge/>
            <w:tcBorders>
              <w:top w:val="single" w:sz="2" w:space="0" w:color="auto"/>
              <w:left w:val="single" w:sz="2" w:space="0" w:color="auto"/>
              <w:bottom w:val="single" w:sz="2" w:space="0" w:color="auto"/>
              <w:right w:val="single" w:sz="2" w:space="0" w:color="auto"/>
            </w:tcBorders>
            <w:vAlign w:val="center"/>
          </w:tcPr>
          <w:p w:rsidR="00FF715E" w:rsidRPr="00E344A0" w:rsidRDefault="00FF715E" w:rsidP="00CD27F0">
            <w:pPr>
              <w:spacing w:line="276" w:lineRule="auto"/>
              <w:rPr>
                <w:noProof/>
                <w:szCs w:val="22"/>
                <w:lang w:eastAsia="en-US"/>
              </w:rPr>
            </w:pPr>
          </w:p>
        </w:tc>
      </w:tr>
      <w:tr w:rsidR="00FF715E" w:rsidRPr="00E344A0" w:rsidTr="00CD27F0">
        <w:trPr>
          <w:trHeight w:val="2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Fedélzeti diagnosztika (OBD-család szintű)</w:t>
            </w:r>
          </w:p>
        </w:tc>
        <w:tc>
          <w:tcPr>
            <w:tcW w:w="1484"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Nyilatkozat</w:t>
            </w:r>
          </w:p>
        </w:tc>
        <w:tc>
          <w:tcPr>
            <w:tcW w:w="1093"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E344A0" w:rsidTr="00CD27F0">
        <w:trPr>
          <w:trHeight w:val="294"/>
        </w:trPr>
        <w:tc>
          <w:tcPr>
            <w:tcW w:w="1331" w:type="pct"/>
            <w:tcBorders>
              <w:top w:val="single" w:sz="2" w:space="0" w:color="auto"/>
              <w:left w:val="single" w:sz="2" w:space="0" w:color="auto"/>
              <w:bottom w:val="single" w:sz="2" w:space="0" w:color="auto"/>
              <w:right w:val="single" w:sz="2" w:space="0" w:color="auto"/>
            </w:tcBorders>
            <w:hideMark/>
          </w:tcPr>
          <w:p w:rsidR="00FF715E" w:rsidRPr="00E344A0" w:rsidRDefault="00FF715E" w:rsidP="00CD27F0">
            <w:pPr>
              <w:spacing w:line="276" w:lineRule="auto"/>
              <w:rPr>
                <w:noProof/>
              </w:rPr>
            </w:pPr>
            <w:r w:rsidRPr="00E344A0">
              <w:lastRenderedPageBreak/>
              <w:t>Fedélzeti ellenőrző rendszer (OBM-család szintű)</w:t>
            </w:r>
          </w:p>
        </w:tc>
        <w:tc>
          <w:tcPr>
            <w:tcW w:w="1484" w:type="pct"/>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rPr>
            </w:pPr>
            <w:r w:rsidRPr="00E344A0">
              <w:t>Csak a teljes járművel végzendő, a 3. és 4. táblázat szerint</w:t>
            </w:r>
          </w:p>
        </w:tc>
        <w:tc>
          <w:tcPr>
            <w:tcW w:w="1093" w:type="pct"/>
            <w:tcBorders>
              <w:top w:val="single" w:sz="2" w:space="0" w:color="auto"/>
              <w:left w:val="single" w:sz="2" w:space="0" w:color="auto"/>
              <w:bottom w:val="single" w:sz="4" w:space="0" w:color="auto"/>
              <w:right w:val="single" w:sz="2" w:space="0" w:color="auto"/>
            </w:tcBorders>
            <w:hideMark/>
          </w:tcPr>
          <w:p w:rsidR="00FF715E" w:rsidRPr="00E344A0" w:rsidRDefault="00FF715E" w:rsidP="00CD27F0">
            <w:pPr>
              <w:spacing w:line="276" w:lineRule="auto"/>
              <w:rPr>
                <w:noProof/>
              </w:rPr>
            </w:pPr>
            <w:r w:rsidRPr="00E344A0">
              <w:t>Nem kötelező</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715E" w:rsidRPr="00E344A0" w:rsidRDefault="00FF715E" w:rsidP="00CD27F0">
            <w:pPr>
              <w:spacing w:line="276" w:lineRule="auto"/>
              <w:rPr>
                <w:noProof/>
                <w:szCs w:val="22"/>
                <w:lang w:eastAsia="en-US"/>
              </w:rPr>
            </w:pPr>
          </w:p>
        </w:tc>
      </w:tr>
      <w:tr w:rsidR="00FF715E" w:rsidRPr="004321A9" w:rsidTr="00CD27F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FF715E" w:rsidRPr="004321A9" w:rsidRDefault="00FF715E" w:rsidP="00CD27F0">
            <w:pPr>
              <w:spacing w:line="276" w:lineRule="auto"/>
              <w:rPr>
                <w:noProof/>
                <w:szCs w:val="22"/>
              </w:rPr>
            </w:pPr>
            <w:r w:rsidRPr="00E344A0">
              <w:rPr>
                <w:b/>
                <w:i/>
              </w:rPr>
              <w:t>**</w:t>
            </w:r>
            <w:r w:rsidRPr="00E344A0">
              <w:rPr>
                <w:b/>
                <w:i/>
              </w:rPr>
              <w:tab/>
              <w:t>Az összes motorteljesítmény-érték esetében alá kell támasztani a vonatkozó motorvizsgálati adatokkal.</w:t>
            </w:r>
          </w:p>
        </w:tc>
      </w:tr>
    </w:tbl>
    <w:p w:rsidR="00FF715E" w:rsidRPr="004321A9" w:rsidRDefault="00FF715E" w:rsidP="00FF715E">
      <w:pPr>
        <w:pStyle w:val="AmOrLang"/>
      </w:pPr>
    </w:p>
    <w:sectPr w:rsidR="00FF715E" w:rsidRPr="004321A9" w:rsidSect="004321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7F0" w:rsidRPr="004321A9" w:rsidRDefault="00CD27F0">
      <w:r w:rsidRPr="004321A9">
        <w:separator/>
      </w:r>
    </w:p>
  </w:endnote>
  <w:endnote w:type="continuationSeparator" w:id="0">
    <w:p w:rsidR="00CD27F0" w:rsidRPr="004321A9" w:rsidRDefault="00CD27F0">
      <w:r w:rsidRPr="004321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7F0" w:rsidRPr="004321A9" w:rsidRDefault="00CD27F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7F0" w:rsidRPr="004321A9" w:rsidRDefault="00CD27F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7F0" w:rsidRPr="004321A9" w:rsidRDefault="00CD27F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7F0" w:rsidRPr="004321A9" w:rsidRDefault="00CD27F0">
      <w:r w:rsidRPr="004321A9">
        <w:separator/>
      </w:r>
    </w:p>
  </w:footnote>
  <w:footnote w:type="continuationSeparator" w:id="0">
    <w:p w:rsidR="00CD27F0" w:rsidRPr="004321A9" w:rsidRDefault="00CD27F0">
      <w:r w:rsidRPr="004321A9">
        <w:continuationSeparator/>
      </w:r>
    </w:p>
  </w:footnote>
  <w:footnote w:id="1">
    <w:p w:rsidR="000069D1" w:rsidRPr="00E344A0" w:rsidRDefault="000069D1" w:rsidP="000069D1">
      <w:pPr>
        <w:pStyle w:val="FootnoteText"/>
        <w:ind w:left="567" w:hanging="567"/>
        <w:rPr>
          <w:sz w:val="24"/>
          <w:szCs w:val="24"/>
          <w:lang w:val="hu-HU"/>
        </w:rPr>
      </w:pPr>
      <w:r w:rsidRPr="00E344A0">
        <w:rPr>
          <w:rStyle w:val="FootnoteReference"/>
          <w:sz w:val="24"/>
          <w:szCs w:val="24"/>
        </w:rPr>
        <w:footnoteRef/>
      </w:r>
      <w:r w:rsidRPr="00E344A0">
        <w:rPr>
          <w:sz w:val="24"/>
          <w:szCs w:val="24"/>
          <w:lang w:val="hu-HU"/>
        </w:rPr>
        <w:t xml:space="preserve"> </w:t>
      </w:r>
      <w:r w:rsidRPr="00E344A0">
        <w:rPr>
          <w:sz w:val="24"/>
          <w:szCs w:val="24"/>
          <w:lang w:val="hu-HU"/>
        </w:rPr>
        <w:tab/>
        <w:t xml:space="preserve">Az ügyet az 59. cikk (4) bekezdésének negyedik </w:t>
      </w:r>
      <w:proofErr w:type="spellStart"/>
      <w:r w:rsidRPr="00E344A0">
        <w:rPr>
          <w:sz w:val="24"/>
          <w:szCs w:val="24"/>
          <w:lang w:val="hu-HU"/>
        </w:rPr>
        <w:t>albekezdése</w:t>
      </w:r>
      <w:proofErr w:type="spellEnd"/>
      <w:r w:rsidRPr="00E344A0">
        <w:rPr>
          <w:sz w:val="24"/>
          <w:szCs w:val="24"/>
          <w:lang w:val="hu-HU"/>
        </w:rPr>
        <w:t xml:space="preserve"> alapján visszautalták az illetékes bizottsághoz intézményközi tárgyalások céljából (A9-0298/2023).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7F0" w:rsidRPr="004321A9" w:rsidRDefault="00CD27F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7F0" w:rsidRPr="004321A9" w:rsidRDefault="00CD27F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7F0" w:rsidRPr="004321A9" w:rsidRDefault="00CD27F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7D0CD36C">
      <w:start w:val="1"/>
      <w:numFmt w:val="bullet"/>
      <w:lvlText w:val=""/>
      <w:lvlJc w:val="left"/>
      <w:pPr>
        <w:ind w:left="360" w:hanging="360"/>
      </w:pPr>
      <w:rPr>
        <w:rFonts w:ascii="Wingdings" w:hAnsi="Wingdings" w:hint="default"/>
      </w:rPr>
    </w:lvl>
    <w:lvl w:ilvl="1" w:tplc="4C0A76F2">
      <w:start w:val="1"/>
      <w:numFmt w:val="bullet"/>
      <w:lvlText w:val="o"/>
      <w:lvlJc w:val="left"/>
      <w:pPr>
        <w:ind w:left="1080" w:hanging="360"/>
      </w:pPr>
      <w:rPr>
        <w:rFonts w:ascii="Courier New" w:hAnsi="Courier New" w:cs="Courier New" w:hint="default"/>
      </w:rPr>
    </w:lvl>
    <w:lvl w:ilvl="2" w:tplc="B8AAF318">
      <w:start w:val="1"/>
      <w:numFmt w:val="bullet"/>
      <w:lvlText w:val=""/>
      <w:lvlJc w:val="left"/>
      <w:pPr>
        <w:ind w:left="1800" w:hanging="360"/>
      </w:pPr>
      <w:rPr>
        <w:rFonts w:ascii="Wingdings" w:hAnsi="Wingdings" w:hint="default"/>
      </w:rPr>
    </w:lvl>
    <w:lvl w:ilvl="3" w:tplc="A888E686">
      <w:start w:val="1"/>
      <w:numFmt w:val="bullet"/>
      <w:lvlText w:val=""/>
      <w:lvlJc w:val="left"/>
      <w:pPr>
        <w:ind w:left="2520" w:hanging="360"/>
      </w:pPr>
      <w:rPr>
        <w:rFonts w:ascii="Symbol" w:hAnsi="Symbol" w:hint="default"/>
      </w:rPr>
    </w:lvl>
    <w:lvl w:ilvl="4" w:tplc="3C7A632E">
      <w:start w:val="1"/>
      <w:numFmt w:val="bullet"/>
      <w:lvlText w:val="o"/>
      <w:lvlJc w:val="left"/>
      <w:pPr>
        <w:ind w:left="3240" w:hanging="360"/>
      </w:pPr>
      <w:rPr>
        <w:rFonts w:ascii="Courier New" w:hAnsi="Courier New" w:cs="Courier New" w:hint="default"/>
      </w:rPr>
    </w:lvl>
    <w:lvl w:ilvl="5" w:tplc="3886F450">
      <w:start w:val="1"/>
      <w:numFmt w:val="bullet"/>
      <w:lvlText w:val=""/>
      <w:lvlJc w:val="left"/>
      <w:pPr>
        <w:ind w:left="3960" w:hanging="360"/>
      </w:pPr>
      <w:rPr>
        <w:rFonts w:ascii="Wingdings" w:hAnsi="Wingdings" w:hint="default"/>
      </w:rPr>
    </w:lvl>
    <w:lvl w:ilvl="6" w:tplc="2B501D8E">
      <w:start w:val="1"/>
      <w:numFmt w:val="bullet"/>
      <w:lvlText w:val=""/>
      <w:lvlJc w:val="left"/>
      <w:pPr>
        <w:ind w:left="4680" w:hanging="360"/>
      </w:pPr>
      <w:rPr>
        <w:rFonts w:ascii="Symbol" w:hAnsi="Symbol" w:hint="default"/>
      </w:rPr>
    </w:lvl>
    <w:lvl w:ilvl="7" w:tplc="3470F456">
      <w:start w:val="1"/>
      <w:numFmt w:val="bullet"/>
      <w:lvlText w:val="o"/>
      <w:lvlJc w:val="left"/>
      <w:pPr>
        <w:ind w:left="5400" w:hanging="360"/>
      </w:pPr>
      <w:rPr>
        <w:rFonts w:ascii="Courier New" w:hAnsi="Courier New" w:cs="Courier New" w:hint="default"/>
      </w:rPr>
    </w:lvl>
    <w:lvl w:ilvl="8" w:tplc="5036A866">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CAF0020C">
      <w:start w:val="48"/>
      <w:numFmt w:val="bullet"/>
      <w:lvlText w:val="•"/>
      <w:lvlJc w:val="left"/>
      <w:pPr>
        <w:ind w:left="720" w:hanging="360"/>
      </w:pPr>
      <w:rPr>
        <w:rFonts w:ascii="Verdana" w:eastAsia="Verdana" w:hAnsi="Verdan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C94297EC">
      <w:start w:val="1"/>
      <w:numFmt w:val="bullet"/>
      <w:lvlText w:val=""/>
      <w:lvlJc w:val="left"/>
      <w:pPr>
        <w:ind w:left="360" w:hanging="360"/>
      </w:pPr>
      <w:rPr>
        <w:rFonts w:ascii="Wingdings" w:hAnsi="Wingdings" w:hint="default"/>
      </w:rPr>
    </w:lvl>
    <w:lvl w:ilvl="1" w:tplc="A09ACD9A">
      <w:numFmt w:val="bullet"/>
      <w:lvlText w:val="-"/>
      <w:lvlJc w:val="left"/>
      <w:pPr>
        <w:ind w:left="1080" w:hanging="360"/>
      </w:pPr>
      <w:rPr>
        <w:rFonts w:ascii="Calibri" w:eastAsiaTheme="minorHAnsi" w:hAnsi="Calibri" w:cs="Calibri" w:hint="default"/>
      </w:rPr>
    </w:lvl>
    <w:lvl w:ilvl="2" w:tplc="08B6AC20">
      <w:start w:val="1"/>
      <w:numFmt w:val="bullet"/>
      <w:lvlText w:val=""/>
      <w:lvlJc w:val="left"/>
      <w:pPr>
        <w:ind w:left="1800" w:hanging="360"/>
      </w:pPr>
      <w:rPr>
        <w:rFonts w:ascii="Wingdings" w:hAnsi="Wingdings" w:hint="default"/>
      </w:rPr>
    </w:lvl>
    <w:lvl w:ilvl="3" w:tplc="D77A0F06">
      <w:start w:val="1"/>
      <w:numFmt w:val="bullet"/>
      <w:lvlText w:val=""/>
      <w:lvlJc w:val="left"/>
      <w:pPr>
        <w:ind w:left="2520" w:hanging="360"/>
      </w:pPr>
      <w:rPr>
        <w:rFonts w:ascii="Symbol" w:hAnsi="Symbol" w:hint="default"/>
      </w:rPr>
    </w:lvl>
    <w:lvl w:ilvl="4" w:tplc="AAC02478">
      <w:start w:val="1"/>
      <w:numFmt w:val="bullet"/>
      <w:lvlText w:val="o"/>
      <w:lvlJc w:val="left"/>
      <w:pPr>
        <w:ind w:left="3240" w:hanging="360"/>
      </w:pPr>
      <w:rPr>
        <w:rFonts w:ascii="Courier New" w:hAnsi="Courier New" w:cs="Courier New" w:hint="default"/>
      </w:rPr>
    </w:lvl>
    <w:lvl w:ilvl="5" w:tplc="8EF25468">
      <w:start w:val="1"/>
      <w:numFmt w:val="bullet"/>
      <w:lvlText w:val=""/>
      <w:lvlJc w:val="left"/>
      <w:pPr>
        <w:ind w:left="3960" w:hanging="360"/>
      </w:pPr>
      <w:rPr>
        <w:rFonts w:ascii="Wingdings" w:hAnsi="Wingdings" w:hint="default"/>
      </w:rPr>
    </w:lvl>
    <w:lvl w:ilvl="6" w:tplc="A782A1A6">
      <w:start w:val="1"/>
      <w:numFmt w:val="bullet"/>
      <w:lvlText w:val=""/>
      <w:lvlJc w:val="left"/>
      <w:pPr>
        <w:ind w:left="4680" w:hanging="360"/>
      </w:pPr>
      <w:rPr>
        <w:rFonts w:ascii="Symbol" w:hAnsi="Symbol" w:hint="default"/>
      </w:rPr>
    </w:lvl>
    <w:lvl w:ilvl="7" w:tplc="E32E000A">
      <w:start w:val="1"/>
      <w:numFmt w:val="bullet"/>
      <w:lvlText w:val="o"/>
      <w:lvlJc w:val="left"/>
      <w:pPr>
        <w:ind w:left="5400" w:hanging="360"/>
      </w:pPr>
      <w:rPr>
        <w:rFonts w:ascii="Courier New" w:hAnsi="Courier New" w:cs="Courier New" w:hint="default"/>
      </w:rPr>
    </w:lvl>
    <w:lvl w:ilvl="8" w:tplc="DBB449D4">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HU"/>
    <w:docVar w:name="dvnumam" w:val="528"/>
    <w:docVar w:name="dvpe" w:val="746.876"/>
    <w:docVar w:name="dvrapporteur" w:val="Előadó: "/>
    <w:docVar w:name="dvstar" w:val="***I"/>
    <w:docVar w:name="dvtitre" w:val="Az Európai Parlament 2023.  ...-i jogalkotási állásfoglalása a gépjárművek és motorok, valamint az ilyen járművek rendszereinek, alkotóelemeinek és önálló műszaki egységeinek a kibocsátásuk és az akkumulátor tartóssága tekintetében történő típusjóváhagyásáról (Euro 7), továbbá a 715/2007/EK rendelet és az 595/2009/EK rendelet hatályon kívül helyezéséről szóló európai parlamenti és tanácsi rendeletre irányuló javaslatról(COM(2022)0586 – C9-0375/2022 – 2022/0365(COD))"/>
  </w:docVars>
  <w:rsids>
    <w:rsidRoot w:val="00636711"/>
    <w:rsid w:val="00002272"/>
    <w:rsid w:val="000069D1"/>
    <w:rsid w:val="00064002"/>
    <w:rsid w:val="00064D23"/>
    <w:rsid w:val="000677B9"/>
    <w:rsid w:val="000831BA"/>
    <w:rsid w:val="000A42CC"/>
    <w:rsid w:val="000E7DD9"/>
    <w:rsid w:val="0010095E"/>
    <w:rsid w:val="00125B37"/>
    <w:rsid w:val="00187494"/>
    <w:rsid w:val="001F32AE"/>
    <w:rsid w:val="00267A15"/>
    <w:rsid w:val="002767FF"/>
    <w:rsid w:val="002B18FE"/>
    <w:rsid w:val="002B5493"/>
    <w:rsid w:val="00337EEE"/>
    <w:rsid w:val="00343214"/>
    <w:rsid w:val="00361C00"/>
    <w:rsid w:val="00395FA1"/>
    <w:rsid w:val="003E15D4"/>
    <w:rsid w:val="00411CCE"/>
    <w:rsid w:val="0041666E"/>
    <w:rsid w:val="00421060"/>
    <w:rsid w:val="004321A9"/>
    <w:rsid w:val="00471C19"/>
    <w:rsid w:val="004867E3"/>
    <w:rsid w:val="00494A28"/>
    <w:rsid w:val="004C0004"/>
    <w:rsid w:val="004C5D52"/>
    <w:rsid w:val="0050519A"/>
    <w:rsid w:val="005072A1"/>
    <w:rsid w:val="00514517"/>
    <w:rsid w:val="00545827"/>
    <w:rsid w:val="00560270"/>
    <w:rsid w:val="005C2568"/>
    <w:rsid w:val="006037C0"/>
    <w:rsid w:val="0063671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28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A83"/>
    <w:rsid w:val="00CC2357"/>
    <w:rsid w:val="00CD27F0"/>
    <w:rsid w:val="00CF071A"/>
    <w:rsid w:val="00D058B8"/>
    <w:rsid w:val="00D56C11"/>
    <w:rsid w:val="00D834A0"/>
    <w:rsid w:val="00D872DF"/>
    <w:rsid w:val="00D91E21"/>
    <w:rsid w:val="00DA7FCD"/>
    <w:rsid w:val="00E344A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15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34B50"/>
  <w15:chartTrackingRefBased/>
  <w15:docId w15:val="{FD3A3777-D95F-4035-AA20-19F04609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F715E"/>
    <w:rPr>
      <w:b/>
      <w:kern w:val="28"/>
      <w:sz w:val="28"/>
      <w:lang w:val="fr-FR" w:eastAsia="fr-FR"/>
    </w:rPr>
  </w:style>
  <w:style w:type="character" w:customStyle="1" w:styleId="Heading2Char">
    <w:name w:val="Heading 2 Char"/>
    <w:basedOn w:val="DefaultParagraphFont"/>
    <w:link w:val="Heading2"/>
    <w:semiHidden/>
    <w:rsid w:val="00FF715E"/>
    <w:rPr>
      <w:sz w:val="24"/>
      <w:lang w:val="fr-FR" w:eastAsia="fr-FR"/>
    </w:rPr>
  </w:style>
  <w:style w:type="character" w:customStyle="1" w:styleId="Heading3Char">
    <w:name w:val="Heading 3 Char"/>
    <w:basedOn w:val="DefaultParagraphFont"/>
    <w:link w:val="Heading3"/>
    <w:semiHidden/>
    <w:rsid w:val="00FF715E"/>
    <w:rPr>
      <w:rFonts w:ascii="Arial" w:hAnsi="Arial"/>
      <w:sz w:val="24"/>
      <w:lang w:val="fr-FR" w:eastAsia="fr-FR"/>
    </w:rPr>
  </w:style>
  <w:style w:type="character" w:customStyle="1" w:styleId="Heading4Char">
    <w:name w:val="Heading 4 Char"/>
    <w:basedOn w:val="DefaultParagraphFont"/>
    <w:link w:val="Heading4"/>
    <w:semiHidden/>
    <w:rsid w:val="00FF715E"/>
    <w:rPr>
      <w:sz w:val="24"/>
      <w:lang w:val="en-US" w:eastAsia="fr-FR"/>
    </w:rPr>
  </w:style>
  <w:style w:type="character" w:customStyle="1" w:styleId="Heading5Char">
    <w:name w:val="Heading 5 Char"/>
    <w:basedOn w:val="DefaultParagraphFont"/>
    <w:link w:val="Heading5"/>
    <w:semiHidden/>
    <w:rsid w:val="00FF715E"/>
    <w:rPr>
      <w:sz w:val="24"/>
      <w:lang w:val="en-US" w:eastAsia="fr-FR"/>
    </w:rPr>
  </w:style>
  <w:style w:type="character" w:customStyle="1" w:styleId="Heading6Char">
    <w:name w:val="Heading 6 Char"/>
    <w:basedOn w:val="DefaultParagraphFont"/>
    <w:link w:val="Heading6"/>
    <w:semiHidden/>
    <w:rsid w:val="00FF715E"/>
    <w:rPr>
      <w:i/>
      <w:sz w:val="22"/>
      <w:lang w:val="hu-HU"/>
    </w:rPr>
  </w:style>
  <w:style w:type="character" w:customStyle="1" w:styleId="Heading7Char">
    <w:name w:val="Heading 7 Char"/>
    <w:basedOn w:val="DefaultParagraphFont"/>
    <w:link w:val="Heading7"/>
    <w:semiHidden/>
    <w:rsid w:val="00FF715E"/>
    <w:rPr>
      <w:rFonts w:ascii="Arial" w:hAnsi="Arial"/>
      <w:sz w:val="24"/>
      <w:lang w:val="hu-HU"/>
    </w:rPr>
  </w:style>
  <w:style w:type="character" w:customStyle="1" w:styleId="Heading8Char">
    <w:name w:val="Heading 8 Char"/>
    <w:basedOn w:val="DefaultParagraphFont"/>
    <w:link w:val="Heading8"/>
    <w:semiHidden/>
    <w:rsid w:val="00FF715E"/>
    <w:rPr>
      <w:rFonts w:ascii="Arial" w:hAnsi="Arial"/>
      <w:i/>
      <w:sz w:val="24"/>
      <w:lang w:val="hu-HU"/>
    </w:rPr>
  </w:style>
  <w:style w:type="character" w:customStyle="1" w:styleId="Heading9Char">
    <w:name w:val="Heading 9 Char"/>
    <w:basedOn w:val="DefaultParagraphFont"/>
    <w:link w:val="Heading9"/>
    <w:semiHidden/>
    <w:rsid w:val="00FF715E"/>
    <w:rPr>
      <w:rFonts w:ascii="Arial" w:hAnsi="Arial"/>
      <w:b/>
      <w:i/>
      <w:sz w:val="18"/>
      <w:lang w:val="hu-HU"/>
    </w:rPr>
  </w:style>
  <w:style w:type="paragraph" w:styleId="TOCHeading">
    <w:name w:val="TOC Heading"/>
    <w:basedOn w:val="Normal"/>
    <w:next w:val="Normal"/>
    <w:unhideWhenUsed/>
    <w:qFormat/>
    <w:rsid w:val="00FF715E"/>
    <w:pPr>
      <w:widowControl/>
      <w:spacing w:after="240"/>
    </w:pPr>
    <w:rPr>
      <w:lang w:val="en-GB"/>
    </w:rPr>
  </w:style>
  <w:style w:type="paragraph" w:customStyle="1" w:styleId="EPFooter2">
    <w:name w:val="EPFooter2"/>
    <w:basedOn w:val="Normal"/>
    <w:next w:val="Normal"/>
    <w:rsid w:val="00FF715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F715E"/>
    <w:pPr>
      <w:keepNext/>
      <w:spacing w:after="240"/>
      <w:jc w:val="right"/>
    </w:pPr>
    <w:rPr>
      <w:rFonts w:ascii="Arial" w:hAnsi="Arial"/>
      <w:b/>
    </w:rPr>
  </w:style>
  <w:style w:type="paragraph" w:customStyle="1" w:styleId="Normal6a">
    <w:name w:val="Normal6a"/>
    <w:basedOn w:val="Normal"/>
    <w:rsid w:val="00FF715E"/>
    <w:pPr>
      <w:spacing w:after="120"/>
    </w:pPr>
  </w:style>
  <w:style w:type="paragraph" w:customStyle="1" w:styleId="PageHeading">
    <w:name w:val="PageHeading"/>
    <w:basedOn w:val="Normal"/>
    <w:rsid w:val="00FF715E"/>
    <w:pPr>
      <w:keepNext/>
      <w:spacing w:after="480"/>
      <w:jc w:val="center"/>
    </w:pPr>
    <w:rPr>
      <w:rFonts w:ascii="Arial" w:hAnsi="Arial" w:cs="Arial"/>
      <w:b/>
    </w:rPr>
  </w:style>
  <w:style w:type="paragraph" w:customStyle="1" w:styleId="NormalBold">
    <w:name w:val="NormalBold"/>
    <w:basedOn w:val="Normal"/>
    <w:link w:val="NormalBoldChar"/>
    <w:rsid w:val="00FF715E"/>
    <w:rPr>
      <w:b/>
    </w:rPr>
  </w:style>
  <w:style w:type="paragraph" w:customStyle="1" w:styleId="NormalBold12a">
    <w:name w:val="NormalBold12a"/>
    <w:basedOn w:val="Normal"/>
    <w:rsid w:val="00FF715E"/>
    <w:pPr>
      <w:spacing w:after="240"/>
    </w:pPr>
    <w:rPr>
      <w:b/>
    </w:rPr>
  </w:style>
  <w:style w:type="paragraph" w:customStyle="1" w:styleId="AmJustText">
    <w:name w:val="AmJustText"/>
    <w:basedOn w:val="Normal"/>
    <w:rsid w:val="00FF715E"/>
    <w:pPr>
      <w:spacing w:after="240"/>
    </w:pPr>
    <w:rPr>
      <w:i/>
    </w:rPr>
  </w:style>
  <w:style w:type="paragraph" w:customStyle="1" w:styleId="NormalHanging12a">
    <w:name w:val="NormalHanging12a"/>
    <w:basedOn w:val="Normal"/>
    <w:rsid w:val="00FF715E"/>
    <w:pPr>
      <w:spacing w:after="240"/>
      <w:ind w:left="567" w:hanging="567"/>
    </w:pPr>
  </w:style>
  <w:style w:type="paragraph" w:customStyle="1" w:styleId="CoverNormal24a">
    <w:name w:val="CoverNormal24a"/>
    <w:basedOn w:val="Normal"/>
    <w:rsid w:val="00FF715E"/>
    <w:pPr>
      <w:spacing w:after="480"/>
      <w:ind w:left="1417"/>
    </w:pPr>
  </w:style>
  <w:style w:type="paragraph" w:customStyle="1" w:styleId="CoverNormal">
    <w:name w:val="CoverNormal"/>
    <w:basedOn w:val="Normal"/>
    <w:rsid w:val="00FF715E"/>
    <w:pPr>
      <w:ind w:left="1418"/>
    </w:pPr>
  </w:style>
  <w:style w:type="paragraph" w:customStyle="1" w:styleId="AmCrossRef">
    <w:name w:val="AmCrossRef"/>
    <w:basedOn w:val="Normal"/>
    <w:rsid w:val="00FF715E"/>
    <w:pPr>
      <w:spacing w:before="240" w:after="240"/>
      <w:jc w:val="center"/>
    </w:pPr>
    <w:rPr>
      <w:i/>
    </w:rPr>
  </w:style>
  <w:style w:type="paragraph" w:customStyle="1" w:styleId="AmJustTitle">
    <w:name w:val="AmJustTitle"/>
    <w:basedOn w:val="Normal"/>
    <w:next w:val="AmJustText"/>
    <w:rsid w:val="00FF715E"/>
    <w:pPr>
      <w:keepNext/>
      <w:spacing w:before="240" w:after="240"/>
      <w:jc w:val="center"/>
    </w:pPr>
    <w:rPr>
      <w:i/>
    </w:rPr>
  </w:style>
  <w:style w:type="paragraph" w:customStyle="1" w:styleId="CoverReference">
    <w:name w:val="CoverReference"/>
    <w:basedOn w:val="Normal"/>
    <w:rsid w:val="00FF715E"/>
    <w:pPr>
      <w:spacing w:before="1080"/>
      <w:jc w:val="right"/>
    </w:pPr>
    <w:rPr>
      <w:rFonts w:ascii="Arial" w:hAnsi="Arial" w:cs="Arial"/>
      <w:b/>
    </w:rPr>
  </w:style>
  <w:style w:type="paragraph" w:customStyle="1" w:styleId="CoverDocType">
    <w:name w:val="CoverDocType"/>
    <w:basedOn w:val="Normal"/>
    <w:rsid w:val="00FF715E"/>
    <w:pPr>
      <w:ind w:left="1418"/>
    </w:pPr>
    <w:rPr>
      <w:rFonts w:ascii="Arial" w:hAnsi="Arial"/>
      <w:b/>
      <w:sz w:val="48"/>
    </w:rPr>
  </w:style>
  <w:style w:type="paragraph" w:customStyle="1" w:styleId="CoverDocType24a">
    <w:name w:val="CoverDocType24a"/>
    <w:basedOn w:val="Normal"/>
    <w:rsid w:val="00FF715E"/>
    <w:pPr>
      <w:spacing w:after="480"/>
      <w:ind w:left="1418"/>
    </w:pPr>
    <w:rPr>
      <w:rFonts w:ascii="Arial" w:hAnsi="Arial"/>
      <w:b/>
      <w:sz w:val="48"/>
    </w:rPr>
  </w:style>
  <w:style w:type="paragraph" w:customStyle="1" w:styleId="CoverDate">
    <w:name w:val="CoverDate"/>
    <w:basedOn w:val="Normal"/>
    <w:rsid w:val="00FF715E"/>
    <w:pPr>
      <w:spacing w:before="240" w:after="1200"/>
    </w:pPr>
  </w:style>
  <w:style w:type="paragraph" w:styleId="Header">
    <w:name w:val="header"/>
    <w:basedOn w:val="Normal"/>
    <w:link w:val="HeaderChar"/>
    <w:rsid w:val="00FF715E"/>
    <w:pPr>
      <w:tabs>
        <w:tab w:val="center" w:pos="4513"/>
        <w:tab w:val="right" w:pos="9026"/>
      </w:tabs>
    </w:pPr>
  </w:style>
  <w:style w:type="character" w:customStyle="1" w:styleId="HeaderChar">
    <w:name w:val="Header Char"/>
    <w:basedOn w:val="DefaultParagraphFont"/>
    <w:link w:val="Header"/>
    <w:rsid w:val="00FF715E"/>
    <w:rPr>
      <w:sz w:val="24"/>
      <w:lang w:val="hu-HU"/>
    </w:rPr>
  </w:style>
  <w:style w:type="paragraph" w:customStyle="1" w:styleId="AmOrLang">
    <w:name w:val="AmOrLang"/>
    <w:basedOn w:val="Normal"/>
    <w:rsid w:val="00FF715E"/>
    <w:pPr>
      <w:spacing w:before="240" w:after="240"/>
      <w:jc w:val="right"/>
    </w:pPr>
  </w:style>
  <w:style w:type="paragraph" w:customStyle="1" w:styleId="AmColumnHeading">
    <w:name w:val="AmColumnHeading"/>
    <w:basedOn w:val="Normal"/>
    <w:rsid w:val="00FF715E"/>
    <w:pPr>
      <w:spacing w:after="240"/>
      <w:jc w:val="center"/>
    </w:pPr>
    <w:rPr>
      <w:i/>
    </w:rPr>
  </w:style>
  <w:style w:type="paragraph" w:customStyle="1" w:styleId="AmNumberTabs">
    <w:name w:val="AmNumberTabs"/>
    <w:basedOn w:val="Normal"/>
    <w:link w:val="AmNumberTabsChar"/>
    <w:rsid w:val="00FF71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F715E"/>
    <w:pPr>
      <w:spacing w:before="240"/>
    </w:pPr>
    <w:rPr>
      <w:b/>
    </w:rPr>
  </w:style>
  <w:style w:type="paragraph" w:customStyle="1" w:styleId="EPBody">
    <w:name w:val="EPBody"/>
    <w:basedOn w:val="Normal"/>
    <w:rsid w:val="00FF715E"/>
    <w:pPr>
      <w:jc w:val="center"/>
    </w:pPr>
    <w:rPr>
      <w:rFonts w:ascii="Arial" w:hAnsi="Arial" w:cs="Arial"/>
      <w:i/>
      <w:sz w:val="22"/>
      <w:szCs w:val="22"/>
    </w:rPr>
  </w:style>
  <w:style w:type="paragraph" w:customStyle="1" w:styleId="EPFooter">
    <w:name w:val="EPFooter"/>
    <w:basedOn w:val="Normal"/>
    <w:rsid w:val="00FF715E"/>
    <w:pPr>
      <w:tabs>
        <w:tab w:val="center" w:pos="4535"/>
        <w:tab w:val="right" w:pos="9071"/>
      </w:tabs>
      <w:spacing w:before="240" w:after="240"/>
    </w:pPr>
    <w:rPr>
      <w:color w:val="010000"/>
      <w:sz w:val="22"/>
    </w:rPr>
  </w:style>
  <w:style w:type="paragraph" w:customStyle="1" w:styleId="EPComma">
    <w:name w:val="EPComma"/>
    <w:basedOn w:val="Normal"/>
    <w:rsid w:val="00FF715E"/>
    <w:pPr>
      <w:spacing w:before="480" w:after="240"/>
    </w:pPr>
  </w:style>
  <w:style w:type="paragraph" w:customStyle="1" w:styleId="Lgendesigne">
    <w:name w:val="Légende signe"/>
    <w:basedOn w:val="Normal"/>
    <w:rsid w:val="00FF715E"/>
    <w:pPr>
      <w:tabs>
        <w:tab w:val="right" w:pos="454"/>
        <w:tab w:val="left" w:pos="737"/>
      </w:tabs>
      <w:ind w:left="737" w:hanging="737"/>
    </w:pPr>
    <w:rPr>
      <w:snapToGrid w:val="0"/>
      <w:sz w:val="18"/>
      <w:lang w:eastAsia="en-US"/>
    </w:rPr>
  </w:style>
  <w:style w:type="paragraph" w:customStyle="1" w:styleId="Lgendetitre">
    <w:name w:val="Légende titre"/>
    <w:basedOn w:val="Normal"/>
    <w:rsid w:val="00FF715E"/>
    <w:pPr>
      <w:spacing w:before="240" w:after="240"/>
    </w:pPr>
    <w:rPr>
      <w:b/>
      <w:i/>
      <w:snapToGrid w:val="0"/>
      <w:lang w:eastAsia="en-US"/>
    </w:rPr>
  </w:style>
  <w:style w:type="paragraph" w:customStyle="1" w:styleId="Lgendestandard">
    <w:name w:val="Légende standard"/>
    <w:basedOn w:val="Normal"/>
    <w:rsid w:val="00FF715E"/>
    <w:rPr>
      <w:sz w:val="18"/>
    </w:rPr>
  </w:style>
  <w:style w:type="paragraph" w:customStyle="1" w:styleId="msonormal0">
    <w:name w:val="msonormal"/>
    <w:basedOn w:val="Normal"/>
    <w:rsid w:val="00FF715E"/>
    <w:pPr>
      <w:widowControl/>
      <w:spacing w:before="100" w:beforeAutospacing="1" w:after="100" w:afterAutospacing="1"/>
    </w:pPr>
    <w:rPr>
      <w:szCs w:val="24"/>
    </w:rPr>
  </w:style>
  <w:style w:type="character" w:customStyle="1" w:styleId="Normal12Char">
    <w:name w:val="Normal12 Char"/>
    <w:basedOn w:val="DefaultParagraphFont"/>
    <w:link w:val="Normal12"/>
    <w:locked/>
    <w:rsid w:val="00FF715E"/>
    <w:rPr>
      <w:noProof/>
      <w:sz w:val="24"/>
    </w:rPr>
  </w:style>
  <w:style w:type="paragraph" w:customStyle="1" w:styleId="Normal12">
    <w:name w:val="Normal12"/>
    <w:basedOn w:val="Normal"/>
    <w:link w:val="Normal12Char"/>
    <w:rsid w:val="00FF715E"/>
    <w:pPr>
      <w:spacing w:after="240"/>
    </w:pPr>
    <w:rPr>
      <w:noProof/>
      <w:lang w:val="en-GB"/>
    </w:rPr>
  </w:style>
  <w:style w:type="paragraph" w:customStyle="1" w:styleId="CommitteeAM">
    <w:name w:val="CommitteeAM"/>
    <w:basedOn w:val="Normal"/>
    <w:rsid w:val="00FF715E"/>
    <w:pPr>
      <w:spacing w:before="240" w:after="600"/>
      <w:jc w:val="center"/>
    </w:pPr>
    <w:rPr>
      <w:i/>
    </w:rPr>
  </w:style>
  <w:style w:type="paragraph" w:customStyle="1" w:styleId="ZDateAM">
    <w:name w:val="ZDateAM"/>
    <w:basedOn w:val="Normal"/>
    <w:rsid w:val="00FF715E"/>
    <w:pPr>
      <w:tabs>
        <w:tab w:val="right" w:pos="9356"/>
      </w:tabs>
      <w:spacing w:after="480"/>
    </w:pPr>
    <w:rPr>
      <w:noProof/>
    </w:rPr>
  </w:style>
  <w:style w:type="paragraph" w:customStyle="1" w:styleId="ProjRap">
    <w:name w:val="ProjRap"/>
    <w:basedOn w:val="Normal"/>
    <w:rsid w:val="00FF715E"/>
    <w:pPr>
      <w:tabs>
        <w:tab w:val="right" w:pos="9356"/>
      </w:tabs>
    </w:pPr>
    <w:rPr>
      <w:b/>
      <w:noProof/>
    </w:rPr>
  </w:style>
  <w:style w:type="paragraph" w:customStyle="1" w:styleId="PELeft">
    <w:name w:val="PELeft"/>
    <w:basedOn w:val="Normal"/>
    <w:rsid w:val="00FF715E"/>
    <w:pPr>
      <w:spacing w:before="40" w:after="40"/>
    </w:pPr>
    <w:rPr>
      <w:rFonts w:ascii="Arial" w:hAnsi="Arial" w:cs="Arial"/>
      <w:sz w:val="22"/>
      <w:szCs w:val="22"/>
    </w:rPr>
  </w:style>
  <w:style w:type="paragraph" w:customStyle="1" w:styleId="PERight">
    <w:name w:val="PERight"/>
    <w:basedOn w:val="Normal"/>
    <w:next w:val="Normal"/>
    <w:rsid w:val="00FF715E"/>
    <w:pPr>
      <w:jc w:val="right"/>
    </w:pPr>
    <w:rPr>
      <w:rFonts w:ascii="Arial" w:hAnsi="Arial" w:cs="Arial"/>
      <w:sz w:val="22"/>
      <w:szCs w:val="22"/>
    </w:rPr>
  </w:style>
  <w:style w:type="character" w:customStyle="1" w:styleId="Normal6Char">
    <w:name w:val="Normal6 Char"/>
    <w:basedOn w:val="DefaultParagraphFont"/>
    <w:link w:val="Normal6"/>
    <w:locked/>
    <w:rsid w:val="00FF715E"/>
    <w:rPr>
      <w:sz w:val="24"/>
      <w:lang w:val="hu-HU"/>
    </w:rPr>
  </w:style>
  <w:style w:type="paragraph" w:customStyle="1" w:styleId="Normal6">
    <w:name w:val="Normal6"/>
    <w:basedOn w:val="Normal"/>
    <w:link w:val="Normal6Char"/>
    <w:rsid w:val="00FF715E"/>
    <w:pPr>
      <w:spacing w:after="120"/>
    </w:pPr>
  </w:style>
  <w:style w:type="character" w:customStyle="1" w:styleId="NormalBoldChar">
    <w:name w:val="NormalBold Char"/>
    <w:basedOn w:val="DefaultParagraphFont"/>
    <w:link w:val="NormalBold"/>
    <w:locked/>
    <w:rsid w:val="00FF715E"/>
    <w:rPr>
      <w:b/>
      <w:sz w:val="24"/>
      <w:lang w:val="hu-HU"/>
    </w:rPr>
  </w:style>
  <w:style w:type="paragraph" w:customStyle="1" w:styleId="Normal12Italic">
    <w:name w:val="Normal12Italic"/>
    <w:basedOn w:val="Normal12"/>
    <w:rsid w:val="00FF715E"/>
    <w:pPr>
      <w:jc w:val="both"/>
    </w:pPr>
  </w:style>
  <w:style w:type="paragraph" w:customStyle="1" w:styleId="JustificationTitle">
    <w:name w:val="JustificationTitle"/>
    <w:basedOn w:val="Normal"/>
    <w:next w:val="Normal12"/>
    <w:rsid w:val="00FF715E"/>
    <w:pPr>
      <w:keepNext/>
      <w:spacing w:before="240" w:after="240"/>
      <w:jc w:val="center"/>
    </w:pPr>
    <w:rPr>
      <w:i/>
      <w:noProof/>
    </w:rPr>
  </w:style>
  <w:style w:type="paragraph" w:customStyle="1" w:styleId="Olang">
    <w:name w:val="Olang"/>
    <w:basedOn w:val="Normal"/>
    <w:rsid w:val="00FF715E"/>
    <w:pPr>
      <w:spacing w:before="240" w:after="240"/>
      <w:jc w:val="right"/>
    </w:pPr>
    <w:rPr>
      <w:noProof/>
      <w:szCs w:val="24"/>
    </w:rPr>
  </w:style>
  <w:style w:type="paragraph" w:customStyle="1" w:styleId="ColumnHeading">
    <w:name w:val="ColumnHeading"/>
    <w:basedOn w:val="Normal"/>
    <w:rsid w:val="00FF715E"/>
    <w:pPr>
      <w:spacing w:after="240"/>
      <w:jc w:val="center"/>
    </w:pPr>
    <w:rPr>
      <w:i/>
    </w:rPr>
  </w:style>
  <w:style w:type="paragraph" w:customStyle="1" w:styleId="AMNumberTabs0">
    <w:name w:val="AMNumberTabs"/>
    <w:basedOn w:val="Normal"/>
    <w:rsid w:val="00FF71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F715E"/>
    <w:pPr>
      <w:spacing w:before="240"/>
      <w:jc w:val="center"/>
    </w:pPr>
    <w:rPr>
      <w:i/>
    </w:rPr>
  </w:style>
  <w:style w:type="character" w:customStyle="1" w:styleId="Footer2Middle">
    <w:name w:val="Footer2Middle"/>
    <w:rsid w:val="00FF715E"/>
    <w:rPr>
      <w:rFonts w:ascii="Arial" w:hAnsi="Arial" w:cs="Arial" w:hint="default"/>
      <w:b w:val="0"/>
      <w:bCs w:val="0"/>
      <w:i/>
      <w:iCs w:val="0"/>
      <w:color w:val="C0C0C0"/>
      <w:sz w:val="22"/>
    </w:rPr>
  </w:style>
  <w:style w:type="paragraph" w:customStyle="1" w:styleId="EntPE">
    <w:name w:val="EntPE"/>
    <w:basedOn w:val="Normal12"/>
    <w:rsid w:val="00FF715E"/>
    <w:pPr>
      <w:jc w:val="center"/>
    </w:pPr>
    <w:rPr>
      <w:noProof w:val="0"/>
      <w:sz w:val="56"/>
    </w:rPr>
  </w:style>
  <w:style w:type="paragraph" w:styleId="BalloonText">
    <w:name w:val="Balloon Text"/>
    <w:basedOn w:val="Normal"/>
    <w:link w:val="BalloonTextChar"/>
    <w:unhideWhenUsed/>
    <w:rsid w:val="00FF715E"/>
    <w:pPr>
      <w:widowControl/>
    </w:pPr>
    <w:rPr>
      <w:rFonts w:ascii="Segoe UI" w:hAnsi="Segoe UI" w:cs="Segoe UI"/>
      <w:sz w:val="18"/>
      <w:szCs w:val="18"/>
    </w:rPr>
  </w:style>
  <w:style w:type="character" w:customStyle="1" w:styleId="BalloonTextChar">
    <w:name w:val="Balloon Text Char"/>
    <w:basedOn w:val="DefaultParagraphFont"/>
    <w:link w:val="BalloonText"/>
    <w:rsid w:val="00FF715E"/>
    <w:rPr>
      <w:rFonts w:ascii="Segoe UI" w:hAnsi="Segoe UI" w:cs="Segoe UI"/>
      <w:sz w:val="18"/>
      <w:szCs w:val="18"/>
      <w:lang w:val="hu-HU"/>
    </w:rPr>
  </w:style>
  <w:style w:type="paragraph" w:customStyle="1" w:styleId="Normal12Hanging">
    <w:name w:val="Normal12Hanging"/>
    <w:basedOn w:val="Normal"/>
    <w:uiPriority w:val="99"/>
    <w:rsid w:val="00FF715E"/>
    <w:pPr>
      <w:spacing w:after="240"/>
      <w:ind w:left="567" w:hanging="567"/>
    </w:pPr>
  </w:style>
  <w:style w:type="character" w:styleId="CommentReference">
    <w:name w:val="annotation reference"/>
    <w:basedOn w:val="DefaultParagraphFont"/>
    <w:rsid w:val="00FF715E"/>
    <w:rPr>
      <w:sz w:val="16"/>
      <w:szCs w:val="16"/>
    </w:rPr>
  </w:style>
  <w:style w:type="paragraph" w:styleId="CommentText">
    <w:name w:val="annotation text"/>
    <w:basedOn w:val="Normal"/>
    <w:link w:val="CommentTextChar"/>
    <w:rsid w:val="00FF715E"/>
    <w:rPr>
      <w:sz w:val="20"/>
    </w:rPr>
  </w:style>
  <w:style w:type="character" w:customStyle="1" w:styleId="CommentTextChar">
    <w:name w:val="Comment Text Char"/>
    <w:basedOn w:val="DefaultParagraphFont"/>
    <w:link w:val="CommentText"/>
    <w:rsid w:val="00FF715E"/>
    <w:rPr>
      <w:lang w:val="hu-HU"/>
    </w:rPr>
  </w:style>
  <w:style w:type="paragraph" w:styleId="CommentSubject">
    <w:name w:val="annotation subject"/>
    <w:basedOn w:val="CommentText"/>
    <w:next w:val="CommentText"/>
    <w:link w:val="CommentSubjectChar"/>
    <w:unhideWhenUsed/>
    <w:rsid w:val="00FF715E"/>
    <w:rPr>
      <w:b/>
      <w:bCs/>
    </w:rPr>
  </w:style>
  <w:style w:type="character" w:customStyle="1" w:styleId="CommentSubjectChar">
    <w:name w:val="Comment Subject Char"/>
    <w:basedOn w:val="CommentTextChar"/>
    <w:link w:val="CommentSubject"/>
    <w:rsid w:val="00FF715E"/>
    <w:rPr>
      <w:b/>
      <w:bCs/>
      <w:lang w:val="hu-HU"/>
    </w:rPr>
  </w:style>
  <w:style w:type="paragraph" w:styleId="ListParagraph">
    <w:name w:val="List Paragraph"/>
    <w:basedOn w:val="Normal"/>
    <w:uiPriority w:val="34"/>
    <w:qFormat/>
    <w:rsid w:val="00FF715E"/>
    <w:pPr>
      <w:widowControl/>
      <w:ind w:left="720"/>
      <w:contextualSpacing/>
      <w:jc w:val="both"/>
    </w:pPr>
    <w:rPr>
      <w:rFonts w:eastAsiaTheme="minorHAnsi"/>
      <w:szCs w:val="24"/>
      <w:lang w:eastAsia="en-US"/>
    </w:rPr>
  </w:style>
  <w:style w:type="paragraph" w:customStyle="1" w:styleId="PageHeadingNotTOC">
    <w:name w:val="PageHeadingNotTOC"/>
    <w:basedOn w:val="Normal"/>
    <w:rsid w:val="00FF715E"/>
    <w:pPr>
      <w:keepNext/>
      <w:spacing w:after="480"/>
      <w:jc w:val="center"/>
    </w:pPr>
    <w:rPr>
      <w:rFonts w:ascii="Arial" w:hAnsi="Arial" w:cs="Arial"/>
      <w:b/>
    </w:rPr>
  </w:style>
  <w:style w:type="paragraph" w:styleId="Revision">
    <w:name w:val="Revision"/>
    <w:uiPriority w:val="99"/>
    <w:semiHidden/>
    <w:rsid w:val="00FF715E"/>
    <w:rPr>
      <w:sz w:val="24"/>
      <w:lang w:val="hu-HU"/>
    </w:rPr>
  </w:style>
  <w:style w:type="character" w:customStyle="1" w:styleId="AmNumberTabsChar">
    <w:name w:val="AmNumberTabs Char"/>
    <w:basedOn w:val="DefaultParagraphFont"/>
    <w:link w:val="AmNumberTabs"/>
    <w:rsid w:val="00FF715E"/>
    <w:rPr>
      <w:b/>
      <w:sz w:val="24"/>
      <w:lang w:val="hu-HU"/>
    </w:rPr>
  </w:style>
  <w:style w:type="character" w:customStyle="1" w:styleId="NormalBold12bChar">
    <w:name w:val="NormalBold12b Char"/>
    <w:basedOn w:val="AmNumberTabsChar"/>
    <w:link w:val="NormalBold12b"/>
    <w:rsid w:val="00FF715E"/>
    <w:rPr>
      <w:b/>
      <w:sz w:val="24"/>
      <w:lang w:val="hu-HU"/>
    </w:rPr>
  </w:style>
  <w:style w:type="paragraph" w:customStyle="1" w:styleId="TableParagraph">
    <w:name w:val="Table Paragraph"/>
    <w:basedOn w:val="Normal"/>
    <w:uiPriority w:val="1"/>
    <w:qFormat/>
    <w:rsid w:val="00FF715E"/>
    <w:pPr>
      <w:autoSpaceDE w:val="0"/>
      <w:autoSpaceDN w:val="0"/>
      <w:spacing w:before="114"/>
      <w:ind w:left="110"/>
    </w:pPr>
    <w:rPr>
      <w:sz w:val="22"/>
      <w:szCs w:val="22"/>
      <w:lang w:val="fr-FR" w:eastAsia="en-US"/>
    </w:rPr>
  </w:style>
  <w:style w:type="paragraph" w:customStyle="1" w:styleId="Default">
    <w:name w:val="Default"/>
    <w:rsid w:val="00FF715E"/>
    <w:pPr>
      <w:autoSpaceDE w:val="0"/>
      <w:autoSpaceDN w:val="0"/>
      <w:adjustRightInd w:val="0"/>
    </w:pPr>
    <w:rPr>
      <w:color w:val="000000"/>
      <w:sz w:val="24"/>
      <w:szCs w:val="24"/>
    </w:rPr>
  </w:style>
  <w:style w:type="character" w:customStyle="1" w:styleId="contentpasted0">
    <w:name w:val="contentpasted0"/>
    <w:rsid w:val="00FF715E"/>
  </w:style>
  <w:style w:type="table" w:customStyle="1" w:styleId="CV11">
    <w:name w:val="CV11"/>
    <w:basedOn w:val="TableNormal"/>
    <w:uiPriority w:val="39"/>
    <w:rsid w:val="00FF715E"/>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FF715E"/>
    <w:pPr>
      <w:spacing w:after="240"/>
    </w:pPr>
    <w:rPr>
      <w:lang w:val="fr-FR"/>
    </w:rPr>
  </w:style>
  <w:style w:type="paragraph" w:customStyle="1" w:styleId="RollCallVotes">
    <w:name w:val="RollCallVotes"/>
    <w:basedOn w:val="Normal"/>
    <w:rsid w:val="00FF715E"/>
    <w:pPr>
      <w:spacing w:before="120" w:after="120"/>
      <w:jc w:val="center"/>
    </w:pPr>
    <w:rPr>
      <w:b/>
      <w:bCs/>
      <w:snapToGrid w:val="0"/>
      <w:sz w:val="16"/>
      <w:lang w:val="fr-FR" w:eastAsia="en-US"/>
    </w:rPr>
  </w:style>
  <w:style w:type="paragraph" w:customStyle="1" w:styleId="RollCallTabs">
    <w:name w:val="RollCallTabs"/>
    <w:basedOn w:val="Normal"/>
    <w:qFormat/>
    <w:rsid w:val="00FF715E"/>
    <w:pPr>
      <w:tabs>
        <w:tab w:val="center" w:pos="284"/>
        <w:tab w:val="left" w:pos="426"/>
      </w:tabs>
    </w:pPr>
    <w:rPr>
      <w:snapToGrid w:val="0"/>
      <w:lang w:val="fr-FR" w:eastAsia="en-US"/>
    </w:rPr>
  </w:style>
  <w:style w:type="paragraph" w:customStyle="1" w:styleId="RollCallSymbols14pt">
    <w:name w:val="RollCallSymbols14pt"/>
    <w:basedOn w:val="Normal"/>
    <w:rsid w:val="00FF715E"/>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FF715E"/>
    <w:pPr>
      <w:spacing w:before="120" w:after="120"/>
    </w:pPr>
    <w:rPr>
      <w:snapToGrid w:val="0"/>
      <w:sz w:val="16"/>
      <w:lang w:val="fr-FR" w:eastAsia="en-US"/>
    </w:rPr>
  </w:style>
  <w:style w:type="paragraph" w:customStyle="1" w:styleId="AmHeadingPA">
    <w:name w:val="AmHeadingPA"/>
    <w:basedOn w:val="Normal"/>
    <w:next w:val="Normal"/>
    <w:rsid w:val="00FF715E"/>
    <w:pPr>
      <w:spacing w:before="480" w:after="240"/>
      <w:jc w:val="center"/>
    </w:pPr>
    <w:rPr>
      <w:rFonts w:ascii="Arial" w:hAnsi="Arial"/>
      <w:b/>
      <w:caps/>
      <w:snapToGrid w:val="0"/>
      <w:szCs w:val="24"/>
      <w:lang w:val="fr-FR" w:eastAsia="en-US"/>
    </w:rPr>
  </w:style>
  <w:style w:type="paragraph" w:customStyle="1" w:styleId="Normal24a">
    <w:name w:val="Normal24a"/>
    <w:basedOn w:val="Normal"/>
    <w:link w:val="Normal24aChar"/>
    <w:rsid w:val="00FF715E"/>
    <w:pPr>
      <w:spacing w:after="480"/>
    </w:pPr>
    <w:rPr>
      <w:lang w:val="fr-FR"/>
    </w:rPr>
  </w:style>
  <w:style w:type="character" w:customStyle="1" w:styleId="Normal24aChar">
    <w:name w:val="Normal24a Char"/>
    <w:basedOn w:val="DefaultParagraphFont"/>
    <w:link w:val="Normal24a"/>
    <w:rsid w:val="00FF715E"/>
    <w:rPr>
      <w:sz w:val="24"/>
      <w:lang w:val="fr-FR"/>
    </w:rPr>
  </w:style>
  <w:style w:type="paragraph" w:customStyle="1" w:styleId="Normal1">
    <w:name w:val="Normal1"/>
    <w:basedOn w:val="Normal"/>
    <w:rsid w:val="00FF715E"/>
    <w:pPr>
      <w:widowControl/>
      <w:spacing w:before="100" w:beforeAutospacing="1" w:after="100" w:afterAutospacing="1"/>
    </w:pPr>
    <w:rPr>
      <w:szCs w:val="24"/>
      <w:lang w:val="fr-FR"/>
    </w:rPr>
  </w:style>
  <w:style w:type="character" w:customStyle="1" w:styleId="footnotereference0">
    <w:name w:val="footnotereference"/>
    <w:basedOn w:val="DefaultParagraphFont"/>
    <w:rsid w:val="00FF715E"/>
  </w:style>
  <w:style w:type="paragraph" w:customStyle="1" w:styleId="CoverBold">
    <w:name w:val="CoverBold"/>
    <w:basedOn w:val="Normal"/>
    <w:rsid w:val="00FF715E"/>
    <w:pPr>
      <w:ind w:left="1417"/>
    </w:pPr>
    <w:rPr>
      <w:b/>
      <w:lang w:val="fr-FR"/>
    </w:rPr>
  </w:style>
  <w:style w:type="paragraph" w:styleId="EndnoteText">
    <w:name w:val="endnote text"/>
    <w:basedOn w:val="Normal"/>
    <w:link w:val="EndnoteTextChar"/>
    <w:unhideWhenUsed/>
    <w:rsid w:val="00FF715E"/>
    <w:rPr>
      <w:sz w:val="20"/>
      <w:lang w:val="fr-FR"/>
    </w:rPr>
  </w:style>
  <w:style w:type="character" w:customStyle="1" w:styleId="EndnoteTextChar">
    <w:name w:val="Endnote Text Char"/>
    <w:basedOn w:val="DefaultParagraphFont"/>
    <w:link w:val="EndnoteText"/>
    <w:rsid w:val="00FF715E"/>
    <w:rPr>
      <w:lang w:val="fr-FR"/>
    </w:rPr>
  </w:style>
  <w:style w:type="character" w:styleId="EndnoteReference">
    <w:name w:val="endnote reference"/>
    <w:basedOn w:val="DefaultParagraphFont"/>
    <w:unhideWhenUsed/>
    <w:rsid w:val="00FF715E"/>
    <w:rPr>
      <w:vertAlign w:val="superscript"/>
    </w:rPr>
  </w:style>
  <w:style w:type="character" w:customStyle="1" w:styleId="UnresolvedMention1">
    <w:name w:val="Unresolved Mention1"/>
    <w:basedOn w:val="DefaultParagraphFont"/>
    <w:uiPriority w:val="99"/>
    <w:semiHidden/>
    <w:rsid w:val="00FF715E"/>
    <w:rPr>
      <w:color w:val="605E5C"/>
      <w:shd w:val="clear" w:color="auto" w:fill="E1DFDD"/>
    </w:rPr>
  </w:style>
  <w:style w:type="paragraph" w:styleId="Footer">
    <w:name w:val="footer"/>
    <w:link w:val="FooterChar"/>
    <w:unhideWhenUsed/>
    <w:rsid w:val="00FF715E"/>
    <w:pPr>
      <w:tabs>
        <w:tab w:val="center" w:pos="4536"/>
        <w:tab w:val="right" w:pos="9072"/>
      </w:tabs>
      <w:spacing w:before="240" w:after="240" w:line="220" w:lineRule="auto"/>
    </w:pPr>
    <w:rPr>
      <w:sz w:val="22"/>
      <w:lang w:val="hu-HU"/>
    </w:rPr>
  </w:style>
  <w:style w:type="character" w:customStyle="1" w:styleId="FooterChar">
    <w:name w:val="Footer Char"/>
    <w:basedOn w:val="DefaultParagraphFont"/>
    <w:link w:val="Footer"/>
    <w:rsid w:val="00FF715E"/>
    <w:rPr>
      <w:sz w:val="22"/>
      <w:lang w:val="hu-HU"/>
    </w:rPr>
  </w:style>
  <w:style w:type="paragraph" w:customStyle="1" w:styleId="Footer2">
    <w:name w:val="Footer2"/>
    <w:basedOn w:val="Normal12"/>
    <w:rsid w:val="00FF715E"/>
    <w:pPr>
      <w:tabs>
        <w:tab w:val="center" w:pos="4535"/>
        <w:tab w:val="right" w:pos="9923"/>
      </w:tabs>
      <w:spacing w:line="480" w:lineRule="auto"/>
      <w:ind w:left="-851"/>
    </w:pPr>
    <w:rPr>
      <w:rFonts w:ascii="Arial" w:cs="Arial"/>
      <w:b/>
      <w:sz w:val="48"/>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0069D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E5C54-4400-4A09-8BBD-C3BEEF221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96</Pages>
  <Words>19721</Words>
  <Characters>143839</Characters>
  <Application>Microsoft Office Word</Application>
  <DocSecurity>0</DocSecurity>
  <Lines>1198</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Karina Pesa</cp:lastModifiedBy>
  <cp:revision>3</cp:revision>
  <cp:lastPrinted>2004-11-19T15:42:00Z</cp:lastPrinted>
  <dcterms:created xsi:type="dcterms:W3CDTF">2024-01-23T16:41:00Z</dcterms:created>
  <dcterms:modified xsi:type="dcterms:W3CDTF">2024-03-21T10:34:00Z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P9_TA(2023)0394_</vt:lpwstr>
  </property>
  <property fmtid="{D5CDD505-2E9C-101B-9397-08002B2CF9AE}" pid="4" name="&lt;Type&gt;">
    <vt:lpwstr>RR</vt:lpwstr>
  </property>
</Properties>
</file>