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059B2" w:rsidTr="0010095E">
        <w:trPr>
          <w:trHeight w:hRule="exact" w:val="1418"/>
        </w:trPr>
        <w:tc>
          <w:tcPr>
            <w:tcW w:w="6804" w:type="dxa"/>
            <w:shd w:val="clear" w:color="auto" w:fill="auto"/>
            <w:vAlign w:val="center"/>
          </w:tcPr>
          <w:p w:rsidR="00751A4A" w:rsidRPr="00B059B2" w:rsidRDefault="00E57555" w:rsidP="0010095E">
            <w:pPr>
              <w:pStyle w:val="EPName"/>
            </w:pPr>
            <w:r w:rsidRPr="00B059B2">
              <w:t>Európsky parlament</w:t>
            </w:r>
          </w:p>
          <w:p w:rsidR="00751A4A" w:rsidRPr="00B059B2" w:rsidRDefault="00817416" w:rsidP="00756632">
            <w:pPr>
              <w:pStyle w:val="EPTerm"/>
              <w:rPr>
                <w:rStyle w:val="HideTWBExt"/>
                <w:noProof w:val="0"/>
                <w:vanish w:val="0"/>
                <w:color w:val="auto"/>
              </w:rPr>
            </w:pPr>
            <w:r w:rsidRPr="00B059B2">
              <w:t>2019-2024</w:t>
            </w:r>
          </w:p>
        </w:tc>
        <w:tc>
          <w:tcPr>
            <w:tcW w:w="2268" w:type="dxa"/>
            <w:shd w:val="clear" w:color="auto" w:fill="auto"/>
          </w:tcPr>
          <w:p w:rsidR="00751A4A" w:rsidRPr="00B059B2" w:rsidRDefault="00187494" w:rsidP="0010095E">
            <w:pPr>
              <w:pStyle w:val="EPLogo"/>
            </w:pPr>
            <w:r w:rsidRPr="00B059B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059B2" w:rsidRDefault="00D058B8" w:rsidP="004C5D52">
      <w:pPr>
        <w:pStyle w:val="LineTop"/>
      </w:pPr>
    </w:p>
    <w:p w:rsidR="00680577" w:rsidRPr="00B059B2" w:rsidRDefault="00E57555" w:rsidP="00680577">
      <w:pPr>
        <w:pStyle w:val="EPBodyTA1"/>
      </w:pPr>
      <w:r w:rsidRPr="00B059B2">
        <w:t>PRIJATÉ TEXTY</w:t>
      </w:r>
    </w:p>
    <w:p w:rsidR="00D058B8" w:rsidRPr="00B059B2" w:rsidRDefault="00D058B8" w:rsidP="00D058B8">
      <w:pPr>
        <w:pStyle w:val="LineBottom"/>
      </w:pPr>
    </w:p>
    <w:p w:rsidR="00E57555" w:rsidRPr="00B059B2" w:rsidRDefault="00E57555" w:rsidP="00E57555">
      <w:pPr>
        <w:pStyle w:val="ATHeading1"/>
      </w:pPr>
      <w:bookmarkStart w:id="0" w:name="TANumber"/>
      <w:r w:rsidRPr="00B059B2">
        <w:t>P9_TA(2023)0</w:t>
      </w:r>
      <w:r w:rsidR="00346DFB">
        <w:t>394</w:t>
      </w:r>
      <w:bookmarkEnd w:id="0"/>
    </w:p>
    <w:p w:rsidR="00E57555" w:rsidRPr="00B059B2" w:rsidRDefault="00E57555" w:rsidP="00E57555">
      <w:pPr>
        <w:pStyle w:val="ATHeading2"/>
      </w:pPr>
      <w:bookmarkStart w:id="1" w:name="title"/>
      <w:r w:rsidRPr="00B059B2">
        <w:t>Typové schvaľovanie motorových vozidiel a motorov, pokiaľ ide o ich emisie a životnosť batérií (Euro 7)</w:t>
      </w:r>
      <w:bookmarkEnd w:id="1"/>
    </w:p>
    <w:p w:rsidR="00E57555" w:rsidRPr="00B059B2" w:rsidRDefault="00E57555" w:rsidP="00E57555">
      <w:pPr>
        <w:rPr>
          <w:i/>
          <w:vanish/>
        </w:rPr>
      </w:pPr>
      <w:r w:rsidRPr="00B059B2">
        <w:rPr>
          <w:i/>
        </w:rPr>
        <w:fldChar w:fldCharType="begin"/>
      </w:r>
      <w:r w:rsidRPr="00B059B2">
        <w:rPr>
          <w:i/>
        </w:rPr>
        <w:instrText xml:space="preserve"> TC"(</w:instrText>
      </w:r>
      <w:bookmarkStart w:id="2" w:name="DocNumber"/>
      <w:r w:rsidRPr="00B059B2">
        <w:rPr>
          <w:i/>
        </w:rPr>
        <w:instrText>A9-0298/2023</w:instrText>
      </w:r>
      <w:bookmarkEnd w:id="2"/>
      <w:r w:rsidRPr="00B059B2">
        <w:rPr>
          <w:i/>
        </w:rPr>
        <w:instrText xml:space="preserve"> - Spravodajca: Alexandr Vondra)"\l3 \n&gt; \* MERGEFORMAT </w:instrText>
      </w:r>
      <w:r w:rsidRPr="00B059B2">
        <w:rPr>
          <w:i/>
        </w:rPr>
        <w:fldChar w:fldCharType="end"/>
      </w:r>
    </w:p>
    <w:p w:rsidR="00E57555" w:rsidRPr="00B059B2" w:rsidRDefault="00E57555" w:rsidP="00E57555">
      <w:pPr>
        <w:rPr>
          <w:vanish/>
        </w:rPr>
      </w:pPr>
      <w:bookmarkStart w:id="3" w:name="Commission"/>
      <w:r w:rsidRPr="00B059B2">
        <w:rPr>
          <w:vanish/>
        </w:rPr>
        <w:t>Výbor pre životné prostredie, verejné zdravie a bezpečnosť potravín</w:t>
      </w:r>
      <w:bookmarkEnd w:id="3"/>
    </w:p>
    <w:p w:rsidR="00E57555" w:rsidRPr="00B059B2" w:rsidRDefault="00E57555" w:rsidP="00E57555">
      <w:pPr>
        <w:rPr>
          <w:vanish/>
        </w:rPr>
      </w:pPr>
      <w:bookmarkStart w:id="4" w:name="PE"/>
      <w:r w:rsidRPr="00B059B2">
        <w:rPr>
          <w:vanish/>
        </w:rPr>
        <w:t>PE746.876</w:t>
      </w:r>
      <w:bookmarkEnd w:id="4"/>
    </w:p>
    <w:p w:rsidR="00E57555" w:rsidRPr="00B059B2" w:rsidRDefault="00B93CF6" w:rsidP="00E57555">
      <w:pPr>
        <w:pStyle w:val="ATHeading3"/>
      </w:pPr>
      <w:bookmarkStart w:id="5" w:name="Sujet"/>
      <w:r>
        <w:t xml:space="preserve">Pozmeňujúce návrhy prijaté </w:t>
      </w:r>
      <w:r w:rsidR="00E57555" w:rsidRPr="00B059B2">
        <w:t>Európsk</w:t>
      </w:r>
      <w:r>
        <w:t>ym</w:t>
      </w:r>
      <w:r w:rsidR="00E57555" w:rsidRPr="00B059B2">
        <w:t xml:space="preserve"> parlament</w:t>
      </w:r>
      <w:r>
        <w:t>om</w:t>
      </w:r>
      <w:r w:rsidR="00481921">
        <w:t> 9</w:t>
      </w:r>
      <w:r w:rsidR="00E57555" w:rsidRPr="00B059B2">
        <w:t xml:space="preserve">. novembra 2023 </w:t>
      </w:r>
      <w:r>
        <w:t>k</w:t>
      </w:r>
      <w:r w:rsidR="00E57555" w:rsidRPr="00B059B2">
        <w:t> návrhu nariadenia Európskeho parlamentu a Rady o typovom schvaľovaní motorových vozidiel a motorov, ako aj systémov, komponentov a samostatných technických jednotiek určených pre takéto vozidlá, pokiaľ ide o ich emisie a životnosť batérií (Euro 7), ktorým sa zrušuje nariadenie (ES) č. 715/2007 a nariadenie (ES) č. 595/2009</w:t>
      </w:r>
      <w:bookmarkEnd w:id="5"/>
      <w:r w:rsidR="00E57555" w:rsidRPr="00B059B2">
        <w:t xml:space="preserve"> </w:t>
      </w:r>
      <w:bookmarkStart w:id="6" w:name="References"/>
      <w:r w:rsidR="00E57555" w:rsidRPr="00B059B2">
        <w:t>(COM(2022)0586 – C9-0375/2022 – 2022/0365(COD)</w:t>
      </w:r>
      <w:r>
        <w:t>)</w:t>
      </w:r>
      <w:r>
        <w:rPr>
          <w:rStyle w:val="FootnoteReference"/>
        </w:rPr>
        <w:footnoteReference w:id="1"/>
      </w:r>
      <w:bookmarkEnd w:id="6"/>
    </w:p>
    <w:p w:rsidR="00E57555" w:rsidRPr="00B059B2" w:rsidRDefault="00E57555" w:rsidP="00E57555"/>
    <w:p w:rsidR="00902EF1" w:rsidRPr="00B059B2" w:rsidRDefault="00902EF1" w:rsidP="00902EF1">
      <w:pPr>
        <w:pStyle w:val="NormalBold"/>
      </w:pPr>
      <w:bookmarkStart w:id="7" w:name="TextBodyBegin"/>
      <w:bookmarkEnd w:id="7"/>
      <w:r w:rsidRPr="00B059B2">
        <w:t>(Riadny legislatívny postup: prvé čítanie)</w:t>
      </w:r>
    </w:p>
    <w:p w:rsidR="00F71E45" w:rsidRDefault="00F71E45">
      <w:pPr>
        <w:widowControl/>
        <w:rPr>
          <w:i/>
        </w:rPr>
      </w:pPr>
      <w:r>
        <w:rPr>
          <w:i/>
        </w:rPr>
        <w:br w:type="page"/>
      </w:r>
    </w:p>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w:t>
      </w:r>
    </w:p>
    <w:p w:rsidR="00902EF1" w:rsidRPr="00B059B2" w:rsidRDefault="00902EF1" w:rsidP="00902EF1">
      <w:pPr>
        <w:pStyle w:val="NormalBold12b"/>
      </w:pPr>
      <w:r w:rsidRPr="00B059B2">
        <w:t>Návrh nariadenia</w:t>
      </w:r>
    </w:p>
    <w:p w:rsidR="00902EF1" w:rsidRPr="00B059B2" w:rsidRDefault="00902EF1" w:rsidP="00902EF1">
      <w:pPr>
        <w:pStyle w:val="NormalBold"/>
      </w:pPr>
      <w:r w:rsidRPr="00B059B2">
        <w:t>Odôvodnenie -1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(-1)</w:t>
            </w:r>
            <w:r w:rsidRPr="00B059B2">
              <w:tab/>
            </w:r>
            <w:r w:rsidRPr="00B059B2">
              <w:rPr>
                <w:b/>
                <w:i/>
              </w:rPr>
              <w:t>V rozhodnutí Európskeho parlamentu a Rady (EÚ) 2022/591</w:t>
            </w:r>
            <w:r w:rsidRPr="00B059B2">
              <w:rPr>
                <w:b/>
                <w:i/>
                <w:vertAlign w:val="superscript"/>
              </w:rPr>
              <w:t>1</w:t>
            </w:r>
            <w:r w:rsidRPr="00B059B2">
              <w:rPr>
                <w:b/>
                <w:i/>
              </w:rPr>
              <w:t xml:space="preserve"> o všeobecnom environmentálnom akčnom programe Únie do roku 2030 sa ako jeden zo šiestich tematických cieľov Únie na obdobie do 31. decembra 2030 stanovuje snaha o dosiahnutie nulového znečistenia, a to aj v súvislosti so škodlivými chemickými látkami, s cieľom dosiahnuť životné prostredie bez toxických látok, a to aj pokiaľ ide o ovzdušie, vodu a pôdu, ako aj o svetelné a hlukové znečistenie, a ochrana zdravia a blaha ľudí, zvierat a ekosystémov pred rizikami a negatívnymi vplyvmi súvisiacimi so životným prostredím.</w:t>
            </w:r>
          </w:p>
        </w:tc>
      </w:tr>
      <w:tr w:rsidR="00E86E13" w:rsidRPr="00B059B2" w:rsidTr="0023402C">
        <w:trPr>
          <w:jc w:val="center"/>
        </w:trPr>
        <w:tc>
          <w:tcPr>
            <w:tcW w:w="4876" w:type="dxa"/>
          </w:tcPr>
          <w:p w:rsidR="00E86E13" w:rsidRPr="00B059B2" w:rsidRDefault="00E86E13" w:rsidP="0023402C">
            <w:pPr>
              <w:pStyle w:val="Normal6a"/>
            </w:pPr>
          </w:p>
        </w:tc>
        <w:tc>
          <w:tcPr>
            <w:tcW w:w="4876" w:type="dxa"/>
          </w:tcPr>
          <w:p w:rsidR="00E86E13" w:rsidRPr="00B059B2" w:rsidRDefault="00E86E13" w:rsidP="0023402C">
            <w:pPr>
              <w:pStyle w:val="Normal6a"/>
              <w:rPr>
                <w:b/>
                <w:i/>
              </w:rPr>
            </w:pPr>
            <w:r>
              <w:rPr>
                <w:b/>
                <w:i/>
              </w:rPr>
              <w:t>_________________</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bCs/>
                <w:i/>
                <w:iCs/>
                <w:vertAlign w:val="superscript"/>
              </w:rPr>
              <w:t>1</w:t>
            </w:r>
            <w:r w:rsidRPr="00B059B2">
              <w:rPr>
                <w:b/>
                <w:bCs/>
                <w:i/>
                <w:iCs/>
              </w:rPr>
              <w:t xml:space="preserve"> Rozhodnutie Európskeho parlamentu a Rady (EÚ) 2022/591 zo 6. apríla 2022 o všeobecnom environmentálnom akčnom programe Únie do roku 2030 (Ú. v. EÚ L 114, 12.4.2022, s. 22).</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2</w:t>
      </w:r>
    </w:p>
    <w:p w:rsidR="00902EF1" w:rsidRPr="00B059B2" w:rsidRDefault="00902EF1" w:rsidP="00902EF1">
      <w:pPr>
        <w:pStyle w:val="NormalBold12b"/>
      </w:pPr>
      <w:r w:rsidRPr="00B059B2">
        <w:t>Návrh nariadenia</w:t>
      </w:r>
    </w:p>
    <w:p w:rsidR="00902EF1" w:rsidRPr="00B059B2" w:rsidRDefault="00902EF1" w:rsidP="00902EF1">
      <w:pPr>
        <w:pStyle w:val="NormalBold"/>
      </w:pPr>
      <w:r w:rsidRPr="00B059B2">
        <w:t>Odôvodnenie -1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(-1a)</w:t>
            </w:r>
            <w:r w:rsidRPr="00B059B2">
              <w:tab/>
            </w:r>
            <w:r w:rsidRPr="00B059B2">
              <w:rPr>
                <w:b/>
                <w:i/>
              </w:rPr>
              <w:t>Európska zelená dohoda</w:t>
            </w:r>
            <w:r w:rsidRPr="00B059B2">
              <w:rPr>
                <w:b/>
                <w:i/>
                <w:vertAlign w:val="superscript"/>
              </w:rPr>
              <w:t>1a</w:t>
            </w:r>
            <w:r w:rsidRPr="00B059B2">
              <w:rPr>
                <w:b/>
                <w:i/>
              </w:rPr>
              <w:t xml:space="preserve"> je návrhom Únie na začatie transformácie, ktorej cieľom je najneskôr do roku 2050 dosiahnuť klimaticky neutrálne, čisté a obehové hospodárstvo, optimalizovať hospodárenie so zdrojmi, minimalizovať znečistenie a zároveň uznať potrebu hlboko transformačných politík.</w:t>
            </w:r>
            <w:r w:rsidRPr="00B059B2">
              <w:t xml:space="preserve"> </w:t>
            </w:r>
            <w:r w:rsidRPr="00B059B2">
              <w:rPr>
                <w:b/>
                <w:i/>
              </w:rPr>
              <w:t>Únia má aj záväzky v súvislosti s Agendou 2030 pre udržateľný rozvoj</w:t>
            </w:r>
            <w:r w:rsidRPr="00B059B2">
              <w:rPr>
                <w:b/>
                <w:i/>
                <w:vertAlign w:val="superscript"/>
              </w:rPr>
              <w:t>1b</w:t>
            </w:r>
            <w:r w:rsidRPr="00B059B2">
              <w:rPr>
                <w:b/>
                <w:i/>
              </w:rPr>
              <w:t xml:space="preserve"> a so svojimi cieľmi </w:t>
            </w:r>
            <w:r w:rsidRPr="00B059B2">
              <w:rPr>
                <w:b/>
                <w:i/>
              </w:rPr>
              <w:lastRenderedPageBreak/>
              <w:t>v oblasti udržateľného rozvoja</w:t>
            </w:r>
            <w:r w:rsidRPr="00B059B2">
              <w:rPr>
                <w:b/>
                <w:i/>
                <w:vertAlign w:val="superscript"/>
              </w:rPr>
              <w:t>1c</w:t>
            </w:r>
            <w:r w:rsidRPr="00B059B2">
              <w:rPr>
                <w:b/>
                <w:i/>
              </w:rPr>
              <w:t>.</w:t>
            </w:r>
            <w:r w:rsidRPr="00B059B2">
              <w:t xml:space="preserve"> </w:t>
            </w:r>
            <w:r w:rsidRPr="00B059B2">
              <w:rPr>
                <w:b/>
                <w:i/>
              </w:rPr>
              <w:t>V stratégii pre udržateľnú a inteligentnú mobilitu prijatej v decembri 2020</w:t>
            </w:r>
            <w:r w:rsidRPr="00B059B2">
              <w:rPr>
                <w:b/>
                <w:i/>
                <w:vertAlign w:val="superscript"/>
              </w:rPr>
              <w:t xml:space="preserve">1d </w:t>
            </w:r>
            <w:r w:rsidRPr="00B059B2">
              <w:rPr>
                <w:b/>
                <w:i/>
              </w:rPr>
              <w:t>a v akčnom pláne nulového znečistenia</w:t>
            </w:r>
            <w:r w:rsidRPr="00B059B2">
              <w:rPr>
                <w:b/>
                <w:i/>
                <w:vertAlign w:val="superscript"/>
              </w:rPr>
              <w:t>1e</w:t>
            </w:r>
            <w:r w:rsidRPr="00B059B2">
              <w:rPr>
                <w:b/>
                <w:i/>
              </w:rPr>
              <w:t xml:space="preserve"> prijatom v máji 2021 sa konkrétne riešia aspekty znečistenia figurujúce v Európskej zelenej dohode.</w:t>
            </w:r>
            <w:r w:rsidRPr="00B059B2">
              <w:t xml:space="preserve"> </w:t>
            </w:r>
            <w:r w:rsidRPr="00B059B2">
              <w:rPr>
                <w:b/>
                <w:i/>
              </w:rPr>
              <w:t>Medzi ďalšie politiky, ktoré sú pre túto iniciatívu obzvlášť dôležité, patrí napríklad smernica o kvalite okolitého ovzdušia</w:t>
            </w:r>
            <w:r w:rsidRPr="00B059B2">
              <w:rPr>
                <w:b/>
                <w:i/>
                <w:vertAlign w:val="superscript"/>
              </w:rPr>
              <w:t>1f</w:t>
            </w:r>
            <w:r w:rsidRPr="00B059B2">
              <w:rPr>
                <w:b/>
                <w:i/>
              </w:rPr>
              <w:t>, nová priemyselná stratégia pre Európu</w:t>
            </w:r>
            <w:r w:rsidRPr="00B059B2">
              <w:rPr>
                <w:b/>
                <w:i/>
                <w:vertAlign w:val="superscript"/>
              </w:rPr>
              <w:t>1g</w:t>
            </w:r>
            <w:r w:rsidRPr="00B059B2">
              <w:rPr>
                <w:b/>
                <w:i/>
              </w:rPr>
              <w:t>, emisné normy CO</w:t>
            </w:r>
            <w:r w:rsidRPr="00B059B2">
              <w:rPr>
                <w:b/>
                <w:i/>
                <w:vertAlign w:val="subscript"/>
              </w:rPr>
              <w:t>2</w:t>
            </w:r>
            <w:r w:rsidRPr="00B059B2">
              <w:rPr>
                <w:b/>
                <w:i/>
              </w:rPr>
              <w:t xml:space="preserve"> pre osobné a dodávkové vozidlá</w:t>
            </w:r>
            <w:r w:rsidRPr="00B059B2">
              <w:rPr>
                <w:b/>
                <w:i/>
                <w:vertAlign w:val="superscript"/>
              </w:rPr>
              <w:t>1h</w:t>
            </w:r>
            <w:r w:rsidRPr="00B059B2">
              <w:rPr>
                <w:b/>
                <w:i/>
              </w:rPr>
              <w:t xml:space="preserve"> a cieľové hodnoty emisií CO</w:t>
            </w:r>
            <w:r w:rsidRPr="00B059B2">
              <w:rPr>
                <w:b/>
                <w:i/>
                <w:vertAlign w:val="subscript"/>
              </w:rPr>
              <w:t>2</w:t>
            </w:r>
            <w:r w:rsidRPr="00B059B2">
              <w:rPr>
                <w:b/>
                <w:i/>
              </w:rPr>
              <w:t xml:space="preserve"> pre nové ťažké vozidlá</w:t>
            </w:r>
            <w:r w:rsidRPr="00B059B2">
              <w:rPr>
                <w:b/>
                <w:i/>
                <w:vertAlign w:val="superscript"/>
              </w:rPr>
              <w:t>1i</w:t>
            </w:r>
            <w:r w:rsidRPr="00B059B2">
              <w:rPr>
                <w:b/>
                <w:i/>
              </w:rPr>
              <w:t>.</w:t>
            </w:r>
          </w:p>
        </w:tc>
      </w:tr>
      <w:tr w:rsidR="00902EF1" w:rsidRPr="00B059B2" w:rsidTr="0023402C">
        <w:trPr>
          <w:jc w:val="center"/>
        </w:trPr>
        <w:tc>
          <w:tcPr>
            <w:tcW w:w="4876" w:type="dxa"/>
          </w:tcPr>
          <w:p w:rsidR="00902EF1" w:rsidRPr="00B059B2" w:rsidRDefault="00902EF1" w:rsidP="0023402C"/>
        </w:tc>
        <w:tc>
          <w:tcPr>
            <w:tcW w:w="4876" w:type="dxa"/>
          </w:tcPr>
          <w:p w:rsidR="00902EF1" w:rsidRPr="00B059B2" w:rsidRDefault="00902EF1" w:rsidP="0023402C">
            <w:pPr>
              <w:pStyle w:val="Normal6a"/>
            </w:pPr>
            <w:r w:rsidRPr="00B059B2">
              <w:rPr>
                <w:b/>
                <w:i/>
              </w:rPr>
              <w:t>_________________</w:t>
            </w:r>
          </w:p>
        </w:tc>
      </w:tr>
      <w:tr w:rsidR="00902EF1" w:rsidRPr="00B059B2" w:rsidTr="0023402C">
        <w:trPr>
          <w:jc w:val="center"/>
        </w:trPr>
        <w:tc>
          <w:tcPr>
            <w:tcW w:w="4876" w:type="dxa"/>
          </w:tcPr>
          <w:p w:rsidR="00902EF1" w:rsidRPr="00B059B2" w:rsidRDefault="00902EF1" w:rsidP="0023402C"/>
        </w:tc>
        <w:tc>
          <w:tcPr>
            <w:tcW w:w="4876" w:type="dxa"/>
          </w:tcPr>
          <w:p w:rsidR="00902EF1" w:rsidRPr="00B059B2" w:rsidRDefault="00902EF1" w:rsidP="0023402C">
            <w:pPr>
              <w:pStyle w:val="Normal6a"/>
            </w:pPr>
            <w:r w:rsidRPr="00B059B2">
              <w:rPr>
                <w:b/>
                <w:bCs/>
                <w:i/>
                <w:iCs/>
                <w:vertAlign w:val="superscript"/>
              </w:rPr>
              <w:t>1a</w:t>
            </w:r>
            <w:r w:rsidRPr="00B059B2">
              <w:rPr>
                <w:b/>
                <w:bCs/>
                <w:i/>
                <w:iCs/>
              </w:rPr>
              <w:t xml:space="preserve"> Oznámenie Komisie Európskemu parlamentu, Európskej rade, Rade, Európskemu hospodárskemu a sociálnemu výboru a Výboru regiónov, Európska zelená dohoda;</w:t>
            </w:r>
            <w:r w:rsidRPr="00B059B2">
              <w:t xml:space="preserve"> </w:t>
            </w:r>
            <w:r w:rsidRPr="00B059B2">
              <w:rPr>
                <w:b/>
                <w:i/>
              </w:rPr>
              <w:t>COM(2019) 640 final.</w:t>
            </w:r>
          </w:p>
        </w:tc>
      </w:tr>
      <w:tr w:rsidR="00902EF1" w:rsidRPr="00B059B2" w:rsidTr="0023402C">
        <w:trPr>
          <w:jc w:val="center"/>
        </w:trPr>
        <w:tc>
          <w:tcPr>
            <w:tcW w:w="4876" w:type="dxa"/>
          </w:tcPr>
          <w:p w:rsidR="00902EF1" w:rsidRPr="00B059B2" w:rsidRDefault="00902EF1" w:rsidP="0023402C"/>
        </w:tc>
        <w:tc>
          <w:tcPr>
            <w:tcW w:w="4876" w:type="dxa"/>
          </w:tcPr>
          <w:p w:rsidR="00902EF1" w:rsidRPr="00B059B2" w:rsidRDefault="00902EF1" w:rsidP="0023402C">
            <w:pPr>
              <w:pStyle w:val="Normal6a"/>
            </w:pPr>
            <w:r w:rsidRPr="00B059B2">
              <w:rPr>
                <w:b/>
                <w:i/>
                <w:vertAlign w:val="superscript"/>
              </w:rPr>
              <w:t>1b</w:t>
            </w:r>
            <w:r w:rsidRPr="00B059B2">
              <w:t xml:space="preserve"> </w:t>
            </w:r>
            <w:r w:rsidRPr="00B059B2">
              <w:rPr>
                <w:b/>
                <w:i/>
              </w:rPr>
              <w:t>https://www.un.org/ga/search/view_doc.asp?symbol=A/RES/70/1</w:t>
            </w:r>
            <w:r w:rsidRPr="00B059B2">
              <w:rPr>
                <w:rFonts w:ascii="Cambria Math" w:hAnsi="Cambria Math"/>
                <w:b/>
                <w:i/>
              </w:rPr>
              <w:t>⟪</w:t>
            </w:r>
            <w:r w:rsidRPr="00B059B2">
              <w:rPr>
                <w:b/>
                <w:i/>
              </w:rPr>
              <w:t xml:space="preserve">=E </w:t>
            </w:r>
          </w:p>
        </w:tc>
      </w:tr>
      <w:tr w:rsidR="00902EF1" w:rsidRPr="00B059B2" w:rsidTr="0023402C">
        <w:trPr>
          <w:jc w:val="center"/>
        </w:trPr>
        <w:tc>
          <w:tcPr>
            <w:tcW w:w="4876" w:type="dxa"/>
          </w:tcPr>
          <w:p w:rsidR="00902EF1" w:rsidRPr="00B059B2" w:rsidRDefault="00902EF1" w:rsidP="0023402C"/>
        </w:tc>
        <w:tc>
          <w:tcPr>
            <w:tcW w:w="4876" w:type="dxa"/>
          </w:tcPr>
          <w:p w:rsidR="00902EF1" w:rsidRPr="00B059B2" w:rsidRDefault="00902EF1" w:rsidP="0023402C">
            <w:pPr>
              <w:pStyle w:val="Normal6a"/>
            </w:pPr>
            <w:r w:rsidRPr="00B059B2">
              <w:rPr>
                <w:b/>
                <w:i/>
                <w:vertAlign w:val="superscript"/>
              </w:rPr>
              <w:t>1c</w:t>
            </w:r>
            <w:r w:rsidRPr="00B059B2">
              <w:t xml:space="preserve"> </w:t>
            </w:r>
            <w:r w:rsidRPr="00B059B2">
              <w:rPr>
                <w:b/>
                <w:i/>
              </w:rPr>
              <w:t>https://sdgs.un.org/goals</w:t>
            </w:r>
          </w:p>
        </w:tc>
      </w:tr>
      <w:tr w:rsidR="00902EF1" w:rsidRPr="00B059B2" w:rsidTr="0023402C">
        <w:trPr>
          <w:jc w:val="center"/>
        </w:trPr>
        <w:tc>
          <w:tcPr>
            <w:tcW w:w="4876" w:type="dxa"/>
          </w:tcPr>
          <w:p w:rsidR="00902EF1" w:rsidRPr="00B059B2" w:rsidRDefault="00902EF1" w:rsidP="0023402C"/>
        </w:tc>
        <w:tc>
          <w:tcPr>
            <w:tcW w:w="4876" w:type="dxa"/>
          </w:tcPr>
          <w:p w:rsidR="00902EF1" w:rsidRPr="00B059B2" w:rsidRDefault="00902EF1" w:rsidP="0023402C">
            <w:pPr>
              <w:pStyle w:val="Normal6a"/>
            </w:pPr>
            <w:r w:rsidRPr="00B059B2">
              <w:rPr>
                <w:b/>
                <w:i/>
                <w:vertAlign w:val="superscript"/>
              </w:rPr>
              <w:t>1d</w:t>
            </w:r>
            <w:r w:rsidRPr="00B059B2">
              <w:t xml:space="preserve"> </w:t>
            </w:r>
            <w:r w:rsidRPr="00B059B2">
              <w:rPr>
                <w:b/>
                <w:i/>
              </w:rPr>
              <w:t>COM(2020) 789 final.</w:t>
            </w:r>
          </w:p>
        </w:tc>
      </w:tr>
      <w:tr w:rsidR="00902EF1" w:rsidRPr="00B059B2" w:rsidTr="0023402C">
        <w:trPr>
          <w:jc w:val="center"/>
        </w:trPr>
        <w:tc>
          <w:tcPr>
            <w:tcW w:w="4876" w:type="dxa"/>
          </w:tcPr>
          <w:p w:rsidR="00902EF1" w:rsidRPr="00B059B2" w:rsidRDefault="00902EF1" w:rsidP="0023402C"/>
        </w:tc>
        <w:tc>
          <w:tcPr>
            <w:tcW w:w="4876" w:type="dxa"/>
          </w:tcPr>
          <w:p w:rsidR="00902EF1" w:rsidRPr="00B059B2" w:rsidRDefault="00902EF1" w:rsidP="0023402C">
            <w:pPr>
              <w:pStyle w:val="Normal6a"/>
            </w:pPr>
            <w:r w:rsidRPr="00B059B2">
              <w:rPr>
                <w:b/>
                <w:i/>
                <w:vertAlign w:val="superscript"/>
              </w:rPr>
              <w:t>1e</w:t>
            </w:r>
            <w:r w:rsidRPr="00B059B2">
              <w:t xml:space="preserve"> </w:t>
            </w:r>
            <w:r w:rsidRPr="00B059B2">
              <w:rPr>
                <w:b/>
                <w:i/>
              </w:rPr>
              <w:t>COM(2021) 400 final.</w:t>
            </w:r>
          </w:p>
        </w:tc>
      </w:tr>
      <w:tr w:rsidR="00902EF1" w:rsidRPr="00B059B2" w:rsidTr="0023402C">
        <w:trPr>
          <w:jc w:val="center"/>
        </w:trPr>
        <w:tc>
          <w:tcPr>
            <w:tcW w:w="4876" w:type="dxa"/>
          </w:tcPr>
          <w:p w:rsidR="00902EF1" w:rsidRPr="00B059B2" w:rsidRDefault="00902EF1" w:rsidP="0023402C"/>
        </w:tc>
        <w:tc>
          <w:tcPr>
            <w:tcW w:w="4876" w:type="dxa"/>
          </w:tcPr>
          <w:p w:rsidR="00902EF1" w:rsidRPr="00B059B2" w:rsidRDefault="00902EF1" w:rsidP="0023402C">
            <w:pPr>
              <w:pStyle w:val="Normal6a"/>
            </w:pPr>
            <w:r w:rsidRPr="00B059B2">
              <w:rPr>
                <w:b/>
                <w:bCs/>
                <w:i/>
                <w:iCs/>
                <w:vertAlign w:val="superscript"/>
              </w:rPr>
              <w:t>1f</w:t>
            </w:r>
            <w:r w:rsidRPr="00B059B2">
              <w:rPr>
                <w:b/>
                <w:bCs/>
                <w:i/>
                <w:iCs/>
              </w:rPr>
              <w:t xml:space="preserve"> Smernica 2008/50/ES.</w:t>
            </w:r>
          </w:p>
        </w:tc>
      </w:tr>
      <w:tr w:rsidR="00902EF1" w:rsidRPr="00B059B2" w:rsidTr="0023402C">
        <w:trPr>
          <w:jc w:val="center"/>
        </w:trPr>
        <w:tc>
          <w:tcPr>
            <w:tcW w:w="4876" w:type="dxa"/>
          </w:tcPr>
          <w:p w:rsidR="00902EF1" w:rsidRPr="00B059B2" w:rsidRDefault="00902EF1" w:rsidP="0023402C"/>
        </w:tc>
        <w:tc>
          <w:tcPr>
            <w:tcW w:w="4876" w:type="dxa"/>
          </w:tcPr>
          <w:p w:rsidR="00902EF1" w:rsidRPr="00B059B2" w:rsidRDefault="00902EF1" w:rsidP="0023402C">
            <w:pPr>
              <w:pStyle w:val="Normal6a"/>
            </w:pPr>
            <w:r w:rsidRPr="00B059B2">
              <w:rPr>
                <w:b/>
                <w:i/>
                <w:vertAlign w:val="superscript"/>
              </w:rPr>
              <w:t>1g</w:t>
            </w:r>
            <w:r w:rsidRPr="00B059B2">
              <w:t xml:space="preserve"> </w:t>
            </w:r>
            <w:r w:rsidRPr="00B059B2">
              <w:rPr>
                <w:b/>
                <w:i/>
              </w:rPr>
              <w:t>COM(2020) 102 final a COM(2021) 350 final.</w:t>
            </w:r>
          </w:p>
        </w:tc>
      </w:tr>
      <w:tr w:rsidR="00902EF1" w:rsidRPr="00B059B2" w:rsidTr="0023402C">
        <w:trPr>
          <w:jc w:val="center"/>
        </w:trPr>
        <w:tc>
          <w:tcPr>
            <w:tcW w:w="4876" w:type="dxa"/>
          </w:tcPr>
          <w:p w:rsidR="00902EF1" w:rsidRPr="00B059B2" w:rsidRDefault="00902EF1" w:rsidP="0023402C"/>
        </w:tc>
        <w:tc>
          <w:tcPr>
            <w:tcW w:w="4876" w:type="dxa"/>
          </w:tcPr>
          <w:p w:rsidR="00902EF1" w:rsidRPr="00B059B2" w:rsidRDefault="00902EF1" w:rsidP="0023402C">
            <w:pPr>
              <w:pStyle w:val="Normal6a"/>
            </w:pPr>
            <w:r w:rsidRPr="00B059B2">
              <w:rPr>
                <w:b/>
                <w:i/>
                <w:vertAlign w:val="superscript"/>
              </w:rPr>
              <w:t>1h</w:t>
            </w:r>
            <w:r w:rsidRPr="00B059B2">
              <w:t xml:space="preserve"> </w:t>
            </w:r>
            <w:r w:rsidRPr="00B059B2">
              <w:rPr>
                <w:b/>
                <w:i/>
              </w:rPr>
              <w:t>COM/2021/556.</w:t>
            </w:r>
          </w:p>
        </w:tc>
      </w:tr>
      <w:tr w:rsidR="00902EF1" w:rsidRPr="00B059B2" w:rsidTr="0023402C">
        <w:trPr>
          <w:jc w:val="center"/>
        </w:trPr>
        <w:tc>
          <w:tcPr>
            <w:tcW w:w="4876" w:type="dxa"/>
          </w:tcPr>
          <w:p w:rsidR="00902EF1" w:rsidRPr="00B059B2" w:rsidRDefault="00902EF1" w:rsidP="0023402C"/>
        </w:tc>
        <w:tc>
          <w:tcPr>
            <w:tcW w:w="4876" w:type="dxa"/>
          </w:tcPr>
          <w:p w:rsidR="00902EF1" w:rsidRPr="00B059B2" w:rsidRDefault="00902EF1" w:rsidP="0023402C">
            <w:pPr>
              <w:pStyle w:val="Normal6a"/>
            </w:pPr>
            <w:r w:rsidRPr="00B059B2">
              <w:rPr>
                <w:b/>
                <w:i/>
                <w:vertAlign w:val="superscript"/>
              </w:rPr>
              <w:t>1i</w:t>
            </w:r>
            <w:r w:rsidRPr="00B059B2">
              <w:t xml:space="preserve"> </w:t>
            </w:r>
            <w:r w:rsidRPr="00B059B2">
              <w:rPr>
                <w:b/>
                <w:i/>
              </w:rPr>
              <w:t>COM(2023) 88 final.</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3</w:t>
      </w:r>
    </w:p>
    <w:p w:rsidR="00902EF1" w:rsidRPr="00B059B2" w:rsidRDefault="00902EF1" w:rsidP="00902EF1">
      <w:pPr>
        <w:pStyle w:val="NormalBold12b"/>
      </w:pPr>
      <w:r w:rsidRPr="00B059B2">
        <w:t>Návrh nariadenia</w:t>
      </w:r>
    </w:p>
    <w:p w:rsidR="00902EF1" w:rsidRPr="00B059B2" w:rsidRDefault="00902EF1" w:rsidP="00902EF1">
      <w:pPr>
        <w:pStyle w:val="NormalBold"/>
      </w:pPr>
      <w:r w:rsidRPr="00B059B2">
        <w:t>Odôvodnenie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(1)</w:t>
            </w:r>
            <w:r w:rsidRPr="00B059B2">
              <w:tab/>
              <w:t>Vnútorný trh je oblasť, kde je zaručený voľný pohyb tovaru, osôb, služieb a kapitálu. Na tento účel sa nariadením Európskeho parlamentu a Rady (EÚ) 2018/858</w:t>
            </w:r>
            <w:r w:rsidRPr="00B059B2">
              <w:rPr>
                <w:vertAlign w:val="superscript"/>
              </w:rPr>
              <w:t>43</w:t>
            </w:r>
            <w:r w:rsidRPr="00B059B2">
              <w:t xml:space="preserve"> zaviedol komplexný </w:t>
            </w:r>
            <w:r w:rsidRPr="00B059B2">
              <w:lastRenderedPageBreak/>
              <w:t>systém typového schvaľovania a dohľadu nad trhom pre motorové vozidlá, ako aj systémov, komponentov a samostatných technických jednotiek určených pre takéto vozidlá a o dohľade nad trhom s nimi.</w:t>
            </w:r>
          </w:p>
        </w:tc>
        <w:tc>
          <w:tcPr>
            <w:tcW w:w="4876" w:type="dxa"/>
          </w:tcPr>
          <w:p w:rsidR="00902EF1" w:rsidRPr="00B059B2" w:rsidRDefault="00902EF1" w:rsidP="0023402C">
            <w:pPr>
              <w:pStyle w:val="Normal6a"/>
            </w:pPr>
            <w:r w:rsidRPr="00B059B2">
              <w:lastRenderedPageBreak/>
              <w:t>(1)</w:t>
            </w:r>
            <w:r w:rsidRPr="00B059B2">
              <w:tab/>
              <w:t>Vnútorný trh je oblasť, kde je zaručený voľný pohyb tovaru, osôb, služieb a kapitálu. Na tento účel sa nariadením Európskeho parlamentu a Rady (EÚ) 2018/858</w:t>
            </w:r>
            <w:r w:rsidRPr="00F010A2">
              <w:rPr>
                <w:vertAlign w:val="superscript"/>
              </w:rPr>
              <w:t>43</w:t>
            </w:r>
            <w:r w:rsidRPr="00B059B2">
              <w:t xml:space="preserve"> zaviedol komplexný </w:t>
            </w:r>
            <w:r w:rsidRPr="00B059B2">
              <w:lastRenderedPageBreak/>
              <w:t>systém typového schvaľovania a dohľadu nad trhom pre motorové vozidlá, ako aj systémov, komponentov a samostatných technických jednotiek určených pre takéto vozidlá</w:t>
            </w:r>
            <w:r w:rsidRPr="00B059B2">
              <w:rPr>
                <w:b/>
                <w:bCs/>
                <w:i/>
                <w:iCs/>
              </w:rPr>
              <w:t xml:space="preserve"> a pneumatiky pre všetky vozidlá</w:t>
            </w:r>
            <w:r w:rsidRPr="00B059B2">
              <w:t xml:space="preserve"> a o dohľade nad trhom s nimi.</w:t>
            </w:r>
          </w:p>
        </w:tc>
      </w:tr>
      <w:tr w:rsidR="00902EF1" w:rsidRPr="00B059B2" w:rsidTr="0023402C">
        <w:trPr>
          <w:jc w:val="center"/>
        </w:trPr>
        <w:tc>
          <w:tcPr>
            <w:tcW w:w="4876" w:type="dxa"/>
          </w:tcPr>
          <w:p w:rsidR="00902EF1" w:rsidRPr="00B059B2" w:rsidRDefault="00902EF1" w:rsidP="0023402C">
            <w:pPr>
              <w:pStyle w:val="Normal6a"/>
            </w:pPr>
            <w:r w:rsidRPr="00B059B2">
              <w:rPr>
                <w:b/>
                <w:i/>
              </w:rPr>
              <w:lastRenderedPageBreak/>
              <w:t>_________________</w:t>
            </w:r>
          </w:p>
        </w:tc>
        <w:tc>
          <w:tcPr>
            <w:tcW w:w="4876" w:type="dxa"/>
          </w:tcPr>
          <w:p w:rsidR="00902EF1" w:rsidRPr="00B059B2" w:rsidRDefault="00902EF1" w:rsidP="0023402C">
            <w:pPr>
              <w:pStyle w:val="Normal6a"/>
            </w:pPr>
            <w:r w:rsidRPr="00B059B2">
              <w:rPr>
                <w:b/>
                <w:i/>
              </w:rPr>
              <w:t>_________________</w:t>
            </w:r>
          </w:p>
        </w:tc>
      </w:tr>
      <w:tr w:rsidR="00902EF1" w:rsidRPr="00B059B2" w:rsidTr="0023402C">
        <w:trPr>
          <w:jc w:val="center"/>
        </w:trPr>
        <w:tc>
          <w:tcPr>
            <w:tcW w:w="4876" w:type="dxa"/>
          </w:tcPr>
          <w:p w:rsidR="00902EF1" w:rsidRPr="00B059B2" w:rsidRDefault="00902EF1" w:rsidP="0023402C">
            <w:pPr>
              <w:pStyle w:val="Normal6a"/>
            </w:pPr>
            <w:r w:rsidRPr="00B059B2">
              <w:rPr>
                <w:vertAlign w:val="superscript"/>
              </w:rPr>
              <w:t xml:space="preserve">43 </w:t>
            </w:r>
            <w:r w:rsidRPr="00B059B2">
              <w:t>Nariadenie Európskeho parlamentu a Rady (EÚ) 2018/858 z 30. mája 2018 o schvaľovaní motorových vozidiel a ich prípojných vozidiel, ako aj systémov, komponentov a samostatných technických jednotiek určených pre takéto vozidlá a dohľadu nad trhom s nimi, ktorým sa menia nariadenia (ES) č. 715/2007 a (ES) č. 595/2009 a zrušuje smernica 2007/46/ES (Ú. v. EÚ L 151, 14.6.2018, s. 1).</w:t>
            </w:r>
          </w:p>
        </w:tc>
        <w:tc>
          <w:tcPr>
            <w:tcW w:w="4876" w:type="dxa"/>
          </w:tcPr>
          <w:p w:rsidR="00902EF1" w:rsidRPr="00B059B2" w:rsidRDefault="00902EF1" w:rsidP="0023402C">
            <w:pPr>
              <w:pStyle w:val="Normal6a"/>
            </w:pPr>
            <w:r w:rsidRPr="00B059B2">
              <w:rPr>
                <w:vertAlign w:val="superscript"/>
              </w:rPr>
              <w:t xml:space="preserve">43 </w:t>
            </w:r>
            <w:r w:rsidRPr="00B059B2">
              <w:t>Nariadenie Európskeho parlamentu a Rady (EÚ) 2018/858 z 30. mája 2018 o schvaľovaní motorových vozidiel a ich prípojných vozidiel, ako aj systémov, komponentov a samostatných technických jednotiek určených pre takéto vozidlá a dohľadu nad trhom s nimi, ktorým sa menia nariadenia (ES) č. 715/2007 a (ES) č. 595/2009 a zrušuje smernica 2007/46/ES (Ú. v. EÚ L 151, 14.6.2018, s. 1).</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4</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Odôvodnenie 2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(2a)</w:t>
            </w:r>
            <w:r w:rsidRPr="00B059B2">
              <w:tab/>
            </w:r>
            <w:r w:rsidRPr="00B059B2">
              <w:rPr>
                <w:b/>
                <w:i/>
              </w:rPr>
              <w:t>Úspešný prechod na mobilitu s nulovými emisiami si vyžaduje integrovaný prístup a vhodné prostredie na stimulovanie inovácií a zachovanie technologického prvenstva Únie v tomto odvetví. Sem patria verejné a súkromné investície do výskumu a inovácií, zvýšenie ponuky vozidiel s nulovými a nízkymi emisiami, zavádzanie infraštruktúry nabíjacích a čerpacích staníc, začlenenie do energetických systémov, ako aj udržateľná dodávka materiálov a udržateľná výroba, opätovné použitie a recyklácia batérií v Európe. To si vyžaduje jednotné opatrenia na úrovni Únie, ako aj na vnútroštátnej, regionálnej a miestnej úrovni.</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5</w:t>
      </w:r>
    </w:p>
    <w:p w:rsidR="00902EF1" w:rsidRPr="00B059B2" w:rsidRDefault="00902EF1" w:rsidP="00902EF1">
      <w:pPr>
        <w:pStyle w:val="NormalBold12b"/>
      </w:pPr>
    </w:p>
    <w:p w:rsidR="00902EF1" w:rsidRPr="00B059B2" w:rsidRDefault="00902EF1" w:rsidP="00902EF1">
      <w:pPr>
        <w:pStyle w:val="NormalBold"/>
      </w:pPr>
      <w:r w:rsidRPr="00B059B2">
        <w:lastRenderedPageBreak/>
        <w:t>Návrh nariadenia</w:t>
      </w:r>
    </w:p>
    <w:p w:rsidR="00902EF1" w:rsidRPr="00B059B2" w:rsidRDefault="00902EF1" w:rsidP="00902EF1">
      <w:pPr>
        <w:pStyle w:val="NormalBold"/>
      </w:pPr>
      <w:r w:rsidRPr="00B059B2">
        <w:t>Odôvodnenie 2 b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(2b)</w:t>
            </w:r>
            <w:r w:rsidRPr="00B059B2">
              <w:tab/>
            </w:r>
            <w:r w:rsidRPr="00B059B2">
              <w:rPr>
                <w:b/>
                <w:i/>
              </w:rPr>
              <w:t>Na podporu prechodu na čistú mobilitu a zároveň na reindustrializáciu Európy a podporu občanov je nevyhnutné udržať ceny súkromných a úžitkových vozidiel dostupné pre občanov a podniky. Pomôže to udržať kvalitu života, konkurencieschopnosť priemyslu a inovácie, podporiť tvorbu pracovných miest a rozvoj zručností v tomto odvetví.</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6</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Odôvodnenie 2 c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(2c)</w:t>
            </w:r>
            <w:r w:rsidRPr="00B059B2">
              <w:tab/>
            </w:r>
            <w:r w:rsidRPr="00B059B2">
              <w:rPr>
                <w:b/>
                <w:i/>
              </w:rPr>
              <w:t>Mala by sa zabezpečiť spoločensky prijateľná a spravodlivá transformácia na mobilitu s nulovými emisiami. Je preto dôležité zohľadniť sociálne dôsledky takejto transformácie v celom hodnotovom reťazci automobilového priemyslu a aktívne riešiť jej dôsledky pre zamestnanosť. V rámci mechanizmu spravodlivej transformácie sa majú vypracovať cielené programy na úrovni Únie, na vnútroštátnej a regionálnej úrovni, ako je napríklad vypracovanie plánov spravodlivej transformácie pre regióny závislé od automobilového priemyslu, ktoré sa týkajú rekvalifikácie, zvyšovania kvalifikácie a presunu pracovníkov, ako aj iniciatív v oblasti vzdelávania a hľadania zamestnania v nepriaznivo postihnutých komunitách a regiónoch, a to v úzkom dialógu so sociálnymi partnermi a príslušnými orgánmi. V rámci uvedeného prechodu by sa mala posilniť zamestnanosť žien, ako aj rovnosť príležitostí v tomto odvetví.</w:t>
            </w:r>
          </w:p>
        </w:tc>
      </w:tr>
    </w:tbl>
    <w:p w:rsidR="00902EF1" w:rsidRPr="00B059B2" w:rsidRDefault="00902EF1" w:rsidP="00902EF1"/>
    <w:p w:rsidR="00902EF1" w:rsidRPr="00B059B2" w:rsidRDefault="00902EF1" w:rsidP="00902EF1">
      <w:pPr>
        <w:pStyle w:val="AmNumberTabs"/>
      </w:pPr>
      <w:r w:rsidRPr="00B059B2">
        <w:lastRenderedPageBreak/>
        <w:t>Pozmeňujúci návrh</w:t>
      </w:r>
      <w:r w:rsidRPr="00B059B2">
        <w:tab/>
      </w:r>
      <w:r w:rsidRPr="00B059B2">
        <w:tab/>
        <w:t>7</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Odôvodnenie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(4)</w:t>
            </w:r>
            <w:r w:rsidRPr="00B059B2">
              <w:tab/>
              <w:t>Technické požiadavky na typové schvaľovanie motorových vozidiel, motorov a náhradných dielov vzhľadom na emisie sú v súčasnosti stanovené v dvoch nariadeniach, ktoré sa uplatňujú na typové schválenie ľahkých a ťažkých vozidiel vzhľadom na emisie, t. j. v nariadení Európskeho parlamentu a Rady (ES) č. 715/2007 („Euro 6“)</w:t>
            </w:r>
            <w:r w:rsidRPr="00B059B2">
              <w:rPr>
                <w:vertAlign w:val="superscript"/>
              </w:rPr>
              <w:t>44</w:t>
            </w:r>
            <w:r w:rsidRPr="00B059B2">
              <w:t xml:space="preserve"> a nariadení Európskeho parlamentu a Rady (ES) č. 595/2009 („Euro VI“)</w:t>
            </w:r>
            <w:r w:rsidRPr="00B059B2">
              <w:rPr>
                <w:vertAlign w:val="superscript"/>
              </w:rPr>
              <w:t>45</w:t>
            </w:r>
            <w:r w:rsidRPr="00B059B2">
              <w:t xml:space="preserve">. </w:t>
            </w:r>
            <w:r w:rsidRPr="00B059B2">
              <w:rPr>
                <w:b/>
                <w:i/>
              </w:rPr>
              <w:t>Dôvodom existencie dvoch nariadení bolo, že emisie ťažkých vozidiel sa kontrolovali na základe skúšok motora, zatiaľ čo v prípade ľahkých vozidiel sa vychádzalo zo skúšania celých vozidiel. Odvtedy boli vypracované metodiky, ktoré umožňujú skúšanie ľahkých aj ťažkých vozidiel na cestách. Preto už nie je potrebné zakladať typové schválenie na skúšaní motora.</w:t>
            </w:r>
          </w:p>
        </w:tc>
        <w:tc>
          <w:tcPr>
            <w:tcW w:w="4876" w:type="dxa"/>
          </w:tcPr>
          <w:p w:rsidR="00902EF1" w:rsidRPr="00B059B2" w:rsidRDefault="00902EF1" w:rsidP="0023402C">
            <w:pPr>
              <w:pStyle w:val="Normal6a"/>
            </w:pPr>
            <w:r w:rsidRPr="00B059B2">
              <w:t>(4)</w:t>
            </w:r>
            <w:r w:rsidRPr="00B059B2">
              <w:tab/>
              <w:t>Technické požiadavky na typové schvaľovanie motorových vozidiel, motorov a náhradných dielov vzhľadom na emisie sú v súčasnosti stanovené v dvoch nariadeniach, ktoré sa uplatňujú na typové schválenie ľahkých a ťažkých vozidiel vzhľadom na emisie, t. j. v nariadení Európskeho parlamentu a Rady (ES) č. 715/2007 („Euro 6“)</w:t>
            </w:r>
            <w:r w:rsidRPr="00B059B2">
              <w:rPr>
                <w:vertAlign w:val="superscript"/>
              </w:rPr>
              <w:t>44</w:t>
            </w:r>
            <w:r w:rsidRPr="00B059B2">
              <w:t xml:space="preserve"> a nariadení Európskeho parlamentu a Rady (ES) č. 595/2009 (ďalej len „Euro VI“)</w:t>
            </w:r>
            <w:r w:rsidRPr="00B059B2">
              <w:rPr>
                <w:vertAlign w:val="superscript"/>
              </w:rPr>
              <w:t>45</w:t>
            </w:r>
            <w:r w:rsidRPr="00B059B2">
              <w:t>.</w:t>
            </w:r>
          </w:p>
        </w:tc>
      </w:tr>
      <w:tr w:rsidR="00902EF1" w:rsidRPr="00B059B2" w:rsidTr="0023402C">
        <w:trPr>
          <w:jc w:val="center"/>
        </w:trPr>
        <w:tc>
          <w:tcPr>
            <w:tcW w:w="4876" w:type="dxa"/>
          </w:tcPr>
          <w:p w:rsidR="00902EF1" w:rsidRPr="00B059B2" w:rsidRDefault="00902EF1" w:rsidP="0023402C">
            <w:pPr>
              <w:pStyle w:val="Normal6a"/>
            </w:pPr>
            <w:r w:rsidRPr="00B059B2">
              <w:rPr>
                <w:b/>
                <w:i/>
              </w:rPr>
              <w:t>_________________</w:t>
            </w:r>
          </w:p>
        </w:tc>
        <w:tc>
          <w:tcPr>
            <w:tcW w:w="4876" w:type="dxa"/>
          </w:tcPr>
          <w:p w:rsidR="00902EF1" w:rsidRPr="00B059B2" w:rsidRDefault="00902EF1" w:rsidP="0023402C">
            <w:pPr>
              <w:pStyle w:val="Normal6a"/>
            </w:pPr>
            <w:r w:rsidRPr="00B059B2">
              <w:rPr>
                <w:b/>
                <w:i/>
              </w:rPr>
              <w:t>_________________</w:t>
            </w:r>
          </w:p>
        </w:tc>
      </w:tr>
      <w:tr w:rsidR="00902EF1" w:rsidRPr="00B059B2" w:rsidTr="0023402C">
        <w:trPr>
          <w:jc w:val="center"/>
        </w:trPr>
        <w:tc>
          <w:tcPr>
            <w:tcW w:w="4876" w:type="dxa"/>
          </w:tcPr>
          <w:p w:rsidR="00902EF1" w:rsidRPr="00B059B2" w:rsidRDefault="00902EF1" w:rsidP="0023402C">
            <w:pPr>
              <w:pStyle w:val="Normal6a"/>
            </w:pPr>
            <w:r w:rsidRPr="00B059B2">
              <w:rPr>
                <w:vertAlign w:val="superscript"/>
              </w:rPr>
              <w:t>44</w:t>
            </w:r>
            <w:r w:rsidRPr="00B059B2">
              <w:t xml:space="preserve"> Nariadenie Európskeho parlamentu a Rady (ES) č. 715/2007 z 20. júna 2007 o typovom schvaľovaní motorových vozidiel so zreteľom na emisie ľahkých osobných a úžitkových vozidiel (Euro 5 a Euro 6) a o prístupe k informáciám o opravách a údržbe vozidiel (Ú. v. EÚ L 171, 29.6.2007, s. 1.).</w:t>
            </w:r>
          </w:p>
        </w:tc>
        <w:tc>
          <w:tcPr>
            <w:tcW w:w="4876" w:type="dxa"/>
          </w:tcPr>
          <w:p w:rsidR="00902EF1" w:rsidRPr="00B059B2" w:rsidRDefault="00902EF1" w:rsidP="0023402C">
            <w:pPr>
              <w:pStyle w:val="Normal6a"/>
            </w:pPr>
            <w:r w:rsidRPr="00B059B2">
              <w:rPr>
                <w:vertAlign w:val="superscript"/>
              </w:rPr>
              <w:t>44</w:t>
            </w:r>
            <w:r w:rsidRPr="00B059B2">
              <w:t xml:space="preserve"> Nariadenie Európskeho parlamentu a Rady (ES) č. 715/2007 z 20. júna 2007 o typovom schvaľovaní motorových vozidiel so zreteľom na emisie ľahkých osobných a úžitkových vozidiel (Euro 5 a Euro 6) a o prístupe k informáciám o opravách a údržbe vozidiel (Ú. v. EÚ L 171, 29.6.2007, s. 1.).</w:t>
            </w:r>
          </w:p>
        </w:tc>
      </w:tr>
      <w:tr w:rsidR="00902EF1" w:rsidRPr="00B059B2" w:rsidTr="0023402C">
        <w:trPr>
          <w:jc w:val="center"/>
        </w:trPr>
        <w:tc>
          <w:tcPr>
            <w:tcW w:w="4876" w:type="dxa"/>
          </w:tcPr>
          <w:p w:rsidR="00902EF1" w:rsidRPr="00B059B2" w:rsidRDefault="00902EF1" w:rsidP="0023402C">
            <w:pPr>
              <w:pStyle w:val="Normal6a"/>
            </w:pPr>
            <w:r w:rsidRPr="00B059B2">
              <w:rPr>
                <w:vertAlign w:val="superscript"/>
              </w:rPr>
              <w:t>45</w:t>
            </w:r>
            <w:r w:rsidRPr="00B059B2">
              <w:t xml:space="preserve"> Nariadenie Európskeho parlamentu a Rady (ES) č. 595/2009 z 18. júna 2009 o typovom schvaľovaní motorových vozidiel a motorov s ohľadom na emisie ťažkých úžitkových vozidiel (Euro VI) a o prístupe k informáciám o oprave a údržbe vozidiel, a ktorým sa mení a dopĺňa nariadenie (ES) č. 715/2007 a smernica 2007/46/ES a zrušujú smernice 80/1269/EHS, 2005/55/ES a 2005/78/ES (Ú. v. EÚ L 188, 18.7.2009, s. 1).</w:t>
            </w:r>
          </w:p>
        </w:tc>
        <w:tc>
          <w:tcPr>
            <w:tcW w:w="4876" w:type="dxa"/>
          </w:tcPr>
          <w:p w:rsidR="00902EF1" w:rsidRPr="00B059B2" w:rsidRDefault="00902EF1" w:rsidP="0023402C">
            <w:pPr>
              <w:pStyle w:val="Normal6a"/>
            </w:pPr>
            <w:r w:rsidRPr="00B059B2">
              <w:rPr>
                <w:vertAlign w:val="superscript"/>
              </w:rPr>
              <w:t>45</w:t>
            </w:r>
            <w:r w:rsidRPr="00B059B2">
              <w:t xml:space="preserve"> Nariadenie Európskeho parlamentu a Rady (ES) č. 595/2009 z 18. júna 2009 o typovom schvaľovaní motorových vozidiel a motorov s ohľadom na emisie ťažkých úžitkových vozidiel (Euro VI) a o prístupe k informáciám o oprave a údržbe vozidiel, a ktorým sa mení a dopĺňa nariadenie (ES) č. 715/2007 a smernica 2007/46/ES a zrušujú smernice 80/1269/EHS, 2005/55/ES a 2005/78/ES (Ú. v. EÚ L 188, 18.7.2009, s. 1).</w:t>
            </w:r>
          </w:p>
        </w:tc>
      </w:tr>
    </w:tbl>
    <w:p w:rsidR="00902EF1" w:rsidRPr="00B059B2" w:rsidRDefault="00902EF1" w:rsidP="00902EF1"/>
    <w:p w:rsidR="00902EF1" w:rsidRPr="00B059B2" w:rsidRDefault="00902EF1" w:rsidP="00902EF1">
      <w:pPr>
        <w:pStyle w:val="AmNumberTabs"/>
      </w:pPr>
      <w:r w:rsidRPr="00B059B2">
        <w:lastRenderedPageBreak/>
        <w:t>Pozmeňujúci návrh</w:t>
      </w:r>
      <w:r w:rsidRPr="00B059B2">
        <w:tab/>
      </w:r>
      <w:r w:rsidRPr="00B059B2">
        <w:tab/>
        <w:t>8</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Odôvodnenie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(5)</w:t>
            </w:r>
            <w:r w:rsidRPr="00B059B2">
              <w:tab/>
              <w:t>Začlenením požiadaviek stanovených v nariadení (ES) č. 715/2007 a nariadení (ES) č. 595/2009 do jedného nariadenia by sa mala zabezpečiť vnútorná súdržnosť systému typového schvaľovania vzhľadom na emisie pre ľahké aj ťažké vozidlá a zároveň by sa mali umožniť rôzne emisné limity pre takéto vozidlá.</w:t>
            </w:r>
          </w:p>
        </w:tc>
        <w:tc>
          <w:tcPr>
            <w:tcW w:w="4876" w:type="dxa"/>
          </w:tcPr>
          <w:p w:rsidR="00902EF1" w:rsidRPr="00B059B2" w:rsidRDefault="00902EF1" w:rsidP="0023402C">
            <w:pPr>
              <w:pStyle w:val="Normal6a"/>
            </w:pPr>
            <w:r w:rsidRPr="00B059B2">
              <w:t>(5)</w:t>
            </w:r>
            <w:r w:rsidRPr="00B059B2">
              <w:tab/>
              <w:t xml:space="preserve">Začlenením požiadaviek stanovených v nariadení (ES) č. 715/2007 a nariadení (ES) č. 595/2009 do jedného nariadenia by sa mala zabezpečiť vnútorná súdržnosť systému typového schvaľovania vzhľadom na emisie pre ľahké aj ťažké vozidlá a zároveň by sa mali umožniť rôzne emisné limity </w:t>
            </w:r>
            <w:r w:rsidRPr="00B059B2">
              <w:rPr>
                <w:b/>
                <w:bCs/>
                <w:i/>
                <w:iCs/>
              </w:rPr>
              <w:t>a skúšobné pravidlá a podmienky</w:t>
            </w:r>
            <w:r w:rsidRPr="00B059B2">
              <w:t xml:space="preserve"> pre takéto vozidlá.</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9</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Odôvodnenie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(7)</w:t>
            </w:r>
            <w:r w:rsidRPr="00B059B2">
              <w:tab/>
              <w:t xml:space="preserve">Takisto je potrebné znížiť zložitosť, administratívne náklady a náklady na vykonávanie pre výrobcov a orgány a zabezpečiť účinné a efektívne vykonávanie emisných noriem Euro. Zjednodušenie sa dosiahne odstránením rôznych dátumov uplatňovania limitov a skúšok, </w:t>
            </w:r>
            <w:r w:rsidRPr="00B059B2">
              <w:rPr>
                <w:b/>
                <w:bCs/>
                <w:i/>
                <w:iCs/>
              </w:rPr>
              <w:t>ktoré existovali podľa noriem Euro 6 a Euro VI,</w:t>
            </w:r>
            <w:r w:rsidRPr="00B059B2">
              <w:t xml:space="preserve"> odstránením viacerých a komplexných emisných skúšok, kde takéto skúšky nie sú potrebné, odkazom na normy podľa existujúcich predpisov OSN, ak je to uplatniteľné, a zabezpečením zjednodušeného a konzistentného súboru postupov a skúšok pre rôzne fázy typového schvaľovania vzhľadom na emisie.</w:t>
            </w:r>
          </w:p>
        </w:tc>
        <w:tc>
          <w:tcPr>
            <w:tcW w:w="4876" w:type="dxa"/>
          </w:tcPr>
          <w:p w:rsidR="00902EF1" w:rsidRPr="00B059B2" w:rsidRDefault="00902EF1" w:rsidP="0023402C">
            <w:pPr>
              <w:pStyle w:val="Normal6a"/>
            </w:pPr>
            <w:r w:rsidRPr="00B059B2">
              <w:t>(7)</w:t>
            </w:r>
            <w:r w:rsidRPr="00B059B2">
              <w:tab/>
              <w:t>Takisto je potrebné znížiť zložitosť, administratívne náklady a náklady na vykonávanie pre výrobcov a orgány a zabezpečiť účinné a efektívne vykonávanie emisných noriem Euro. Zjednodušenie sa dosiahne odstránením rôznych dátumov uplatňovania limitov a skúšok odstránením viacerých a komplexných emisných skúšok, kde takéto skúšky nie sú potrebné, odkazom na normy podľa existujúcich predpisov OSN, ak je to uplatniteľné, a zabezpečením zjednodušeného a konzistentného súboru postupov a skúšok pre rôzne fázy typového schvaľovania vzhľadom na emisie.</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10</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Odôvodnenie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lastRenderedPageBreak/>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(8)</w:t>
            </w:r>
            <w:r w:rsidRPr="00B059B2">
              <w:tab/>
              <w:t>S cieľom zabezpečiť, aby boli emisie ľahkých aj ťažkých vozidiel v reálnom živote obmedzené, sa vyžaduje skúšanie vozidiel v skutočných podmienkach používania s minimálnym súborom obmedzení, hraníc a iných požiadaviek na jazdu,</w:t>
            </w:r>
            <w:r w:rsidRPr="00B059B2">
              <w:rPr>
                <w:b/>
                <w:bCs/>
                <w:i/>
                <w:iCs/>
              </w:rPr>
              <w:t xml:space="preserve"> a nielen v laboratóriu</w:t>
            </w:r>
            <w:r w:rsidRPr="00B059B2">
              <w:t>.</w:t>
            </w:r>
          </w:p>
        </w:tc>
        <w:tc>
          <w:tcPr>
            <w:tcW w:w="4876" w:type="dxa"/>
          </w:tcPr>
          <w:p w:rsidR="00902EF1" w:rsidRPr="00B059B2" w:rsidRDefault="00902EF1" w:rsidP="0023402C">
            <w:pPr>
              <w:pStyle w:val="Normal6a"/>
            </w:pPr>
            <w:r w:rsidRPr="00B059B2">
              <w:t>(8)</w:t>
            </w:r>
            <w:r w:rsidRPr="00B059B2">
              <w:tab/>
              <w:t>S cieľom zabezpečiť, aby boli emisie ľahkých aj ťažkých vozidiel v reálnom živote obmedzené, sa vyžaduje skúšanie vozidiel v skutočných podmienkach používania,</w:t>
            </w:r>
            <w:r w:rsidRPr="00B059B2">
              <w:rPr>
                <w:b/>
                <w:bCs/>
                <w:i/>
                <w:iCs/>
              </w:rPr>
              <w:t xml:space="preserve"> ktoré sú štatisticky významné</w:t>
            </w:r>
            <w:r w:rsidRPr="00B059B2">
              <w:t xml:space="preserve">, s minimálnym súborom obmedzení, hraníc a iných požiadaviek na jazdu. </w:t>
            </w:r>
            <w:r w:rsidRPr="00B059B2">
              <w:rPr>
                <w:b/>
                <w:i/>
              </w:rPr>
              <w:t>Toto skúšanie na ceste by malo byť založené na bežnej jazde a malo by vylúčiť neobjektívne jazdenie.</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11</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Odôvodnenie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(10)</w:t>
            </w:r>
            <w:r w:rsidRPr="00B059B2">
              <w:tab/>
              <w:t xml:space="preserve">V nariadeniach (ES) č. 715/2007 a (ES) č. 595/2009 sa vyžaduje, aby vozidlá dodržiavali emisné limity počas určitého obdobia, ktoré už nezodpovedá priemernej životnosti vozidiel. Preto je vhodné stanoviť požiadavky na životnosť, ktoré odrážajú </w:t>
            </w:r>
            <w:r w:rsidRPr="00B059B2">
              <w:rPr>
                <w:b/>
                <w:bCs/>
                <w:i/>
                <w:iCs/>
              </w:rPr>
              <w:t>priemernú</w:t>
            </w:r>
            <w:r w:rsidRPr="00B059B2">
              <w:t xml:space="preserve"> očakávanú životnosť vozidiel </w:t>
            </w:r>
            <w:r w:rsidRPr="00B059B2">
              <w:rPr>
                <w:b/>
                <w:bCs/>
                <w:i/>
                <w:iCs/>
              </w:rPr>
              <w:t>v</w:t>
            </w:r>
            <w:r w:rsidRPr="00B059B2">
              <w:t> Únii.</w:t>
            </w:r>
          </w:p>
        </w:tc>
        <w:tc>
          <w:tcPr>
            <w:tcW w:w="4876" w:type="dxa"/>
          </w:tcPr>
          <w:p w:rsidR="00902EF1" w:rsidRPr="00B059B2" w:rsidRDefault="00902EF1" w:rsidP="0023402C">
            <w:pPr>
              <w:pStyle w:val="Normal6a"/>
            </w:pPr>
            <w:r w:rsidRPr="00B059B2">
              <w:t>(10)</w:t>
            </w:r>
            <w:r w:rsidRPr="00B059B2">
              <w:tab/>
              <w:t>V nariadeniach (ES) č. 715/2007 a (ES) č. 595/2009 sa vyžaduje, aby vozidlá dodržiavali emisné limity počas určitého obdobia, ktoré už nezodpovedá priemernej životnosti vozidiel. Preto je vhodné stanoviť požiadavky na životnosť, ktoré odrážajú očakávanú životnosť vozidiel</w:t>
            </w:r>
            <w:r w:rsidRPr="00B059B2">
              <w:rPr>
                <w:b/>
                <w:bCs/>
                <w:i/>
                <w:iCs/>
                <w:vertAlign w:val="superscript"/>
              </w:rPr>
              <w:t>1a</w:t>
            </w:r>
            <w:r w:rsidRPr="00B059B2">
              <w:rPr>
                <w:b/>
                <w:bCs/>
                <w:i/>
                <w:iCs/>
              </w:rPr>
              <w:t xml:space="preserve"> a ich štandardné používanie v celej</w:t>
            </w:r>
            <w:r w:rsidRPr="00B059B2">
              <w:t xml:space="preserve"> Únii </w:t>
            </w:r>
            <w:r w:rsidRPr="00B059B2">
              <w:rPr>
                <w:b/>
                <w:bCs/>
                <w:i/>
                <w:iCs/>
              </w:rPr>
              <w:t>so zreteľom na rozdiely medzi členskými štátmi</w:t>
            </w:r>
            <w:r w:rsidRPr="00B059B2">
              <w:t xml:space="preserve">. </w:t>
            </w:r>
            <w:r w:rsidRPr="00B059B2">
              <w:rPr>
                <w:b/>
                <w:i/>
              </w:rPr>
              <w:t>To má osobitný význam pre kupujúcich ojazdených vozidiel, ktorí očakávajú, že vozidlo bude mať rovnaké emisie ako pri prvom uvedení na trh.</w:t>
            </w:r>
          </w:p>
        </w:tc>
      </w:tr>
      <w:tr w:rsidR="00902EF1" w:rsidRPr="00B059B2" w:rsidTr="0023402C">
        <w:trPr>
          <w:jc w:val="center"/>
        </w:trPr>
        <w:tc>
          <w:tcPr>
            <w:tcW w:w="4876" w:type="dxa"/>
          </w:tcPr>
          <w:p w:rsidR="00902EF1" w:rsidRPr="00B059B2" w:rsidRDefault="00902EF1" w:rsidP="0023402C"/>
        </w:tc>
        <w:tc>
          <w:tcPr>
            <w:tcW w:w="4876" w:type="dxa"/>
          </w:tcPr>
          <w:p w:rsidR="00902EF1" w:rsidRPr="00B059B2" w:rsidRDefault="00902EF1" w:rsidP="0023402C">
            <w:pPr>
              <w:pStyle w:val="Normal6a"/>
            </w:pPr>
            <w:r w:rsidRPr="00B059B2">
              <w:rPr>
                <w:b/>
                <w:i/>
              </w:rPr>
              <w:t>_________________</w:t>
            </w:r>
          </w:p>
        </w:tc>
      </w:tr>
      <w:tr w:rsidR="00902EF1" w:rsidRPr="00B059B2" w:rsidTr="0023402C">
        <w:trPr>
          <w:jc w:val="center"/>
        </w:trPr>
        <w:tc>
          <w:tcPr>
            <w:tcW w:w="4876" w:type="dxa"/>
          </w:tcPr>
          <w:p w:rsidR="00902EF1" w:rsidRPr="00B059B2" w:rsidRDefault="00902EF1" w:rsidP="0023402C"/>
        </w:tc>
        <w:tc>
          <w:tcPr>
            <w:tcW w:w="4876" w:type="dxa"/>
          </w:tcPr>
          <w:p w:rsidR="00902EF1" w:rsidRPr="00B059B2" w:rsidRDefault="00902EF1" w:rsidP="0023402C">
            <w:pPr>
              <w:pStyle w:val="Normal6a"/>
            </w:pPr>
            <w:r w:rsidRPr="00B059B2">
              <w:rPr>
                <w:b/>
                <w:bCs/>
                <w:i/>
                <w:iCs/>
                <w:vertAlign w:val="superscript"/>
              </w:rPr>
              <w:t>1a</w:t>
            </w:r>
            <w:r w:rsidRPr="00B059B2">
              <w:rPr>
                <w:b/>
                <w:bCs/>
                <w:i/>
                <w:iCs/>
              </w:rPr>
              <w:t xml:space="preserve"> Európske združenie výrobcov automobilov (ACEA), Používané vozidlá, Európa 2022.</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12</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Odôvodnenie 10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(10a)</w:t>
            </w:r>
            <w:r w:rsidRPr="00B059B2">
              <w:tab/>
            </w:r>
            <w:r w:rsidRPr="00B059B2">
              <w:rPr>
                <w:b/>
                <w:i/>
              </w:rPr>
              <w:t>Členské štáty sa vyzývajú, aby vypracovali a zaviedli stratégie na stimulovanie obnovy vozového parku s cieľom uľahčiť postupný prechod európskeho vozového parku na vozidlá so zníženými emisiami, čo prispeje k čistejšiemu a udržateľnejšiemu dopravnému ekosystému.</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13</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Odôvodnenie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(11)</w:t>
            </w:r>
            <w:r w:rsidRPr="00B059B2">
              <w:tab/>
              <w:t xml:space="preserve">V súčasnosti existujú technológie, ktoré sú k dispozícii a vo veľkej miere sa používajú na celom svete a ktoré obmedzujú emisie z odparovania prchavých organických zlúčenín počas používania, parkovania a dopĺňania paliva vozidla benzínovým palivom. Preto je vhodné </w:t>
            </w:r>
            <w:r w:rsidRPr="00B059B2">
              <w:rPr>
                <w:b/>
                <w:bCs/>
                <w:i/>
                <w:iCs/>
              </w:rPr>
              <w:t>stanoviť</w:t>
            </w:r>
            <w:r w:rsidRPr="00B059B2">
              <w:t xml:space="preserve"> emisné limity pre takéto prchavé organické zlúčeniny na nižšej úrovni a zaviesť emisné limity pre fázu dopĺňania paliva.</w:t>
            </w:r>
          </w:p>
        </w:tc>
        <w:tc>
          <w:tcPr>
            <w:tcW w:w="4876" w:type="dxa"/>
          </w:tcPr>
          <w:p w:rsidR="00902EF1" w:rsidRPr="00B059B2" w:rsidRDefault="00902EF1" w:rsidP="0023402C">
            <w:pPr>
              <w:pStyle w:val="Normal6a"/>
            </w:pPr>
            <w:r w:rsidRPr="00B059B2">
              <w:t>(11)</w:t>
            </w:r>
            <w:r w:rsidRPr="00B059B2">
              <w:tab/>
              <w:t xml:space="preserve">V súčasnosti existujú technológie, ktoré sú k dispozícii a vo veľkej miere sa používajú na celom svete a ktoré obmedzujú emisie z odparovania prchavých organických zlúčenín počas používania, parkovania a dopĺňania paliva vozidla benzínovým palivom. </w:t>
            </w:r>
            <w:r w:rsidRPr="00B059B2">
              <w:rPr>
                <w:b/>
                <w:bCs/>
                <w:i/>
                <w:iCs/>
              </w:rPr>
              <w:t>Keďže tieto technológie sú už overené a nákladovo efektívne zavedené na iných trhoch a v iných regiónoch,</w:t>
            </w:r>
            <w:r w:rsidRPr="00B059B2">
              <w:t xml:space="preserve"> je preto vhodné, </w:t>
            </w:r>
            <w:r w:rsidRPr="00B059B2">
              <w:rPr>
                <w:b/>
                <w:bCs/>
                <w:i/>
                <w:iCs/>
              </w:rPr>
              <w:t>aby sa Únia prispôsobila iným trhom stanovením</w:t>
            </w:r>
            <w:r w:rsidRPr="00B059B2">
              <w:t xml:space="preserve"> emisných limitov pre tieto prchavé organické zlúčeniny na nižšej úrovni a aby zaviedla emisné limity pre fázu dopĺňania paliva.</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14</w:t>
      </w:r>
    </w:p>
    <w:p w:rsidR="00902EF1" w:rsidRPr="00B059B2" w:rsidRDefault="00902EF1" w:rsidP="00902EF1">
      <w:pPr>
        <w:pStyle w:val="NormalBold12b"/>
      </w:pPr>
      <w:r w:rsidRPr="00B059B2">
        <w:t>Návrh nariadenia</w:t>
      </w:r>
    </w:p>
    <w:p w:rsidR="00902EF1" w:rsidRPr="00B059B2" w:rsidRDefault="00902EF1" w:rsidP="00902EF1">
      <w:pPr>
        <w:pStyle w:val="NormalBold"/>
      </w:pPr>
      <w:r w:rsidRPr="00B059B2">
        <w:t>Odôvodnenie 11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(11a)</w:t>
            </w:r>
            <w:r w:rsidRPr="00B059B2">
              <w:tab/>
            </w:r>
            <w:r w:rsidRPr="00B059B2">
              <w:rPr>
                <w:b/>
                <w:i/>
              </w:rPr>
              <w:t>Na kontrolu emisií pri dopĺňaní paliva sa na iných trhoch a v iných regiónoch už viac ako 15 rokov uplatňuje rekuperácia výparov pri čerpaní s preukázanou účinnosťou kontroly výparov.</w:t>
            </w:r>
            <w:r w:rsidRPr="00B059B2">
              <w:t xml:space="preserve"> </w:t>
            </w:r>
            <w:r w:rsidRPr="00B059B2">
              <w:rPr>
                <w:b/>
                <w:i/>
              </w:rPr>
              <w:t xml:space="preserve">Palubná rekuperácia výparov pri dopĺňaní paliva nevyžaduje žiadnu ročnú údržbu ani kontroly, aby sa zachovala </w:t>
            </w:r>
            <w:r w:rsidRPr="00B059B2">
              <w:rPr>
                <w:b/>
                <w:i/>
              </w:rPr>
              <w:lastRenderedPageBreak/>
              <w:t>vyššia úroveň účinnosti regulácie výparov pri dopĺňaní a zároveň kompatibilita so súčasnými čerpacími stanicami II. stupňa.</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15</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Odôvodnenie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(12)</w:t>
            </w:r>
            <w:r w:rsidRPr="00B059B2">
              <w:tab/>
              <w:t xml:space="preserve">Nevýfukové emisie pozostávajú z častíc emitovaných pneumatikami a brzdami vozidiel. Odhaduje sa, že emisie z pneumatík sú najväčším zdrojom mikroplastov do životného prostredia. Ako sa uvádza v posúdení vplyvu, očakáva sa, že do roku 2050 budú nevýfukové emisie predstavovať až 90 % všetkých častíc emitovaných cestnou dopravou, pretože výfukové častice sa v dôsledku elektrifikácie vozidiel znížia. Tieto nevýfukové emisie by sa preto mali merať a obmedzovať. Komisia by mala do konca roka </w:t>
            </w:r>
            <w:r w:rsidRPr="00B059B2">
              <w:rPr>
                <w:b/>
                <w:bCs/>
                <w:i/>
                <w:iCs/>
              </w:rPr>
              <w:t>2024 vypracovať správu o odere pneumatík s cieľom preskúmať metódy</w:t>
            </w:r>
            <w:r w:rsidRPr="00B059B2">
              <w:t xml:space="preserve"> merania a aktuálny stav vývoja </w:t>
            </w:r>
            <w:r w:rsidRPr="00B059B2">
              <w:rPr>
                <w:b/>
                <w:bCs/>
                <w:i/>
                <w:iCs/>
              </w:rPr>
              <w:t>s cieľom</w:t>
            </w:r>
            <w:r w:rsidRPr="00B059B2">
              <w:t xml:space="preserve"> navrhnúť limity oderu pneumatík.</w:t>
            </w:r>
          </w:p>
        </w:tc>
        <w:tc>
          <w:tcPr>
            <w:tcW w:w="4876" w:type="dxa"/>
          </w:tcPr>
          <w:p w:rsidR="00902EF1" w:rsidRPr="00B059B2" w:rsidRDefault="00902EF1" w:rsidP="0023402C">
            <w:pPr>
              <w:pStyle w:val="Normal6a"/>
            </w:pPr>
            <w:r w:rsidRPr="00B059B2">
              <w:t>(12)</w:t>
            </w:r>
            <w:r w:rsidRPr="00B059B2">
              <w:tab/>
              <w:t>Nevýfukové emisie pozostávajú z častíc emitovaných pneumatikami a brzdami vozidiel. Odhaduje sa, že emisie z pneumatík sú najväčším zdrojom mikroplastov do životného prostredia. Ako sa uvádza v posúdení vplyvu, očakáva sa, že do roku 2050 budú nevýfukové emisie predstavovať až 90 % všetkých častíc emitovaných cestnou dopravou, pretože výfukové častice sa v dôsledku elektrifikácie vozidiel znížia. Tieto nevýfukové emisie by sa preto mali merať a obmedzovať. Komisia by mala do konca roka</w:t>
            </w:r>
            <w:r w:rsidRPr="00B059B2">
              <w:rPr>
                <w:b/>
                <w:bCs/>
                <w:i/>
                <w:iCs/>
              </w:rPr>
              <w:t xml:space="preserve"> 2025 vykonať preskúmanie merania oderu pneumatík a vymedziť limity oderu na základe najmodernejších metód v prípade, že nebudú stanovené jednotné ustanovenia, ktoré by odkazovali na prácu na odere pneumatík vykonanú v rámci pracovnej skupiny OSN WP29 do polovice roka 2026.</w:t>
            </w:r>
            <w:r w:rsidRPr="00B059B2">
              <w:rPr>
                <w:b/>
                <w:i/>
              </w:rPr>
              <w:t xml:space="preserve"> Komisia by mala zabezpečiť, aby pracovná skupina OSN WP29 dosiahla svoje ciele včas a odrážala vysokú úroveň ambícií založených na pevných vedeckých a technických základoch. </w:t>
            </w:r>
            <w:r w:rsidRPr="00B059B2">
              <w:rPr>
                <w:b/>
                <w:bCs/>
                <w:i/>
                <w:iCs/>
              </w:rPr>
              <w:t>K preskúmaniu by mal byť priložený legislatívny návrh pre vozidlá s trakčnými batériami vrátane plug-in hybridov a elektrických vozidiel na batérie na prijatie limitov oderu pneumatík, ktoré sú zlučiteľné s cieľom Únie znížiť do roku 2030 mikroplasty uvoľňované do životného prostredia o 30 % a na základe najmodernejších mier oderu.</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16</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Odôvodnenie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(14)</w:t>
            </w:r>
            <w:r w:rsidRPr="00B059B2">
              <w:tab/>
              <w:t>Vozidlá s trakčnými batériami vrátane plug-in hybridov a elektrických vozidiel na batérie prispievajú k dekarbonizácii odvetvia cestnej dopravy. S cieľom získať a zvýšiť dôveru spotrebiteľov v takéto vozidlá by tieto vozidlá mali byť výkonné a mať dlhú životnosť. Preto je dôležité vyžadovať, aby si trakčné batérie po mnohých rokoch používania zachovali značnú časť svojej pôvodnej kapacity. To má osobitný význam pre kupujúcich ojazdených elektrických vozidiel, aby sa zabezpečilo, že vozidlo bude naďalej fungovať tak, ako sa očakáva. V prípade všetkých vozidiel, ktoré používajú trakčné batérie, by sa preto mali vyžadovať monitory zdravia batérie. Okrem toho by sa mali zaviesť minimálne výkonnostné požiadavky na životnosť batérií osobných automobilov s prihliadnutím na globálny technický predpis OSN 22</w:t>
            </w:r>
            <w:r w:rsidRPr="00B059B2">
              <w:rPr>
                <w:vertAlign w:val="superscript"/>
              </w:rPr>
              <w:t>47</w:t>
            </w:r>
            <w:r w:rsidRPr="00B059B2">
              <w:t>.</w:t>
            </w:r>
          </w:p>
        </w:tc>
        <w:tc>
          <w:tcPr>
            <w:tcW w:w="4876" w:type="dxa"/>
          </w:tcPr>
          <w:p w:rsidR="00902EF1" w:rsidRPr="00B059B2" w:rsidRDefault="00902EF1" w:rsidP="0023402C">
            <w:pPr>
              <w:pStyle w:val="Normal6a"/>
            </w:pPr>
            <w:r w:rsidRPr="00B059B2">
              <w:t>(14)</w:t>
            </w:r>
            <w:r w:rsidRPr="00B059B2">
              <w:tab/>
              <w:t xml:space="preserve">Vozidlá s trakčnými batériami vrátane plug-in hybridov a elektrických vozidiel na batérie prispievajú k dekarbonizácii odvetvia cestnej dopravy. S cieľom získať a zvýšiť dôveru spotrebiteľov v takéto vozidlá by tieto vozidlá mali byť výkonné a mať dlhú životnosť. Preto je dôležité vyžadovať, aby si trakčné batérie po mnohých rokoch používania zachovali značnú časť svojej pôvodnej kapacity. To má osobitný význam pre kupujúcich ojazdených elektrických vozidiel, aby sa zabezpečilo, že vozidlo bude naďalej fungovať tak, ako sa očakáva. V prípade všetkých vozidiel, ktoré používajú trakčné batérie, by sa preto mali vyžadovať monitory zdravia batérie. Okrem toho by sa mali zaviesť minimálne výkonnostné požiadavky na životnosť batérií osobných automobilov </w:t>
            </w:r>
            <w:r w:rsidRPr="00B059B2">
              <w:rPr>
                <w:b/>
                <w:bCs/>
                <w:i/>
                <w:iCs/>
              </w:rPr>
              <w:t>a ľahkých úžitkových vozidiel</w:t>
            </w:r>
            <w:r w:rsidRPr="00B059B2">
              <w:t xml:space="preserve"> s prihliadnutím na globálny technický predpis OSN 22</w:t>
            </w:r>
            <w:r w:rsidRPr="00B059B2">
              <w:rPr>
                <w:vertAlign w:val="superscript"/>
              </w:rPr>
              <w:t>47</w:t>
            </w:r>
            <w:r w:rsidRPr="00B059B2">
              <w:t>.</w:t>
            </w:r>
          </w:p>
        </w:tc>
      </w:tr>
      <w:tr w:rsidR="00902EF1" w:rsidRPr="00B059B2" w:rsidTr="0023402C">
        <w:trPr>
          <w:jc w:val="center"/>
        </w:trPr>
        <w:tc>
          <w:tcPr>
            <w:tcW w:w="4876" w:type="dxa"/>
          </w:tcPr>
          <w:p w:rsidR="00902EF1" w:rsidRPr="00B059B2" w:rsidRDefault="00902EF1" w:rsidP="0023402C">
            <w:pPr>
              <w:pStyle w:val="Normal6a"/>
            </w:pPr>
            <w:r w:rsidRPr="00B059B2">
              <w:rPr>
                <w:b/>
                <w:i/>
              </w:rPr>
              <w:t>_________________</w:t>
            </w:r>
          </w:p>
        </w:tc>
        <w:tc>
          <w:tcPr>
            <w:tcW w:w="4876" w:type="dxa"/>
          </w:tcPr>
          <w:p w:rsidR="00902EF1" w:rsidRPr="00B059B2" w:rsidRDefault="00902EF1" w:rsidP="0023402C">
            <w:pPr>
              <w:pStyle w:val="Normal6a"/>
            </w:pPr>
            <w:r w:rsidRPr="00B059B2">
              <w:rPr>
                <w:b/>
                <w:i/>
              </w:rPr>
              <w:t>_________________</w:t>
            </w:r>
          </w:p>
        </w:tc>
      </w:tr>
      <w:tr w:rsidR="00902EF1" w:rsidRPr="00B059B2" w:rsidTr="0023402C">
        <w:trPr>
          <w:jc w:val="center"/>
        </w:trPr>
        <w:tc>
          <w:tcPr>
            <w:tcW w:w="4876" w:type="dxa"/>
          </w:tcPr>
          <w:p w:rsidR="00902EF1" w:rsidRPr="00B059B2" w:rsidRDefault="00902EF1" w:rsidP="0023402C">
            <w:pPr>
              <w:pStyle w:val="Normal6a"/>
            </w:pPr>
            <w:r w:rsidRPr="00B059B2">
              <w:rPr>
                <w:vertAlign w:val="superscript"/>
              </w:rPr>
              <w:t>47</w:t>
            </w:r>
            <w:r w:rsidRPr="00B059B2">
              <w:t xml:space="preserve"> Globálny technický predpis Organizácie Spojených národov o životnosti batérií vo vozidle pre elektrické vozidlá, GTP OSN 22.</w:t>
            </w:r>
          </w:p>
        </w:tc>
        <w:tc>
          <w:tcPr>
            <w:tcW w:w="4876" w:type="dxa"/>
          </w:tcPr>
          <w:p w:rsidR="00902EF1" w:rsidRPr="00B059B2" w:rsidRDefault="00902EF1" w:rsidP="0023402C">
            <w:pPr>
              <w:pStyle w:val="Normal6a"/>
            </w:pPr>
            <w:r w:rsidRPr="00B059B2">
              <w:rPr>
                <w:vertAlign w:val="superscript"/>
              </w:rPr>
              <w:t>47</w:t>
            </w:r>
            <w:r w:rsidRPr="00B059B2">
              <w:t xml:space="preserve"> Globálny technický predpis Organizácie Spojených národov o životnosti batérií vo vozidle pre elektrické vozidlá, GTP OSN 22.</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17</w:t>
      </w:r>
    </w:p>
    <w:p w:rsidR="00902EF1" w:rsidRPr="00B059B2" w:rsidRDefault="00902EF1" w:rsidP="00902EF1">
      <w:pPr>
        <w:pStyle w:val="NormalBold12b"/>
      </w:pPr>
      <w:r w:rsidRPr="00B059B2">
        <w:t>Návrh nariadenia</w:t>
      </w:r>
    </w:p>
    <w:p w:rsidR="00902EF1" w:rsidRPr="00B059B2" w:rsidRDefault="00902EF1" w:rsidP="00902EF1">
      <w:pPr>
        <w:pStyle w:val="NormalBold"/>
      </w:pPr>
      <w:r w:rsidRPr="00B059B2">
        <w:t>Odôvodnenie 14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(14a)</w:t>
            </w:r>
            <w:r w:rsidRPr="00B059B2">
              <w:tab/>
            </w:r>
            <w:r w:rsidRPr="00B059B2">
              <w:rPr>
                <w:b/>
                <w:i/>
              </w:rPr>
              <w:t>Zariadenia OBM, OBFCM alebo SOH používajú údaje generované vozidlom na monitorovanie jeho súladu s týmto nariadením.</w:t>
            </w:r>
            <w:r w:rsidRPr="00B059B2">
              <w:t xml:space="preserve"> </w:t>
            </w:r>
            <w:r w:rsidRPr="00B059B2">
              <w:rPr>
                <w:b/>
                <w:i/>
              </w:rPr>
              <w:t xml:space="preserve">Tie isté údaje by sa mali podľa aktu o údajoch poskytnúť používateľom vozidiel a ich poskytovateľom služieb, aby používatelia vozidiel mohli využívať poradenstvo a </w:t>
            </w:r>
            <w:r w:rsidRPr="00B059B2">
              <w:rPr>
                <w:b/>
                <w:i/>
              </w:rPr>
              <w:lastRenderedPageBreak/>
              <w:t>odporúčania týkajúce sa toho, ako obmedziť emisie vozidla, jeho spotrebu energie a predĺžiť životnosť batérie prostredníctvom lepšieho používania vozidla.</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18</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Odôvodnenie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(15)</w:t>
            </w:r>
            <w:r w:rsidRPr="00B059B2">
              <w:tab/>
              <w:t>Neoprávnené zasahovanie do vozidiel s cieľom odstrániť alebo deaktivovať časti systémov na reguláciu znečisťujúcich látok je známym problémom. Takáto prax vedie k nekontrolovaným emisiám a malo by sa jej predchádzať. Neoprávnené zasahovanie do počítadla kilometrov vedie k nesprávnemu počtu najazdených kilometrov a bráni riadnym kontrolám vozidla v prevádzke. Preto je mimoriadne dôležité zaručiť najvyššiu možnú bezpečnostnú ochranu týchto systémov, doplniť bezpečnostné certifikáty a primeranú ochranu proti neoprávneným zásahom, aby sa zabezpečilo, že do systémov na reguláciu znečisťujúcich látok ani počítadla kilometrov nemožno neoprávnene zasahovať.</w:t>
            </w:r>
          </w:p>
        </w:tc>
        <w:tc>
          <w:tcPr>
            <w:tcW w:w="4876" w:type="dxa"/>
          </w:tcPr>
          <w:p w:rsidR="00902EF1" w:rsidRPr="00B059B2" w:rsidRDefault="00902EF1" w:rsidP="0023402C">
            <w:pPr>
              <w:pStyle w:val="Normal6a"/>
            </w:pPr>
            <w:r w:rsidRPr="00B059B2">
              <w:t>(15)</w:t>
            </w:r>
            <w:r w:rsidRPr="00B059B2">
              <w:tab/>
              <w:t xml:space="preserve">Neoprávnené zasahovanie do vozidiel s cieľom odstrániť alebo deaktivovať časti systémov na reguláciu znečisťujúcich látok je známym problémom. Takáto prax vedie k nekontrolovaným emisiám a malo by sa jej predchádzať, </w:t>
            </w:r>
            <w:r w:rsidRPr="00B059B2">
              <w:rPr>
                <w:b/>
                <w:bCs/>
                <w:i/>
                <w:iCs/>
              </w:rPr>
              <w:t>a to aj opatreniami na zabránenie reklame na zariadenia na neoprávnené zasahovanie do vozidiel, ich predaju a inštalácii, a mala by sa sankcionovať</w:t>
            </w:r>
            <w:r w:rsidRPr="00B059B2">
              <w:t>. Neoprávnené zasahovanie do počítadla kilometrov vedie k nesprávnemu počtu najazdených kilometrov a bráni riadnym kontrolám vozidla v prevádzke. Preto je mimoriadne dôležité zaručiť najvyššiu možnú bezpečnostnú ochranu týchto systémov, doplniť bezpečnostné certifikáty a primeranú ochranu proti neoprávneným zásahom, aby sa zabezpečilo, že do systémov na reguláciu znečisťujúcich látok ani počítadla kilometrov nemožno neoprávnene zasahovať.</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19</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Odôvodnenie 15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(15a)</w:t>
            </w:r>
            <w:r w:rsidRPr="00B059B2">
              <w:tab/>
            </w:r>
            <w:r w:rsidRPr="00B059B2">
              <w:rPr>
                <w:b/>
                <w:i/>
              </w:rPr>
              <w:t xml:space="preserve">Aby opatrenia proti manipulácii neprimerane nebránili hospodárskej </w:t>
            </w:r>
            <w:r w:rsidRPr="00B059B2">
              <w:rPr>
                <w:b/>
                <w:i/>
              </w:rPr>
              <w:lastRenderedPageBreak/>
              <w:t>súťaži, toto nariadenie a jeho sekundárne právne predpisy by mali zachovať možnosť nezávislých prevádzkovateľov vyvíjať, distribuovať, inštalovať a aktivovať náhradné diely na trhu. Výrobcovia by preto mali zabezpečiť prístup nezávislým prevádzkovateľom prístup k nevyhnutným informáciám, nástrojom a postupom na vývoj a inštaláciu takýchto náhradných dielov.</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20</w:t>
      </w:r>
    </w:p>
    <w:p w:rsidR="00902EF1" w:rsidRPr="00B059B2" w:rsidRDefault="00902EF1" w:rsidP="00902EF1">
      <w:pPr>
        <w:pStyle w:val="NormalBold12b"/>
      </w:pPr>
      <w:r w:rsidRPr="00B059B2">
        <w:t>Návrh nariadenia</w:t>
      </w:r>
    </w:p>
    <w:p w:rsidR="00902EF1" w:rsidRPr="00B059B2" w:rsidRDefault="00902EF1" w:rsidP="00902EF1">
      <w:pPr>
        <w:pStyle w:val="NormalBold"/>
      </w:pPr>
      <w:r w:rsidRPr="00B059B2">
        <w:t>Odôvodnenie 16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(16)</w:t>
            </w:r>
            <w:r w:rsidRPr="00B059B2">
              <w:tab/>
              <w:t xml:space="preserve">Snímače nainštalované vo vozidlách sa už dnes používajú na zisťovanie anomálií v emisiách a vynucovanie súvisiacich opráv prostredníctvom palubného diagnostického systému (OBD). Systém OBD, ktorý sa v súčasnosti používa, však presne ani včas neodhalí poruchy a ani dostatočne a včas </w:t>
            </w:r>
            <w:r w:rsidRPr="00B059B2">
              <w:rPr>
                <w:b/>
                <w:bCs/>
                <w:i/>
                <w:iCs/>
              </w:rPr>
              <w:t>nevynucuje</w:t>
            </w:r>
            <w:r w:rsidRPr="00B059B2">
              <w:t xml:space="preserve"> opravy. V dôsledku toho je možné, že emisie vozidla sú oveľa vyššie, ako je povolené. Snímače, ktoré sa doteraz používali pre OBD, sa môžu používať aj na nepretržité monitorovanie a reguláciu emisného správania vozidiel prostredníctvom palubného monitorovacieho systému (OBM). Systém OBM takisto upozorní používateľa na potrebu vykonania opráv motora alebo systémov na reguláciu znečisťujúcich látok. Je preto vhodné vyžadovať, aby bol takýto systém namontovaný, a regulovať technické požiadavky, ktoré s ním súvisia.</w:t>
            </w:r>
          </w:p>
        </w:tc>
        <w:tc>
          <w:tcPr>
            <w:tcW w:w="4876" w:type="dxa"/>
          </w:tcPr>
          <w:p w:rsidR="00902EF1" w:rsidRPr="00B059B2" w:rsidRDefault="00902EF1" w:rsidP="0023402C">
            <w:pPr>
              <w:pStyle w:val="Normal6a"/>
            </w:pPr>
            <w:r w:rsidRPr="00B059B2">
              <w:t>(16)</w:t>
            </w:r>
            <w:r w:rsidRPr="00B059B2">
              <w:tab/>
              <w:t xml:space="preserve">Snímače nainštalované vo vozidlách sa už dnes používajú na zisťovanie anomálií v emisiách a vynucovanie súvisiacich opráv prostredníctvom palubného diagnostického systému (OBD). Systém OBD, ktorý sa v súčasnosti používa, však presne ani včas neodhalí poruchy a ani dostatočne a včas </w:t>
            </w:r>
            <w:r w:rsidRPr="00B059B2">
              <w:rPr>
                <w:b/>
                <w:bCs/>
                <w:i/>
                <w:iCs/>
              </w:rPr>
              <w:t>nevyžaduje</w:t>
            </w:r>
            <w:r w:rsidRPr="00B059B2">
              <w:t xml:space="preserve"> opravy. V dôsledku toho je možné, že emisie vozidla sú oveľa vyššie, ako je povolené. Snímače, ktoré sa doteraz používali pre OBD, sa môžu používať aj na nepretržité monitorovanie a reguláciu emisného správania, pokiaľ ide o </w:t>
            </w:r>
            <w:r w:rsidRPr="00B059B2">
              <w:rPr>
                <w:b/>
                <w:bCs/>
                <w:i/>
                <w:iCs/>
              </w:rPr>
              <w:t>výfukové</w:t>
            </w:r>
            <w:r w:rsidRPr="00B059B2">
              <w:t xml:space="preserve"> emisie vozidiel prostredníctvom palubného monitorovacieho systému (OBM). Systém OBM takisto upozorní používateľa na potrebu vykonania opráv motora alebo systémov na reguláciu znečisťujúcich látok. Je preto vhodné vyžadovať, aby bol takýto systém namontovaný, a regulovať technické požiadavky, ktoré s ním súvisia. </w:t>
            </w:r>
            <w:r w:rsidRPr="00B059B2">
              <w:rPr>
                <w:b/>
                <w:i/>
              </w:rPr>
              <w:t>Vynucovanie opatrení týmito systémami by nemalo viesť k ohrozeniu bezpečnosti cestnej premávky ani obmedzeniu pohyblivosti.</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21</w:t>
      </w:r>
    </w:p>
    <w:p w:rsidR="00902EF1" w:rsidRPr="00B059B2" w:rsidRDefault="00902EF1" w:rsidP="00902EF1">
      <w:pPr>
        <w:pStyle w:val="NormalBold12b"/>
      </w:pPr>
    </w:p>
    <w:p w:rsidR="00902EF1" w:rsidRPr="00B059B2" w:rsidRDefault="00902EF1" w:rsidP="00902EF1">
      <w:pPr>
        <w:pStyle w:val="NormalBold"/>
      </w:pPr>
      <w:r w:rsidRPr="00B059B2">
        <w:lastRenderedPageBreak/>
        <w:t>Návrh nariadenia</w:t>
      </w:r>
    </w:p>
    <w:p w:rsidR="00902EF1" w:rsidRPr="00B059B2" w:rsidRDefault="00902EF1" w:rsidP="00902EF1">
      <w:pPr>
        <w:pStyle w:val="NormalBold"/>
      </w:pPr>
      <w:r w:rsidRPr="00B059B2">
        <w:t>Odôvodnenie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(17)</w:t>
            </w:r>
            <w:r w:rsidRPr="00B059B2">
              <w:tab/>
            </w:r>
            <w:r w:rsidRPr="00B059B2">
              <w:rPr>
                <w:b/>
                <w:i/>
              </w:rPr>
              <w:t>Výrobcovia sa môžu rozhodnúť, že budú vyrábať vozidlá, ktoré spĺňajú nižšie emisné limity alebo majú lepšiu životnosť batérií, než sa vyžaduje v tomto nariadení, alebo ktoré zahŕňajú pokročilé možnosti vrátane geofencingu a adaptívnych funkcií regulácie. Spotrebitelia a vnútroštátne orgány by mali mať možnosť identifikovať takéto vozidlá prostredníctvom vhodnej dokumentácie.</w:t>
            </w:r>
            <w:r w:rsidRPr="00B059B2">
              <w:t xml:space="preserve"> Mal by sa </w:t>
            </w:r>
            <w:r w:rsidRPr="00B059B2">
              <w:rPr>
                <w:b/>
                <w:bCs/>
                <w:i/>
                <w:iCs/>
              </w:rPr>
              <w:t>preto</w:t>
            </w:r>
            <w:r w:rsidRPr="00B059B2">
              <w:t xml:space="preserve"> sprístupniť environmentálny pas vozidla (EVP).</w:t>
            </w:r>
          </w:p>
        </w:tc>
        <w:tc>
          <w:tcPr>
            <w:tcW w:w="4876" w:type="dxa"/>
          </w:tcPr>
          <w:p w:rsidR="00902EF1" w:rsidRPr="00B059B2" w:rsidRDefault="00902EF1" w:rsidP="0023402C">
            <w:pPr>
              <w:pStyle w:val="Normal6a"/>
            </w:pPr>
            <w:r w:rsidRPr="00B059B2">
              <w:t>(17)</w:t>
            </w:r>
            <w:r w:rsidRPr="00B059B2">
              <w:tab/>
            </w:r>
            <w:r w:rsidRPr="00B059B2">
              <w:rPr>
                <w:b/>
                <w:i/>
              </w:rPr>
              <w:t xml:space="preserve"> </w:t>
            </w:r>
            <w:r w:rsidRPr="00B059B2">
              <w:rPr>
                <w:b/>
                <w:bCs/>
                <w:i/>
                <w:iCs/>
              </w:rPr>
              <w:t>Spotrebiteľom</w:t>
            </w:r>
            <w:r w:rsidRPr="00B059B2">
              <w:t xml:space="preserve"> by mal sprístupniť environmentálny pas vozidla (EVP), </w:t>
            </w:r>
            <w:r w:rsidRPr="00B059B2">
              <w:rPr>
                <w:b/>
                <w:bCs/>
                <w:i/>
                <w:iCs/>
              </w:rPr>
              <w:t>aby mohli počas celej životnosti vozidla dostávať aktuálne informácie, ako sú spotreba paliva, technický stav batérií, emisné limity, výsledky pravidelných technických kontrol a údaje o technickom stave vozidla a ďalšie dôležité informácie.</w:t>
            </w:r>
            <w:r w:rsidRPr="00B059B2">
              <w:rPr>
                <w:b/>
                <w:i/>
              </w:rPr>
              <w:t xml:space="preserve"> </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22</w:t>
      </w:r>
    </w:p>
    <w:p w:rsidR="00902EF1" w:rsidRPr="00B059B2" w:rsidRDefault="00902EF1" w:rsidP="00902EF1">
      <w:pPr>
        <w:pStyle w:val="NormalBold12b"/>
      </w:pPr>
      <w:r w:rsidRPr="00B059B2">
        <w:t>Návrh nariadenia</w:t>
      </w:r>
    </w:p>
    <w:p w:rsidR="00902EF1" w:rsidRPr="00B059B2" w:rsidRDefault="00902EF1" w:rsidP="00902EF1">
      <w:pPr>
        <w:pStyle w:val="NormalBold"/>
      </w:pPr>
      <w:r w:rsidRPr="00B059B2">
        <w:t>Odôvodnenie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rPr>
                <w:b/>
                <w:i/>
              </w:rPr>
              <w:t>(18)</w:t>
            </w:r>
            <w:r w:rsidRPr="00B059B2">
              <w:tab/>
            </w:r>
            <w:r w:rsidRPr="00B059B2">
              <w:rPr>
                <w:b/>
                <w:i/>
              </w:rPr>
              <w:t>Ak Komisia predloží návrh na registráciu nových ľahkých vozidiel po roku 2035, ktoré využívajú výlučne palivá neutrálne z hľadiska CO</w:t>
            </w:r>
            <w:r w:rsidRPr="00B059B2">
              <w:rPr>
                <w:b/>
                <w:i/>
                <w:vertAlign w:val="subscript"/>
              </w:rPr>
              <w:t xml:space="preserve">2 </w:t>
            </w:r>
            <w:r w:rsidRPr="00B059B2">
              <w:rPr>
                <w:b/>
                <w:i/>
              </w:rPr>
              <w:t>mimo rozsahu pôsobnosti noriem pre vozový park CO</w:t>
            </w:r>
            <w:r w:rsidRPr="00B059B2">
              <w:rPr>
                <w:b/>
                <w:i/>
                <w:vertAlign w:val="subscript"/>
              </w:rPr>
              <w:t>2</w:t>
            </w:r>
            <w:r w:rsidRPr="00B059B2">
              <w:rPr>
                <w:b/>
                <w:i/>
              </w:rPr>
              <w:t>, a v súlade s právom Únie a cieľom klimatickej neutrality Únie, toto nariadenie bude potrebné zmeniť tak, aby zahŕňalo možnosť typového schvaľovania takýchto vozidiel.</w:t>
            </w:r>
          </w:p>
        </w:tc>
        <w:tc>
          <w:tcPr>
            <w:tcW w:w="4876" w:type="dxa"/>
          </w:tcPr>
          <w:p w:rsidR="00902EF1" w:rsidRPr="00B059B2" w:rsidRDefault="00902EF1" w:rsidP="0023402C">
            <w:pPr>
              <w:pStyle w:val="Normal6a"/>
            </w:pPr>
            <w:r w:rsidRPr="00B059B2">
              <w:rPr>
                <w:b/>
                <w:i/>
              </w:rPr>
              <w:t>vypúšťa sa</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23</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Odôvodnenie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(19)</w:t>
            </w:r>
            <w:r w:rsidRPr="00B059B2">
              <w:tab/>
              <w:t xml:space="preserve">Emisie z vozidiel predávaných výrobcami s malým objemom výroby predstavujú nepodstatnú časť emisií v Únii. V niektorých požiadavkách na takýchto výrobcov sa preto môže umožniť určitá </w:t>
            </w:r>
            <w:r w:rsidRPr="00B059B2">
              <w:lastRenderedPageBreak/>
              <w:t xml:space="preserve">flexibilita. Výrobcovia s malým objemom výroby by preto mali mať možnosť nahradiť určité skúšky počas typového schvaľovania vyhláseniami o zhode, zatiaľ čo výrobcovia s mimoriadne malým objemom výroby by mali mať možnosť používať laboratórne skúšky založené na </w:t>
            </w:r>
            <w:r w:rsidRPr="00B059B2">
              <w:rPr>
                <w:b/>
                <w:bCs/>
                <w:i/>
                <w:iCs/>
              </w:rPr>
              <w:t>náhodných</w:t>
            </w:r>
            <w:r w:rsidRPr="00B059B2">
              <w:t xml:space="preserve"> jazdných cykloch pri skutočnej jazde.</w:t>
            </w:r>
          </w:p>
        </w:tc>
        <w:tc>
          <w:tcPr>
            <w:tcW w:w="4876" w:type="dxa"/>
          </w:tcPr>
          <w:p w:rsidR="00902EF1" w:rsidRPr="00B059B2" w:rsidRDefault="00902EF1" w:rsidP="0023402C">
            <w:pPr>
              <w:pStyle w:val="Normal6a"/>
            </w:pPr>
            <w:r w:rsidRPr="00B059B2">
              <w:lastRenderedPageBreak/>
              <w:t>(19)</w:t>
            </w:r>
            <w:r w:rsidRPr="00B059B2">
              <w:tab/>
              <w:t xml:space="preserve">Emisie z vozidiel predávaných výrobcami s malým objemom výroby predstavujú nepodstatnú časť emisií v Únii. V niektorých požiadavkách na takýchto výrobcov sa preto môže umožniť určitá </w:t>
            </w:r>
            <w:r w:rsidRPr="00B059B2">
              <w:lastRenderedPageBreak/>
              <w:t xml:space="preserve">flexibilita. Výrobcovia s malým objemom výroby by preto mali mať možnosť nahradiť určité skúšky počas typového schvaľovania vyhláseniami o zhode, zatiaľ čo výrobcovia s mimoriadne malým objemom výroby by mali mať možnosť používať laboratórne skúšky založené na </w:t>
            </w:r>
            <w:r w:rsidRPr="00B059B2">
              <w:rPr>
                <w:b/>
                <w:bCs/>
                <w:i/>
                <w:iCs/>
              </w:rPr>
              <w:t>štatisticky významných</w:t>
            </w:r>
            <w:r w:rsidRPr="00B059B2">
              <w:t xml:space="preserve"> jazdných cykloch pri skutočnej jazde.</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24</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Odôvodnenie 20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(20a)</w:t>
            </w:r>
            <w:r w:rsidRPr="00B059B2">
              <w:tab/>
            </w:r>
            <w:r w:rsidRPr="00B059B2">
              <w:rPr>
                <w:b/>
                <w:i/>
              </w:rPr>
              <w:t>Zatiaľ čo pojem „zdravie“ (SOH) sa bežne používa na označenie zdravia batérie v danom momente jej životnosti, tento pojem nie je bežne vymedzený a určuje sa prostredníctvom rôznych metodík: „stav certifikovanej energie“ (SOCE) a „stav certifikovaného dojazdu“ (SOCR). Obe metriky predstavujú percentuálny podiel certifikovanej energie batérie alebo elektrického dojazdu zostávajúceho v danom časovom bode.</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25</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Odôvodnenie 21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(21)</w:t>
            </w:r>
            <w:r w:rsidRPr="00B059B2">
              <w:tab/>
              <w:t xml:space="preserve">S cieľom zabezpečiť jednotné podmienky vykonávania tohto nariadenia by sa mali na Komisiu preniesť vykonávacie právomoci, pokiaľ ide o povinnosti výrobcov ako súčasť typového schvaľovania a postupov, skúšok a metodík, ktoré sa majú uplatňovať na vyhlásenie o zhode, kontrolu zhody výroby, kontrolu zhody v prevádzke a environmentálny pas vozidla (EVP); </w:t>
            </w:r>
            <w:r w:rsidRPr="00B059B2">
              <w:lastRenderedPageBreak/>
              <w:t xml:space="preserve">možnosti </w:t>
            </w:r>
            <w:r w:rsidRPr="00B059B2">
              <w:rPr>
                <w:b/>
                <w:bCs/>
                <w:i/>
                <w:iCs/>
              </w:rPr>
              <w:t>a označenia</w:t>
            </w:r>
            <w:r w:rsidRPr="00B059B2">
              <w:t xml:space="preserve"> vozidiel; požiadavky, skúšky, metódy a nápravné opatrenia týkajúce sa životnosti vozidiel, systémov, komponentov a samostatných technických jednotiek, ako aj registračnej a komunikačnej schopnosti systémov OBM, a to aj na účely pravidelných technických kontrol a kontrol technického stavu; požiadavky a informácie, ktoré majú poskytovať </w:t>
            </w:r>
            <w:r w:rsidRPr="00B059B2">
              <w:rPr>
                <w:b/>
                <w:bCs/>
                <w:i/>
                <w:iCs/>
              </w:rPr>
              <w:t>výrobcovia</w:t>
            </w:r>
            <w:r w:rsidRPr="00B059B2">
              <w:t xml:space="preserve"> vozidiel vyrábaných vo viacerých stupňoch, ako aj postupy na určenie hodnoty CO</w:t>
            </w:r>
            <w:r w:rsidRPr="00B059B2">
              <w:rPr>
                <w:vertAlign w:val="subscript"/>
              </w:rPr>
              <w:t>2</w:t>
            </w:r>
            <w:r w:rsidRPr="00B059B2">
              <w:t xml:space="preserve"> týchto vozidiel vyrábaných vo viacerých stupňoch; technické prvky, administratívne a dokumentačné požiadavky na typové schvaľovanie vzhľadom na emisie, kontroly a inšpekcie a kontroly v rámci dohľadu nad trhom, ako aj oznamovacie povinnosti, kontroly zhody v prevádzke a zhody výroby; metódy a skúšky na i) meranie výfukových emisií v laboratóriu a na ceste, vrátane náhodných</w:t>
            </w:r>
            <w:r w:rsidRPr="00B059B2">
              <w:rPr>
                <w:b/>
                <w:bCs/>
                <w:i/>
                <w:iCs/>
              </w:rPr>
              <w:t xml:space="preserve"> a najhorších</w:t>
            </w:r>
            <w:r w:rsidRPr="00B059B2">
              <w:t xml:space="preserve"> skúšobných cyklov emisií pri skutočnej jazde, používanie prenosných systémov merania emisií pri skutočnej jazde a emisií pri voľnobežných otáčkach; ii) určenie emisií CO</w:t>
            </w:r>
            <w:r w:rsidRPr="00B059B2">
              <w:rPr>
                <w:vertAlign w:val="subscript"/>
              </w:rPr>
              <w:t>2</w:t>
            </w:r>
            <w:r w:rsidRPr="00B059B2">
              <w:t>, spotreby paliva a energie, dojazdu s nulovými emisiami, elektrického dojazdu a výkonu motora motorového vozidla; iii) stanovenie špecifikácií pre ukazovatele radenia prevodových stupňov (GSI); iv) určenie vplyvu prípojných vozidiel kategórie O</w:t>
            </w:r>
            <w:r w:rsidRPr="00B059B2">
              <w:rPr>
                <w:vertAlign w:val="subscript"/>
              </w:rPr>
              <w:t>3</w:t>
            </w:r>
            <w:r w:rsidRPr="00B059B2">
              <w:t>, O</w:t>
            </w:r>
            <w:r w:rsidRPr="00B059B2">
              <w:rPr>
                <w:vertAlign w:val="subscript"/>
              </w:rPr>
              <w:t>4</w:t>
            </w:r>
            <w:r w:rsidRPr="00B059B2">
              <w:t xml:space="preserve"> na emisie CO</w:t>
            </w:r>
            <w:r w:rsidRPr="00B059B2">
              <w:rPr>
                <w:vertAlign w:val="subscript"/>
              </w:rPr>
              <w:t>2</w:t>
            </w:r>
            <w:r w:rsidRPr="00B059B2">
              <w:t xml:space="preserve">, spotrebu paliva a energie, elektrický dojazd a výkon motora motorového vozidla; iv) meranie emisií z kľukovej skrine, emisií z odparovania, emisií z bŕzd; v) posúdenie súladu s minimálnymi výkonnostnými požiadavkami na životnosť batérie; vi) hodnotenie zhody vozidiel alebo motorov v prevádzke; prahové hodnoty zhody a výkonnostné požiadavky, ako aj vii) skúšky a metódy na zabezpečenie výkonu snímačov (OBD a OBM); viii) metódy na zabezpečenie a posúdenie bezpečnostných opatrení; špecifikácie a charakteristiky systémov varovania vodiča a metód podnecovania vodiča a posúdenie ich správneho fungovania; ix) metódy na posúdenie správnej prevádzky, účinnosti, </w:t>
            </w:r>
            <w:r w:rsidRPr="00B059B2">
              <w:lastRenderedPageBreak/>
              <w:t>regenerácie a životnosti pôvodných a náhradných systémov na reguláciu znečisťujúcich látok; x) metódy na zabezpečenie a posúdenie bezpečnostných opatrení vrátane analýzy zraniteľností a ochrany pred neoprávneným zasahovaním; xi)</w:t>
            </w:r>
            <w:r w:rsidRPr="00B059B2">
              <w:rPr>
                <w:b/>
                <w:i/>
              </w:rPr>
              <w:t xml:space="preserve"> metódy na posúdenie správneho fungovania typov schválených podľa osobitných označení EURO7; </w:t>
            </w:r>
            <w:r w:rsidRPr="00B059B2">
              <w:t xml:space="preserve">xii) kritériá pre typové schválenia vzhľadom na emisie pre výrobcov s malým a veľmi malým objemom výroby; xiii) kontroly a skúšobné postupy pre vozidlá vyrábané vo viacerých stupňoch; xiv) výkonnostné požiadavky na skúšobné vybavenie; xv) špecifikácie referenčných palív; a xvi) metódy na overenie neexistencie rušiacich zariadení a rušiacich stratégií; xvii) meranie oderu pneumatík, ako aj xviii) formát, údaje a spôsob oznamovania údajov EVP. </w:t>
            </w:r>
            <w:r w:rsidRPr="00B059B2">
              <w:rPr>
                <w:b/>
                <w:i/>
              </w:rPr>
              <w:t>Uvedené právomoci by sa mali vykonávať v súlade s nariadením Európskeho parlamentu a Rady (EÚ) č. 182/2011</w:t>
            </w:r>
            <w:r w:rsidRPr="00B059B2">
              <w:rPr>
                <w:b/>
                <w:i/>
                <w:vertAlign w:val="superscript"/>
              </w:rPr>
              <w:t>50</w:t>
            </w:r>
            <w:r w:rsidRPr="00B059B2">
              <w:rPr>
                <w:b/>
                <w:i/>
              </w:rPr>
              <w:t>.</w:t>
            </w:r>
          </w:p>
        </w:tc>
        <w:tc>
          <w:tcPr>
            <w:tcW w:w="4876" w:type="dxa"/>
          </w:tcPr>
          <w:p w:rsidR="00902EF1" w:rsidRPr="00B059B2" w:rsidRDefault="00902EF1" w:rsidP="0023402C">
            <w:pPr>
              <w:pStyle w:val="Normal6a"/>
            </w:pPr>
            <w:r w:rsidRPr="00B059B2">
              <w:lastRenderedPageBreak/>
              <w:t>(21)</w:t>
            </w:r>
            <w:r w:rsidRPr="00B059B2">
              <w:tab/>
              <w:t xml:space="preserve">S cieľom zabezpečiť jednotné podmienky vykonávania tohto nariadenia </w:t>
            </w:r>
            <w:r w:rsidRPr="00B059B2">
              <w:rPr>
                <w:b/>
                <w:bCs/>
                <w:i/>
                <w:iCs/>
              </w:rPr>
              <w:t>a s cieľom doplniť ho</w:t>
            </w:r>
            <w:r w:rsidRPr="00B059B2">
              <w:t xml:space="preserve"> by sa mali na Komisiu preniesť vykonávacie právomoci </w:t>
            </w:r>
            <w:r w:rsidRPr="00B059B2">
              <w:rPr>
                <w:b/>
                <w:bCs/>
                <w:i/>
                <w:iCs/>
              </w:rPr>
              <w:t xml:space="preserve">v súlade s nariadením (EÚ) č. 182/2011, ako aj právomoc prijímať delegované akty v súlade s článkom 290 Zmluvy o fungovaní Európskej únie, </w:t>
            </w:r>
            <w:r w:rsidRPr="00B059B2">
              <w:t xml:space="preserve">pokiaľ ide o povinnosti výrobcov ako súčasť typového schvaľovania a postupov, skúšok a </w:t>
            </w:r>
            <w:r w:rsidRPr="00B059B2">
              <w:lastRenderedPageBreak/>
              <w:t xml:space="preserve">metodík, ktoré sa majú uplatňovať na vyhlásenie o zhode, kontrolu zhody výroby, kontrolu zhody v prevádzke a environmentálny pas vozidla (EVP); možnosti vozidiel; požiadavky, skúšky, metódy a nápravné opatrenia týkajúce sa životnosti vozidiel, systémov, komponentov a samostatných technických jednotiek, ako aj registračnej a komunikačnej schopnosti systémov OBM, a to aj na účely pravidelných technických kontrol a kontrol technického stavu; požiadavky a informácie, ktoré sa majú poskytovať </w:t>
            </w:r>
            <w:r w:rsidRPr="00B059B2">
              <w:rPr>
                <w:b/>
                <w:bCs/>
                <w:i/>
                <w:iCs/>
              </w:rPr>
              <w:t>pre</w:t>
            </w:r>
            <w:r w:rsidRPr="00B059B2">
              <w:t xml:space="preserve"> vozidlá vyrábané vo viacerých stupňoch, ako aj postupy na určenie hodnoty CO</w:t>
            </w:r>
            <w:r w:rsidRPr="00B059B2">
              <w:rPr>
                <w:vertAlign w:val="subscript"/>
              </w:rPr>
              <w:t>2</w:t>
            </w:r>
            <w:r w:rsidRPr="00B059B2">
              <w:t xml:space="preserve"> týchto vozidiel vyrábaných vo viacerých stupňoch; technické prvky, administratívne a dokumentačné požiadavky na typové schvaľovanie vzhľadom na emisie, kontroly a inšpekcie a kontroly v rámci dohľadu nad trhom, ako aj oznamovacie povinnosti, kontroly zhody v prevádzke a zhody výroby; metódy a skúšky na i) meranie výfukových emisií v laboratóriu a na ceste, vrátane náhodných</w:t>
            </w:r>
            <w:r w:rsidRPr="00B059B2">
              <w:rPr>
                <w:b/>
                <w:bCs/>
              </w:rPr>
              <w:t>,</w:t>
            </w:r>
            <w:r w:rsidRPr="00B059B2">
              <w:rPr>
                <w:b/>
                <w:bCs/>
                <w:i/>
                <w:iCs/>
              </w:rPr>
              <w:t xml:space="preserve"> ale štatisticky relevantných</w:t>
            </w:r>
            <w:r w:rsidRPr="00B059B2">
              <w:t xml:space="preserve"> skúšobných cyklov emisií pri skutočnej jazde, používanie prenosných systémov merania emisií pri skutočnej jazde a emisií pri voľnobežných otáčkach; ii) určenie emisií CO</w:t>
            </w:r>
            <w:r w:rsidRPr="00B059B2">
              <w:rPr>
                <w:vertAlign w:val="subscript"/>
              </w:rPr>
              <w:t>2</w:t>
            </w:r>
            <w:r w:rsidRPr="00B059B2">
              <w:t>, spotreby paliva a energie, dojazdu s nulovými emisiami, elektrického dojazdu a výkonu motora motorového vozidla; iii) stanovenie špecifikácií pre ukazovatele radenia prevodových stupňov (GSI); iv) určenie vplyvu prípojných vozidiel kategórie O</w:t>
            </w:r>
            <w:r w:rsidRPr="00B059B2">
              <w:rPr>
                <w:vertAlign w:val="subscript"/>
              </w:rPr>
              <w:t>3</w:t>
            </w:r>
            <w:r w:rsidRPr="00B059B2">
              <w:t>, O</w:t>
            </w:r>
            <w:r w:rsidRPr="00B059B2">
              <w:rPr>
                <w:vertAlign w:val="subscript"/>
              </w:rPr>
              <w:t>4</w:t>
            </w:r>
            <w:r w:rsidRPr="00B059B2">
              <w:t xml:space="preserve"> na emisie CO</w:t>
            </w:r>
            <w:r w:rsidRPr="00B059B2">
              <w:rPr>
                <w:vertAlign w:val="subscript"/>
              </w:rPr>
              <w:t>2</w:t>
            </w:r>
            <w:r w:rsidRPr="00B059B2">
              <w:t xml:space="preserve">, spotrebu paliva a energie, elektrický dojazd a výkon motora motorového vozidla; iv) meranie emisií z kľukovej skrine, emisií z odparovania </w:t>
            </w:r>
            <w:r w:rsidRPr="00B059B2">
              <w:rPr>
                <w:b/>
                <w:bCs/>
                <w:i/>
                <w:iCs/>
              </w:rPr>
              <w:t>a</w:t>
            </w:r>
            <w:r w:rsidRPr="00B059B2">
              <w:t xml:space="preserve"> emisií z bŕzd; v) posúdenie súladu s minimálnymi výkonnostnými požiadavkami na životnosť batérie; vi) hodnotenie zhody vozidiel alebo motorov v prevádzke; prahové hodnoty zhody a výkonnostné požiadavky, ako aj vii) skúšky a metódy na zabezpečenie výkonu snímačov OBD a OBM; viii) metódy na zabezpečenie a posúdenie bezpečnostných </w:t>
            </w:r>
            <w:r w:rsidRPr="00B059B2">
              <w:lastRenderedPageBreak/>
              <w:t>opatrení; špecifikácie a charakteristiky systémov varovania vodiča a metód podnecovania vodiča a posúdenie ich správneho fungovania; ix) metódy na posúdenie správnej prevádzky, účinnosti, regenerácie a životnosti pôvodných a náhradných systémov na reguláciu znečisťujúcich látok; x) metódy na zabezpečenie a posúdenie bezpečnostných opatrení vrátane analýzy zraniteľností a ochrany pred neoprávneným zasahovaním; xii) kritériá pre typové schválenia vzhľadom na emisie pre výrobcov s malým a veľmi malým objemom výroby; xiii) kontroly a skúšobné postupy pre vozidlá vyrábané vo viacerých stupňoch; xiv) výkonnostné požiadavky na skúšobné vybavenie; xv) špecifikácie referenčných palív; a xvi) metódy na overenie neexistencie rušiacich zariadení a rušiacich stratégií; xvii) meranie oderu pneumatík, ako aj xviii) formát, údaje a spôsob oznamovania údajov EVP.</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26</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Odôvodnenie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(22)</w:t>
            </w:r>
            <w:r w:rsidRPr="00B059B2">
              <w:tab/>
              <w:t xml:space="preserve">S cieľom podľa potreby zmeniť alebo doplniť nepodstatné prvky tohto nariadenia by sa mala na Komisiu delegovať právomoc prijímať akty v súlade s článkom 290 Zmluvy o fungovaní Európskej únie, pokiaľ ide o skúšobné podmienky na základe údajov zhromaždených pri skúškach vozidiel, bŕzd alebo pneumatík podľa normy Euro 7; požiadavky na skúšky, najmä s prihliadnutím na technický pokrok a údaje zhromaždené pri skúšaní vozidiel podľa normy Euro 7; </w:t>
            </w:r>
            <w:r w:rsidRPr="00B059B2">
              <w:rPr>
                <w:b/>
                <w:bCs/>
                <w:i/>
                <w:iCs/>
              </w:rPr>
              <w:t>zavedenie voliteľnej výbavy vozidiel a označovania na základe inovatívnych technológií pre výrobcov, ale aj</w:t>
            </w:r>
            <w:r w:rsidRPr="00B059B2">
              <w:rPr>
                <w:b/>
                <w:bCs/>
              </w:rPr>
              <w:t xml:space="preserve"> </w:t>
            </w:r>
            <w:r w:rsidRPr="00B059B2">
              <w:t xml:space="preserve">stanovenie limitov pre emisie častíc </w:t>
            </w:r>
            <w:r w:rsidRPr="00B059B2">
              <w:lastRenderedPageBreak/>
              <w:t xml:space="preserve">z bŕzd a limitov oderu pre typy pneumatík, ako aj minimálnych výkonnostných požiadaviek na batérie a multiplikačných faktorov pre životnosť na základe údajov získaných pri skúšaní vozidiel podľa normy Euro 7, a stanovenie </w:t>
            </w:r>
            <w:r w:rsidRPr="00B059B2">
              <w:rPr>
                <w:b/>
                <w:bCs/>
                <w:i/>
                <w:iCs/>
              </w:rPr>
              <w:t>definícií a </w:t>
            </w:r>
            <w:r w:rsidRPr="00B059B2">
              <w:t>osobitných pravidiel pre výrobcov s malým objemom výroby pre vozidlá kategórie M</w:t>
            </w:r>
            <w:r w:rsidRPr="00B059B2">
              <w:rPr>
                <w:vertAlign w:val="subscript"/>
              </w:rPr>
              <w:t>2</w:t>
            </w:r>
            <w:r w:rsidRPr="00B059B2">
              <w:t>, M</w:t>
            </w:r>
            <w:r w:rsidRPr="00B059B2">
              <w:rPr>
                <w:vertAlign w:val="subscript"/>
              </w:rPr>
              <w:t>3</w:t>
            </w:r>
            <w:r w:rsidRPr="00B059B2">
              <w:t>, N</w:t>
            </w:r>
            <w:r w:rsidRPr="00B059B2">
              <w:rPr>
                <w:vertAlign w:val="subscript"/>
              </w:rPr>
              <w:t>2</w:t>
            </w:r>
            <w:r w:rsidRPr="00B059B2">
              <w:t>, N</w:t>
            </w:r>
            <w:r w:rsidRPr="00B059B2">
              <w:rPr>
                <w:vertAlign w:val="subscript"/>
              </w:rPr>
              <w:t>3</w:t>
            </w:r>
            <w:r w:rsidRPr="00B059B2">
              <w:t>. Je osobitne dôležité, aby Komisia počas prípravných prác uskutočnila príslušné konzultácie, a to aj na úrovni expertov, a aby tieto konzultácie vykonávala v súlade so zásadami stanovenými v Medziinštitucionálnej dohode z 13. apríla 2016 o lepšej tvorbe práva</w:t>
            </w:r>
            <w:r w:rsidRPr="00B059B2">
              <w:rPr>
                <w:vertAlign w:val="superscript"/>
              </w:rPr>
              <w:t>51</w:t>
            </w:r>
            <w:r w:rsidRPr="00B059B2">
              <w:t>. Predovšetkým, v záujme rovnakého zastúpenia pri príprave delegovaných aktov, sa všetky dokumenty doručujú Európskemu parlamentu a Rade v rovnakom čase ako expertom z členských štátov, a experti Európskeho parlamentu a Rady majú systematický prístup na zasadnutia skupín expertov Komisie, ktoré sa zaoberajú prípravou delegovaných aktov.</w:t>
            </w:r>
          </w:p>
        </w:tc>
        <w:tc>
          <w:tcPr>
            <w:tcW w:w="4876" w:type="dxa"/>
          </w:tcPr>
          <w:p w:rsidR="00902EF1" w:rsidRPr="00B059B2" w:rsidRDefault="00902EF1" w:rsidP="0023402C">
            <w:pPr>
              <w:pStyle w:val="Normal6a"/>
            </w:pPr>
            <w:r w:rsidRPr="00B059B2">
              <w:lastRenderedPageBreak/>
              <w:t>(22)</w:t>
            </w:r>
            <w:r w:rsidRPr="00B059B2">
              <w:tab/>
              <w:t xml:space="preserve">S cieľom podľa potreby zmeniť alebo doplniť nepodstatné prvky tohto nariadenia by sa mala na Komisiu delegovať právomoc prijímať akty v súlade s článkom 290 Zmluvy o fungovaní Európskej únie, pokiaľ ide o skúšobné podmienky na základe údajov zhromaždených pri skúškach vozidiel, bŕzd alebo pneumatík podľa normy Euro 7; požiadavky na skúšky, najmä s prihliadnutím na technický pokrok a údaje zhromaždené pri skúšaní vozidiel podľa normy Euro 7; stanovenie limitov pre emisie častíc z bŕzd a limitov oderu pre typy pneumatík, ako aj minimálnych výkonnostných požiadaviek na batérie </w:t>
            </w:r>
            <w:r w:rsidRPr="00B059B2">
              <w:lastRenderedPageBreak/>
              <w:t>a multiplikačných faktorov pre životnosť na základe údajov získaných pri skúšaní vozidiel podľa normy Euro 7, a stanovenie osobitných pravidiel pre výrobcov s malým objemom výroby pre vozidlá kategórie M</w:t>
            </w:r>
            <w:r w:rsidRPr="00B059B2">
              <w:rPr>
                <w:vertAlign w:val="subscript"/>
              </w:rPr>
              <w:t>2</w:t>
            </w:r>
            <w:r w:rsidRPr="00B059B2">
              <w:t>, M</w:t>
            </w:r>
            <w:r w:rsidRPr="00B059B2">
              <w:rPr>
                <w:vertAlign w:val="subscript"/>
              </w:rPr>
              <w:t>3</w:t>
            </w:r>
            <w:r w:rsidRPr="00B059B2">
              <w:t>, N</w:t>
            </w:r>
            <w:r w:rsidRPr="00B059B2">
              <w:rPr>
                <w:vertAlign w:val="subscript"/>
              </w:rPr>
              <w:t>2</w:t>
            </w:r>
            <w:r w:rsidRPr="00B059B2">
              <w:t>, N</w:t>
            </w:r>
            <w:r w:rsidRPr="00B059B2">
              <w:rPr>
                <w:vertAlign w:val="subscript"/>
              </w:rPr>
              <w:t>3</w:t>
            </w:r>
            <w:r w:rsidRPr="00B059B2">
              <w:t>. Je osobitne dôležité, aby Komisia počas prípravných prác uskutočnila príslušné konzultácie, a to aj na úrovni expertov, a aby tieto konzultácie vykonávala v súlade so zásadami stanovenými v Medziinštitucionálnej dohode z 13. apríla 2016 o lepšej tvorbe práva</w:t>
            </w:r>
            <w:r w:rsidRPr="00B059B2">
              <w:rPr>
                <w:vertAlign w:val="superscript"/>
              </w:rPr>
              <w:t>51</w:t>
            </w:r>
            <w:r w:rsidRPr="00B059B2">
              <w:t>. Predovšetkým, v záujme rovnakého zastúpenia pri príprave delegovaných aktov, sa všetky dokumenty doručujú Európskemu parlamentu a Rade v rovnakom čase ako expertom z členských štátov, a experti Európskeho parlamentu a Rady majú systematický prístup na zasadnutia skupín expertov Komisie, ktoré sa zaoberajú prípravou delegovaných aktov.</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27</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Odôvodnenie 22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(22a)</w:t>
            </w:r>
            <w:r w:rsidRPr="00B059B2">
              <w:tab/>
            </w:r>
            <w:r w:rsidRPr="00B059B2">
              <w:rPr>
                <w:b/>
                <w:i/>
              </w:rPr>
              <w:t xml:space="preserve">Únia je signatárom Dohody Európskej hospodárskej komisie Organizácie Spojených národov (EHK OSN) z 20. marca 1958. Táto dohoda sa týka štandardizácie technických špecifikácií pre kolesové vozidlá, ich súvisiace vybavenie a komponenty, ktoré môžu byť namontované na kolesových vozidlách alebo s nimi používané. Okrem toho sa v nej stanovujú podmienky vzájomného uznávania udelených schválení na základe týchto špecifikácií. Požiadavky stanovené v tomto nariadení by sa mali v prípade potreby zosúladiť s </w:t>
            </w:r>
            <w:r w:rsidRPr="00B059B2">
              <w:rPr>
                <w:b/>
                <w:i/>
              </w:rPr>
              <w:lastRenderedPageBreak/>
              <w:t>normami stanovenými v predpisoch EHK OSN alebo v akýchkoľvek následných zmenách tohto nariadenia, ak sú k dispozícii, najmä pokiaľ ide o limity emisií častíc z bŕzd, limity pre typy pneumatík týkajúce sa oderu a stanovenie minimálnych výkonnostných kritérií pre batérie.</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28</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Odôvodnenie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(25)</w:t>
            </w:r>
            <w:r w:rsidRPr="00B059B2">
              <w:tab/>
              <w:t xml:space="preserve">Je dôležité poskytnúť členským štátom, vnútroštátnym schvaľovacím úradom a hospodárskym subjektom dostatok času na prípravu na uplatňovanie nových pravidiel zavedených týmto nariadením. Dátum uplatňovania by sa preto mal odložiť. Zatiaľ čo v prípade ľahkých vozidiel by mal byť dátum začatia uplatňovania čo najskôr, v prípade ťažkých vozidiel a prípojných vozidiel by sa dátum uplatňovania mohol odložiť o ďalšie </w:t>
            </w:r>
            <w:r w:rsidRPr="00B059B2">
              <w:rPr>
                <w:b/>
                <w:bCs/>
                <w:i/>
                <w:iCs/>
              </w:rPr>
              <w:t>dva roky</w:t>
            </w:r>
            <w:r w:rsidRPr="00B059B2">
              <w:t>, keďže prechod na vozidlá s nulovými emisiami bude v prípade ťažkých úžitkových vozidiel dlhší.</w:t>
            </w:r>
          </w:p>
        </w:tc>
        <w:tc>
          <w:tcPr>
            <w:tcW w:w="4876" w:type="dxa"/>
          </w:tcPr>
          <w:p w:rsidR="00902EF1" w:rsidRPr="00B059B2" w:rsidRDefault="00902EF1" w:rsidP="0023402C">
            <w:pPr>
              <w:pStyle w:val="Normal6a"/>
            </w:pPr>
            <w:r w:rsidRPr="00B059B2">
              <w:t>(25)</w:t>
            </w:r>
            <w:r w:rsidRPr="00B059B2">
              <w:tab/>
              <w:t xml:space="preserve">Je dôležité poskytnúť členským štátom, vnútroštátnym schvaľovacím úradom a hospodárskym subjektom dostatok času na prípravu na uplatňovanie nových pravidiel zavedených týmto nariadením </w:t>
            </w:r>
            <w:r w:rsidRPr="00B059B2">
              <w:rPr>
                <w:b/>
                <w:bCs/>
                <w:i/>
                <w:iCs/>
              </w:rPr>
              <w:t>a jeho sekundárnymi právnymi predpismi</w:t>
            </w:r>
            <w:r w:rsidRPr="00B059B2">
              <w:t xml:space="preserve">. Dátum uplatňovania by sa preto mal odložiť. Zatiaľ čo v prípade ľahkých vozidiel by mal byť dátum začatia uplatňovania </w:t>
            </w:r>
            <w:r w:rsidRPr="00B059B2">
              <w:rPr>
                <w:b/>
                <w:bCs/>
                <w:i/>
                <w:iCs/>
              </w:rPr>
              <w:t>z ekonomického hľadiska</w:t>
            </w:r>
            <w:r w:rsidRPr="00B059B2">
              <w:t xml:space="preserve"> čo najskôr, v prípade ťažkých vozidiel a prípojných vozidiel by sa dátum uplatňovania mohol odložiť, keďže prechod na vozidlá s nulovými emisiami bude v prípade ťažkých úžitkových vozidiel dlhší.</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29</w:t>
      </w:r>
    </w:p>
    <w:p w:rsidR="00902EF1" w:rsidRPr="00B059B2" w:rsidRDefault="00902EF1" w:rsidP="00902EF1"/>
    <w:p w:rsidR="00902EF1" w:rsidRPr="00B059B2" w:rsidRDefault="00902EF1" w:rsidP="00902EF1">
      <w:pPr>
        <w:pStyle w:val="NormalBold"/>
        <w:keepNext/>
      </w:pPr>
      <w:r w:rsidRPr="00B059B2">
        <w:t>Návrh nariadenia</w:t>
      </w:r>
    </w:p>
    <w:p w:rsidR="00902EF1" w:rsidRPr="00B059B2" w:rsidRDefault="00902EF1" w:rsidP="00902EF1">
      <w:pPr>
        <w:pStyle w:val="NormalBold"/>
      </w:pPr>
      <w:r w:rsidRPr="00B059B2">
        <w:t>Odôvodnenie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jc w:val="center"/>
        </w:trPr>
        <w:tc>
          <w:tcPr>
            <w:tcW w:w="9752" w:type="dxa"/>
            <w:gridSpan w:val="2"/>
          </w:tcPr>
          <w:p w:rsidR="00902EF1" w:rsidRPr="00B059B2" w:rsidRDefault="00902EF1" w:rsidP="0023402C">
            <w:pPr>
              <w:keepNext/>
            </w:pPr>
          </w:p>
        </w:tc>
      </w:tr>
      <w:tr w:rsidR="00902EF1" w:rsidRPr="00B059B2" w:rsidTr="0023402C">
        <w:trPr>
          <w:jc w:val="center"/>
        </w:trPr>
        <w:tc>
          <w:tcPr>
            <w:tcW w:w="4876" w:type="dxa"/>
            <w:hideMark/>
          </w:tcPr>
          <w:p w:rsidR="00902EF1" w:rsidRPr="00B059B2" w:rsidRDefault="00902EF1" w:rsidP="0023402C">
            <w:pPr>
              <w:pStyle w:val="ColumnHeading"/>
              <w:keepNext/>
            </w:pPr>
            <w:r w:rsidRPr="00B059B2">
              <w:t>Text predložený Komisiou</w:t>
            </w:r>
          </w:p>
        </w:tc>
        <w:tc>
          <w:tcPr>
            <w:tcW w:w="4876" w:type="dxa"/>
            <w:hideMark/>
          </w:tcPr>
          <w:p w:rsidR="00902EF1" w:rsidRPr="00B059B2" w:rsidRDefault="00902EF1" w:rsidP="0023402C">
            <w:pPr>
              <w:pStyle w:val="ColumnHeading"/>
              <w:keepNext/>
            </w:pPr>
            <w:r w:rsidRPr="00B059B2">
              <w:t>Pozmeňujúci návrh</w:t>
            </w:r>
          </w:p>
        </w:tc>
      </w:tr>
      <w:tr w:rsidR="00902EF1" w:rsidRPr="00B059B2" w:rsidTr="0023402C">
        <w:trPr>
          <w:jc w:val="center"/>
        </w:trPr>
        <w:tc>
          <w:tcPr>
            <w:tcW w:w="4876" w:type="dxa"/>
            <w:hideMark/>
          </w:tcPr>
          <w:p w:rsidR="00902EF1" w:rsidRPr="00B059B2" w:rsidRDefault="00902EF1" w:rsidP="0023402C">
            <w:pPr>
              <w:pStyle w:val="Normal6"/>
            </w:pPr>
            <w:r w:rsidRPr="00B059B2">
              <w:t>(26)</w:t>
            </w:r>
            <w:r w:rsidRPr="00B059B2">
              <w:tab/>
              <w:t xml:space="preserve">Keďže ciele tohto nariadenia – stanovenie harmonizovaných pravidiel pre administratívne a technické požiadavky na typové schvaľovanie vozidiel kategórií M a N a systémov, komponentov a samostatných technických jednotiek a dohľad nad trhom s týmito vozidlami, </w:t>
            </w:r>
            <w:r w:rsidRPr="00B059B2">
              <w:lastRenderedPageBreak/>
              <w:t>systémami, komponentmi a samostatnými technickými jednotkami – nie je s ohľadom na emisie možné uspokojivo dosiahnuť na úrovni členských štátov, ale vzhľadom na ich rozsah a dôsledky ich možno lepšie dosiahnuť na úrovni Únie, môže Únia prijať opatrenia v súlade so zásadou subsidiarity podľa článku 5 Zmluvy o Európskej únii. V súlade so zásadou proporcionality podľa uvedeného článku toto nariadenie neprekračuje rámec nevyhnutný na dosiahnutie týchto cieľov.</w:t>
            </w:r>
          </w:p>
        </w:tc>
        <w:tc>
          <w:tcPr>
            <w:tcW w:w="4876" w:type="dxa"/>
            <w:hideMark/>
          </w:tcPr>
          <w:p w:rsidR="00902EF1" w:rsidRPr="00B059B2" w:rsidRDefault="00902EF1" w:rsidP="0023402C">
            <w:pPr>
              <w:pStyle w:val="Normal6"/>
              <w:rPr>
                <w:szCs w:val="24"/>
              </w:rPr>
            </w:pPr>
            <w:r w:rsidRPr="00B059B2">
              <w:lastRenderedPageBreak/>
              <w:t>(26)</w:t>
            </w:r>
            <w:r w:rsidRPr="00B059B2">
              <w:tab/>
              <w:t xml:space="preserve">Keďže ciele tohto nariadenia – stanovenie harmonizovaných pravidiel pre administratívne a technické požiadavky na typové schvaľovanie vozidiel kategórií M a N a systémov, komponentov a samostatných technických jednotiek a dohľad nad trhom s týmito vozidlami, </w:t>
            </w:r>
            <w:r w:rsidRPr="00B059B2">
              <w:lastRenderedPageBreak/>
              <w:t xml:space="preserve">systémami, komponentmi a samostatnými technickými jednotkami – nie je s ohľadom na emisie, </w:t>
            </w:r>
            <w:r w:rsidRPr="00B059B2">
              <w:rPr>
                <w:b/>
                <w:bCs/>
                <w:i/>
                <w:iCs/>
              </w:rPr>
              <w:t>ako aj na dosiahnutie vysokej úrovne ochrany životného prostredia a zdravia,</w:t>
            </w:r>
            <w:r w:rsidRPr="00B059B2">
              <w:t xml:space="preserve"> možné uspokojivo dosiahnuť na úrovni členských štátov, ale vzhľadom na ich rozsah a dôsledky ich možno lepšie dosiahnuť na úrovni Únie, môže Únia prijať opatrenia v súlade so zásadou subsidiarity podľa článku 5 Zmluvy o Európskej únii. V súlade so zásadou proporcionality podľa uvedeného článku toto nariadenie neprekračuje rámec nevyhnutný na dosiahnutie týchto cieľov.</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30</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2.</w:t>
            </w:r>
            <w:r w:rsidRPr="00B059B2">
              <w:tab/>
              <w:t>Týmto nariadením sa stanovujú pravidlá pre počiatočné typové schválenie vzhľadom na emisie, zhodu výroby, zhodu v prevádzke, dohľad nad trhom, životnosť systémov na reguláciu znečisťujúcich látok a trakčných batérií, palubné monitorovacie systémy, bezpečnostné ustanovenia na obmedzenie neoprávnených zásahov a opatrenia v oblasti kybernetickej bezpečnosti a presné určenie emisií CO</w:t>
            </w:r>
            <w:r w:rsidRPr="00B059B2">
              <w:rPr>
                <w:vertAlign w:val="subscript"/>
              </w:rPr>
              <w:t>2</w:t>
            </w:r>
            <w:r w:rsidRPr="00B059B2">
              <w:t>, elektrického dojazdu, spotreby paliva a energie a energetickej efektívnosti.</w:t>
            </w:r>
          </w:p>
        </w:tc>
        <w:tc>
          <w:tcPr>
            <w:tcW w:w="4876" w:type="dxa"/>
          </w:tcPr>
          <w:p w:rsidR="00902EF1" w:rsidRPr="00B059B2" w:rsidRDefault="00902EF1" w:rsidP="0023402C">
            <w:pPr>
              <w:pStyle w:val="Normal6a"/>
            </w:pPr>
            <w:r w:rsidRPr="00B059B2">
              <w:t>2.</w:t>
            </w:r>
            <w:r w:rsidRPr="00B059B2">
              <w:tab/>
              <w:t xml:space="preserve">Týmto nariadením sa </w:t>
            </w:r>
            <w:r w:rsidRPr="00B059B2">
              <w:rPr>
                <w:b/>
                <w:bCs/>
                <w:i/>
                <w:iCs/>
              </w:rPr>
              <w:t>navyše</w:t>
            </w:r>
            <w:r w:rsidRPr="00B059B2">
              <w:t xml:space="preserve"> stanovujú pravidlá pre počiatočné typové schválenie vzhľadom na emisie, zhodu výroby, zhodu v prevádzke, dohľad nad trhom, životnosť systémov na reguláciu znečisťujúcich látok a trakčných batérií, palubné monitorovacie systémy, bezpečnostné ustanovenia na obmedzenie neoprávnených zásahov a opatrenia v oblasti kybernetickej bezpečnosti a presné určenie emisií CO</w:t>
            </w:r>
            <w:r w:rsidRPr="00B059B2">
              <w:rPr>
                <w:vertAlign w:val="subscript"/>
              </w:rPr>
              <w:t>2</w:t>
            </w:r>
            <w:r w:rsidRPr="00B059B2">
              <w:t xml:space="preserve"> </w:t>
            </w:r>
            <w:r w:rsidRPr="00B059B2">
              <w:rPr>
                <w:b/>
                <w:bCs/>
                <w:i/>
                <w:iCs/>
              </w:rPr>
              <w:t>a znečisťujúcich</w:t>
            </w:r>
            <w:r w:rsidRPr="00B059B2">
              <w:rPr>
                <w:b/>
                <w:bCs/>
              </w:rPr>
              <w:t xml:space="preserve"> </w:t>
            </w:r>
            <w:r w:rsidRPr="00B059B2">
              <w:t>emisií, elektrického dojazdu, spotreby paliva a energie a energetickej efektívnosti.</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31</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rPr>
          <w:b w:val="0"/>
        </w:rPr>
        <w:t>Článok 1 – odsek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2a.</w:t>
            </w:r>
            <w:r w:rsidRPr="00B059B2">
              <w:tab/>
            </w:r>
            <w:r w:rsidRPr="00B059B2">
              <w:rPr>
                <w:b/>
                <w:i/>
              </w:rPr>
              <w:t xml:space="preserve">Týmto nariadením sa stanovujú aj spoločné technické požiadavky a </w:t>
            </w:r>
            <w:r w:rsidRPr="00B059B2">
              <w:rPr>
                <w:b/>
                <w:i/>
              </w:rPr>
              <w:lastRenderedPageBreak/>
              <w:t>administratívne ustanovenia pre typové schvaľovanie emisií z oderu a dohľad nad trhom novovyrobených pneumatík. Tie sa majú posudzovať ako doplnkové k technickým požiadavkám na pneumatiky a administratívnym ustanoveniam nariadenia (EÚ) 2019/2144.</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32</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2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Toto nariadenie sa uplatňuje na motorové vozidlá kategórií M</w:t>
            </w:r>
            <w:r w:rsidRPr="00B059B2">
              <w:rPr>
                <w:vertAlign w:val="subscript"/>
              </w:rPr>
              <w:t>1</w:t>
            </w:r>
            <w:r w:rsidRPr="00B059B2">
              <w:t>, M</w:t>
            </w:r>
            <w:r w:rsidRPr="00B059B2">
              <w:rPr>
                <w:vertAlign w:val="subscript"/>
              </w:rPr>
              <w:t>2</w:t>
            </w:r>
            <w:r w:rsidRPr="00B059B2">
              <w:t>, M</w:t>
            </w:r>
            <w:r w:rsidRPr="00B059B2">
              <w:rPr>
                <w:vertAlign w:val="subscript"/>
              </w:rPr>
              <w:t>3</w:t>
            </w:r>
            <w:r w:rsidRPr="00B059B2">
              <w:t>, N</w:t>
            </w:r>
            <w:r w:rsidRPr="00B059B2">
              <w:rPr>
                <w:vertAlign w:val="subscript"/>
              </w:rPr>
              <w:t>1</w:t>
            </w:r>
            <w:r w:rsidRPr="00B059B2">
              <w:t>, N</w:t>
            </w:r>
            <w:r w:rsidRPr="00B059B2">
              <w:rPr>
                <w:vertAlign w:val="subscript"/>
              </w:rPr>
              <w:t>2</w:t>
            </w:r>
            <w:r w:rsidRPr="00B059B2">
              <w:t xml:space="preserve"> a N</w:t>
            </w:r>
            <w:r w:rsidRPr="00B059B2">
              <w:rPr>
                <w:vertAlign w:val="subscript"/>
              </w:rPr>
              <w:t>3</w:t>
            </w:r>
            <w:r w:rsidRPr="00B059B2">
              <w:t>, ako aj prípojné vozidlá kategórií O</w:t>
            </w:r>
            <w:r w:rsidRPr="00B059B2">
              <w:rPr>
                <w:vertAlign w:val="subscript"/>
              </w:rPr>
              <w:t>3</w:t>
            </w:r>
            <w:r w:rsidRPr="00B059B2">
              <w:t xml:space="preserve"> a O</w:t>
            </w:r>
            <w:r w:rsidRPr="00B059B2">
              <w:rPr>
                <w:vertAlign w:val="subscript"/>
              </w:rPr>
              <w:t>4</w:t>
            </w:r>
            <w:r w:rsidRPr="00B059B2">
              <w:t>, ako sa uvádza v článku 4 nariadenia (EÚ) 2018/858, vrátane tých, ktoré sú navrhnuté a vyrobené v jednom alebo vo viacerých stupňoch, a na systémy, komponenty a samostatné technické jednotky určené pre takéto vozidlá.</w:t>
            </w:r>
          </w:p>
        </w:tc>
        <w:tc>
          <w:tcPr>
            <w:tcW w:w="4876" w:type="dxa"/>
          </w:tcPr>
          <w:p w:rsidR="00902EF1" w:rsidRPr="00B059B2" w:rsidRDefault="00902EF1" w:rsidP="0023402C">
            <w:pPr>
              <w:pStyle w:val="Normal6a"/>
            </w:pPr>
            <w:r w:rsidRPr="00B059B2">
              <w:t>Toto nariadenie sa uplatňuje na motorové vozidlá kategórií M</w:t>
            </w:r>
            <w:r w:rsidRPr="00B059B2">
              <w:rPr>
                <w:vertAlign w:val="subscript"/>
              </w:rPr>
              <w:t>1</w:t>
            </w:r>
            <w:r w:rsidRPr="00B059B2">
              <w:t>, M</w:t>
            </w:r>
            <w:r w:rsidRPr="00B059B2">
              <w:rPr>
                <w:vertAlign w:val="subscript"/>
              </w:rPr>
              <w:t>2</w:t>
            </w:r>
            <w:r w:rsidRPr="00B059B2">
              <w:t>, M</w:t>
            </w:r>
            <w:r w:rsidRPr="00B059B2">
              <w:rPr>
                <w:vertAlign w:val="subscript"/>
              </w:rPr>
              <w:t>3</w:t>
            </w:r>
            <w:r w:rsidRPr="00B059B2">
              <w:t>, N</w:t>
            </w:r>
            <w:r w:rsidRPr="00B059B2">
              <w:rPr>
                <w:vertAlign w:val="subscript"/>
              </w:rPr>
              <w:t>1</w:t>
            </w:r>
            <w:r w:rsidRPr="00B059B2">
              <w:t>, N</w:t>
            </w:r>
            <w:r w:rsidRPr="00B059B2">
              <w:rPr>
                <w:vertAlign w:val="subscript"/>
              </w:rPr>
              <w:t>2</w:t>
            </w:r>
            <w:r w:rsidRPr="00B059B2">
              <w:t xml:space="preserve"> a N</w:t>
            </w:r>
            <w:r w:rsidRPr="00B059B2">
              <w:rPr>
                <w:vertAlign w:val="subscript"/>
              </w:rPr>
              <w:t>3</w:t>
            </w:r>
            <w:r w:rsidRPr="00B059B2">
              <w:t>, ako aj prípojné vozidlá kategórií O</w:t>
            </w:r>
            <w:r w:rsidRPr="00B059B2">
              <w:rPr>
                <w:vertAlign w:val="subscript"/>
              </w:rPr>
              <w:t>3</w:t>
            </w:r>
            <w:r w:rsidRPr="00B059B2">
              <w:t xml:space="preserve"> a O</w:t>
            </w:r>
            <w:r w:rsidRPr="00B059B2">
              <w:rPr>
                <w:vertAlign w:val="subscript"/>
              </w:rPr>
              <w:t>4</w:t>
            </w:r>
            <w:r w:rsidRPr="00B059B2">
              <w:t xml:space="preserve">, ako sa uvádza v článku 4 nariadenia (EÚ) 2018/858, vrátane tých, ktoré sú navrhnuté a vyrobené v jednom alebo vo viacerých stupňoch, a na systémy, komponenty a samostatné technické jednotky určené pre takéto vozidlá </w:t>
            </w:r>
            <w:r w:rsidRPr="00B059B2">
              <w:rPr>
                <w:b/>
                <w:bCs/>
                <w:i/>
                <w:iCs/>
              </w:rPr>
              <w:t>a pneumatiky triedy C1, C2 a C3, ako sa uvádza v predpisoch OSN č. 117 s výnimkou pneumatík určených na sneh</w:t>
            </w:r>
            <w:r w:rsidRPr="00B059B2">
              <w:t>.</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33</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rPr>
          <w:b w:val="0"/>
        </w:rPr>
        <w:t>Článok 3 – odsek 2 – bod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(2)</w:t>
            </w:r>
            <w:r w:rsidRPr="00B059B2">
              <w:tab/>
              <w:t>„počiatočné typové schválenie vzhľadom na emisie“ je prvá fáza postupu typového schválenia vzhľadom na emisie pred udelením osvedčenia o typovom schválení vzhľadom na emisie orgánmi a pred uvedením vozidiel do výroby;</w:t>
            </w:r>
          </w:p>
        </w:tc>
        <w:tc>
          <w:tcPr>
            <w:tcW w:w="4876" w:type="dxa"/>
          </w:tcPr>
          <w:p w:rsidR="00902EF1" w:rsidRPr="00B059B2" w:rsidRDefault="00902EF1" w:rsidP="0023402C">
            <w:pPr>
              <w:pStyle w:val="Normal6a"/>
            </w:pPr>
            <w:r w:rsidRPr="00B059B2">
              <w:t>(2)</w:t>
            </w:r>
            <w:r w:rsidRPr="00B059B2">
              <w:tab/>
              <w:t>„počiatočné typové schválenie vzhľadom na emisie“ je prvá fáza postupu typového schválenia vzhľadom na emisie pred udelením osvedčenia o typovom schválení vzhľadom na emisie orgánmi a pred uvedením vozidiel</w:t>
            </w:r>
            <w:r w:rsidRPr="00B059B2">
              <w:rPr>
                <w:b/>
                <w:bCs/>
                <w:i/>
                <w:iCs/>
              </w:rPr>
              <w:t>, motorov, systémov, samostatných technických jednotiek alebo komponentov</w:t>
            </w:r>
            <w:r w:rsidRPr="00B059B2">
              <w:t xml:space="preserve"> do výroby;</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34</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rPr>
          <w:b w:val="0"/>
        </w:rPr>
        <w:t>Článok 3 – odsek 2 – bod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(4)</w:t>
            </w:r>
            <w:r w:rsidRPr="00B059B2">
              <w:tab/>
              <w:t>„zhoda v prevádzke“ sú činnosti vykonávané na vozidlách v prevádzke s cieľom overiť požiadavky na životnosť stanovené v tomto nariadení;</w:t>
            </w:r>
          </w:p>
        </w:tc>
        <w:tc>
          <w:tcPr>
            <w:tcW w:w="4876" w:type="dxa"/>
          </w:tcPr>
          <w:p w:rsidR="00902EF1" w:rsidRPr="00B059B2" w:rsidRDefault="00902EF1" w:rsidP="0023402C">
            <w:pPr>
              <w:pStyle w:val="Normal6a"/>
            </w:pPr>
            <w:r w:rsidRPr="00B059B2">
              <w:t>(4)</w:t>
            </w:r>
            <w:r w:rsidRPr="00B059B2">
              <w:tab/>
              <w:t>„zhoda v prevádzke“ sú činnosti vykonávané na vozidlách</w:t>
            </w:r>
            <w:r w:rsidRPr="00B059B2">
              <w:rPr>
                <w:b/>
                <w:bCs/>
                <w:i/>
                <w:iCs/>
              </w:rPr>
              <w:t>, motoroch, systémoch, samostatných technických jednotkách alebo komponentoch</w:t>
            </w:r>
            <w:r w:rsidRPr="00B059B2">
              <w:t xml:space="preserve"> v prevádzke s cieľom overiť požiadavky na životnosť stanovené v tomto nariadení;</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35</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rPr>
          <w:b w:val="0"/>
        </w:rPr>
        <w:t>Článok 3 – odsek 2 – bod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(5)</w:t>
            </w:r>
            <w:r w:rsidRPr="00B059B2">
              <w:tab/>
              <w:t xml:space="preserve">„motor“ je </w:t>
            </w:r>
            <w:r w:rsidRPr="00B059B2">
              <w:rPr>
                <w:b/>
                <w:bCs/>
                <w:i/>
                <w:iCs/>
              </w:rPr>
              <w:t>zdroj pohonu</w:t>
            </w:r>
            <w:r w:rsidRPr="00B059B2">
              <w:t xml:space="preserve"> vozidla;</w:t>
            </w:r>
          </w:p>
        </w:tc>
        <w:tc>
          <w:tcPr>
            <w:tcW w:w="4876" w:type="dxa"/>
          </w:tcPr>
          <w:p w:rsidR="00902EF1" w:rsidRPr="00B059B2" w:rsidRDefault="00902EF1" w:rsidP="0023402C">
            <w:pPr>
              <w:pStyle w:val="Normal6a"/>
            </w:pPr>
            <w:r w:rsidRPr="00B059B2">
              <w:t>(5)</w:t>
            </w:r>
            <w:r w:rsidRPr="00B059B2">
              <w:tab/>
              <w:t>„motor“ je</w:t>
            </w:r>
            <w:r w:rsidRPr="00B059B2">
              <w:rPr>
                <w:b/>
                <w:bCs/>
                <w:i/>
                <w:iCs/>
              </w:rPr>
              <w:t xml:space="preserve"> spaľovací motor</w:t>
            </w:r>
            <w:r w:rsidRPr="00B059B2">
              <w:t xml:space="preserve"> vozidla </w:t>
            </w:r>
            <w:r w:rsidRPr="00B059B2">
              <w:rPr>
                <w:b/>
                <w:bCs/>
                <w:i/>
                <w:iCs/>
              </w:rPr>
              <w:t>(ICEV)</w:t>
            </w:r>
            <w:r w:rsidRPr="00B059B2">
              <w:t>;</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36</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rPr>
          <w:b w:val="0"/>
        </w:rPr>
        <w:t>Článok 3 – odsek 2 – bod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(9)</w:t>
            </w:r>
            <w:r w:rsidRPr="00B059B2">
              <w:tab/>
              <w:t>„emisie CO</w:t>
            </w:r>
            <w:r w:rsidRPr="00B059B2">
              <w:rPr>
                <w:vertAlign w:val="subscript"/>
              </w:rPr>
              <w:t>2</w:t>
            </w:r>
            <w:r w:rsidRPr="00B059B2">
              <w:t>“ alebo „CO</w:t>
            </w:r>
            <w:r w:rsidRPr="00B059B2">
              <w:rPr>
                <w:vertAlign w:val="subscript"/>
              </w:rPr>
              <w:t>2</w:t>
            </w:r>
            <w:r w:rsidRPr="00B059B2">
              <w:t xml:space="preserve">“ sú emisie oxidu uhličitého z výfuku </w:t>
            </w:r>
            <w:r w:rsidRPr="00B059B2">
              <w:rPr>
                <w:b/>
                <w:bCs/>
                <w:i/>
                <w:iCs/>
              </w:rPr>
              <w:t>motorového vozidla alebo motora</w:t>
            </w:r>
            <w:r w:rsidRPr="00B059B2">
              <w:t>;</w:t>
            </w:r>
          </w:p>
        </w:tc>
        <w:tc>
          <w:tcPr>
            <w:tcW w:w="4876" w:type="dxa"/>
          </w:tcPr>
          <w:p w:rsidR="00902EF1" w:rsidRPr="00B059B2" w:rsidRDefault="00902EF1" w:rsidP="0023402C">
            <w:pPr>
              <w:pStyle w:val="Normal6a"/>
            </w:pPr>
            <w:r w:rsidRPr="00B059B2">
              <w:t>(9)</w:t>
            </w:r>
            <w:r w:rsidRPr="00B059B2">
              <w:tab/>
              <w:t>„emisie CO</w:t>
            </w:r>
            <w:r w:rsidRPr="00B059B2">
              <w:rPr>
                <w:vertAlign w:val="subscript"/>
              </w:rPr>
              <w:t>2</w:t>
            </w:r>
            <w:r w:rsidRPr="00B059B2">
              <w:t>“ alebo „CO</w:t>
            </w:r>
            <w:r w:rsidRPr="00B059B2">
              <w:rPr>
                <w:vertAlign w:val="subscript"/>
              </w:rPr>
              <w:t>2</w:t>
            </w:r>
            <w:r w:rsidRPr="00B059B2">
              <w:t>“ sú emisie oxidu uhličitého z výfuku;</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37</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rPr>
          <w:b w:val="0"/>
        </w:rPr>
        <w:t>Článok 3 – odsek 2 – bod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(10)</w:t>
            </w:r>
            <w:r w:rsidRPr="00B059B2">
              <w:tab/>
              <w:t>„oxidy dusíka“ alebo „NOx“ je celkové množstvo oxidov dusíka emitovaných z výfuku;</w:t>
            </w:r>
          </w:p>
        </w:tc>
        <w:tc>
          <w:tcPr>
            <w:tcW w:w="4876" w:type="dxa"/>
          </w:tcPr>
          <w:p w:rsidR="00902EF1" w:rsidRPr="00B059B2" w:rsidRDefault="00902EF1" w:rsidP="0023402C">
            <w:pPr>
              <w:pStyle w:val="Normal6a"/>
            </w:pPr>
            <w:r w:rsidRPr="00B059B2">
              <w:t>(10)</w:t>
            </w:r>
            <w:r w:rsidRPr="00B059B2">
              <w:tab/>
              <w:t xml:space="preserve">„oxidy dusíka“ alebo „NOx“ je celkové množstvo </w:t>
            </w:r>
            <w:r w:rsidRPr="00B059B2">
              <w:rPr>
                <w:b/>
                <w:bCs/>
                <w:i/>
                <w:iCs/>
              </w:rPr>
              <w:t>oxidu dusnatého (NO) a oxidu dusičitého (NO</w:t>
            </w:r>
            <w:r w:rsidRPr="00B059B2">
              <w:rPr>
                <w:b/>
                <w:bCs/>
                <w:i/>
                <w:iCs/>
                <w:vertAlign w:val="subscript"/>
              </w:rPr>
              <w:t>2</w:t>
            </w:r>
            <w:r w:rsidRPr="00B059B2">
              <w:rPr>
                <w:b/>
                <w:bCs/>
                <w:i/>
                <w:iCs/>
              </w:rPr>
              <w:t>)</w:t>
            </w:r>
            <w:r w:rsidRPr="00B059B2">
              <w:t xml:space="preserve"> emitovaných </w:t>
            </w:r>
            <w:r w:rsidRPr="00B059B2">
              <w:lastRenderedPageBreak/>
              <w:t>z výfuku;</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38</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rPr>
          <w:b w:val="0"/>
        </w:rPr>
        <w:t>Článok 3 – odsek 2 – bod 10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(10a)</w:t>
            </w:r>
            <w:r w:rsidRPr="00B059B2">
              <w:tab/>
            </w:r>
            <w:r w:rsidRPr="00B059B2">
              <w:rPr>
                <w:b/>
                <w:i/>
              </w:rPr>
              <w:t>„oxid dusný“ alebo „N</w:t>
            </w:r>
            <w:r w:rsidRPr="00B059B2">
              <w:rPr>
                <w:b/>
                <w:i/>
                <w:vertAlign w:val="subscript"/>
              </w:rPr>
              <w:t>2</w:t>
            </w:r>
            <w:r w:rsidRPr="00B059B2">
              <w:rPr>
                <w:b/>
                <w:i/>
              </w:rPr>
              <w:t>O“ je emisia oxidu dusného z výfuku;</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39</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rPr>
          <w:b w:val="0"/>
        </w:rPr>
        <w:t>Článok 3 – odsek 2 – bod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(18)</w:t>
            </w:r>
            <w:r w:rsidRPr="00B059B2">
              <w:tab/>
              <w:t>„nemetánové uhľovodíky“ alebo „</w:t>
            </w:r>
            <w:r w:rsidRPr="00B059B2">
              <w:rPr>
                <w:b/>
                <w:bCs/>
                <w:i/>
                <w:iCs/>
              </w:rPr>
              <w:t>NHMC</w:t>
            </w:r>
            <w:r w:rsidRPr="00B059B2">
              <w:t>“ sú celkové uhľovodíky emitované z výfuku okrem metánu;</w:t>
            </w:r>
          </w:p>
        </w:tc>
        <w:tc>
          <w:tcPr>
            <w:tcW w:w="4876" w:type="dxa"/>
          </w:tcPr>
          <w:p w:rsidR="00902EF1" w:rsidRPr="00B059B2" w:rsidRDefault="00902EF1" w:rsidP="0023402C">
            <w:pPr>
              <w:pStyle w:val="Normal6a"/>
            </w:pPr>
            <w:r w:rsidRPr="00B059B2">
              <w:t>(18)</w:t>
            </w:r>
            <w:r w:rsidRPr="00B059B2">
              <w:tab/>
              <w:t>„nemetánové uhľovodíky“ alebo „</w:t>
            </w:r>
            <w:r w:rsidRPr="00B059B2">
              <w:rPr>
                <w:b/>
                <w:bCs/>
                <w:i/>
                <w:iCs/>
              </w:rPr>
              <w:t>NMHC</w:t>
            </w:r>
            <w:r w:rsidRPr="00B059B2">
              <w:t>“ sú celkové uhľovodíky emitované z výfuku okrem metánu;</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40</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rPr>
          <w:b w:val="0"/>
        </w:rPr>
        <w:t>Článok 3 – odsek 2 – bod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(24)</w:t>
            </w:r>
            <w:r w:rsidRPr="00B059B2">
              <w:tab/>
              <w:t>„nástroj na výpočet spotreby energie vozidla“ alebo „VECTO“ je simulačný nástroj používaný na určenie emisií CO</w:t>
            </w:r>
            <w:r w:rsidRPr="00B059B2">
              <w:rPr>
                <w:vertAlign w:val="subscript"/>
              </w:rPr>
              <w:t>2</w:t>
            </w:r>
            <w:r w:rsidRPr="00B059B2">
              <w:t xml:space="preserve">, spotreby paliva, spotreby elektrickej energie a elektrického dojazdu ťažkých vozidiel; </w:t>
            </w:r>
            <w:r w:rsidRPr="00B059B2">
              <w:rPr>
                <w:b/>
                <w:i/>
              </w:rPr>
              <w:t>„spotreba energie“ je spotreba elektrickej energie všetkých zdrojov pohonu vo vozidle;</w:t>
            </w:r>
          </w:p>
        </w:tc>
        <w:tc>
          <w:tcPr>
            <w:tcW w:w="4876" w:type="dxa"/>
          </w:tcPr>
          <w:p w:rsidR="00902EF1" w:rsidRPr="00B059B2" w:rsidRDefault="00902EF1" w:rsidP="0023402C">
            <w:pPr>
              <w:pStyle w:val="Normal6a"/>
            </w:pPr>
            <w:r w:rsidRPr="00B059B2">
              <w:t>(24)</w:t>
            </w:r>
            <w:r w:rsidRPr="00B059B2">
              <w:tab/>
              <w:t>„nástroj na výpočet spotreby energie vozidla“ alebo „VECTO“ je simulačný nástroj používaný na určenie emisií CO</w:t>
            </w:r>
            <w:r w:rsidRPr="00B059B2">
              <w:rPr>
                <w:vertAlign w:val="subscript"/>
              </w:rPr>
              <w:t>2</w:t>
            </w:r>
            <w:r w:rsidRPr="00B059B2">
              <w:t>, spotreby paliva, spotreby elektrickej energie a elektrického dojazdu ťažkých vozidiel;</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41</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lastRenderedPageBreak/>
        <w:t>Článok 3 – odsek 2 – bod 24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(24a)</w:t>
            </w:r>
            <w:r w:rsidRPr="00B059B2">
              <w:tab/>
            </w:r>
            <w:r w:rsidRPr="00B059B2">
              <w:rPr>
                <w:b/>
                <w:i/>
              </w:rPr>
              <w:t>„spotreba energie“ je spotreba elektrickej energie všetkých zdrojov pohonu vo vozidle;</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42</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3 – odsek 2 – bod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(29)</w:t>
            </w:r>
            <w:r w:rsidRPr="00B059B2">
              <w:tab/>
              <w:t>„oder pneumatík“ je hmotnosť materiálu, ktorý ubudol z pneumatiky v dôsledku procesu oderu a bol emitovaný do životného prostredia;</w:t>
            </w:r>
          </w:p>
        </w:tc>
        <w:tc>
          <w:tcPr>
            <w:tcW w:w="4876" w:type="dxa"/>
          </w:tcPr>
          <w:p w:rsidR="00902EF1" w:rsidRPr="00B059B2" w:rsidRDefault="00902EF1" w:rsidP="0023402C">
            <w:pPr>
              <w:pStyle w:val="Normal6a"/>
            </w:pPr>
            <w:r w:rsidRPr="00B059B2">
              <w:t>(29)</w:t>
            </w:r>
            <w:r w:rsidRPr="00B059B2">
              <w:tab/>
              <w:t xml:space="preserve">„oder pneumatík“ je hmotnosť materiálu, ktorý ubudol z pneumatiky v dôsledku procesu oderu </w:t>
            </w:r>
            <w:r w:rsidRPr="00B059B2">
              <w:rPr>
                <w:b/>
                <w:bCs/>
                <w:i/>
                <w:iCs/>
              </w:rPr>
              <w:t>v súvislosti s prácou vykonanou v rámci spoločnej pracovnej skupiny OSN WP29 GRBP/GRPE pre oder pneumatík</w:t>
            </w:r>
            <w:r w:rsidRPr="00B059B2">
              <w:t xml:space="preserve"> a bol emitovaný do životného prostredia;</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43</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rPr>
          <w:b w:val="0"/>
        </w:rPr>
        <w:t>Článok 3 – odsek 2 – bod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(34)</w:t>
            </w:r>
            <w:r w:rsidRPr="00B059B2">
              <w:tab/>
              <w:t>„pôvodné systémy na reguláciu znečisťujúcich látok“ sú systémy na reguláciu znečisťujúcich látok alebo sústava takýchto systémov, na ktoré sa vzťahuje udelené typové schválenie pre dané vozidlo;</w:t>
            </w:r>
          </w:p>
        </w:tc>
        <w:tc>
          <w:tcPr>
            <w:tcW w:w="4876" w:type="dxa"/>
          </w:tcPr>
          <w:p w:rsidR="00902EF1" w:rsidRPr="00B059B2" w:rsidRDefault="00902EF1" w:rsidP="0023402C">
            <w:pPr>
              <w:pStyle w:val="Normal6a"/>
            </w:pPr>
            <w:r w:rsidRPr="00B059B2">
              <w:t>(34)</w:t>
            </w:r>
            <w:r w:rsidRPr="00B059B2">
              <w:tab/>
              <w:t xml:space="preserve">„pôvodné systémy na reguláciu znečisťujúcich látok“ sú systémy na reguláciu znečisťujúcich látok alebo sústava takýchto systémov, na ktoré sa vzťahuje udelené typové schválenie pre dané vozidlo, </w:t>
            </w:r>
            <w:r w:rsidRPr="00B059B2">
              <w:rPr>
                <w:b/>
                <w:bCs/>
                <w:i/>
                <w:iCs/>
              </w:rPr>
              <w:t>a zabudované do vozidla v čase jeho prvej evidencie</w:t>
            </w:r>
            <w:r w:rsidRPr="00B059B2">
              <w:t>;</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44</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rPr>
          <w:b w:val="0"/>
        </w:rPr>
        <w:t>Článok 3 – odsek 2 – bod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rPr>
                <w:b/>
                <w:i/>
              </w:rPr>
              <w:lastRenderedPageBreak/>
              <w:t>(36)</w:t>
            </w:r>
            <w:r w:rsidRPr="00B059B2">
              <w:tab/>
            </w:r>
            <w:r w:rsidRPr="00B059B2">
              <w:rPr>
                <w:b/>
                <w:i/>
              </w:rPr>
              <w:t>„adaptívna funkcia regulácie“ je systém, ktorý mení nastavenie motora, systémov na reguláciu znečisťujúcich látok alebo iných parametrov vozidla s cieľom zlepšiť spotrebu paliva alebo energie a účinnosť systému na reguláciu znečisťujúcich látok na základe očakávaného využitia vozidla;</w:t>
            </w:r>
          </w:p>
        </w:tc>
        <w:tc>
          <w:tcPr>
            <w:tcW w:w="4876" w:type="dxa"/>
          </w:tcPr>
          <w:p w:rsidR="00902EF1" w:rsidRPr="00B059B2" w:rsidRDefault="00902EF1" w:rsidP="0023402C">
            <w:pPr>
              <w:pStyle w:val="Normal6a"/>
            </w:pPr>
            <w:r w:rsidRPr="00B059B2">
              <w:rPr>
                <w:b/>
                <w:i/>
              </w:rPr>
              <w:t>vypúšťa sa</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45</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3 – odsek 2 – bod 38</w:t>
      </w:r>
    </w:p>
    <w:p w:rsidR="00902EF1" w:rsidRPr="00B059B2" w:rsidRDefault="00902EF1" w:rsidP="00902EF1"/>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(38)</w:t>
            </w:r>
            <w:r w:rsidRPr="00B059B2">
              <w:tab/>
              <w:t>„palubný monitorovací systém“ alebo „OBM“ je systém na palube vozidla, ktorý je schopný zistiť buď prekročenia emisií, alebo v prípade, že je vozidlo v režime nulových emisií, je schopný indikovať výskyt takýchto prekročení prostredníctvom informácií uložených vo vozidle a prenášať dané informácie cez port OBD a šíriť ich vzduchom;</w:t>
            </w:r>
          </w:p>
        </w:tc>
        <w:tc>
          <w:tcPr>
            <w:tcW w:w="4876" w:type="dxa"/>
          </w:tcPr>
          <w:p w:rsidR="00902EF1" w:rsidRPr="00B059B2" w:rsidRDefault="00902EF1" w:rsidP="0023402C">
            <w:pPr>
              <w:pStyle w:val="Normal6a"/>
            </w:pPr>
            <w:r w:rsidRPr="00B059B2">
              <w:t>(38)</w:t>
            </w:r>
            <w:r w:rsidRPr="00B059B2">
              <w:tab/>
              <w:t xml:space="preserve">„palubný monitorovací systém“ alebo „OBM“ je systém na palube vozidla, ktorý je schopný </w:t>
            </w:r>
            <w:r w:rsidRPr="00B059B2">
              <w:rPr>
                <w:b/>
                <w:bCs/>
                <w:i/>
                <w:iCs/>
              </w:rPr>
              <w:t>monitorovať emisie a</w:t>
            </w:r>
            <w:r w:rsidRPr="00B059B2">
              <w:rPr>
                <w:b/>
                <w:bCs/>
              </w:rPr>
              <w:t xml:space="preserve"> </w:t>
            </w:r>
            <w:r w:rsidRPr="00B059B2">
              <w:t>zistiť buď prekročenia emisií, alebo v prípade, že je vozidlo v režime nulových emisií, je schopný indikovať výskyt takýchto prekročení prostredníctvom informácií uložených vo vozidle a prenášať dané informácie cez port OBD a šíriť ich vzduchom;</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46</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3 – odsek 2 – bod 39</w:t>
      </w:r>
    </w:p>
    <w:p w:rsidR="00902EF1" w:rsidRPr="00B059B2" w:rsidRDefault="00902EF1" w:rsidP="00902EF1"/>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(39)</w:t>
            </w:r>
            <w:r w:rsidRPr="00B059B2">
              <w:tab/>
              <w:t xml:space="preserve">„palubné zariadenie na monitorovanie spotreby paliva a energie“ alebo „zariadenie OBFCM“ je akýkoľvek softvér alebo hardvér, ktorý sníma a používa parametre vozidla, motora, paliva alebo elektrickej energie a užitočného zaťaženia/hmotnosti na určenie a uloženie vo vozidle údajov o spotrebe paliva a energie a iných parametrov relevantných na určenie </w:t>
            </w:r>
            <w:r w:rsidRPr="00B059B2">
              <w:lastRenderedPageBreak/>
              <w:t>spotreby paliva alebo energie a energetickej účinnosti vozidla;</w:t>
            </w:r>
          </w:p>
        </w:tc>
        <w:tc>
          <w:tcPr>
            <w:tcW w:w="4876" w:type="dxa"/>
          </w:tcPr>
          <w:p w:rsidR="00902EF1" w:rsidRPr="00B059B2" w:rsidRDefault="00902EF1" w:rsidP="0023402C">
            <w:pPr>
              <w:pStyle w:val="Normal6a"/>
            </w:pPr>
            <w:r w:rsidRPr="00B059B2">
              <w:lastRenderedPageBreak/>
              <w:t>(39)</w:t>
            </w:r>
            <w:r w:rsidRPr="00B059B2">
              <w:tab/>
              <w:t xml:space="preserve">„palubné zariadenie na monitorovanie spotreby paliva a energie“ alebo „zariadenie OBFCM“ je akýkoľvek softvér alebo hardvér, ktorý sníma a používa parametre vozidla, motora, paliva alebo elektrickej energie a užitočného zaťaženia/hmotnosti na určenie a uloženie vo vozidle údajov o spotrebe paliva a energie a iných parametrov relevantných na určenie </w:t>
            </w:r>
            <w:r w:rsidRPr="00B059B2">
              <w:lastRenderedPageBreak/>
              <w:t>spotreby paliva alebo energie a energetickej účinnosti vozidla</w:t>
            </w:r>
            <w:r w:rsidRPr="00B059B2">
              <w:rPr>
                <w:b/>
                <w:bCs/>
                <w:i/>
                <w:iCs/>
              </w:rPr>
              <w:t>, ako aj na účely kontrol technického stavu</w:t>
            </w:r>
            <w:r w:rsidRPr="00B059B2">
              <w:t>;</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47</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3 – odsek 2 – bod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(44)</w:t>
            </w:r>
            <w:r w:rsidRPr="00B059B2">
              <w:tab/>
              <w:t>„neoprávnený zásah“ je deaktivácia alebo modifikácia motora, zariadenia a systému na reguláciu znečisťujúcich látok vozidla, pohonného systému, trakčnej batérie, počítadla kilometrov, OBFCM alebo OBD/OBM zo strany hospodárskych subjektov alebo nezávislých prevádzkovateľov vrátane akéhokoľvek softvéru alebo iných logických riadiacich prvkov uvedených systémov a ich údajov;</w:t>
            </w:r>
          </w:p>
        </w:tc>
        <w:tc>
          <w:tcPr>
            <w:tcW w:w="4876" w:type="dxa"/>
          </w:tcPr>
          <w:p w:rsidR="00902EF1" w:rsidRPr="00B059B2" w:rsidRDefault="00902EF1" w:rsidP="0023402C">
            <w:pPr>
              <w:pStyle w:val="Normal6a"/>
            </w:pPr>
            <w:r w:rsidRPr="00B059B2">
              <w:t>(44)</w:t>
            </w:r>
            <w:r w:rsidRPr="00B059B2">
              <w:tab/>
              <w:t xml:space="preserve">„neoprávnený zásah“ je deaktivácia alebo modifikácia motora </w:t>
            </w:r>
            <w:r w:rsidRPr="00B059B2">
              <w:rPr>
                <w:b/>
                <w:bCs/>
                <w:i/>
                <w:iCs/>
              </w:rPr>
              <w:t>alebo elektrického motora</w:t>
            </w:r>
            <w:r w:rsidRPr="00B059B2">
              <w:t>, zariadenia a systému na reguláciu znečisťujúcich látok vozidla, pohonného systému, trakčnej batérie, počítadla kilometrov, OBFCM alebo OBD/OBM zo strany hospodárskych subjektov alebo nezávislých prevádzkovateľov vrátane akéhokoľvek softvéru alebo iných logických riadiacich prvkov uvedených systémov a ich údajov;</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48</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rPr>
          <w:b w:val="0"/>
        </w:rPr>
        <w:t>Článok 3 – odsek 2 – bod 47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(47)</w:t>
            </w:r>
            <w:r w:rsidRPr="00B059B2">
              <w:tab/>
              <w:t>„výrobca s malým objemom výroby“ je výrobca, ktorý vyrobí menej ako 10 000 nových motorových vozidiel kategórie M</w:t>
            </w:r>
            <w:r w:rsidRPr="00B059B2">
              <w:rPr>
                <w:vertAlign w:val="subscript"/>
              </w:rPr>
              <w:t>1</w:t>
            </w:r>
            <w:r w:rsidRPr="00B059B2">
              <w:t xml:space="preserve"> alebo 22 000 nových motorových vozidiel kategórie N</w:t>
            </w:r>
            <w:r w:rsidRPr="00B059B2">
              <w:rPr>
                <w:vertAlign w:val="subscript"/>
              </w:rPr>
              <w:t>1</w:t>
            </w:r>
            <w:r w:rsidRPr="00B059B2">
              <w:t xml:space="preserve"> zaevidovaných v Únii za kalendárny rok, a ktorý:</w:t>
            </w:r>
          </w:p>
        </w:tc>
        <w:tc>
          <w:tcPr>
            <w:tcW w:w="4876" w:type="dxa"/>
          </w:tcPr>
          <w:p w:rsidR="00902EF1" w:rsidRPr="00B059B2" w:rsidRDefault="00902EF1" w:rsidP="0023402C">
            <w:pPr>
              <w:pStyle w:val="Normal6a"/>
            </w:pPr>
            <w:r w:rsidRPr="00B059B2">
              <w:t>(47)</w:t>
            </w:r>
            <w:r w:rsidRPr="00B059B2">
              <w:tab/>
              <w:t>„výrobca s malým objemom výroby“ je výrobca, ktorý vyrobí menej ako 10 000 nových motorových vozidiel kategórie M</w:t>
            </w:r>
            <w:r w:rsidRPr="00B059B2">
              <w:rPr>
                <w:vertAlign w:val="subscript"/>
              </w:rPr>
              <w:t>1</w:t>
            </w:r>
            <w:r w:rsidRPr="00B059B2">
              <w:t xml:space="preserve"> alebo 22 000 nových motorových vozidiel kategórie N</w:t>
            </w:r>
            <w:r w:rsidRPr="00B059B2">
              <w:rPr>
                <w:vertAlign w:val="subscript"/>
              </w:rPr>
              <w:t>1</w:t>
            </w:r>
            <w:r w:rsidRPr="00B059B2">
              <w:t xml:space="preserve"> </w:t>
            </w:r>
            <w:r w:rsidRPr="00B059B2">
              <w:rPr>
                <w:b/>
                <w:bCs/>
                <w:i/>
                <w:iCs/>
              </w:rPr>
              <w:t>alebo 600 nových motorových vozidiel kategórií M</w:t>
            </w:r>
            <w:r w:rsidRPr="00B059B2">
              <w:rPr>
                <w:b/>
                <w:bCs/>
                <w:i/>
                <w:iCs/>
                <w:vertAlign w:val="subscript"/>
              </w:rPr>
              <w:t>2</w:t>
            </w:r>
            <w:r w:rsidRPr="00B059B2">
              <w:rPr>
                <w:b/>
                <w:bCs/>
                <w:i/>
                <w:iCs/>
              </w:rPr>
              <w:t>, M</w:t>
            </w:r>
            <w:r w:rsidRPr="00B059B2">
              <w:rPr>
                <w:b/>
                <w:bCs/>
                <w:i/>
                <w:iCs/>
                <w:vertAlign w:val="subscript"/>
              </w:rPr>
              <w:t>3</w:t>
            </w:r>
            <w:r w:rsidRPr="00B059B2">
              <w:rPr>
                <w:b/>
                <w:bCs/>
                <w:i/>
                <w:iCs/>
              </w:rPr>
              <w:t xml:space="preserve"> a 6 900 nových motorových vozidiel kategórií N</w:t>
            </w:r>
            <w:r w:rsidRPr="00B059B2">
              <w:rPr>
                <w:b/>
                <w:bCs/>
                <w:i/>
                <w:iCs/>
                <w:vertAlign w:val="subscript"/>
              </w:rPr>
              <w:t>2</w:t>
            </w:r>
            <w:r w:rsidRPr="00B059B2">
              <w:rPr>
                <w:b/>
                <w:bCs/>
                <w:i/>
                <w:iCs/>
              </w:rPr>
              <w:t xml:space="preserve"> a N</w:t>
            </w:r>
            <w:r w:rsidRPr="00B059B2">
              <w:rPr>
                <w:b/>
                <w:bCs/>
                <w:i/>
                <w:iCs/>
                <w:vertAlign w:val="subscript"/>
              </w:rPr>
              <w:t>3</w:t>
            </w:r>
            <w:r w:rsidRPr="00B059B2">
              <w:t xml:space="preserve"> zaevidovaných v Únii za kalendárny rok, a ktorý:</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49</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rPr>
          <w:b w:val="0"/>
        </w:rPr>
        <w:t>Článok 3 – odsek 2 – bod 63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(63)</w:t>
            </w:r>
            <w:r w:rsidRPr="00B059B2">
              <w:tab/>
              <w:t>„menovitý výkon“ alebo „P</w:t>
            </w:r>
            <w:r w:rsidRPr="00B059B2">
              <w:rPr>
                <w:vertAlign w:val="subscript"/>
              </w:rPr>
              <w:t>rated</w:t>
            </w:r>
            <w:r w:rsidRPr="00B059B2">
              <w:t>“ je maximálny čistý výkon motora v kW;</w:t>
            </w:r>
          </w:p>
        </w:tc>
        <w:tc>
          <w:tcPr>
            <w:tcW w:w="4876" w:type="dxa"/>
          </w:tcPr>
          <w:p w:rsidR="00902EF1" w:rsidRPr="00B059B2" w:rsidRDefault="00902EF1" w:rsidP="0023402C">
            <w:pPr>
              <w:pStyle w:val="Normal6a"/>
            </w:pPr>
            <w:r w:rsidRPr="00B059B2">
              <w:t>(63)</w:t>
            </w:r>
            <w:r w:rsidRPr="00B059B2">
              <w:tab/>
              <w:t>„menovitý výkon“ alebo „P</w:t>
            </w:r>
            <w:r w:rsidRPr="00B059B2">
              <w:rPr>
                <w:vertAlign w:val="subscript"/>
              </w:rPr>
              <w:t>rated</w:t>
            </w:r>
            <w:r w:rsidRPr="00B059B2">
              <w:t xml:space="preserve">“ je maximálny čistý výkon motora alebo </w:t>
            </w:r>
            <w:r w:rsidRPr="00B059B2">
              <w:rPr>
                <w:b/>
                <w:bCs/>
                <w:i/>
                <w:iCs/>
              </w:rPr>
              <w:t>elektrického</w:t>
            </w:r>
            <w:r w:rsidRPr="00B059B2">
              <w:t xml:space="preserve"> motora v kW;</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50</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3 – odsek 2 – bod 65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(65)</w:t>
            </w:r>
            <w:r w:rsidRPr="00B059B2">
              <w:tab/>
              <w:t>„trakčná batéria“ je batériový systém, ktorý skladuje energiu, ktorej hlavným účelom je pohon vozidla;</w:t>
            </w:r>
          </w:p>
        </w:tc>
        <w:tc>
          <w:tcPr>
            <w:tcW w:w="4876" w:type="dxa"/>
          </w:tcPr>
          <w:p w:rsidR="00902EF1" w:rsidRPr="00B059B2" w:rsidRDefault="00902EF1" w:rsidP="0023402C">
            <w:pPr>
              <w:pStyle w:val="Normal6a"/>
            </w:pPr>
            <w:r w:rsidRPr="00B059B2">
              <w:t>(65)</w:t>
            </w:r>
            <w:r w:rsidRPr="00B059B2">
              <w:tab/>
              <w:t xml:space="preserve">„trakčná batéria“ je batériový systém, ktorý skladuje energiu, ktorej hlavným účelom je pohon vozidla </w:t>
            </w:r>
            <w:r w:rsidRPr="00B059B2">
              <w:rPr>
                <w:b/>
                <w:bCs/>
                <w:i/>
                <w:iCs/>
              </w:rPr>
              <w:t>vrátane jeho systému riadenia batérie</w:t>
            </w:r>
            <w:r w:rsidRPr="00B059B2">
              <w:t>;</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51</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3 – odsek 2 – bod 65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(65a)</w:t>
            </w:r>
            <w:r w:rsidRPr="00B059B2">
              <w:tab/>
            </w:r>
            <w:r w:rsidRPr="00B059B2">
              <w:rPr>
                <w:b/>
                <w:i/>
              </w:rPr>
              <w:t>„systém riadenia batérie“ je elektronické zariadenie, ktoré v záujme zaistenia bezpečnosti, výkonnosti a životnosti batérie kontroluje alebo riadi jej elektrické a tepelné funkcie, spravuje a uchováva údaje o parametroch slúžiacich na určenie stavu batérie a očakávanej životnosti batérie stanovených v prílohe VII k nariadeniu (EÚ) 2023/1542 a komunikuje s vozidlom, v ktorom je batéria zabudovaná, alebo s verejnou či súkromnou nabíjacou infraštruktúrou;</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52</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rPr>
          <w:b w:val="0"/>
        </w:rPr>
        <w:t>Článok 3 – odsek 2 – bod 67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lastRenderedPageBreak/>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(67)</w:t>
            </w:r>
            <w:r w:rsidRPr="00B059B2">
              <w:tab/>
              <w:t>„dojazd s nulovými emisiami“ je maximálna vzdialenosť, ktorú môže vozidlo s nulovými emisiami prejsť až do vyčerpania trakčnej batérie alebo palivovej nádrže, čo v prípade vozidiel PEV zodpovedá elektrickému dojazdu;</w:t>
            </w:r>
          </w:p>
        </w:tc>
        <w:tc>
          <w:tcPr>
            <w:tcW w:w="4876" w:type="dxa"/>
          </w:tcPr>
          <w:p w:rsidR="00902EF1" w:rsidRPr="00B059B2" w:rsidRDefault="00902EF1" w:rsidP="0023402C">
            <w:pPr>
              <w:pStyle w:val="Normal6a"/>
            </w:pPr>
            <w:r w:rsidRPr="00B059B2">
              <w:t>(67)</w:t>
            </w:r>
            <w:r w:rsidRPr="00B059B2">
              <w:tab/>
              <w:t>„dojazd s nulovými emisiami“ je maximálna vzdialenosť, ktorú môže vozidlo s nulovými emisiami</w:t>
            </w:r>
            <w:r w:rsidRPr="00B059B2">
              <w:rPr>
                <w:b/>
                <w:bCs/>
                <w:i/>
                <w:iCs/>
              </w:rPr>
              <w:t xml:space="preserve"> alebo vozidlo v režime nulových emisií</w:t>
            </w:r>
            <w:r w:rsidRPr="00B059B2">
              <w:t xml:space="preserve"> prejsť až do vyčerpania trakčnej batérie alebo palivovej nádrže </w:t>
            </w:r>
            <w:r w:rsidRPr="00B059B2">
              <w:rPr>
                <w:b/>
                <w:bCs/>
                <w:i/>
                <w:iCs/>
              </w:rPr>
              <w:t>vozidla bez spaľovacieho motora (non ICEV)</w:t>
            </w:r>
            <w:r w:rsidRPr="00B059B2">
              <w:t>, čo v prípade vozidiel PEV zodpovedá elektrickému dojazdu;</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53</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rPr>
          <w:b w:val="0"/>
        </w:rPr>
        <w:t>Článok 3 – odsek 2 – bod 71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(71)</w:t>
            </w:r>
            <w:r w:rsidRPr="00B059B2">
              <w:tab/>
              <w:t xml:space="preserve">„environmentálny pas vozidla“ alebo „EVP“ je záznam v papierovej a digitálnej forme, ktorý obsahuje informácie </w:t>
            </w:r>
            <w:r w:rsidRPr="00B059B2">
              <w:rPr>
                <w:b/>
                <w:bCs/>
                <w:i/>
                <w:iCs/>
              </w:rPr>
              <w:t>o environmentálnych vlastnostiach vozidla v čase evidencie vrátane úrovne emisných limitov znečisťujúcich látok, emisií CO</w:t>
            </w:r>
            <w:r w:rsidRPr="00B059B2">
              <w:rPr>
                <w:b/>
                <w:bCs/>
                <w:i/>
                <w:iCs/>
                <w:vertAlign w:val="subscript"/>
              </w:rPr>
              <w:t>2</w:t>
            </w:r>
            <w:r w:rsidRPr="00B059B2">
              <w:rPr>
                <w:b/>
                <w:bCs/>
                <w:i/>
                <w:iCs/>
              </w:rPr>
              <w:t>, spotreby paliva, spotreby energie, elektrického dojazdu, výkonu motora, životnosti batérie a iných súvisiacich</w:t>
            </w:r>
            <w:r w:rsidRPr="00B059B2">
              <w:t xml:space="preserve"> hodnôt;</w:t>
            </w:r>
          </w:p>
        </w:tc>
        <w:tc>
          <w:tcPr>
            <w:tcW w:w="4876" w:type="dxa"/>
          </w:tcPr>
          <w:p w:rsidR="00902EF1" w:rsidRPr="00B059B2" w:rsidRDefault="00902EF1" w:rsidP="0023402C">
            <w:pPr>
              <w:pStyle w:val="Normal6a"/>
            </w:pPr>
            <w:r w:rsidRPr="00B059B2">
              <w:t>(71)</w:t>
            </w:r>
            <w:r w:rsidRPr="00B059B2">
              <w:tab/>
              <w:t xml:space="preserve">„environmentálny pas vozidla“ alebo „EVP“ je záznam v papierovej a digitálnej forme, ktorý obsahuje </w:t>
            </w:r>
            <w:r w:rsidRPr="00B059B2">
              <w:rPr>
                <w:b/>
                <w:bCs/>
                <w:i/>
                <w:iCs/>
              </w:rPr>
              <w:t>všetky</w:t>
            </w:r>
            <w:r w:rsidRPr="00B059B2">
              <w:t xml:space="preserve"> informácie</w:t>
            </w:r>
            <w:r w:rsidRPr="00B059B2">
              <w:rPr>
                <w:b/>
                <w:bCs/>
                <w:i/>
                <w:iCs/>
              </w:rPr>
              <w:t xml:space="preserve"> potrebné na overenie testovaných hodnôt a hodnôt deklarovaných výrobcom počas typového schvaľovania</w:t>
            </w:r>
            <w:r w:rsidRPr="00B059B2">
              <w:t>;</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54</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rPr>
          <w:b w:val="0"/>
        </w:rPr>
        <w:t>Článok 3 – odsek 2 – bod 72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(72)</w:t>
            </w:r>
            <w:r w:rsidRPr="00B059B2">
              <w:tab/>
              <w:t>„systém varovania vodiča pri nadmerných emisiách“ je systém navrhnutý, skonštruovaný a namontovaný vo vozidle s cieľom poskytovať používateľovi informácie o nadmerných emisiách a vynucovať opravy;</w:t>
            </w:r>
          </w:p>
        </w:tc>
        <w:tc>
          <w:tcPr>
            <w:tcW w:w="4876" w:type="dxa"/>
          </w:tcPr>
          <w:p w:rsidR="00902EF1" w:rsidRPr="00B059B2" w:rsidRDefault="00902EF1" w:rsidP="0023402C">
            <w:pPr>
              <w:pStyle w:val="Normal6a"/>
            </w:pPr>
            <w:r w:rsidRPr="00B059B2">
              <w:t>(72)</w:t>
            </w:r>
            <w:r w:rsidRPr="00B059B2">
              <w:tab/>
              <w:t xml:space="preserve">„systém varovania vodiča pri nadmerných </w:t>
            </w:r>
            <w:r w:rsidRPr="00B059B2">
              <w:rPr>
                <w:b/>
                <w:bCs/>
                <w:i/>
                <w:iCs/>
              </w:rPr>
              <w:t>výfukových</w:t>
            </w:r>
            <w:r w:rsidRPr="00B059B2">
              <w:t xml:space="preserve"> emisiách“ je systém navrhnutý, skonštruovaný a namontovaný vo vozidle s cieľom poskytovať používateľovi informácie o nadmerných </w:t>
            </w:r>
            <w:r w:rsidRPr="00B059B2">
              <w:rPr>
                <w:b/>
                <w:bCs/>
                <w:i/>
                <w:iCs/>
              </w:rPr>
              <w:t>výfukových</w:t>
            </w:r>
            <w:r w:rsidRPr="00B059B2">
              <w:t xml:space="preserve"> emisiách a vynucovať opravy;</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55</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3 – odsek 2 – bod 77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rPr>
                <w:b/>
                <w:i/>
              </w:rPr>
              <w:t>(77)</w:t>
            </w:r>
            <w:r w:rsidRPr="00B059B2">
              <w:tab/>
            </w:r>
            <w:r w:rsidRPr="00B059B2">
              <w:rPr>
                <w:b/>
                <w:i/>
              </w:rPr>
              <w:t>„pneumatika na jazdu na snehu“ je pneumatika, ktorej vzorka behúňa, zloženie alebo štruktúra behúňa sú navrhnuté v prvom rade tak, aby táto pneumatika mala v snehových podmienkach lepší výkon ako bežná pneumatika, pokiaľ ide o schopnosť uviesť vozidlo do pohybu alebo ho udržať v pohybe;</w:t>
            </w:r>
          </w:p>
        </w:tc>
        <w:tc>
          <w:tcPr>
            <w:tcW w:w="4876" w:type="dxa"/>
          </w:tcPr>
          <w:p w:rsidR="00902EF1" w:rsidRPr="00B059B2" w:rsidRDefault="00902EF1" w:rsidP="0023402C">
            <w:pPr>
              <w:pStyle w:val="Normal6a"/>
            </w:pPr>
            <w:r w:rsidRPr="00B059B2">
              <w:rPr>
                <w:b/>
                <w:i/>
              </w:rPr>
              <w:t>vypúšťa sa</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56</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3 – odsek 2 – bod 78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rPr>
                <w:b/>
                <w:i/>
              </w:rPr>
              <w:t>(78)</w:t>
            </w:r>
            <w:r w:rsidRPr="00B059B2">
              <w:tab/>
            </w:r>
            <w:r w:rsidRPr="00B059B2">
              <w:rPr>
                <w:b/>
                <w:i/>
              </w:rPr>
              <w:t>„pneumatika na špeciálne použitie“ je pneumatika určená na kombinované použitie na ceste aj v teréne alebo na iné špeciálne účely. Tieto pneumatiky sú skonštruované primárne na to, aby uviedli vozidlo do pohybu a udržali ho v pohybe v terénnych podmienkach.</w:t>
            </w:r>
          </w:p>
        </w:tc>
        <w:tc>
          <w:tcPr>
            <w:tcW w:w="4876" w:type="dxa"/>
          </w:tcPr>
          <w:p w:rsidR="00902EF1" w:rsidRPr="00B059B2" w:rsidRDefault="00902EF1" w:rsidP="0023402C">
            <w:pPr>
              <w:pStyle w:val="Normal6a"/>
            </w:pPr>
            <w:r w:rsidRPr="00B059B2">
              <w:rPr>
                <w:b/>
                <w:i/>
              </w:rPr>
              <w:t>vypúšťa sa</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57</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3 – odsek 2 – bod 78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(78a)</w:t>
            </w:r>
            <w:r w:rsidRPr="00B059B2">
              <w:tab/>
            </w:r>
            <w:r w:rsidRPr="00B059B2">
              <w:rPr>
                <w:b/>
                <w:i/>
              </w:rPr>
              <w:t>„pneumatika na jazdu na ľade“ je pneumatika na jazdu v náročných snehových podmienkach triedy C1, ktorá je osobitne navrhnutá na použitie na vozovkách pokrytých ľadom a ktorá spĺňa požiadavky stanovené v predpise OSN č. 117.</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58</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rPr>
          <w:b w:val="0"/>
        </w:rPr>
        <w:t>Článok 4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1.</w:t>
            </w:r>
            <w:r w:rsidRPr="00B059B2">
              <w:tab/>
              <w:t>Výrobcovia zabezpečia, aby nimi vyrábané nové vozidlá, ktoré sa predávajú, evidujú alebo uvádzajú do prevádzky v Únii, boli typovo schválené v súlade s týmto nariadením. Výrobcovia zabezpečia, aby nové komponenty alebo samostatné technické jednotky vrátane motorov, trakčných batérií, brzdových systémov a náhradných systémov na reguláciu znečisťujúcich látok, ktoré si vyžadujú typové schválenie, ktoré vyrábajú a ktoré sa predávajú alebo sa uvádzajú do prevádzky v Únii, boli typovo schválené v súlade s týmto nariadením.</w:t>
            </w:r>
          </w:p>
        </w:tc>
        <w:tc>
          <w:tcPr>
            <w:tcW w:w="4876" w:type="dxa"/>
          </w:tcPr>
          <w:p w:rsidR="00902EF1" w:rsidRPr="00B059B2" w:rsidRDefault="00902EF1" w:rsidP="0023402C">
            <w:pPr>
              <w:pStyle w:val="Normal6a"/>
            </w:pPr>
            <w:r w:rsidRPr="00B059B2">
              <w:t>1.</w:t>
            </w:r>
            <w:r w:rsidRPr="00B059B2">
              <w:tab/>
              <w:t xml:space="preserve">Výrobcovia zabezpečia, aby nimi vyrábané nové vozidlá, ktoré sa predávajú, evidujú alebo uvádzajú do prevádzky v Únii, boli typovo schválené v súlade s týmto nariadením. </w:t>
            </w:r>
            <w:r w:rsidRPr="00B059B2">
              <w:rPr>
                <w:b/>
                <w:bCs/>
                <w:i/>
                <w:iCs/>
              </w:rPr>
              <w:t>Od osobitných dátumov uplatňovania stanovených v tomto nariadení</w:t>
            </w:r>
            <w:r w:rsidRPr="00B059B2">
              <w:t xml:space="preserve"> výrobcovia zabezpečia, aby nové komponenty alebo samostatné technické jednotky vrátane motorov, trakčných batérií, systémov bŕzd, </w:t>
            </w:r>
            <w:r w:rsidRPr="00B059B2">
              <w:rPr>
                <w:b/>
                <w:bCs/>
                <w:i/>
                <w:iCs/>
              </w:rPr>
              <w:t>pneumatík</w:t>
            </w:r>
            <w:r w:rsidRPr="00B059B2">
              <w:t xml:space="preserve"> a náhradných systémov na reguláciu znečisťujúcich látok, ktoré si vyžadujú typové schválenie, ktoré vyrábajú a ktoré sa predávajú alebo sa uvádzajú do prevádzky v Únii, boli typovo schválené v súlade s týmto nariadením.</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59</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4 – odsek 3 – pododsek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Ak sa pri overovaní súladu s limitmi výfukových emisií vykonáva skúška za rozšírených jazdných podmienok, emisie sa vydelia rozšíreným deliteľom jázd stanoveným v prílohe III.</w:t>
            </w:r>
          </w:p>
        </w:tc>
        <w:tc>
          <w:tcPr>
            <w:tcW w:w="4876" w:type="dxa"/>
          </w:tcPr>
          <w:p w:rsidR="00902EF1" w:rsidRPr="00B059B2" w:rsidRDefault="00902EF1" w:rsidP="0023402C">
            <w:pPr>
              <w:pStyle w:val="Normal6a"/>
            </w:pPr>
            <w:r w:rsidRPr="00B059B2">
              <w:t xml:space="preserve">Ak sa pri overovaní súladu s limitmi výfukových emisií vykonáva skúška za </w:t>
            </w:r>
            <w:r w:rsidRPr="00B059B2">
              <w:rPr>
                <w:b/>
                <w:bCs/>
                <w:i/>
                <w:iCs/>
              </w:rPr>
              <w:t>jednej</w:t>
            </w:r>
            <w:r w:rsidRPr="00B059B2">
              <w:t xml:space="preserve"> z rozšírenej jazdných podmienok, emisie sa vydelia rozšíreným deliteľom jázd stanoveným v prílohe III.</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60</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4 – odsek 3 – pododsek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lastRenderedPageBreak/>
              <w:t>Emisie počas regenerácie systémov na reguláciu znečisťujúcich látok</w:t>
            </w:r>
            <w:r w:rsidRPr="00B059B2">
              <w:rPr>
                <w:b/>
                <w:bCs/>
                <w:i/>
                <w:iCs/>
              </w:rPr>
              <w:t xml:space="preserve"> sa zahrnú</w:t>
            </w:r>
            <w:r w:rsidRPr="00B059B2">
              <w:t xml:space="preserve"> ako vážený priemer na základe frekvencie a trvania regenerácií.</w:t>
            </w:r>
          </w:p>
        </w:tc>
        <w:tc>
          <w:tcPr>
            <w:tcW w:w="4876" w:type="dxa"/>
          </w:tcPr>
          <w:p w:rsidR="00902EF1" w:rsidRPr="00B059B2" w:rsidRDefault="00902EF1" w:rsidP="0023402C">
            <w:pPr>
              <w:pStyle w:val="Normal6a"/>
            </w:pPr>
            <w:r w:rsidRPr="00B059B2">
              <w:t xml:space="preserve">Emisie počas regenerácie systémov na reguláciu znečisťujúcich látok </w:t>
            </w:r>
            <w:r w:rsidRPr="00B059B2">
              <w:rPr>
                <w:b/>
                <w:bCs/>
                <w:i/>
                <w:iCs/>
              </w:rPr>
              <w:t>sa zahŕňajú</w:t>
            </w:r>
            <w:r w:rsidRPr="00B059B2">
              <w:t xml:space="preserve"> ako vážený priemer na základe frekvencie a trvania regenerácií.</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61</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rPr>
          <w:b w:val="0"/>
        </w:rPr>
        <w:t>Článok 4 – odsek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4.</w:t>
            </w:r>
            <w:r w:rsidRPr="00B059B2">
              <w:tab/>
              <w:t>Výrobcovia navrhujú a konštruujú komponenty alebo samostatné technické jednotky vrátane motorov, trakčných batérií, brzdových systémov a náhradných systémov na reguláciu znečisťujúcich látok tak, aby boli v súlade s týmto nariadením vrátane dodržiavania emisných limitov stanovených v prílohe I.</w:t>
            </w:r>
          </w:p>
        </w:tc>
        <w:tc>
          <w:tcPr>
            <w:tcW w:w="4876" w:type="dxa"/>
          </w:tcPr>
          <w:p w:rsidR="00902EF1" w:rsidRPr="00B059B2" w:rsidRDefault="00902EF1" w:rsidP="0023402C">
            <w:pPr>
              <w:pStyle w:val="Normal6a"/>
            </w:pPr>
            <w:r w:rsidRPr="00B059B2">
              <w:t>4.</w:t>
            </w:r>
            <w:r w:rsidRPr="00B059B2">
              <w:tab/>
              <w:t xml:space="preserve">Výrobcovia navrhujú a konštruujú komponenty alebo samostatné technické jednotky vrátane motorov, trakčných batérií, brzdových systémov a náhradných systémov na reguláciu znečisťujúcich látok tak, aby boli v súlade s týmto nariadením vrátane dodržiavania emisných limitov stanovených v prílohe I </w:t>
            </w:r>
            <w:r w:rsidRPr="00B059B2">
              <w:rPr>
                <w:b/>
                <w:bCs/>
                <w:i/>
                <w:iCs/>
              </w:rPr>
              <w:t>pri skúšobných podmienkach stanovených v prílohe III</w:t>
            </w:r>
            <w:r w:rsidRPr="00B059B2">
              <w:t>.</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62</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rPr>
          <w:b w:val="0"/>
        </w:rPr>
        <w:t>Článok 4 – odsek 6 – písmeno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a)</w:t>
            </w:r>
            <w:r w:rsidRPr="00B059B2">
              <w:tab/>
              <w:t xml:space="preserve">so systémami OBD </w:t>
            </w:r>
            <w:r w:rsidRPr="00B059B2">
              <w:rPr>
                <w:b/>
                <w:bCs/>
                <w:i/>
                <w:iCs/>
              </w:rPr>
              <w:t>schopnými zistiť</w:t>
            </w:r>
            <w:r w:rsidRPr="00B059B2">
              <w:t xml:space="preserve"> nefungujúce systémy, ktoré vedú k prekročeniu emisií, s cieľom uľahčiť opravy;</w:t>
            </w:r>
          </w:p>
        </w:tc>
        <w:tc>
          <w:tcPr>
            <w:tcW w:w="4876" w:type="dxa"/>
          </w:tcPr>
          <w:p w:rsidR="00902EF1" w:rsidRPr="00B059B2" w:rsidRDefault="00902EF1" w:rsidP="0023402C">
            <w:pPr>
              <w:pStyle w:val="Normal6a"/>
            </w:pPr>
            <w:r w:rsidRPr="00B059B2">
              <w:t>a)</w:t>
            </w:r>
            <w:r w:rsidRPr="00B059B2">
              <w:tab/>
              <w:t xml:space="preserve">so systémami OBD </w:t>
            </w:r>
            <w:r w:rsidRPr="00B059B2">
              <w:rPr>
                <w:b/>
                <w:bCs/>
                <w:i/>
                <w:iCs/>
              </w:rPr>
              <w:t>schopnými zistiť</w:t>
            </w:r>
            <w:r w:rsidRPr="00B059B2">
              <w:t xml:space="preserve"> nefungujúce systémy, ktoré vedú k prekročeniu </w:t>
            </w:r>
            <w:r w:rsidRPr="00B059B2">
              <w:rPr>
                <w:b/>
                <w:bCs/>
                <w:i/>
                <w:iCs/>
              </w:rPr>
              <w:t>výfukových</w:t>
            </w:r>
            <w:r w:rsidRPr="00B059B2">
              <w:t xml:space="preserve"> emisií </w:t>
            </w:r>
            <w:r w:rsidRPr="00B059B2">
              <w:rPr>
                <w:b/>
                <w:bCs/>
                <w:i/>
                <w:iCs/>
              </w:rPr>
              <w:t>alebo poruche ďalších komponentov</w:t>
            </w:r>
            <w:r w:rsidRPr="00B059B2">
              <w:t>, s cieľom uľahčiť opravy;</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63</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rPr>
          <w:b w:val="0"/>
        </w:rPr>
        <w:t>Článok 4 – odsek 6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b)</w:t>
            </w:r>
            <w:r w:rsidRPr="00B059B2">
              <w:tab/>
              <w:t xml:space="preserve">so systémami OBM schopnými zistiť emisie prekračujúce emisné limity v dôsledku porúch, zvýšenej degradácie </w:t>
            </w:r>
            <w:r w:rsidRPr="00B059B2">
              <w:lastRenderedPageBreak/>
              <w:t>alebo iných situácií, ktoré zvyšujú emisie;</w:t>
            </w:r>
          </w:p>
        </w:tc>
        <w:tc>
          <w:tcPr>
            <w:tcW w:w="4876" w:type="dxa"/>
          </w:tcPr>
          <w:p w:rsidR="00902EF1" w:rsidRPr="00B059B2" w:rsidRDefault="00902EF1" w:rsidP="0023402C">
            <w:pPr>
              <w:pStyle w:val="Normal6a"/>
            </w:pPr>
            <w:r w:rsidRPr="00B059B2">
              <w:lastRenderedPageBreak/>
              <w:t>b)</w:t>
            </w:r>
            <w:r w:rsidRPr="00B059B2">
              <w:tab/>
              <w:t xml:space="preserve">so systémami OBM schopnými zistiť emisie prekračujúce emisné limity v dôsledku porúch, zvýšenej degradácie </w:t>
            </w:r>
            <w:r w:rsidRPr="00B059B2">
              <w:lastRenderedPageBreak/>
              <w:t xml:space="preserve">alebo iných situácií, ktoré zvyšujú emisie, </w:t>
            </w:r>
            <w:r w:rsidRPr="00B059B2">
              <w:rPr>
                <w:b/>
                <w:bCs/>
                <w:i/>
                <w:iCs/>
              </w:rPr>
              <w:t>v rámci tolerancií meraní OBM alebo režimu nulových emisií</w:t>
            </w:r>
            <w:r w:rsidRPr="00B059B2">
              <w:t>;</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64</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rPr>
          <w:b w:val="0"/>
        </w:rPr>
        <w:t>Článok 4 – odsek 6 – písmeno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d)</w:t>
            </w:r>
            <w:r w:rsidRPr="00B059B2">
              <w:tab/>
              <w:t xml:space="preserve">s monitormi SOH trakčnej batérie </w:t>
            </w:r>
            <w:r w:rsidRPr="00B059B2">
              <w:rPr>
                <w:b/>
                <w:bCs/>
                <w:i/>
                <w:iCs/>
              </w:rPr>
              <w:t>a emisných systémov</w:t>
            </w:r>
            <w:r w:rsidRPr="00B059B2">
              <w:t>;</w:t>
            </w:r>
          </w:p>
        </w:tc>
        <w:tc>
          <w:tcPr>
            <w:tcW w:w="4876" w:type="dxa"/>
          </w:tcPr>
          <w:p w:rsidR="00902EF1" w:rsidRPr="00B059B2" w:rsidRDefault="00902EF1" w:rsidP="0023402C">
            <w:pPr>
              <w:pStyle w:val="Normal6a"/>
            </w:pPr>
            <w:r w:rsidRPr="00B059B2">
              <w:t>d)</w:t>
            </w:r>
            <w:r w:rsidRPr="00B059B2">
              <w:tab/>
              <w:t>s monitormi SOH trakčnej batérie;</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65</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rPr>
          <w:b w:val="0"/>
        </w:rPr>
        <w:t>Článok 4 – odsek 6 – písmeno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e)</w:t>
            </w:r>
            <w:r w:rsidRPr="00B059B2">
              <w:tab/>
              <w:t>so systémami varovania vodiča pri nadmerných emisiách;</w:t>
            </w:r>
          </w:p>
        </w:tc>
        <w:tc>
          <w:tcPr>
            <w:tcW w:w="4876" w:type="dxa"/>
          </w:tcPr>
          <w:p w:rsidR="00902EF1" w:rsidRPr="00B059B2" w:rsidRDefault="00902EF1" w:rsidP="0023402C">
            <w:pPr>
              <w:pStyle w:val="Normal6a"/>
            </w:pPr>
            <w:r w:rsidRPr="00B059B2">
              <w:t>e)</w:t>
            </w:r>
            <w:r w:rsidRPr="00B059B2">
              <w:tab/>
              <w:t xml:space="preserve">so systémami varovania vodiča pri nadmerných </w:t>
            </w:r>
            <w:r w:rsidRPr="00B059B2">
              <w:rPr>
                <w:b/>
                <w:bCs/>
                <w:i/>
                <w:iCs/>
              </w:rPr>
              <w:t>výfukových</w:t>
            </w:r>
            <w:r w:rsidRPr="00B059B2">
              <w:t xml:space="preserve"> emisiách;</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66</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rPr>
          <w:b w:val="0"/>
        </w:rPr>
        <w:t>Článok 4 – odsek 6 – písmeno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g)</w:t>
            </w:r>
            <w:r w:rsidRPr="00B059B2">
              <w:tab/>
              <w:t>so zariadeniami prenášajúcimi údaje generované vozidlom používané na dosiahnutie súladu s týmto nariadením a údaje OBFCM na účely pravidelných kontrol technického stavu a cestných technických kontrol na diaľku a na účely komunikácie s nabíjacou infraštruktúrou a stacionárnymi energetickými systémami schopnými podporovať funkcie inteligentného a obojsmerného nabíjania.</w:t>
            </w:r>
          </w:p>
        </w:tc>
        <w:tc>
          <w:tcPr>
            <w:tcW w:w="4876" w:type="dxa"/>
          </w:tcPr>
          <w:p w:rsidR="00902EF1" w:rsidRPr="00B059B2" w:rsidRDefault="00902EF1" w:rsidP="0023402C">
            <w:pPr>
              <w:pStyle w:val="Normal6a"/>
            </w:pPr>
            <w:r w:rsidRPr="00B059B2">
              <w:t>g)</w:t>
            </w:r>
            <w:r w:rsidRPr="00B059B2">
              <w:tab/>
              <w:t xml:space="preserve">so zariadeniami prenášajúcimi údaje generované vozidlom </w:t>
            </w:r>
            <w:r w:rsidRPr="00B059B2">
              <w:rPr>
                <w:b/>
                <w:bCs/>
                <w:i/>
                <w:iCs/>
              </w:rPr>
              <w:t>spolu s číslom schválenia a variantom typového schválenia</w:t>
            </w:r>
            <w:r w:rsidRPr="00B059B2">
              <w:t xml:space="preserve"> používané na dosiahnutie súladu s týmto nariadením a údaje OBFCM na účely pravidelných kontrol technického stavu, prípadne cestných technických kontrol na diaľku a na účely komunikácie s nabíjacou infraštruktúrou a stacionárnymi energetickými systémami schopnými podporovať funkcie inteligentného a obojsmerného nabíjania </w:t>
            </w:r>
            <w:r w:rsidRPr="00B059B2">
              <w:rPr>
                <w:b/>
                <w:bCs/>
                <w:i/>
                <w:iCs/>
              </w:rPr>
              <w:t xml:space="preserve">a aj na poskytovanie služieb tretej strany používateľovi vozidla s cieľom zlepšiť </w:t>
            </w:r>
            <w:r w:rsidRPr="00B059B2">
              <w:rPr>
                <w:b/>
                <w:bCs/>
                <w:i/>
                <w:iCs/>
              </w:rPr>
              <w:lastRenderedPageBreak/>
              <w:t>používanie vozidla, znížiť spotrebu energie vozidla a emisie alebo alebo predĺžiť životnosť jeho batérie v prevádzke</w:t>
            </w:r>
            <w:r w:rsidRPr="00B059B2">
              <w:t>.</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67</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rPr>
          <w:b w:val="0"/>
        </w:rPr>
        <w:t>Článok 4 – odsek 7 – písmeno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d)</w:t>
            </w:r>
            <w:r w:rsidRPr="00B059B2">
              <w:tab/>
              <w:t xml:space="preserve">počítadla kilometrov </w:t>
            </w:r>
            <w:r w:rsidRPr="00B059B2">
              <w:rPr>
                <w:b/>
                <w:bCs/>
                <w:i/>
                <w:iCs/>
              </w:rPr>
              <w:t>a</w:t>
            </w:r>
          </w:p>
        </w:tc>
        <w:tc>
          <w:tcPr>
            <w:tcW w:w="4876" w:type="dxa"/>
          </w:tcPr>
          <w:p w:rsidR="00902EF1" w:rsidRPr="00B059B2" w:rsidRDefault="00902EF1" w:rsidP="0023402C">
            <w:pPr>
              <w:pStyle w:val="Normal6a"/>
            </w:pPr>
            <w:r w:rsidRPr="00B059B2">
              <w:t>d)</w:t>
            </w:r>
            <w:r w:rsidRPr="00B059B2">
              <w:tab/>
              <w:t>počítadla kilometrov</w:t>
            </w:r>
            <w:r w:rsidRPr="00B059B2">
              <w:rPr>
                <w:b/>
                <w:bCs/>
                <w:i/>
                <w:iCs/>
              </w:rPr>
              <w:t>,</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68</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rPr>
          <w:b w:val="0"/>
        </w:rPr>
        <w:t>Článok 4 – odsek 7 – písmeno e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ea)</w:t>
            </w:r>
            <w:r w:rsidRPr="00B059B2">
              <w:tab/>
            </w:r>
            <w:r w:rsidRPr="00B059B2">
              <w:rPr>
                <w:b/>
                <w:i/>
              </w:rPr>
              <w:t>elektrický motor a súvisiace riadiace jednotky,</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69</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rPr>
          <w:b w:val="0"/>
        </w:rPr>
        <w:t>Článok 4 – odsek 7 – písmeno e b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eb)</w:t>
            </w:r>
            <w:r w:rsidRPr="00B059B2">
              <w:tab/>
            </w:r>
            <w:r w:rsidRPr="00B059B2">
              <w:rPr>
                <w:b/>
                <w:i/>
              </w:rPr>
              <w:t>bezpečnostných systémov vozidiel.</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70</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4 – odsek 8</w:t>
      </w:r>
    </w:p>
    <w:p w:rsidR="00902EF1" w:rsidRPr="00B059B2" w:rsidRDefault="00902EF1" w:rsidP="00902EF1"/>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8.</w:t>
            </w:r>
            <w:r w:rsidRPr="00B059B2">
              <w:tab/>
              <w:t xml:space="preserve">Výrobca zabráni možnosti využívania zraniteľností uvedených v bode </w:t>
            </w:r>
            <w:r w:rsidRPr="00B059B2">
              <w:lastRenderedPageBreak/>
              <w:t>7. Ak sa takáto zraniteľnosť zistí, výrobca túto zraniteľnosť odstráni aktualizáciou softvéru alebo akýmkoľvek iným vhodným spôsobom.</w:t>
            </w:r>
          </w:p>
        </w:tc>
        <w:tc>
          <w:tcPr>
            <w:tcW w:w="4876" w:type="dxa"/>
          </w:tcPr>
          <w:p w:rsidR="00902EF1" w:rsidRPr="00B059B2" w:rsidRDefault="00902EF1" w:rsidP="0023402C">
            <w:pPr>
              <w:pStyle w:val="Normal6a"/>
            </w:pPr>
            <w:r w:rsidRPr="00B059B2">
              <w:lastRenderedPageBreak/>
              <w:t>8.</w:t>
            </w:r>
            <w:r w:rsidRPr="00B059B2">
              <w:tab/>
              <w:t xml:space="preserve">Výrobca zabráni možnosti využívania zraniteľností uvedených v bode </w:t>
            </w:r>
            <w:r w:rsidRPr="00B059B2">
              <w:lastRenderedPageBreak/>
              <w:t xml:space="preserve">7 </w:t>
            </w:r>
            <w:r w:rsidRPr="00B059B2">
              <w:rPr>
                <w:b/>
                <w:bCs/>
                <w:i/>
                <w:iCs/>
              </w:rPr>
              <w:t>v čo najväčšej možnej miere na základe najlepších poznatkov dostupných v čase typového schvaľovania</w:t>
            </w:r>
            <w:r w:rsidRPr="00B059B2">
              <w:t xml:space="preserve">. Ak sa takáto zraniteľnosť zistí, výrobca </w:t>
            </w:r>
            <w:r w:rsidRPr="00B059B2">
              <w:rPr>
                <w:b/>
                <w:bCs/>
                <w:i/>
                <w:iCs/>
              </w:rPr>
              <w:t>prijme všetky možné opatrenia, pričom zohľadní stav technológie</w:t>
            </w:r>
            <w:r w:rsidRPr="00B059B2">
              <w:t xml:space="preserve"> s cieľom odstrániť túto zraniteľnosť aktualizáciou softvéru alebo akýmkoľvek iným vhodným spôsobom.</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71</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4 – odsek 8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8a.</w:t>
            </w:r>
            <w:r w:rsidRPr="00B059B2">
              <w:tab/>
            </w:r>
            <w:r w:rsidRPr="00B059B2">
              <w:rPr>
                <w:b/>
                <w:i/>
              </w:rPr>
              <w:t>Výrobcovia zabezpečia nezávislým prevádzkovateľom prístup k informáciám, nástrojom a postupom potrebným na vývoj kompatibilných popredajných náhradných dielov, ktoré spĺňajú technické požiadavky výrobcu, a možnosť inštalovať a aktivovať tieto diely vo vozidle vrátane komponentov súvisiacich s OBM v súlade s opatreniami proti neoprávnenému zasahovaniu zavedenými výrobcom.</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Pri zvažovaní zadržania informácií, nástrojov a postupov, ktoré sú nevyhnutné pre nezávislých prevádzkovateľov, z dôvodu boja proti neoprávnenému zasahovaniu výrobcovia vozidiel preukážu, či by zadržanie príslušných informácií, nástrojov a postupov bolo primeraným prostriedkom na riešenie predmetných obáv z neoprávneného zasahovania. Preto preskúmajú najmä to, či by nepostačovali menej reštriktívne opatrenia.</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72</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rPr>
          <w:b w:val="0"/>
        </w:rPr>
        <w:t>Článok 4 – odsek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lastRenderedPageBreak/>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rPr>
                <w:b/>
                <w:i/>
              </w:rPr>
              <w:t>10.</w:t>
            </w:r>
            <w:r w:rsidRPr="00B059B2">
              <w:tab/>
            </w:r>
            <w:r w:rsidRPr="00B059B2">
              <w:rPr>
                <w:b/>
                <w:i/>
              </w:rPr>
              <w:t>Komisia formou vykonávacích aktov prijme podrobné pravidlá týkajúce sa postupov, skúšok a metodík na overenie súladu s požiadavkami stanovenými v odsekoch 1 až 9. Uvedené vykonávacie akty sa prijmú v súlade s postupom preskúmania uvedeným v článku 17 ods. 2.</w:t>
            </w:r>
          </w:p>
        </w:tc>
        <w:tc>
          <w:tcPr>
            <w:tcW w:w="4876" w:type="dxa"/>
          </w:tcPr>
          <w:p w:rsidR="00902EF1" w:rsidRPr="00B059B2" w:rsidRDefault="00902EF1" w:rsidP="0023402C">
            <w:pPr>
              <w:pStyle w:val="Normal6a"/>
            </w:pPr>
            <w:r w:rsidRPr="00B059B2">
              <w:rPr>
                <w:b/>
                <w:i/>
              </w:rPr>
              <w:t>vypúšťa sa</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73</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5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rPr>
                <w:b/>
                <w:i/>
              </w:rPr>
              <w:t>1.</w:t>
            </w:r>
            <w:r w:rsidRPr="00B059B2">
              <w:tab/>
            </w:r>
            <w:r w:rsidRPr="00B059B2">
              <w:rPr>
                <w:b/>
                <w:i/>
              </w:rPr>
              <w:t>Výrobcovia môžu označiť nimi vyrábané vozidlá ako „vozidlo podľa normy Euro 7+“, ak uvedené vozidlá spĺňajú tieto podmienky:</w:t>
            </w:r>
          </w:p>
        </w:tc>
        <w:tc>
          <w:tcPr>
            <w:tcW w:w="4876" w:type="dxa"/>
          </w:tcPr>
          <w:p w:rsidR="00902EF1" w:rsidRPr="00B059B2" w:rsidRDefault="00902EF1" w:rsidP="0023402C">
            <w:pPr>
              <w:pStyle w:val="Normal6a"/>
            </w:pPr>
            <w:r w:rsidRPr="00B059B2">
              <w:rPr>
                <w:b/>
                <w:i/>
              </w:rPr>
              <w:t>vypúšťa sa</w:t>
            </w:r>
          </w:p>
        </w:tc>
      </w:tr>
      <w:tr w:rsidR="00902EF1" w:rsidRPr="00B059B2" w:rsidTr="0023402C">
        <w:trPr>
          <w:jc w:val="center"/>
        </w:trPr>
        <w:tc>
          <w:tcPr>
            <w:tcW w:w="4876" w:type="dxa"/>
          </w:tcPr>
          <w:p w:rsidR="00902EF1" w:rsidRPr="00B059B2" w:rsidRDefault="00902EF1" w:rsidP="0023402C">
            <w:pPr>
              <w:pStyle w:val="Normal6a"/>
            </w:pPr>
            <w:r w:rsidRPr="00B059B2">
              <w:rPr>
                <w:b/>
                <w:i/>
              </w:rPr>
              <w:t xml:space="preserve">a) </w:t>
            </w:r>
            <w:r w:rsidRPr="00B059B2">
              <w:tab/>
            </w:r>
            <w:r w:rsidRPr="00B059B2">
              <w:rPr>
                <w:b/>
                <w:i/>
              </w:rPr>
              <w:t>v prípade vozidiel ICEV a NOVC-HEV vyhlásením súladu s emisnými limitmi nižšími najmenej o 20 %, než sú limity stanovené v prílohe I pre plynné znečisťujúce látky a o jeden rád nižšími emisnými limitmi pre počet emitovaných častíc;</w:t>
            </w:r>
          </w:p>
        </w:tc>
        <w:tc>
          <w:tcPr>
            <w:tcW w:w="4876" w:type="dxa"/>
          </w:tcPr>
          <w:p w:rsidR="00902EF1" w:rsidRPr="00B059B2" w:rsidRDefault="00902EF1" w:rsidP="0023402C">
            <w:pPr>
              <w:pStyle w:val="Normal6a"/>
            </w:pPr>
          </w:p>
        </w:tc>
      </w:tr>
      <w:tr w:rsidR="00902EF1" w:rsidRPr="00B059B2" w:rsidTr="0023402C">
        <w:trPr>
          <w:jc w:val="center"/>
        </w:trPr>
        <w:tc>
          <w:tcPr>
            <w:tcW w:w="4876" w:type="dxa"/>
          </w:tcPr>
          <w:p w:rsidR="00902EF1" w:rsidRPr="00B059B2" w:rsidRDefault="00902EF1" w:rsidP="0023402C">
            <w:pPr>
              <w:pStyle w:val="Normal6a"/>
            </w:pPr>
            <w:r w:rsidRPr="00B059B2">
              <w:rPr>
                <w:b/>
                <w:i/>
              </w:rPr>
              <w:t xml:space="preserve">b) </w:t>
            </w:r>
            <w:r w:rsidRPr="00B059B2">
              <w:tab/>
            </w:r>
            <w:r w:rsidRPr="00B059B2">
              <w:rPr>
                <w:b/>
                <w:i/>
              </w:rPr>
              <w:t>v prípade vozidiel OVC-HEV vyhlásením súladu s emisnými limitmi nižšími najmenej o 20 %, než sú limity stanovené v prílohe I pre plynné znečisťujúce látky, a o jeden rád nižšími emisnými limitmi pre počet emitovaných častíc, ako aj životnosťou batérií, ktorá je aspoň o 10 percentuálnych bodov vyššia ako požiadavky stanovené v prílohe II;</w:t>
            </w:r>
          </w:p>
        </w:tc>
        <w:tc>
          <w:tcPr>
            <w:tcW w:w="4876" w:type="dxa"/>
          </w:tcPr>
          <w:p w:rsidR="00902EF1" w:rsidRPr="00B059B2" w:rsidRDefault="00902EF1" w:rsidP="0023402C">
            <w:pPr>
              <w:pStyle w:val="Normal6a"/>
            </w:pPr>
          </w:p>
        </w:tc>
      </w:tr>
      <w:tr w:rsidR="00902EF1" w:rsidRPr="00B059B2" w:rsidTr="0023402C">
        <w:trPr>
          <w:jc w:val="center"/>
        </w:trPr>
        <w:tc>
          <w:tcPr>
            <w:tcW w:w="4876" w:type="dxa"/>
          </w:tcPr>
          <w:p w:rsidR="00902EF1" w:rsidRPr="00B059B2" w:rsidRDefault="00902EF1" w:rsidP="00925100">
            <w:pPr>
              <w:pStyle w:val="Normal6a"/>
            </w:pPr>
            <w:r w:rsidRPr="00B059B2">
              <w:rPr>
                <w:b/>
                <w:i/>
              </w:rPr>
              <w:t>c)</w:t>
            </w:r>
            <w:r w:rsidRPr="00B059B2">
              <w:tab/>
            </w:r>
            <w:r w:rsidRPr="00B059B2">
              <w:rPr>
                <w:b/>
                <w:i/>
              </w:rPr>
              <w:t>v prípade vozidiel PEV vyhlásením životnosti batérie, ktorá je aspoň o 10 percentuálnych bodov vyššia ako požiadavky stanovené v prílohe II.</w:t>
            </w:r>
          </w:p>
        </w:tc>
        <w:tc>
          <w:tcPr>
            <w:tcW w:w="4876" w:type="dxa"/>
          </w:tcPr>
          <w:p w:rsidR="00902EF1" w:rsidRPr="00B059B2" w:rsidRDefault="00902EF1" w:rsidP="0023402C">
            <w:pPr>
              <w:pStyle w:val="Normal6a"/>
            </w:pP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74</w:t>
      </w:r>
    </w:p>
    <w:p w:rsidR="00902EF1" w:rsidRPr="00B059B2" w:rsidRDefault="00902EF1" w:rsidP="00902EF1">
      <w:pPr>
        <w:pStyle w:val="NormalBold12b"/>
      </w:pPr>
    </w:p>
    <w:p w:rsidR="00902EF1" w:rsidRPr="00B059B2" w:rsidRDefault="00902EF1" w:rsidP="00902EF1">
      <w:pPr>
        <w:pStyle w:val="NormalBold"/>
      </w:pPr>
      <w:r w:rsidRPr="00B059B2">
        <w:lastRenderedPageBreak/>
        <w:t>Návrh nariadenia</w:t>
      </w:r>
    </w:p>
    <w:p w:rsidR="00902EF1" w:rsidRPr="00B059B2" w:rsidRDefault="00902EF1" w:rsidP="00902EF1">
      <w:pPr>
        <w:pStyle w:val="NormalBold"/>
      </w:pPr>
      <w:r w:rsidRPr="00B059B2">
        <w:rPr>
          <w:b w:val="0"/>
        </w:rPr>
        <w:t>Článok 5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rPr>
                <w:b/>
                <w:i/>
              </w:rPr>
              <w:t>2.</w:t>
            </w:r>
            <w:r w:rsidRPr="00B059B2">
              <w:tab/>
            </w:r>
            <w:r w:rsidRPr="00B059B2">
              <w:rPr>
                <w:b/>
                <w:i/>
              </w:rPr>
              <w:t>Súlad týchto vozidiel s požiadavkami podľa odseku 1 sa kontroluje z hľadiska deklarovaných hodnôt.</w:t>
            </w:r>
          </w:p>
        </w:tc>
        <w:tc>
          <w:tcPr>
            <w:tcW w:w="4876" w:type="dxa"/>
          </w:tcPr>
          <w:p w:rsidR="00902EF1" w:rsidRPr="00B059B2" w:rsidRDefault="00902EF1" w:rsidP="0023402C">
            <w:pPr>
              <w:pStyle w:val="Normal6a"/>
            </w:pPr>
            <w:r w:rsidRPr="00B059B2">
              <w:rPr>
                <w:b/>
                <w:i/>
              </w:rPr>
              <w:t>vypúšťa sa</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75</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5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rPr>
                <w:b/>
                <w:i/>
              </w:rPr>
              <w:t>3.</w:t>
            </w:r>
            <w:r w:rsidRPr="00B059B2">
              <w:tab/>
            </w:r>
            <w:r w:rsidRPr="00B059B2">
              <w:rPr>
                <w:b/>
                <w:i/>
              </w:rPr>
              <w:t>Výrobcovia môžu označiť vozidlá za „vozidlá podľa normy Euro 7A“, ak sú tieto vozidlá vybavené adaptívnymi funkciami regulácie. Používanie adaptívnych funkcií regulácie sa preukazuje schvaľovacím úradom počas typového schvaľovania a overuje sa počas životnosti vozidla, ako sa uvádza v tabuľke 1 v prílohe IV.</w:t>
            </w:r>
          </w:p>
        </w:tc>
        <w:tc>
          <w:tcPr>
            <w:tcW w:w="4876" w:type="dxa"/>
          </w:tcPr>
          <w:p w:rsidR="00902EF1" w:rsidRPr="00B059B2" w:rsidRDefault="00902EF1" w:rsidP="0023402C">
            <w:pPr>
              <w:pStyle w:val="Normal6a"/>
            </w:pPr>
            <w:r w:rsidRPr="00B059B2">
              <w:rPr>
                <w:b/>
                <w:i/>
              </w:rPr>
              <w:t>vypúšťa sa</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76</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5 – odsek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rPr>
                <w:b/>
                <w:i/>
              </w:rPr>
              <w:t>4.</w:t>
            </w:r>
            <w:r w:rsidRPr="00B059B2">
              <w:tab/>
            </w:r>
            <w:r w:rsidRPr="00B059B2">
              <w:rPr>
                <w:b/>
                <w:i/>
              </w:rPr>
              <w:t xml:space="preserve">Výrobcovia môžu označiť vozidlá za „vozidlá podľa normy Euro 7G“, ak sú dané vozidlá vybavené spaľovacím motorom s technológiami geofencingu. Výrobca musí do týchto vozidiel namontovať systém varovania vodiča s cieľom informovať používateľa, keď sú trakčné batérie takmer prázdne, a zastaviť vozidlo, ak nie je nabité do 5 km od prvého varovania v režime nulových emisií. Uplatňovanie takýchto technológií geofencingu možno overiť počas </w:t>
            </w:r>
            <w:r w:rsidRPr="00B059B2">
              <w:rPr>
                <w:b/>
                <w:i/>
              </w:rPr>
              <w:lastRenderedPageBreak/>
              <w:t>životnosti vozidla.</w:t>
            </w:r>
          </w:p>
        </w:tc>
        <w:tc>
          <w:tcPr>
            <w:tcW w:w="4876" w:type="dxa"/>
          </w:tcPr>
          <w:p w:rsidR="00902EF1" w:rsidRPr="00B059B2" w:rsidRDefault="00902EF1" w:rsidP="0023402C">
            <w:pPr>
              <w:pStyle w:val="Normal6a"/>
            </w:pPr>
            <w:r w:rsidRPr="00B059B2">
              <w:rPr>
                <w:b/>
                <w:i/>
              </w:rPr>
              <w:lastRenderedPageBreak/>
              <w:t>vypúšťa sa</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77</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5 – odsek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rPr>
                <w:b/>
                <w:i/>
              </w:rPr>
              <w:t>5.</w:t>
            </w:r>
            <w:r w:rsidRPr="00B059B2">
              <w:tab/>
            </w:r>
            <w:r w:rsidRPr="00B059B2">
              <w:rPr>
                <w:b/>
                <w:i/>
              </w:rPr>
              <w:t>Výrobcovia môžu konštruovať vozidlá, ktoré kombinujú dve alebo viac charakteristík uvedených v odsekoch 1, 2 alebo 3, a označiť ich kombináciou symbolov a písmen, ako sú vozidlá „podľa normy Euro 7+A“, „Euro 7+G“, „Euro 7+AG“ alebo „Euro 7AG“.</w:t>
            </w:r>
          </w:p>
        </w:tc>
        <w:tc>
          <w:tcPr>
            <w:tcW w:w="4876" w:type="dxa"/>
          </w:tcPr>
          <w:p w:rsidR="00902EF1" w:rsidRPr="00B059B2" w:rsidRDefault="00902EF1" w:rsidP="0023402C">
            <w:pPr>
              <w:pStyle w:val="Normal6a"/>
            </w:pPr>
            <w:r w:rsidRPr="00B059B2">
              <w:rPr>
                <w:b/>
                <w:i/>
              </w:rPr>
              <w:t>vypúšťa sa</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78</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5 – odsek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rPr>
                <w:b/>
                <w:i/>
              </w:rPr>
              <w:t>6.</w:t>
            </w:r>
            <w:r w:rsidRPr="00B059B2">
              <w:tab/>
            </w:r>
            <w:r w:rsidRPr="00B059B2">
              <w:rPr>
                <w:b/>
                <w:i/>
              </w:rPr>
              <w:t>Schvaľovací úrad môže na žiadosť výrobcu pre vozidlá kategórie N</w:t>
            </w:r>
            <w:r w:rsidRPr="00B059B2">
              <w:rPr>
                <w:b/>
                <w:i/>
                <w:vertAlign w:val="subscript"/>
              </w:rPr>
              <w:t>2</w:t>
            </w:r>
            <w:r w:rsidRPr="00B059B2">
              <w:rPr>
                <w:b/>
                <w:i/>
              </w:rPr>
              <w:t xml:space="preserve"> s maximálnou hmotnosťou od 3,5 do 4,0 ton s pôvodom v type vozidla kategórie N</w:t>
            </w:r>
            <w:r w:rsidRPr="00B059B2">
              <w:rPr>
                <w:b/>
                <w:i/>
                <w:vertAlign w:val="subscript"/>
              </w:rPr>
              <w:t>1</w:t>
            </w:r>
            <w:r w:rsidRPr="00B059B2">
              <w:rPr>
                <w:b/>
                <w:i/>
              </w:rPr>
              <w:t>, udeliť typové schválenie vzťahujúce sa na emisie pre typ vozidla kategórie N</w:t>
            </w:r>
            <w:r w:rsidRPr="00B059B2">
              <w:rPr>
                <w:b/>
                <w:i/>
                <w:vertAlign w:val="subscript"/>
              </w:rPr>
              <w:t>1</w:t>
            </w:r>
            <w:r w:rsidRPr="00B059B2">
              <w:rPr>
                <w:b/>
                <w:i/>
              </w:rPr>
              <w:t>. Takéto vozidlá sa označujú ako „vozidlo podľa normy Euro 7ext“.</w:t>
            </w:r>
          </w:p>
        </w:tc>
        <w:tc>
          <w:tcPr>
            <w:tcW w:w="4876" w:type="dxa"/>
          </w:tcPr>
          <w:p w:rsidR="00902EF1" w:rsidRPr="00B059B2" w:rsidRDefault="00902EF1" w:rsidP="0023402C">
            <w:pPr>
              <w:pStyle w:val="Normal6a"/>
            </w:pPr>
            <w:r w:rsidRPr="00B059B2">
              <w:rPr>
                <w:b/>
                <w:i/>
              </w:rPr>
              <w:t>vypúšťa sa</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79</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5 – odsek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rPr>
                <w:b/>
                <w:i/>
              </w:rPr>
              <w:t>7.</w:t>
            </w:r>
            <w:r w:rsidRPr="00B059B2">
              <w:tab/>
            </w:r>
            <w:r w:rsidRPr="00B059B2">
              <w:rPr>
                <w:b/>
                <w:i/>
              </w:rPr>
              <w:t xml:space="preserve">Komisia formou vykonávacích aktov prijme podrobné pravidlá týkajúce sa postupov, skúšok a metodík na overenie súladu s požiadavkami stanovenými v odsekoch 1 až 6. Uvedené vykonávacie </w:t>
            </w:r>
            <w:r w:rsidRPr="00B059B2">
              <w:rPr>
                <w:b/>
                <w:i/>
              </w:rPr>
              <w:lastRenderedPageBreak/>
              <w:t>akty sa prijmú v súlade s postupom preskúmania uvedeným v článku 17 ods. 2.</w:t>
            </w:r>
          </w:p>
        </w:tc>
        <w:tc>
          <w:tcPr>
            <w:tcW w:w="4876" w:type="dxa"/>
          </w:tcPr>
          <w:p w:rsidR="00902EF1" w:rsidRPr="00B059B2" w:rsidRDefault="00902EF1" w:rsidP="0023402C">
            <w:pPr>
              <w:pStyle w:val="Normal6a"/>
            </w:pPr>
            <w:r w:rsidRPr="00B059B2">
              <w:rPr>
                <w:b/>
                <w:i/>
              </w:rPr>
              <w:lastRenderedPageBreak/>
              <w:t>vypúšťa sa</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80</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rPr>
          <w:b w:val="0"/>
        </w:rPr>
        <w:t>Článok 6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3.</w:t>
            </w:r>
            <w:r w:rsidRPr="00B059B2">
              <w:tab/>
              <w:t>Výrobcovia zabezpečia, aby zariadenia OBFCM, OBD a OBM a opatrenia proti neoprávnenej manipulácii namontované v týchto vozidlách boli v súlade s ustanoveniami tohto nariadenia, pokiaľ sa vozidlo používa.</w:t>
            </w:r>
          </w:p>
        </w:tc>
        <w:tc>
          <w:tcPr>
            <w:tcW w:w="4876" w:type="dxa"/>
          </w:tcPr>
          <w:p w:rsidR="00902EF1" w:rsidRPr="00B059B2" w:rsidRDefault="00902EF1" w:rsidP="0023402C">
            <w:pPr>
              <w:pStyle w:val="Normal6a"/>
            </w:pPr>
            <w:r w:rsidRPr="00B059B2">
              <w:t>3.</w:t>
            </w:r>
            <w:r w:rsidRPr="00B059B2">
              <w:tab/>
              <w:t>Výrobcovia zabezpečia, aby</w:t>
            </w:r>
            <w:r w:rsidRPr="00B059B2">
              <w:rPr>
                <w:b/>
                <w:bCs/>
                <w:i/>
                <w:iCs/>
              </w:rPr>
              <w:t xml:space="preserve"> dizajn a funkčnosť</w:t>
            </w:r>
            <w:r w:rsidRPr="00B059B2">
              <w:t xml:space="preserve"> zariadení OBFCM, OBD a OBM a opatrenia proti neoprávnenej manipulácii namontované v týchto vozidlách boli v súlade s ustanoveniami tohto nariadenia </w:t>
            </w:r>
            <w:r w:rsidRPr="00B059B2">
              <w:rPr>
                <w:b/>
                <w:bCs/>
                <w:i/>
                <w:iCs/>
              </w:rPr>
              <w:t>a nedali sa deaktivovať</w:t>
            </w:r>
            <w:r w:rsidRPr="00B059B2">
              <w:t>, pokiaľ sa vozidlo používa.</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81</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rPr>
          <w:b w:val="0"/>
        </w:rPr>
        <w:t>Článok 6 – odsek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4.</w:t>
            </w:r>
            <w:r w:rsidRPr="00B059B2">
              <w:tab/>
              <w:t>Požiadavky uvedené v </w:t>
            </w:r>
            <w:r w:rsidRPr="00B059B2">
              <w:rPr>
                <w:b/>
                <w:bCs/>
                <w:i/>
                <w:iCs/>
              </w:rPr>
              <w:t>bodoch</w:t>
            </w:r>
            <w:r w:rsidRPr="00B059B2">
              <w:t xml:space="preserve"> 1 až 3 sa uplatňujú na vozidlá pre všetky typy palív alebo zdrojov energie, ktorými sú poháňané. Rovnaké požiadavky sa vzťahujú aj na všetky samostatné technické jednotky a komponenty určené pre takéto vozidlá.</w:t>
            </w:r>
          </w:p>
        </w:tc>
        <w:tc>
          <w:tcPr>
            <w:tcW w:w="4876" w:type="dxa"/>
          </w:tcPr>
          <w:p w:rsidR="00902EF1" w:rsidRPr="00B059B2" w:rsidRDefault="00902EF1" w:rsidP="0023402C">
            <w:pPr>
              <w:pStyle w:val="Normal6a"/>
            </w:pPr>
            <w:r w:rsidRPr="00B059B2">
              <w:t>4.</w:t>
            </w:r>
            <w:r w:rsidRPr="00B059B2">
              <w:tab/>
              <w:t>Požiadavky uvedené v </w:t>
            </w:r>
            <w:r w:rsidRPr="00B059B2">
              <w:rPr>
                <w:b/>
                <w:bCs/>
                <w:i/>
                <w:iCs/>
              </w:rPr>
              <w:t>odsekoch</w:t>
            </w:r>
            <w:r w:rsidRPr="00B059B2">
              <w:t xml:space="preserve"> 1 až 3 sa uplatňujú na vozidlá pre všetky typy palív alebo zdrojov energie, ktorými sú poháňané. Rovnaké požiadavky sa vzťahujú aj na všetky samostatné technické jednotky a komponenty určené pre takéto vozidlá.</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82</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rPr>
          <w:b w:val="0"/>
        </w:rPr>
        <w:t>Článok 6 – odsek 6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6.</w:t>
            </w:r>
            <w:r w:rsidRPr="00B059B2">
              <w:tab/>
              <w:t>Systémy OBM inštalované výrobcom v týchto vozidlách musia byť schopné:</w:t>
            </w:r>
          </w:p>
        </w:tc>
        <w:tc>
          <w:tcPr>
            <w:tcW w:w="4876" w:type="dxa"/>
          </w:tcPr>
          <w:p w:rsidR="00902EF1" w:rsidRPr="00B059B2" w:rsidRDefault="00902EF1" w:rsidP="0023402C">
            <w:pPr>
              <w:pStyle w:val="Normal6a"/>
            </w:pPr>
            <w:r w:rsidRPr="00B059B2">
              <w:t>6.</w:t>
            </w:r>
            <w:r w:rsidRPr="00B059B2">
              <w:tab/>
              <w:t>Systémy OBM inštalované výrobcom v týchto vozidlách musia byť schopné:</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83</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rPr>
          <w:b w:val="0"/>
        </w:rPr>
        <w:t>Článok 6 – odsek 6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b)</w:t>
            </w:r>
            <w:r w:rsidRPr="00B059B2">
              <w:tab/>
              <w:t>prenášať údaje o emisnom správaní vozidla vrátane údajov zo snímača znečisťujúcich látok a údajov o prietoku výfukových plynov cez port OBD a šíriť ich vzduchom, a to aj na účely kontrol technického stavu a cestných technických kontrol</w:t>
            </w:r>
            <w:r w:rsidRPr="00B059B2">
              <w:rPr>
                <w:vertAlign w:val="superscript"/>
              </w:rPr>
              <w:t>55</w:t>
            </w:r>
            <w:r w:rsidRPr="00B059B2">
              <w:t xml:space="preserve"> ,</w:t>
            </w:r>
            <w:r w:rsidRPr="00B059B2">
              <w:rPr>
                <w:vertAlign w:val="superscript"/>
              </w:rPr>
              <w:t>56</w:t>
            </w:r>
            <w:r w:rsidRPr="00B059B2">
              <w:t>;</w:t>
            </w:r>
          </w:p>
        </w:tc>
        <w:tc>
          <w:tcPr>
            <w:tcW w:w="4876" w:type="dxa"/>
          </w:tcPr>
          <w:p w:rsidR="00902EF1" w:rsidRPr="00B059B2" w:rsidRDefault="00902EF1" w:rsidP="0023402C">
            <w:pPr>
              <w:pStyle w:val="Normal6a"/>
            </w:pPr>
            <w:r w:rsidRPr="00B059B2">
              <w:t>b)</w:t>
            </w:r>
            <w:r w:rsidRPr="00B059B2">
              <w:tab/>
              <w:t xml:space="preserve">prenášať údaje o emisnom správaní vozidla, </w:t>
            </w:r>
            <w:r w:rsidRPr="00B059B2">
              <w:rPr>
                <w:b/>
                <w:bCs/>
                <w:i/>
                <w:iCs/>
              </w:rPr>
              <w:t>pokiaľ ide o výfukové emisie,</w:t>
            </w:r>
            <w:r w:rsidRPr="00B059B2">
              <w:t xml:space="preserve"> vrátane údajov zo snímača znečisťujúcich látok a údajov o prietoku výfukových plynov cez port OBD a šíriť ich vzduchom, a to aj na účely kontrol technického stavu a cestných technických kontrol</w:t>
            </w:r>
            <w:r w:rsidRPr="00B059B2">
              <w:rPr>
                <w:vertAlign w:val="superscript"/>
              </w:rPr>
              <w:t>55,56</w:t>
            </w:r>
            <w:r w:rsidRPr="00B059B2">
              <w:t xml:space="preserve"> </w:t>
            </w:r>
            <w:r w:rsidRPr="00B059B2">
              <w:rPr>
                <w:b/>
                <w:bCs/>
                <w:i/>
                <w:iCs/>
              </w:rPr>
              <w:t>alebo na účely zistenia zasahovania a poskytnutia služieb tretích strán, ktoré pomáhajú používateľovi vozidla znižovať emisie vo fáze používania</w:t>
            </w:r>
            <w:r w:rsidRPr="00B059B2">
              <w:t>;</w:t>
            </w:r>
          </w:p>
        </w:tc>
      </w:tr>
      <w:tr w:rsidR="00902EF1" w:rsidRPr="00B059B2" w:rsidTr="0023402C">
        <w:trPr>
          <w:jc w:val="center"/>
        </w:trPr>
        <w:tc>
          <w:tcPr>
            <w:tcW w:w="4876" w:type="dxa"/>
          </w:tcPr>
          <w:p w:rsidR="00902EF1" w:rsidRPr="00B059B2" w:rsidRDefault="00902EF1" w:rsidP="0023402C">
            <w:pPr>
              <w:pStyle w:val="Normal6a"/>
            </w:pPr>
            <w:r w:rsidRPr="00B059B2">
              <w:rPr>
                <w:b/>
                <w:i/>
              </w:rPr>
              <w:t>_________________</w:t>
            </w:r>
          </w:p>
        </w:tc>
        <w:tc>
          <w:tcPr>
            <w:tcW w:w="4876" w:type="dxa"/>
          </w:tcPr>
          <w:p w:rsidR="00902EF1" w:rsidRPr="00B059B2" w:rsidRDefault="00902EF1" w:rsidP="0023402C">
            <w:pPr>
              <w:pStyle w:val="Normal6a"/>
            </w:pPr>
            <w:r w:rsidRPr="00B059B2">
              <w:rPr>
                <w:b/>
                <w:i/>
              </w:rPr>
              <w:t>_________________</w:t>
            </w:r>
          </w:p>
        </w:tc>
      </w:tr>
      <w:tr w:rsidR="00902EF1" w:rsidRPr="00B059B2" w:rsidTr="0023402C">
        <w:trPr>
          <w:jc w:val="center"/>
        </w:trPr>
        <w:tc>
          <w:tcPr>
            <w:tcW w:w="4876" w:type="dxa"/>
          </w:tcPr>
          <w:p w:rsidR="00902EF1" w:rsidRPr="00B059B2" w:rsidRDefault="00902EF1" w:rsidP="0023402C">
            <w:pPr>
              <w:pStyle w:val="Normal6a"/>
            </w:pPr>
            <w:r w:rsidRPr="00B059B2">
              <w:rPr>
                <w:vertAlign w:val="superscript"/>
              </w:rPr>
              <w:t>55</w:t>
            </w:r>
            <w:r w:rsidRPr="00B059B2">
              <w:t xml:space="preserve"> Smernica Európskeho parlamentu a Rady 2014/47/EÚ z 3. apríla 2014 o cestnej technickej kontrole úžitkových vozidiel prevádzkovaných v Únii a o zrušení smernice 2000/30/ES (Ú. v. EÚ L 127, 29.4.2014, s. 134).</w:t>
            </w:r>
          </w:p>
        </w:tc>
        <w:tc>
          <w:tcPr>
            <w:tcW w:w="4876" w:type="dxa"/>
          </w:tcPr>
          <w:p w:rsidR="00902EF1" w:rsidRPr="00B059B2" w:rsidRDefault="00902EF1" w:rsidP="0023402C">
            <w:pPr>
              <w:pStyle w:val="Normal6a"/>
            </w:pPr>
            <w:r w:rsidRPr="00B059B2">
              <w:rPr>
                <w:vertAlign w:val="superscript"/>
              </w:rPr>
              <w:t>55</w:t>
            </w:r>
            <w:r w:rsidRPr="00B059B2">
              <w:t xml:space="preserve"> Smernica Európskeho parlamentu a Rady 2014/47/EÚ z 3. apríla 2014 o cestnej technickej kontrole úžitkových vozidiel prevádzkovaných v Únii a o zrušení smernice 2000/30/ES (Ú. v. EÚ L 127, 29.4.2014, s. 134).</w:t>
            </w:r>
          </w:p>
        </w:tc>
      </w:tr>
      <w:tr w:rsidR="00902EF1" w:rsidRPr="00B059B2" w:rsidTr="0023402C">
        <w:trPr>
          <w:jc w:val="center"/>
        </w:trPr>
        <w:tc>
          <w:tcPr>
            <w:tcW w:w="4876" w:type="dxa"/>
          </w:tcPr>
          <w:p w:rsidR="00902EF1" w:rsidRPr="00B059B2" w:rsidRDefault="00902EF1" w:rsidP="0023402C">
            <w:pPr>
              <w:pStyle w:val="Normal6a"/>
            </w:pPr>
            <w:r w:rsidRPr="00B059B2">
              <w:rPr>
                <w:vertAlign w:val="superscript"/>
              </w:rPr>
              <w:t>56</w:t>
            </w:r>
            <w:r w:rsidRPr="00B059B2">
              <w:t xml:space="preserve"> Smernica Európskeho parlamentu a Rady 2014/45/EÚ z 3. apríla 2014 o pravidelnej kontrole technického stavu motorových vozidiel a ich prípojných vozidiel a o zrušení smernice 2009/40/ES (Ú. v. EÚ L 127, 29.4.2014, s. 129).</w:t>
            </w:r>
          </w:p>
        </w:tc>
        <w:tc>
          <w:tcPr>
            <w:tcW w:w="4876" w:type="dxa"/>
          </w:tcPr>
          <w:p w:rsidR="00902EF1" w:rsidRPr="00B059B2" w:rsidRDefault="00902EF1" w:rsidP="0023402C">
            <w:pPr>
              <w:pStyle w:val="Normal6a"/>
            </w:pPr>
            <w:r w:rsidRPr="00B059B2">
              <w:rPr>
                <w:vertAlign w:val="superscript"/>
              </w:rPr>
              <w:t>56</w:t>
            </w:r>
            <w:r w:rsidRPr="00B059B2">
              <w:t xml:space="preserve"> Smernica Európskeho parlamentu a Rady 2014/45/EÚ z 3. apríla 2014 o pravidelnej kontrole technického stavu motorových vozidiel a ich prípojných vozidiel a o zrušení smernice 2009/40/ES (Ú. v. EÚ L 127, 29.4.2014, s. 129).</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84</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6 – odsek 6 – písmeno c</w:t>
      </w:r>
    </w:p>
    <w:p w:rsidR="00902EF1" w:rsidRPr="00B059B2" w:rsidRDefault="00902EF1" w:rsidP="00902EF1"/>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c)</w:t>
            </w:r>
            <w:r w:rsidRPr="00B059B2">
              <w:tab/>
            </w:r>
            <w:r w:rsidRPr="00B059B2">
              <w:rPr>
                <w:b/>
                <w:bCs/>
                <w:i/>
                <w:iCs/>
              </w:rPr>
              <w:t>vynucovať</w:t>
            </w:r>
            <w:r w:rsidRPr="00B059B2">
              <w:t xml:space="preserve"> opravu vozidla, keď systém varovania vodiča upozorní na značne nadmerné emisie.</w:t>
            </w:r>
          </w:p>
        </w:tc>
        <w:tc>
          <w:tcPr>
            <w:tcW w:w="4876" w:type="dxa"/>
          </w:tcPr>
          <w:p w:rsidR="00902EF1" w:rsidRPr="00B059B2" w:rsidRDefault="00902EF1" w:rsidP="0023402C">
            <w:pPr>
              <w:pStyle w:val="Normal6a"/>
            </w:pPr>
            <w:r w:rsidRPr="00B059B2">
              <w:t>c)</w:t>
            </w:r>
            <w:r w:rsidRPr="00B059B2">
              <w:tab/>
            </w:r>
            <w:r w:rsidRPr="00B059B2">
              <w:rPr>
                <w:b/>
                <w:bCs/>
                <w:i/>
                <w:iCs/>
              </w:rPr>
              <w:t>naliehať na</w:t>
            </w:r>
            <w:r w:rsidRPr="00B059B2">
              <w:t xml:space="preserve"> opravu vozidla, keď systém varovania vodiča upozorní na značne nadmerné emisie.</w:t>
            </w:r>
          </w:p>
        </w:tc>
      </w:tr>
    </w:tbl>
    <w:p w:rsidR="00902EF1" w:rsidRPr="00B059B2" w:rsidRDefault="00902EF1" w:rsidP="00902EF1"/>
    <w:p w:rsidR="00902EF1" w:rsidRPr="00B059B2" w:rsidRDefault="00902EF1" w:rsidP="00902EF1">
      <w:pPr>
        <w:pStyle w:val="AmNumberTabs"/>
      </w:pPr>
      <w:r w:rsidRPr="00B059B2">
        <w:lastRenderedPageBreak/>
        <w:t>Pozmeňujúci návrh</w:t>
      </w:r>
      <w:r w:rsidRPr="00B059B2">
        <w:tab/>
      </w:r>
      <w:r w:rsidRPr="00B059B2">
        <w:tab/>
        <w:t>85</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rPr>
          <w:b w:val="0"/>
        </w:rPr>
        <w:t>Článok 6 – odsek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7.</w:t>
            </w:r>
            <w:r w:rsidRPr="00B059B2">
              <w:tab/>
              <w:t>Zariadenia OBFCM namontované výrobcom v týchto vozidlách musia byť schopné prenášať údaje o vozidle, ktoré zaznamenávajú, cez port OBD a šíriť ich vzduchom.</w:t>
            </w:r>
          </w:p>
        </w:tc>
        <w:tc>
          <w:tcPr>
            <w:tcW w:w="4876" w:type="dxa"/>
          </w:tcPr>
          <w:p w:rsidR="00902EF1" w:rsidRPr="00B059B2" w:rsidRDefault="00902EF1" w:rsidP="0023402C">
            <w:pPr>
              <w:pStyle w:val="Normal6a"/>
            </w:pPr>
            <w:r w:rsidRPr="00B059B2">
              <w:t>7.</w:t>
            </w:r>
            <w:r w:rsidRPr="00B059B2">
              <w:tab/>
              <w:t xml:space="preserve">Zariadenia OBFCM namontované výrobcom v týchto vozidlách musia byť schopné prenášať </w:t>
            </w:r>
            <w:r w:rsidRPr="00B059B2">
              <w:rPr>
                <w:b/>
                <w:bCs/>
                <w:i/>
                <w:iCs/>
              </w:rPr>
              <w:t>všetky zákonom požadované relevantné</w:t>
            </w:r>
            <w:r w:rsidRPr="00B059B2">
              <w:t xml:space="preserve"> údaje o vozidle, ktoré zaznamenávajú, cez port OBD a šíriť ich vzduchom, </w:t>
            </w:r>
            <w:r w:rsidRPr="00B059B2">
              <w:rPr>
                <w:b/>
                <w:bCs/>
                <w:i/>
                <w:iCs/>
              </w:rPr>
              <w:t>a to v súlade s ustanoveniami nariadenia (EÚ) 2016/679</w:t>
            </w:r>
            <w:r w:rsidRPr="00B059B2">
              <w:t>.</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86</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rPr>
          <w:b w:val="0"/>
        </w:rPr>
        <w:t>Článok 6 – odsek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8.</w:t>
            </w:r>
            <w:r w:rsidRPr="00B059B2">
              <w:tab/>
              <w:t xml:space="preserve">V prípade vozidiel, systémov, komponentov a samostatných technických jednotiek, ktoré predstavujú vážne riziko alebo ktoré nie sú v súlade s požiadavkami stanovenými v tomto nariadení, výrobcovia </w:t>
            </w:r>
            <w:r w:rsidRPr="00B059B2">
              <w:rPr>
                <w:b/>
                <w:bCs/>
                <w:i/>
                <w:iCs/>
              </w:rPr>
              <w:t>bezodkladne</w:t>
            </w:r>
            <w:r w:rsidRPr="00B059B2">
              <w:t xml:space="preserve"> prijmú potrebné nápravné opatrenia vrátane prípadných opráv alebo úprav daných vozidiel, systémov, komponentov a samostatných technických jednotiek, aby sa zabezpečil súlad s týmto nariadením. Výrobcovia alebo akýkoľvek iný hospodársky subjekt ich podľa potreby stiahnu z trhu alebo stiahnu z používania. Výrobca o nesúlade bezodkladne informuje schvaľovací úrad, ktorý udelil typové schválenie, a uvedie primerané podrobnosti.</w:t>
            </w:r>
          </w:p>
        </w:tc>
        <w:tc>
          <w:tcPr>
            <w:tcW w:w="4876" w:type="dxa"/>
          </w:tcPr>
          <w:p w:rsidR="00902EF1" w:rsidRPr="00B059B2" w:rsidRDefault="00902EF1" w:rsidP="0023402C">
            <w:pPr>
              <w:pStyle w:val="Normal6a"/>
            </w:pPr>
            <w:r w:rsidRPr="00B059B2">
              <w:t>8.</w:t>
            </w:r>
            <w:r w:rsidRPr="00B059B2">
              <w:tab/>
              <w:t xml:space="preserve">V prípade vozidiel, systémov, komponentov a samostatných technických jednotiek, ktoré predstavujú vážne riziko alebo ktoré nie sú v súlade s požiadavkami stanovenými v tomto nariadení, výrobcovia prijmú potrebné nápravné opatrenia vrátane prípadných opráv alebo úprav daných vozidiel, systémov, komponentov a samostatných technických jednotiek, aby sa zabezpečil súlad s týmto nariadením. Výrobcovia alebo akýkoľvek iný hospodársky subjekt ich podľa potreby stiahnu z trhu alebo stiahnu z používania. Výrobca o nesúlade bezodkladne informuje schvaľovací úrad, ktorý udelil typové schválenie, </w:t>
            </w:r>
            <w:r w:rsidRPr="00B059B2">
              <w:rPr>
                <w:b/>
                <w:bCs/>
                <w:i/>
                <w:iCs/>
              </w:rPr>
              <w:t>a Komisiu</w:t>
            </w:r>
            <w:r w:rsidRPr="00B059B2">
              <w:t xml:space="preserve"> a uvedie primerané podrobnosti.</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87</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rPr>
          <w:b w:val="0"/>
        </w:rPr>
        <w:t>Článok 6 – odsek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lastRenderedPageBreak/>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rPr>
                <w:b/>
                <w:i/>
              </w:rPr>
              <w:t>9.</w:t>
            </w:r>
            <w:r w:rsidRPr="00B059B2">
              <w:tab/>
            </w:r>
            <w:r w:rsidRPr="00B059B2">
              <w:rPr>
                <w:b/>
                <w:i/>
              </w:rPr>
              <w:t>Komisia formou vykonávacích aktov prijme podrobné pravidlá týkajúce sa požiadaviek, skúšok, metód a nápravných opatrení v súvislosti s povinnosťami stanovenými v odsekoch 1 až 8. Uvedené vykonávacie akty sa prijmú v súlade s postupom preskúmania uvedeným v článku 17 ods. 2.</w:t>
            </w:r>
          </w:p>
        </w:tc>
        <w:tc>
          <w:tcPr>
            <w:tcW w:w="4876" w:type="dxa"/>
          </w:tcPr>
          <w:p w:rsidR="00902EF1" w:rsidRPr="00B059B2" w:rsidRDefault="00902EF1" w:rsidP="0023402C">
            <w:pPr>
              <w:pStyle w:val="Normal6a"/>
            </w:pPr>
            <w:r w:rsidRPr="00B059B2">
              <w:rPr>
                <w:b/>
                <w:i/>
              </w:rPr>
              <w:t>vypúšťa sa</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88</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rPr>
          <w:b w:val="0"/>
        </w:rPr>
        <w:t>Článok 7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2.</w:t>
            </w:r>
            <w:r w:rsidRPr="00B059B2">
              <w:tab/>
              <w:t>Výrobca poskytne schvaľovaciemu úradu podpísané vyhlásenie o zhode, pokiaľ ide o požiadavky týkajúce sa emisií pri skutočnej jazde, korekcie CO</w:t>
            </w:r>
            <w:r w:rsidRPr="00B059B2">
              <w:rPr>
                <w:vertAlign w:val="subscript"/>
              </w:rPr>
              <w:t>2</w:t>
            </w:r>
            <w:r w:rsidRPr="00B059B2">
              <w:t xml:space="preserve"> o teplotu okolia, OBD, OBM, stálosti emisií a životnosti batérie, nepretržitej alebo periodickej regenerácie, opatrení proti neoprávnenému zasahovaniu a požiadaviek na kľukovú skriňu, ako sa uvádza v prílohe V. </w:t>
            </w:r>
            <w:r w:rsidRPr="00B059B2">
              <w:rPr>
                <w:b/>
                <w:i/>
              </w:rPr>
              <w:t>Výrobca poskytne schvaľovaciemu úradu podpísané vyhlásenie o zhode týkajúce sa používania adaptívnych ovládačov a možností geofencingu, keď si výrobca zvolí tieto možnosti.</w:t>
            </w:r>
          </w:p>
        </w:tc>
        <w:tc>
          <w:tcPr>
            <w:tcW w:w="4876" w:type="dxa"/>
          </w:tcPr>
          <w:p w:rsidR="00902EF1" w:rsidRPr="00B059B2" w:rsidRDefault="00902EF1" w:rsidP="0023402C">
            <w:pPr>
              <w:pStyle w:val="Normal6a"/>
            </w:pPr>
            <w:r w:rsidRPr="00B059B2">
              <w:t>2.</w:t>
            </w:r>
            <w:r w:rsidRPr="00B059B2">
              <w:tab/>
              <w:t>Výrobca poskytne schvaľovaciemu úradu podpísané vyhlásenie o zhode, pokiaľ ide o požiadavky týkajúce sa emisií pri skutočnej jazde, korekcie CO</w:t>
            </w:r>
            <w:r w:rsidRPr="00B059B2">
              <w:rPr>
                <w:vertAlign w:val="subscript"/>
              </w:rPr>
              <w:t>2</w:t>
            </w:r>
            <w:r w:rsidRPr="00B059B2">
              <w:t xml:space="preserve"> o teplotu okolia, OBD, OBM, stálosti emisií a životnosti batérie, nepretržitej alebo periodickej regenerácie, opatrení proti neoprávnenému zasahovaniu a požiadaviek na kľukovú skriňu, ako sa uvádza v prílohe V.</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89</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rPr>
          <w:b w:val="0"/>
        </w:rPr>
        <w:t>Článok 7 – odsek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4.</w:t>
            </w:r>
            <w:r w:rsidRPr="00B059B2">
              <w:tab/>
              <w:t xml:space="preserve">Výrobcovia vydajú environmentálny pas vozidla (EVP) pre každé vozidlo a tento pas odovzdajú kupujúcemu </w:t>
            </w:r>
            <w:r w:rsidRPr="00B059B2">
              <w:rPr>
                <w:b/>
                <w:bCs/>
                <w:i/>
                <w:iCs/>
              </w:rPr>
              <w:t>vozidla spolu s </w:t>
            </w:r>
            <w:r w:rsidRPr="00B059B2">
              <w:t xml:space="preserve">vozidlom, pričom príslušné údaje získajú zo zdrojov, ako je osvedčenie o zhode a dokumentácia typového schválenia. Výrobca zabezpečí, </w:t>
            </w:r>
            <w:r w:rsidRPr="00B059B2">
              <w:lastRenderedPageBreak/>
              <w:t>aby boli údaje v EVP k dispozícii na zobrazenie v elektronických systémoch vozidla a aby sa mohli prenášať z vozidla mimo neho.</w:t>
            </w:r>
          </w:p>
        </w:tc>
        <w:tc>
          <w:tcPr>
            <w:tcW w:w="4876" w:type="dxa"/>
          </w:tcPr>
          <w:p w:rsidR="00902EF1" w:rsidRPr="00B059B2" w:rsidRDefault="00902EF1" w:rsidP="0023402C">
            <w:pPr>
              <w:pStyle w:val="Normal6a"/>
            </w:pPr>
            <w:r w:rsidRPr="00B059B2">
              <w:lastRenderedPageBreak/>
              <w:t>4.</w:t>
            </w:r>
            <w:r w:rsidRPr="00B059B2">
              <w:tab/>
              <w:t xml:space="preserve">Výrobcovia vydajú environmentálny pas vozidla (EVP) pre každé vozidlo, </w:t>
            </w:r>
            <w:r w:rsidRPr="00B059B2">
              <w:rPr>
                <w:b/>
                <w:bCs/>
                <w:i/>
                <w:iCs/>
              </w:rPr>
              <w:t>aby informácie o ňom oznámili v mieste predaja spolu s vozidlom,</w:t>
            </w:r>
            <w:r w:rsidRPr="00B059B2">
              <w:t xml:space="preserve"> a tento pas odovzdajú kupujúcemu vozidla, pričom príslušné údaje získajú zo zdrojov, ako je osvedčenie </w:t>
            </w:r>
            <w:r w:rsidRPr="00B059B2">
              <w:lastRenderedPageBreak/>
              <w:t>o zhode a dokumentácia typového schválenia. Výrobca zabezpečí, aby boli údaje v EVP k dispozícii na zobrazenie v elektronických systémoch vozidla a aby sa mohli prenášať z vozidla mimo neho.</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90</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rPr>
          <w:b w:val="0"/>
        </w:rPr>
        <w:t>Článok 7 – odsek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5.</w:t>
            </w:r>
            <w:r w:rsidRPr="00B059B2">
              <w:tab/>
            </w:r>
            <w:r w:rsidRPr="00B059B2">
              <w:rPr>
                <w:b/>
                <w:bCs/>
                <w:i/>
                <w:iCs/>
              </w:rPr>
              <w:t>Komisia prijme vykonávacie akty stanovujúce skúšky a overovanie zhody, ako aj postupy týkajúce sa typového schválenia vzhľadom na emisie, zhodu výroby, zhodu v prevádzke, vyhlásenie o zhode a EVP podľa odsekov 1 až 4.</w:t>
            </w:r>
            <w:r w:rsidRPr="00B059B2">
              <w:t xml:space="preserve"> </w:t>
            </w:r>
            <w:r w:rsidRPr="00B059B2">
              <w:rPr>
                <w:b/>
                <w:bCs/>
                <w:i/>
                <w:iCs/>
              </w:rPr>
              <w:t>Uvedené vykonávacie akty sa prijmú v súlade s postupom preskúmania uvedeným v článku 17 ods. 2.</w:t>
            </w:r>
          </w:p>
        </w:tc>
        <w:tc>
          <w:tcPr>
            <w:tcW w:w="4876" w:type="dxa"/>
          </w:tcPr>
          <w:p w:rsidR="00902EF1" w:rsidRPr="00B059B2" w:rsidRDefault="00902EF1" w:rsidP="0023402C">
            <w:pPr>
              <w:pStyle w:val="Normal6a"/>
            </w:pPr>
            <w:r w:rsidRPr="00B059B2">
              <w:t>5.</w:t>
            </w:r>
            <w:r w:rsidRPr="00B059B2">
              <w:tab/>
            </w:r>
            <w:r w:rsidRPr="00B059B2">
              <w:rPr>
                <w:b/>
                <w:bCs/>
                <w:i/>
                <w:iCs/>
              </w:rPr>
              <w:t>Výrobcovia po kontrolách zhody v prevádzke vydajú a aktualizujú EVP, v ktorom uvádzajú aktualizované hodnoty informácií uvedených v článku 3 ods. 71 tohto nariadenia.</w:t>
            </w:r>
            <w:r w:rsidRPr="00B059B2">
              <w:t xml:space="preserve"> V súlade s </w:t>
            </w:r>
            <w:r w:rsidRPr="00B059B2">
              <w:rPr>
                <w:b/>
                <w:bCs/>
                <w:i/>
                <w:iCs/>
              </w:rPr>
              <w:t>nariadením (EÚ) 2018/858 a so smernicou 2014/45/EÚ výrobcovia umožnia príslušným orgánom a staniciam technickej kontroly aktualizáciu EVP presnými údajmi z portu OBD a zariadenia OBFCM vozidla.</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91</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7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jc w:val="center"/>
            </w:pPr>
            <w:r w:rsidRPr="00B059B2">
              <w:rPr>
                <w:b/>
                <w:i/>
              </w:rPr>
              <w:t>Článok 7a</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jc w:val="center"/>
            </w:pPr>
            <w:r w:rsidRPr="00B059B2">
              <w:rPr>
                <w:b/>
                <w:i/>
              </w:rPr>
              <w:t>Osobitné ustanovenia týkajúce sa oderu pneumatík</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 xml:space="preserve">Po uverejnení príslušných jednotných ustanovení v pracovnej skupine OSN WP29 Komisia prijme delegované akty v súlade s článkom 16, ktorý dopĺňa toto nariadenie stanovením metód a limitov merania emisií oderu podľa kategórie pneumatík na účely typového schválenia, ktoré odkazujú na jednotné ustanovenia a výnimky, ktoré sa majú stanoviť v dokumente OSN WP29, pokiaľ ide o typové schválenie z hľadiska emisií oderu </w:t>
            </w:r>
            <w:r w:rsidRPr="00B059B2">
              <w:rPr>
                <w:b/>
                <w:i/>
              </w:rPr>
              <w:lastRenderedPageBreak/>
              <w:t>pneumatík.</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V prípade, že sa v OSN WP29 do 30. júna 2026 nestanovia jednotné ustanovenia pre pneumatiky triedy C1 a do 31. decembra 2035 pre pneumatiky triedy C2 a C3, Komisia vykoná preskúmanie a v prípade potreby vypracuje metódu merania oderu pneumatík a vymedzí limity oderu pre pneumatiky na základe iných existujúcich najmodernejších metód. Po tomto preskúmaní a v prípade potreby Komisia prijme do 30. októbra 2026 delegované akty v súlade s článkom 16, v ktorých bližšie určí takéto metódy a stanoví emisné limity oderu podľa kategórie pneumatík.</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92</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8 – nadpis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Osobitné pravidlá pre výrobcov s malým objemom výroby</w:t>
            </w:r>
          </w:p>
        </w:tc>
        <w:tc>
          <w:tcPr>
            <w:tcW w:w="4876" w:type="dxa"/>
          </w:tcPr>
          <w:p w:rsidR="00902EF1" w:rsidRPr="00B059B2" w:rsidRDefault="00902EF1" w:rsidP="0023402C">
            <w:pPr>
              <w:pStyle w:val="Normal6a"/>
            </w:pPr>
            <w:r w:rsidRPr="00B059B2">
              <w:t xml:space="preserve">Osobitné pravidlá pre výrobcov s malým </w:t>
            </w:r>
            <w:r w:rsidRPr="00B059B2">
              <w:rPr>
                <w:b/>
                <w:bCs/>
                <w:i/>
                <w:iCs/>
              </w:rPr>
              <w:t>a mimoriadne malým</w:t>
            </w:r>
            <w:r w:rsidRPr="00B059B2">
              <w:t xml:space="preserve"> objemom výroby</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93</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8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1.</w:t>
            </w:r>
            <w:r w:rsidRPr="00B059B2">
              <w:tab/>
              <w:t xml:space="preserve">Pokiaľ ide o emisie znečisťujúcich látok, výrobcovia s malým objemom výroby môžu nahradiť skúšky uvedené v tabuľkách 1, 3, 5, 7 a 9 v prílohe V vyhláseniami o zhode. Súlad vozidiel skonštruovaných a uvedených na trh výrobcami s malým objemom výroby sa môže skúšať, pokiaľ ide o zhodu v prevádzke a dohľad nad trhom, v súlade s tabuľkami 2, 4, 6, 8 a 10 v prílohe V. Skúšky zhody výroby stanovené v prílohe V sa nevyžadujú. Článok </w:t>
            </w:r>
            <w:r w:rsidRPr="00B059B2">
              <w:rPr>
                <w:b/>
                <w:bCs/>
                <w:i/>
                <w:iCs/>
              </w:rPr>
              <w:t>4 ods. 4</w:t>
            </w:r>
            <w:r w:rsidRPr="00B059B2">
              <w:t xml:space="preserve"> písm. b) </w:t>
            </w:r>
            <w:r w:rsidRPr="00B059B2">
              <w:lastRenderedPageBreak/>
              <w:t>sa nevzťahuje na výrobcov s malým objemom výroby.</w:t>
            </w:r>
          </w:p>
        </w:tc>
        <w:tc>
          <w:tcPr>
            <w:tcW w:w="4876" w:type="dxa"/>
          </w:tcPr>
          <w:p w:rsidR="00902EF1" w:rsidRPr="00B059B2" w:rsidRDefault="00902EF1" w:rsidP="0023402C">
            <w:pPr>
              <w:pStyle w:val="Normal6a"/>
            </w:pPr>
            <w:r w:rsidRPr="00B059B2">
              <w:lastRenderedPageBreak/>
              <w:t>1.</w:t>
            </w:r>
            <w:r w:rsidRPr="00B059B2">
              <w:tab/>
              <w:t xml:space="preserve">Pokiaľ ide o emisie znečisťujúcich látok, výrobcovia s malým </w:t>
            </w:r>
            <w:r w:rsidRPr="00B059B2">
              <w:rPr>
                <w:b/>
                <w:bCs/>
                <w:i/>
                <w:iCs/>
              </w:rPr>
              <w:t>a mimoriadne malým</w:t>
            </w:r>
            <w:r w:rsidRPr="00B059B2">
              <w:t xml:space="preserve"> objemom výroby môžu nahradiť skúšky uvedené v tabuľkách 1, 3, 5, 7 a 9 v prílohe V vyhláseniami o zhode. Súlad vozidiel skonštruovaných a uvedených na trh výrobcami s malým objemom výroby sa môže skúšať, pokiaľ ide o zhodu v prevádzke a dohľad nad trhom, v súlade s tabuľkami 2, 4, 6, 8 a 10 v prílohe V. Skúšky zhody výroby stanovené v prílohe V sa nevyžadujú. Článok </w:t>
            </w:r>
            <w:r w:rsidRPr="00B059B2">
              <w:rPr>
                <w:b/>
                <w:bCs/>
                <w:i/>
                <w:iCs/>
              </w:rPr>
              <w:t>4 ods. 6</w:t>
            </w:r>
            <w:r w:rsidRPr="00B059B2">
              <w:t xml:space="preserve"> písm. b) </w:t>
            </w:r>
            <w:r w:rsidRPr="00B059B2">
              <w:lastRenderedPageBreak/>
              <w:t xml:space="preserve">sa nevzťahuje na výrobcov s malým </w:t>
            </w:r>
            <w:r w:rsidRPr="00B059B2">
              <w:rPr>
                <w:b/>
                <w:bCs/>
                <w:i/>
                <w:iCs/>
              </w:rPr>
              <w:t>a mimoriadne malým</w:t>
            </w:r>
            <w:r w:rsidRPr="00B059B2">
              <w:t xml:space="preserve"> objemom výroby.</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94</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8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2.</w:t>
            </w:r>
            <w:r w:rsidRPr="00B059B2">
              <w:tab/>
              <w:t xml:space="preserve">Výrobcovia s mimoriadne malým objemom výroby musia splniť emisné limity stanovené v prílohe I pri laboratórnych skúškach založených na </w:t>
            </w:r>
            <w:r w:rsidRPr="00B059B2">
              <w:rPr>
                <w:b/>
                <w:bCs/>
                <w:i/>
                <w:iCs/>
              </w:rPr>
              <w:t>náhodných</w:t>
            </w:r>
            <w:r w:rsidRPr="00B059B2">
              <w:t xml:space="preserve"> jazdných cykloch pri skutočnej jazde na účely zhody v prevádzke a dohľadu nad trhom.</w:t>
            </w:r>
          </w:p>
        </w:tc>
        <w:tc>
          <w:tcPr>
            <w:tcW w:w="4876" w:type="dxa"/>
          </w:tcPr>
          <w:p w:rsidR="00902EF1" w:rsidRPr="00B059B2" w:rsidRDefault="00902EF1" w:rsidP="0023402C">
            <w:pPr>
              <w:pStyle w:val="Normal6a"/>
            </w:pPr>
            <w:r w:rsidRPr="00B059B2">
              <w:t>2.</w:t>
            </w:r>
            <w:r w:rsidRPr="00B059B2">
              <w:tab/>
              <w:t xml:space="preserve">Výrobcovia s mimoriadne malým objemom výroby musia splniť emisné limity stanovené v prílohe I pri laboratórnych skúškach založených na </w:t>
            </w:r>
            <w:r w:rsidRPr="00B059B2">
              <w:rPr>
                <w:b/>
                <w:bCs/>
                <w:i/>
                <w:iCs/>
              </w:rPr>
              <w:t>štatisticky významných</w:t>
            </w:r>
            <w:r w:rsidRPr="00B059B2">
              <w:t xml:space="preserve"> jazdných cykloch pri skutočnej jazde na účely zhody v prevádzke a dohľadu nad trhom.</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95</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9 – nadpis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 xml:space="preserve">Osobitné pravidlá pre </w:t>
            </w:r>
            <w:r w:rsidRPr="00B059B2">
              <w:rPr>
                <w:b/>
                <w:bCs/>
                <w:i/>
                <w:iCs/>
              </w:rPr>
              <w:t>vozidlá</w:t>
            </w:r>
            <w:r w:rsidRPr="00B059B2">
              <w:t xml:space="preserve"> vyrábané vo viacerých stupňoch</w:t>
            </w:r>
          </w:p>
        </w:tc>
        <w:tc>
          <w:tcPr>
            <w:tcW w:w="4876" w:type="dxa"/>
          </w:tcPr>
          <w:p w:rsidR="00902EF1" w:rsidRPr="00B059B2" w:rsidRDefault="00902EF1" w:rsidP="0023402C">
            <w:pPr>
              <w:pStyle w:val="Normal6a"/>
            </w:pPr>
            <w:r w:rsidRPr="00B059B2">
              <w:t xml:space="preserve">Osobitné pravidlá pre </w:t>
            </w:r>
            <w:r w:rsidRPr="00B059B2">
              <w:rPr>
                <w:b/>
                <w:bCs/>
                <w:i/>
                <w:iCs/>
              </w:rPr>
              <w:t>viacstupňových typových schváleniach vozidiel</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96</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9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1.</w:t>
            </w:r>
            <w:r w:rsidRPr="00B059B2">
              <w:tab/>
            </w:r>
            <w:r w:rsidRPr="00B059B2">
              <w:rPr>
                <w:b/>
                <w:bCs/>
                <w:i/>
                <w:iCs/>
              </w:rPr>
              <w:t>Pri viacstupňových typových schváleniach sú za typové schválenie vzhľadom na emisie zodpovední výrobcovia druhého stupňa alebo nasledujúcich stupňov, ak zmenia ktorúkoľvek časť vozidla, ktorá by podľa údajov poskytnutých výrobcami predchádzajúceho stupňa mohla ovplyvniť emisie alebo životnosť batérie.</w:t>
            </w:r>
          </w:p>
        </w:tc>
        <w:tc>
          <w:tcPr>
            <w:tcW w:w="4876" w:type="dxa"/>
          </w:tcPr>
          <w:p w:rsidR="00902EF1" w:rsidRPr="00B059B2" w:rsidRDefault="00902EF1" w:rsidP="0023402C">
            <w:pPr>
              <w:pStyle w:val="Normal6a"/>
            </w:pPr>
            <w:r w:rsidRPr="00B059B2">
              <w:t>1.</w:t>
            </w:r>
            <w:r w:rsidRPr="00B059B2">
              <w:tab/>
            </w:r>
            <w:r w:rsidRPr="00B059B2">
              <w:rPr>
                <w:b/>
                <w:bCs/>
                <w:i/>
                <w:iCs/>
              </w:rPr>
              <w:t>Na vozidlá vyrábané vo viacerých stupňoch sa uplatňujú osobitné ustanovenia uvedené v prílohe V – tabuľky 3, 4 a 5.</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97</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9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rPr>
                <w:b/>
                <w:i/>
              </w:rPr>
              <w:t>2.</w:t>
            </w:r>
            <w:r w:rsidRPr="00B059B2">
              <w:tab/>
            </w:r>
            <w:r w:rsidRPr="00B059B2">
              <w:rPr>
                <w:b/>
                <w:i/>
              </w:rPr>
              <w:t>Komisia prijme vykonávacie akty, ktorými sa stanovia administratívne požiadavky a údaje, ktoré majú poskytnúť výrobcovia predchádzajúceho stupňa v súlade s odsekom 1, a postupy určovania emisií CO</w:t>
            </w:r>
            <w:r w:rsidRPr="00B059B2">
              <w:rPr>
                <w:b/>
                <w:i/>
                <w:vertAlign w:val="subscript"/>
              </w:rPr>
              <w:t>2</w:t>
            </w:r>
            <w:r w:rsidRPr="00B059B2">
              <w:rPr>
                <w:b/>
                <w:i/>
              </w:rPr>
              <w:t xml:space="preserve"> takýchto vozidiel. Uvedené vykonávacie akty sa prijmú v súlade s postupom preskúmania uvedeným v článku 17 ods. 2.</w:t>
            </w:r>
          </w:p>
        </w:tc>
        <w:tc>
          <w:tcPr>
            <w:tcW w:w="4876" w:type="dxa"/>
          </w:tcPr>
          <w:p w:rsidR="00902EF1" w:rsidRPr="00B059B2" w:rsidRDefault="00902EF1" w:rsidP="0023402C">
            <w:pPr>
              <w:pStyle w:val="Normal6a"/>
            </w:pPr>
            <w:r w:rsidRPr="00B059B2">
              <w:rPr>
                <w:b/>
                <w:i/>
              </w:rPr>
              <w:t>vypúšťa sa</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98</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10 – odsek 1</w:t>
      </w:r>
    </w:p>
    <w:p w:rsidR="00902EF1" w:rsidRPr="00B059B2" w:rsidRDefault="00902EF1" w:rsidP="00902EF1"/>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1.</w:t>
            </w:r>
            <w:r w:rsidRPr="00B059B2">
              <w:tab/>
              <w:t>Vnútroštátne schvaľovacie úrady zavedú opatrenia na udeľovanie typových schválení vzhľadom na emisie typom vozidiel, komponentom a samostatným technickým jednotkám a na vykonávanie skúšok, kontrol a inšpekcií s cieľom overiť, či výrobcovia spĺňajú požiadavky na zhodu výroby a zhodu v prevádzke v súlade s prílohou V.</w:t>
            </w:r>
          </w:p>
        </w:tc>
        <w:tc>
          <w:tcPr>
            <w:tcW w:w="4876" w:type="dxa"/>
          </w:tcPr>
          <w:p w:rsidR="00902EF1" w:rsidRPr="00B059B2" w:rsidRDefault="00902EF1" w:rsidP="0023402C">
            <w:pPr>
              <w:pStyle w:val="Normal6a"/>
            </w:pPr>
            <w:r w:rsidRPr="00B059B2">
              <w:t>1.</w:t>
            </w:r>
            <w:r w:rsidRPr="00B059B2">
              <w:tab/>
              <w:t xml:space="preserve">Vnútroštátne schvaľovacie úrady zavedú opatrenia na udeľovanie typových schválení vzhľadom na emisie typom vozidiel, </w:t>
            </w:r>
            <w:r w:rsidRPr="00B059B2">
              <w:rPr>
                <w:b/>
                <w:bCs/>
                <w:i/>
                <w:iCs/>
              </w:rPr>
              <w:t>systémom,</w:t>
            </w:r>
            <w:r w:rsidRPr="00B059B2">
              <w:t xml:space="preserve"> komponentom a samostatným technickým jednotkám a na vykonávanie skúšok, kontrol a inšpekcií s cieľom overiť, či výrobcovia spĺňajú požiadavky na zhodu výroby a zhodu v prevádzke v súlade s prílohou V.</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99</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10 – odsek 2 a (nový)</w:t>
      </w:r>
    </w:p>
    <w:p w:rsidR="00902EF1" w:rsidRPr="00B059B2" w:rsidRDefault="00902EF1" w:rsidP="00902EF1"/>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2a.</w:t>
            </w:r>
            <w:r w:rsidRPr="00B059B2">
              <w:tab/>
            </w:r>
            <w:r w:rsidRPr="00B059B2">
              <w:rPr>
                <w:b/>
                <w:i/>
              </w:rPr>
              <w:t xml:space="preserve">Pri vykonávaní skúšok, kontrol a </w:t>
            </w:r>
            <w:r w:rsidRPr="00B059B2">
              <w:rPr>
                <w:b/>
                <w:i/>
              </w:rPr>
              <w:lastRenderedPageBreak/>
              <w:t>inšpekcií vnútroštátne orgány a stanice technickej kontroly aktualizujú environmentálny pas vozidla (EVP) aktuálnymi hodnotami, pokiaľ ide o informácie uvedené v článku 3 bode 71.</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100</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10 – odsek 3 a (nový)</w:t>
      </w:r>
    </w:p>
    <w:p w:rsidR="00902EF1" w:rsidRPr="00B059B2" w:rsidRDefault="00902EF1" w:rsidP="00902EF1"/>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6845D5">
            <w:pPr>
              <w:spacing w:after="120"/>
            </w:pPr>
            <w:r w:rsidRPr="00B059B2">
              <w:rPr>
                <w:b/>
                <w:i/>
              </w:rPr>
              <w:t>3a.</w:t>
            </w:r>
            <w:r w:rsidRPr="00B059B2">
              <w:tab/>
            </w:r>
            <w:r w:rsidRPr="00B059B2">
              <w:rPr>
                <w:b/>
                <w:i/>
              </w:rPr>
              <w:t xml:space="preserve">S účinnosťou od 24 mesiacov od nadobudnutia účinnosti všetkých </w:t>
            </w:r>
            <w:r w:rsidR="00481921">
              <w:rPr>
                <w:b/>
                <w:i/>
              </w:rPr>
              <w:t xml:space="preserve">príslušných </w:t>
            </w:r>
            <w:r w:rsidRPr="00B059B2">
              <w:rPr>
                <w:b/>
                <w:i/>
              </w:rPr>
              <w:t>sekundárnych právnych predpisov a podľa osobitných ustanovení systémov, komponentov a samostatných technických jednotiek vnútroštátne schvaľovacie orgány z dôvodov týkajúcich sa emisií CO</w:t>
            </w:r>
            <w:r w:rsidRPr="00B059B2">
              <w:rPr>
                <w:b/>
                <w:i/>
                <w:vertAlign w:val="subscript"/>
              </w:rPr>
              <w:t>2</w:t>
            </w:r>
            <w:r w:rsidRPr="00B059B2">
              <w:rPr>
                <w:b/>
                <w:i/>
              </w:rPr>
              <w:t xml:space="preserve"> a znečisťujúcich látok, spotreby paliva a energie alebo životnosti batérie v prípade nových kategórií vozidiel M</w:t>
            </w:r>
            <w:r w:rsidRPr="00B059B2">
              <w:rPr>
                <w:b/>
                <w:i/>
                <w:vertAlign w:val="subscript"/>
              </w:rPr>
              <w:t>1</w:t>
            </w:r>
            <w:r w:rsidRPr="00B059B2">
              <w:rPr>
                <w:b/>
                <w:i/>
              </w:rPr>
              <w:t>, N</w:t>
            </w:r>
            <w:r w:rsidRPr="00B059B2">
              <w:rPr>
                <w:b/>
                <w:i/>
                <w:vertAlign w:val="subscript"/>
              </w:rPr>
              <w:t>1</w:t>
            </w:r>
            <w:r w:rsidRPr="00B059B2">
              <w:rPr>
                <w:b/>
                <w:i/>
              </w:rPr>
              <w:t xml:space="preserve"> odmietnu udeliť typové schválenie EÚ vzhľadom na emisie alebo vnútroštátne typové schválenie vzhľadom na emisie, ktoré nie sú v súlade s týmto nariadením.</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101</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10 – odsek 4</w:t>
      </w:r>
    </w:p>
    <w:p w:rsidR="00902EF1" w:rsidRPr="00B059B2" w:rsidRDefault="00902EF1" w:rsidP="00902EF1"/>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4.</w:t>
            </w:r>
            <w:r w:rsidRPr="00B059B2">
              <w:tab/>
              <w:t>S účinnosťou od</w:t>
            </w:r>
            <w:r w:rsidRPr="00B059B2">
              <w:rPr>
                <w:b/>
                <w:bCs/>
                <w:i/>
                <w:iCs/>
              </w:rPr>
              <w:t xml:space="preserve"> 1. júla 2025</w:t>
            </w:r>
            <w:r w:rsidRPr="00B059B2">
              <w:rPr>
                <w:b/>
                <w:bCs/>
              </w:rPr>
              <w:t xml:space="preserve"> </w:t>
            </w:r>
            <w:r w:rsidRPr="00B059B2">
              <w:t>vnútroštátne orgány v prípade nových vozidiel kategórií M</w:t>
            </w:r>
            <w:r w:rsidRPr="00B059B2">
              <w:rPr>
                <w:vertAlign w:val="subscript"/>
              </w:rPr>
              <w:t>1</w:t>
            </w:r>
            <w:r w:rsidRPr="00B059B2">
              <w:t xml:space="preserve"> a N</w:t>
            </w:r>
            <w:r w:rsidRPr="00B059B2">
              <w:rPr>
                <w:vertAlign w:val="subscript"/>
              </w:rPr>
              <w:t>1</w:t>
            </w:r>
            <w:r w:rsidRPr="00B059B2">
              <w:t>, ktoré nie sú v súlade s týmto nariadením, považujú osvedčenia o zhode za neplatné na účely evidencie a z dôvodov súvisiacich s emisiami CO</w:t>
            </w:r>
            <w:r w:rsidRPr="00B059B2">
              <w:rPr>
                <w:vertAlign w:val="subscript"/>
              </w:rPr>
              <w:t>2</w:t>
            </w:r>
            <w:r w:rsidRPr="00B059B2">
              <w:t xml:space="preserve"> a znečisťujúcich látok, spotrebou paliva a energie alebo </w:t>
            </w:r>
            <w:r w:rsidRPr="00B059B2">
              <w:lastRenderedPageBreak/>
              <w:t>životnosťou batérií zakážu evidenciu, predaj alebo uvedenie do prevádzky takýchto vozidiel.</w:t>
            </w:r>
          </w:p>
        </w:tc>
        <w:tc>
          <w:tcPr>
            <w:tcW w:w="4876" w:type="dxa"/>
          </w:tcPr>
          <w:p w:rsidR="00902EF1" w:rsidRPr="00B059B2" w:rsidRDefault="00902EF1" w:rsidP="0023402C">
            <w:pPr>
              <w:pStyle w:val="Normal6a"/>
            </w:pPr>
            <w:r w:rsidRPr="00B059B2">
              <w:lastRenderedPageBreak/>
              <w:t>4.</w:t>
            </w:r>
            <w:r w:rsidRPr="00B059B2">
              <w:tab/>
              <w:t xml:space="preserve">S účinnosťou od uplynutia </w:t>
            </w:r>
            <w:r w:rsidRPr="00B059B2">
              <w:rPr>
                <w:b/>
                <w:bCs/>
                <w:i/>
                <w:iCs/>
              </w:rPr>
              <w:t xml:space="preserve">36 mesiacov po nadobudnutí účinnosti všetkých </w:t>
            </w:r>
            <w:r w:rsidR="00481921">
              <w:rPr>
                <w:b/>
                <w:i/>
              </w:rPr>
              <w:t xml:space="preserve">príslušných </w:t>
            </w:r>
            <w:r w:rsidRPr="00B059B2">
              <w:rPr>
                <w:b/>
                <w:bCs/>
                <w:i/>
                <w:iCs/>
              </w:rPr>
              <w:t>sekundárnych právnych predpisov a podľa osobitných ustanovení systémov, komponentov a samostatných technických jednotiek</w:t>
            </w:r>
            <w:r w:rsidRPr="00B059B2">
              <w:t xml:space="preserve"> vnútroštátne orgány v prípade nových vozidiel kategórií M</w:t>
            </w:r>
            <w:r w:rsidRPr="00B059B2">
              <w:rPr>
                <w:vertAlign w:val="subscript"/>
              </w:rPr>
              <w:t>1</w:t>
            </w:r>
            <w:r w:rsidRPr="00B059B2">
              <w:t xml:space="preserve"> a N</w:t>
            </w:r>
            <w:r w:rsidRPr="00B059B2">
              <w:rPr>
                <w:vertAlign w:val="subscript"/>
              </w:rPr>
              <w:t>1</w:t>
            </w:r>
            <w:r w:rsidRPr="00B059B2">
              <w:t xml:space="preserve">, ktoré nie sú </w:t>
            </w:r>
            <w:r w:rsidRPr="00B059B2">
              <w:lastRenderedPageBreak/>
              <w:t>v súlade s týmto nariadením, považujú osvedčenia o zhode za neplatné na účely evidencie a z dôvodov súvisiacich s emisiami CO</w:t>
            </w:r>
            <w:r w:rsidRPr="00B059B2">
              <w:rPr>
                <w:vertAlign w:val="subscript"/>
              </w:rPr>
              <w:t>2</w:t>
            </w:r>
            <w:r w:rsidRPr="00B059B2">
              <w:t xml:space="preserve"> a znečisťujúcich látok, spotrebou paliva a energie alebo životnosťou batérií zakážu evidenciu, predaj alebo uvedenie do prevádzky takýchto vozidiel.</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102</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10 – odsek 4 a (nový)</w:t>
      </w:r>
    </w:p>
    <w:p w:rsidR="00902EF1" w:rsidRPr="00B059B2" w:rsidRDefault="00902EF1" w:rsidP="00902EF1"/>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4a.</w:t>
            </w:r>
            <w:r w:rsidRPr="00B059B2">
              <w:tab/>
            </w:r>
            <w:r w:rsidRPr="00B059B2">
              <w:rPr>
                <w:b/>
                <w:i/>
              </w:rPr>
              <w:t>S účinnosťou od 48 mesiacov od nadobudnutia účinnosti všetkých príslušných sekundárnych právnych predpisov a podľa osobitných ustanovení systémov, komponentov a samostatných technických jednotiek, vnútroštátne schvaľovacie orgány z dôvodov týkajúcich sa emisií CO</w:t>
            </w:r>
            <w:r w:rsidRPr="00B059B2">
              <w:rPr>
                <w:b/>
                <w:i/>
                <w:vertAlign w:val="subscript"/>
              </w:rPr>
              <w:t>2</w:t>
            </w:r>
            <w:r w:rsidRPr="00B059B2">
              <w:rPr>
                <w:b/>
                <w:i/>
              </w:rPr>
              <w:t xml:space="preserve"> a znečisťujúcich látok, spotreby paliva a energie, energetickej efektívnosti alebo životnosti batérie v prípade nových kategórií vozidiel M</w:t>
            </w:r>
            <w:r w:rsidRPr="00B059B2">
              <w:rPr>
                <w:b/>
                <w:i/>
                <w:vertAlign w:val="subscript"/>
              </w:rPr>
              <w:t>2</w:t>
            </w:r>
            <w:r w:rsidRPr="00B059B2">
              <w:rPr>
                <w:b/>
                <w:i/>
              </w:rPr>
              <w:t>, M</w:t>
            </w:r>
            <w:r w:rsidRPr="00B059B2">
              <w:rPr>
                <w:b/>
                <w:i/>
                <w:vertAlign w:val="subscript"/>
              </w:rPr>
              <w:t>3</w:t>
            </w:r>
            <w:r w:rsidRPr="00B059B2">
              <w:rPr>
                <w:b/>
                <w:i/>
              </w:rPr>
              <w:t>, N</w:t>
            </w:r>
            <w:r w:rsidRPr="00B059B2">
              <w:rPr>
                <w:b/>
                <w:i/>
                <w:vertAlign w:val="subscript"/>
              </w:rPr>
              <w:t>2</w:t>
            </w:r>
            <w:r w:rsidRPr="00B059B2">
              <w:rPr>
                <w:b/>
                <w:i/>
              </w:rPr>
              <w:t xml:space="preserve"> a N</w:t>
            </w:r>
            <w:r w:rsidRPr="00B059B2">
              <w:rPr>
                <w:b/>
                <w:i/>
                <w:vertAlign w:val="subscript"/>
              </w:rPr>
              <w:t>3</w:t>
            </w:r>
            <w:r w:rsidRPr="00B059B2">
              <w:rPr>
                <w:b/>
                <w:i/>
              </w:rPr>
              <w:t xml:space="preserve"> a nových prípojných vozidiel kategórií O</w:t>
            </w:r>
            <w:r w:rsidRPr="00B059B2">
              <w:rPr>
                <w:b/>
                <w:i/>
                <w:vertAlign w:val="subscript"/>
              </w:rPr>
              <w:t>3</w:t>
            </w:r>
            <w:r w:rsidRPr="00B059B2">
              <w:rPr>
                <w:b/>
                <w:i/>
              </w:rPr>
              <w:t xml:space="preserve"> a O</w:t>
            </w:r>
            <w:r w:rsidRPr="00B059B2">
              <w:rPr>
                <w:b/>
                <w:i/>
                <w:vertAlign w:val="subscript"/>
              </w:rPr>
              <w:t xml:space="preserve">4 </w:t>
            </w:r>
            <w:r w:rsidRPr="00B059B2">
              <w:rPr>
                <w:b/>
                <w:i/>
              </w:rPr>
              <w:t>odmietnu udeliť typové schválenie EÚ vzhľadom na emisie alebo vnútroštátne typové schválenie vzhľadom na emisie, ktoré nie sú v súlade s týmto nariadením.</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103</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rPr>
          <w:b w:val="0"/>
        </w:rPr>
        <w:t>Článok 10 – odsek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5.</w:t>
            </w:r>
            <w:r w:rsidRPr="00B059B2">
              <w:tab/>
              <w:t xml:space="preserve">S účinnosťou od </w:t>
            </w:r>
            <w:r w:rsidRPr="00B059B2">
              <w:rPr>
                <w:b/>
                <w:bCs/>
                <w:i/>
                <w:iCs/>
              </w:rPr>
              <w:t>1. júla 2027</w:t>
            </w:r>
            <w:r w:rsidRPr="00B059B2">
              <w:t xml:space="preserve"> vnútroštátne orgány v prípade nových vozidiel kategórií M</w:t>
            </w:r>
            <w:r w:rsidRPr="00B059B2">
              <w:rPr>
                <w:vertAlign w:val="subscript"/>
              </w:rPr>
              <w:t>2</w:t>
            </w:r>
            <w:r w:rsidRPr="00B059B2">
              <w:t>, M</w:t>
            </w:r>
            <w:r w:rsidRPr="00B059B2">
              <w:rPr>
                <w:vertAlign w:val="subscript"/>
              </w:rPr>
              <w:t>3</w:t>
            </w:r>
            <w:r w:rsidRPr="00B059B2">
              <w:t>, N</w:t>
            </w:r>
            <w:r w:rsidRPr="00B059B2">
              <w:rPr>
                <w:vertAlign w:val="subscript"/>
              </w:rPr>
              <w:t>2</w:t>
            </w:r>
            <w:r w:rsidRPr="00B059B2">
              <w:t xml:space="preserve"> a N</w:t>
            </w:r>
            <w:r w:rsidRPr="00B059B2">
              <w:rPr>
                <w:vertAlign w:val="subscript"/>
              </w:rPr>
              <w:t>3</w:t>
            </w:r>
            <w:r w:rsidRPr="00B059B2">
              <w:t xml:space="preserve"> a nových prípojných vozidiel kategórií O</w:t>
            </w:r>
            <w:r w:rsidRPr="00B059B2">
              <w:rPr>
                <w:vertAlign w:val="subscript"/>
              </w:rPr>
              <w:t>3</w:t>
            </w:r>
            <w:r w:rsidRPr="00B059B2">
              <w:t xml:space="preserve"> </w:t>
            </w:r>
            <w:r w:rsidRPr="00B059B2">
              <w:lastRenderedPageBreak/>
              <w:t>a O</w:t>
            </w:r>
            <w:r w:rsidRPr="00B059B2">
              <w:rPr>
                <w:vertAlign w:val="subscript"/>
              </w:rPr>
              <w:t>4</w:t>
            </w:r>
            <w:r w:rsidRPr="00B059B2">
              <w:t>, ktoré nie sú v súlade s týmto nariadením, považujú osvedčenia o zhode za neplatné na účely evidencie a z dôvodov súvisiacich s emisiami CO</w:t>
            </w:r>
            <w:r w:rsidRPr="00B059B2">
              <w:rPr>
                <w:vertAlign w:val="subscript"/>
              </w:rPr>
              <w:t>2</w:t>
            </w:r>
            <w:r w:rsidRPr="00B059B2">
              <w:t xml:space="preserve"> a znečisťujúcich látok, spotrebou paliva a energie alebo životnosťou batérií zakážu evidenciu, predaj alebo uvedenie do prevádzky takýchto vozidiel.</w:t>
            </w:r>
          </w:p>
        </w:tc>
        <w:tc>
          <w:tcPr>
            <w:tcW w:w="4876" w:type="dxa"/>
          </w:tcPr>
          <w:p w:rsidR="00902EF1" w:rsidRPr="00B059B2" w:rsidRDefault="00902EF1" w:rsidP="0023402C">
            <w:pPr>
              <w:pStyle w:val="Normal6a"/>
            </w:pPr>
            <w:r w:rsidRPr="00B059B2">
              <w:lastRenderedPageBreak/>
              <w:t>5.</w:t>
            </w:r>
            <w:r w:rsidRPr="00B059B2">
              <w:tab/>
              <w:t xml:space="preserve">S účinnosťou od uplynutia </w:t>
            </w:r>
            <w:r w:rsidRPr="00B059B2">
              <w:rPr>
                <w:b/>
                <w:bCs/>
                <w:i/>
                <w:iCs/>
              </w:rPr>
              <w:t xml:space="preserve">60 mesiacov po nadobudnutí účinnosti všetkých </w:t>
            </w:r>
            <w:r w:rsidR="00481921">
              <w:rPr>
                <w:b/>
                <w:i/>
              </w:rPr>
              <w:t xml:space="preserve">príslušných </w:t>
            </w:r>
            <w:r w:rsidRPr="00B059B2">
              <w:rPr>
                <w:b/>
                <w:bCs/>
                <w:i/>
                <w:iCs/>
              </w:rPr>
              <w:t xml:space="preserve">sekundárnych právnych predpisov a podľa osobitných </w:t>
            </w:r>
            <w:r w:rsidRPr="00B059B2">
              <w:rPr>
                <w:b/>
                <w:bCs/>
                <w:i/>
                <w:iCs/>
              </w:rPr>
              <w:lastRenderedPageBreak/>
              <w:t>ustanovení systémov, komponentov a samostatných technických jednotiek</w:t>
            </w:r>
            <w:r w:rsidRPr="00B059B2">
              <w:t xml:space="preserve"> vnútroštátne orgány v prípade nových vozidiel kategórií M</w:t>
            </w:r>
            <w:r w:rsidRPr="00B059B2">
              <w:rPr>
                <w:vertAlign w:val="subscript"/>
              </w:rPr>
              <w:t>2</w:t>
            </w:r>
            <w:r w:rsidRPr="00B059B2">
              <w:t>, M</w:t>
            </w:r>
            <w:r w:rsidRPr="00B059B2">
              <w:rPr>
                <w:vertAlign w:val="subscript"/>
              </w:rPr>
              <w:t>3</w:t>
            </w:r>
            <w:r w:rsidRPr="00B059B2">
              <w:t>, N</w:t>
            </w:r>
            <w:r w:rsidRPr="00B059B2">
              <w:rPr>
                <w:vertAlign w:val="subscript"/>
              </w:rPr>
              <w:t>2</w:t>
            </w:r>
            <w:r w:rsidRPr="00B059B2">
              <w:t xml:space="preserve"> a N</w:t>
            </w:r>
            <w:r w:rsidRPr="00B059B2">
              <w:rPr>
                <w:vertAlign w:val="subscript"/>
              </w:rPr>
              <w:t>3</w:t>
            </w:r>
            <w:r w:rsidRPr="00B059B2">
              <w:t xml:space="preserve"> a nových prípojných vozidiel kategórií O</w:t>
            </w:r>
            <w:r w:rsidRPr="00B059B2">
              <w:rPr>
                <w:vertAlign w:val="subscript"/>
              </w:rPr>
              <w:t>3</w:t>
            </w:r>
            <w:r w:rsidRPr="00B059B2">
              <w:t xml:space="preserve"> a O</w:t>
            </w:r>
            <w:r w:rsidRPr="00B059B2">
              <w:rPr>
                <w:vertAlign w:val="subscript"/>
              </w:rPr>
              <w:t>4</w:t>
            </w:r>
            <w:r w:rsidRPr="00B059B2">
              <w:t>, ktoré nie sú v súlade s týmto nariadením, považujú osvedčenia o zhode za neplatné na účely evidencie a z dôvodov súvisiacich s emisiami CO</w:t>
            </w:r>
            <w:r w:rsidRPr="00B059B2">
              <w:rPr>
                <w:vertAlign w:val="subscript"/>
              </w:rPr>
              <w:t>2</w:t>
            </w:r>
            <w:r w:rsidRPr="00B059B2">
              <w:t xml:space="preserve"> a znečisťujúcich látok, spotrebou paliva a energie alebo životnosťou batérií zakážu evidenciu, predaj alebo uvedenie do prevádzky takýchto </w:t>
            </w:r>
            <w:r w:rsidRPr="00B059B2">
              <w:rPr>
                <w:b/>
                <w:bCs/>
                <w:i/>
                <w:iCs/>
              </w:rPr>
              <w:t>motorov,</w:t>
            </w:r>
            <w:r w:rsidRPr="00B059B2">
              <w:t xml:space="preserve"> vozidiel </w:t>
            </w:r>
            <w:r w:rsidRPr="00B059B2">
              <w:rPr>
                <w:b/>
                <w:bCs/>
                <w:i/>
                <w:iCs/>
              </w:rPr>
              <w:t>alebo prípojných vozidiel</w:t>
            </w:r>
            <w:r w:rsidRPr="00B059B2">
              <w:t>.</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104</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10 – odsek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rPr>
                <w:b/>
                <w:i/>
              </w:rPr>
              <w:t>8.</w:t>
            </w:r>
            <w:r w:rsidRPr="00B059B2">
              <w:tab/>
            </w:r>
            <w:r w:rsidRPr="00B059B2">
              <w:rPr>
                <w:b/>
                <w:i/>
              </w:rPr>
              <w:t>Komisia prijme vykonávacie akty, ktorými sa stanovia administratívne a technické prvky potrebné na vykonávanie skúšok, kontrol a inšpekcií na účely overenia súladu s odsekom 1, ako aj technické prvky požadované na kontroly v rámci dohľadu nad trhom podľa odseku 2. Uvedené vykonávacie akty sa prijmú v súlade s postupom preskúmania uvedeným v článku 17 ods. 2.</w:t>
            </w:r>
          </w:p>
        </w:tc>
        <w:tc>
          <w:tcPr>
            <w:tcW w:w="4876" w:type="dxa"/>
          </w:tcPr>
          <w:p w:rsidR="00902EF1" w:rsidRPr="00B059B2" w:rsidRDefault="00902EF1" w:rsidP="0023402C">
            <w:pPr>
              <w:pStyle w:val="Normal6a"/>
            </w:pPr>
            <w:r w:rsidRPr="00B059B2">
              <w:rPr>
                <w:b/>
                <w:i/>
              </w:rPr>
              <w:t>vypúšťa sa</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105</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rPr>
          <w:b w:val="0"/>
        </w:rPr>
        <w:t>Článok 11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1.</w:t>
            </w:r>
            <w:r w:rsidRPr="00B059B2">
              <w:tab/>
              <w:t xml:space="preserve">S účinnosťou od </w:t>
            </w:r>
            <w:r w:rsidRPr="00B059B2">
              <w:rPr>
                <w:b/>
                <w:bCs/>
                <w:i/>
                <w:iCs/>
              </w:rPr>
              <w:t>1. júla 2025</w:t>
            </w:r>
            <w:r w:rsidRPr="00B059B2">
              <w:t xml:space="preserve"> je zakázaný predaj alebo montáž systému, komponentu alebo samostatnej technickej jednotky určených na montáž do vozidla kategórie M</w:t>
            </w:r>
            <w:r w:rsidRPr="00B059B2">
              <w:rPr>
                <w:vertAlign w:val="subscript"/>
              </w:rPr>
              <w:t>1</w:t>
            </w:r>
            <w:r w:rsidRPr="00B059B2">
              <w:t xml:space="preserve"> alebo N</w:t>
            </w:r>
            <w:r w:rsidRPr="00B059B2">
              <w:rPr>
                <w:vertAlign w:val="subscript"/>
              </w:rPr>
              <w:t>1</w:t>
            </w:r>
            <w:r w:rsidRPr="00B059B2">
              <w:t xml:space="preserve"> schváleného podľa </w:t>
            </w:r>
            <w:r w:rsidRPr="00B059B2">
              <w:lastRenderedPageBreak/>
              <w:t>tohto nariadenia, ak systém, komponent a samostatná technická jednotka nie sú typovo schválené v súlade s týmto nariadením.</w:t>
            </w:r>
          </w:p>
        </w:tc>
        <w:tc>
          <w:tcPr>
            <w:tcW w:w="4876" w:type="dxa"/>
          </w:tcPr>
          <w:p w:rsidR="00902EF1" w:rsidRPr="00B059B2" w:rsidRDefault="00902EF1" w:rsidP="0023402C">
            <w:pPr>
              <w:pStyle w:val="Normal6a"/>
            </w:pPr>
            <w:r w:rsidRPr="00B059B2">
              <w:lastRenderedPageBreak/>
              <w:t>1.</w:t>
            </w:r>
            <w:r w:rsidRPr="00B059B2">
              <w:tab/>
              <w:t xml:space="preserve">S účinnosťou od </w:t>
            </w:r>
            <w:r w:rsidRPr="00B059B2">
              <w:rPr>
                <w:b/>
                <w:bCs/>
                <w:i/>
                <w:iCs/>
              </w:rPr>
              <w:t xml:space="preserve">24 mesiacov od nadobudnutia účinnosti všetkých </w:t>
            </w:r>
            <w:r w:rsidR="00481921">
              <w:rPr>
                <w:b/>
                <w:i/>
              </w:rPr>
              <w:t xml:space="preserve">príslušných </w:t>
            </w:r>
            <w:r w:rsidRPr="00B059B2">
              <w:rPr>
                <w:b/>
                <w:bCs/>
                <w:i/>
                <w:iCs/>
              </w:rPr>
              <w:t>sekundárnych právnych predpisov</w:t>
            </w:r>
            <w:r w:rsidRPr="00B059B2">
              <w:t xml:space="preserve"> je zakázaný predaj alebo montáž systému, komponentu alebo samostatnej </w:t>
            </w:r>
            <w:r w:rsidRPr="00B059B2">
              <w:lastRenderedPageBreak/>
              <w:t>technickej jednotky určených na montáž do vozidla kategórie M</w:t>
            </w:r>
            <w:r w:rsidRPr="00B059B2">
              <w:rPr>
                <w:vertAlign w:val="subscript"/>
              </w:rPr>
              <w:t>1</w:t>
            </w:r>
            <w:r w:rsidRPr="00B059B2">
              <w:t xml:space="preserve"> alebo N</w:t>
            </w:r>
            <w:r w:rsidRPr="00B059B2">
              <w:rPr>
                <w:vertAlign w:val="subscript"/>
              </w:rPr>
              <w:t>1</w:t>
            </w:r>
            <w:r w:rsidRPr="00B059B2">
              <w:t xml:space="preserve"> schváleného podľa tohto nariadenia, ak systém, komponent a samostatná technická jednotka nie sú typovo schválené v súlade s týmto nariadením.</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106</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rPr>
          <w:b w:val="0"/>
        </w:rPr>
        <w:t>Článok 11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2.</w:t>
            </w:r>
            <w:r w:rsidRPr="00B059B2">
              <w:tab/>
              <w:t xml:space="preserve">S účinnosťou od </w:t>
            </w:r>
            <w:r w:rsidRPr="00B059B2">
              <w:rPr>
                <w:b/>
                <w:bCs/>
                <w:i/>
                <w:iCs/>
              </w:rPr>
              <w:t>1. júla 2027</w:t>
            </w:r>
            <w:r w:rsidRPr="00B059B2">
              <w:rPr>
                <w:b/>
                <w:bCs/>
              </w:rPr>
              <w:t xml:space="preserve"> </w:t>
            </w:r>
            <w:r w:rsidRPr="00B059B2">
              <w:t>je zakázaný predaj alebo montáž systému, komponentu alebo samostatnej technickej jednotky určených na montáž do vozidla kategórie M</w:t>
            </w:r>
            <w:r w:rsidRPr="00B059B2">
              <w:rPr>
                <w:vertAlign w:val="subscript"/>
              </w:rPr>
              <w:t>2</w:t>
            </w:r>
            <w:r w:rsidRPr="00B059B2">
              <w:t>, M</w:t>
            </w:r>
            <w:r w:rsidRPr="00B059B2">
              <w:rPr>
                <w:vertAlign w:val="subscript"/>
              </w:rPr>
              <w:t>3</w:t>
            </w:r>
            <w:r w:rsidRPr="00B059B2">
              <w:t>, N</w:t>
            </w:r>
            <w:r w:rsidRPr="00B059B2">
              <w:rPr>
                <w:vertAlign w:val="subscript"/>
              </w:rPr>
              <w:t>2</w:t>
            </w:r>
            <w:r w:rsidRPr="00B059B2">
              <w:t xml:space="preserve"> alebo N</w:t>
            </w:r>
            <w:r w:rsidRPr="00B059B2">
              <w:rPr>
                <w:vertAlign w:val="subscript"/>
              </w:rPr>
              <w:t>3</w:t>
            </w:r>
            <w:r w:rsidRPr="00B059B2">
              <w:t xml:space="preserve"> schváleného podľa tohto nariadenia, ak systém, komponent a samostatná technická jednotka nie sú typovo schválené v súlade s týmto nariadením.</w:t>
            </w:r>
          </w:p>
        </w:tc>
        <w:tc>
          <w:tcPr>
            <w:tcW w:w="4876" w:type="dxa"/>
          </w:tcPr>
          <w:p w:rsidR="00902EF1" w:rsidRPr="00B059B2" w:rsidRDefault="00902EF1" w:rsidP="0023402C">
            <w:pPr>
              <w:pStyle w:val="Normal6a"/>
            </w:pPr>
            <w:r w:rsidRPr="00B059B2">
              <w:t>2.</w:t>
            </w:r>
            <w:r w:rsidRPr="00B059B2">
              <w:tab/>
              <w:t xml:space="preserve">S účinnosťou </w:t>
            </w:r>
            <w:r w:rsidRPr="00B059B2">
              <w:rPr>
                <w:b/>
                <w:bCs/>
                <w:i/>
                <w:iCs/>
              </w:rPr>
              <w:t xml:space="preserve">48 mesiacov od nadobudnutia účinnosti všetkých sekundárnych právnych predpisov </w:t>
            </w:r>
            <w:r w:rsidRPr="00B059B2">
              <w:t>je zakázaný predaj alebo montáž systému, komponentu alebo samostatnej technickej jednotky určených na montáž do vozidla kategórie M</w:t>
            </w:r>
            <w:r w:rsidRPr="00B059B2">
              <w:rPr>
                <w:vertAlign w:val="subscript"/>
              </w:rPr>
              <w:t>2</w:t>
            </w:r>
            <w:r w:rsidRPr="00B059B2">
              <w:t>, M</w:t>
            </w:r>
            <w:r w:rsidRPr="00B059B2">
              <w:rPr>
                <w:vertAlign w:val="subscript"/>
              </w:rPr>
              <w:t>3</w:t>
            </w:r>
            <w:r w:rsidRPr="00B059B2">
              <w:t>, N</w:t>
            </w:r>
            <w:r w:rsidRPr="00B059B2">
              <w:rPr>
                <w:vertAlign w:val="subscript"/>
              </w:rPr>
              <w:t>2</w:t>
            </w:r>
            <w:r w:rsidRPr="00B059B2">
              <w:t xml:space="preserve"> a N</w:t>
            </w:r>
            <w:r w:rsidRPr="00B059B2">
              <w:rPr>
                <w:vertAlign w:val="subscript"/>
              </w:rPr>
              <w:t>3</w:t>
            </w:r>
            <w:r w:rsidRPr="00B059B2">
              <w:t xml:space="preserve"> </w:t>
            </w:r>
            <w:r w:rsidRPr="00B059B2">
              <w:rPr>
                <w:b/>
                <w:bCs/>
                <w:i/>
                <w:iCs/>
              </w:rPr>
              <w:t>a prípojných vozidiel kategórií O</w:t>
            </w:r>
            <w:r w:rsidRPr="00B059B2">
              <w:rPr>
                <w:b/>
                <w:bCs/>
                <w:i/>
                <w:iCs/>
                <w:vertAlign w:val="subscript"/>
              </w:rPr>
              <w:t>3</w:t>
            </w:r>
            <w:r w:rsidRPr="00B059B2">
              <w:rPr>
                <w:b/>
                <w:bCs/>
                <w:i/>
                <w:iCs/>
              </w:rPr>
              <w:t xml:space="preserve"> a O</w:t>
            </w:r>
            <w:r w:rsidRPr="00B059B2">
              <w:rPr>
                <w:b/>
                <w:bCs/>
                <w:i/>
                <w:iCs/>
                <w:vertAlign w:val="subscript"/>
              </w:rPr>
              <w:t>4</w:t>
            </w:r>
            <w:r w:rsidRPr="00B059B2">
              <w:t>schválených podľa tohto nariadenia, ak systém, komponent a samostatná technická jednotka nie sú typovo schválené v súlade s týmto nariadením.</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107</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11 – odsek 3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6845D5">
            <w:pPr>
              <w:spacing w:after="120"/>
            </w:pPr>
            <w:r w:rsidRPr="00B059B2">
              <w:rPr>
                <w:b/>
                <w:i/>
              </w:rPr>
              <w:t>3a.</w:t>
            </w:r>
            <w:r w:rsidRPr="00B059B2">
              <w:tab/>
            </w:r>
            <w:r w:rsidRPr="00B059B2">
              <w:rPr>
                <w:b/>
                <w:i/>
              </w:rPr>
              <w:t>S účinnosťou od 12 mesiacov po prijatí delegovaného aktu o typovom schválení pneumatík kategórie C1, pokiaľ ide o emisné limity oderu v súlade s článkom 7a, vnútroštátne orgány udelia typové schválenie EÚ komponentu alebo samostatnej technickej jednotky len pre nové typy pneumatík, ak je to v súlade s týmto nariadením, a odmietnu udeliť typové schválenie E</w:t>
            </w:r>
            <w:r w:rsidR="00481921">
              <w:rPr>
                <w:b/>
                <w:i/>
              </w:rPr>
              <w:t>Ú</w:t>
            </w:r>
            <w:r w:rsidRPr="00B059B2">
              <w:rPr>
                <w:b/>
                <w:i/>
              </w:rPr>
              <w:t xml:space="preserve"> komponentu/samostatnej technickej jednotke, pokiaľ ide o nové typy </w:t>
            </w:r>
            <w:r w:rsidRPr="00B059B2">
              <w:rPr>
                <w:b/>
                <w:i/>
              </w:rPr>
              <w:lastRenderedPageBreak/>
              <w:t>pneumatík, ktoré nie sú v súlade s týmto nariadením.</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S účinnosťou 36 mesiacov po prijatí delegovaného aktu o typovom schvaľovaní pneumatík C1, pokiaľ ide o emisie oderu v súlade s článkom 7a, vnútroštátne orgány odmietnu udeliť typové schválenie alebo typové schválenie pre nové pneumatiky C1, ktoré nie sú v súlade s týmto nariadením. Pneumatiky C1, ktoré boli vyrobené pred dátumom nadobudnutia účinnosti uvedeným v tomto pododseku a ktoré nespĺňajú požiadavky tohto nariadenia a jeho vykonávacích opatrení, sa môžu predávať najviac 30 mesiacov.</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108</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12 – odsek 1 – pododsek 1 a (nový)</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Zásahy, ktoré vedú k emisiám prekračujúcim limity stanovené v prílohe 1, majú za následok, že vozidlo prestane byť v súlade s týmto nariadením.</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109</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12 – odsek 1 – pododsek 1 b (nový)</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Nesúlad vyplývajúci z neoprávnenej manipulácie má za následok prijatie vhodných nápravných opatrení vrátane stiahnutia z trhu a účinných, primeraných a odrádzajúcich finančných sankcií príslušnými vnútroštátnymi orgánmi.</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110</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12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2.</w:t>
            </w:r>
            <w:r w:rsidRPr="00B059B2">
              <w:tab/>
              <w:t>Vnútroštátne orgány počas kontrol zhody v prevádzke alebo dohľadu nad trhom overia, či výrobcovia vozidiel správne namontovali systém varovania vodiča pri nadmerných emisiách, systémy varovania vodiča pri nízkej hladine činidla a či je možné do vozidla neoprávnene zasahovať.</w:t>
            </w:r>
          </w:p>
        </w:tc>
        <w:tc>
          <w:tcPr>
            <w:tcW w:w="4876" w:type="dxa"/>
          </w:tcPr>
          <w:p w:rsidR="00902EF1" w:rsidRPr="00B059B2" w:rsidRDefault="00902EF1" w:rsidP="0023402C">
            <w:pPr>
              <w:pStyle w:val="Normal6a"/>
            </w:pPr>
            <w:r w:rsidRPr="00B059B2">
              <w:t>2.</w:t>
            </w:r>
            <w:r w:rsidRPr="00B059B2">
              <w:tab/>
              <w:t xml:space="preserve">Vnútroštátne orgány počas kontrol zhody v prevádzke alebo dohľadu nad trhom overia </w:t>
            </w:r>
            <w:r w:rsidRPr="00B059B2">
              <w:rPr>
                <w:b/>
                <w:bCs/>
                <w:i/>
                <w:iCs/>
              </w:rPr>
              <w:t>kvalitu použitého činidla,</w:t>
            </w:r>
            <w:r w:rsidRPr="00B059B2">
              <w:t xml:space="preserve"> či výrobcovia vozidiel správne namontovali systém varovania vodiča pri nadmerných emisiách, systémy varovania vodiča pri nízkej hladine činidla a či je možné do vozidla neoprávnene zasahovať.</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111</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13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1.</w:t>
            </w:r>
            <w:r w:rsidRPr="00B059B2">
              <w:tab/>
              <w:t xml:space="preserve">Komisia alebo tretie strany </w:t>
            </w:r>
            <w:r w:rsidRPr="00B059B2">
              <w:rPr>
                <w:b/>
                <w:bCs/>
                <w:i/>
                <w:iCs/>
              </w:rPr>
              <w:t>môžu</w:t>
            </w:r>
            <w:r w:rsidRPr="00B059B2">
              <w:t xml:space="preserve"> v súlade s článkom 9 a článkom 13 ods. 10 nariadenia (EÚ) 2018/858 vykonávať kontroly zhody v prevádzke a dohľadu nad trhom stanovené v tabuľkách 2, 4, 6, 8 a 10 v prílohe V s cieľom overiť súlad vozidiel, komponentov a samostatných technických jednotiek s týmto nariadením.</w:t>
            </w:r>
          </w:p>
        </w:tc>
        <w:tc>
          <w:tcPr>
            <w:tcW w:w="4876" w:type="dxa"/>
          </w:tcPr>
          <w:p w:rsidR="00902EF1" w:rsidRPr="00B059B2" w:rsidRDefault="00902EF1" w:rsidP="0023402C">
            <w:pPr>
              <w:pStyle w:val="Normal6a"/>
            </w:pPr>
            <w:r w:rsidRPr="00B059B2">
              <w:t>1.</w:t>
            </w:r>
            <w:r w:rsidRPr="00B059B2">
              <w:tab/>
              <w:t xml:space="preserve">Komisia alebo tretie strany v súlade s článkom 9 a článkom 13 ods. 10 nariadenia (EÚ) 2018/858 </w:t>
            </w:r>
            <w:r w:rsidRPr="00B059B2">
              <w:rPr>
                <w:b/>
                <w:bCs/>
                <w:i/>
                <w:iCs/>
              </w:rPr>
              <w:t>vykonávajú</w:t>
            </w:r>
            <w:r w:rsidRPr="00B059B2">
              <w:t xml:space="preserve"> kontroly zhody v prevádzke a dohľadu nad trhom stanovené v tabuľkách 2, 4, 6, 8 a 10 v prílohe V s cieľom overiť súlad vozidiel, komponentov a samostatných technických jednotiek s týmto nariadením.</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112</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13 – odsek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2a.</w:t>
            </w:r>
            <w:r w:rsidRPr="00B059B2">
              <w:tab/>
            </w:r>
            <w:r w:rsidRPr="00B059B2">
              <w:rPr>
                <w:b/>
                <w:i/>
              </w:rPr>
              <w:t xml:space="preserve">Komisia priebežne monitoruje situáciu na úrovni Únie s cieľom identifikovať praktiky obchádzania a nesúladu. Ak sa zistí nesúlad, Komisia predloží správu Európskemu parlamentu a Rade a v nadväznosti na ňu v prípade potreby predloží legislatívny návrh na riešenie a odstránenie rizík tohto </w:t>
            </w:r>
            <w:r w:rsidRPr="00B059B2">
              <w:rPr>
                <w:b/>
                <w:i/>
              </w:rPr>
              <w:lastRenderedPageBreak/>
              <w:t>nesúladu.</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113</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14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2.</w:t>
            </w:r>
            <w:r w:rsidRPr="00B059B2">
              <w:tab/>
              <w:t xml:space="preserve">Skúšky na preukázanie súladu s požiadavkami </w:t>
            </w:r>
            <w:r w:rsidRPr="00B059B2">
              <w:rPr>
                <w:b/>
                <w:bCs/>
                <w:i/>
                <w:iCs/>
              </w:rPr>
              <w:t>článku 4</w:t>
            </w:r>
            <w:r w:rsidRPr="00B059B2">
              <w:t xml:space="preserve"> uplatňujú výrobcovia a vnútroštátne orgány, ako sa uvádza v prílohe V. Skúšky na preukázanie súladu s požiadavkami </w:t>
            </w:r>
            <w:r w:rsidRPr="00B059B2">
              <w:rPr>
                <w:b/>
                <w:bCs/>
                <w:i/>
                <w:iCs/>
              </w:rPr>
              <w:t>článku 4</w:t>
            </w:r>
            <w:r w:rsidRPr="00B059B2">
              <w:t xml:space="preserve"> môže tiež uplatniť Komisia a tretie strany, ako sa uvádza v prílohe V.</w:t>
            </w:r>
          </w:p>
        </w:tc>
        <w:tc>
          <w:tcPr>
            <w:tcW w:w="4876" w:type="dxa"/>
          </w:tcPr>
          <w:p w:rsidR="00902EF1" w:rsidRPr="00B059B2" w:rsidRDefault="00902EF1" w:rsidP="0023402C">
            <w:pPr>
              <w:pStyle w:val="Normal6a"/>
            </w:pPr>
            <w:r w:rsidRPr="00B059B2">
              <w:t>2.</w:t>
            </w:r>
            <w:r w:rsidRPr="00B059B2">
              <w:tab/>
              <w:t>Skúšky na preukázanie súladu s požiadavkami</w:t>
            </w:r>
            <w:r w:rsidRPr="00B059B2">
              <w:rPr>
                <w:b/>
                <w:bCs/>
                <w:i/>
                <w:iCs/>
              </w:rPr>
              <w:t xml:space="preserve"> tohto nariadenia</w:t>
            </w:r>
            <w:r w:rsidRPr="00B059B2">
              <w:t xml:space="preserve"> uplatňujú výrobcovia a vnútroštátne orgány, ako sa uvádza v prílohe V. Skúšky na preukázanie súladu s požiadavkami</w:t>
            </w:r>
            <w:r w:rsidRPr="00B059B2">
              <w:rPr>
                <w:b/>
                <w:bCs/>
                <w:i/>
                <w:iCs/>
              </w:rPr>
              <w:t xml:space="preserve"> tohto nariadenia</w:t>
            </w:r>
            <w:r w:rsidRPr="00B059B2">
              <w:t xml:space="preserve"> môže tiež uplatniť Komisia a tretie strany, ako sa uvádza v prílohe V.</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114</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14 – odsek 3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3.</w:t>
            </w:r>
            <w:r w:rsidRPr="00B059B2">
              <w:tab/>
              <w:t xml:space="preserve">Komisia prijme vykonávacie akty pre všetky fázy typového schvaľovania vzhľadom na emisie vrátane overovania zhody výroby, zhody v prevádzke a dohľadu nad trhom, pričom sa zameria na </w:t>
            </w:r>
            <w:r w:rsidRPr="00B059B2">
              <w:rPr>
                <w:b/>
                <w:bCs/>
                <w:i/>
                <w:iCs/>
              </w:rPr>
              <w:t>postupy a skúšky typového schválenia vzhľadom na emisie, skúšobné metodiky,</w:t>
            </w:r>
            <w:r w:rsidRPr="00B059B2">
              <w:t xml:space="preserve"> administratívne ustanovenia, zmenu a rozšírenie typových schválení vzhľadom na emisie, prístup k údajom, požiadavky na dokumentáciu a vzory pre:</w:t>
            </w:r>
          </w:p>
        </w:tc>
        <w:tc>
          <w:tcPr>
            <w:tcW w:w="4876" w:type="dxa"/>
          </w:tcPr>
          <w:p w:rsidR="00902EF1" w:rsidRPr="00B059B2" w:rsidRDefault="00902EF1" w:rsidP="0023402C">
            <w:pPr>
              <w:pStyle w:val="Normal6a"/>
            </w:pPr>
            <w:r w:rsidRPr="00B059B2">
              <w:t>3.</w:t>
            </w:r>
            <w:r w:rsidRPr="00B059B2">
              <w:tab/>
              <w:t>Komisia prijme vykonávacie akty pre všetky fázy typového schvaľovania vzhľadom na emisie vrátane overovania zhody výroby, zhody v prevádzke a dohľadu nad trhom, pričom sa zameria na administratívne ustanovenia, zmenu a rozšírenie typových schválení vzhľadom na emisie, prístup k údajom, požiadavky na dokumentáciu a vzory pre:</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115</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14 – odsek 3 – písmeno d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da)</w:t>
            </w:r>
            <w:r w:rsidRPr="00B059B2">
              <w:tab/>
            </w:r>
            <w:r w:rsidRPr="00B059B2">
              <w:rPr>
                <w:b/>
                <w:i/>
              </w:rPr>
              <w:t xml:space="preserve">systém varovania vodiča pri </w:t>
            </w:r>
            <w:r w:rsidRPr="00B059B2">
              <w:rPr>
                <w:b/>
                <w:i/>
              </w:rPr>
              <w:lastRenderedPageBreak/>
              <w:t>nadmerných emisiách;</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116</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14 – odsek 3 – písmeno d b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db)</w:t>
            </w:r>
            <w:r w:rsidRPr="00B059B2">
              <w:tab/>
            </w:r>
            <w:r w:rsidRPr="00B059B2">
              <w:rPr>
                <w:b/>
                <w:i/>
              </w:rPr>
              <w:t>systém varovania vodiča pri nízkej hladine činidla;</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117</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14 – odsek 3 – písmeno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e)</w:t>
            </w:r>
            <w:r w:rsidRPr="00B059B2">
              <w:tab/>
              <w:t>systémy proti neoprávnenému zasahovaniu, systémy zaisťujúce bezpečnosť a kybernetickú bezpečnosť;</w:t>
            </w:r>
          </w:p>
        </w:tc>
        <w:tc>
          <w:tcPr>
            <w:tcW w:w="4876" w:type="dxa"/>
          </w:tcPr>
          <w:p w:rsidR="00902EF1" w:rsidRPr="00B059B2" w:rsidRDefault="00902EF1" w:rsidP="0023402C">
            <w:pPr>
              <w:pStyle w:val="Normal6a"/>
            </w:pPr>
            <w:r w:rsidRPr="00B059B2">
              <w:t>e)</w:t>
            </w:r>
            <w:r w:rsidRPr="00B059B2">
              <w:tab/>
            </w:r>
            <w:r w:rsidRPr="00B059B2">
              <w:rPr>
                <w:b/>
                <w:bCs/>
                <w:i/>
                <w:iCs/>
              </w:rPr>
              <w:t>systémy proti neoprávnenému zasahovaniu, pričom sa zohľadnia požiadavky trhu s náhradnými dielmi a nezávislým prevádzkovateľom sa poskytnú všetky požadované informácie, nástroje a postupy na vývoj a inštaláciu náhradných dielov, ako aj systémy zaisťujúce bezpečnosť a kybernetickú bezpečnosť;</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118</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14 – odsek 3 – písmeno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g)</w:t>
            </w:r>
            <w:r w:rsidRPr="00B059B2">
              <w:tab/>
              <w:t>typy brzdových systémov a ich náhradné časti;</w:t>
            </w:r>
          </w:p>
        </w:tc>
        <w:tc>
          <w:tcPr>
            <w:tcW w:w="4876" w:type="dxa"/>
          </w:tcPr>
          <w:p w:rsidR="00902EF1" w:rsidRPr="00B059B2" w:rsidRDefault="00902EF1" w:rsidP="0023402C">
            <w:pPr>
              <w:pStyle w:val="Normal6a"/>
            </w:pPr>
            <w:r w:rsidRPr="00B059B2">
              <w:t>g)</w:t>
            </w:r>
            <w:r w:rsidRPr="00B059B2">
              <w:tab/>
              <w:t xml:space="preserve">typy brzdových systémov a ich náhradné časti, </w:t>
            </w:r>
            <w:r w:rsidRPr="00B059B2">
              <w:rPr>
                <w:b/>
                <w:bCs/>
                <w:i/>
                <w:iCs/>
              </w:rPr>
              <w:t>pokiaľ ide o emisie častíc pre všetky kategórie vozidiel, pričom sa zohľadňujú aj iné systémy vo vozidlách, ktoré prispievajú k brzdeniu vozidiel</w:t>
            </w:r>
            <w:r w:rsidRPr="00B059B2">
              <w:t>;</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119</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14 – odsek 3 – písmeno g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ga)</w:t>
            </w:r>
            <w:r w:rsidRPr="00B059B2">
              <w:tab/>
            </w:r>
            <w:r w:rsidRPr="00B059B2">
              <w:rPr>
                <w:b/>
                <w:i/>
              </w:rPr>
              <w:t>typy brzdových systémov a ich náhradné časti, ktoré sa majú dodatočne namontovať do vozidiel, ktoré už boli uvedené na trh, aby sa výrazne znížili emisie z bŕzd;</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120</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14 – odsek 3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3a.</w:t>
            </w:r>
            <w:r w:rsidRPr="00B059B2">
              <w:tab/>
            </w:r>
            <w:r w:rsidRPr="00B059B2">
              <w:rPr>
                <w:b/>
                <w:i/>
              </w:rPr>
              <w:t>Komisia je splnomocnená prijímať delegované akty v súlade s článkom 16 týkajúce sa postupov a skúšok typového schválenia vzhľadom na emisie a skúšobných metodík pre všetky fázy typového schvaľovania vzhľadom na emisie vrátane zhody v prevádzke, zhody výroby a dohľadu nad trhom s cieľom stanoviť:</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 xml:space="preserve">a) </w:t>
            </w:r>
            <w:r w:rsidRPr="00B059B2">
              <w:tab/>
            </w:r>
            <w:r w:rsidRPr="00B059B2">
              <w:rPr>
                <w:b/>
                <w:i/>
              </w:rPr>
              <w:t>typy vozidiel kategórií M</w:t>
            </w:r>
            <w:r w:rsidRPr="00B059B2">
              <w:rPr>
                <w:b/>
                <w:i/>
                <w:vertAlign w:val="subscript"/>
              </w:rPr>
              <w:t>1</w:t>
            </w:r>
            <w:r w:rsidRPr="00B059B2">
              <w:rPr>
                <w:b/>
                <w:i/>
              </w:rPr>
              <w:t xml:space="preserve"> a N</w:t>
            </w:r>
            <w:r w:rsidRPr="00B059B2">
              <w:rPr>
                <w:b/>
                <w:i/>
                <w:vertAlign w:val="subscript"/>
              </w:rPr>
              <w:t>1</w:t>
            </w:r>
            <w:r w:rsidRPr="00B059B2">
              <w:rPr>
                <w:b/>
                <w:i/>
              </w:rPr>
              <w:t>;</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 xml:space="preserve">b) </w:t>
            </w:r>
            <w:r w:rsidRPr="00B059B2">
              <w:tab/>
            </w:r>
            <w:r w:rsidRPr="00B059B2">
              <w:rPr>
                <w:b/>
                <w:i/>
              </w:rPr>
              <w:t>typy vozidiel kategórií M</w:t>
            </w:r>
            <w:r w:rsidRPr="00B059B2">
              <w:rPr>
                <w:b/>
                <w:i/>
                <w:vertAlign w:val="subscript"/>
              </w:rPr>
              <w:t>2</w:t>
            </w:r>
            <w:r w:rsidRPr="00B059B2">
              <w:rPr>
                <w:b/>
                <w:i/>
              </w:rPr>
              <w:t>, M</w:t>
            </w:r>
            <w:r w:rsidRPr="00B059B2">
              <w:rPr>
                <w:b/>
                <w:i/>
                <w:vertAlign w:val="subscript"/>
              </w:rPr>
              <w:t>3</w:t>
            </w:r>
            <w:r w:rsidRPr="00B059B2">
              <w:rPr>
                <w:b/>
                <w:i/>
              </w:rPr>
              <w:t>, N</w:t>
            </w:r>
            <w:r w:rsidRPr="00B059B2">
              <w:rPr>
                <w:b/>
                <w:i/>
                <w:vertAlign w:val="subscript"/>
              </w:rPr>
              <w:t>2</w:t>
            </w:r>
            <w:r w:rsidRPr="00B059B2">
              <w:rPr>
                <w:b/>
                <w:i/>
              </w:rPr>
              <w:t xml:space="preserve"> a N</w:t>
            </w:r>
            <w:r w:rsidRPr="00B059B2">
              <w:rPr>
                <w:b/>
                <w:i/>
                <w:vertAlign w:val="subscript"/>
              </w:rPr>
              <w:t>3</w:t>
            </w:r>
            <w:r w:rsidRPr="00B059B2">
              <w:rPr>
                <w:b/>
                <w:i/>
              </w:rPr>
              <w:t>;</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 xml:space="preserve">c) </w:t>
            </w:r>
            <w:r w:rsidRPr="00B059B2">
              <w:tab/>
            </w:r>
            <w:r w:rsidRPr="00B059B2">
              <w:rPr>
                <w:b/>
                <w:i/>
              </w:rPr>
              <w:t>motory používané v typoch vozidiel kategórií M</w:t>
            </w:r>
            <w:r w:rsidRPr="00B059B2">
              <w:rPr>
                <w:b/>
                <w:i/>
                <w:vertAlign w:val="subscript"/>
              </w:rPr>
              <w:t>2</w:t>
            </w:r>
            <w:r w:rsidRPr="00B059B2">
              <w:rPr>
                <w:b/>
                <w:i/>
              </w:rPr>
              <w:t>, M</w:t>
            </w:r>
            <w:r w:rsidRPr="00B059B2">
              <w:rPr>
                <w:b/>
                <w:i/>
                <w:vertAlign w:val="subscript"/>
              </w:rPr>
              <w:t>3</w:t>
            </w:r>
            <w:r w:rsidRPr="00B059B2">
              <w:rPr>
                <w:b/>
                <w:i/>
              </w:rPr>
              <w:t>, N</w:t>
            </w:r>
            <w:r w:rsidRPr="00B059B2">
              <w:rPr>
                <w:b/>
                <w:i/>
                <w:vertAlign w:val="subscript"/>
              </w:rPr>
              <w:t>2</w:t>
            </w:r>
            <w:r w:rsidRPr="00B059B2">
              <w:rPr>
                <w:b/>
                <w:i/>
              </w:rPr>
              <w:t xml:space="preserve"> a N</w:t>
            </w:r>
            <w:r w:rsidRPr="00B059B2">
              <w:rPr>
                <w:b/>
                <w:i/>
                <w:vertAlign w:val="subscript"/>
              </w:rPr>
              <w:t>3</w:t>
            </w:r>
            <w:r w:rsidRPr="00B059B2">
              <w:rPr>
                <w:b/>
                <w:i/>
              </w:rPr>
              <w:t>;</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 xml:space="preserve">d) </w:t>
            </w:r>
            <w:r w:rsidRPr="00B059B2">
              <w:tab/>
            </w:r>
            <w:r w:rsidRPr="00B059B2">
              <w:rPr>
                <w:b/>
                <w:i/>
              </w:rPr>
              <w:t>systémy OBM/OBD;</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 xml:space="preserve">da) </w:t>
            </w:r>
            <w:r w:rsidRPr="00B059B2">
              <w:tab/>
            </w:r>
            <w:r w:rsidRPr="00B059B2">
              <w:rPr>
                <w:b/>
                <w:i/>
              </w:rPr>
              <w:t>systém varovania vodiča pri nadmerných emisiách;</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 xml:space="preserve">db) </w:t>
            </w:r>
            <w:r w:rsidRPr="00B059B2">
              <w:tab/>
            </w:r>
            <w:r w:rsidRPr="00B059B2">
              <w:rPr>
                <w:b/>
                <w:i/>
              </w:rPr>
              <w:t>systém varovania vodiča pri nízkej hladine činidla;</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 xml:space="preserve">e) </w:t>
            </w:r>
            <w:r w:rsidRPr="00B059B2">
              <w:tab/>
            </w:r>
            <w:r w:rsidRPr="00B059B2">
              <w:rPr>
                <w:b/>
                <w:i/>
              </w:rPr>
              <w:t xml:space="preserve">systémy proti neoprávnenému zasahovaniu, pričom sa zohľadnia požiadavky trhu s náhradnými dielmi a nezávislým prevádzkovateľom sa poskytnú všetky požadované informácie, nástroje a postupy na vývoj a inštaláciu náhradných dielov, ako aj systémy zaisťujúce bezpečnosť a kybernetickú </w:t>
            </w:r>
            <w:r w:rsidRPr="00B059B2">
              <w:rPr>
                <w:b/>
                <w:i/>
              </w:rPr>
              <w:lastRenderedPageBreak/>
              <w:t>bezpečnosť;</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 xml:space="preserve">f) </w:t>
            </w:r>
            <w:r w:rsidRPr="00B059B2">
              <w:tab/>
            </w:r>
            <w:r w:rsidRPr="00B059B2">
              <w:rPr>
                <w:b/>
                <w:i/>
              </w:rPr>
              <w:t>typy náhradných systémov na reguláciu znečisťujúcich látok a ich časti;</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 xml:space="preserve">g) </w:t>
            </w:r>
            <w:r w:rsidRPr="00B059B2">
              <w:tab/>
            </w:r>
            <w:r w:rsidRPr="00B059B2">
              <w:rPr>
                <w:b/>
                <w:i/>
              </w:rPr>
              <w:t>typy brzdových systémov a ich náhradné časti;</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 xml:space="preserve">ga) </w:t>
            </w:r>
            <w:r w:rsidRPr="00B059B2">
              <w:tab/>
            </w:r>
            <w:r w:rsidRPr="00B059B2">
              <w:rPr>
                <w:b/>
                <w:i/>
              </w:rPr>
              <w:t>typy brzdových systémov a ich náhradné časti, ktoré sa majú dodatočne namontovať do vozidiel, ktoré už boli uvedené na trh, aby sa výrazne znížili emisie z bŕzd;</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 xml:space="preserve">h) </w:t>
            </w:r>
            <w:r w:rsidRPr="00B059B2">
              <w:tab/>
            </w:r>
            <w:r w:rsidRPr="00B059B2">
              <w:rPr>
                <w:b/>
                <w:i/>
              </w:rPr>
              <w:t>typy pneumatík vzhľadom na ich oder;</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 xml:space="preserve">i) </w:t>
            </w:r>
            <w:r w:rsidRPr="00B059B2">
              <w:tab/>
            </w:r>
            <w:r w:rsidRPr="00B059B2">
              <w:rPr>
                <w:b/>
                <w:i/>
              </w:rPr>
              <w:t>typy vozidiel kategórií M</w:t>
            </w:r>
            <w:r w:rsidRPr="00B059B2">
              <w:rPr>
                <w:b/>
                <w:i/>
                <w:vertAlign w:val="subscript"/>
              </w:rPr>
              <w:t>1</w:t>
            </w:r>
            <w:r w:rsidRPr="00B059B2">
              <w:rPr>
                <w:b/>
                <w:i/>
              </w:rPr>
              <w:t xml:space="preserve"> a N</w:t>
            </w:r>
            <w:r w:rsidRPr="00B059B2">
              <w:rPr>
                <w:b/>
                <w:i/>
                <w:vertAlign w:val="subscript"/>
              </w:rPr>
              <w:t>1</w:t>
            </w:r>
            <w:r w:rsidRPr="00B059B2">
              <w:rPr>
                <w:b/>
                <w:i/>
              </w:rPr>
              <w:t>;</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 xml:space="preserve">j) </w:t>
            </w:r>
            <w:r w:rsidRPr="00B059B2">
              <w:tab/>
            </w:r>
            <w:r w:rsidRPr="00B059B2">
              <w:rPr>
                <w:b/>
                <w:i/>
              </w:rPr>
              <w:t>stanovenie emisií CO</w:t>
            </w:r>
            <w:r w:rsidRPr="00B059B2">
              <w:rPr>
                <w:b/>
                <w:i/>
                <w:vertAlign w:val="subscript"/>
              </w:rPr>
              <w:t>2</w:t>
            </w:r>
            <w:r w:rsidRPr="00B059B2">
              <w:rPr>
                <w:b/>
                <w:i/>
              </w:rPr>
              <w:t>, spotreby paliva a energie, elektrického dojazdu a výkonu motora pre vozidlá kategórií M</w:t>
            </w:r>
            <w:r w:rsidRPr="00B059B2">
              <w:rPr>
                <w:b/>
                <w:i/>
                <w:vertAlign w:val="subscript"/>
              </w:rPr>
              <w:t>1</w:t>
            </w:r>
            <w:r w:rsidRPr="00B059B2">
              <w:rPr>
                <w:b/>
                <w:i/>
              </w:rPr>
              <w:t xml:space="preserve"> a N</w:t>
            </w:r>
            <w:r w:rsidRPr="00B059B2">
              <w:rPr>
                <w:b/>
                <w:i/>
                <w:vertAlign w:val="subscript"/>
              </w:rPr>
              <w:t>1</w:t>
            </w:r>
            <w:r w:rsidRPr="00B059B2">
              <w:rPr>
                <w:b/>
                <w:i/>
              </w:rPr>
              <w:t xml:space="preserve"> a ustanovení pre OBFCM;</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 xml:space="preserve">k) </w:t>
            </w:r>
            <w:r w:rsidRPr="00B059B2">
              <w:tab/>
            </w:r>
            <w:r w:rsidRPr="00B059B2">
              <w:rPr>
                <w:b/>
                <w:i/>
              </w:rPr>
              <w:t>stanovenie emisií CO</w:t>
            </w:r>
            <w:r w:rsidRPr="00B059B2">
              <w:rPr>
                <w:b/>
                <w:i/>
                <w:vertAlign w:val="subscript"/>
              </w:rPr>
              <w:t>2</w:t>
            </w:r>
            <w:r w:rsidRPr="00B059B2">
              <w:rPr>
                <w:b/>
                <w:i/>
              </w:rPr>
              <w:t>, spotreby paliva a energie, dojazdu s nulovými emisiami, elektrického dojazdu a výkonu motora pre vozidlá kategórií M</w:t>
            </w:r>
            <w:r w:rsidRPr="00B059B2">
              <w:rPr>
                <w:b/>
                <w:i/>
                <w:vertAlign w:val="subscript"/>
              </w:rPr>
              <w:t>2</w:t>
            </w:r>
            <w:r w:rsidRPr="00B059B2">
              <w:rPr>
                <w:b/>
                <w:i/>
              </w:rPr>
              <w:t>, M</w:t>
            </w:r>
            <w:r w:rsidRPr="00B059B2">
              <w:rPr>
                <w:b/>
                <w:i/>
                <w:vertAlign w:val="subscript"/>
              </w:rPr>
              <w:t>3</w:t>
            </w:r>
            <w:r w:rsidRPr="00B059B2">
              <w:rPr>
                <w:b/>
                <w:i/>
              </w:rPr>
              <w:t>, N</w:t>
            </w:r>
            <w:r w:rsidRPr="00B059B2">
              <w:rPr>
                <w:b/>
                <w:i/>
                <w:vertAlign w:val="subscript"/>
              </w:rPr>
              <w:t>2</w:t>
            </w:r>
            <w:r w:rsidRPr="00B059B2">
              <w:rPr>
                <w:b/>
                <w:i/>
              </w:rPr>
              <w:t xml:space="preserve"> a N</w:t>
            </w:r>
            <w:r w:rsidRPr="00B059B2">
              <w:rPr>
                <w:b/>
                <w:i/>
                <w:vertAlign w:val="subscript"/>
              </w:rPr>
              <w:t>3</w:t>
            </w:r>
            <w:r w:rsidRPr="00B059B2">
              <w:rPr>
                <w:b/>
                <w:i/>
              </w:rPr>
              <w:t>, energetickej účinnosti prívesných vozidiel kategórií O</w:t>
            </w:r>
            <w:r w:rsidRPr="00B059B2">
              <w:rPr>
                <w:b/>
                <w:i/>
                <w:vertAlign w:val="subscript"/>
              </w:rPr>
              <w:t>3</w:t>
            </w:r>
            <w:r w:rsidRPr="00B059B2">
              <w:rPr>
                <w:b/>
                <w:i/>
              </w:rPr>
              <w:t xml:space="preserve"> a O</w:t>
            </w:r>
            <w:r w:rsidRPr="00B059B2">
              <w:rPr>
                <w:b/>
                <w:i/>
                <w:vertAlign w:val="subscript"/>
              </w:rPr>
              <w:t>4</w:t>
            </w:r>
            <w:r w:rsidRPr="00B059B2">
              <w:rPr>
                <w:b/>
                <w:i/>
              </w:rPr>
              <w:t xml:space="preserve"> a ustanovení pre OBFCM.</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121</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14 – odsek 4 – pododsek 1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 xml:space="preserve">Komisia je splnomocnená prijímať </w:t>
            </w:r>
            <w:r w:rsidRPr="00B059B2">
              <w:rPr>
                <w:b/>
                <w:bCs/>
                <w:i/>
                <w:iCs/>
              </w:rPr>
              <w:t>vykonávacie</w:t>
            </w:r>
            <w:r w:rsidRPr="00B059B2">
              <w:t xml:space="preserve"> akty pre všetky fázy typového schvaľovania vzhľadom na emisie vrátane zhody v prevádzke, zhody výroby a dohľadu nad trhom s cieľom stanoviť:</w:t>
            </w:r>
          </w:p>
        </w:tc>
        <w:tc>
          <w:tcPr>
            <w:tcW w:w="4876" w:type="dxa"/>
          </w:tcPr>
          <w:p w:rsidR="00902EF1" w:rsidRPr="00B059B2" w:rsidRDefault="00902EF1" w:rsidP="0023402C">
            <w:pPr>
              <w:pStyle w:val="Normal6a"/>
            </w:pPr>
            <w:r w:rsidRPr="00B059B2">
              <w:t xml:space="preserve">Komisia je splnomocnená prijímať </w:t>
            </w:r>
            <w:r w:rsidRPr="00B059B2">
              <w:rPr>
                <w:b/>
                <w:bCs/>
                <w:i/>
                <w:iCs/>
              </w:rPr>
              <w:t>delegované</w:t>
            </w:r>
            <w:r w:rsidRPr="00B059B2">
              <w:t xml:space="preserve"> akty pre všetky fázy typového schvaľovania vzhľadom na emisie vrátane zhody v prevádzke, zhody výroby a dohľadu nad trhom s cieľom stanoviť:</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122</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14 – odsek 4 – pododsek 1 – písmeno b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lastRenderedPageBreak/>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ba)</w:t>
            </w:r>
            <w:r w:rsidRPr="00B059B2">
              <w:tab/>
            </w:r>
            <w:r w:rsidRPr="00B059B2">
              <w:rPr>
                <w:b/>
                <w:i/>
              </w:rPr>
              <w:t>metódy typového schvaľovania príslušných hybridných technológií vozidiel kategórie M</w:t>
            </w:r>
            <w:r w:rsidRPr="00B059B2">
              <w:rPr>
                <w:b/>
                <w:i/>
                <w:vertAlign w:val="subscript"/>
              </w:rPr>
              <w:t>2</w:t>
            </w:r>
            <w:r w:rsidRPr="00B059B2">
              <w:rPr>
                <w:b/>
                <w:i/>
              </w:rPr>
              <w:t>, M</w:t>
            </w:r>
            <w:r w:rsidRPr="00B059B2">
              <w:rPr>
                <w:b/>
                <w:i/>
                <w:vertAlign w:val="subscript"/>
              </w:rPr>
              <w:t>3</w:t>
            </w:r>
            <w:r w:rsidRPr="00B059B2">
              <w:rPr>
                <w:b/>
                <w:i/>
              </w:rPr>
              <w:t>, N</w:t>
            </w:r>
            <w:r w:rsidRPr="00B059B2">
              <w:rPr>
                <w:b/>
                <w:i/>
                <w:vertAlign w:val="subscript"/>
              </w:rPr>
              <w:t>2</w:t>
            </w:r>
            <w:r w:rsidRPr="00B059B2">
              <w:rPr>
                <w:b/>
                <w:i/>
              </w:rPr>
              <w:t xml:space="preserve"> a N</w:t>
            </w:r>
            <w:r w:rsidRPr="00B059B2">
              <w:rPr>
                <w:b/>
                <w:i/>
                <w:vertAlign w:val="subscript"/>
              </w:rPr>
              <w:t>3</w:t>
            </w:r>
            <w:r w:rsidRPr="00B059B2">
              <w:rPr>
                <w:b/>
                <w:i/>
              </w:rPr>
              <w:t>;</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123</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14 – odsek 4 – pododsek 1 – písmeno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g)</w:t>
            </w:r>
            <w:r w:rsidRPr="00B059B2">
              <w:tab/>
              <w:t xml:space="preserve">metódy merania emisií častíc z bŕzd vrátane metód pre </w:t>
            </w:r>
            <w:r w:rsidRPr="00B059B2">
              <w:rPr>
                <w:b/>
                <w:bCs/>
                <w:i/>
                <w:iCs/>
              </w:rPr>
              <w:t>ťažké vozidlá</w:t>
            </w:r>
            <w:r w:rsidRPr="00B059B2">
              <w:t>, emisií častíc z bŕzd pri skutočnej jazde a pri rekuperačnom brzdení;</w:t>
            </w:r>
          </w:p>
        </w:tc>
        <w:tc>
          <w:tcPr>
            <w:tcW w:w="4876" w:type="dxa"/>
          </w:tcPr>
          <w:p w:rsidR="00902EF1" w:rsidRPr="00B059B2" w:rsidRDefault="00902EF1" w:rsidP="0023402C">
            <w:pPr>
              <w:pStyle w:val="Normal6a"/>
            </w:pPr>
            <w:r w:rsidRPr="00B059B2">
              <w:t>g)</w:t>
            </w:r>
            <w:r w:rsidRPr="00B059B2">
              <w:tab/>
              <w:t xml:space="preserve">metódy merania emisií častíc z bŕzd vrátane metód pre </w:t>
            </w:r>
            <w:r w:rsidRPr="00B059B2">
              <w:rPr>
                <w:b/>
                <w:bCs/>
                <w:i/>
                <w:iCs/>
              </w:rPr>
              <w:t>vozidlá kategórie M</w:t>
            </w:r>
            <w:r w:rsidRPr="00B059B2">
              <w:rPr>
                <w:b/>
                <w:bCs/>
                <w:i/>
                <w:iCs/>
                <w:vertAlign w:val="subscript"/>
              </w:rPr>
              <w:t>2</w:t>
            </w:r>
            <w:r w:rsidRPr="00B059B2">
              <w:rPr>
                <w:b/>
                <w:bCs/>
                <w:i/>
                <w:iCs/>
              </w:rPr>
              <w:t>, M</w:t>
            </w:r>
            <w:r w:rsidRPr="00B059B2">
              <w:rPr>
                <w:b/>
                <w:bCs/>
                <w:i/>
                <w:iCs/>
                <w:vertAlign w:val="subscript"/>
              </w:rPr>
              <w:t>3</w:t>
            </w:r>
            <w:r w:rsidRPr="00B059B2">
              <w:rPr>
                <w:b/>
                <w:bCs/>
                <w:i/>
                <w:iCs/>
              </w:rPr>
              <w:t>, N</w:t>
            </w:r>
            <w:r w:rsidRPr="00B059B2">
              <w:rPr>
                <w:b/>
                <w:bCs/>
                <w:i/>
                <w:iCs/>
                <w:vertAlign w:val="subscript"/>
              </w:rPr>
              <w:t>2</w:t>
            </w:r>
            <w:r w:rsidRPr="00B059B2">
              <w:rPr>
                <w:b/>
                <w:bCs/>
                <w:i/>
                <w:iCs/>
              </w:rPr>
              <w:t xml:space="preserve"> a N</w:t>
            </w:r>
            <w:r w:rsidRPr="00B059B2">
              <w:rPr>
                <w:b/>
                <w:bCs/>
                <w:i/>
                <w:iCs/>
                <w:vertAlign w:val="subscript"/>
              </w:rPr>
              <w:t>3</w:t>
            </w:r>
            <w:r w:rsidRPr="00B059B2">
              <w:t>, emisií častíc z bŕzd pri skutočnej jazde a pri rekuperačnom brzdení;</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124</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14 – odsek 4 – pododsek 1 – písmeno 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j)</w:t>
            </w:r>
            <w:r w:rsidRPr="00B059B2">
              <w:tab/>
              <w:t xml:space="preserve">hodnoty pre </w:t>
            </w:r>
            <w:r w:rsidRPr="00B059B2">
              <w:rPr>
                <w:b/>
                <w:bCs/>
                <w:i/>
                <w:iCs/>
              </w:rPr>
              <w:t>zariadenia</w:t>
            </w:r>
            <w:r w:rsidRPr="00B059B2">
              <w:t xml:space="preserve"> OBFCM, systémy OBD a OBM vrátane prahových hodnôt na dosiahnutie zhody, výkonnostných požiadaviek a skúšok, metódy na zabezpečenie výkonu snímačov a prenosu údajov zaznamenaných týmito zariadeniami a systémami vzduchom;</w:t>
            </w:r>
          </w:p>
        </w:tc>
        <w:tc>
          <w:tcPr>
            <w:tcW w:w="4876" w:type="dxa"/>
          </w:tcPr>
          <w:p w:rsidR="00902EF1" w:rsidRPr="00B059B2" w:rsidRDefault="00902EF1" w:rsidP="0023402C">
            <w:pPr>
              <w:pStyle w:val="Normal6a"/>
            </w:pPr>
            <w:r w:rsidRPr="00B059B2">
              <w:t>j)</w:t>
            </w:r>
            <w:r w:rsidRPr="00B059B2">
              <w:tab/>
            </w:r>
            <w:r w:rsidRPr="00B059B2">
              <w:rPr>
                <w:b/>
                <w:bCs/>
                <w:i/>
                <w:iCs/>
              </w:rPr>
              <w:t>charakteristiky a výkonnosť</w:t>
            </w:r>
            <w:r w:rsidRPr="00B059B2">
              <w:rPr>
                <w:b/>
                <w:bCs/>
              </w:rPr>
              <w:t xml:space="preserve"> </w:t>
            </w:r>
            <w:r w:rsidRPr="00B059B2">
              <w:rPr>
                <w:b/>
                <w:bCs/>
                <w:i/>
                <w:iCs/>
              </w:rPr>
              <w:t>zariadení</w:t>
            </w:r>
            <w:r w:rsidRPr="00B059B2">
              <w:t xml:space="preserve"> OBFCM, systémy OBD a OBM vrátane prahových hodnôt na dosiahnutie zhody, výkonnostných požiadaviek a skúšok, metódy na zabezpečenie výkonu snímačov a prenosu údajov zaznamenaných týmito zariadeniami a systémami vzduchom;</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125</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14 – odsek 4 – pododsek 1 – písmeno 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l)</w:t>
            </w:r>
            <w:r w:rsidRPr="00B059B2">
              <w:tab/>
              <w:t xml:space="preserve">metódy na posúdenie správnej prevádzky, účinnosti, regenerácie a životnosti pôvodných a náhradných </w:t>
            </w:r>
            <w:r w:rsidRPr="00B059B2">
              <w:lastRenderedPageBreak/>
              <w:t>systémov na reguláciu znečisťujúcich látok;</w:t>
            </w:r>
          </w:p>
        </w:tc>
        <w:tc>
          <w:tcPr>
            <w:tcW w:w="4876" w:type="dxa"/>
          </w:tcPr>
          <w:p w:rsidR="00902EF1" w:rsidRPr="00B059B2" w:rsidRDefault="00902EF1" w:rsidP="0023402C">
            <w:pPr>
              <w:pStyle w:val="Normal6a"/>
            </w:pPr>
            <w:r w:rsidRPr="00B059B2">
              <w:lastRenderedPageBreak/>
              <w:t>l)</w:t>
            </w:r>
            <w:r w:rsidRPr="00B059B2">
              <w:tab/>
              <w:t xml:space="preserve">metódy </w:t>
            </w:r>
            <w:r w:rsidRPr="00B059B2">
              <w:rPr>
                <w:b/>
                <w:bCs/>
                <w:i/>
                <w:iCs/>
              </w:rPr>
              <w:t>a požiadavky</w:t>
            </w:r>
            <w:r w:rsidRPr="00B059B2">
              <w:t xml:space="preserve"> na posúdenie správnej prevádzky, účinnosti, regenerácie a životnosti pôvodných a náhradných </w:t>
            </w:r>
            <w:r w:rsidRPr="00B059B2">
              <w:lastRenderedPageBreak/>
              <w:t xml:space="preserve">systémov na reguláciu znečisťujúcich látok </w:t>
            </w:r>
            <w:r w:rsidRPr="00B059B2">
              <w:rPr>
                <w:b/>
                <w:bCs/>
                <w:i/>
                <w:iCs/>
              </w:rPr>
              <w:t>a kvalitu činidiel</w:t>
            </w:r>
            <w:r w:rsidRPr="00B059B2">
              <w:t>;</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126</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14 – odsek 4 – pododsek 1 – písmeno 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o)</w:t>
            </w:r>
            <w:r w:rsidRPr="00B059B2">
              <w:tab/>
              <w:t xml:space="preserve">metódy posúdenia správneho fungovania typov vozidiel </w:t>
            </w:r>
            <w:r w:rsidRPr="00B059B2">
              <w:rPr>
                <w:b/>
                <w:bCs/>
                <w:i/>
                <w:iCs/>
              </w:rPr>
              <w:t>schválených s označeniami podľa článku 5;</w:t>
            </w:r>
          </w:p>
        </w:tc>
        <w:tc>
          <w:tcPr>
            <w:tcW w:w="4876" w:type="dxa"/>
          </w:tcPr>
          <w:p w:rsidR="00902EF1" w:rsidRPr="00B059B2" w:rsidRDefault="00902EF1" w:rsidP="0023402C">
            <w:pPr>
              <w:pStyle w:val="Normal6a"/>
            </w:pPr>
            <w:r w:rsidRPr="00B059B2">
              <w:t>o)</w:t>
            </w:r>
            <w:r w:rsidRPr="00B059B2">
              <w:tab/>
              <w:t>metódy posúdenia správneho fungovania typov vozidiel</w:t>
            </w:r>
            <w:r w:rsidRPr="00B059B2">
              <w:rPr>
                <w:b/>
                <w:bCs/>
                <w:i/>
                <w:iCs/>
              </w:rPr>
              <w:t>;</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127</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14 – odsek 4 – pododsek 1 – písmeno p</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p)</w:t>
            </w:r>
            <w:r w:rsidRPr="00B059B2">
              <w:tab/>
              <w:t>kontroly súladu s</w:t>
            </w:r>
            <w:r w:rsidRPr="00B059B2">
              <w:rPr>
                <w:b/>
                <w:bCs/>
                <w:i/>
                <w:iCs/>
              </w:rPr>
              <w:t> ustanoveniami článku 9 ods. 1 a</w:t>
            </w:r>
            <w:r w:rsidRPr="00B059B2">
              <w:t> skúšobné postupy pre vozidlá vyrábané vo viacerých stupňoch;</w:t>
            </w:r>
          </w:p>
        </w:tc>
        <w:tc>
          <w:tcPr>
            <w:tcW w:w="4876" w:type="dxa"/>
          </w:tcPr>
          <w:p w:rsidR="00902EF1" w:rsidRPr="00B059B2" w:rsidRDefault="00902EF1" w:rsidP="0023402C">
            <w:pPr>
              <w:pStyle w:val="Normal6a"/>
            </w:pPr>
            <w:r w:rsidRPr="00B059B2">
              <w:t>p)</w:t>
            </w:r>
            <w:r w:rsidRPr="00B059B2">
              <w:tab/>
              <w:t>kontroly súladu a skúšobné postupy pre vozidlá vyrábané vo viacerých stupňoch;</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128</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14 – odsek 4 – pododsek 1 – písmeno 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s)</w:t>
            </w:r>
            <w:r w:rsidRPr="00B059B2">
              <w:tab/>
              <w:t>metódy na overenie neprítomnosti rušiacich zariadení a rušiacich stratégií;</w:t>
            </w:r>
          </w:p>
        </w:tc>
        <w:tc>
          <w:tcPr>
            <w:tcW w:w="4876" w:type="dxa"/>
          </w:tcPr>
          <w:p w:rsidR="00902EF1" w:rsidRPr="00B059B2" w:rsidRDefault="00902EF1" w:rsidP="0023402C">
            <w:pPr>
              <w:pStyle w:val="Normal6a"/>
            </w:pPr>
            <w:r w:rsidRPr="00B059B2">
              <w:t>s)</w:t>
            </w:r>
            <w:r w:rsidRPr="00B059B2">
              <w:tab/>
              <w:t xml:space="preserve">metódy na overenie neprítomnosti rušiacich zariadení a rušiacich stratégií </w:t>
            </w:r>
            <w:r w:rsidRPr="00B059B2">
              <w:rPr>
                <w:b/>
                <w:bCs/>
                <w:i/>
                <w:iCs/>
              </w:rPr>
              <w:t>a na prenos požiadaviek stanovených v článku 5 ods. 2 nariadenia (ES) č. 715/2007 a článku 5 ods. 11 nariadenia (EÚ) 2017/1151, ktoré sa vzťahujú na vozidlá kategórie M</w:t>
            </w:r>
            <w:r w:rsidRPr="00B059B2">
              <w:rPr>
                <w:b/>
                <w:bCs/>
                <w:i/>
                <w:iCs/>
                <w:vertAlign w:val="subscript"/>
              </w:rPr>
              <w:t>1</w:t>
            </w:r>
            <w:r w:rsidRPr="00B059B2">
              <w:rPr>
                <w:b/>
                <w:bCs/>
                <w:i/>
                <w:iCs/>
              </w:rPr>
              <w:t xml:space="preserve"> a N</w:t>
            </w:r>
            <w:r w:rsidRPr="00B059B2">
              <w:rPr>
                <w:b/>
                <w:bCs/>
                <w:i/>
                <w:iCs/>
                <w:vertAlign w:val="subscript"/>
              </w:rPr>
              <w:t>1</w:t>
            </w:r>
            <w:r w:rsidRPr="00B059B2">
              <w:rPr>
                <w:b/>
                <w:bCs/>
                <w:i/>
                <w:iCs/>
              </w:rPr>
              <w:t>, a v predpise EHK OSN č. 49 revízia 6, bode 5.1.2 prílohy 10, ktoré sa vzťahujú na vozidlá kategórie M</w:t>
            </w:r>
            <w:r w:rsidRPr="00B059B2">
              <w:rPr>
                <w:b/>
                <w:bCs/>
                <w:i/>
                <w:iCs/>
                <w:vertAlign w:val="subscript"/>
              </w:rPr>
              <w:t>2</w:t>
            </w:r>
            <w:r w:rsidRPr="00B059B2">
              <w:rPr>
                <w:b/>
                <w:bCs/>
                <w:i/>
                <w:iCs/>
              </w:rPr>
              <w:t>, M</w:t>
            </w:r>
            <w:r w:rsidRPr="00B059B2">
              <w:rPr>
                <w:b/>
                <w:bCs/>
                <w:i/>
                <w:iCs/>
                <w:vertAlign w:val="subscript"/>
              </w:rPr>
              <w:t>3</w:t>
            </w:r>
            <w:r w:rsidRPr="00B059B2">
              <w:rPr>
                <w:b/>
                <w:bCs/>
                <w:i/>
                <w:iCs/>
              </w:rPr>
              <w:t>, N</w:t>
            </w:r>
            <w:r w:rsidRPr="00B059B2">
              <w:rPr>
                <w:b/>
                <w:bCs/>
                <w:i/>
                <w:iCs/>
                <w:vertAlign w:val="subscript"/>
              </w:rPr>
              <w:t>2</w:t>
            </w:r>
            <w:r w:rsidRPr="00B059B2">
              <w:rPr>
                <w:b/>
                <w:bCs/>
                <w:i/>
                <w:iCs/>
              </w:rPr>
              <w:t xml:space="preserve"> a N</w:t>
            </w:r>
            <w:r w:rsidRPr="00B059B2">
              <w:rPr>
                <w:b/>
                <w:bCs/>
                <w:i/>
                <w:iCs/>
                <w:vertAlign w:val="subscript"/>
              </w:rPr>
              <w:t>3</w:t>
            </w:r>
            <w:r w:rsidRPr="00B059B2">
              <w:rPr>
                <w:b/>
                <w:bCs/>
                <w:i/>
                <w:iCs/>
              </w:rPr>
              <w:t>, do tohto nariadenia</w:t>
            </w:r>
            <w:r w:rsidRPr="00B059B2">
              <w:t>;</w:t>
            </w:r>
          </w:p>
        </w:tc>
      </w:tr>
    </w:tbl>
    <w:p w:rsidR="00902EF1" w:rsidRPr="00B059B2" w:rsidRDefault="00902EF1" w:rsidP="00902EF1"/>
    <w:p w:rsidR="00902EF1" w:rsidRPr="00B059B2" w:rsidRDefault="00902EF1" w:rsidP="00902EF1">
      <w:pPr>
        <w:pStyle w:val="AmNumberTabs"/>
      </w:pPr>
      <w:r w:rsidRPr="00B059B2">
        <w:lastRenderedPageBreak/>
        <w:t>Pozmeňujúci návrh</w:t>
      </w:r>
      <w:r w:rsidRPr="00B059B2">
        <w:tab/>
      </w:r>
      <w:r w:rsidRPr="00B059B2">
        <w:tab/>
        <w:t>129</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14 – odsek 4 – pododsek 1 – písmeno 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rPr>
                <w:b/>
                <w:i/>
              </w:rPr>
              <w:t>t)</w:t>
            </w:r>
            <w:r w:rsidRPr="00B059B2">
              <w:tab/>
            </w:r>
            <w:r w:rsidRPr="00B059B2">
              <w:rPr>
                <w:b/>
                <w:i/>
              </w:rPr>
              <w:t>metódy merania oderu pneumatík;</w:t>
            </w:r>
          </w:p>
        </w:tc>
        <w:tc>
          <w:tcPr>
            <w:tcW w:w="4876" w:type="dxa"/>
          </w:tcPr>
          <w:p w:rsidR="00902EF1" w:rsidRPr="00B059B2" w:rsidRDefault="00902EF1" w:rsidP="0023402C">
            <w:pPr>
              <w:pStyle w:val="Normal6a"/>
            </w:pPr>
            <w:r w:rsidRPr="00B059B2">
              <w:rPr>
                <w:b/>
                <w:i/>
              </w:rPr>
              <w:t>vypúšťa sa</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130</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14 – odsek 4 – pododsek 1 – písmeno 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v)</w:t>
            </w:r>
            <w:r w:rsidRPr="00B059B2">
              <w:tab/>
              <w:t>administratívne požiadavky a dokumentáciu pre typové schválenie vzhľadom na emisie;</w:t>
            </w:r>
          </w:p>
        </w:tc>
        <w:tc>
          <w:tcPr>
            <w:tcW w:w="4876" w:type="dxa"/>
          </w:tcPr>
          <w:p w:rsidR="00902EF1" w:rsidRPr="00B059B2" w:rsidRDefault="00902EF1" w:rsidP="0023402C">
            <w:pPr>
              <w:pStyle w:val="Normal6a"/>
            </w:pPr>
            <w:r w:rsidRPr="00B059B2">
              <w:t>v)</w:t>
            </w:r>
            <w:r w:rsidRPr="00B059B2">
              <w:tab/>
              <w:t xml:space="preserve">administratívne požiadavky a dokumentáciu pre typové schválenie vzhľadom na emisie </w:t>
            </w:r>
            <w:r w:rsidRPr="00B059B2">
              <w:rPr>
                <w:b/>
                <w:bCs/>
                <w:i/>
                <w:iCs/>
              </w:rPr>
              <w:t>a na vykonávanie skúšok, kontrol a inšpekcií na účely overenia súladu</w:t>
            </w:r>
            <w:r w:rsidRPr="00B059B2">
              <w:t>;</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131</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14 – odsek 4 – pododsek 1 – písmeno 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w)</w:t>
            </w:r>
            <w:r w:rsidRPr="00B059B2">
              <w:tab/>
              <w:t>v prípade potreby ohlasovacie povinnosti.</w:t>
            </w:r>
          </w:p>
        </w:tc>
        <w:tc>
          <w:tcPr>
            <w:tcW w:w="4876" w:type="dxa"/>
          </w:tcPr>
          <w:p w:rsidR="00902EF1" w:rsidRPr="00B059B2" w:rsidRDefault="00902EF1" w:rsidP="0023402C">
            <w:pPr>
              <w:pStyle w:val="Normal6a"/>
            </w:pPr>
            <w:r w:rsidRPr="00B059B2">
              <w:t>w)</w:t>
            </w:r>
            <w:r w:rsidRPr="00B059B2">
              <w:tab/>
              <w:t xml:space="preserve">v prípade potreby ohlasovacie povinnosti </w:t>
            </w:r>
            <w:r w:rsidRPr="00B059B2">
              <w:rPr>
                <w:b/>
                <w:bCs/>
                <w:i/>
                <w:iCs/>
              </w:rPr>
              <w:t>týkajúce sa formátu a údajov</w:t>
            </w:r>
            <w:r w:rsidRPr="00B059B2">
              <w:t>;</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132</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14 – odsek 4 – pododsek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Uvedené vykonávacie akty sa prijmú v súlade s postupom preskúmania uvedeným v článku 17 ods. 2.</w:t>
            </w:r>
          </w:p>
        </w:tc>
        <w:tc>
          <w:tcPr>
            <w:tcW w:w="4876" w:type="dxa"/>
          </w:tcPr>
          <w:p w:rsidR="00902EF1" w:rsidRPr="00B059B2" w:rsidRDefault="00902EF1" w:rsidP="0023402C">
            <w:pPr>
              <w:pStyle w:val="Normal6a"/>
            </w:pPr>
            <w:r w:rsidRPr="00B059B2">
              <w:rPr>
                <w:b/>
                <w:i/>
              </w:rPr>
              <w:t>5.</w:t>
            </w:r>
            <w:r w:rsidRPr="00B059B2">
              <w:t xml:space="preserve"> </w:t>
            </w:r>
            <w:r w:rsidRPr="00B059B2">
              <w:tab/>
              <w:t>Uvedené vykonávacie akty sa prijmú v súlade s postupom preskúmania uvedeným v článku 17 ods. 2.</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 xml:space="preserve">Vykonávacie akty uvedené v odseku 3 </w:t>
            </w:r>
            <w:r w:rsidRPr="00B059B2">
              <w:rPr>
                <w:b/>
                <w:i/>
              </w:rPr>
              <w:lastRenderedPageBreak/>
              <w:t xml:space="preserve">písm. a) až f) a i) až k) a delegované akty uvedené v odseku 3a písm. a) až f) a i) až k) a odseku 4 písm. a) až f) a j) až w) sa prijmú najneskôr... </w:t>
            </w:r>
            <w:r w:rsidRPr="00B059B2">
              <w:rPr>
                <w:b/>
                <w:bCs/>
                <w:i/>
                <w:iCs/>
              </w:rPr>
              <w:t>[12 mesiacov odo dňa nadobudnutia účinnosti tohto nariadenia].</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Vykonávacie akty uvedené v odseku 3 písm. g) až h) a delegované akty uvedené v odseku 3a písm. g) až h) a odseku 4 písm. g) až i) sa prijmú bez zbytočného odkladu po uverejnení príslušných jednotných ustanovení pracovnej skupiny OSN WP29.</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133</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15 – odsek 1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1.</w:t>
            </w:r>
            <w:r w:rsidRPr="00B059B2">
              <w:tab/>
              <w:t>Komisia je splnomocnená prijímať delegované akty v súlade s článkom 16, aby sa zohľadnil technický pokrok, a meniť:</w:t>
            </w:r>
          </w:p>
        </w:tc>
        <w:tc>
          <w:tcPr>
            <w:tcW w:w="4876" w:type="dxa"/>
          </w:tcPr>
          <w:p w:rsidR="00902EF1" w:rsidRPr="00B059B2" w:rsidRDefault="00902EF1" w:rsidP="0023402C">
            <w:pPr>
              <w:pStyle w:val="Normal6a"/>
            </w:pPr>
            <w:r w:rsidRPr="00B059B2">
              <w:t>1.</w:t>
            </w:r>
            <w:r w:rsidRPr="00B059B2">
              <w:tab/>
              <w:t xml:space="preserve">Komisia je splnomocnená prijímať delegované akty v súlade s článkom 16, aby sa zohľadnil technický pokrok, a meniť </w:t>
            </w:r>
            <w:r w:rsidRPr="00B059B2">
              <w:rPr>
                <w:b/>
                <w:bCs/>
                <w:i/>
                <w:iCs/>
              </w:rPr>
              <w:t>toto nariadenie takto</w:t>
            </w:r>
            <w:r w:rsidRPr="00B059B2">
              <w:t>:</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134</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15 – odsek 1 – písmeno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a)</w:t>
            </w:r>
            <w:r w:rsidRPr="00B059B2">
              <w:tab/>
              <w:t>prílohu III, pokiaľ ide o skúšobné podmienky pre vozidlá kategórie M</w:t>
            </w:r>
            <w:r w:rsidRPr="00B059B2">
              <w:rPr>
                <w:vertAlign w:val="subscript"/>
              </w:rPr>
              <w:t>2</w:t>
            </w:r>
            <w:r w:rsidRPr="00B059B2">
              <w:t>, M</w:t>
            </w:r>
            <w:r w:rsidRPr="00B059B2">
              <w:rPr>
                <w:vertAlign w:val="subscript"/>
              </w:rPr>
              <w:t>3</w:t>
            </w:r>
            <w:r w:rsidRPr="00B059B2">
              <w:t>, N</w:t>
            </w:r>
            <w:r w:rsidRPr="00B059B2">
              <w:rPr>
                <w:vertAlign w:val="subscript"/>
              </w:rPr>
              <w:t>2</w:t>
            </w:r>
            <w:r w:rsidRPr="00B059B2">
              <w:t>, N</w:t>
            </w:r>
            <w:r w:rsidRPr="00B059B2">
              <w:rPr>
                <w:vertAlign w:val="subscript"/>
              </w:rPr>
              <w:t>3</w:t>
            </w:r>
            <w:r w:rsidRPr="00B059B2">
              <w:t>, na základe údajov získaných pri skúšaní vozidiel podľa normy Euro 7;</w:t>
            </w:r>
          </w:p>
        </w:tc>
        <w:tc>
          <w:tcPr>
            <w:tcW w:w="4876" w:type="dxa"/>
          </w:tcPr>
          <w:p w:rsidR="00902EF1" w:rsidRPr="00B059B2" w:rsidRDefault="00902EF1" w:rsidP="0023402C">
            <w:pPr>
              <w:pStyle w:val="Normal6a"/>
            </w:pPr>
            <w:r w:rsidRPr="00B059B2">
              <w:t>a)</w:t>
            </w:r>
            <w:r w:rsidRPr="00B059B2">
              <w:tab/>
              <w:t>prílohu III</w:t>
            </w:r>
            <w:r w:rsidRPr="00B059B2">
              <w:rPr>
                <w:b/>
                <w:bCs/>
                <w:i/>
                <w:iCs/>
              </w:rPr>
              <w:t>, tabuľku 2</w:t>
            </w:r>
            <w:r w:rsidRPr="00B059B2">
              <w:t>, pokiaľ ide o skúšobné podmienky pre vozidlá kategórie M</w:t>
            </w:r>
            <w:r w:rsidRPr="00B059B2">
              <w:rPr>
                <w:vertAlign w:val="subscript"/>
              </w:rPr>
              <w:t>2</w:t>
            </w:r>
            <w:r w:rsidRPr="00B059B2">
              <w:t>, M</w:t>
            </w:r>
            <w:r w:rsidRPr="00B059B2">
              <w:rPr>
                <w:vertAlign w:val="subscript"/>
              </w:rPr>
              <w:t>3</w:t>
            </w:r>
            <w:r w:rsidRPr="00B059B2">
              <w:t>, N</w:t>
            </w:r>
            <w:r w:rsidRPr="00B059B2">
              <w:rPr>
                <w:vertAlign w:val="subscript"/>
              </w:rPr>
              <w:t>2</w:t>
            </w:r>
            <w:r w:rsidRPr="00B059B2">
              <w:t>, N</w:t>
            </w:r>
            <w:r w:rsidRPr="00B059B2">
              <w:rPr>
                <w:vertAlign w:val="subscript"/>
              </w:rPr>
              <w:t>3</w:t>
            </w:r>
            <w:r w:rsidRPr="00B059B2">
              <w:t>, na základe údajov získaných pri skúšaní vozidiel podľa normy Euro 7;</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135</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15 – odsek 1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lastRenderedPageBreak/>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b)</w:t>
            </w:r>
            <w:r w:rsidRPr="00B059B2">
              <w:tab/>
              <w:t>prílohu III, pokiaľ ide o skúšobné podmienky, na základe údajov získaných pri skúšaní bŕzd alebo pneumatík podľa normy Euro 7;</w:t>
            </w:r>
          </w:p>
        </w:tc>
        <w:tc>
          <w:tcPr>
            <w:tcW w:w="4876" w:type="dxa"/>
          </w:tcPr>
          <w:p w:rsidR="00902EF1" w:rsidRPr="00B059B2" w:rsidRDefault="00902EF1" w:rsidP="0023402C">
            <w:pPr>
              <w:pStyle w:val="Normal6a"/>
            </w:pPr>
            <w:r w:rsidRPr="00B059B2">
              <w:t>b)</w:t>
            </w:r>
            <w:r w:rsidRPr="00B059B2">
              <w:tab/>
              <w:t>prílohu III</w:t>
            </w:r>
            <w:r w:rsidRPr="00B059B2">
              <w:rPr>
                <w:b/>
                <w:bCs/>
                <w:i/>
                <w:iCs/>
              </w:rPr>
              <w:t>, tabuľky 4 a 5</w:t>
            </w:r>
            <w:r w:rsidRPr="00B059B2">
              <w:t>, pokiaľ ide o skúšobné podmienky, na základe údajov získaných pri skúšaní bŕzd alebo pneumatík podľa normy Euro 7;</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136</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15 – odsek 1 – písmeno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rPr>
                <w:b/>
                <w:i/>
              </w:rPr>
              <w:t>d)</w:t>
            </w:r>
            <w:r w:rsidRPr="00B059B2">
              <w:tab/>
            </w:r>
            <w:r w:rsidRPr="00B059B2">
              <w:rPr>
                <w:b/>
                <w:i/>
              </w:rPr>
              <w:t>článok 5 zavedením možností a označení založených na inovačných technológiách pre výrobcov.</w:t>
            </w:r>
          </w:p>
        </w:tc>
        <w:tc>
          <w:tcPr>
            <w:tcW w:w="4876" w:type="dxa"/>
          </w:tcPr>
          <w:p w:rsidR="00902EF1" w:rsidRPr="00B059B2" w:rsidRDefault="00902EF1" w:rsidP="0023402C">
            <w:pPr>
              <w:pStyle w:val="Normal6a"/>
            </w:pPr>
            <w:r w:rsidRPr="00B059B2">
              <w:rPr>
                <w:b/>
                <w:i/>
              </w:rPr>
              <w:t>vypúšťa sa</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137</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15 – odsek 2 – písmeno c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ca)</w:t>
            </w:r>
            <w:r w:rsidRPr="00B059B2">
              <w:tab/>
            </w:r>
            <w:r w:rsidRPr="00B059B2">
              <w:rPr>
                <w:b/>
                <w:i/>
              </w:rPr>
              <w:t>v prípade potreby stanovenie limitov oderu pre typy pneumatík v prílohe I v prípade, že v rámci OSN WP29 neboli stanovené jednotné ustanovenia pred príslušným termínom stanoveným v článku 7a;</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138</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15 – odsek 2 – písmeno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d)</w:t>
            </w:r>
            <w:r w:rsidRPr="00B059B2">
              <w:tab/>
              <w:t xml:space="preserve">stanovením multiplikačných faktorov pre životnosť v prílohe IV založených na údajoch získaných pri skúšaní vozidiel kategórií </w:t>
            </w:r>
            <w:r w:rsidRPr="00B059B2">
              <w:rPr>
                <w:b/>
                <w:i/>
              </w:rPr>
              <w:t>M</w:t>
            </w:r>
            <w:r w:rsidRPr="00B059B2">
              <w:rPr>
                <w:b/>
                <w:i/>
                <w:vertAlign w:val="subscript"/>
              </w:rPr>
              <w:t>2</w:t>
            </w:r>
            <w:r w:rsidRPr="00B059B2">
              <w:rPr>
                <w:b/>
                <w:i/>
              </w:rPr>
              <w:t xml:space="preserve">, </w:t>
            </w:r>
            <w:r w:rsidRPr="00B059B2">
              <w:t>M</w:t>
            </w:r>
            <w:r w:rsidRPr="00B059B2">
              <w:rPr>
                <w:vertAlign w:val="subscript"/>
              </w:rPr>
              <w:t>3</w:t>
            </w:r>
            <w:r w:rsidRPr="00B059B2">
              <w:t>, N</w:t>
            </w:r>
            <w:r w:rsidRPr="00B059B2">
              <w:rPr>
                <w:vertAlign w:val="subscript"/>
              </w:rPr>
              <w:t>2</w:t>
            </w:r>
            <w:r w:rsidRPr="00B059B2">
              <w:t>, N</w:t>
            </w:r>
            <w:r w:rsidRPr="00B059B2">
              <w:rPr>
                <w:vertAlign w:val="subscript"/>
              </w:rPr>
              <w:t>3</w:t>
            </w:r>
            <w:r w:rsidRPr="00B059B2">
              <w:t xml:space="preserve"> podľa normy Euro 7 a na správe o životnosti </w:t>
            </w:r>
            <w:r w:rsidRPr="00B059B2">
              <w:rPr>
                <w:b/>
                <w:bCs/>
                <w:i/>
                <w:iCs/>
              </w:rPr>
              <w:t>ťažkých</w:t>
            </w:r>
            <w:r w:rsidRPr="00B059B2">
              <w:t xml:space="preserve"> vozidiel predloženej </w:t>
            </w:r>
            <w:r w:rsidRPr="00B059B2">
              <w:lastRenderedPageBreak/>
              <w:t>Európskemu parlamentu a Rade;</w:t>
            </w:r>
          </w:p>
        </w:tc>
        <w:tc>
          <w:tcPr>
            <w:tcW w:w="4876" w:type="dxa"/>
          </w:tcPr>
          <w:p w:rsidR="00902EF1" w:rsidRPr="00B059B2" w:rsidRDefault="00902EF1" w:rsidP="0023402C">
            <w:pPr>
              <w:pStyle w:val="Normal6a"/>
            </w:pPr>
            <w:r w:rsidRPr="00B059B2">
              <w:lastRenderedPageBreak/>
              <w:t>d)</w:t>
            </w:r>
            <w:r w:rsidRPr="00B059B2">
              <w:tab/>
              <w:t>stanovením multiplikačných faktorov pre životnosť v prílohe IV založených na údajoch získaných pri skúšaní vozidiel kategórií M</w:t>
            </w:r>
            <w:r w:rsidRPr="00B059B2">
              <w:rPr>
                <w:vertAlign w:val="subscript"/>
              </w:rPr>
              <w:t>3</w:t>
            </w:r>
            <w:r w:rsidRPr="00B059B2">
              <w:t>, N</w:t>
            </w:r>
            <w:r w:rsidRPr="00B059B2">
              <w:rPr>
                <w:vertAlign w:val="subscript"/>
              </w:rPr>
              <w:t>2</w:t>
            </w:r>
            <w:r w:rsidRPr="00B059B2">
              <w:t>, N</w:t>
            </w:r>
            <w:r w:rsidRPr="00B059B2">
              <w:rPr>
                <w:vertAlign w:val="subscript"/>
              </w:rPr>
              <w:t>3</w:t>
            </w:r>
            <w:r w:rsidRPr="00B059B2">
              <w:t xml:space="preserve"> podľa normy Euro 7 a na </w:t>
            </w:r>
            <w:r w:rsidRPr="00B059B2">
              <w:rPr>
                <w:b/>
                <w:bCs/>
                <w:i/>
                <w:iCs/>
              </w:rPr>
              <w:t>záveroch</w:t>
            </w:r>
            <w:r w:rsidRPr="00B059B2">
              <w:t xml:space="preserve"> správy</w:t>
            </w:r>
            <w:r w:rsidRPr="00B059B2">
              <w:rPr>
                <w:b/>
                <w:bCs/>
                <w:i/>
                <w:iCs/>
              </w:rPr>
              <w:t>, ktorá posudzuje</w:t>
            </w:r>
            <w:r w:rsidRPr="00B059B2">
              <w:t xml:space="preserve"> životnosť </w:t>
            </w:r>
            <w:r w:rsidRPr="00B059B2">
              <w:rPr>
                <w:b/>
                <w:bCs/>
                <w:i/>
                <w:iCs/>
              </w:rPr>
              <w:t>ťažkých</w:t>
            </w:r>
            <w:r w:rsidRPr="00B059B2">
              <w:t xml:space="preserve"> vozidiel </w:t>
            </w:r>
            <w:r w:rsidRPr="00B059B2">
              <w:rPr>
                <w:b/>
                <w:bCs/>
                <w:i/>
                <w:iCs/>
              </w:rPr>
              <w:lastRenderedPageBreak/>
              <w:t>vzhľadom na emisie</w:t>
            </w:r>
            <w:r w:rsidRPr="00B059B2">
              <w:t xml:space="preserve"> predloženej Európskemu parlamentu a Rade;</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139</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15 – odsek 2 – písmeno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e)</w:t>
            </w:r>
            <w:r w:rsidRPr="00B059B2">
              <w:tab/>
              <w:t xml:space="preserve">stanovením </w:t>
            </w:r>
            <w:r w:rsidRPr="00B059B2">
              <w:rPr>
                <w:b/>
                <w:bCs/>
                <w:i/>
                <w:iCs/>
              </w:rPr>
              <w:t>vymedzení a </w:t>
            </w:r>
            <w:r w:rsidRPr="00B059B2">
              <w:t>osobitných pravidiel pre výrobcov s malým objemom výroby pre vozidlá kategórií M</w:t>
            </w:r>
            <w:r w:rsidRPr="00B059B2">
              <w:rPr>
                <w:vertAlign w:val="subscript"/>
              </w:rPr>
              <w:t>2</w:t>
            </w:r>
            <w:r w:rsidRPr="00B059B2">
              <w:t>, M</w:t>
            </w:r>
            <w:r w:rsidRPr="00B059B2">
              <w:rPr>
                <w:vertAlign w:val="subscript"/>
              </w:rPr>
              <w:t>3</w:t>
            </w:r>
            <w:r w:rsidRPr="00B059B2">
              <w:t>, N</w:t>
            </w:r>
            <w:r w:rsidRPr="00B059B2">
              <w:rPr>
                <w:vertAlign w:val="subscript"/>
              </w:rPr>
              <w:t>2</w:t>
            </w:r>
            <w:r w:rsidRPr="00B059B2">
              <w:t>, N</w:t>
            </w:r>
            <w:r w:rsidRPr="00B059B2">
              <w:rPr>
                <w:vertAlign w:val="subscript"/>
              </w:rPr>
              <w:t>3</w:t>
            </w:r>
            <w:r w:rsidRPr="00B059B2">
              <w:t xml:space="preserve"> podľa článku 3 a článku 8 tohto nariadenia.</w:t>
            </w:r>
          </w:p>
        </w:tc>
        <w:tc>
          <w:tcPr>
            <w:tcW w:w="4876" w:type="dxa"/>
          </w:tcPr>
          <w:p w:rsidR="00902EF1" w:rsidRPr="00B059B2" w:rsidRDefault="00902EF1" w:rsidP="0023402C">
            <w:pPr>
              <w:pStyle w:val="Normal6a"/>
            </w:pPr>
            <w:r w:rsidRPr="00B059B2">
              <w:t>e)</w:t>
            </w:r>
            <w:r w:rsidRPr="00B059B2">
              <w:tab/>
              <w:t>stanovením osobitných pravidiel pre výrobcov s malým objemom výroby pre vozidlá kategórií M</w:t>
            </w:r>
            <w:r w:rsidRPr="00B059B2">
              <w:rPr>
                <w:vertAlign w:val="subscript"/>
              </w:rPr>
              <w:t>2</w:t>
            </w:r>
            <w:r w:rsidRPr="00B059B2">
              <w:t>, M</w:t>
            </w:r>
            <w:r w:rsidRPr="00B059B2">
              <w:rPr>
                <w:vertAlign w:val="subscript"/>
              </w:rPr>
              <w:t>3</w:t>
            </w:r>
            <w:r w:rsidRPr="00B059B2">
              <w:t>, N</w:t>
            </w:r>
            <w:r w:rsidRPr="00B059B2">
              <w:rPr>
                <w:vertAlign w:val="subscript"/>
              </w:rPr>
              <w:t>2</w:t>
            </w:r>
            <w:r w:rsidRPr="00B059B2">
              <w:t>, N</w:t>
            </w:r>
            <w:r w:rsidRPr="00B059B2">
              <w:rPr>
                <w:vertAlign w:val="subscript"/>
              </w:rPr>
              <w:t>3</w:t>
            </w:r>
            <w:r w:rsidRPr="00B059B2">
              <w:t xml:space="preserve"> podľa článku 3 a článku 8 tohto nariadenia.</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140</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15 – odsek 2 – pododsek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i/>
              </w:rPr>
              <w:t>Komisia prijme uvedené delegované akty uvedené v písmenách a) až c) bez zbytočného odkladu po uverejnení príslušných jednotných ustanovení pracovnej skupiny OSN WP29. V prípade, že OSN WP29 nestanoví jednotné ustanovenia do 30. júna 2026 pre pneumatiky kategórie C1 a do 31. decembra 2035 pre pneumatiky C2 a C3, uplatňuje sa článok 7a tohto nariadenia.</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141</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16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2.</w:t>
            </w:r>
            <w:r w:rsidRPr="00B059B2">
              <w:tab/>
              <w:t>Právomoc prijímať delegované akty uvedené v </w:t>
            </w:r>
            <w:r w:rsidRPr="00B059B2">
              <w:rPr>
                <w:b/>
                <w:bCs/>
                <w:i/>
                <w:iCs/>
              </w:rPr>
              <w:t>článku</w:t>
            </w:r>
            <w:r w:rsidRPr="00B059B2">
              <w:t xml:space="preserve"> 15 sa Komisii udeľuje na obdobie piatich rokov od … [Úrad pre publikácie: vložiť dátum nadobudnutia </w:t>
            </w:r>
            <w:r w:rsidRPr="00B059B2">
              <w:lastRenderedPageBreak/>
              <w:t>účinnosti tohto nariadenia]. Komisia vypracuje správu týkajúcu sa delegovania právomoci najneskôr deväť mesiacov pred uplynutím tohto päťročného obdobia. Delegovanie právomoci sa automaticky predlžuje o rovnako dlhé obdobia, pokiaľ Európsky parlament alebo Rada nevznesú voči takémuto predĺženiu námietku najneskôr tri mesiace pred koncom každého obdobia.</w:t>
            </w:r>
          </w:p>
        </w:tc>
        <w:tc>
          <w:tcPr>
            <w:tcW w:w="4876" w:type="dxa"/>
          </w:tcPr>
          <w:p w:rsidR="00902EF1" w:rsidRPr="00B059B2" w:rsidRDefault="00902EF1" w:rsidP="0023402C">
            <w:pPr>
              <w:pStyle w:val="Normal6a"/>
            </w:pPr>
            <w:r w:rsidRPr="00B059B2">
              <w:lastRenderedPageBreak/>
              <w:t>2.</w:t>
            </w:r>
            <w:r w:rsidRPr="00B059B2">
              <w:tab/>
              <w:t>Právomoc prijímať delegované akty uvedené v </w:t>
            </w:r>
            <w:r w:rsidRPr="00B059B2">
              <w:rPr>
                <w:b/>
                <w:bCs/>
                <w:i/>
                <w:iCs/>
              </w:rPr>
              <w:t>článku 14 ods. 3a, článku 14 ods. 4 a článku</w:t>
            </w:r>
            <w:r w:rsidRPr="00B059B2">
              <w:t xml:space="preserve"> 15 sa Komisii udeľuje na obdobie piatich rokov od … [Úrad pre </w:t>
            </w:r>
            <w:r w:rsidRPr="00B059B2">
              <w:lastRenderedPageBreak/>
              <w:t>publikácie: vložiť dátum nadobudnutia účinnosti tohto nariadenia]. Komisia vypracuje správu týkajúcu sa delegovania právomoci najneskôr deväť mesiacov pred uplynutím tohto päťročného obdobia. Delegovanie právomoci sa automaticky predlžuje o rovnako dlhé obdobia, pokiaľ Európsky parlament alebo Rada nevznesú voči takémuto predĺženiu námietku najneskôr tri mesiace pred koncom každého obdobia.</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142</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16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3.</w:t>
            </w:r>
            <w:r w:rsidRPr="00B059B2">
              <w:tab/>
              <w:t>Delegovanie právomoci uvedené v </w:t>
            </w:r>
            <w:r w:rsidRPr="00B059B2">
              <w:rPr>
                <w:b/>
                <w:bCs/>
                <w:i/>
                <w:iCs/>
              </w:rPr>
              <w:t>článku</w:t>
            </w:r>
            <w:r w:rsidRPr="00B059B2">
              <w:t xml:space="preserve"> 15 môže Európsky parlament alebo Rada kedykoľvek odvolať. Rozhodnutím o odvolaní sa ukončuje delegovanie právomoci, ktoré sa v ňom uvádza. Rozhodnutie nadobúda účinnosť dňom nasledujúcim po jeho uverejnení v Úradnom vestníku Európskej únie alebo k neskoršiemu dátumu, ktorý je v ňom určený. Nie je ním dotknutá platnosť delegovaných aktov, ktoré už nadobudli účinnosť.</w:t>
            </w:r>
          </w:p>
        </w:tc>
        <w:tc>
          <w:tcPr>
            <w:tcW w:w="4876" w:type="dxa"/>
          </w:tcPr>
          <w:p w:rsidR="00902EF1" w:rsidRPr="00B059B2" w:rsidRDefault="00902EF1" w:rsidP="0023402C">
            <w:pPr>
              <w:pStyle w:val="Normal6a"/>
            </w:pPr>
            <w:r w:rsidRPr="00B059B2">
              <w:t>3.</w:t>
            </w:r>
            <w:r w:rsidRPr="00B059B2">
              <w:tab/>
              <w:t>Delegovanie právomoci uvedenej v </w:t>
            </w:r>
            <w:r w:rsidRPr="00B059B2">
              <w:rPr>
                <w:b/>
                <w:bCs/>
                <w:i/>
                <w:iCs/>
              </w:rPr>
              <w:t>článku 14 ods. 3a, článku 14 ods. 4 a článku</w:t>
            </w:r>
            <w:r w:rsidRPr="00B059B2">
              <w:rPr>
                <w:b/>
                <w:bCs/>
              </w:rPr>
              <w:t xml:space="preserve"> </w:t>
            </w:r>
            <w:r w:rsidRPr="00B059B2">
              <w:t>15 môže Európsky parlament alebo Rada kedykoľvek odvolať. Rozhodnutím o odvolaní sa ukončuje delegovanie právomoci, ktoré sa v ňom uvádza. Rozhodnutie nadobúda účinnosť dňom nasledujúcim po jeho uverejnení v Úradnom vestníku Európskej únie alebo k neskoršiemu dátumu, ktorý je v ňom určený. Nie je ním dotknutá platnosť delegovaných aktov, ktoré už nadobudli účinnosť.</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143</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16 – odsek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6.</w:t>
            </w:r>
            <w:r w:rsidRPr="00B059B2">
              <w:tab/>
              <w:t xml:space="preserve">Delegovaný akt prijatý podľa </w:t>
            </w:r>
            <w:r w:rsidRPr="00B059B2">
              <w:rPr>
                <w:b/>
                <w:bCs/>
                <w:i/>
                <w:iCs/>
              </w:rPr>
              <w:t>článku</w:t>
            </w:r>
            <w:r w:rsidRPr="00B059B2">
              <w:t xml:space="preserve"> 15 nadobudne účinnosť, len ak Európsky parlament alebo Rada voči nemu nevzniesli námietku v lehote dvoch mesiacov odo dňa oznámenia uvedeného aktu Európskemu parlamentu a Rade alebo </w:t>
            </w:r>
            <w:r w:rsidRPr="00B059B2">
              <w:lastRenderedPageBreak/>
              <w:t>ak pred uplynutím uvedenej lehoty Európsky parlament a Rada informovali Komisiu o svojom rozhodnutí nevzniesť námietku. Na podnet Európskeho parlamentu alebo Rady sa táto lehota predĺži o dva mesiace.</w:t>
            </w:r>
          </w:p>
        </w:tc>
        <w:tc>
          <w:tcPr>
            <w:tcW w:w="4876" w:type="dxa"/>
          </w:tcPr>
          <w:p w:rsidR="00902EF1" w:rsidRPr="00B059B2" w:rsidRDefault="00902EF1" w:rsidP="0023402C">
            <w:pPr>
              <w:pStyle w:val="Normal6a"/>
            </w:pPr>
            <w:r w:rsidRPr="00B059B2">
              <w:lastRenderedPageBreak/>
              <w:t>6.</w:t>
            </w:r>
            <w:r w:rsidRPr="00B059B2">
              <w:tab/>
              <w:t xml:space="preserve">Delegovaný akt prijatý podľa </w:t>
            </w:r>
            <w:r w:rsidRPr="00B059B2">
              <w:rPr>
                <w:b/>
                <w:bCs/>
                <w:i/>
                <w:iCs/>
              </w:rPr>
              <w:t>článku 14 ods. 3a, článku 14 ods. 4 a článku</w:t>
            </w:r>
            <w:r w:rsidRPr="00B059B2">
              <w:t xml:space="preserve"> 15 nadobudne účinnosť, len ak Európsky parlament alebo Rada voči nemu nevzniesli námietku v lehote dvoch mesiacov odo dňa oznámenia uvedeného </w:t>
            </w:r>
            <w:r w:rsidRPr="00B059B2">
              <w:lastRenderedPageBreak/>
              <w:t>aktu Európskemu parlamentu a Rade alebo ak pred uplynutím uvedenej lehoty Európsky parlament a Rada informovali Komisiu o svojom rozhodnutí nevzniesť námietku. Na podnet Európskeho parlamentu alebo Rady sa táto lehota predĺži o dva mesiace.</w:t>
            </w:r>
          </w:p>
        </w:tc>
      </w:tr>
    </w:tbl>
    <w:p w:rsidR="00902EF1" w:rsidRDefault="00902EF1" w:rsidP="00902EF1"/>
    <w:p w:rsidR="00F23B68" w:rsidRPr="007064C6" w:rsidRDefault="00F23B68" w:rsidP="00F23B68">
      <w:pPr>
        <w:pStyle w:val="AmNumberTabs"/>
      </w:pPr>
      <w:r w:rsidRPr="007064C6">
        <w:t>Pozmeňujúci návrh</w:t>
      </w:r>
      <w:r w:rsidRPr="007064C6">
        <w:tab/>
      </w:r>
      <w:r w:rsidRPr="007064C6">
        <w:tab/>
        <w:t>242</w:t>
      </w:r>
    </w:p>
    <w:p w:rsidR="00F23B68" w:rsidRDefault="00F23B68" w:rsidP="00D92D6C">
      <w:pPr>
        <w:pStyle w:val="NormalBold12b"/>
      </w:pPr>
    </w:p>
    <w:p w:rsidR="00F23B68" w:rsidRPr="007064C6" w:rsidRDefault="00F23B68" w:rsidP="00F23B68">
      <w:pPr>
        <w:pStyle w:val="NormalBold"/>
      </w:pPr>
      <w:r w:rsidRPr="007064C6">
        <w:t>Návrh nariadenia</w:t>
      </w:r>
    </w:p>
    <w:p w:rsidR="00F23B68" w:rsidRPr="007064C6" w:rsidRDefault="00F23B68" w:rsidP="00F23B68">
      <w:pPr>
        <w:pStyle w:val="NormalBold"/>
      </w:pPr>
      <w:r w:rsidRPr="007064C6">
        <w:t>Článok 16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3B68" w:rsidRPr="007064C6" w:rsidTr="007A1997">
        <w:trPr>
          <w:trHeight w:hRule="exact" w:val="240"/>
          <w:jc w:val="center"/>
        </w:trPr>
        <w:tc>
          <w:tcPr>
            <w:tcW w:w="9752" w:type="dxa"/>
            <w:gridSpan w:val="2"/>
          </w:tcPr>
          <w:p w:rsidR="00F23B68" w:rsidRPr="007064C6" w:rsidRDefault="00F23B68" w:rsidP="007A1997"/>
        </w:tc>
      </w:tr>
      <w:tr w:rsidR="00F23B68" w:rsidRPr="007064C6" w:rsidTr="007A1997">
        <w:trPr>
          <w:trHeight w:val="240"/>
          <w:jc w:val="center"/>
        </w:trPr>
        <w:tc>
          <w:tcPr>
            <w:tcW w:w="4876" w:type="dxa"/>
          </w:tcPr>
          <w:p w:rsidR="00F23B68" w:rsidRPr="007064C6" w:rsidRDefault="00F23B68" w:rsidP="007A1997">
            <w:pPr>
              <w:pStyle w:val="AmColumnHeading"/>
            </w:pPr>
            <w:r w:rsidRPr="007064C6">
              <w:t>Text predložený Komisiou</w:t>
            </w:r>
          </w:p>
        </w:tc>
        <w:tc>
          <w:tcPr>
            <w:tcW w:w="4876" w:type="dxa"/>
          </w:tcPr>
          <w:p w:rsidR="00F23B68" w:rsidRPr="007064C6" w:rsidRDefault="00F23B68" w:rsidP="007A1997">
            <w:pPr>
              <w:pStyle w:val="AmColumnHeading"/>
            </w:pPr>
            <w:r w:rsidRPr="007064C6">
              <w:t>Pozmeňujúci návrh</w:t>
            </w:r>
          </w:p>
        </w:tc>
      </w:tr>
      <w:tr w:rsidR="00F23B68" w:rsidRPr="007064C6" w:rsidTr="007A1997">
        <w:trPr>
          <w:jc w:val="center"/>
        </w:trPr>
        <w:tc>
          <w:tcPr>
            <w:tcW w:w="4876" w:type="dxa"/>
          </w:tcPr>
          <w:p w:rsidR="00F23B68" w:rsidRPr="007064C6" w:rsidRDefault="00F23B68" w:rsidP="007A1997">
            <w:pPr>
              <w:pStyle w:val="Normal6a"/>
            </w:pPr>
          </w:p>
        </w:tc>
        <w:tc>
          <w:tcPr>
            <w:tcW w:w="4876" w:type="dxa"/>
          </w:tcPr>
          <w:p w:rsidR="00F23B68" w:rsidRPr="007064C6" w:rsidRDefault="00F23B68" w:rsidP="007A1997">
            <w:pPr>
              <w:pStyle w:val="Normal6a"/>
              <w:jc w:val="center"/>
            </w:pPr>
            <w:r w:rsidRPr="007064C6">
              <w:rPr>
                <w:b/>
                <w:i/>
              </w:rPr>
              <w:t>Article16a</w:t>
            </w:r>
          </w:p>
        </w:tc>
      </w:tr>
      <w:tr w:rsidR="00F23B68" w:rsidRPr="007064C6" w:rsidTr="007A1997">
        <w:trPr>
          <w:jc w:val="center"/>
        </w:trPr>
        <w:tc>
          <w:tcPr>
            <w:tcW w:w="4876" w:type="dxa"/>
          </w:tcPr>
          <w:p w:rsidR="00F23B68" w:rsidRPr="007064C6" w:rsidRDefault="00F23B68" w:rsidP="007A1997">
            <w:pPr>
              <w:pStyle w:val="Normal6a"/>
            </w:pPr>
          </w:p>
        </w:tc>
        <w:tc>
          <w:tcPr>
            <w:tcW w:w="4876" w:type="dxa"/>
          </w:tcPr>
          <w:p w:rsidR="00F23B68" w:rsidRPr="007064C6" w:rsidRDefault="00F23B68" w:rsidP="007A1997">
            <w:pPr>
              <w:pStyle w:val="Normal6a"/>
              <w:jc w:val="center"/>
            </w:pPr>
            <w:r w:rsidRPr="007064C6">
              <w:rPr>
                <w:b/>
                <w:i/>
              </w:rPr>
              <w:t>Opodstatnené sťažnosti fyzických alebo právnických osôb</w:t>
            </w:r>
          </w:p>
        </w:tc>
      </w:tr>
      <w:tr w:rsidR="00F23B68" w:rsidRPr="007064C6" w:rsidTr="007A1997">
        <w:trPr>
          <w:jc w:val="center"/>
        </w:trPr>
        <w:tc>
          <w:tcPr>
            <w:tcW w:w="4876" w:type="dxa"/>
          </w:tcPr>
          <w:p w:rsidR="00F23B68" w:rsidRPr="007064C6" w:rsidRDefault="00F23B68" w:rsidP="007A1997">
            <w:pPr>
              <w:pStyle w:val="Normal6a"/>
            </w:pPr>
          </w:p>
        </w:tc>
        <w:tc>
          <w:tcPr>
            <w:tcW w:w="4876" w:type="dxa"/>
          </w:tcPr>
          <w:p w:rsidR="00F23B68" w:rsidRPr="007064C6" w:rsidRDefault="00F23B68" w:rsidP="007A1997">
            <w:pPr>
              <w:pStyle w:val="Normal6a"/>
            </w:pPr>
            <w:r w:rsidRPr="007064C6">
              <w:rPr>
                <w:b/>
                <w:i/>
              </w:rPr>
              <w:t xml:space="preserve">1. </w:t>
            </w:r>
            <w:r w:rsidRPr="00B059B2">
              <w:tab/>
            </w:r>
            <w:r w:rsidRPr="007064C6">
              <w:rPr>
                <w:b/>
                <w:i/>
              </w:rPr>
              <w:t>Každá fyzická alebo právnická osoba, či už samostatne alebo spoločne s ďalšími osobami, je oprávnená predložiť vnútroštátnym orgánom dohľadu nad trhom opodstatnené sťažnosti, ak majú dôvody domnievať sa, že jeden alebo viacerí výrobcovia, hospodárske subjekty alebo nezávislé subjekty nedodržiavajú toto nariadenie.</w:t>
            </w:r>
          </w:p>
        </w:tc>
      </w:tr>
      <w:tr w:rsidR="00F23B68" w:rsidRPr="007064C6" w:rsidTr="007A1997">
        <w:trPr>
          <w:jc w:val="center"/>
        </w:trPr>
        <w:tc>
          <w:tcPr>
            <w:tcW w:w="4876" w:type="dxa"/>
          </w:tcPr>
          <w:p w:rsidR="00F23B68" w:rsidRPr="007064C6" w:rsidRDefault="00F23B68" w:rsidP="007A1997">
            <w:pPr>
              <w:pStyle w:val="Normal6a"/>
            </w:pPr>
          </w:p>
        </w:tc>
        <w:tc>
          <w:tcPr>
            <w:tcW w:w="4876" w:type="dxa"/>
          </w:tcPr>
          <w:p w:rsidR="00F23B68" w:rsidRPr="007064C6" w:rsidRDefault="00F23B68" w:rsidP="007A1997">
            <w:pPr>
              <w:pStyle w:val="Normal6a"/>
            </w:pPr>
            <w:r w:rsidRPr="007064C6">
              <w:rPr>
                <w:b/>
                <w:i/>
              </w:rPr>
              <w:t xml:space="preserve">2. </w:t>
            </w:r>
            <w:r w:rsidRPr="00B059B2">
              <w:tab/>
            </w:r>
            <w:r w:rsidRPr="007064C6">
              <w:rPr>
                <w:b/>
                <w:i/>
              </w:rPr>
              <w:t>Ak o to osoby, ktoré predložia odôvodnené sťažnosti, požiadajú, orgány dohľadu nad trhom prijmú potrebné opatrenia na primeranú ochranu totožnosti danej osoby a jej osobných údajov, ktoré by v prípade zverejnenia mohli tejto osobe poškodiť.</w:t>
            </w:r>
          </w:p>
        </w:tc>
      </w:tr>
      <w:tr w:rsidR="00F23B68" w:rsidRPr="007064C6" w:rsidTr="007A1997">
        <w:trPr>
          <w:jc w:val="center"/>
        </w:trPr>
        <w:tc>
          <w:tcPr>
            <w:tcW w:w="4876" w:type="dxa"/>
          </w:tcPr>
          <w:p w:rsidR="00F23B68" w:rsidRPr="007064C6" w:rsidRDefault="00F23B68" w:rsidP="007A1997">
            <w:pPr>
              <w:pStyle w:val="Normal6a"/>
            </w:pPr>
          </w:p>
        </w:tc>
        <w:tc>
          <w:tcPr>
            <w:tcW w:w="4876" w:type="dxa"/>
          </w:tcPr>
          <w:p w:rsidR="00F23B68" w:rsidRPr="007064C6" w:rsidRDefault="00F23B68" w:rsidP="007A1997">
            <w:pPr>
              <w:pStyle w:val="Normal6a"/>
            </w:pPr>
            <w:r w:rsidRPr="007064C6">
              <w:rPr>
                <w:b/>
                <w:i/>
              </w:rPr>
              <w:t xml:space="preserve">3. </w:t>
            </w:r>
            <w:r w:rsidRPr="00B059B2">
              <w:tab/>
            </w:r>
            <w:r w:rsidRPr="007064C6">
              <w:rPr>
                <w:b/>
                <w:i/>
              </w:rPr>
              <w:t xml:space="preserve">Vnútroštátne orgány dohľadu nad trhom bez zbytočného odkladu, starostlivo a nestranne posúdia opodstatnené sťažnosti vrátane toho, či sú príslušné tvrdenia podložené, a prijmú potrebné opatrenia vrátane vykonania kontrol a hodnotení podľa článkov 8 a 51 nariadenia (ES) 2018/858 s cieľom odhaliť možné prípady porušovania tohto nariadenia a v náležitom prípade požadovať nápravné opatrenia alebo prijať vhodné reštriktívne opatrenia podľa článku 52 nariadenia (ES) </w:t>
            </w:r>
            <w:r w:rsidRPr="007064C6">
              <w:rPr>
                <w:b/>
                <w:i/>
              </w:rPr>
              <w:lastRenderedPageBreak/>
              <w:t>2018/858.</w:t>
            </w:r>
          </w:p>
        </w:tc>
      </w:tr>
      <w:tr w:rsidR="00F23B68" w:rsidRPr="007064C6" w:rsidTr="007A1997">
        <w:trPr>
          <w:jc w:val="center"/>
        </w:trPr>
        <w:tc>
          <w:tcPr>
            <w:tcW w:w="4876" w:type="dxa"/>
          </w:tcPr>
          <w:p w:rsidR="00F23B68" w:rsidRPr="007064C6" w:rsidRDefault="00F23B68" w:rsidP="007A1997">
            <w:pPr>
              <w:pStyle w:val="Normal6a"/>
            </w:pPr>
          </w:p>
        </w:tc>
        <w:tc>
          <w:tcPr>
            <w:tcW w:w="4876" w:type="dxa"/>
          </w:tcPr>
          <w:p w:rsidR="00F23B68" w:rsidRPr="007064C6" w:rsidRDefault="00F23B68" w:rsidP="007A1997">
            <w:pPr>
              <w:pStyle w:val="Normal6a"/>
            </w:pPr>
            <w:r w:rsidRPr="007064C6">
              <w:rPr>
                <w:b/>
                <w:i/>
              </w:rPr>
              <w:t xml:space="preserve">4. </w:t>
            </w:r>
            <w:r w:rsidRPr="00B059B2">
              <w:tab/>
            </w:r>
            <w:r w:rsidRPr="007064C6">
              <w:rPr>
                <w:b/>
                <w:i/>
              </w:rPr>
              <w:t>Vnútroštátny orgán dohľadu nad trhom do troch mesiacov informuje fyzické alebo právnické osoby uvedené v odseku 1 o svojom rozhodnutí vyhovieť žiadosti o prijatie opatrenia alebo ju zamietnuť a o všetkých krokoch, ktoré plánuje prijať na riešenie obáv uvedených v odôvodnenej sťažnosti, pričom uvedie dôvody prijatého rozhodnutia, ako aj navrhovaných krokov.</w:t>
            </w:r>
          </w:p>
        </w:tc>
      </w:tr>
    </w:tbl>
    <w:p w:rsidR="00F23B68" w:rsidRPr="00B059B2" w:rsidRDefault="00F23B68" w:rsidP="00902EF1"/>
    <w:p w:rsidR="00902EF1" w:rsidRPr="00B059B2" w:rsidRDefault="00902EF1" w:rsidP="00902EF1">
      <w:pPr>
        <w:pStyle w:val="AmNumberTabs"/>
      </w:pPr>
      <w:r w:rsidRPr="00B059B2">
        <w:t>Pozmeňujúci návrh</w:t>
      </w:r>
      <w:r w:rsidRPr="00B059B2">
        <w:tab/>
      </w:r>
      <w:r w:rsidRPr="00B059B2">
        <w:tab/>
        <w:t>144</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18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2.</w:t>
            </w:r>
            <w:r w:rsidRPr="00B059B2">
              <w:tab/>
              <w:t>Do 1. septembra 2031 Komisia predloží na základe informácií poskytnutých podľa odseku 1 Európskemu parlamentu a Rade správu o hodnotení uplatňovania tohto nariadenia.</w:t>
            </w:r>
          </w:p>
        </w:tc>
        <w:tc>
          <w:tcPr>
            <w:tcW w:w="4876" w:type="dxa"/>
          </w:tcPr>
          <w:p w:rsidR="00902EF1" w:rsidRPr="00B059B2" w:rsidRDefault="00902EF1" w:rsidP="0023402C">
            <w:pPr>
              <w:pStyle w:val="Normal6a"/>
            </w:pPr>
            <w:r w:rsidRPr="00B059B2">
              <w:t>2.</w:t>
            </w:r>
            <w:r w:rsidRPr="00B059B2">
              <w:tab/>
              <w:t xml:space="preserve">Do 1. septembra 2031 Komisia predloží na základe informácií poskytnutých podľa odseku 1 Európskemu parlamentu a Rade správu o hodnotení uplatňovania tohto nariadenia </w:t>
            </w:r>
            <w:r w:rsidRPr="00B059B2">
              <w:rPr>
                <w:b/>
                <w:bCs/>
                <w:i/>
                <w:iCs/>
              </w:rPr>
              <w:t>vrátane hodnotenia dosiahnutého zníženia výfukových a nevýfukových emisií a posúdenia jeho prínosu k plneniu noriem znečistenia ovzdušia stanovených v [XXX prepracovaný návrh smernice o kvalite okolitého ovzdušia].</w:t>
            </w:r>
          </w:p>
        </w:tc>
      </w:tr>
    </w:tbl>
    <w:p w:rsidR="00902EF1" w:rsidRPr="00B059B2" w:rsidRDefault="00902EF1" w:rsidP="00902EF1"/>
    <w:p w:rsidR="00902EF1" w:rsidRDefault="00902EF1" w:rsidP="00902EF1"/>
    <w:p w:rsidR="00C87319" w:rsidRDefault="00C87319" w:rsidP="00C87319">
      <w:pPr>
        <w:pStyle w:val="AmNumberTabs"/>
      </w:pPr>
      <w:r w:rsidRPr="000A1B1C">
        <w:t>Pozmeňujúc</w:t>
      </w:r>
      <w:r w:rsidR="002B4C94">
        <w:t>e</w:t>
      </w:r>
      <w:r w:rsidRPr="000A1B1C">
        <w:t xml:space="preserve"> návrh</w:t>
      </w:r>
      <w:r w:rsidR="002B4C94">
        <w:t>y</w:t>
      </w:r>
      <w:r w:rsidR="007C2641">
        <w:t xml:space="preserve">  </w:t>
      </w:r>
      <w:r w:rsidR="002B4C94">
        <w:t xml:space="preserve">181 a </w:t>
      </w:r>
      <w:r w:rsidRPr="000A1B1C">
        <w:t>192</w:t>
      </w:r>
    </w:p>
    <w:p w:rsidR="00C87319" w:rsidRPr="000A1B1C" w:rsidRDefault="00C87319" w:rsidP="00C87319">
      <w:pPr>
        <w:pStyle w:val="AmNumberTabs"/>
      </w:pPr>
    </w:p>
    <w:p w:rsidR="00C87319" w:rsidRPr="000A1B1C" w:rsidRDefault="00C87319" w:rsidP="00C87319">
      <w:pPr>
        <w:pStyle w:val="NormalBold"/>
      </w:pPr>
      <w:r w:rsidRPr="000A1B1C">
        <w:t>Návrh nariadenia</w:t>
      </w:r>
    </w:p>
    <w:p w:rsidR="00C87319" w:rsidRPr="000A1B1C" w:rsidRDefault="00C87319" w:rsidP="00C87319">
      <w:pPr>
        <w:pStyle w:val="NormalBold"/>
      </w:pPr>
      <w:r w:rsidRPr="000A1B1C">
        <w:t>Článok 18 – odsek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7319" w:rsidRPr="000A1B1C" w:rsidTr="007A1997">
        <w:trPr>
          <w:trHeight w:hRule="exact" w:val="240"/>
          <w:jc w:val="center"/>
        </w:trPr>
        <w:tc>
          <w:tcPr>
            <w:tcW w:w="9752" w:type="dxa"/>
            <w:gridSpan w:val="2"/>
          </w:tcPr>
          <w:p w:rsidR="00C87319" w:rsidRPr="000A1B1C" w:rsidRDefault="00C87319" w:rsidP="007A1997"/>
        </w:tc>
      </w:tr>
      <w:tr w:rsidR="00C87319" w:rsidRPr="000A1B1C" w:rsidTr="007A1997">
        <w:trPr>
          <w:trHeight w:val="240"/>
          <w:jc w:val="center"/>
        </w:trPr>
        <w:tc>
          <w:tcPr>
            <w:tcW w:w="4876" w:type="dxa"/>
          </w:tcPr>
          <w:p w:rsidR="00C87319" w:rsidRPr="000A1B1C" w:rsidRDefault="00C87319" w:rsidP="007A1997">
            <w:pPr>
              <w:pStyle w:val="AmColumnHeading"/>
            </w:pPr>
            <w:r w:rsidRPr="000A1B1C">
              <w:t>Text predložený Komisiou</w:t>
            </w:r>
          </w:p>
        </w:tc>
        <w:tc>
          <w:tcPr>
            <w:tcW w:w="4876" w:type="dxa"/>
          </w:tcPr>
          <w:p w:rsidR="00C87319" w:rsidRPr="000A1B1C" w:rsidRDefault="00C87319" w:rsidP="007A1997">
            <w:pPr>
              <w:pStyle w:val="AmColumnHeading"/>
            </w:pPr>
            <w:r w:rsidRPr="000A1B1C">
              <w:t>Pozmeňujúci návrh</w:t>
            </w:r>
          </w:p>
        </w:tc>
      </w:tr>
      <w:tr w:rsidR="00C87319" w:rsidRPr="000A1B1C" w:rsidTr="007A1997">
        <w:trPr>
          <w:jc w:val="center"/>
        </w:trPr>
        <w:tc>
          <w:tcPr>
            <w:tcW w:w="4876" w:type="dxa"/>
          </w:tcPr>
          <w:p w:rsidR="00C87319" w:rsidRPr="000A1B1C" w:rsidRDefault="00C87319" w:rsidP="007A1997">
            <w:pPr>
              <w:pStyle w:val="Normal6a"/>
            </w:pPr>
          </w:p>
        </w:tc>
        <w:tc>
          <w:tcPr>
            <w:tcW w:w="4876" w:type="dxa"/>
          </w:tcPr>
          <w:p w:rsidR="00C87319" w:rsidRPr="000A1B1C" w:rsidRDefault="00C87319">
            <w:pPr>
              <w:pStyle w:val="Normal6a"/>
            </w:pPr>
            <w:r w:rsidRPr="000A1B1C">
              <w:rPr>
                <w:b/>
                <w:i/>
              </w:rPr>
              <w:t>2a.</w:t>
            </w:r>
            <w:r w:rsidRPr="000A1B1C">
              <w:tab/>
            </w:r>
            <w:r w:rsidRPr="000A1B1C">
              <w:rPr>
                <w:b/>
                <w:i/>
              </w:rPr>
              <w:t xml:space="preserve">Komisia najneskôr do </w:t>
            </w:r>
            <w:r w:rsidR="00F71E45">
              <w:rPr>
                <w:b/>
                <w:i/>
              </w:rPr>
              <w:t>31. decembra</w:t>
            </w:r>
            <w:r w:rsidRPr="000A1B1C">
              <w:rPr>
                <w:b/>
                <w:i/>
              </w:rPr>
              <w:t xml:space="preserve"> 2025 predloží Európskemu parlamentu a Rade správu, v ktorej posúdi životnosť ťažkých úžitkových vozidiel vzhľadom na emisie.</w:t>
            </w:r>
          </w:p>
        </w:tc>
      </w:tr>
    </w:tbl>
    <w:p w:rsidR="00C87319" w:rsidRPr="00B059B2" w:rsidRDefault="00C87319" w:rsidP="00902EF1"/>
    <w:p w:rsidR="00902EF1" w:rsidRPr="00B059B2" w:rsidRDefault="00902EF1" w:rsidP="00902EF1">
      <w:pPr>
        <w:pStyle w:val="AmNumberTabs"/>
      </w:pPr>
      <w:r w:rsidRPr="00B059B2">
        <w:lastRenderedPageBreak/>
        <w:t>Pozmeňujúci návrh</w:t>
      </w:r>
      <w:r w:rsidRPr="00B059B2">
        <w:tab/>
      </w:r>
      <w:r w:rsidRPr="00B059B2">
        <w:tab/>
        <w:t>146</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19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 xml:space="preserve">Nariadenie (ES) č. 715/2007 sa zrušuje s účinnosťou od 1. júla </w:t>
            </w:r>
            <w:r w:rsidRPr="00B059B2">
              <w:rPr>
                <w:b/>
                <w:bCs/>
                <w:i/>
                <w:iCs/>
              </w:rPr>
              <w:t>2025</w:t>
            </w:r>
            <w:r w:rsidRPr="00B059B2">
              <w:t>.</w:t>
            </w:r>
          </w:p>
        </w:tc>
        <w:tc>
          <w:tcPr>
            <w:tcW w:w="4876" w:type="dxa"/>
          </w:tcPr>
          <w:p w:rsidR="00902EF1" w:rsidRPr="00B059B2" w:rsidRDefault="00902EF1" w:rsidP="0023402C">
            <w:pPr>
              <w:pStyle w:val="Normal6a"/>
            </w:pPr>
            <w:r w:rsidRPr="00B059B2">
              <w:t xml:space="preserve">Nariadenie (ES) č. 715/2007 sa zrušuje s účinnosťou od 1. júla </w:t>
            </w:r>
            <w:r w:rsidRPr="00B059B2">
              <w:rPr>
                <w:b/>
                <w:bCs/>
                <w:i/>
                <w:iCs/>
              </w:rPr>
              <w:t>2030</w:t>
            </w:r>
            <w:r w:rsidRPr="00B059B2">
              <w:t>.</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147</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19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 xml:space="preserve">Nariadenie (ES) č. 595/2009 sa zrušuje s účinnosťou od 1. júla </w:t>
            </w:r>
            <w:r w:rsidRPr="00B059B2">
              <w:rPr>
                <w:b/>
                <w:bCs/>
                <w:i/>
                <w:iCs/>
              </w:rPr>
              <w:t>2027</w:t>
            </w:r>
            <w:r w:rsidRPr="00B059B2">
              <w:t>.</w:t>
            </w:r>
          </w:p>
        </w:tc>
        <w:tc>
          <w:tcPr>
            <w:tcW w:w="4876" w:type="dxa"/>
          </w:tcPr>
          <w:p w:rsidR="00902EF1" w:rsidRPr="00B059B2" w:rsidRDefault="00902EF1" w:rsidP="0023402C">
            <w:pPr>
              <w:pStyle w:val="Normal6a"/>
            </w:pPr>
            <w:r w:rsidRPr="00B059B2">
              <w:t xml:space="preserve">Nariadenie (ES) č. 595/2009 sa zrušuje s účinnosťou od 1. júla </w:t>
            </w:r>
            <w:r w:rsidRPr="00B059B2">
              <w:rPr>
                <w:b/>
                <w:bCs/>
                <w:i/>
                <w:iCs/>
              </w:rPr>
              <w:t>2031</w:t>
            </w:r>
            <w:r w:rsidRPr="00B059B2">
              <w:t>.</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148</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rPr>
          <w:b w:val="0"/>
        </w:rPr>
        <w:t>Článok 20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 xml:space="preserve">Uplatňuje sa od </w:t>
            </w:r>
            <w:r w:rsidRPr="00B059B2">
              <w:rPr>
                <w:b/>
                <w:bCs/>
                <w:i/>
                <w:iCs/>
              </w:rPr>
              <w:t>1. júla 2025 pre</w:t>
            </w:r>
            <w:r w:rsidRPr="00B059B2">
              <w:t xml:space="preserve"> vozidlá kategórií M</w:t>
            </w:r>
            <w:r w:rsidRPr="00B059B2">
              <w:rPr>
                <w:vertAlign w:val="subscript"/>
              </w:rPr>
              <w:t>1</w:t>
            </w:r>
            <w:r w:rsidRPr="00B059B2">
              <w:t xml:space="preserve"> a N</w:t>
            </w:r>
            <w:r w:rsidRPr="00B059B2">
              <w:rPr>
                <w:vertAlign w:val="subscript"/>
              </w:rPr>
              <w:t>1</w:t>
            </w:r>
            <w:r w:rsidRPr="00B059B2">
              <w:t xml:space="preserve"> a komponenty a samostatné technické jednotky pre tieto vozidlá a </w:t>
            </w:r>
            <w:r w:rsidRPr="00B059B2">
              <w:rPr>
                <w:b/>
                <w:bCs/>
                <w:i/>
                <w:iCs/>
              </w:rPr>
              <w:t>od 1. júla 2027 pre</w:t>
            </w:r>
            <w:r w:rsidRPr="00B059B2">
              <w:t xml:space="preserve"> vozidlá kategórií M</w:t>
            </w:r>
            <w:r w:rsidRPr="00B059B2">
              <w:rPr>
                <w:vertAlign w:val="subscript"/>
              </w:rPr>
              <w:t>2</w:t>
            </w:r>
            <w:r w:rsidRPr="00B059B2">
              <w:t>, M</w:t>
            </w:r>
            <w:r w:rsidRPr="00B059B2">
              <w:rPr>
                <w:vertAlign w:val="subscript"/>
              </w:rPr>
              <w:t>3</w:t>
            </w:r>
            <w:r w:rsidRPr="00B059B2">
              <w:t>, N</w:t>
            </w:r>
            <w:r w:rsidRPr="00B059B2">
              <w:rPr>
                <w:vertAlign w:val="subscript"/>
              </w:rPr>
              <w:t>2</w:t>
            </w:r>
            <w:r w:rsidRPr="00B059B2">
              <w:t xml:space="preserve"> a N</w:t>
            </w:r>
            <w:r w:rsidRPr="00B059B2">
              <w:rPr>
                <w:vertAlign w:val="subscript"/>
              </w:rPr>
              <w:t>3</w:t>
            </w:r>
            <w:r w:rsidRPr="00B059B2">
              <w:t>, ako aj komponenty a samostatné technické jednotky pre tieto vozidlá a prípojné vozidlá kategórií O</w:t>
            </w:r>
            <w:r w:rsidRPr="00B059B2">
              <w:rPr>
                <w:vertAlign w:val="subscript"/>
              </w:rPr>
              <w:t>3</w:t>
            </w:r>
            <w:r w:rsidRPr="00B059B2">
              <w:t xml:space="preserve"> a O</w:t>
            </w:r>
            <w:r w:rsidRPr="00B059B2">
              <w:rPr>
                <w:vertAlign w:val="subscript"/>
              </w:rPr>
              <w:t>4</w:t>
            </w:r>
            <w:r w:rsidRPr="00B059B2">
              <w:t>.</w:t>
            </w:r>
          </w:p>
        </w:tc>
        <w:tc>
          <w:tcPr>
            <w:tcW w:w="4876" w:type="dxa"/>
          </w:tcPr>
          <w:p w:rsidR="00902EF1" w:rsidRPr="00B059B2" w:rsidRDefault="00902EF1" w:rsidP="0023402C">
            <w:pPr>
              <w:pStyle w:val="Normal6a"/>
            </w:pPr>
            <w:r w:rsidRPr="00B059B2">
              <w:t xml:space="preserve">Uplatňuje sa od </w:t>
            </w:r>
            <w:r w:rsidRPr="00B059B2">
              <w:rPr>
                <w:b/>
                <w:bCs/>
                <w:i/>
                <w:iCs/>
              </w:rPr>
              <w:t>24 mesiacov od nadobudnutia účinnosti všetkých príslušných sekundárnych právnych predpisov na nové vozidlá kategórií</w:t>
            </w:r>
            <w:r w:rsidRPr="00B059B2">
              <w:t xml:space="preserve"> M</w:t>
            </w:r>
            <w:r w:rsidRPr="00B059B2">
              <w:rPr>
                <w:vertAlign w:val="subscript"/>
              </w:rPr>
              <w:t>1</w:t>
            </w:r>
            <w:r w:rsidRPr="00B059B2">
              <w:t>, N</w:t>
            </w:r>
            <w:r w:rsidRPr="00B059B2">
              <w:rPr>
                <w:vertAlign w:val="subscript"/>
              </w:rPr>
              <w:t>1</w:t>
            </w:r>
            <w:r w:rsidRPr="00B059B2">
              <w:t xml:space="preserve"> a komponenty a samostatné technické jednotky pre tieto vozidlá a </w:t>
            </w:r>
            <w:r w:rsidRPr="00B059B2">
              <w:rPr>
                <w:b/>
                <w:bCs/>
                <w:i/>
                <w:iCs/>
              </w:rPr>
              <w:t>36 mesiacov od nadobudnutia účinnosti všetkých príslušných sekundárnych právnych predpisov na nové vozidlá kategórií M</w:t>
            </w:r>
            <w:r w:rsidRPr="00B059B2">
              <w:rPr>
                <w:b/>
                <w:bCs/>
                <w:i/>
                <w:iCs/>
                <w:vertAlign w:val="subscript"/>
              </w:rPr>
              <w:t>1</w:t>
            </w:r>
            <w:r w:rsidRPr="00B059B2">
              <w:rPr>
                <w:b/>
                <w:bCs/>
                <w:i/>
                <w:iCs/>
              </w:rPr>
              <w:t>, N</w:t>
            </w:r>
            <w:r w:rsidRPr="00B059B2">
              <w:rPr>
                <w:b/>
                <w:bCs/>
                <w:i/>
                <w:iCs/>
                <w:vertAlign w:val="subscript"/>
              </w:rPr>
              <w:t>1</w:t>
            </w:r>
            <w:r w:rsidRPr="00B059B2">
              <w:rPr>
                <w:b/>
                <w:bCs/>
                <w:i/>
                <w:iCs/>
              </w:rPr>
              <w:t>, ako aj komponenty a samostatné technické jednotky pre tieto vozidlá.</w:t>
            </w:r>
          </w:p>
        </w:tc>
      </w:tr>
      <w:tr w:rsidR="00902EF1" w:rsidRPr="00B059B2" w:rsidTr="0023402C">
        <w:trPr>
          <w:jc w:val="center"/>
        </w:trPr>
        <w:tc>
          <w:tcPr>
            <w:tcW w:w="4876" w:type="dxa"/>
          </w:tcPr>
          <w:p w:rsidR="00902EF1" w:rsidRPr="00B059B2" w:rsidRDefault="00902EF1" w:rsidP="0023402C">
            <w:pPr>
              <w:pStyle w:val="Normal6a"/>
            </w:pPr>
          </w:p>
        </w:tc>
        <w:tc>
          <w:tcPr>
            <w:tcW w:w="4876" w:type="dxa"/>
          </w:tcPr>
          <w:p w:rsidR="00902EF1" w:rsidRPr="00B059B2" w:rsidRDefault="00902EF1" w:rsidP="0023402C">
            <w:pPr>
              <w:pStyle w:val="Normal6a"/>
            </w:pPr>
            <w:r w:rsidRPr="00B059B2">
              <w:rPr>
                <w:b/>
                <w:bCs/>
                <w:i/>
                <w:iCs/>
              </w:rPr>
              <w:t>Uplatňuje sa 48 mesiacov od nadobudnutia účinnosti všetkých príslušných sekundárnych právnych predpisov na nové vozidlá kategórií M</w:t>
            </w:r>
            <w:r w:rsidRPr="00B059B2">
              <w:rPr>
                <w:b/>
                <w:bCs/>
                <w:i/>
                <w:iCs/>
                <w:vertAlign w:val="subscript"/>
              </w:rPr>
              <w:t>2</w:t>
            </w:r>
            <w:r w:rsidRPr="00B059B2">
              <w:rPr>
                <w:b/>
                <w:bCs/>
                <w:i/>
                <w:iCs/>
              </w:rPr>
              <w:t>, M</w:t>
            </w:r>
            <w:r w:rsidRPr="00B059B2">
              <w:rPr>
                <w:b/>
                <w:bCs/>
                <w:i/>
                <w:iCs/>
                <w:vertAlign w:val="subscript"/>
              </w:rPr>
              <w:t>3</w:t>
            </w:r>
            <w:r w:rsidRPr="00B059B2">
              <w:rPr>
                <w:b/>
                <w:bCs/>
                <w:i/>
                <w:iCs/>
              </w:rPr>
              <w:t>, N</w:t>
            </w:r>
            <w:r w:rsidRPr="00B059B2">
              <w:rPr>
                <w:b/>
                <w:bCs/>
                <w:i/>
                <w:iCs/>
                <w:vertAlign w:val="subscript"/>
              </w:rPr>
              <w:t>2</w:t>
            </w:r>
            <w:r w:rsidRPr="00B059B2">
              <w:rPr>
                <w:b/>
                <w:bCs/>
                <w:i/>
                <w:iCs/>
              </w:rPr>
              <w:t>, a N</w:t>
            </w:r>
            <w:r w:rsidRPr="00B059B2">
              <w:rPr>
                <w:b/>
                <w:bCs/>
                <w:i/>
                <w:iCs/>
                <w:vertAlign w:val="subscript"/>
              </w:rPr>
              <w:t>3</w:t>
            </w:r>
            <w:r w:rsidRPr="00B059B2">
              <w:rPr>
                <w:b/>
                <w:bCs/>
                <w:i/>
                <w:iCs/>
              </w:rPr>
              <w:t xml:space="preserve"> a komponenty a samostatné technické jednotky pre tieto vozidlá a prípojné vozidlá kategórií O</w:t>
            </w:r>
            <w:r w:rsidRPr="00B059B2">
              <w:rPr>
                <w:b/>
                <w:bCs/>
                <w:i/>
                <w:iCs/>
                <w:vertAlign w:val="subscript"/>
              </w:rPr>
              <w:t>3</w:t>
            </w:r>
            <w:r w:rsidRPr="00B059B2">
              <w:rPr>
                <w:b/>
                <w:bCs/>
                <w:i/>
                <w:iCs/>
              </w:rPr>
              <w:t xml:space="preserve"> a O</w:t>
            </w:r>
            <w:r w:rsidRPr="00B059B2">
              <w:rPr>
                <w:b/>
                <w:bCs/>
                <w:i/>
                <w:iCs/>
                <w:vertAlign w:val="subscript"/>
              </w:rPr>
              <w:t>4</w:t>
            </w:r>
            <w:r w:rsidRPr="00B059B2">
              <w:rPr>
                <w:b/>
                <w:bCs/>
                <w:i/>
                <w:iCs/>
              </w:rPr>
              <w:t xml:space="preserve"> a 60 </w:t>
            </w:r>
            <w:r w:rsidRPr="00B059B2">
              <w:rPr>
                <w:b/>
                <w:bCs/>
                <w:i/>
                <w:iCs/>
              </w:rPr>
              <w:lastRenderedPageBreak/>
              <w:t>mesiacov od nadobudnutia účinnosti všetkých príslušných sekundárnych právnych predpisov vzťahujúcich sa na nové</w:t>
            </w:r>
            <w:r w:rsidRPr="00B059B2">
              <w:t xml:space="preserve"> vozidlá kategórií M</w:t>
            </w:r>
            <w:r w:rsidRPr="00B059B2">
              <w:rPr>
                <w:vertAlign w:val="subscript"/>
              </w:rPr>
              <w:t>2</w:t>
            </w:r>
            <w:r w:rsidRPr="00B059B2">
              <w:t>, M</w:t>
            </w:r>
            <w:r w:rsidRPr="00B059B2">
              <w:rPr>
                <w:vertAlign w:val="subscript"/>
              </w:rPr>
              <w:t>3</w:t>
            </w:r>
            <w:r w:rsidRPr="00B059B2">
              <w:t>, N</w:t>
            </w:r>
            <w:r w:rsidRPr="00B059B2">
              <w:rPr>
                <w:vertAlign w:val="subscript"/>
              </w:rPr>
              <w:t>2</w:t>
            </w:r>
            <w:r w:rsidRPr="00B059B2">
              <w:t xml:space="preserve"> a N</w:t>
            </w:r>
            <w:r w:rsidRPr="00B059B2">
              <w:rPr>
                <w:vertAlign w:val="subscript"/>
              </w:rPr>
              <w:t>3</w:t>
            </w:r>
            <w:r w:rsidRPr="00B059B2">
              <w:t>, ako aj komponenty a samostatné technické jednotky pre tieto vozidlá a prípojné vozidlá kategórií O</w:t>
            </w:r>
            <w:r w:rsidRPr="00B059B2">
              <w:rPr>
                <w:vertAlign w:val="subscript"/>
              </w:rPr>
              <w:t>3</w:t>
            </w:r>
            <w:r w:rsidRPr="00B059B2">
              <w:t xml:space="preserve"> a O</w:t>
            </w:r>
            <w:r w:rsidRPr="00B059B2">
              <w:rPr>
                <w:vertAlign w:val="subscript"/>
              </w:rPr>
              <w:t>4</w:t>
            </w:r>
            <w:r w:rsidRPr="00B059B2">
              <w:t>.</w:t>
            </w:r>
          </w:p>
        </w:tc>
      </w:tr>
    </w:tbl>
    <w:p w:rsidR="00902EF1" w:rsidRPr="00B059B2" w:rsidRDefault="00902EF1" w:rsidP="00902EF1"/>
    <w:p w:rsidR="00902EF1" w:rsidRPr="00B059B2" w:rsidRDefault="00902EF1" w:rsidP="00902EF1">
      <w:pPr>
        <w:pStyle w:val="AmNumberTabs"/>
      </w:pPr>
      <w:r w:rsidRPr="00B059B2">
        <w:t>Pozmeňujúci návrh</w:t>
      </w:r>
      <w:r w:rsidRPr="00B059B2">
        <w:tab/>
      </w:r>
      <w:r w:rsidRPr="00B059B2">
        <w:tab/>
        <w:t>149</w:t>
      </w:r>
    </w:p>
    <w:p w:rsidR="00902EF1" w:rsidRPr="00B059B2" w:rsidRDefault="00902EF1" w:rsidP="00902EF1">
      <w:pPr>
        <w:pStyle w:val="NormalBold12b"/>
      </w:pPr>
    </w:p>
    <w:p w:rsidR="00902EF1" w:rsidRPr="00B059B2" w:rsidRDefault="00902EF1" w:rsidP="00902EF1">
      <w:pPr>
        <w:pStyle w:val="NormalBold"/>
      </w:pPr>
      <w:r w:rsidRPr="00B059B2">
        <w:t>Návrh nariadenia</w:t>
      </w:r>
    </w:p>
    <w:p w:rsidR="00902EF1" w:rsidRPr="00B059B2" w:rsidRDefault="00902EF1" w:rsidP="00902EF1">
      <w:pPr>
        <w:pStyle w:val="NormalBold"/>
      </w:pPr>
      <w:r w:rsidRPr="00B059B2">
        <w:t>Článok 20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02EF1" w:rsidRPr="00B059B2" w:rsidTr="0023402C">
        <w:trPr>
          <w:trHeight w:hRule="exact" w:val="240"/>
          <w:jc w:val="center"/>
        </w:trPr>
        <w:tc>
          <w:tcPr>
            <w:tcW w:w="9752" w:type="dxa"/>
            <w:gridSpan w:val="2"/>
          </w:tcPr>
          <w:p w:rsidR="00902EF1" w:rsidRPr="00B059B2" w:rsidRDefault="00902EF1" w:rsidP="0023402C"/>
        </w:tc>
      </w:tr>
      <w:tr w:rsidR="00902EF1" w:rsidRPr="00B059B2" w:rsidTr="0023402C">
        <w:trPr>
          <w:trHeight w:val="240"/>
          <w:jc w:val="center"/>
        </w:trPr>
        <w:tc>
          <w:tcPr>
            <w:tcW w:w="4876" w:type="dxa"/>
          </w:tcPr>
          <w:p w:rsidR="00902EF1" w:rsidRPr="00B059B2" w:rsidRDefault="00902EF1" w:rsidP="0023402C">
            <w:pPr>
              <w:pStyle w:val="AmColumnHeading"/>
            </w:pPr>
            <w:r w:rsidRPr="00B059B2">
              <w:t>Text predložený Komisiou</w:t>
            </w:r>
          </w:p>
        </w:tc>
        <w:tc>
          <w:tcPr>
            <w:tcW w:w="4876" w:type="dxa"/>
          </w:tcPr>
          <w:p w:rsidR="00902EF1" w:rsidRPr="00B059B2" w:rsidRDefault="00902EF1" w:rsidP="0023402C">
            <w:pPr>
              <w:pStyle w:val="AmColumnHeading"/>
            </w:pPr>
            <w:r w:rsidRPr="00B059B2">
              <w:t>Pozmeňujúci návrh</w:t>
            </w:r>
          </w:p>
        </w:tc>
      </w:tr>
      <w:tr w:rsidR="00902EF1" w:rsidRPr="00B059B2" w:rsidTr="0023402C">
        <w:trPr>
          <w:jc w:val="center"/>
        </w:trPr>
        <w:tc>
          <w:tcPr>
            <w:tcW w:w="4876" w:type="dxa"/>
          </w:tcPr>
          <w:p w:rsidR="00902EF1" w:rsidRPr="00B059B2" w:rsidRDefault="00902EF1" w:rsidP="0023402C">
            <w:pPr>
              <w:pStyle w:val="Normal6a"/>
            </w:pPr>
            <w:r w:rsidRPr="00B059B2">
              <w:t>Uplatňuje sa od 1. júla 2030 pre vozidlá kategórií M</w:t>
            </w:r>
            <w:r w:rsidRPr="00B059B2">
              <w:rPr>
                <w:vertAlign w:val="subscript"/>
              </w:rPr>
              <w:t>1</w:t>
            </w:r>
            <w:r w:rsidRPr="00B059B2">
              <w:t xml:space="preserve"> a N</w:t>
            </w:r>
            <w:r w:rsidRPr="00B059B2">
              <w:rPr>
                <w:vertAlign w:val="subscript"/>
              </w:rPr>
              <w:t>1</w:t>
            </w:r>
            <w:r w:rsidRPr="00B059B2">
              <w:t xml:space="preserve"> skonštruované výrobcami s malým objemom výroby.</w:t>
            </w:r>
          </w:p>
        </w:tc>
        <w:tc>
          <w:tcPr>
            <w:tcW w:w="4876" w:type="dxa"/>
          </w:tcPr>
          <w:p w:rsidR="00902EF1" w:rsidRPr="00B059B2" w:rsidRDefault="00902EF1" w:rsidP="0023402C">
            <w:pPr>
              <w:pStyle w:val="Normal6a"/>
            </w:pPr>
            <w:r w:rsidRPr="00B059B2">
              <w:t>Uplatňuje sa od 1. júla 2030 pre vozidlá kategórie M</w:t>
            </w:r>
            <w:r w:rsidRPr="00B059B2">
              <w:rPr>
                <w:vertAlign w:val="subscript"/>
              </w:rPr>
              <w:t>1</w:t>
            </w:r>
            <w:r w:rsidRPr="00B059B2">
              <w:t xml:space="preserve"> a N</w:t>
            </w:r>
            <w:r w:rsidRPr="00B059B2">
              <w:rPr>
                <w:vertAlign w:val="subscript"/>
              </w:rPr>
              <w:t>1</w:t>
            </w:r>
            <w:r w:rsidRPr="00B059B2">
              <w:t xml:space="preserve"> </w:t>
            </w:r>
            <w:r w:rsidRPr="00B059B2">
              <w:rPr>
                <w:b/>
                <w:bCs/>
                <w:i/>
                <w:iCs/>
              </w:rPr>
              <w:t>skonštruované výrobcami s malým objemom výroby a od 1. júla 2031 pre vozidlá kategórie M</w:t>
            </w:r>
            <w:r w:rsidRPr="00B059B2">
              <w:rPr>
                <w:b/>
                <w:bCs/>
                <w:i/>
                <w:iCs/>
                <w:vertAlign w:val="subscript"/>
              </w:rPr>
              <w:t>2</w:t>
            </w:r>
            <w:r w:rsidRPr="00B059B2">
              <w:rPr>
                <w:b/>
                <w:bCs/>
                <w:i/>
                <w:iCs/>
              </w:rPr>
              <w:t>, M</w:t>
            </w:r>
            <w:r w:rsidRPr="00B059B2">
              <w:rPr>
                <w:b/>
                <w:bCs/>
                <w:i/>
                <w:iCs/>
                <w:vertAlign w:val="subscript"/>
              </w:rPr>
              <w:t>3</w:t>
            </w:r>
            <w:r w:rsidRPr="00B059B2">
              <w:rPr>
                <w:b/>
                <w:bCs/>
                <w:i/>
                <w:iCs/>
              </w:rPr>
              <w:t>, N</w:t>
            </w:r>
            <w:r w:rsidRPr="00B059B2">
              <w:rPr>
                <w:b/>
                <w:bCs/>
                <w:i/>
                <w:iCs/>
                <w:vertAlign w:val="subscript"/>
              </w:rPr>
              <w:t>2</w:t>
            </w:r>
            <w:r w:rsidRPr="00B059B2">
              <w:rPr>
                <w:b/>
                <w:bCs/>
                <w:i/>
                <w:iCs/>
              </w:rPr>
              <w:t xml:space="preserve"> a N</w:t>
            </w:r>
            <w:r w:rsidRPr="00B059B2">
              <w:rPr>
                <w:b/>
                <w:bCs/>
                <w:i/>
                <w:iCs/>
                <w:vertAlign w:val="subscript"/>
              </w:rPr>
              <w:t>3</w:t>
            </w:r>
            <w:r w:rsidRPr="00B059B2">
              <w:t xml:space="preserve"> skonštruované výrobcami s malým objemom výroby.</w:t>
            </w:r>
          </w:p>
        </w:tc>
      </w:tr>
    </w:tbl>
    <w:p w:rsidR="00902EF1" w:rsidRPr="00B059B2" w:rsidRDefault="00902EF1" w:rsidP="00902EF1"/>
    <w:p w:rsidR="00902EF1" w:rsidRPr="00B059B2" w:rsidRDefault="00902EF1" w:rsidP="00902EF1">
      <w:pPr>
        <w:pStyle w:val="AmNumberTabs"/>
        <w:keepNext/>
      </w:pPr>
      <w:r w:rsidRPr="00B059B2">
        <w:t>Pozmeňujúci návrh</w:t>
      </w:r>
      <w:r w:rsidRPr="00B059B2">
        <w:tab/>
      </w:r>
      <w:r w:rsidRPr="00B059B2">
        <w:tab/>
        <w:t>150</w:t>
      </w:r>
    </w:p>
    <w:p w:rsidR="00902EF1" w:rsidRPr="00B059B2" w:rsidRDefault="00902EF1" w:rsidP="00902EF1">
      <w:pPr>
        <w:pStyle w:val="NormalBold12b"/>
      </w:pPr>
      <w:r w:rsidRPr="00B059B2">
        <w:t>Návrh nariadenia</w:t>
      </w:r>
    </w:p>
    <w:p w:rsidR="00902EF1" w:rsidRPr="00B059B2" w:rsidRDefault="00902EF1" w:rsidP="00902EF1">
      <w:pPr>
        <w:pStyle w:val="NormalBold"/>
        <w:keepNext/>
      </w:pPr>
      <w:r w:rsidRPr="00B059B2">
        <w:t>Príloha I – tabuľka 1</w:t>
      </w:r>
    </w:p>
    <w:tbl>
      <w:tblPr>
        <w:tblStyle w:val="TableGrid"/>
        <w:tblW w:w="5000" w:type="pct"/>
        <w:tblLook w:val="04A0" w:firstRow="1" w:lastRow="0" w:firstColumn="1" w:lastColumn="0" w:noHBand="0" w:noVBand="1"/>
      </w:tblPr>
      <w:tblGrid>
        <w:gridCol w:w="1812"/>
        <w:gridCol w:w="1812"/>
        <w:gridCol w:w="1812"/>
        <w:gridCol w:w="1812"/>
        <w:gridCol w:w="1812"/>
      </w:tblGrid>
      <w:tr w:rsidR="00902EF1" w:rsidRPr="00B059B2" w:rsidTr="0023402C">
        <w:tc>
          <w:tcPr>
            <w:tcW w:w="4998" w:type="pct"/>
            <w:gridSpan w:val="5"/>
            <w:tcBorders>
              <w:top w:val="single" w:sz="4" w:space="0" w:color="auto"/>
              <w:left w:val="single" w:sz="4" w:space="0" w:color="auto"/>
              <w:bottom w:val="single" w:sz="4" w:space="0" w:color="auto"/>
              <w:right w:val="single" w:sz="4" w:space="0" w:color="auto"/>
            </w:tcBorders>
          </w:tcPr>
          <w:p w:rsidR="00902EF1" w:rsidRPr="00B059B2" w:rsidRDefault="00902EF1" w:rsidP="0023402C">
            <w:pPr>
              <w:jc w:val="center"/>
              <w:rPr>
                <w:i/>
                <w:noProof/>
              </w:rPr>
            </w:pPr>
            <w:r w:rsidRPr="00B059B2">
              <w:rPr>
                <w:i/>
              </w:rPr>
              <w:t>Text predložený Komisiou</w:t>
            </w:r>
          </w:p>
        </w:tc>
      </w:tr>
      <w:tr w:rsidR="00902EF1" w:rsidRPr="00B059B2" w:rsidTr="0023402C">
        <w:tc>
          <w:tcPr>
            <w:tcW w:w="4998" w:type="pct"/>
            <w:gridSpan w:val="5"/>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Tabuľka 1: Limity výfukových emisií Euro 7 pre vozidlá kategórií M</w:t>
            </w:r>
            <w:r w:rsidRPr="00B059B2">
              <w:rPr>
                <w:vertAlign w:val="subscript"/>
              </w:rPr>
              <w:t>1</w:t>
            </w:r>
            <w:r w:rsidRPr="00B059B2">
              <w:t>, N</w:t>
            </w:r>
            <w:r w:rsidRPr="00B059B2">
              <w:rPr>
                <w:vertAlign w:val="subscript"/>
              </w:rPr>
              <w:t>1</w:t>
            </w:r>
            <w:r w:rsidRPr="00B059B2">
              <w:t xml:space="preserve"> so spaľovacím motorom</w:t>
            </w:r>
          </w:p>
        </w:tc>
      </w:tr>
      <w:tr w:rsidR="00902EF1" w:rsidRPr="00B059B2" w:rsidTr="0023402C">
        <w:tc>
          <w:tcPr>
            <w:tcW w:w="1000" w:type="pct"/>
            <w:vMerge w:val="restar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rPr>
                <w:noProof/>
              </w:rPr>
            </w:pPr>
            <w:r w:rsidRPr="00B059B2">
              <w:t>Emisie znečisťujúcich látok</w:t>
            </w:r>
          </w:p>
        </w:tc>
        <w:tc>
          <w:tcPr>
            <w:tcW w:w="1000"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rPr>
            </w:pPr>
            <w:r w:rsidRPr="00B059B2">
              <w:t>Vozidlá kategórií M</w:t>
            </w:r>
            <w:r w:rsidRPr="00B059B2">
              <w:rPr>
                <w:vertAlign w:val="subscript"/>
              </w:rPr>
              <w:t>1</w:t>
            </w:r>
            <w:r w:rsidRPr="00B059B2">
              <w:t xml:space="preserve">, </w:t>
            </w:r>
            <w:r w:rsidRPr="00B059B2">
              <w:rPr>
                <w:b/>
                <w:bCs/>
                <w:i/>
                <w:iCs/>
              </w:rPr>
              <w:t>N</w:t>
            </w:r>
            <w:r w:rsidRPr="00B059B2">
              <w:rPr>
                <w:vertAlign w:val="subscript"/>
              </w:rPr>
              <w:t>1</w:t>
            </w:r>
          </w:p>
        </w:tc>
        <w:tc>
          <w:tcPr>
            <w:tcW w:w="1000"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rPr>
            </w:pPr>
            <w:r w:rsidRPr="00B059B2">
              <w:rPr>
                <w:b/>
                <w:bCs/>
                <w:i/>
                <w:iCs/>
              </w:rPr>
              <w:t>Len pre vozidlá kategórie</w:t>
            </w:r>
            <w:r w:rsidRPr="00B059B2">
              <w:t> N</w:t>
            </w:r>
            <w:r w:rsidRPr="00B059B2">
              <w:rPr>
                <w:vertAlign w:val="subscript"/>
              </w:rPr>
              <w:t>1</w:t>
            </w:r>
            <w:r w:rsidRPr="00B059B2">
              <w:t xml:space="preserve"> </w:t>
            </w:r>
            <w:r w:rsidRPr="00B059B2">
              <w:rPr>
                <w:b/>
                <w:bCs/>
                <w:i/>
                <w:iCs/>
              </w:rPr>
              <w:t>s pomerom výkonu k hmotnosti</w:t>
            </w:r>
            <w:r w:rsidRPr="00B059B2">
              <w:rPr>
                <w:b/>
                <w:bCs/>
                <w:i/>
                <w:iCs/>
                <w:vertAlign w:val="superscript"/>
              </w:rPr>
              <w:t>1</w:t>
            </w:r>
            <w:r w:rsidRPr="00B059B2">
              <w:rPr>
                <w:b/>
                <w:bCs/>
                <w:i/>
                <w:iCs/>
              </w:rPr>
              <w:t xml:space="preserve"> nižším ako 35 kW/t</w:t>
            </w:r>
          </w:p>
        </w:tc>
        <w:tc>
          <w:tcPr>
            <w:tcW w:w="1000"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noProof/>
              </w:rPr>
            </w:pPr>
            <w:r w:rsidRPr="00B059B2">
              <w:t>Rozpočet emisií pre všetky cesty kratšie ako 10 km pre vozidlá kategórií M</w:t>
            </w:r>
            <w:r w:rsidRPr="00B059B2">
              <w:rPr>
                <w:vertAlign w:val="subscript"/>
              </w:rPr>
              <w:t>1</w:t>
            </w:r>
            <w:r w:rsidRPr="00B059B2">
              <w:t>, N</w:t>
            </w:r>
            <w:r w:rsidRPr="00B059B2">
              <w:rPr>
                <w:vertAlign w:val="subscript"/>
              </w:rPr>
              <w:t>1</w:t>
            </w:r>
          </w:p>
        </w:tc>
        <w:tc>
          <w:tcPr>
            <w:tcW w:w="1000"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noProof/>
              </w:rPr>
            </w:pPr>
            <w:r w:rsidRPr="00B059B2">
              <w:t>Rozpočet emisií pre všetky cesty kratšie ako 10 km len pre vozidlá kategórie N</w:t>
            </w:r>
            <w:r w:rsidRPr="00B059B2">
              <w:rPr>
                <w:vertAlign w:val="subscript"/>
              </w:rPr>
              <w:t>1</w:t>
            </w:r>
            <w:r w:rsidRPr="00B059B2">
              <w:t xml:space="preserve"> </w:t>
            </w:r>
            <w:r w:rsidRPr="00B059B2">
              <w:rPr>
                <w:b/>
                <w:bCs/>
                <w:i/>
                <w:iCs/>
              </w:rPr>
              <w:t>s pomerom výkonu k hmotnosti nižším ako 35 kW/t</w:t>
            </w:r>
          </w:p>
        </w:tc>
      </w:tr>
      <w:tr w:rsidR="00902EF1" w:rsidRPr="00B059B2" w:rsidTr="0023402C">
        <w:tc>
          <w:tcPr>
            <w:tcW w:w="0" w:type="auto"/>
            <w:vMerge/>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rPr>
                <w:noProof/>
                <w:szCs w:val="22"/>
                <w:lang w:eastAsia="en-US"/>
              </w:rPr>
            </w:pPr>
          </w:p>
        </w:tc>
        <w:tc>
          <w:tcPr>
            <w:tcW w:w="1000"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rPr>
            </w:pPr>
            <w:r w:rsidRPr="00B059B2">
              <w:t xml:space="preserve">na km </w:t>
            </w:r>
          </w:p>
        </w:tc>
        <w:tc>
          <w:tcPr>
            <w:tcW w:w="1000"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rPr>
            </w:pPr>
            <w:r w:rsidRPr="00B059B2">
              <w:t>na km</w:t>
            </w:r>
          </w:p>
        </w:tc>
        <w:tc>
          <w:tcPr>
            <w:tcW w:w="1000"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noProof/>
              </w:rPr>
            </w:pPr>
            <w:r w:rsidRPr="00B059B2">
              <w:t>na cestu</w:t>
            </w:r>
          </w:p>
        </w:tc>
        <w:tc>
          <w:tcPr>
            <w:tcW w:w="1000"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noProof/>
              </w:rPr>
            </w:pPr>
            <w:r w:rsidRPr="00B059B2">
              <w:t>na cestu</w:t>
            </w:r>
          </w:p>
        </w:tc>
      </w:tr>
      <w:tr w:rsidR="00902EF1" w:rsidRPr="00B059B2" w:rsidTr="0023402C">
        <w:tc>
          <w:tcPr>
            <w:tcW w:w="1000"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spacing w:line="276" w:lineRule="auto"/>
              <w:rPr>
                <w:noProof/>
              </w:rPr>
            </w:pPr>
            <w:r w:rsidRPr="00B059B2">
              <w:t>NO</w:t>
            </w:r>
            <w:r w:rsidRPr="00B059B2">
              <w:rPr>
                <w:vertAlign w:val="subscript"/>
              </w:rPr>
              <w:t>x</w:t>
            </w:r>
            <w:r w:rsidRPr="00B059B2">
              <w:t xml:space="preserve"> v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spacing w:line="276" w:lineRule="auto"/>
              <w:jc w:val="center"/>
              <w:rPr>
                <w:noProof/>
              </w:rPr>
            </w:pPr>
            <w:r w:rsidRPr="00B059B2">
              <w:rPr>
                <w:sz w:val="22"/>
              </w:rPr>
              <w:t xml:space="preserve">60 </w:t>
            </w:r>
          </w:p>
        </w:tc>
        <w:tc>
          <w:tcPr>
            <w:tcW w:w="1000"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spacing w:line="276" w:lineRule="auto"/>
              <w:jc w:val="center"/>
              <w:rPr>
                <w:noProof/>
              </w:rPr>
            </w:pPr>
            <w:r w:rsidRPr="00B059B2">
              <w:rPr>
                <w:sz w:val="22"/>
              </w:rPr>
              <w:t>75</w:t>
            </w:r>
          </w:p>
        </w:tc>
        <w:tc>
          <w:tcPr>
            <w:tcW w:w="1000"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rPr>
            </w:pPr>
            <w:r w:rsidRPr="00B059B2">
              <w:rPr>
                <w:sz w:val="22"/>
              </w:rPr>
              <w:t>600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rPr>
            </w:pPr>
            <w:r w:rsidRPr="00B059B2">
              <w:rPr>
                <w:sz w:val="22"/>
              </w:rPr>
              <w:t>750</w:t>
            </w:r>
          </w:p>
        </w:tc>
      </w:tr>
      <w:tr w:rsidR="00902EF1" w:rsidRPr="00B059B2" w:rsidTr="0023402C">
        <w:trPr>
          <w:trHeight w:val="50"/>
        </w:trPr>
        <w:tc>
          <w:tcPr>
            <w:tcW w:w="1000"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spacing w:line="276" w:lineRule="auto"/>
              <w:rPr>
                <w:noProof/>
              </w:rPr>
            </w:pPr>
            <w:r w:rsidRPr="00B059B2">
              <w:t>PM v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spacing w:line="276" w:lineRule="auto"/>
              <w:jc w:val="center"/>
              <w:rPr>
                <w:noProof/>
              </w:rPr>
            </w:pPr>
            <w:r w:rsidRPr="00B059B2">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spacing w:line="276" w:lineRule="auto"/>
              <w:jc w:val="center"/>
              <w:rPr>
                <w:noProof/>
              </w:rPr>
            </w:pPr>
            <w:r w:rsidRPr="00B059B2">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rPr>
            </w:pPr>
            <w:r w:rsidRPr="00B059B2">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rPr>
            </w:pPr>
            <w:r w:rsidRPr="00B059B2">
              <w:rPr>
                <w:sz w:val="22"/>
              </w:rPr>
              <w:t>45</w:t>
            </w:r>
          </w:p>
        </w:tc>
      </w:tr>
      <w:tr w:rsidR="00902EF1" w:rsidRPr="00B059B2" w:rsidTr="0023402C">
        <w:tc>
          <w:tcPr>
            <w:tcW w:w="1000"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spacing w:line="276" w:lineRule="auto"/>
              <w:rPr>
                <w:noProof/>
              </w:rPr>
            </w:pPr>
            <w:r w:rsidRPr="00B059B2">
              <w:t>PN</w:t>
            </w:r>
            <w:r w:rsidRPr="00B059B2">
              <w:rPr>
                <w:vertAlign w:val="subscript"/>
              </w:rPr>
              <w:t xml:space="preserve">10 </w:t>
            </w:r>
            <w:r w:rsidRPr="00B059B2">
              <w:t xml:space="preserve">v # </w:t>
            </w:r>
          </w:p>
        </w:tc>
        <w:tc>
          <w:tcPr>
            <w:tcW w:w="1000"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spacing w:line="276" w:lineRule="auto"/>
              <w:jc w:val="center"/>
              <w:rPr>
                <w:noProof/>
              </w:rPr>
            </w:pPr>
            <w:r w:rsidRPr="00B059B2">
              <w:rPr>
                <w:sz w:val="22"/>
              </w:rPr>
              <w:t>6×10</w:t>
            </w:r>
            <w:r w:rsidRPr="00B059B2">
              <w:rPr>
                <w:sz w:val="22"/>
                <w:vertAlign w:val="superscript"/>
              </w:rPr>
              <w:t>11</w:t>
            </w:r>
          </w:p>
        </w:tc>
        <w:tc>
          <w:tcPr>
            <w:tcW w:w="1000"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spacing w:line="276" w:lineRule="auto"/>
              <w:jc w:val="center"/>
              <w:rPr>
                <w:noProof/>
              </w:rPr>
            </w:pPr>
            <w:r w:rsidRPr="00B059B2">
              <w:rPr>
                <w:sz w:val="22"/>
              </w:rPr>
              <w:t>6×10</w:t>
            </w:r>
            <w:r w:rsidRPr="00B059B2">
              <w:rPr>
                <w:sz w:val="22"/>
                <w:vertAlign w:val="superscript"/>
              </w:rPr>
              <w:t>11</w:t>
            </w:r>
          </w:p>
        </w:tc>
        <w:tc>
          <w:tcPr>
            <w:tcW w:w="1000"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rPr>
            </w:pPr>
            <w:r w:rsidRPr="00B059B2">
              <w:rPr>
                <w:sz w:val="22"/>
              </w:rPr>
              <w:t>6×10</w:t>
            </w:r>
            <w:r w:rsidRPr="00B059B2">
              <w:rPr>
                <w:sz w:val="22"/>
                <w:vertAlign w:val="superscript"/>
              </w:rPr>
              <w:t>12</w:t>
            </w:r>
          </w:p>
        </w:tc>
        <w:tc>
          <w:tcPr>
            <w:tcW w:w="1000"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rPr>
            </w:pPr>
            <w:r w:rsidRPr="00B059B2">
              <w:rPr>
                <w:sz w:val="22"/>
              </w:rPr>
              <w:t>6×10</w:t>
            </w:r>
            <w:r w:rsidRPr="00B059B2">
              <w:rPr>
                <w:sz w:val="22"/>
                <w:vertAlign w:val="superscript"/>
              </w:rPr>
              <w:t>12</w:t>
            </w:r>
          </w:p>
        </w:tc>
      </w:tr>
      <w:tr w:rsidR="00902EF1" w:rsidRPr="00B059B2" w:rsidTr="0023402C">
        <w:tc>
          <w:tcPr>
            <w:tcW w:w="1000"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spacing w:line="276" w:lineRule="auto"/>
              <w:rPr>
                <w:noProof/>
              </w:rPr>
            </w:pPr>
            <w:r w:rsidRPr="00B059B2">
              <w:t>CO v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spacing w:line="276" w:lineRule="auto"/>
              <w:jc w:val="center"/>
              <w:rPr>
                <w:noProof/>
              </w:rPr>
            </w:pPr>
            <w:r w:rsidRPr="00B059B2">
              <w:rPr>
                <w:sz w:val="22"/>
              </w:rPr>
              <w:t>500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spacing w:line="276" w:lineRule="auto"/>
              <w:jc w:val="center"/>
              <w:rPr>
                <w:noProof/>
              </w:rPr>
            </w:pPr>
            <w:r w:rsidRPr="00B059B2">
              <w:rPr>
                <w:sz w:val="22"/>
              </w:rPr>
              <w:t>630</w:t>
            </w:r>
          </w:p>
        </w:tc>
        <w:tc>
          <w:tcPr>
            <w:tcW w:w="1000"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rPr>
            </w:pPr>
            <w:r w:rsidRPr="00B059B2">
              <w:rPr>
                <w:sz w:val="22"/>
              </w:rPr>
              <w:t>5000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rPr>
            </w:pPr>
            <w:r w:rsidRPr="00B059B2">
              <w:rPr>
                <w:sz w:val="22"/>
              </w:rPr>
              <w:t>6300</w:t>
            </w:r>
          </w:p>
        </w:tc>
      </w:tr>
      <w:tr w:rsidR="00902EF1" w:rsidRPr="00B059B2" w:rsidTr="0023402C">
        <w:tc>
          <w:tcPr>
            <w:tcW w:w="1000"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spacing w:line="276" w:lineRule="auto"/>
              <w:rPr>
                <w:noProof/>
              </w:rPr>
            </w:pPr>
            <w:r w:rsidRPr="00B059B2">
              <w:t>THC v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spacing w:line="276" w:lineRule="auto"/>
              <w:jc w:val="center"/>
              <w:rPr>
                <w:noProof/>
              </w:rPr>
            </w:pPr>
            <w:r w:rsidRPr="00B059B2">
              <w:rPr>
                <w:sz w:val="22"/>
              </w:rPr>
              <w:t>100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spacing w:line="276" w:lineRule="auto"/>
              <w:jc w:val="center"/>
              <w:rPr>
                <w:noProof/>
              </w:rPr>
            </w:pPr>
            <w:r w:rsidRPr="00B059B2">
              <w:rPr>
                <w:sz w:val="22"/>
              </w:rPr>
              <w:t>130</w:t>
            </w:r>
          </w:p>
        </w:tc>
        <w:tc>
          <w:tcPr>
            <w:tcW w:w="1000"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rPr>
            </w:pPr>
            <w:r w:rsidRPr="00B059B2">
              <w:rPr>
                <w:sz w:val="22"/>
              </w:rPr>
              <w:t>1000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rPr>
            </w:pPr>
            <w:r w:rsidRPr="00B059B2">
              <w:rPr>
                <w:sz w:val="22"/>
              </w:rPr>
              <w:t>1300</w:t>
            </w:r>
          </w:p>
        </w:tc>
      </w:tr>
      <w:tr w:rsidR="00902EF1" w:rsidRPr="00B059B2" w:rsidTr="0023402C">
        <w:tc>
          <w:tcPr>
            <w:tcW w:w="1000"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spacing w:line="276" w:lineRule="auto"/>
              <w:rPr>
                <w:noProof/>
              </w:rPr>
            </w:pPr>
            <w:r w:rsidRPr="00B059B2">
              <w:lastRenderedPageBreak/>
              <w:t>NMHC v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spacing w:line="276" w:lineRule="auto"/>
              <w:jc w:val="center"/>
              <w:rPr>
                <w:noProof/>
              </w:rPr>
            </w:pPr>
            <w:r w:rsidRPr="00B059B2">
              <w:rPr>
                <w:sz w:val="22"/>
              </w:rPr>
              <w:t>68</w:t>
            </w:r>
          </w:p>
        </w:tc>
        <w:tc>
          <w:tcPr>
            <w:tcW w:w="1000"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spacing w:line="276" w:lineRule="auto"/>
              <w:jc w:val="center"/>
              <w:rPr>
                <w:noProof/>
              </w:rPr>
            </w:pPr>
            <w:r w:rsidRPr="00B059B2">
              <w:rPr>
                <w:sz w:val="22"/>
              </w:rPr>
              <w:t>90</w:t>
            </w:r>
          </w:p>
        </w:tc>
        <w:tc>
          <w:tcPr>
            <w:tcW w:w="1000"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rPr>
            </w:pPr>
            <w:r w:rsidRPr="00B059B2">
              <w:rPr>
                <w:sz w:val="22"/>
              </w:rPr>
              <w:t>680</w:t>
            </w:r>
          </w:p>
        </w:tc>
        <w:tc>
          <w:tcPr>
            <w:tcW w:w="1000"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rPr>
            </w:pPr>
            <w:r w:rsidRPr="00B059B2">
              <w:rPr>
                <w:sz w:val="22"/>
              </w:rPr>
              <w:t>900</w:t>
            </w:r>
          </w:p>
        </w:tc>
      </w:tr>
      <w:tr w:rsidR="00902EF1" w:rsidRPr="00B059B2" w:rsidTr="0023402C">
        <w:tc>
          <w:tcPr>
            <w:tcW w:w="1000"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spacing w:line="276" w:lineRule="auto"/>
              <w:rPr>
                <w:noProof/>
              </w:rPr>
            </w:pPr>
            <w:r w:rsidRPr="00B059B2">
              <w:t>NH</w:t>
            </w:r>
            <w:r w:rsidRPr="00B059B2">
              <w:rPr>
                <w:vertAlign w:val="subscript"/>
              </w:rPr>
              <w:t>3</w:t>
            </w:r>
            <w:r w:rsidRPr="00B059B2">
              <w:t xml:space="preserve"> v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spacing w:line="276" w:lineRule="auto"/>
              <w:jc w:val="center"/>
              <w:rPr>
                <w:noProof/>
              </w:rPr>
            </w:pPr>
            <w:r w:rsidRPr="00B059B2">
              <w:rPr>
                <w:sz w:val="22"/>
              </w:rPr>
              <w:t>20</w:t>
            </w:r>
          </w:p>
        </w:tc>
        <w:tc>
          <w:tcPr>
            <w:tcW w:w="1000"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spacing w:line="276" w:lineRule="auto"/>
              <w:jc w:val="center"/>
              <w:rPr>
                <w:noProof/>
              </w:rPr>
            </w:pPr>
            <w:r w:rsidRPr="00B059B2">
              <w:rPr>
                <w:sz w:val="22"/>
              </w:rPr>
              <w:t>20</w:t>
            </w:r>
          </w:p>
        </w:tc>
        <w:tc>
          <w:tcPr>
            <w:tcW w:w="1000"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rPr>
            </w:pPr>
            <w:r w:rsidRPr="00B059B2">
              <w:rPr>
                <w:sz w:val="22"/>
              </w:rPr>
              <w:t>200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rPr>
            </w:pPr>
            <w:r w:rsidRPr="00B059B2">
              <w:rPr>
                <w:sz w:val="22"/>
              </w:rPr>
              <w:t>200</w:t>
            </w:r>
          </w:p>
        </w:tc>
      </w:tr>
      <w:tr w:rsidR="00902EF1" w:rsidRPr="00B059B2" w:rsidTr="0023402C">
        <w:tc>
          <w:tcPr>
            <w:tcW w:w="4998" w:type="pct"/>
            <w:gridSpan w:val="5"/>
            <w:tcBorders>
              <w:top w:val="single" w:sz="4" w:space="0" w:color="auto"/>
              <w:left w:val="single" w:sz="4" w:space="0" w:color="auto"/>
              <w:bottom w:val="single" w:sz="4" w:space="0" w:color="auto"/>
              <w:right w:val="single" w:sz="4" w:space="0" w:color="auto"/>
            </w:tcBorders>
          </w:tcPr>
          <w:p w:rsidR="00902EF1" w:rsidRPr="00B059B2" w:rsidRDefault="00902EF1" w:rsidP="0023402C">
            <w:pPr>
              <w:pStyle w:val="FootnoteText"/>
              <w:rPr>
                <w:b/>
                <w:i/>
                <w:noProof/>
                <w:lang w:val="sk-SK"/>
              </w:rPr>
            </w:pPr>
            <w:r w:rsidRPr="00B059B2">
              <w:rPr>
                <w:b/>
                <w:i/>
                <w:sz w:val="18"/>
                <w:vertAlign w:val="superscript"/>
                <w:lang w:val="sk-SK"/>
              </w:rPr>
              <w:t xml:space="preserve">1 </w:t>
            </w:r>
            <w:r w:rsidRPr="00B059B2">
              <w:rPr>
                <w:b/>
                <w:i/>
                <w:sz w:val="18"/>
                <w:lang w:val="sk-SK"/>
              </w:rPr>
              <w:t>Merané v súlade s odsekom 5.3.2 predpisu EHK OSN č. 85 v prípade vozidiel s výlučne spaľovacím motorom a vozidiel na výlučne elektrický pohon alebo vo všetkých ostatných prípadoch merané v súlade s jedným so skúšobných postupov stanovených v odseku 6 globálneho technického predpisu OSN č. 21.</w:t>
            </w:r>
          </w:p>
        </w:tc>
      </w:tr>
    </w:tbl>
    <w:p w:rsidR="00902EF1" w:rsidRPr="00B059B2" w:rsidRDefault="00902EF1" w:rsidP="00902EF1">
      <w:pPr>
        <w:pStyle w:val="AmOrLang"/>
      </w:pPr>
    </w:p>
    <w:tbl>
      <w:tblPr>
        <w:tblStyle w:val="TableGrid"/>
        <w:tblW w:w="5000" w:type="pct"/>
        <w:tblLook w:val="04A0" w:firstRow="1" w:lastRow="0" w:firstColumn="1" w:lastColumn="0" w:noHBand="0" w:noVBand="1"/>
      </w:tblPr>
      <w:tblGrid>
        <w:gridCol w:w="1291"/>
        <w:gridCol w:w="1168"/>
        <w:gridCol w:w="859"/>
        <w:gridCol w:w="859"/>
        <w:gridCol w:w="859"/>
        <w:gridCol w:w="1182"/>
        <w:gridCol w:w="1076"/>
        <w:gridCol w:w="907"/>
        <w:gridCol w:w="859"/>
      </w:tblGrid>
      <w:tr w:rsidR="00902EF1" w:rsidRPr="00B059B2" w:rsidTr="0023402C">
        <w:tc>
          <w:tcPr>
            <w:tcW w:w="623"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jc w:val="center"/>
              <w:rPr>
                <w:i/>
                <w:noProof/>
              </w:rPr>
            </w:pPr>
          </w:p>
        </w:tc>
        <w:tc>
          <w:tcPr>
            <w:tcW w:w="538"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jc w:val="center"/>
              <w:rPr>
                <w:i/>
                <w:noProof/>
              </w:rPr>
            </w:pPr>
          </w:p>
        </w:tc>
        <w:tc>
          <w:tcPr>
            <w:tcW w:w="503"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jc w:val="center"/>
              <w:rPr>
                <w:i/>
                <w:noProof/>
              </w:rPr>
            </w:pPr>
          </w:p>
        </w:tc>
        <w:tc>
          <w:tcPr>
            <w:tcW w:w="2765" w:type="pct"/>
            <w:gridSpan w:val="5"/>
            <w:tcBorders>
              <w:top w:val="single" w:sz="4" w:space="0" w:color="auto"/>
              <w:left w:val="single" w:sz="4" w:space="0" w:color="auto"/>
              <w:bottom w:val="single" w:sz="4" w:space="0" w:color="auto"/>
              <w:right w:val="single" w:sz="4" w:space="0" w:color="auto"/>
            </w:tcBorders>
          </w:tcPr>
          <w:p w:rsidR="00902EF1" w:rsidRPr="00B059B2" w:rsidRDefault="00902EF1" w:rsidP="0023402C">
            <w:pPr>
              <w:jc w:val="center"/>
              <w:rPr>
                <w:i/>
                <w:noProof/>
              </w:rPr>
            </w:pPr>
            <w:r w:rsidRPr="00B059B2">
              <w:rPr>
                <w:i/>
              </w:rPr>
              <w:t>Pozmeňujúci návrh</w:t>
            </w:r>
          </w:p>
        </w:tc>
        <w:tc>
          <w:tcPr>
            <w:tcW w:w="56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jc w:val="center"/>
              <w:rPr>
                <w:i/>
                <w:noProof/>
              </w:rPr>
            </w:pPr>
          </w:p>
        </w:tc>
      </w:tr>
      <w:tr w:rsidR="00902EF1" w:rsidRPr="00B059B2" w:rsidTr="0023402C">
        <w:tc>
          <w:tcPr>
            <w:tcW w:w="4998" w:type="pct"/>
            <w:gridSpan w:val="9"/>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Tabuľka 1: Limity výfukových emisií Euro 7 pre vozidlá kategórií M</w:t>
            </w:r>
            <w:r w:rsidRPr="00B059B2">
              <w:rPr>
                <w:vertAlign w:val="subscript"/>
              </w:rPr>
              <w:t>1</w:t>
            </w:r>
            <w:r w:rsidRPr="00B059B2">
              <w:t>, N</w:t>
            </w:r>
            <w:r w:rsidRPr="00B059B2">
              <w:rPr>
                <w:vertAlign w:val="subscript"/>
              </w:rPr>
              <w:t>1</w:t>
            </w:r>
            <w:r w:rsidRPr="00B059B2">
              <w:t xml:space="preserve"> so spaľovacím motorom</w:t>
            </w:r>
          </w:p>
        </w:tc>
      </w:tr>
      <w:tr w:rsidR="00902EF1" w:rsidRPr="00B059B2" w:rsidTr="0023402C">
        <w:tc>
          <w:tcPr>
            <w:tcW w:w="623"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c>
          <w:tcPr>
            <w:tcW w:w="538"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rPr>
            </w:pPr>
            <w:r w:rsidRPr="00B059B2">
              <w:t>Vozidlá kategórie M</w:t>
            </w:r>
            <w:r w:rsidRPr="00B059B2">
              <w:rPr>
                <w:vertAlign w:val="subscript"/>
              </w:rPr>
              <w:t>1</w:t>
            </w:r>
          </w:p>
        </w:tc>
        <w:tc>
          <w:tcPr>
            <w:tcW w:w="503"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jc w:val="center"/>
              <w:rPr>
                <w:b/>
                <w:bCs/>
                <w:i/>
                <w:iCs/>
                <w:sz w:val="22"/>
                <w:szCs w:val="22"/>
              </w:rPr>
            </w:pPr>
            <w:r w:rsidRPr="00B059B2">
              <w:rPr>
                <w:b/>
                <w:i/>
                <w:sz w:val="22"/>
              </w:rPr>
              <w:t>N</w:t>
            </w:r>
            <w:r w:rsidRPr="00B059B2">
              <w:rPr>
                <w:b/>
                <w:i/>
                <w:sz w:val="22"/>
                <w:vertAlign w:val="subscript"/>
              </w:rPr>
              <w:t>1</w:t>
            </w:r>
            <w:r w:rsidRPr="00B059B2">
              <w:rPr>
                <w:b/>
                <w:i/>
                <w:sz w:val="22"/>
              </w:rPr>
              <w:t xml:space="preserve"> (trieda I)</w:t>
            </w:r>
          </w:p>
        </w:tc>
        <w:tc>
          <w:tcPr>
            <w:tcW w:w="503"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rPr>
            </w:pPr>
            <w:r w:rsidRPr="00B059B2">
              <w:t>N</w:t>
            </w:r>
            <w:r w:rsidRPr="00B059B2">
              <w:rPr>
                <w:vertAlign w:val="subscript"/>
              </w:rPr>
              <w:t>1</w:t>
            </w:r>
            <w:r w:rsidRPr="00B059B2">
              <w:t xml:space="preserve"> </w:t>
            </w:r>
            <w:r w:rsidRPr="00B059B2">
              <w:rPr>
                <w:b/>
                <w:bCs/>
                <w:i/>
                <w:iCs/>
              </w:rPr>
              <w:t>(trieda II)</w:t>
            </w:r>
          </w:p>
        </w:tc>
        <w:tc>
          <w:tcPr>
            <w:tcW w:w="503"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jc w:val="center"/>
              <w:rPr>
                <w:noProof/>
              </w:rPr>
            </w:pPr>
            <w:r w:rsidRPr="00B059B2">
              <w:rPr>
                <w:b/>
                <w:i/>
                <w:sz w:val="22"/>
              </w:rPr>
              <w:t>N</w:t>
            </w:r>
            <w:r w:rsidRPr="00B059B2">
              <w:rPr>
                <w:b/>
                <w:i/>
                <w:sz w:val="22"/>
                <w:vertAlign w:val="subscript"/>
              </w:rPr>
              <w:t>1</w:t>
            </w:r>
            <w:r w:rsidRPr="00B059B2">
              <w:rPr>
                <w:b/>
                <w:i/>
                <w:sz w:val="22"/>
              </w:rPr>
              <w:t xml:space="preserve"> (trieda III)</w:t>
            </w:r>
          </w:p>
        </w:tc>
        <w:tc>
          <w:tcPr>
            <w:tcW w:w="595"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rPr>
            </w:pPr>
            <w:r w:rsidRPr="00B059B2">
              <w:t>Rozpočet emisií pre všetky cesty kratšie ako 10 km pre vozidlá kategórií M</w:t>
            </w:r>
            <w:r w:rsidRPr="00B059B2">
              <w:rPr>
                <w:vertAlign w:val="subscript"/>
              </w:rPr>
              <w:t>1</w:t>
            </w:r>
            <w:r w:rsidRPr="00B059B2">
              <w:t>, N</w:t>
            </w:r>
            <w:r w:rsidRPr="00B059B2">
              <w:rPr>
                <w:vertAlign w:val="subscript"/>
              </w:rPr>
              <w:t>1</w:t>
            </w:r>
          </w:p>
        </w:tc>
        <w:tc>
          <w:tcPr>
            <w:tcW w:w="569"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jc w:val="center"/>
              <w:rPr>
                <w:b/>
                <w:bCs/>
                <w:i/>
                <w:iCs/>
                <w:sz w:val="22"/>
                <w:szCs w:val="22"/>
              </w:rPr>
            </w:pPr>
            <w:r w:rsidRPr="00B059B2">
              <w:rPr>
                <w:b/>
                <w:i/>
                <w:sz w:val="22"/>
              </w:rPr>
              <w:t>Rozpočet emisií pre všetky cesty kratšie ako 10 km pre vozidlá kategórie N</w:t>
            </w:r>
            <w:r w:rsidRPr="00B059B2">
              <w:rPr>
                <w:b/>
                <w:i/>
                <w:sz w:val="22"/>
                <w:vertAlign w:val="subscript"/>
              </w:rPr>
              <w:t>1</w:t>
            </w:r>
            <w:r w:rsidRPr="00B059B2">
              <w:rPr>
                <w:b/>
                <w:i/>
                <w:sz w:val="22"/>
              </w:rPr>
              <w:t xml:space="preserve"> (trieda I)</w:t>
            </w:r>
          </w:p>
        </w:tc>
        <w:tc>
          <w:tcPr>
            <w:tcW w:w="595"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noProof/>
              </w:rPr>
            </w:pPr>
            <w:r w:rsidRPr="00B059B2">
              <w:t>Rozpočet emisií pre všetky cesty kratšie ako 10 km len pre vozidlá kategórie N</w:t>
            </w:r>
            <w:r w:rsidRPr="00B059B2">
              <w:rPr>
                <w:vertAlign w:val="subscript"/>
              </w:rPr>
              <w:t>1</w:t>
            </w:r>
            <w:r w:rsidRPr="00B059B2">
              <w:t xml:space="preserve"> </w:t>
            </w:r>
            <w:r w:rsidRPr="00B059B2">
              <w:rPr>
                <w:b/>
                <w:bCs/>
                <w:i/>
                <w:iCs/>
              </w:rPr>
              <w:t>(trieda II)</w:t>
            </w:r>
          </w:p>
        </w:tc>
        <w:tc>
          <w:tcPr>
            <w:tcW w:w="569"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jc w:val="center"/>
              <w:rPr>
                <w:b/>
                <w:bCs/>
                <w:i/>
                <w:iCs/>
                <w:sz w:val="22"/>
                <w:szCs w:val="22"/>
              </w:rPr>
            </w:pPr>
            <w:r w:rsidRPr="00B059B2">
              <w:rPr>
                <w:b/>
                <w:i/>
                <w:sz w:val="22"/>
              </w:rPr>
              <w:t>Rozpočet emisií pre všetky cesty kratšie ako 10 km pre vozidlá kategórie N</w:t>
            </w:r>
            <w:r w:rsidRPr="00B059B2">
              <w:rPr>
                <w:b/>
                <w:i/>
                <w:sz w:val="22"/>
                <w:vertAlign w:val="subscript"/>
              </w:rPr>
              <w:t>1</w:t>
            </w:r>
            <w:r w:rsidRPr="00B059B2">
              <w:rPr>
                <w:b/>
                <w:i/>
                <w:sz w:val="22"/>
              </w:rPr>
              <w:t xml:space="preserve"> (trieda III)</w:t>
            </w:r>
          </w:p>
        </w:tc>
      </w:tr>
      <w:tr w:rsidR="00902EF1" w:rsidRPr="00B059B2" w:rsidTr="0023402C">
        <w:tc>
          <w:tcPr>
            <w:tcW w:w="623"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rPr>
                <w:b/>
                <w:i/>
                <w:sz w:val="22"/>
              </w:rPr>
              <w:t>hmotnosť vozidla v pohotovostnom stave (MRO) v kg</w:t>
            </w:r>
          </w:p>
        </w:tc>
        <w:tc>
          <w:tcPr>
            <w:tcW w:w="538"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jc w:val="center"/>
              <w:rPr>
                <w:b/>
                <w:i/>
                <w:noProof/>
              </w:rPr>
            </w:pPr>
            <w:r w:rsidRPr="00B059B2">
              <w:rPr>
                <w:b/>
                <w:i/>
              </w:rPr>
              <w:t>-</w:t>
            </w:r>
          </w:p>
        </w:tc>
        <w:tc>
          <w:tcPr>
            <w:tcW w:w="503"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jc w:val="center"/>
              <w:rPr>
                <w:b/>
                <w:i/>
                <w:sz w:val="22"/>
                <w:szCs w:val="22"/>
              </w:rPr>
            </w:pPr>
            <w:r w:rsidRPr="00B059B2">
              <w:rPr>
                <w:b/>
                <w:i/>
                <w:sz w:val="22"/>
              </w:rPr>
              <w:t>Pre vozidlá kategórie N</w:t>
            </w:r>
            <w:r w:rsidRPr="00B059B2">
              <w:rPr>
                <w:b/>
                <w:i/>
                <w:sz w:val="22"/>
                <w:vertAlign w:val="subscript"/>
              </w:rPr>
              <w:t>1</w:t>
            </w:r>
            <w:r w:rsidRPr="00B059B2">
              <w:rPr>
                <w:b/>
                <w:i/>
                <w:sz w:val="22"/>
              </w:rPr>
              <w:t xml:space="preserve"> s MRO ≤ 1280</w:t>
            </w:r>
          </w:p>
        </w:tc>
        <w:tc>
          <w:tcPr>
            <w:tcW w:w="503"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jc w:val="center"/>
              <w:rPr>
                <w:b/>
                <w:i/>
                <w:sz w:val="22"/>
                <w:szCs w:val="22"/>
              </w:rPr>
            </w:pPr>
            <w:r w:rsidRPr="00B059B2">
              <w:rPr>
                <w:b/>
                <w:i/>
                <w:sz w:val="22"/>
              </w:rPr>
              <w:t>Pre vozidlá kategórie N</w:t>
            </w:r>
            <w:r w:rsidRPr="00B059B2">
              <w:rPr>
                <w:b/>
                <w:i/>
                <w:sz w:val="22"/>
                <w:vertAlign w:val="subscript"/>
              </w:rPr>
              <w:t>1</w:t>
            </w:r>
            <w:r w:rsidRPr="00B059B2">
              <w:rPr>
                <w:b/>
                <w:i/>
                <w:sz w:val="22"/>
              </w:rPr>
              <w:t xml:space="preserve"> s 1280 &lt; MRO ≤ 1735</w:t>
            </w:r>
          </w:p>
        </w:tc>
        <w:tc>
          <w:tcPr>
            <w:tcW w:w="503"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jc w:val="center"/>
              <w:rPr>
                <w:b/>
                <w:i/>
                <w:sz w:val="22"/>
                <w:szCs w:val="22"/>
              </w:rPr>
            </w:pPr>
            <w:r w:rsidRPr="00B059B2">
              <w:rPr>
                <w:b/>
                <w:i/>
                <w:sz w:val="22"/>
              </w:rPr>
              <w:t>Pre vozidlá kategórie N</w:t>
            </w:r>
            <w:r w:rsidRPr="00B059B2">
              <w:rPr>
                <w:b/>
                <w:i/>
                <w:sz w:val="22"/>
                <w:vertAlign w:val="subscript"/>
              </w:rPr>
              <w:t>1</w:t>
            </w:r>
            <w:r w:rsidRPr="00B059B2">
              <w:rPr>
                <w:b/>
                <w:i/>
                <w:sz w:val="22"/>
              </w:rPr>
              <w:t xml:space="preserve"> so 1735 &lt; MRO</w:t>
            </w:r>
          </w:p>
        </w:tc>
        <w:tc>
          <w:tcPr>
            <w:tcW w:w="595"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jc w:val="center"/>
              <w:rPr>
                <w:b/>
                <w:i/>
                <w:noProof/>
              </w:rPr>
            </w:pPr>
            <w:r w:rsidRPr="00B059B2">
              <w:rPr>
                <w:b/>
                <w:i/>
              </w:rPr>
              <w:t>-</w:t>
            </w:r>
          </w:p>
        </w:tc>
        <w:tc>
          <w:tcPr>
            <w:tcW w:w="569"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jc w:val="center"/>
              <w:rPr>
                <w:b/>
                <w:i/>
                <w:sz w:val="22"/>
                <w:szCs w:val="22"/>
              </w:rPr>
            </w:pPr>
            <w:r w:rsidRPr="00B059B2">
              <w:rPr>
                <w:b/>
                <w:i/>
                <w:sz w:val="22"/>
              </w:rPr>
              <w:t>Pre vozidlá kategórie N</w:t>
            </w:r>
            <w:r w:rsidRPr="00B059B2">
              <w:rPr>
                <w:b/>
                <w:i/>
                <w:sz w:val="22"/>
                <w:vertAlign w:val="subscript"/>
              </w:rPr>
              <w:t>1</w:t>
            </w:r>
            <w:r w:rsidRPr="00B059B2">
              <w:rPr>
                <w:b/>
                <w:i/>
                <w:sz w:val="22"/>
              </w:rPr>
              <w:t xml:space="preserve"> s MRO ≤ 1280</w:t>
            </w:r>
          </w:p>
        </w:tc>
        <w:tc>
          <w:tcPr>
            <w:tcW w:w="595"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jc w:val="center"/>
              <w:rPr>
                <w:b/>
                <w:i/>
                <w:noProof/>
              </w:rPr>
            </w:pPr>
            <w:r w:rsidRPr="00B059B2">
              <w:rPr>
                <w:b/>
                <w:i/>
                <w:sz w:val="22"/>
              </w:rPr>
              <w:t>Pre vozidlá kategórie N</w:t>
            </w:r>
            <w:r w:rsidRPr="00B059B2">
              <w:rPr>
                <w:b/>
                <w:i/>
                <w:sz w:val="22"/>
                <w:vertAlign w:val="subscript"/>
              </w:rPr>
              <w:t>1</w:t>
            </w:r>
            <w:r w:rsidRPr="00B059B2">
              <w:rPr>
                <w:b/>
                <w:i/>
                <w:sz w:val="22"/>
              </w:rPr>
              <w:t xml:space="preserve"> s 1280 &lt; MRO ≤ 1735</w:t>
            </w:r>
          </w:p>
        </w:tc>
        <w:tc>
          <w:tcPr>
            <w:tcW w:w="569"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jc w:val="center"/>
              <w:rPr>
                <w:b/>
                <w:i/>
                <w:sz w:val="22"/>
                <w:szCs w:val="22"/>
              </w:rPr>
            </w:pPr>
            <w:r w:rsidRPr="00B059B2">
              <w:rPr>
                <w:b/>
                <w:i/>
                <w:sz w:val="22"/>
              </w:rPr>
              <w:t>Pre vozidlá kategórie N</w:t>
            </w:r>
            <w:r w:rsidRPr="00B059B2">
              <w:rPr>
                <w:b/>
                <w:i/>
                <w:sz w:val="22"/>
                <w:vertAlign w:val="subscript"/>
              </w:rPr>
              <w:t>1</w:t>
            </w:r>
            <w:r w:rsidRPr="00B059B2">
              <w:rPr>
                <w:b/>
                <w:i/>
                <w:sz w:val="22"/>
              </w:rPr>
              <w:t xml:space="preserve"> so 1735 &lt; MRO</w:t>
            </w:r>
          </w:p>
        </w:tc>
      </w:tr>
      <w:tr w:rsidR="00902EF1" w:rsidRPr="00B059B2" w:rsidTr="0023402C">
        <w:tc>
          <w:tcPr>
            <w:tcW w:w="623"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rPr>
                <w:noProof/>
              </w:rPr>
            </w:pPr>
            <w:r w:rsidRPr="00B059B2">
              <w:t>Emisie znečisťujúcich látok</w:t>
            </w:r>
          </w:p>
        </w:tc>
        <w:tc>
          <w:tcPr>
            <w:tcW w:w="538"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rPr>
            </w:pPr>
            <w:r w:rsidRPr="00B059B2">
              <w:t xml:space="preserve">na km </w:t>
            </w:r>
          </w:p>
        </w:tc>
        <w:tc>
          <w:tcPr>
            <w:tcW w:w="503"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jc w:val="center"/>
              <w:rPr>
                <w:b/>
                <w:i/>
                <w:sz w:val="22"/>
                <w:szCs w:val="22"/>
              </w:rPr>
            </w:pPr>
            <w:r w:rsidRPr="00B059B2">
              <w:rPr>
                <w:b/>
                <w:i/>
                <w:sz w:val="22"/>
              </w:rPr>
              <w:t>na km</w:t>
            </w:r>
          </w:p>
        </w:tc>
        <w:tc>
          <w:tcPr>
            <w:tcW w:w="503"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rPr>
            </w:pPr>
            <w:r w:rsidRPr="00B059B2">
              <w:t>na km</w:t>
            </w:r>
          </w:p>
        </w:tc>
        <w:tc>
          <w:tcPr>
            <w:tcW w:w="503"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jc w:val="center"/>
              <w:rPr>
                <w:b/>
                <w:i/>
                <w:sz w:val="22"/>
                <w:szCs w:val="22"/>
              </w:rPr>
            </w:pPr>
            <w:r w:rsidRPr="00B059B2">
              <w:rPr>
                <w:b/>
                <w:i/>
                <w:sz w:val="22"/>
              </w:rPr>
              <w:t>na km</w:t>
            </w:r>
          </w:p>
        </w:tc>
        <w:tc>
          <w:tcPr>
            <w:tcW w:w="595"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rPr>
            </w:pPr>
            <w:r w:rsidRPr="00B059B2">
              <w:rPr>
                <w:sz w:val="22"/>
              </w:rPr>
              <w:t>na cestu</w:t>
            </w:r>
          </w:p>
        </w:tc>
        <w:tc>
          <w:tcPr>
            <w:tcW w:w="569"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jc w:val="center"/>
              <w:rPr>
                <w:sz w:val="22"/>
                <w:szCs w:val="22"/>
              </w:rPr>
            </w:pPr>
            <w:r w:rsidRPr="00B059B2">
              <w:rPr>
                <w:sz w:val="22"/>
              </w:rPr>
              <w:t>na cestu</w:t>
            </w:r>
          </w:p>
        </w:tc>
        <w:tc>
          <w:tcPr>
            <w:tcW w:w="595"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rPr>
            </w:pPr>
            <w:r w:rsidRPr="00B059B2">
              <w:t>na cestu</w:t>
            </w:r>
          </w:p>
        </w:tc>
        <w:tc>
          <w:tcPr>
            <w:tcW w:w="569"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jc w:val="center"/>
              <w:rPr>
                <w:sz w:val="22"/>
                <w:szCs w:val="22"/>
              </w:rPr>
            </w:pPr>
            <w:r w:rsidRPr="00B059B2">
              <w:rPr>
                <w:sz w:val="22"/>
              </w:rPr>
              <w:t>na cestu</w:t>
            </w:r>
          </w:p>
        </w:tc>
      </w:tr>
      <w:tr w:rsidR="00902EF1" w:rsidRPr="00B059B2" w:rsidTr="0023402C">
        <w:tc>
          <w:tcPr>
            <w:tcW w:w="623"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spacing w:line="276" w:lineRule="auto"/>
              <w:rPr>
                <w:noProof/>
              </w:rPr>
            </w:pPr>
            <w:r w:rsidRPr="00B059B2">
              <w:t>NO</w:t>
            </w:r>
            <w:r w:rsidRPr="00B059B2">
              <w:rPr>
                <w:vertAlign w:val="subscript"/>
              </w:rPr>
              <w:t>x</w:t>
            </w:r>
            <w:r w:rsidRPr="00B059B2">
              <w:t xml:space="preserve"> v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spacing w:line="276" w:lineRule="auto"/>
              <w:jc w:val="center"/>
              <w:rPr>
                <w:noProof/>
              </w:rPr>
            </w:pPr>
            <w:r w:rsidRPr="00B059B2">
              <w:rPr>
                <w:sz w:val="22"/>
              </w:rPr>
              <w:t xml:space="preserve">60 </w:t>
            </w:r>
          </w:p>
        </w:tc>
        <w:tc>
          <w:tcPr>
            <w:tcW w:w="503"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jc w:val="center"/>
              <w:rPr>
                <w:b/>
                <w:bCs/>
                <w:i/>
                <w:iCs/>
                <w:sz w:val="22"/>
                <w:szCs w:val="22"/>
              </w:rPr>
            </w:pPr>
            <w:r w:rsidRPr="00B059B2">
              <w:rPr>
                <w:b/>
                <w:i/>
                <w:sz w:val="22"/>
              </w:rPr>
              <w:t>60</w:t>
            </w:r>
          </w:p>
        </w:tc>
        <w:tc>
          <w:tcPr>
            <w:tcW w:w="503"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spacing w:line="276" w:lineRule="auto"/>
              <w:jc w:val="center"/>
              <w:rPr>
                <w:noProof/>
              </w:rPr>
            </w:pPr>
            <w:r w:rsidRPr="00B059B2">
              <w:rPr>
                <w:sz w:val="22"/>
              </w:rPr>
              <w:t>75</w:t>
            </w:r>
          </w:p>
        </w:tc>
        <w:tc>
          <w:tcPr>
            <w:tcW w:w="503"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jc w:val="center"/>
              <w:rPr>
                <w:b/>
                <w:bCs/>
                <w:i/>
                <w:iCs/>
                <w:sz w:val="22"/>
                <w:szCs w:val="22"/>
              </w:rPr>
            </w:pPr>
            <w:r w:rsidRPr="00B059B2">
              <w:rPr>
                <w:b/>
                <w:i/>
                <w:sz w:val="22"/>
              </w:rPr>
              <w:t>82</w:t>
            </w:r>
          </w:p>
        </w:tc>
        <w:tc>
          <w:tcPr>
            <w:tcW w:w="595"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rPr>
            </w:pPr>
            <w:r w:rsidRPr="00B059B2">
              <w:rPr>
                <w:sz w:val="22"/>
              </w:rPr>
              <w:t>600</w:t>
            </w:r>
          </w:p>
        </w:tc>
        <w:tc>
          <w:tcPr>
            <w:tcW w:w="569"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jc w:val="center"/>
              <w:rPr>
                <w:b/>
                <w:bCs/>
                <w:i/>
                <w:iCs/>
                <w:sz w:val="22"/>
                <w:szCs w:val="22"/>
              </w:rPr>
            </w:pPr>
            <w:r w:rsidRPr="00B059B2">
              <w:rPr>
                <w:b/>
                <w:i/>
                <w:sz w:val="22"/>
              </w:rPr>
              <w:t>600</w:t>
            </w:r>
          </w:p>
        </w:tc>
        <w:tc>
          <w:tcPr>
            <w:tcW w:w="595"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rPr>
            </w:pPr>
            <w:r w:rsidRPr="00B059B2">
              <w:rPr>
                <w:sz w:val="22"/>
              </w:rPr>
              <w:t>750</w:t>
            </w:r>
          </w:p>
        </w:tc>
        <w:tc>
          <w:tcPr>
            <w:tcW w:w="569"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jc w:val="center"/>
              <w:rPr>
                <w:b/>
                <w:bCs/>
                <w:i/>
                <w:iCs/>
                <w:sz w:val="22"/>
                <w:szCs w:val="22"/>
              </w:rPr>
            </w:pPr>
            <w:r w:rsidRPr="00B059B2">
              <w:rPr>
                <w:b/>
                <w:i/>
                <w:sz w:val="22"/>
              </w:rPr>
              <w:t>820</w:t>
            </w:r>
          </w:p>
        </w:tc>
      </w:tr>
      <w:tr w:rsidR="00902EF1" w:rsidRPr="00B059B2" w:rsidTr="0023402C">
        <w:trPr>
          <w:trHeight w:val="50"/>
        </w:trPr>
        <w:tc>
          <w:tcPr>
            <w:tcW w:w="623"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spacing w:line="276" w:lineRule="auto"/>
              <w:rPr>
                <w:noProof/>
              </w:rPr>
            </w:pPr>
            <w:r w:rsidRPr="00B059B2">
              <w:t>PM v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spacing w:line="276" w:lineRule="auto"/>
              <w:jc w:val="center"/>
              <w:rPr>
                <w:noProof/>
              </w:rPr>
            </w:pPr>
            <w:r w:rsidRPr="00B059B2">
              <w:rPr>
                <w:sz w:val="22"/>
              </w:rPr>
              <w:t>4.5</w:t>
            </w:r>
          </w:p>
        </w:tc>
        <w:tc>
          <w:tcPr>
            <w:tcW w:w="503"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jc w:val="center"/>
              <w:rPr>
                <w:b/>
                <w:bCs/>
                <w:i/>
                <w:iCs/>
                <w:sz w:val="22"/>
                <w:szCs w:val="22"/>
              </w:rPr>
            </w:pPr>
            <w:r w:rsidRPr="00B059B2">
              <w:rPr>
                <w:b/>
                <w:i/>
                <w:sz w:val="22"/>
              </w:rPr>
              <w:t>4.5</w:t>
            </w:r>
          </w:p>
        </w:tc>
        <w:tc>
          <w:tcPr>
            <w:tcW w:w="503"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spacing w:line="276" w:lineRule="auto"/>
              <w:jc w:val="center"/>
              <w:rPr>
                <w:noProof/>
              </w:rPr>
            </w:pPr>
            <w:r w:rsidRPr="00B059B2">
              <w:rPr>
                <w:sz w:val="22"/>
              </w:rPr>
              <w:t>4.5</w:t>
            </w:r>
          </w:p>
        </w:tc>
        <w:tc>
          <w:tcPr>
            <w:tcW w:w="503"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jc w:val="center"/>
              <w:rPr>
                <w:b/>
                <w:bCs/>
                <w:i/>
                <w:iCs/>
                <w:sz w:val="22"/>
                <w:szCs w:val="22"/>
              </w:rPr>
            </w:pPr>
            <w:r w:rsidRPr="00B059B2">
              <w:rPr>
                <w:b/>
                <w:i/>
                <w:sz w:val="22"/>
              </w:rPr>
              <w:t>4.5</w:t>
            </w:r>
          </w:p>
        </w:tc>
        <w:tc>
          <w:tcPr>
            <w:tcW w:w="595"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rPr>
            </w:pPr>
            <w:r w:rsidRPr="00B059B2">
              <w:rPr>
                <w:sz w:val="22"/>
              </w:rPr>
              <w:t>45</w:t>
            </w:r>
          </w:p>
        </w:tc>
        <w:tc>
          <w:tcPr>
            <w:tcW w:w="569"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jc w:val="center"/>
              <w:rPr>
                <w:b/>
                <w:bCs/>
                <w:i/>
                <w:iCs/>
                <w:sz w:val="22"/>
                <w:szCs w:val="22"/>
              </w:rPr>
            </w:pPr>
            <w:r w:rsidRPr="00B059B2">
              <w:rPr>
                <w:b/>
                <w:i/>
                <w:sz w:val="22"/>
              </w:rPr>
              <w:t>45</w:t>
            </w:r>
          </w:p>
        </w:tc>
        <w:tc>
          <w:tcPr>
            <w:tcW w:w="595"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rPr>
            </w:pPr>
            <w:r w:rsidRPr="00B059B2">
              <w:rPr>
                <w:sz w:val="22"/>
              </w:rPr>
              <w:t>45</w:t>
            </w:r>
          </w:p>
        </w:tc>
        <w:tc>
          <w:tcPr>
            <w:tcW w:w="569"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jc w:val="center"/>
              <w:rPr>
                <w:b/>
                <w:bCs/>
                <w:i/>
                <w:iCs/>
                <w:sz w:val="22"/>
                <w:szCs w:val="22"/>
              </w:rPr>
            </w:pPr>
            <w:r w:rsidRPr="00B059B2">
              <w:rPr>
                <w:b/>
                <w:i/>
                <w:sz w:val="22"/>
              </w:rPr>
              <w:t>45</w:t>
            </w:r>
          </w:p>
        </w:tc>
      </w:tr>
      <w:tr w:rsidR="00902EF1" w:rsidRPr="00B059B2" w:rsidTr="0023402C">
        <w:tc>
          <w:tcPr>
            <w:tcW w:w="623"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spacing w:line="276" w:lineRule="auto"/>
              <w:rPr>
                <w:noProof/>
              </w:rPr>
            </w:pPr>
            <w:r w:rsidRPr="00B059B2">
              <w:t>PN</w:t>
            </w:r>
            <w:r w:rsidRPr="00B059B2">
              <w:rPr>
                <w:vertAlign w:val="subscript"/>
              </w:rPr>
              <w:t xml:space="preserve">10 </w:t>
            </w:r>
            <w:r w:rsidRPr="00B059B2">
              <w:t xml:space="preserve">v # </w:t>
            </w:r>
          </w:p>
        </w:tc>
        <w:tc>
          <w:tcPr>
            <w:tcW w:w="538"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spacing w:line="276" w:lineRule="auto"/>
              <w:jc w:val="center"/>
              <w:rPr>
                <w:noProof/>
              </w:rPr>
            </w:pPr>
            <w:r w:rsidRPr="00B059B2">
              <w:rPr>
                <w:sz w:val="22"/>
              </w:rPr>
              <w:t>6×10</w:t>
            </w:r>
            <w:r w:rsidRPr="00B059B2">
              <w:rPr>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jc w:val="center"/>
              <w:rPr>
                <w:b/>
                <w:i/>
                <w:sz w:val="22"/>
                <w:szCs w:val="22"/>
              </w:rPr>
            </w:pPr>
            <w:r w:rsidRPr="00B059B2">
              <w:rPr>
                <w:b/>
                <w:i/>
                <w:sz w:val="22"/>
              </w:rPr>
              <w:t>6×10</w:t>
            </w:r>
            <w:r w:rsidRPr="00B059B2">
              <w:rPr>
                <w:b/>
                <w:i/>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spacing w:line="276" w:lineRule="auto"/>
              <w:jc w:val="center"/>
              <w:rPr>
                <w:noProof/>
              </w:rPr>
            </w:pPr>
            <w:r w:rsidRPr="00B059B2">
              <w:rPr>
                <w:sz w:val="22"/>
              </w:rPr>
              <w:t>6×10</w:t>
            </w:r>
            <w:r w:rsidRPr="00B059B2">
              <w:rPr>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jc w:val="center"/>
              <w:rPr>
                <w:b/>
                <w:bCs/>
                <w:i/>
                <w:iCs/>
                <w:sz w:val="22"/>
                <w:szCs w:val="22"/>
              </w:rPr>
            </w:pPr>
            <w:r w:rsidRPr="00B059B2">
              <w:rPr>
                <w:b/>
                <w:i/>
                <w:sz w:val="22"/>
              </w:rPr>
              <w:t>6×10</w:t>
            </w:r>
            <w:r w:rsidRPr="00B059B2">
              <w:rPr>
                <w:b/>
                <w:i/>
                <w:sz w:val="22"/>
                <w:vertAlign w:val="superscript"/>
              </w:rPr>
              <w:t>11</w:t>
            </w:r>
          </w:p>
        </w:tc>
        <w:tc>
          <w:tcPr>
            <w:tcW w:w="595"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rPr>
            </w:pPr>
            <w:r w:rsidRPr="00B059B2">
              <w:rPr>
                <w:sz w:val="22"/>
              </w:rPr>
              <w:t>6×10</w:t>
            </w:r>
            <w:r w:rsidRPr="00B059B2">
              <w:rPr>
                <w:sz w:val="22"/>
                <w:vertAlign w:val="superscript"/>
              </w:rPr>
              <w:t>12</w:t>
            </w:r>
          </w:p>
        </w:tc>
        <w:tc>
          <w:tcPr>
            <w:tcW w:w="569"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jc w:val="center"/>
              <w:rPr>
                <w:b/>
                <w:bCs/>
                <w:i/>
                <w:iCs/>
                <w:sz w:val="22"/>
                <w:szCs w:val="22"/>
              </w:rPr>
            </w:pPr>
            <w:r w:rsidRPr="00B059B2">
              <w:rPr>
                <w:b/>
                <w:i/>
                <w:sz w:val="22"/>
              </w:rPr>
              <w:t>6×10</w:t>
            </w:r>
            <w:r w:rsidRPr="00B059B2">
              <w:rPr>
                <w:b/>
                <w:i/>
                <w:sz w:val="22"/>
                <w:vertAlign w:val="superscript"/>
              </w:rPr>
              <w:t>12</w:t>
            </w:r>
          </w:p>
        </w:tc>
        <w:tc>
          <w:tcPr>
            <w:tcW w:w="595"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rPr>
            </w:pPr>
            <w:r w:rsidRPr="00B059B2">
              <w:rPr>
                <w:sz w:val="22"/>
              </w:rPr>
              <w:t>6×10</w:t>
            </w:r>
            <w:r w:rsidRPr="00B059B2">
              <w:rPr>
                <w:sz w:val="22"/>
                <w:vertAlign w:val="superscript"/>
              </w:rPr>
              <w:t>12</w:t>
            </w:r>
          </w:p>
        </w:tc>
        <w:tc>
          <w:tcPr>
            <w:tcW w:w="569"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jc w:val="center"/>
              <w:rPr>
                <w:b/>
                <w:bCs/>
                <w:i/>
                <w:iCs/>
                <w:sz w:val="22"/>
                <w:szCs w:val="22"/>
              </w:rPr>
            </w:pPr>
            <w:r w:rsidRPr="00B059B2">
              <w:rPr>
                <w:b/>
                <w:i/>
                <w:sz w:val="22"/>
              </w:rPr>
              <w:t>6×10</w:t>
            </w:r>
            <w:r w:rsidRPr="00B059B2">
              <w:rPr>
                <w:b/>
                <w:i/>
                <w:sz w:val="22"/>
                <w:vertAlign w:val="superscript"/>
              </w:rPr>
              <w:t>12</w:t>
            </w:r>
          </w:p>
        </w:tc>
      </w:tr>
      <w:tr w:rsidR="00902EF1" w:rsidRPr="00B059B2" w:rsidTr="0023402C">
        <w:tc>
          <w:tcPr>
            <w:tcW w:w="623"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spacing w:line="276" w:lineRule="auto"/>
              <w:rPr>
                <w:noProof/>
              </w:rPr>
            </w:pPr>
            <w:r w:rsidRPr="00B059B2">
              <w:t>CO v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spacing w:line="276" w:lineRule="auto"/>
              <w:jc w:val="center"/>
              <w:rPr>
                <w:noProof/>
              </w:rPr>
            </w:pPr>
            <w:r w:rsidRPr="00B059B2">
              <w:rPr>
                <w:sz w:val="22"/>
              </w:rPr>
              <w:t>500</w:t>
            </w:r>
          </w:p>
        </w:tc>
        <w:tc>
          <w:tcPr>
            <w:tcW w:w="503"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jc w:val="center"/>
              <w:rPr>
                <w:b/>
                <w:bCs/>
                <w:i/>
                <w:iCs/>
                <w:sz w:val="22"/>
                <w:szCs w:val="22"/>
              </w:rPr>
            </w:pPr>
            <w:r w:rsidRPr="00B059B2">
              <w:rPr>
                <w:b/>
                <w:i/>
                <w:sz w:val="22"/>
              </w:rPr>
              <w:t>500</w:t>
            </w:r>
          </w:p>
        </w:tc>
        <w:tc>
          <w:tcPr>
            <w:tcW w:w="503"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spacing w:line="276" w:lineRule="auto"/>
              <w:jc w:val="center"/>
              <w:rPr>
                <w:noProof/>
              </w:rPr>
            </w:pPr>
            <w:r w:rsidRPr="00B059B2">
              <w:rPr>
                <w:sz w:val="22"/>
              </w:rPr>
              <w:t>630</w:t>
            </w:r>
          </w:p>
        </w:tc>
        <w:tc>
          <w:tcPr>
            <w:tcW w:w="503"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jc w:val="center"/>
              <w:rPr>
                <w:b/>
                <w:bCs/>
                <w:i/>
                <w:iCs/>
                <w:sz w:val="22"/>
                <w:szCs w:val="22"/>
              </w:rPr>
            </w:pPr>
            <w:r w:rsidRPr="00B059B2">
              <w:rPr>
                <w:b/>
                <w:i/>
                <w:sz w:val="22"/>
              </w:rPr>
              <w:t>740</w:t>
            </w:r>
          </w:p>
        </w:tc>
        <w:tc>
          <w:tcPr>
            <w:tcW w:w="595"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rPr>
            </w:pPr>
            <w:r w:rsidRPr="00B059B2">
              <w:rPr>
                <w:sz w:val="22"/>
              </w:rPr>
              <w:t>5000</w:t>
            </w:r>
          </w:p>
        </w:tc>
        <w:tc>
          <w:tcPr>
            <w:tcW w:w="569"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jc w:val="center"/>
              <w:rPr>
                <w:b/>
                <w:bCs/>
                <w:i/>
                <w:iCs/>
                <w:sz w:val="22"/>
                <w:szCs w:val="22"/>
              </w:rPr>
            </w:pPr>
            <w:r w:rsidRPr="00B059B2">
              <w:rPr>
                <w:b/>
                <w:i/>
                <w:sz w:val="22"/>
              </w:rPr>
              <w:t>5000</w:t>
            </w:r>
          </w:p>
        </w:tc>
        <w:tc>
          <w:tcPr>
            <w:tcW w:w="595"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rPr>
            </w:pPr>
            <w:r w:rsidRPr="00B059B2">
              <w:rPr>
                <w:sz w:val="22"/>
              </w:rPr>
              <w:t>6300</w:t>
            </w:r>
          </w:p>
        </w:tc>
        <w:tc>
          <w:tcPr>
            <w:tcW w:w="569"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jc w:val="center"/>
              <w:rPr>
                <w:b/>
                <w:bCs/>
                <w:i/>
                <w:iCs/>
                <w:sz w:val="22"/>
                <w:szCs w:val="22"/>
              </w:rPr>
            </w:pPr>
            <w:r w:rsidRPr="00B059B2">
              <w:rPr>
                <w:b/>
                <w:i/>
                <w:sz w:val="22"/>
              </w:rPr>
              <w:t>7400</w:t>
            </w:r>
          </w:p>
        </w:tc>
      </w:tr>
      <w:tr w:rsidR="00902EF1" w:rsidRPr="00B059B2" w:rsidTr="0023402C">
        <w:tc>
          <w:tcPr>
            <w:tcW w:w="623"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spacing w:line="276" w:lineRule="auto"/>
              <w:rPr>
                <w:noProof/>
              </w:rPr>
            </w:pPr>
            <w:r w:rsidRPr="00B059B2">
              <w:t>THC v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spacing w:line="276" w:lineRule="auto"/>
              <w:jc w:val="center"/>
              <w:rPr>
                <w:noProof/>
              </w:rPr>
            </w:pPr>
            <w:r w:rsidRPr="00B059B2">
              <w:rPr>
                <w:sz w:val="22"/>
              </w:rPr>
              <w:t>100</w:t>
            </w:r>
          </w:p>
        </w:tc>
        <w:tc>
          <w:tcPr>
            <w:tcW w:w="503"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jc w:val="center"/>
              <w:rPr>
                <w:b/>
                <w:bCs/>
                <w:i/>
                <w:iCs/>
                <w:sz w:val="22"/>
                <w:szCs w:val="22"/>
              </w:rPr>
            </w:pPr>
            <w:r w:rsidRPr="00B059B2">
              <w:rPr>
                <w:b/>
                <w:i/>
                <w:sz w:val="22"/>
              </w:rPr>
              <w:t>100</w:t>
            </w:r>
          </w:p>
        </w:tc>
        <w:tc>
          <w:tcPr>
            <w:tcW w:w="503"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spacing w:line="276" w:lineRule="auto"/>
              <w:jc w:val="center"/>
              <w:rPr>
                <w:noProof/>
              </w:rPr>
            </w:pPr>
            <w:r w:rsidRPr="00B059B2">
              <w:rPr>
                <w:sz w:val="22"/>
              </w:rPr>
              <w:t>130</w:t>
            </w:r>
          </w:p>
        </w:tc>
        <w:tc>
          <w:tcPr>
            <w:tcW w:w="503"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jc w:val="center"/>
              <w:rPr>
                <w:b/>
                <w:bCs/>
                <w:i/>
                <w:iCs/>
                <w:sz w:val="22"/>
                <w:szCs w:val="22"/>
              </w:rPr>
            </w:pPr>
            <w:r w:rsidRPr="00B059B2">
              <w:rPr>
                <w:b/>
                <w:i/>
                <w:sz w:val="22"/>
              </w:rPr>
              <w:t>160</w:t>
            </w:r>
          </w:p>
        </w:tc>
        <w:tc>
          <w:tcPr>
            <w:tcW w:w="595"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rPr>
            </w:pPr>
            <w:r w:rsidRPr="00B059B2">
              <w:rPr>
                <w:sz w:val="22"/>
              </w:rPr>
              <w:t>1000</w:t>
            </w:r>
          </w:p>
        </w:tc>
        <w:tc>
          <w:tcPr>
            <w:tcW w:w="569"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jc w:val="center"/>
              <w:rPr>
                <w:b/>
                <w:bCs/>
                <w:i/>
                <w:iCs/>
                <w:sz w:val="22"/>
                <w:szCs w:val="22"/>
              </w:rPr>
            </w:pPr>
            <w:r w:rsidRPr="00B059B2">
              <w:rPr>
                <w:b/>
                <w:i/>
                <w:sz w:val="22"/>
              </w:rPr>
              <w:t>1000</w:t>
            </w:r>
          </w:p>
        </w:tc>
        <w:tc>
          <w:tcPr>
            <w:tcW w:w="595"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rPr>
            </w:pPr>
            <w:r w:rsidRPr="00B059B2">
              <w:rPr>
                <w:sz w:val="22"/>
              </w:rPr>
              <w:t>1300</w:t>
            </w:r>
          </w:p>
        </w:tc>
        <w:tc>
          <w:tcPr>
            <w:tcW w:w="569"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jc w:val="center"/>
              <w:rPr>
                <w:b/>
                <w:bCs/>
                <w:i/>
                <w:iCs/>
                <w:sz w:val="22"/>
                <w:szCs w:val="22"/>
              </w:rPr>
            </w:pPr>
            <w:r w:rsidRPr="00B059B2">
              <w:rPr>
                <w:b/>
                <w:i/>
                <w:sz w:val="22"/>
              </w:rPr>
              <w:t>1600</w:t>
            </w:r>
          </w:p>
        </w:tc>
      </w:tr>
      <w:tr w:rsidR="00902EF1" w:rsidRPr="00B059B2" w:rsidTr="0023402C">
        <w:tc>
          <w:tcPr>
            <w:tcW w:w="623"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spacing w:line="276" w:lineRule="auto"/>
              <w:rPr>
                <w:noProof/>
              </w:rPr>
            </w:pPr>
            <w:r w:rsidRPr="00B059B2">
              <w:t>NMHC v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spacing w:line="276" w:lineRule="auto"/>
              <w:jc w:val="center"/>
              <w:rPr>
                <w:noProof/>
              </w:rPr>
            </w:pPr>
            <w:r w:rsidRPr="00B059B2">
              <w:rPr>
                <w:sz w:val="22"/>
              </w:rPr>
              <w:t>68</w:t>
            </w:r>
          </w:p>
        </w:tc>
        <w:tc>
          <w:tcPr>
            <w:tcW w:w="503"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jc w:val="center"/>
              <w:rPr>
                <w:b/>
                <w:bCs/>
                <w:i/>
                <w:iCs/>
                <w:sz w:val="22"/>
                <w:szCs w:val="22"/>
              </w:rPr>
            </w:pPr>
            <w:r w:rsidRPr="00B059B2">
              <w:rPr>
                <w:b/>
                <w:i/>
                <w:sz w:val="22"/>
              </w:rPr>
              <w:t>68</w:t>
            </w:r>
          </w:p>
        </w:tc>
        <w:tc>
          <w:tcPr>
            <w:tcW w:w="503"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spacing w:line="276" w:lineRule="auto"/>
              <w:jc w:val="center"/>
              <w:rPr>
                <w:noProof/>
              </w:rPr>
            </w:pPr>
            <w:r w:rsidRPr="00B059B2">
              <w:rPr>
                <w:sz w:val="22"/>
              </w:rPr>
              <w:t>90</w:t>
            </w:r>
          </w:p>
        </w:tc>
        <w:tc>
          <w:tcPr>
            <w:tcW w:w="503"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jc w:val="center"/>
              <w:rPr>
                <w:b/>
                <w:bCs/>
                <w:i/>
                <w:iCs/>
                <w:sz w:val="22"/>
                <w:szCs w:val="22"/>
              </w:rPr>
            </w:pPr>
            <w:r w:rsidRPr="00B059B2">
              <w:rPr>
                <w:b/>
                <w:i/>
                <w:sz w:val="22"/>
              </w:rPr>
              <w:t>108</w:t>
            </w:r>
          </w:p>
        </w:tc>
        <w:tc>
          <w:tcPr>
            <w:tcW w:w="595"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rPr>
            </w:pPr>
            <w:r w:rsidRPr="00B059B2">
              <w:rPr>
                <w:sz w:val="22"/>
              </w:rPr>
              <w:t>680</w:t>
            </w:r>
          </w:p>
        </w:tc>
        <w:tc>
          <w:tcPr>
            <w:tcW w:w="569"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jc w:val="center"/>
              <w:rPr>
                <w:b/>
                <w:bCs/>
                <w:i/>
                <w:iCs/>
                <w:sz w:val="22"/>
                <w:szCs w:val="22"/>
              </w:rPr>
            </w:pPr>
            <w:r w:rsidRPr="00B059B2">
              <w:rPr>
                <w:b/>
                <w:i/>
                <w:sz w:val="22"/>
              </w:rPr>
              <w:t>680</w:t>
            </w:r>
          </w:p>
        </w:tc>
        <w:tc>
          <w:tcPr>
            <w:tcW w:w="595"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rPr>
            </w:pPr>
            <w:r w:rsidRPr="00B059B2">
              <w:rPr>
                <w:sz w:val="22"/>
              </w:rPr>
              <w:t>900</w:t>
            </w:r>
          </w:p>
        </w:tc>
        <w:tc>
          <w:tcPr>
            <w:tcW w:w="569"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jc w:val="center"/>
              <w:rPr>
                <w:b/>
                <w:bCs/>
                <w:i/>
                <w:iCs/>
                <w:sz w:val="22"/>
                <w:szCs w:val="22"/>
              </w:rPr>
            </w:pPr>
            <w:r w:rsidRPr="00B059B2">
              <w:rPr>
                <w:b/>
                <w:i/>
                <w:sz w:val="22"/>
              </w:rPr>
              <w:t>1080</w:t>
            </w:r>
          </w:p>
        </w:tc>
      </w:tr>
      <w:tr w:rsidR="00902EF1" w:rsidRPr="00B059B2" w:rsidTr="0023402C">
        <w:tc>
          <w:tcPr>
            <w:tcW w:w="623"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spacing w:line="276" w:lineRule="auto"/>
              <w:rPr>
                <w:noProof/>
              </w:rPr>
            </w:pPr>
            <w:r w:rsidRPr="00B059B2">
              <w:t>NH</w:t>
            </w:r>
            <w:r w:rsidRPr="00B059B2">
              <w:rPr>
                <w:vertAlign w:val="subscript"/>
              </w:rPr>
              <w:t>3</w:t>
            </w:r>
            <w:r w:rsidRPr="00B059B2">
              <w:t xml:space="preserve"> v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spacing w:line="276" w:lineRule="auto"/>
              <w:jc w:val="center"/>
              <w:rPr>
                <w:noProof/>
              </w:rPr>
            </w:pPr>
            <w:r w:rsidRPr="00B059B2">
              <w:rPr>
                <w:sz w:val="22"/>
              </w:rPr>
              <w:t>20</w:t>
            </w:r>
          </w:p>
        </w:tc>
        <w:tc>
          <w:tcPr>
            <w:tcW w:w="503"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jc w:val="center"/>
              <w:rPr>
                <w:b/>
                <w:bCs/>
                <w:i/>
                <w:iCs/>
                <w:sz w:val="22"/>
                <w:szCs w:val="22"/>
              </w:rPr>
            </w:pPr>
            <w:r w:rsidRPr="00B059B2">
              <w:rPr>
                <w:b/>
                <w:i/>
                <w:sz w:val="22"/>
              </w:rPr>
              <w:t>20</w:t>
            </w:r>
          </w:p>
        </w:tc>
        <w:tc>
          <w:tcPr>
            <w:tcW w:w="503"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spacing w:line="276" w:lineRule="auto"/>
              <w:jc w:val="center"/>
              <w:rPr>
                <w:noProof/>
              </w:rPr>
            </w:pPr>
            <w:r w:rsidRPr="00B059B2">
              <w:rPr>
                <w:sz w:val="22"/>
              </w:rPr>
              <w:t>20</w:t>
            </w:r>
          </w:p>
        </w:tc>
        <w:tc>
          <w:tcPr>
            <w:tcW w:w="503"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jc w:val="center"/>
              <w:rPr>
                <w:b/>
                <w:i/>
                <w:sz w:val="22"/>
                <w:szCs w:val="22"/>
              </w:rPr>
            </w:pPr>
            <w:r w:rsidRPr="00B059B2">
              <w:rPr>
                <w:b/>
                <w:i/>
                <w:sz w:val="22"/>
              </w:rPr>
              <w:t>20</w:t>
            </w:r>
          </w:p>
        </w:tc>
        <w:tc>
          <w:tcPr>
            <w:tcW w:w="595"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rPr>
            </w:pPr>
            <w:r w:rsidRPr="00B059B2">
              <w:rPr>
                <w:sz w:val="22"/>
              </w:rPr>
              <w:t>200</w:t>
            </w:r>
          </w:p>
        </w:tc>
        <w:tc>
          <w:tcPr>
            <w:tcW w:w="56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jc w:val="center"/>
              <w:rPr>
                <w:b/>
                <w:i/>
                <w:noProof/>
                <w:sz w:val="22"/>
              </w:rPr>
            </w:pPr>
            <w:r w:rsidRPr="00B059B2">
              <w:rPr>
                <w:b/>
                <w:i/>
                <w:sz w:val="22"/>
              </w:rPr>
              <w:t>200</w:t>
            </w:r>
          </w:p>
        </w:tc>
        <w:tc>
          <w:tcPr>
            <w:tcW w:w="595"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rPr>
            </w:pPr>
            <w:r w:rsidRPr="00B059B2">
              <w:rPr>
                <w:sz w:val="22"/>
              </w:rPr>
              <w:t>200</w:t>
            </w:r>
          </w:p>
        </w:tc>
        <w:tc>
          <w:tcPr>
            <w:tcW w:w="569"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jc w:val="center"/>
              <w:rPr>
                <w:b/>
                <w:bCs/>
                <w:i/>
                <w:iCs/>
                <w:sz w:val="22"/>
                <w:szCs w:val="22"/>
              </w:rPr>
            </w:pPr>
            <w:r w:rsidRPr="00B059B2">
              <w:rPr>
                <w:b/>
                <w:i/>
                <w:sz w:val="22"/>
              </w:rPr>
              <w:t>200</w:t>
            </w:r>
          </w:p>
        </w:tc>
      </w:tr>
    </w:tbl>
    <w:p w:rsidR="00902EF1" w:rsidRPr="00B059B2" w:rsidRDefault="00902EF1" w:rsidP="00902EF1"/>
    <w:p w:rsidR="00902EF1" w:rsidRPr="00B059B2" w:rsidRDefault="00902EF1" w:rsidP="00902EF1">
      <w:pPr>
        <w:pStyle w:val="AmNumberTabs"/>
        <w:keepNext/>
      </w:pPr>
      <w:r w:rsidRPr="00B059B2">
        <w:lastRenderedPageBreak/>
        <w:t>Pozmeňujúci návrh</w:t>
      </w:r>
      <w:r w:rsidRPr="00B059B2">
        <w:tab/>
      </w:r>
      <w:r w:rsidRPr="00B059B2">
        <w:tab/>
        <w:t>151</w:t>
      </w:r>
    </w:p>
    <w:p w:rsidR="00902EF1" w:rsidRPr="00B059B2" w:rsidRDefault="00902EF1" w:rsidP="00902EF1">
      <w:pPr>
        <w:pStyle w:val="NormalBold12b"/>
      </w:pPr>
      <w:r w:rsidRPr="00B059B2">
        <w:t>Návrh nariadenia</w:t>
      </w:r>
    </w:p>
    <w:p w:rsidR="00902EF1" w:rsidRPr="00B059B2" w:rsidRDefault="00902EF1" w:rsidP="00902EF1">
      <w:pPr>
        <w:pStyle w:val="NormalBold"/>
        <w:keepNext/>
      </w:pPr>
      <w:r w:rsidRPr="00B059B2">
        <w:t>Príloha I – tabuľka 2</w:t>
      </w:r>
    </w:p>
    <w:tbl>
      <w:tblPr>
        <w:tblStyle w:val="TableGrid"/>
        <w:tblW w:w="5000" w:type="pct"/>
        <w:tblLook w:val="04A0" w:firstRow="1" w:lastRow="0" w:firstColumn="1" w:lastColumn="0" w:noHBand="0" w:noVBand="1"/>
      </w:tblPr>
      <w:tblGrid>
        <w:gridCol w:w="1625"/>
        <w:gridCol w:w="1670"/>
        <w:gridCol w:w="1920"/>
        <w:gridCol w:w="1921"/>
        <w:gridCol w:w="1924"/>
      </w:tblGrid>
      <w:tr w:rsidR="00902EF1" w:rsidRPr="00B059B2" w:rsidTr="0023402C">
        <w:tc>
          <w:tcPr>
            <w:tcW w:w="4998" w:type="pct"/>
            <w:gridSpan w:val="5"/>
            <w:tcBorders>
              <w:top w:val="single" w:sz="4" w:space="0" w:color="auto"/>
              <w:left w:val="single" w:sz="4" w:space="0" w:color="auto"/>
              <w:bottom w:val="single" w:sz="4" w:space="0" w:color="auto"/>
              <w:right w:val="single" w:sz="4" w:space="0" w:color="auto"/>
            </w:tcBorders>
          </w:tcPr>
          <w:p w:rsidR="00902EF1" w:rsidRPr="00B059B2" w:rsidRDefault="00902EF1" w:rsidP="0023402C">
            <w:pPr>
              <w:jc w:val="center"/>
              <w:rPr>
                <w:i/>
                <w:noProof/>
              </w:rPr>
            </w:pPr>
            <w:r w:rsidRPr="00B059B2">
              <w:rPr>
                <w:i/>
              </w:rPr>
              <w:t>Text predložený Komisiou</w:t>
            </w:r>
          </w:p>
        </w:tc>
      </w:tr>
      <w:tr w:rsidR="00902EF1" w:rsidRPr="00B059B2" w:rsidTr="0023402C">
        <w:tc>
          <w:tcPr>
            <w:tcW w:w="4998" w:type="pct"/>
            <w:gridSpan w:val="5"/>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Tabuľka 2: Limity výfukových emisií podľa normy Euro 7 pre vozidlá kategórií M</w:t>
            </w:r>
            <w:r w:rsidRPr="00B059B2">
              <w:rPr>
                <w:vertAlign w:val="subscript"/>
              </w:rPr>
              <w:t>2</w:t>
            </w:r>
            <w:r w:rsidRPr="00B059B2">
              <w:t>, M</w:t>
            </w:r>
            <w:r w:rsidRPr="00B059B2">
              <w:rPr>
                <w:vertAlign w:val="subscript"/>
              </w:rPr>
              <w:t>3</w:t>
            </w:r>
            <w:r w:rsidRPr="00B059B2">
              <w:t>, N</w:t>
            </w:r>
            <w:r w:rsidRPr="00B059B2">
              <w:rPr>
                <w:vertAlign w:val="subscript"/>
              </w:rPr>
              <w:t>2</w:t>
            </w:r>
            <w:r w:rsidRPr="00B059B2">
              <w:t xml:space="preserve"> a N</w:t>
            </w:r>
            <w:r w:rsidRPr="00B059B2">
              <w:rPr>
                <w:vertAlign w:val="subscript"/>
              </w:rPr>
              <w:t>3</w:t>
            </w:r>
            <w:r w:rsidRPr="00B059B2">
              <w:t xml:space="preserve"> so spaľovacím motorom a pre spaľovacie motory použité v týchto vozidlách</w:t>
            </w:r>
          </w:p>
        </w:tc>
      </w:tr>
      <w:tr w:rsidR="00902EF1" w:rsidRPr="00B059B2" w:rsidTr="0023402C">
        <w:tc>
          <w:tcPr>
            <w:tcW w:w="806" w:type="pct"/>
            <w:vMerge w:val="restar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rPr>
                <w:noProof/>
              </w:rPr>
            </w:pPr>
            <w:r w:rsidRPr="00B059B2">
              <w:t>Emisie znečisťujúcich látok</w:t>
            </w:r>
          </w:p>
        </w:tc>
        <w:tc>
          <w:tcPr>
            <w:tcW w:w="944"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b/>
                <w:i/>
                <w:noProof/>
              </w:rPr>
            </w:pPr>
            <w:r w:rsidRPr="00B059B2">
              <w:rPr>
                <w:b/>
                <w:i/>
              </w:rPr>
              <w:t>Emisie pri studenom štarte</w:t>
            </w:r>
            <w:r w:rsidRPr="00B059B2">
              <w:rPr>
                <w:b/>
                <w:i/>
                <w:vertAlign w:val="superscript"/>
              </w:rPr>
              <w:t>1</w:t>
            </w:r>
          </w:p>
        </w:tc>
        <w:tc>
          <w:tcPr>
            <w:tcW w:w="1082"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rPr>
            </w:pPr>
            <w:r w:rsidRPr="00B059B2">
              <w:rPr>
                <w:b/>
                <w:i/>
              </w:rPr>
              <w:t>Emisie za tepla</w:t>
            </w:r>
            <w:r w:rsidRPr="00B059B2">
              <w:rPr>
                <w:b/>
                <w:i/>
                <w:vertAlign w:val="superscript"/>
              </w:rPr>
              <w:t>2</w:t>
            </w:r>
          </w:p>
        </w:tc>
        <w:tc>
          <w:tcPr>
            <w:tcW w:w="1082"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rPr>
            </w:pPr>
            <w:r w:rsidRPr="00B059B2">
              <w:rPr>
                <w:b/>
                <w:i/>
              </w:rPr>
              <w:t>Rozpočet emisií pre všetky cesty kratšie ako trojnásobok skúšky WHTC</w:t>
            </w:r>
          </w:p>
        </w:tc>
        <w:tc>
          <w:tcPr>
            <w:tcW w:w="1083"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rPr>
            </w:pPr>
            <w:r w:rsidRPr="00B059B2">
              <w:rPr>
                <w:b/>
                <w:i/>
              </w:rPr>
              <w:t>Voliteľné limity emisií pri voľnobežných otáčkach</w:t>
            </w:r>
            <w:r w:rsidRPr="00B059B2">
              <w:rPr>
                <w:b/>
                <w:i/>
                <w:vertAlign w:val="superscript"/>
              </w:rPr>
              <w:t>3</w:t>
            </w:r>
          </w:p>
        </w:tc>
      </w:tr>
      <w:tr w:rsidR="00902EF1" w:rsidRPr="00B059B2" w:rsidTr="0023402C">
        <w:tc>
          <w:tcPr>
            <w:tcW w:w="0" w:type="auto"/>
            <w:vMerge/>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rPr>
                <w:noProof/>
                <w:szCs w:val="22"/>
                <w:lang w:eastAsia="en-US"/>
              </w:rPr>
            </w:pPr>
          </w:p>
        </w:tc>
        <w:tc>
          <w:tcPr>
            <w:tcW w:w="944"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i/>
                <w:noProof/>
              </w:rPr>
            </w:pPr>
            <w:r w:rsidRPr="00B059B2">
              <w:rPr>
                <w:i/>
              </w:rPr>
              <w:t>na kWh</w:t>
            </w:r>
          </w:p>
        </w:tc>
        <w:tc>
          <w:tcPr>
            <w:tcW w:w="1082"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i/>
                <w:noProof/>
                <w:szCs w:val="24"/>
              </w:rPr>
            </w:pPr>
            <w:r w:rsidRPr="00B059B2">
              <w:rPr>
                <w:i/>
              </w:rPr>
              <w:t>na kWh</w:t>
            </w:r>
          </w:p>
        </w:tc>
        <w:tc>
          <w:tcPr>
            <w:tcW w:w="1082"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szCs w:val="22"/>
              </w:rPr>
            </w:pPr>
            <w:r w:rsidRPr="00B059B2">
              <w:rPr>
                <w:b/>
                <w:i/>
              </w:rPr>
              <w:t>na kWh</w:t>
            </w:r>
          </w:p>
        </w:tc>
        <w:tc>
          <w:tcPr>
            <w:tcW w:w="1083"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rPr>
            </w:pPr>
            <w:r w:rsidRPr="00B059B2">
              <w:rPr>
                <w:b/>
                <w:i/>
              </w:rPr>
              <w:t>na kWh</w:t>
            </w:r>
          </w:p>
        </w:tc>
      </w:tr>
      <w:tr w:rsidR="00902EF1" w:rsidRPr="00B059B2" w:rsidTr="0023402C">
        <w:tc>
          <w:tcPr>
            <w:tcW w:w="806"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spacing w:line="276" w:lineRule="auto"/>
              <w:rPr>
                <w:noProof/>
              </w:rPr>
            </w:pPr>
            <w:r w:rsidRPr="00B059B2">
              <w:t>NO</w:t>
            </w:r>
            <w:r w:rsidRPr="00B059B2">
              <w:rPr>
                <w:vertAlign w:val="subscript"/>
              </w:rPr>
              <w:t>x</w:t>
            </w:r>
            <w:r w:rsidRPr="00B059B2">
              <w:t xml:space="preserve"> v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spacing w:line="276" w:lineRule="auto"/>
              <w:jc w:val="center"/>
              <w:rPr>
                <w:b/>
                <w:i/>
                <w:noProof/>
              </w:rPr>
            </w:pPr>
            <w:r w:rsidRPr="00B059B2">
              <w:rPr>
                <w:b/>
                <w:i/>
              </w:rPr>
              <w:t>350</w:t>
            </w:r>
          </w:p>
        </w:tc>
        <w:tc>
          <w:tcPr>
            <w:tcW w:w="1082"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rPr>
            </w:pPr>
            <w:r w:rsidRPr="00B059B2">
              <w:rPr>
                <w:b/>
                <w:i/>
              </w:rPr>
              <w:t>90</w:t>
            </w:r>
          </w:p>
        </w:tc>
        <w:tc>
          <w:tcPr>
            <w:tcW w:w="1082"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rPr>
            </w:pPr>
            <w:r w:rsidRPr="00B059B2">
              <w:rPr>
                <w:b/>
                <w:i/>
              </w:rPr>
              <w:t>150</w:t>
            </w:r>
          </w:p>
        </w:tc>
        <w:tc>
          <w:tcPr>
            <w:tcW w:w="1083"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rPr>
            </w:pPr>
            <w:r w:rsidRPr="00B059B2">
              <w:rPr>
                <w:b/>
                <w:i/>
              </w:rPr>
              <w:t>5000</w:t>
            </w:r>
          </w:p>
        </w:tc>
      </w:tr>
      <w:tr w:rsidR="00902EF1" w:rsidRPr="00B059B2" w:rsidTr="0023402C">
        <w:trPr>
          <w:trHeight w:val="50"/>
        </w:trPr>
        <w:tc>
          <w:tcPr>
            <w:tcW w:w="806"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spacing w:line="276" w:lineRule="auto"/>
              <w:rPr>
                <w:noProof/>
              </w:rPr>
            </w:pPr>
            <w:r w:rsidRPr="00B059B2">
              <w:t>PM v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spacing w:line="276" w:lineRule="auto"/>
              <w:jc w:val="center"/>
              <w:rPr>
                <w:b/>
                <w:i/>
                <w:noProof/>
              </w:rPr>
            </w:pPr>
            <w:r w:rsidRPr="00B059B2">
              <w:rPr>
                <w:b/>
                <w:i/>
              </w:rPr>
              <w:t>12</w:t>
            </w:r>
          </w:p>
        </w:tc>
        <w:tc>
          <w:tcPr>
            <w:tcW w:w="1082"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rPr>
            </w:pPr>
            <w:r w:rsidRPr="00B059B2">
              <w:rPr>
                <w:b/>
                <w:i/>
              </w:rPr>
              <w:t>8</w:t>
            </w:r>
          </w:p>
        </w:tc>
        <w:tc>
          <w:tcPr>
            <w:tcW w:w="1082"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rPr>
            </w:pPr>
            <w:r w:rsidRPr="00B059B2">
              <w:rPr>
                <w:b/>
                <w:i/>
              </w:rPr>
              <w:t>10</w:t>
            </w:r>
          </w:p>
        </w:tc>
        <w:tc>
          <w:tcPr>
            <w:tcW w:w="1083"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rPr>
            </w:pPr>
            <w:r w:rsidRPr="00B059B2">
              <w:rPr>
                <w:b/>
                <w:i/>
              </w:rPr>
              <w:t xml:space="preserve"> </w:t>
            </w:r>
          </w:p>
        </w:tc>
      </w:tr>
      <w:tr w:rsidR="00902EF1" w:rsidRPr="00B059B2" w:rsidTr="0023402C">
        <w:tc>
          <w:tcPr>
            <w:tcW w:w="806"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spacing w:line="276" w:lineRule="auto"/>
              <w:rPr>
                <w:noProof/>
              </w:rPr>
            </w:pPr>
            <w:r w:rsidRPr="00B059B2">
              <w:t>PN</w:t>
            </w:r>
            <w:r w:rsidRPr="00B059B2">
              <w:rPr>
                <w:vertAlign w:val="subscript"/>
              </w:rPr>
              <w:t xml:space="preserve">10 </w:t>
            </w:r>
            <w:r w:rsidRPr="00B059B2">
              <w:t>v #</w:t>
            </w:r>
          </w:p>
        </w:tc>
        <w:tc>
          <w:tcPr>
            <w:tcW w:w="944"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spacing w:line="276" w:lineRule="auto"/>
              <w:jc w:val="center"/>
              <w:rPr>
                <w:b/>
                <w:i/>
                <w:noProof/>
              </w:rPr>
            </w:pPr>
            <w:r w:rsidRPr="00B059B2">
              <w:rPr>
                <w:b/>
                <w:i/>
              </w:rPr>
              <w:t>5x10</w:t>
            </w:r>
            <w:r w:rsidRPr="00B059B2">
              <w:rPr>
                <w:b/>
                <w:i/>
                <w:vertAlign w:val="superscript"/>
              </w:rPr>
              <w:t>11</w:t>
            </w:r>
          </w:p>
        </w:tc>
        <w:tc>
          <w:tcPr>
            <w:tcW w:w="1082"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rPr>
            </w:pPr>
            <w:r w:rsidRPr="00B059B2">
              <w:rPr>
                <w:b/>
                <w:i/>
              </w:rPr>
              <w:t>2x10</w:t>
            </w:r>
            <w:r w:rsidRPr="00B059B2">
              <w:rPr>
                <w:b/>
                <w:i/>
                <w:vertAlign w:val="superscript"/>
              </w:rPr>
              <w:t>11</w:t>
            </w:r>
          </w:p>
        </w:tc>
        <w:tc>
          <w:tcPr>
            <w:tcW w:w="1082"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rPr>
            </w:pPr>
            <w:r w:rsidRPr="00B059B2">
              <w:rPr>
                <w:b/>
                <w:i/>
              </w:rPr>
              <w:t>3x10</w:t>
            </w:r>
            <w:r w:rsidRPr="00B059B2">
              <w:rPr>
                <w:b/>
                <w:i/>
                <w:vertAlign w:val="superscript"/>
              </w:rPr>
              <w:t>11</w:t>
            </w:r>
          </w:p>
        </w:tc>
        <w:tc>
          <w:tcPr>
            <w:tcW w:w="1083"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rPr>
            </w:pPr>
            <w:r w:rsidRPr="00B059B2">
              <w:rPr>
                <w:b/>
                <w:i/>
              </w:rPr>
              <w:t xml:space="preserve"> </w:t>
            </w:r>
          </w:p>
        </w:tc>
      </w:tr>
      <w:tr w:rsidR="00902EF1" w:rsidRPr="00B059B2" w:rsidTr="0023402C">
        <w:tc>
          <w:tcPr>
            <w:tcW w:w="806"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spacing w:line="276" w:lineRule="auto"/>
              <w:rPr>
                <w:noProof/>
              </w:rPr>
            </w:pPr>
            <w:r w:rsidRPr="00B059B2">
              <w:t>CO v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spacing w:line="276" w:lineRule="auto"/>
              <w:jc w:val="center"/>
              <w:rPr>
                <w:b/>
                <w:i/>
                <w:noProof/>
              </w:rPr>
            </w:pPr>
            <w:r w:rsidRPr="00B059B2">
              <w:rPr>
                <w:b/>
                <w:i/>
              </w:rPr>
              <w:t>3500</w:t>
            </w:r>
          </w:p>
        </w:tc>
        <w:tc>
          <w:tcPr>
            <w:tcW w:w="1082"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rPr>
            </w:pPr>
            <w:r w:rsidRPr="00B059B2">
              <w:rPr>
                <w:b/>
                <w:i/>
              </w:rPr>
              <w:t>200</w:t>
            </w:r>
          </w:p>
        </w:tc>
        <w:tc>
          <w:tcPr>
            <w:tcW w:w="1082"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rPr>
            </w:pPr>
            <w:r w:rsidRPr="00B059B2">
              <w:rPr>
                <w:b/>
                <w:i/>
              </w:rPr>
              <w:t>2700</w:t>
            </w:r>
          </w:p>
        </w:tc>
        <w:tc>
          <w:tcPr>
            <w:tcW w:w="1083"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rPr>
            </w:pPr>
            <w:r w:rsidRPr="00B059B2">
              <w:rPr>
                <w:b/>
                <w:i/>
              </w:rPr>
              <w:t xml:space="preserve"> </w:t>
            </w:r>
          </w:p>
        </w:tc>
      </w:tr>
      <w:tr w:rsidR="00902EF1" w:rsidRPr="00B059B2" w:rsidTr="0023402C">
        <w:tc>
          <w:tcPr>
            <w:tcW w:w="806"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spacing w:line="276" w:lineRule="auto"/>
              <w:rPr>
                <w:noProof/>
              </w:rPr>
            </w:pPr>
            <w:r w:rsidRPr="00B059B2">
              <w:t>NMOG v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spacing w:line="276" w:lineRule="auto"/>
              <w:jc w:val="center"/>
              <w:rPr>
                <w:b/>
                <w:i/>
                <w:noProof/>
              </w:rPr>
            </w:pPr>
            <w:r w:rsidRPr="00B059B2">
              <w:rPr>
                <w:b/>
                <w:i/>
              </w:rPr>
              <w:t>200</w:t>
            </w:r>
          </w:p>
        </w:tc>
        <w:tc>
          <w:tcPr>
            <w:tcW w:w="1082"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rPr>
            </w:pPr>
            <w:r w:rsidRPr="00B059B2">
              <w:rPr>
                <w:b/>
                <w:i/>
              </w:rPr>
              <w:t>50</w:t>
            </w:r>
          </w:p>
        </w:tc>
        <w:tc>
          <w:tcPr>
            <w:tcW w:w="1082"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rPr>
            </w:pPr>
            <w:r w:rsidRPr="00B059B2">
              <w:rPr>
                <w:b/>
                <w:i/>
              </w:rPr>
              <w:t>75</w:t>
            </w:r>
          </w:p>
        </w:tc>
        <w:tc>
          <w:tcPr>
            <w:tcW w:w="1083"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rPr>
            </w:pPr>
            <w:r w:rsidRPr="00B059B2">
              <w:rPr>
                <w:b/>
                <w:i/>
              </w:rPr>
              <w:t xml:space="preserve"> </w:t>
            </w:r>
          </w:p>
        </w:tc>
      </w:tr>
      <w:tr w:rsidR="00902EF1" w:rsidRPr="00B059B2" w:rsidTr="0023402C">
        <w:tc>
          <w:tcPr>
            <w:tcW w:w="806"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spacing w:line="276" w:lineRule="auto"/>
              <w:rPr>
                <w:noProof/>
              </w:rPr>
            </w:pPr>
            <w:r w:rsidRPr="00B059B2">
              <w:t>NH</w:t>
            </w:r>
            <w:r w:rsidRPr="00B059B2">
              <w:rPr>
                <w:vertAlign w:val="subscript"/>
              </w:rPr>
              <w:t>3</w:t>
            </w:r>
            <w:r w:rsidRPr="00B059B2">
              <w:t xml:space="preserve"> v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spacing w:line="276" w:lineRule="auto"/>
              <w:jc w:val="center"/>
              <w:rPr>
                <w:b/>
                <w:i/>
                <w:noProof/>
              </w:rPr>
            </w:pPr>
            <w:r w:rsidRPr="00B059B2">
              <w:rPr>
                <w:b/>
                <w:i/>
              </w:rPr>
              <w:t>65</w:t>
            </w:r>
          </w:p>
        </w:tc>
        <w:tc>
          <w:tcPr>
            <w:tcW w:w="1082"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rPr>
            </w:pPr>
            <w:r w:rsidRPr="00B059B2">
              <w:rPr>
                <w:b/>
                <w:i/>
              </w:rPr>
              <w:t>65</w:t>
            </w:r>
          </w:p>
        </w:tc>
        <w:tc>
          <w:tcPr>
            <w:tcW w:w="1082"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rPr>
            </w:pPr>
            <w:r w:rsidRPr="00B059B2">
              <w:rPr>
                <w:b/>
                <w:i/>
              </w:rPr>
              <w:t>70</w:t>
            </w:r>
          </w:p>
        </w:tc>
        <w:tc>
          <w:tcPr>
            <w:tcW w:w="1083"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rPr>
            </w:pPr>
            <w:r w:rsidRPr="00B059B2">
              <w:rPr>
                <w:b/>
                <w:i/>
              </w:rPr>
              <w:t xml:space="preserve"> </w:t>
            </w:r>
          </w:p>
        </w:tc>
      </w:tr>
      <w:tr w:rsidR="00902EF1" w:rsidRPr="00B059B2" w:rsidTr="0023402C">
        <w:tc>
          <w:tcPr>
            <w:tcW w:w="806"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spacing w:line="276" w:lineRule="auto"/>
              <w:rPr>
                <w:noProof/>
              </w:rPr>
            </w:pPr>
            <w:r w:rsidRPr="00B059B2">
              <w:t>CH</w:t>
            </w:r>
            <w:r w:rsidRPr="00B059B2">
              <w:rPr>
                <w:vertAlign w:val="subscript"/>
              </w:rPr>
              <w:t>4</w:t>
            </w:r>
            <w:r w:rsidRPr="00B059B2">
              <w:t xml:space="preserve"> v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spacing w:line="276" w:lineRule="auto"/>
              <w:jc w:val="center"/>
              <w:rPr>
                <w:noProof/>
              </w:rPr>
            </w:pPr>
            <w:r w:rsidRPr="00B059B2">
              <w:t>500</w:t>
            </w:r>
          </w:p>
        </w:tc>
        <w:tc>
          <w:tcPr>
            <w:tcW w:w="1082"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rPr>
            </w:pPr>
            <w:r w:rsidRPr="00B059B2">
              <w:rPr>
                <w:b/>
                <w:i/>
              </w:rPr>
              <w:t>350</w:t>
            </w:r>
          </w:p>
        </w:tc>
        <w:tc>
          <w:tcPr>
            <w:tcW w:w="1082"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rPr>
            </w:pPr>
            <w:r w:rsidRPr="00B059B2">
              <w:rPr>
                <w:b/>
                <w:i/>
              </w:rPr>
              <w:t>500</w:t>
            </w:r>
          </w:p>
        </w:tc>
        <w:tc>
          <w:tcPr>
            <w:tcW w:w="1083"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rPr>
            </w:pPr>
            <w:r w:rsidRPr="00B059B2">
              <w:rPr>
                <w:b/>
                <w:i/>
              </w:rPr>
              <w:t xml:space="preserve"> </w:t>
            </w:r>
          </w:p>
        </w:tc>
      </w:tr>
      <w:tr w:rsidR="00902EF1" w:rsidRPr="00B059B2" w:rsidTr="0023402C">
        <w:tc>
          <w:tcPr>
            <w:tcW w:w="806"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spacing w:line="276" w:lineRule="auto"/>
              <w:rPr>
                <w:noProof/>
              </w:rPr>
            </w:pPr>
            <w:r w:rsidRPr="00B059B2">
              <w:t>N</w:t>
            </w:r>
            <w:r w:rsidRPr="00B059B2">
              <w:rPr>
                <w:vertAlign w:val="subscript"/>
              </w:rPr>
              <w:t>2</w:t>
            </w:r>
            <w:r w:rsidRPr="00B059B2">
              <w:t>O v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spacing w:line="276" w:lineRule="auto"/>
              <w:jc w:val="center"/>
              <w:rPr>
                <w:noProof/>
              </w:rPr>
            </w:pPr>
            <w:r w:rsidRPr="00B059B2">
              <w:t>160</w:t>
            </w:r>
          </w:p>
        </w:tc>
        <w:tc>
          <w:tcPr>
            <w:tcW w:w="1082"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rPr>
            </w:pPr>
            <w:r w:rsidRPr="00B059B2">
              <w:rPr>
                <w:b/>
                <w:i/>
              </w:rPr>
              <w:t>100</w:t>
            </w:r>
          </w:p>
        </w:tc>
        <w:tc>
          <w:tcPr>
            <w:tcW w:w="1082"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rPr>
            </w:pPr>
            <w:r w:rsidRPr="00B059B2">
              <w:rPr>
                <w:b/>
                <w:i/>
              </w:rPr>
              <w:t>140</w:t>
            </w:r>
          </w:p>
        </w:tc>
        <w:tc>
          <w:tcPr>
            <w:tcW w:w="1083"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jc w:val="center"/>
              <w:rPr>
                <w:b/>
                <w:i/>
                <w:noProof/>
              </w:rPr>
            </w:pPr>
          </w:p>
        </w:tc>
      </w:tr>
      <w:tr w:rsidR="00902EF1" w:rsidRPr="00B059B2" w:rsidTr="0023402C">
        <w:tc>
          <w:tcPr>
            <w:tcW w:w="806"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rPr>
                <w:noProof/>
              </w:rPr>
            </w:pPr>
            <w:r w:rsidRPr="00B059B2">
              <w:t>HCHO v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rPr>
            </w:pPr>
            <w:r w:rsidRPr="00B059B2">
              <w:t>30</w:t>
            </w:r>
          </w:p>
        </w:tc>
        <w:tc>
          <w:tcPr>
            <w:tcW w:w="1082"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rPr>
            </w:pPr>
            <w:r w:rsidRPr="00B059B2">
              <w:rPr>
                <w:b/>
                <w:i/>
              </w:rPr>
              <w:t>30</w:t>
            </w:r>
          </w:p>
        </w:tc>
        <w:tc>
          <w:tcPr>
            <w:tcW w:w="1082"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rPr>
            </w:pPr>
            <w:r w:rsidRPr="00B059B2">
              <w:rPr>
                <w:b/>
                <w:i/>
              </w:rPr>
              <w:t xml:space="preserve"> </w:t>
            </w:r>
          </w:p>
        </w:tc>
        <w:tc>
          <w:tcPr>
            <w:tcW w:w="1083"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rPr>
            </w:pPr>
            <w:r w:rsidRPr="00B059B2">
              <w:rPr>
                <w:b/>
                <w:i/>
              </w:rPr>
              <w:t xml:space="preserve"> </w:t>
            </w:r>
          </w:p>
        </w:tc>
      </w:tr>
      <w:tr w:rsidR="00902EF1" w:rsidRPr="00B059B2" w:rsidTr="0023402C">
        <w:tc>
          <w:tcPr>
            <w:tcW w:w="4998" w:type="pct"/>
            <w:gridSpan w:val="5"/>
            <w:tcBorders>
              <w:top w:val="single" w:sz="4" w:space="0" w:color="auto"/>
              <w:left w:val="single" w:sz="4" w:space="0" w:color="auto"/>
              <w:bottom w:val="single" w:sz="4" w:space="0" w:color="auto"/>
              <w:right w:val="single" w:sz="4" w:space="0" w:color="auto"/>
            </w:tcBorders>
          </w:tcPr>
          <w:p w:rsidR="00902EF1" w:rsidRPr="00B059B2" w:rsidRDefault="00902EF1" w:rsidP="0023402C">
            <w:pPr>
              <w:pStyle w:val="FootnoteText"/>
              <w:rPr>
                <w:b/>
                <w:i/>
                <w:lang w:val="sk-SK"/>
              </w:rPr>
            </w:pPr>
            <w:r w:rsidRPr="00B059B2">
              <w:rPr>
                <w:b/>
                <w:i/>
                <w:vertAlign w:val="superscript"/>
                <w:lang w:val="sk-SK"/>
              </w:rPr>
              <w:t>1</w:t>
            </w:r>
            <w:r w:rsidRPr="00B059B2">
              <w:rPr>
                <w:b/>
                <w:i/>
                <w:lang w:val="sk-SK"/>
              </w:rPr>
              <w:t xml:space="preserve"> Emisie pri studenom štarte sa vzťahujú na 100. percentil pohyblivých okien jednej skúšky s nestálym jazdným cyklom (WHTC) v prípade vozidiel alebo skúšky WHTC</w:t>
            </w:r>
            <w:r w:rsidRPr="00B059B2">
              <w:rPr>
                <w:b/>
                <w:i/>
                <w:vertAlign w:val="subscript"/>
                <w:lang w:val="sk-SK"/>
              </w:rPr>
              <w:t>cold</w:t>
            </w:r>
            <w:r w:rsidRPr="00B059B2">
              <w:rPr>
                <w:b/>
                <w:i/>
                <w:lang w:val="sk-SK"/>
              </w:rPr>
              <w:t xml:space="preserve"> v prípade motorov.</w:t>
            </w:r>
          </w:p>
          <w:p w:rsidR="00902EF1" w:rsidRPr="00B059B2" w:rsidRDefault="00902EF1" w:rsidP="0023402C">
            <w:pPr>
              <w:pStyle w:val="FootnoteText"/>
              <w:rPr>
                <w:b/>
                <w:i/>
                <w:lang w:val="sk-SK"/>
              </w:rPr>
            </w:pPr>
            <w:r w:rsidRPr="00B059B2">
              <w:rPr>
                <w:b/>
                <w:i/>
                <w:vertAlign w:val="superscript"/>
                <w:lang w:val="sk-SK"/>
              </w:rPr>
              <w:t>2</w:t>
            </w:r>
            <w:r w:rsidRPr="00B059B2">
              <w:rPr>
                <w:b/>
                <w:i/>
                <w:lang w:val="sk-SK"/>
              </w:rPr>
              <w:t xml:space="preserve"> Emisie za tepla sa vzťahujú na 90. percentil pohyblivých okien jednej skúšky WHTC v prípade vozidiel alebo skúšky WHTC</w:t>
            </w:r>
            <w:r w:rsidRPr="00B059B2">
              <w:rPr>
                <w:b/>
                <w:i/>
                <w:vertAlign w:val="subscript"/>
                <w:lang w:val="sk-SK"/>
              </w:rPr>
              <w:t>hot</w:t>
            </w:r>
            <w:r w:rsidRPr="00B059B2">
              <w:rPr>
                <w:b/>
                <w:i/>
                <w:lang w:val="sk-SK"/>
              </w:rPr>
              <w:t xml:space="preserve"> v prípade motorov.</w:t>
            </w:r>
          </w:p>
          <w:p w:rsidR="00902EF1" w:rsidRPr="00B059B2" w:rsidRDefault="00902EF1" w:rsidP="0023402C">
            <w:pPr>
              <w:rPr>
                <w:b/>
                <w:i/>
                <w:noProof/>
              </w:rPr>
            </w:pPr>
            <w:r w:rsidRPr="00B059B2">
              <w:rPr>
                <w:b/>
                <w:i/>
                <w:vertAlign w:val="superscript"/>
              </w:rPr>
              <w:t xml:space="preserve">3 </w:t>
            </w:r>
            <w:r w:rsidRPr="00B059B2">
              <w:rPr>
                <w:b/>
                <w:i/>
              </w:rPr>
              <w:t>Uplatňuje sa len vtedy, ak nie je k dispozícii systém, ktorý automaticky vypne motor po 300 sekundách.</w:t>
            </w:r>
          </w:p>
        </w:tc>
      </w:tr>
    </w:tbl>
    <w:p w:rsidR="00902EF1" w:rsidRPr="00B059B2" w:rsidRDefault="00902EF1" w:rsidP="00902EF1">
      <w:pPr>
        <w:pStyle w:val="AmOrLang"/>
      </w:pPr>
    </w:p>
    <w:tbl>
      <w:tblPr>
        <w:tblStyle w:val="TableGrid"/>
        <w:tblW w:w="5000" w:type="pct"/>
        <w:tblLook w:val="04A0" w:firstRow="1" w:lastRow="0" w:firstColumn="1" w:lastColumn="0" w:noHBand="0" w:noVBand="1"/>
      </w:tblPr>
      <w:tblGrid>
        <w:gridCol w:w="1796"/>
        <w:gridCol w:w="3419"/>
        <w:gridCol w:w="3845"/>
      </w:tblGrid>
      <w:tr w:rsidR="00902EF1" w:rsidRPr="00B059B2" w:rsidTr="0023402C">
        <w:tc>
          <w:tcPr>
            <w:tcW w:w="4998" w:type="pct"/>
            <w:gridSpan w:val="3"/>
            <w:tcBorders>
              <w:top w:val="single" w:sz="4" w:space="0" w:color="auto"/>
              <w:left w:val="single" w:sz="4" w:space="0" w:color="auto"/>
              <w:bottom w:val="single" w:sz="4" w:space="0" w:color="auto"/>
              <w:right w:val="single" w:sz="4" w:space="0" w:color="auto"/>
            </w:tcBorders>
          </w:tcPr>
          <w:p w:rsidR="00902EF1" w:rsidRPr="00B059B2" w:rsidRDefault="00902EF1" w:rsidP="0023402C">
            <w:pPr>
              <w:jc w:val="center"/>
              <w:rPr>
                <w:i/>
                <w:noProof/>
              </w:rPr>
            </w:pPr>
            <w:r w:rsidRPr="00B059B2">
              <w:rPr>
                <w:i/>
              </w:rPr>
              <w:t>Pozmeňujúci návrh</w:t>
            </w:r>
          </w:p>
        </w:tc>
      </w:tr>
      <w:tr w:rsidR="00902EF1" w:rsidRPr="00B059B2" w:rsidTr="0023402C">
        <w:tc>
          <w:tcPr>
            <w:tcW w:w="4998" w:type="pct"/>
            <w:gridSpan w:val="3"/>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Tabuľka 2: Limity výfukových emisií podľa normy Euro 7 pre vozidlá kategórií M</w:t>
            </w:r>
            <w:r w:rsidRPr="00B059B2">
              <w:rPr>
                <w:vertAlign w:val="subscript"/>
              </w:rPr>
              <w:t>2</w:t>
            </w:r>
            <w:r w:rsidRPr="00B059B2">
              <w:t>, M</w:t>
            </w:r>
            <w:r w:rsidRPr="00B059B2">
              <w:rPr>
                <w:vertAlign w:val="subscript"/>
              </w:rPr>
              <w:t>3</w:t>
            </w:r>
            <w:r w:rsidRPr="00B059B2">
              <w:t>, N</w:t>
            </w:r>
            <w:r w:rsidRPr="00B059B2">
              <w:rPr>
                <w:vertAlign w:val="subscript"/>
              </w:rPr>
              <w:t>2</w:t>
            </w:r>
            <w:r w:rsidRPr="00B059B2">
              <w:t xml:space="preserve"> a N</w:t>
            </w:r>
            <w:r w:rsidRPr="00B059B2">
              <w:rPr>
                <w:vertAlign w:val="subscript"/>
              </w:rPr>
              <w:t>3</w:t>
            </w:r>
            <w:r w:rsidRPr="00B059B2">
              <w:t xml:space="preserve"> so spaľovacím motorom a pre spaľovacie motory použité v týchto vozidlách</w:t>
            </w:r>
          </w:p>
        </w:tc>
      </w:tr>
      <w:tr w:rsidR="00902EF1" w:rsidRPr="00B059B2" w:rsidTr="0023402C">
        <w:trPr>
          <w:trHeight w:val="433"/>
        </w:trPr>
        <w:tc>
          <w:tcPr>
            <w:tcW w:w="991" w:type="pct"/>
            <w:vMerge w:val="restar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rPr>
                <w:noProof/>
              </w:rPr>
            </w:pPr>
            <w:r w:rsidRPr="00B059B2">
              <w:t>Emisie znečisťujúcich látok</w:t>
            </w:r>
          </w:p>
        </w:tc>
        <w:tc>
          <w:tcPr>
            <w:tcW w:w="1886"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i/>
                <w:noProof/>
              </w:rPr>
            </w:pPr>
            <w:r w:rsidRPr="00B059B2">
              <w:rPr>
                <w:b/>
                <w:i/>
              </w:rPr>
              <w:t>WHSC (CI) a WHTC (CI a PI)</w:t>
            </w:r>
          </w:p>
        </w:tc>
        <w:tc>
          <w:tcPr>
            <w:tcW w:w="2121"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noProof/>
              </w:rPr>
            </w:pPr>
            <w:r w:rsidRPr="00B059B2">
              <w:rPr>
                <w:b/>
              </w:rPr>
              <w:t>Emisie pri skutočnej jazde (RDE)</w:t>
            </w:r>
          </w:p>
        </w:tc>
      </w:tr>
      <w:tr w:rsidR="00902EF1" w:rsidRPr="00B059B2" w:rsidTr="0023402C">
        <w:trPr>
          <w:trHeight w:val="411"/>
        </w:trPr>
        <w:tc>
          <w:tcPr>
            <w:tcW w:w="991" w:type="pct"/>
            <w:vMerge/>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rPr>
                <w:noProof/>
                <w:szCs w:val="22"/>
                <w:lang w:eastAsia="en-US"/>
              </w:rPr>
            </w:pPr>
          </w:p>
        </w:tc>
        <w:tc>
          <w:tcPr>
            <w:tcW w:w="1886"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i/>
                <w:noProof/>
              </w:rPr>
            </w:pPr>
            <w:r w:rsidRPr="00B059B2">
              <w:rPr>
                <w:i/>
              </w:rPr>
              <w:t>na kWh</w:t>
            </w:r>
          </w:p>
        </w:tc>
        <w:tc>
          <w:tcPr>
            <w:tcW w:w="2121" w:type="pct"/>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i/>
                <w:noProof/>
                <w:szCs w:val="24"/>
              </w:rPr>
            </w:pPr>
            <w:r w:rsidRPr="00B059B2">
              <w:rPr>
                <w:i/>
              </w:rPr>
              <w:t>na kWh</w:t>
            </w:r>
          </w:p>
        </w:tc>
      </w:tr>
      <w:tr w:rsidR="00902EF1" w:rsidRPr="00B059B2" w:rsidTr="0023402C">
        <w:tc>
          <w:tcPr>
            <w:tcW w:w="991"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spacing w:line="276" w:lineRule="auto"/>
              <w:rPr>
                <w:noProof/>
              </w:rPr>
            </w:pPr>
            <w:r w:rsidRPr="00B059B2">
              <w:t>NO</w:t>
            </w:r>
            <w:r w:rsidRPr="00B059B2">
              <w:rPr>
                <w:vertAlign w:val="subscript"/>
              </w:rPr>
              <w:t>x</w:t>
            </w:r>
            <w:r w:rsidRPr="00B059B2">
              <w:t xml:space="preserve"> v mg</w:t>
            </w:r>
          </w:p>
        </w:tc>
        <w:tc>
          <w:tcPr>
            <w:tcW w:w="1886"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spacing w:line="276" w:lineRule="auto"/>
              <w:jc w:val="center"/>
              <w:rPr>
                <w:b/>
                <w:i/>
                <w:noProof/>
              </w:rPr>
            </w:pPr>
            <w:r w:rsidRPr="00B059B2">
              <w:rPr>
                <w:b/>
                <w:i/>
              </w:rPr>
              <w:t>200</w:t>
            </w:r>
          </w:p>
        </w:tc>
        <w:tc>
          <w:tcPr>
            <w:tcW w:w="2121"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rPr>
            </w:pPr>
            <w:r w:rsidRPr="00B059B2">
              <w:rPr>
                <w:b/>
                <w:i/>
              </w:rPr>
              <w:t>260</w:t>
            </w:r>
          </w:p>
        </w:tc>
      </w:tr>
      <w:tr w:rsidR="00902EF1" w:rsidRPr="00B059B2" w:rsidTr="0023402C">
        <w:trPr>
          <w:trHeight w:val="50"/>
        </w:trPr>
        <w:tc>
          <w:tcPr>
            <w:tcW w:w="991"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spacing w:line="276" w:lineRule="auto"/>
              <w:rPr>
                <w:noProof/>
              </w:rPr>
            </w:pPr>
            <w:r w:rsidRPr="00B059B2">
              <w:t>PM v mg</w:t>
            </w:r>
          </w:p>
        </w:tc>
        <w:tc>
          <w:tcPr>
            <w:tcW w:w="1886"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spacing w:line="276" w:lineRule="auto"/>
              <w:jc w:val="center"/>
              <w:rPr>
                <w:b/>
                <w:i/>
                <w:noProof/>
              </w:rPr>
            </w:pPr>
            <w:r w:rsidRPr="00B059B2">
              <w:rPr>
                <w:b/>
                <w:i/>
              </w:rPr>
              <w:t>8</w:t>
            </w:r>
          </w:p>
        </w:tc>
        <w:tc>
          <w:tcPr>
            <w:tcW w:w="2121"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rPr>
            </w:pPr>
            <w:r w:rsidRPr="00B059B2">
              <w:rPr>
                <w:b/>
                <w:i/>
              </w:rPr>
              <w:t>10</w:t>
            </w:r>
          </w:p>
        </w:tc>
      </w:tr>
      <w:tr w:rsidR="00902EF1" w:rsidRPr="00B059B2" w:rsidTr="0023402C">
        <w:tc>
          <w:tcPr>
            <w:tcW w:w="991"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spacing w:line="276" w:lineRule="auto"/>
              <w:rPr>
                <w:noProof/>
              </w:rPr>
            </w:pPr>
            <w:r w:rsidRPr="00B059B2">
              <w:t>PN</w:t>
            </w:r>
            <w:r w:rsidRPr="00B059B2">
              <w:rPr>
                <w:vertAlign w:val="subscript"/>
              </w:rPr>
              <w:t xml:space="preserve">10 </w:t>
            </w:r>
            <w:r w:rsidRPr="00B059B2">
              <w:t>v #</w:t>
            </w:r>
          </w:p>
        </w:tc>
        <w:tc>
          <w:tcPr>
            <w:tcW w:w="1886"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spacing w:line="276" w:lineRule="auto"/>
              <w:jc w:val="center"/>
              <w:rPr>
                <w:b/>
                <w:i/>
                <w:noProof/>
              </w:rPr>
            </w:pPr>
            <w:r w:rsidRPr="00B059B2">
              <w:rPr>
                <w:b/>
                <w:i/>
              </w:rPr>
              <w:t>6x10</w:t>
            </w:r>
            <w:r w:rsidRPr="00B059B2">
              <w:rPr>
                <w:b/>
                <w:i/>
                <w:sz w:val="22"/>
                <w:vertAlign w:val="superscript"/>
              </w:rPr>
              <w:t>11</w:t>
            </w:r>
          </w:p>
        </w:tc>
        <w:tc>
          <w:tcPr>
            <w:tcW w:w="2121"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rPr>
            </w:pPr>
            <w:r w:rsidRPr="00B059B2">
              <w:rPr>
                <w:b/>
                <w:i/>
              </w:rPr>
              <w:t>7.8x10</w:t>
            </w:r>
            <w:r w:rsidRPr="00B059B2">
              <w:rPr>
                <w:b/>
                <w:i/>
                <w:vertAlign w:val="superscript"/>
              </w:rPr>
              <w:t>11</w:t>
            </w:r>
          </w:p>
        </w:tc>
      </w:tr>
      <w:tr w:rsidR="00902EF1" w:rsidRPr="00B059B2" w:rsidTr="0023402C">
        <w:tc>
          <w:tcPr>
            <w:tcW w:w="991"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spacing w:line="276" w:lineRule="auto"/>
              <w:rPr>
                <w:noProof/>
              </w:rPr>
            </w:pPr>
            <w:r w:rsidRPr="00B059B2">
              <w:t>CO v mg</w:t>
            </w:r>
          </w:p>
        </w:tc>
        <w:tc>
          <w:tcPr>
            <w:tcW w:w="1886"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spacing w:line="276" w:lineRule="auto"/>
              <w:jc w:val="center"/>
              <w:rPr>
                <w:b/>
                <w:i/>
                <w:noProof/>
              </w:rPr>
            </w:pPr>
            <w:r w:rsidRPr="00B059B2">
              <w:rPr>
                <w:b/>
                <w:i/>
              </w:rPr>
              <w:t>1500</w:t>
            </w:r>
          </w:p>
        </w:tc>
        <w:tc>
          <w:tcPr>
            <w:tcW w:w="2121"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rPr>
            </w:pPr>
            <w:r w:rsidRPr="00B059B2">
              <w:rPr>
                <w:b/>
                <w:i/>
              </w:rPr>
              <w:t>1950</w:t>
            </w:r>
          </w:p>
        </w:tc>
      </w:tr>
      <w:tr w:rsidR="00902EF1" w:rsidRPr="00B059B2" w:rsidTr="0023402C">
        <w:tc>
          <w:tcPr>
            <w:tcW w:w="991"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spacing w:line="276" w:lineRule="auto"/>
              <w:rPr>
                <w:noProof/>
              </w:rPr>
            </w:pPr>
            <w:r w:rsidRPr="00B059B2">
              <w:t>NMOG v mg</w:t>
            </w:r>
          </w:p>
        </w:tc>
        <w:tc>
          <w:tcPr>
            <w:tcW w:w="1886"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spacing w:line="276" w:lineRule="auto"/>
              <w:jc w:val="center"/>
              <w:rPr>
                <w:b/>
                <w:i/>
                <w:noProof/>
              </w:rPr>
            </w:pPr>
            <w:r w:rsidRPr="00B059B2">
              <w:rPr>
                <w:b/>
                <w:i/>
              </w:rPr>
              <w:t>75</w:t>
            </w:r>
          </w:p>
        </w:tc>
        <w:tc>
          <w:tcPr>
            <w:tcW w:w="2121"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rPr>
            </w:pPr>
            <w:r w:rsidRPr="00B059B2">
              <w:rPr>
                <w:b/>
                <w:i/>
              </w:rPr>
              <w:t>98</w:t>
            </w:r>
          </w:p>
        </w:tc>
      </w:tr>
      <w:tr w:rsidR="00902EF1" w:rsidRPr="00B059B2" w:rsidTr="0023402C">
        <w:tc>
          <w:tcPr>
            <w:tcW w:w="991"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spacing w:line="276" w:lineRule="auto"/>
              <w:rPr>
                <w:noProof/>
              </w:rPr>
            </w:pPr>
            <w:r w:rsidRPr="00B059B2">
              <w:t>NH</w:t>
            </w:r>
            <w:r w:rsidRPr="00B059B2">
              <w:rPr>
                <w:vertAlign w:val="subscript"/>
              </w:rPr>
              <w:t>3</w:t>
            </w:r>
            <w:r w:rsidRPr="00B059B2">
              <w:t xml:space="preserve"> v mg</w:t>
            </w:r>
          </w:p>
        </w:tc>
        <w:tc>
          <w:tcPr>
            <w:tcW w:w="1886"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spacing w:line="276" w:lineRule="auto"/>
              <w:jc w:val="center"/>
              <w:rPr>
                <w:b/>
                <w:i/>
                <w:noProof/>
              </w:rPr>
            </w:pPr>
            <w:r w:rsidRPr="00B059B2">
              <w:rPr>
                <w:b/>
                <w:i/>
              </w:rPr>
              <w:t>60</w:t>
            </w:r>
          </w:p>
        </w:tc>
        <w:tc>
          <w:tcPr>
            <w:tcW w:w="2121"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rPr>
            </w:pPr>
            <w:r w:rsidRPr="00B059B2">
              <w:rPr>
                <w:b/>
                <w:i/>
              </w:rPr>
              <w:t>78</w:t>
            </w:r>
          </w:p>
        </w:tc>
      </w:tr>
      <w:tr w:rsidR="00902EF1" w:rsidRPr="00B059B2" w:rsidTr="0023402C">
        <w:tc>
          <w:tcPr>
            <w:tcW w:w="991"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spacing w:line="276" w:lineRule="auto"/>
              <w:rPr>
                <w:noProof/>
              </w:rPr>
            </w:pPr>
            <w:r w:rsidRPr="00B059B2">
              <w:t>CH</w:t>
            </w:r>
            <w:r w:rsidRPr="00B059B2">
              <w:rPr>
                <w:vertAlign w:val="subscript"/>
              </w:rPr>
              <w:t>4</w:t>
            </w:r>
            <w:r w:rsidRPr="00B059B2">
              <w:t xml:space="preserve"> v mg</w:t>
            </w:r>
          </w:p>
        </w:tc>
        <w:tc>
          <w:tcPr>
            <w:tcW w:w="1886"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spacing w:line="276" w:lineRule="auto"/>
              <w:jc w:val="center"/>
              <w:rPr>
                <w:noProof/>
              </w:rPr>
            </w:pPr>
            <w:r w:rsidRPr="00B059B2">
              <w:t>500</w:t>
            </w:r>
          </w:p>
        </w:tc>
        <w:tc>
          <w:tcPr>
            <w:tcW w:w="2121"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rPr>
            </w:pPr>
            <w:r w:rsidRPr="00B059B2">
              <w:rPr>
                <w:b/>
                <w:i/>
              </w:rPr>
              <w:t>650</w:t>
            </w:r>
          </w:p>
        </w:tc>
      </w:tr>
      <w:tr w:rsidR="00902EF1" w:rsidRPr="00B059B2" w:rsidTr="0023402C">
        <w:tc>
          <w:tcPr>
            <w:tcW w:w="991"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spacing w:line="276" w:lineRule="auto"/>
              <w:rPr>
                <w:noProof/>
              </w:rPr>
            </w:pPr>
            <w:r w:rsidRPr="00B059B2">
              <w:t>N</w:t>
            </w:r>
            <w:r w:rsidRPr="00B059B2">
              <w:rPr>
                <w:vertAlign w:val="subscript"/>
              </w:rPr>
              <w:t>2</w:t>
            </w:r>
            <w:r w:rsidRPr="00B059B2">
              <w:t>O v mg</w:t>
            </w:r>
          </w:p>
        </w:tc>
        <w:tc>
          <w:tcPr>
            <w:tcW w:w="1886"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spacing w:line="276" w:lineRule="auto"/>
              <w:jc w:val="center"/>
              <w:rPr>
                <w:noProof/>
              </w:rPr>
            </w:pPr>
            <w:r w:rsidRPr="00B059B2">
              <w:t>160</w:t>
            </w:r>
          </w:p>
        </w:tc>
        <w:tc>
          <w:tcPr>
            <w:tcW w:w="2121" w:type="pct"/>
            <w:tcBorders>
              <w:top w:val="single" w:sz="4" w:space="0" w:color="auto"/>
              <w:left w:val="single" w:sz="4" w:space="0" w:color="auto"/>
              <w:bottom w:val="single" w:sz="4" w:space="0" w:color="auto"/>
              <w:right w:val="single" w:sz="4" w:space="0" w:color="auto"/>
            </w:tcBorders>
            <w:hideMark/>
          </w:tcPr>
          <w:p w:rsidR="00902EF1" w:rsidRPr="00B059B2" w:rsidRDefault="00481921" w:rsidP="0023402C">
            <w:pPr>
              <w:jc w:val="center"/>
              <w:rPr>
                <w:b/>
                <w:i/>
                <w:noProof/>
              </w:rPr>
            </w:pPr>
            <w:r>
              <w:rPr>
                <w:b/>
                <w:i/>
              </w:rPr>
              <w:t>208</w:t>
            </w:r>
          </w:p>
        </w:tc>
      </w:tr>
      <w:tr w:rsidR="00902EF1" w:rsidRPr="00B059B2" w:rsidTr="0023402C">
        <w:tc>
          <w:tcPr>
            <w:tcW w:w="991"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rPr>
                <w:noProof/>
              </w:rPr>
            </w:pPr>
            <w:r w:rsidRPr="00B059B2">
              <w:t>HCHO v mg</w:t>
            </w:r>
          </w:p>
        </w:tc>
        <w:tc>
          <w:tcPr>
            <w:tcW w:w="1886"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jc w:val="center"/>
              <w:rPr>
                <w:noProof/>
              </w:rPr>
            </w:pPr>
            <w:r w:rsidRPr="00B059B2">
              <w:t>30</w:t>
            </w:r>
          </w:p>
        </w:tc>
        <w:tc>
          <w:tcPr>
            <w:tcW w:w="2121" w:type="pct"/>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rPr>
            </w:pPr>
            <w:r w:rsidRPr="00B059B2">
              <w:rPr>
                <w:b/>
                <w:i/>
              </w:rPr>
              <w:t>39</w:t>
            </w:r>
          </w:p>
        </w:tc>
      </w:tr>
    </w:tbl>
    <w:p w:rsidR="00902EF1" w:rsidRPr="00B059B2" w:rsidRDefault="00902EF1" w:rsidP="00902EF1"/>
    <w:p w:rsidR="00902EF1" w:rsidRPr="00B059B2" w:rsidRDefault="00902EF1" w:rsidP="00902EF1">
      <w:pPr>
        <w:pStyle w:val="AmNumberTabs"/>
        <w:keepNext/>
      </w:pPr>
      <w:r w:rsidRPr="00B059B2">
        <w:t>Pozmeňujúci návrh</w:t>
      </w:r>
      <w:r w:rsidRPr="00B059B2">
        <w:tab/>
      </w:r>
      <w:r w:rsidRPr="00B059B2">
        <w:tab/>
        <w:t>152</w:t>
      </w:r>
    </w:p>
    <w:p w:rsidR="00902EF1" w:rsidRPr="00B059B2" w:rsidRDefault="00902EF1" w:rsidP="00902EF1">
      <w:pPr>
        <w:pStyle w:val="NormalBold12b"/>
      </w:pPr>
      <w:r w:rsidRPr="00B059B2">
        <w:t>Návrh nariadenia</w:t>
      </w:r>
    </w:p>
    <w:p w:rsidR="00902EF1" w:rsidRPr="00B059B2" w:rsidRDefault="00902EF1" w:rsidP="00902EF1">
      <w:pPr>
        <w:pStyle w:val="NormalBold"/>
        <w:keepNext/>
      </w:pPr>
      <w:r w:rsidRPr="00B059B2">
        <w:t>Príloha I – tabuľka 4 – názov</w:t>
      </w:r>
    </w:p>
    <w:tbl>
      <w:tblPr>
        <w:tblStyle w:val="TableGrid"/>
        <w:tblW w:w="0" w:type="auto"/>
        <w:tblLook w:val="04A0" w:firstRow="1" w:lastRow="0" w:firstColumn="1" w:lastColumn="0" w:noHBand="0" w:noVBand="1"/>
      </w:tblPr>
      <w:tblGrid>
        <w:gridCol w:w="4539"/>
        <w:gridCol w:w="4521"/>
      </w:tblGrid>
      <w:tr w:rsidR="00902EF1" w:rsidRPr="00B059B2" w:rsidTr="0023402C">
        <w:tc>
          <w:tcPr>
            <w:tcW w:w="4539" w:type="dxa"/>
          </w:tcPr>
          <w:p w:rsidR="00902EF1" w:rsidRPr="00B059B2" w:rsidRDefault="00902EF1" w:rsidP="0023402C">
            <w:pPr>
              <w:jc w:val="center"/>
              <w:rPr>
                <w:i/>
                <w:noProof/>
              </w:rPr>
            </w:pPr>
            <w:r w:rsidRPr="00B059B2">
              <w:rPr>
                <w:i/>
              </w:rPr>
              <w:t>Text predložený Komisiou</w:t>
            </w:r>
          </w:p>
        </w:tc>
        <w:tc>
          <w:tcPr>
            <w:tcW w:w="4521" w:type="dxa"/>
          </w:tcPr>
          <w:p w:rsidR="00902EF1" w:rsidRPr="00B059B2" w:rsidRDefault="00902EF1" w:rsidP="0023402C">
            <w:pPr>
              <w:jc w:val="center"/>
              <w:rPr>
                <w:i/>
                <w:noProof/>
              </w:rPr>
            </w:pPr>
            <w:r w:rsidRPr="00B059B2">
              <w:rPr>
                <w:i/>
              </w:rPr>
              <w:t>Pozmeňujúci návrh</w:t>
            </w:r>
          </w:p>
        </w:tc>
      </w:tr>
      <w:tr w:rsidR="00902EF1" w:rsidRPr="00B059B2" w:rsidTr="0023402C">
        <w:trPr>
          <w:trHeight w:val="888"/>
        </w:trPr>
        <w:tc>
          <w:tcPr>
            <w:tcW w:w="4539" w:type="dxa"/>
          </w:tcPr>
          <w:p w:rsidR="00902EF1" w:rsidRPr="00B059B2" w:rsidRDefault="00902EF1" w:rsidP="0023402C">
            <w:r w:rsidRPr="00B059B2">
              <w:t>Limity emisií častíc z bŕzd podľa normy Euro 7 v štandardnom jazdnom cykle, ktoré sa uplatňujú do 31. 12. 2034</w:t>
            </w:r>
          </w:p>
        </w:tc>
        <w:tc>
          <w:tcPr>
            <w:tcW w:w="4521" w:type="dxa"/>
          </w:tcPr>
          <w:p w:rsidR="00902EF1" w:rsidRPr="00B059B2" w:rsidRDefault="00902EF1" w:rsidP="0023402C">
            <w:r w:rsidRPr="00B059B2">
              <w:t xml:space="preserve">Limity emisií častíc z bŕzd podľa normy Euro 7 v štandardnom jazdnom cykle </w:t>
            </w:r>
            <w:r w:rsidRPr="00B059B2">
              <w:rPr>
                <w:b/>
                <w:bCs/>
                <w:i/>
                <w:iCs/>
              </w:rPr>
              <w:t>pre vozidlá so spaľovacím motorom</w:t>
            </w:r>
            <w:r w:rsidRPr="00B059B2">
              <w:t>, ktoré sa uplatňujú do 31. 12. 2034</w:t>
            </w:r>
          </w:p>
        </w:tc>
      </w:tr>
    </w:tbl>
    <w:p w:rsidR="00902EF1" w:rsidRPr="00B059B2" w:rsidRDefault="00902EF1" w:rsidP="00902EF1"/>
    <w:p w:rsidR="00902EF1" w:rsidRPr="00B059B2" w:rsidRDefault="00902EF1" w:rsidP="00902EF1">
      <w:pPr>
        <w:pStyle w:val="AmNumberTabs"/>
        <w:keepNext/>
      </w:pPr>
      <w:r w:rsidRPr="00B059B2">
        <w:t>Pozmeňujúci návrh</w:t>
      </w:r>
      <w:r w:rsidRPr="00B059B2">
        <w:tab/>
      </w:r>
      <w:r w:rsidRPr="00B059B2">
        <w:tab/>
        <w:t>153</w:t>
      </w:r>
    </w:p>
    <w:p w:rsidR="00902EF1" w:rsidRPr="00B059B2" w:rsidRDefault="00902EF1" w:rsidP="00902EF1">
      <w:pPr>
        <w:pStyle w:val="NormalBold12b"/>
      </w:pPr>
      <w:r w:rsidRPr="00B059B2">
        <w:t>Návrh nariadenia</w:t>
      </w:r>
    </w:p>
    <w:p w:rsidR="00902EF1" w:rsidRPr="00B059B2" w:rsidRDefault="00902EF1" w:rsidP="00902EF1">
      <w:pPr>
        <w:pStyle w:val="NormalBold"/>
        <w:keepNext/>
      </w:pPr>
      <w:r w:rsidRPr="00B059B2">
        <w:t>Príloha I – tabuľka 4 a (nová)</w:t>
      </w:r>
    </w:p>
    <w:tbl>
      <w:tblPr>
        <w:tblStyle w:val="TableGrid"/>
        <w:tblW w:w="5000" w:type="pct"/>
        <w:tblLook w:val="04A0" w:firstRow="1" w:lastRow="0" w:firstColumn="1" w:lastColumn="0" w:noHBand="0" w:noVBand="1"/>
      </w:tblPr>
      <w:tblGrid>
        <w:gridCol w:w="9060"/>
      </w:tblGrid>
      <w:tr w:rsidR="00902EF1" w:rsidRPr="00B059B2" w:rsidTr="0023402C">
        <w:tc>
          <w:tcPr>
            <w:tcW w:w="4998"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jc w:val="center"/>
              <w:rPr>
                <w:i/>
                <w:noProof/>
              </w:rPr>
            </w:pPr>
            <w:r w:rsidRPr="00B059B2">
              <w:rPr>
                <w:i/>
              </w:rPr>
              <w:t>Text predložený Komisiou</w:t>
            </w:r>
          </w:p>
        </w:tc>
      </w:tr>
      <w:tr w:rsidR="00902EF1" w:rsidRPr="00B059B2" w:rsidTr="0023402C">
        <w:tc>
          <w:tcPr>
            <w:tcW w:w="4998"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r>
    </w:tbl>
    <w:p w:rsidR="00902EF1" w:rsidRPr="00B059B2" w:rsidRDefault="00902EF1" w:rsidP="00902EF1">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902EF1" w:rsidRPr="00B059B2" w:rsidTr="0023402C">
        <w:tc>
          <w:tcPr>
            <w:tcW w:w="4998" w:type="pct"/>
            <w:gridSpan w:val="4"/>
            <w:tcBorders>
              <w:top w:val="single" w:sz="4" w:space="0" w:color="auto"/>
              <w:left w:val="single" w:sz="4" w:space="0" w:color="auto"/>
              <w:bottom w:val="single" w:sz="4" w:space="0" w:color="auto"/>
              <w:right w:val="single" w:sz="4" w:space="0" w:color="auto"/>
            </w:tcBorders>
          </w:tcPr>
          <w:p w:rsidR="00902EF1" w:rsidRPr="00B059B2" w:rsidRDefault="00902EF1" w:rsidP="0023402C">
            <w:pPr>
              <w:jc w:val="center"/>
              <w:rPr>
                <w:i/>
                <w:noProof/>
              </w:rPr>
            </w:pPr>
            <w:r w:rsidRPr="00B059B2">
              <w:rPr>
                <w:i/>
              </w:rPr>
              <w:t>Pozmeňujúci návrh</w:t>
            </w:r>
          </w:p>
        </w:tc>
      </w:tr>
      <w:tr w:rsidR="00902EF1" w:rsidRPr="00B059B2" w:rsidTr="0023402C">
        <w:tc>
          <w:tcPr>
            <w:tcW w:w="4998" w:type="pct"/>
            <w:gridSpan w:val="4"/>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rPr>
                <w:b/>
                <w:i/>
              </w:rPr>
              <w:t>Tabuľka 4a: Limity emisií častíc z bŕzd podľa normy Euro 7 v štandardnom jazdnom cykle pre vozidlá výlučne na elektrický pohon, vozidlá s palivovými článkami a hybridné elektrické vozidlá, ktoré sa uplatňujú do 31. 12. 2029</w:t>
            </w:r>
            <w:r w:rsidRPr="00B059B2">
              <w:rPr>
                <w:i/>
              </w:rPr>
              <w:t xml:space="preserve"> </w:t>
            </w:r>
          </w:p>
        </w:tc>
      </w:tr>
      <w:tr w:rsidR="00902EF1" w:rsidRPr="00B059B2" w:rsidTr="0023402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pStyle w:val="TableParagraph"/>
              <w:kinsoku w:val="0"/>
              <w:overflowPunct w:val="0"/>
              <w:spacing w:before="119"/>
              <w:ind w:left="107"/>
              <w:jc w:val="center"/>
              <w:rPr>
                <w:b/>
                <w:bCs/>
                <w:i/>
                <w:spacing w:val="-2"/>
                <w:sz w:val="24"/>
                <w:szCs w:val="24"/>
              </w:rPr>
            </w:pPr>
            <w:r w:rsidRPr="00B059B2">
              <w:rPr>
                <w:b/>
                <w:i/>
                <w:sz w:val="24"/>
              </w:rPr>
              <w:t>Emisné limity v mg/km na vozidlo</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pStyle w:val="TableParagraph"/>
              <w:kinsoku w:val="0"/>
              <w:overflowPunct w:val="0"/>
              <w:spacing w:before="118"/>
              <w:ind w:left="108"/>
              <w:jc w:val="center"/>
              <w:rPr>
                <w:b/>
                <w:bCs/>
                <w:i/>
                <w:spacing w:val="-2"/>
                <w:position w:val="1"/>
                <w:sz w:val="24"/>
                <w:szCs w:val="24"/>
              </w:rPr>
            </w:pPr>
            <w:r w:rsidRPr="00B059B2">
              <w:rPr>
                <w:b/>
                <w:i/>
                <w:sz w:val="24"/>
              </w:rPr>
              <w:t>Vozidlá kategórií M1, N1</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pStyle w:val="TableParagraph"/>
              <w:kinsoku w:val="0"/>
              <w:overflowPunct w:val="0"/>
              <w:spacing w:before="118"/>
              <w:jc w:val="center"/>
              <w:rPr>
                <w:b/>
                <w:bCs/>
                <w:i/>
                <w:spacing w:val="-2"/>
                <w:position w:val="1"/>
                <w:sz w:val="24"/>
                <w:szCs w:val="24"/>
              </w:rPr>
            </w:pPr>
            <w:r w:rsidRPr="00B059B2">
              <w:rPr>
                <w:b/>
                <w:i/>
                <w:sz w:val="24"/>
              </w:rPr>
              <w:t>Vozidlá kategórií M</w:t>
            </w:r>
            <w:r w:rsidRPr="00B059B2">
              <w:rPr>
                <w:b/>
                <w:i/>
                <w:sz w:val="24"/>
                <w:vertAlign w:val="subscript"/>
              </w:rPr>
              <w:t>2</w:t>
            </w:r>
            <w:r w:rsidRPr="00B059B2">
              <w:rPr>
                <w:b/>
                <w:i/>
                <w:sz w:val="24"/>
              </w:rPr>
              <w:t>, M</w:t>
            </w:r>
            <w:r w:rsidRPr="00B059B2">
              <w:rPr>
                <w:b/>
                <w:i/>
                <w:sz w:val="24"/>
                <w:vertAlign w:val="subscript"/>
              </w:rPr>
              <w:t>3</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pStyle w:val="TableParagraph"/>
              <w:kinsoku w:val="0"/>
              <w:overflowPunct w:val="0"/>
              <w:spacing w:before="118"/>
              <w:jc w:val="center"/>
              <w:rPr>
                <w:b/>
                <w:bCs/>
                <w:i/>
                <w:spacing w:val="-2"/>
                <w:position w:val="1"/>
                <w:sz w:val="24"/>
                <w:szCs w:val="24"/>
              </w:rPr>
            </w:pPr>
            <w:r w:rsidRPr="00B059B2">
              <w:rPr>
                <w:b/>
                <w:i/>
                <w:sz w:val="24"/>
              </w:rPr>
              <w:t>Vozidlá kategórií N</w:t>
            </w:r>
            <w:r w:rsidRPr="00B059B2">
              <w:rPr>
                <w:b/>
                <w:i/>
                <w:sz w:val="24"/>
                <w:vertAlign w:val="subscript"/>
              </w:rPr>
              <w:t>2</w:t>
            </w:r>
            <w:r w:rsidRPr="00B059B2">
              <w:rPr>
                <w:b/>
                <w:i/>
                <w:sz w:val="24"/>
              </w:rPr>
              <w:t>, N</w:t>
            </w:r>
            <w:r w:rsidRPr="00B059B2">
              <w:rPr>
                <w:b/>
                <w:i/>
                <w:sz w:val="24"/>
                <w:vertAlign w:val="subscript"/>
              </w:rPr>
              <w:t>3</w:t>
            </w:r>
          </w:p>
        </w:tc>
      </w:tr>
      <w:tr w:rsidR="00902EF1" w:rsidRPr="00B059B2" w:rsidTr="0023402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jc w:val="center"/>
              <w:rPr>
                <w:b/>
                <w:i/>
                <w:szCs w:val="24"/>
              </w:rPr>
            </w:pPr>
            <w:r w:rsidRPr="00B059B2">
              <w:rPr>
                <w:b/>
                <w:i/>
              </w:rPr>
              <w:t>Emisie častíc z bŕzd (PM10)</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jc w:val="center"/>
              <w:rPr>
                <w:b/>
                <w:i/>
                <w:szCs w:val="24"/>
              </w:rPr>
            </w:pPr>
            <w:r w:rsidRPr="00B059B2">
              <w:rPr>
                <w:b/>
                <w:i/>
              </w:rPr>
              <w:t>3</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jc w:val="center"/>
              <w:rPr>
                <w:b/>
                <w:i/>
                <w:szCs w:val="24"/>
              </w:rPr>
            </w:pPr>
          </w:p>
        </w:tc>
      </w:tr>
      <w:tr w:rsidR="00902EF1" w:rsidRPr="00B059B2" w:rsidTr="0023402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pStyle w:val="Default"/>
              <w:jc w:val="center"/>
              <w:rPr>
                <w:b/>
                <w:bCs/>
                <w:i/>
                <w:color w:val="auto"/>
              </w:rPr>
            </w:pPr>
            <w:r w:rsidRPr="00B059B2">
              <w:rPr>
                <w:b/>
                <w:i/>
                <w:color w:val="auto"/>
              </w:rPr>
              <w:t>Emisie častíc z bŕzd (PN)</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pStyle w:val="Default"/>
              <w:jc w:val="center"/>
              <w:rPr>
                <w:b/>
                <w:bCs/>
                <w:i/>
                <w:color w:val="auto"/>
              </w:rPr>
            </w:pPr>
          </w:p>
        </w:tc>
      </w:tr>
    </w:tbl>
    <w:p w:rsidR="00902EF1" w:rsidRPr="00B059B2" w:rsidRDefault="00902EF1" w:rsidP="00902EF1"/>
    <w:p w:rsidR="00902EF1" w:rsidRPr="00B059B2" w:rsidRDefault="00902EF1" w:rsidP="00902EF1">
      <w:pPr>
        <w:pStyle w:val="AmNumberTabs"/>
        <w:keepNext/>
      </w:pPr>
      <w:r w:rsidRPr="00B059B2">
        <w:t>Pozmeňujúci návrh</w:t>
      </w:r>
      <w:r w:rsidRPr="00B059B2">
        <w:tab/>
      </w:r>
      <w:r w:rsidRPr="00B059B2">
        <w:tab/>
        <w:t>154</w:t>
      </w:r>
    </w:p>
    <w:p w:rsidR="00902EF1" w:rsidRPr="00B059B2" w:rsidRDefault="00902EF1" w:rsidP="00902EF1">
      <w:pPr>
        <w:pStyle w:val="NormalBold12b"/>
      </w:pPr>
      <w:r w:rsidRPr="00B059B2">
        <w:t>Návrh nariadenia</w:t>
      </w:r>
    </w:p>
    <w:p w:rsidR="00902EF1" w:rsidRPr="00B059B2" w:rsidRDefault="00902EF1" w:rsidP="00902EF1">
      <w:pPr>
        <w:pStyle w:val="NormalBold"/>
        <w:keepNext/>
      </w:pPr>
      <w:r w:rsidRPr="00B059B2">
        <w:t>Príloha I – tabuľka 4 b (nový)</w:t>
      </w:r>
    </w:p>
    <w:tbl>
      <w:tblPr>
        <w:tblStyle w:val="TableGrid"/>
        <w:tblW w:w="5000" w:type="pct"/>
        <w:tblLook w:val="04A0" w:firstRow="1" w:lastRow="0" w:firstColumn="1" w:lastColumn="0" w:noHBand="0" w:noVBand="1"/>
      </w:tblPr>
      <w:tblGrid>
        <w:gridCol w:w="9060"/>
      </w:tblGrid>
      <w:tr w:rsidR="00902EF1" w:rsidRPr="00B059B2" w:rsidTr="0023402C">
        <w:tc>
          <w:tcPr>
            <w:tcW w:w="4998"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jc w:val="center"/>
              <w:rPr>
                <w:i/>
                <w:noProof/>
              </w:rPr>
            </w:pPr>
            <w:r w:rsidRPr="00B059B2">
              <w:rPr>
                <w:i/>
              </w:rPr>
              <w:t>Text predložený Komisiou</w:t>
            </w:r>
          </w:p>
        </w:tc>
      </w:tr>
      <w:tr w:rsidR="00902EF1" w:rsidRPr="00B059B2" w:rsidTr="0023402C">
        <w:tc>
          <w:tcPr>
            <w:tcW w:w="4998"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r>
    </w:tbl>
    <w:p w:rsidR="00902EF1" w:rsidRPr="00B059B2" w:rsidRDefault="00902EF1" w:rsidP="00902EF1">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902EF1" w:rsidRPr="00B059B2" w:rsidTr="0023402C">
        <w:tc>
          <w:tcPr>
            <w:tcW w:w="4998" w:type="pct"/>
            <w:gridSpan w:val="4"/>
            <w:tcBorders>
              <w:top w:val="single" w:sz="4" w:space="0" w:color="auto"/>
              <w:left w:val="single" w:sz="4" w:space="0" w:color="auto"/>
              <w:bottom w:val="single" w:sz="4" w:space="0" w:color="auto"/>
              <w:right w:val="single" w:sz="4" w:space="0" w:color="auto"/>
            </w:tcBorders>
          </w:tcPr>
          <w:p w:rsidR="00902EF1" w:rsidRPr="00B059B2" w:rsidRDefault="00902EF1" w:rsidP="0023402C">
            <w:pPr>
              <w:jc w:val="center"/>
              <w:rPr>
                <w:i/>
                <w:noProof/>
              </w:rPr>
            </w:pPr>
            <w:r w:rsidRPr="00B059B2">
              <w:rPr>
                <w:i/>
              </w:rPr>
              <w:t>Pozmeňujúci návrh</w:t>
            </w:r>
          </w:p>
        </w:tc>
      </w:tr>
      <w:tr w:rsidR="00902EF1" w:rsidRPr="00B059B2" w:rsidTr="0023402C">
        <w:tc>
          <w:tcPr>
            <w:tcW w:w="4998" w:type="pct"/>
            <w:gridSpan w:val="4"/>
            <w:tcBorders>
              <w:top w:val="single" w:sz="4" w:space="0" w:color="auto"/>
              <w:left w:val="single" w:sz="4" w:space="0" w:color="auto"/>
              <w:bottom w:val="single" w:sz="4" w:space="0" w:color="auto"/>
              <w:right w:val="single" w:sz="4" w:space="0" w:color="auto"/>
            </w:tcBorders>
          </w:tcPr>
          <w:p w:rsidR="00902EF1" w:rsidRPr="00B059B2" w:rsidRDefault="00902EF1" w:rsidP="0023402C">
            <w:pPr>
              <w:rPr>
                <w:b/>
                <w:i/>
                <w:szCs w:val="24"/>
              </w:rPr>
            </w:pPr>
            <w:r w:rsidRPr="00B059B2">
              <w:rPr>
                <w:b/>
                <w:i/>
              </w:rPr>
              <w:t>Tabuľka 4b: Limity emisií častíc z bŕzd podľa normy Euro 7 v štandardnom jazdnom cykle pre vozidlá výlučne na elektrický pohon, vozidlá s palivovými článkami a hybridné elektrické vozidlá, ktoré sa uplatňujú od 1. 1. 2030</w:t>
            </w:r>
          </w:p>
          <w:p w:rsidR="00902EF1" w:rsidRPr="00B059B2" w:rsidRDefault="00902EF1" w:rsidP="0023402C">
            <w:pPr>
              <w:rPr>
                <w:noProof/>
              </w:rPr>
            </w:pPr>
          </w:p>
        </w:tc>
      </w:tr>
      <w:tr w:rsidR="00902EF1" w:rsidRPr="00B059B2" w:rsidTr="0023402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pStyle w:val="TableParagraph"/>
              <w:kinsoku w:val="0"/>
              <w:overflowPunct w:val="0"/>
              <w:spacing w:before="119"/>
              <w:ind w:left="107"/>
              <w:jc w:val="center"/>
              <w:rPr>
                <w:b/>
                <w:bCs/>
                <w:i/>
                <w:spacing w:val="-2"/>
                <w:sz w:val="24"/>
                <w:szCs w:val="24"/>
              </w:rPr>
            </w:pPr>
            <w:r w:rsidRPr="00B059B2">
              <w:rPr>
                <w:b/>
                <w:i/>
                <w:sz w:val="24"/>
              </w:rPr>
              <w:t>Emisné limity v mg/km na vozidlo</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pStyle w:val="TableParagraph"/>
              <w:kinsoku w:val="0"/>
              <w:overflowPunct w:val="0"/>
              <w:spacing w:before="118"/>
              <w:ind w:left="108"/>
              <w:jc w:val="center"/>
              <w:rPr>
                <w:b/>
                <w:bCs/>
                <w:i/>
                <w:spacing w:val="-2"/>
                <w:position w:val="1"/>
                <w:sz w:val="24"/>
                <w:szCs w:val="24"/>
              </w:rPr>
            </w:pPr>
            <w:r w:rsidRPr="00B059B2">
              <w:rPr>
                <w:b/>
                <w:i/>
                <w:sz w:val="24"/>
              </w:rPr>
              <w:t>Vozidlá kategórií M1, N1</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pStyle w:val="TableParagraph"/>
              <w:kinsoku w:val="0"/>
              <w:overflowPunct w:val="0"/>
              <w:spacing w:before="118"/>
              <w:jc w:val="center"/>
              <w:rPr>
                <w:b/>
                <w:bCs/>
                <w:i/>
                <w:spacing w:val="-2"/>
                <w:position w:val="1"/>
                <w:sz w:val="24"/>
                <w:szCs w:val="24"/>
              </w:rPr>
            </w:pPr>
            <w:r w:rsidRPr="00B059B2">
              <w:rPr>
                <w:b/>
                <w:i/>
                <w:sz w:val="24"/>
              </w:rPr>
              <w:t>Vozidlá kategórií M</w:t>
            </w:r>
            <w:r w:rsidRPr="00B059B2">
              <w:rPr>
                <w:b/>
                <w:i/>
                <w:sz w:val="24"/>
                <w:vertAlign w:val="subscript"/>
              </w:rPr>
              <w:t>2</w:t>
            </w:r>
            <w:r w:rsidRPr="00B059B2">
              <w:rPr>
                <w:b/>
                <w:i/>
                <w:sz w:val="24"/>
              </w:rPr>
              <w:t>, M</w:t>
            </w:r>
            <w:r w:rsidRPr="00B059B2">
              <w:rPr>
                <w:b/>
                <w:i/>
                <w:sz w:val="24"/>
                <w:vertAlign w:val="subscript"/>
              </w:rPr>
              <w:t>3</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pStyle w:val="TableParagraph"/>
              <w:kinsoku w:val="0"/>
              <w:overflowPunct w:val="0"/>
              <w:spacing w:before="118"/>
              <w:jc w:val="center"/>
              <w:rPr>
                <w:b/>
                <w:bCs/>
                <w:i/>
                <w:spacing w:val="-2"/>
                <w:position w:val="1"/>
                <w:sz w:val="24"/>
                <w:szCs w:val="24"/>
              </w:rPr>
            </w:pPr>
            <w:r w:rsidRPr="00B059B2">
              <w:rPr>
                <w:b/>
                <w:i/>
                <w:sz w:val="24"/>
              </w:rPr>
              <w:t>Vozidlá kategórií N</w:t>
            </w:r>
            <w:r w:rsidRPr="00B059B2">
              <w:rPr>
                <w:b/>
                <w:i/>
                <w:sz w:val="24"/>
                <w:vertAlign w:val="subscript"/>
              </w:rPr>
              <w:t>2</w:t>
            </w:r>
            <w:r w:rsidRPr="00B059B2">
              <w:rPr>
                <w:b/>
                <w:i/>
                <w:sz w:val="24"/>
              </w:rPr>
              <w:t>, N</w:t>
            </w:r>
            <w:r w:rsidRPr="00B059B2">
              <w:rPr>
                <w:b/>
                <w:i/>
                <w:sz w:val="24"/>
                <w:vertAlign w:val="subscript"/>
              </w:rPr>
              <w:t>3</w:t>
            </w:r>
          </w:p>
        </w:tc>
      </w:tr>
      <w:tr w:rsidR="00902EF1" w:rsidRPr="00B059B2" w:rsidTr="0023402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jc w:val="center"/>
              <w:rPr>
                <w:b/>
                <w:i/>
                <w:szCs w:val="24"/>
              </w:rPr>
            </w:pPr>
            <w:r w:rsidRPr="00B059B2">
              <w:rPr>
                <w:b/>
                <w:i/>
              </w:rPr>
              <w:lastRenderedPageBreak/>
              <w:t>Emisie častíc z bŕzd (PM10)</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jc w:val="center"/>
              <w:rPr>
                <w:b/>
                <w:i/>
                <w:szCs w:val="24"/>
              </w:rPr>
            </w:pPr>
          </w:p>
        </w:tc>
      </w:tr>
      <w:tr w:rsidR="00902EF1" w:rsidRPr="00B059B2" w:rsidTr="0023402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pStyle w:val="Default"/>
              <w:jc w:val="center"/>
              <w:rPr>
                <w:b/>
                <w:bCs/>
                <w:i/>
                <w:color w:val="auto"/>
              </w:rPr>
            </w:pPr>
            <w:r w:rsidRPr="00B059B2">
              <w:rPr>
                <w:b/>
                <w:i/>
                <w:color w:val="auto"/>
              </w:rPr>
              <w:t>Emisie častíc z bŕzd (PN)</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pStyle w:val="Default"/>
              <w:jc w:val="center"/>
              <w:rPr>
                <w:b/>
                <w:bCs/>
                <w:i/>
                <w:color w:val="auto"/>
              </w:rPr>
            </w:pP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pStyle w:val="Default"/>
              <w:jc w:val="center"/>
              <w:rPr>
                <w:b/>
                <w:bCs/>
                <w:i/>
                <w:color w:val="auto"/>
              </w:rPr>
            </w:pPr>
          </w:p>
        </w:tc>
      </w:tr>
    </w:tbl>
    <w:p w:rsidR="00902EF1" w:rsidRPr="00B059B2" w:rsidRDefault="00902EF1" w:rsidP="00902EF1"/>
    <w:p w:rsidR="00902EF1" w:rsidRPr="00B059B2" w:rsidRDefault="00902EF1" w:rsidP="00902EF1">
      <w:pPr>
        <w:pStyle w:val="AmNumberTabs"/>
        <w:keepNext/>
      </w:pPr>
      <w:r w:rsidRPr="00B059B2">
        <w:t>Pozmeňujúci návrh</w:t>
      </w:r>
      <w:r w:rsidRPr="00B059B2">
        <w:tab/>
      </w:r>
      <w:r w:rsidRPr="00B059B2">
        <w:tab/>
        <w:t>155</w:t>
      </w:r>
    </w:p>
    <w:p w:rsidR="00902EF1" w:rsidRPr="00B059B2" w:rsidRDefault="00902EF1" w:rsidP="00902EF1">
      <w:pPr>
        <w:pStyle w:val="NormalBold12b"/>
      </w:pPr>
      <w:r w:rsidRPr="00B059B2">
        <w:t>Návrh nariadenia</w:t>
      </w:r>
    </w:p>
    <w:p w:rsidR="00902EF1" w:rsidRPr="00B059B2" w:rsidRDefault="00902EF1" w:rsidP="00902EF1">
      <w:pPr>
        <w:pStyle w:val="NormalBold"/>
        <w:keepNext/>
      </w:pPr>
      <w:r w:rsidRPr="00B059B2">
        <w:t>Príloha I – tabuľka 5</w:t>
      </w:r>
    </w:p>
    <w:tbl>
      <w:tblPr>
        <w:tblStyle w:val="TableGrid"/>
        <w:tblW w:w="5000" w:type="pct"/>
        <w:tblLook w:val="04A0" w:firstRow="1" w:lastRow="0" w:firstColumn="1" w:lastColumn="0" w:noHBand="0" w:noVBand="1"/>
      </w:tblPr>
      <w:tblGrid>
        <w:gridCol w:w="2264"/>
        <w:gridCol w:w="2264"/>
        <w:gridCol w:w="2263"/>
        <w:gridCol w:w="2269"/>
      </w:tblGrid>
      <w:tr w:rsidR="00902EF1" w:rsidRPr="00B059B2" w:rsidTr="0023402C">
        <w:tc>
          <w:tcPr>
            <w:tcW w:w="4998" w:type="pct"/>
            <w:gridSpan w:val="4"/>
            <w:tcBorders>
              <w:top w:val="single" w:sz="4" w:space="0" w:color="auto"/>
              <w:left w:val="single" w:sz="4" w:space="0" w:color="auto"/>
              <w:bottom w:val="single" w:sz="4" w:space="0" w:color="auto"/>
              <w:right w:val="single" w:sz="4" w:space="0" w:color="auto"/>
            </w:tcBorders>
          </w:tcPr>
          <w:p w:rsidR="00902EF1" w:rsidRPr="00B059B2" w:rsidRDefault="00902EF1" w:rsidP="0023402C">
            <w:pPr>
              <w:jc w:val="center"/>
              <w:rPr>
                <w:i/>
                <w:noProof/>
              </w:rPr>
            </w:pPr>
            <w:r w:rsidRPr="00B059B2">
              <w:rPr>
                <w:i/>
              </w:rPr>
              <w:t>Text predložený Komisiou</w:t>
            </w:r>
          </w:p>
        </w:tc>
      </w:tr>
      <w:tr w:rsidR="00902EF1" w:rsidRPr="00B059B2" w:rsidTr="0023402C">
        <w:tc>
          <w:tcPr>
            <w:tcW w:w="4998" w:type="pct"/>
            <w:gridSpan w:val="4"/>
            <w:tcBorders>
              <w:top w:val="single" w:sz="4" w:space="0" w:color="auto"/>
              <w:left w:val="single" w:sz="4" w:space="0" w:color="auto"/>
              <w:bottom w:val="single" w:sz="4" w:space="0" w:color="auto"/>
              <w:right w:val="single" w:sz="4" w:space="0" w:color="auto"/>
            </w:tcBorders>
          </w:tcPr>
          <w:p w:rsidR="00902EF1" w:rsidRPr="00B059B2" w:rsidRDefault="00902EF1" w:rsidP="0023402C">
            <w:pPr>
              <w:rPr>
                <w:i/>
                <w:noProof/>
              </w:rPr>
            </w:pPr>
            <w:r w:rsidRPr="00B059B2">
              <w:t>Tabuľka 5: Limity emisie častíc z bŕzd podľa normy Euro 7, ktoré sa uplatňujú od 1. 1. 2035</w:t>
            </w:r>
          </w:p>
        </w:tc>
      </w:tr>
      <w:tr w:rsidR="00902EF1" w:rsidRPr="00B059B2" w:rsidTr="0023402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Emisné limity v mg/km na vozidlo</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Vozidlá kategórií M</w:t>
            </w:r>
            <w:r w:rsidRPr="00B059B2">
              <w:rPr>
                <w:vertAlign w:val="subscript"/>
              </w:rPr>
              <w:t>1</w:t>
            </w:r>
            <w:r w:rsidRPr="00B059B2">
              <w:t>, N</w:t>
            </w:r>
            <w:r w:rsidRPr="00B059B2">
              <w:rPr>
                <w:vertAlign w:val="subscript"/>
              </w:rPr>
              <w:t>1</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Vozidlá kategórií M</w:t>
            </w:r>
            <w:r w:rsidRPr="00B059B2">
              <w:rPr>
                <w:vertAlign w:val="subscript"/>
              </w:rPr>
              <w:t>2</w:t>
            </w:r>
            <w:r w:rsidRPr="00B059B2">
              <w:t>, M</w:t>
            </w:r>
            <w:r w:rsidRPr="00B059B2">
              <w:rPr>
                <w:vertAlign w:val="subscript"/>
              </w:rPr>
              <w:t>3</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Vozidlá kategórií N</w:t>
            </w:r>
            <w:r w:rsidRPr="00B059B2">
              <w:rPr>
                <w:vertAlign w:val="subscript"/>
              </w:rPr>
              <w:t>2</w:t>
            </w:r>
            <w:r w:rsidRPr="00B059B2">
              <w:t>, N</w:t>
            </w:r>
            <w:r w:rsidRPr="00B059B2">
              <w:rPr>
                <w:vertAlign w:val="subscript"/>
              </w:rPr>
              <w:t>3</w:t>
            </w:r>
          </w:p>
        </w:tc>
      </w:tr>
      <w:tr w:rsidR="00902EF1" w:rsidRPr="00B059B2" w:rsidTr="0023402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Emisie častíc z bŕzd (PM</w:t>
            </w:r>
            <w:r w:rsidRPr="00B059B2">
              <w:rPr>
                <w:vertAlign w:val="subscript"/>
              </w:rPr>
              <w:t>10</w:t>
            </w:r>
            <w:r w:rsidRPr="00B059B2">
              <w:t>)</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b/>
                <w:i/>
                <w:noProof/>
              </w:rPr>
            </w:pPr>
            <w:r w:rsidRPr="00B059B2">
              <w:rPr>
                <w:b/>
                <w:i/>
              </w:rPr>
              <w:t>3</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r>
      <w:tr w:rsidR="00902EF1" w:rsidRPr="00B059B2" w:rsidTr="0023402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Emisie častíc z bŕzd (PN)</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r>
    </w:tbl>
    <w:p w:rsidR="00902EF1" w:rsidRPr="00B059B2" w:rsidRDefault="00902EF1" w:rsidP="00902EF1">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902EF1" w:rsidRPr="00B059B2" w:rsidTr="0023402C">
        <w:tc>
          <w:tcPr>
            <w:tcW w:w="4998" w:type="pct"/>
            <w:gridSpan w:val="4"/>
            <w:tcBorders>
              <w:top w:val="single" w:sz="4" w:space="0" w:color="auto"/>
              <w:left w:val="single" w:sz="4" w:space="0" w:color="auto"/>
              <w:bottom w:val="single" w:sz="4" w:space="0" w:color="auto"/>
              <w:right w:val="single" w:sz="4" w:space="0" w:color="auto"/>
            </w:tcBorders>
          </w:tcPr>
          <w:p w:rsidR="00902EF1" w:rsidRPr="00B059B2" w:rsidRDefault="00902EF1" w:rsidP="0023402C">
            <w:pPr>
              <w:jc w:val="center"/>
              <w:rPr>
                <w:i/>
                <w:noProof/>
              </w:rPr>
            </w:pPr>
            <w:r w:rsidRPr="00B059B2">
              <w:rPr>
                <w:i/>
              </w:rPr>
              <w:t>Pozmeňujúci návrh</w:t>
            </w:r>
          </w:p>
        </w:tc>
      </w:tr>
      <w:tr w:rsidR="00902EF1" w:rsidRPr="00B059B2" w:rsidTr="0023402C">
        <w:tc>
          <w:tcPr>
            <w:tcW w:w="4998" w:type="pct"/>
            <w:gridSpan w:val="4"/>
            <w:tcBorders>
              <w:top w:val="single" w:sz="4" w:space="0" w:color="auto"/>
              <w:left w:val="single" w:sz="4" w:space="0" w:color="auto"/>
              <w:bottom w:val="single" w:sz="4" w:space="0" w:color="auto"/>
              <w:right w:val="single" w:sz="4" w:space="0" w:color="auto"/>
            </w:tcBorders>
          </w:tcPr>
          <w:p w:rsidR="00902EF1" w:rsidRPr="00B059B2" w:rsidRDefault="00902EF1" w:rsidP="0023402C">
            <w:pPr>
              <w:rPr>
                <w:i/>
                <w:noProof/>
              </w:rPr>
            </w:pPr>
            <w:r w:rsidRPr="00B059B2">
              <w:t>Tabuľka 5: Limity emisií častíc z bŕzd podľa normy Euro 7 v </w:t>
            </w:r>
            <w:r w:rsidRPr="00B059B2">
              <w:rPr>
                <w:b/>
                <w:bCs/>
                <w:i/>
                <w:iCs/>
              </w:rPr>
              <w:t>štandardnom jazdnom cykle pre všetky vozidlá</w:t>
            </w:r>
            <w:r w:rsidRPr="00B059B2">
              <w:t>, ktoré sa uplatňujú od 1. 1. 2035</w:t>
            </w:r>
          </w:p>
        </w:tc>
      </w:tr>
      <w:tr w:rsidR="00902EF1" w:rsidRPr="00B059B2" w:rsidTr="0023402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Emisné limity v mg/km na vozidlo</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Vozidlá kategórií M</w:t>
            </w:r>
            <w:r w:rsidRPr="00B059B2">
              <w:rPr>
                <w:vertAlign w:val="subscript"/>
              </w:rPr>
              <w:t>1</w:t>
            </w:r>
            <w:r w:rsidRPr="00B059B2">
              <w:t>, N</w:t>
            </w:r>
            <w:r w:rsidRPr="00B059B2">
              <w:rPr>
                <w:vertAlign w:val="subscript"/>
              </w:rPr>
              <w:t>1</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Vozidlá kategórií M</w:t>
            </w:r>
            <w:r w:rsidRPr="00B059B2">
              <w:rPr>
                <w:vertAlign w:val="subscript"/>
              </w:rPr>
              <w:t>2</w:t>
            </w:r>
            <w:r w:rsidRPr="00B059B2">
              <w:t>, M</w:t>
            </w:r>
            <w:r w:rsidRPr="00B059B2">
              <w:rPr>
                <w:vertAlign w:val="subscript"/>
              </w:rPr>
              <w:t>3</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Vozidlá kategórií N</w:t>
            </w:r>
            <w:r w:rsidRPr="00B059B2">
              <w:rPr>
                <w:vertAlign w:val="subscript"/>
              </w:rPr>
              <w:t>2</w:t>
            </w:r>
            <w:r w:rsidRPr="00B059B2">
              <w:t>, N</w:t>
            </w:r>
            <w:r w:rsidRPr="00B059B2">
              <w:rPr>
                <w:vertAlign w:val="subscript"/>
              </w:rPr>
              <w:t>3</w:t>
            </w:r>
          </w:p>
        </w:tc>
      </w:tr>
      <w:tr w:rsidR="00902EF1" w:rsidRPr="00B059B2" w:rsidTr="0023402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Emisie častíc z bŕzd (PM</w:t>
            </w:r>
            <w:r w:rsidRPr="00B059B2">
              <w:rPr>
                <w:vertAlign w:val="subscript"/>
              </w:rPr>
              <w:t>10</w:t>
            </w:r>
            <w:r w:rsidRPr="00B059B2">
              <w:t>)</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b/>
                <w:i/>
                <w:noProof/>
              </w:rPr>
            </w:pP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r>
      <w:tr w:rsidR="00902EF1" w:rsidRPr="00B059B2" w:rsidTr="0023402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Emisie častíc z bŕzd (PN)</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r>
    </w:tbl>
    <w:p w:rsidR="00902EF1" w:rsidRPr="00B059B2" w:rsidRDefault="00902EF1" w:rsidP="00902EF1"/>
    <w:p w:rsidR="00902EF1" w:rsidRPr="00B059B2" w:rsidRDefault="00902EF1" w:rsidP="00902EF1">
      <w:pPr>
        <w:pStyle w:val="AmNumberTabs"/>
        <w:keepNext/>
      </w:pPr>
      <w:r w:rsidRPr="00B059B2">
        <w:t>Pozmeňujúci návrh</w:t>
      </w:r>
      <w:r w:rsidRPr="00B059B2">
        <w:tab/>
      </w:r>
      <w:r w:rsidRPr="00B059B2">
        <w:tab/>
        <w:t>156</w:t>
      </w:r>
    </w:p>
    <w:p w:rsidR="00902EF1" w:rsidRPr="00B059B2" w:rsidRDefault="00902EF1" w:rsidP="00902EF1">
      <w:pPr>
        <w:pStyle w:val="NormalBold12b"/>
      </w:pPr>
      <w:r w:rsidRPr="00B059B2">
        <w:t>Návrh nariadenia</w:t>
      </w:r>
    </w:p>
    <w:p w:rsidR="00902EF1" w:rsidRPr="00B059B2" w:rsidRDefault="00902EF1" w:rsidP="00902EF1">
      <w:pPr>
        <w:pStyle w:val="NormalBold"/>
        <w:keepNext/>
      </w:pPr>
      <w:r w:rsidRPr="00B059B2">
        <w:t>Príloha I – tabuľka 6</w:t>
      </w:r>
    </w:p>
    <w:tbl>
      <w:tblPr>
        <w:tblStyle w:val="TableGrid"/>
        <w:tblW w:w="5000" w:type="pct"/>
        <w:tblLook w:val="04A0" w:firstRow="1" w:lastRow="0" w:firstColumn="1" w:lastColumn="0" w:noHBand="0" w:noVBand="1"/>
      </w:tblPr>
      <w:tblGrid>
        <w:gridCol w:w="2264"/>
        <w:gridCol w:w="2264"/>
        <w:gridCol w:w="2263"/>
        <w:gridCol w:w="2269"/>
      </w:tblGrid>
      <w:tr w:rsidR="00902EF1" w:rsidRPr="00B059B2" w:rsidTr="0023402C">
        <w:tc>
          <w:tcPr>
            <w:tcW w:w="4998" w:type="pct"/>
            <w:gridSpan w:val="4"/>
            <w:tcBorders>
              <w:top w:val="single" w:sz="4" w:space="0" w:color="auto"/>
              <w:left w:val="single" w:sz="4" w:space="0" w:color="auto"/>
              <w:bottom w:val="single" w:sz="4" w:space="0" w:color="auto"/>
              <w:right w:val="single" w:sz="4" w:space="0" w:color="auto"/>
            </w:tcBorders>
          </w:tcPr>
          <w:p w:rsidR="00902EF1" w:rsidRPr="00B059B2" w:rsidRDefault="00902EF1" w:rsidP="0023402C">
            <w:pPr>
              <w:jc w:val="center"/>
              <w:rPr>
                <w:i/>
                <w:noProof/>
              </w:rPr>
            </w:pPr>
            <w:r w:rsidRPr="00B059B2">
              <w:rPr>
                <w:i/>
              </w:rPr>
              <w:t>Text predložený Komisiou</w:t>
            </w:r>
          </w:p>
        </w:tc>
      </w:tr>
      <w:tr w:rsidR="00902EF1" w:rsidRPr="00B059B2" w:rsidTr="0023402C">
        <w:tc>
          <w:tcPr>
            <w:tcW w:w="4998" w:type="pct"/>
            <w:gridSpan w:val="4"/>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 xml:space="preserve">Tabuľka 6: Limity miery oderu pneumatiky podľa normy Euro 7 </w:t>
            </w:r>
          </w:p>
        </w:tc>
      </w:tr>
      <w:tr w:rsidR="00902EF1" w:rsidRPr="00B059B2" w:rsidTr="0023402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b/>
                <w:i/>
                <w:noProof/>
              </w:rPr>
            </w:pPr>
            <w:r w:rsidRPr="00B059B2">
              <w:rPr>
                <w:b/>
                <w:i/>
              </w:rPr>
              <w:t>Strata hmotnosti pneumatiky v g/1 000 km</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b/>
                <w:i/>
                <w:noProof/>
              </w:rPr>
            </w:pPr>
            <w:r w:rsidRPr="00B059B2">
              <w:rPr>
                <w:b/>
                <w:i/>
              </w:rPr>
              <w:t xml:space="preserve">Pneumatiky kategórie C1 </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b/>
                <w:i/>
                <w:noProof/>
              </w:rPr>
            </w:pPr>
            <w:r w:rsidRPr="00B059B2">
              <w:rPr>
                <w:b/>
                <w:i/>
              </w:rPr>
              <w:t xml:space="preserve">Pneumatiky kategórie C2 </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b/>
                <w:i/>
                <w:noProof/>
              </w:rPr>
            </w:pPr>
            <w:r w:rsidRPr="00B059B2">
              <w:rPr>
                <w:b/>
                <w:i/>
              </w:rPr>
              <w:t>Pneumatiky kategórie C3</w:t>
            </w:r>
          </w:p>
        </w:tc>
      </w:tr>
      <w:tr w:rsidR="00902EF1" w:rsidRPr="00B059B2" w:rsidTr="0023402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b/>
                <w:i/>
                <w:noProof/>
              </w:rPr>
            </w:pPr>
            <w:r w:rsidRPr="00B059B2">
              <w:rPr>
                <w:b/>
                <w:i/>
              </w:rPr>
              <w:t>Bežné pneumatiky</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b/>
                <w:i/>
                <w:noProof/>
              </w:rPr>
            </w:pP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b/>
                <w:i/>
                <w:noProof/>
              </w:rPr>
            </w:pP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b/>
                <w:i/>
                <w:noProof/>
              </w:rPr>
            </w:pPr>
          </w:p>
        </w:tc>
      </w:tr>
      <w:tr w:rsidR="00902EF1" w:rsidRPr="00B059B2" w:rsidTr="0023402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b/>
                <w:i/>
                <w:noProof/>
              </w:rPr>
            </w:pPr>
            <w:r w:rsidRPr="00B059B2">
              <w:rPr>
                <w:b/>
                <w:i/>
              </w:rPr>
              <w:t>Pneumatiky na jazdu na snehu</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b/>
                <w:i/>
                <w:noProof/>
              </w:rPr>
            </w:pP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b/>
                <w:i/>
                <w:noProof/>
              </w:rPr>
            </w:pP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b/>
                <w:i/>
                <w:noProof/>
              </w:rPr>
            </w:pPr>
          </w:p>
        </w:tc>
      </w:tr>
      <w:tr w:rsidR="00902EF1" w:rsidRPr="00B059B2" w:rsidTr="0023402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b/>
                <w:i/>
                <w:noProof/>
              </w:rPr>
            </w:pPr>
            <w:r w:rsidRPr="00B059B2">
              <w:rPr>
                <w:b/>
                <w:i/>
              </w:rPr>
              <w:t>Pneumatiky na špeciálne použitie</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b/>
                <w:i/>
                <w:noProof/>
              </w:rPr>
            </w:pP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b/>
                <w:i/>
                <w:noProof/>
              </w:rPr>
            </w:pP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b/>
                <w:i/>
                <w:noProof/>
              </w:rPr>
            </w:pPr>
          </w:p>
        </w:tc>
      </w:tr>
    </w:tbl>
    <w:p w:rsidR="00902EF1" w:rsidRPr="00B059B2" w:rsidRDefault="00902EF1" w:rsidP="00902EF1">
      <w:pPr>
        <w:pStyle w:val="AmOrLang"/>
      </w:pPr>
    </w:p>
    <w:tbl>
      <w:tblPr>
        <w:tblStyle w:val="TableGrid"/>
        <w:tblW w:w="5000" w:type="pct"/>
        <w:tblLook w:val="04A0" w:firstRow="1" w:lastRow="0" w:firstColumn="1" w:lastColumn="0" w:noHBand="0" w:noVBand="1"/>
      </w:tblPr>
      <w:tblGrid>
        <w:gridCol w:w="1812"/>
        <w:gridCol w:w="1812"/>
        <w:gridCol w:w="1812"/>
        <w:gridCol w:w="1812"/>
        <w:gridCol w:w="1812"/>
      </w:tblGrid>
      <w:tr w:rsidR="00902EF1" w:rsidRPr="00B059B2" w:rsidTr="0023402C">
        <w:tc>
          <w:tcPr>
            <w:tcW w:w="4998" w:type="pct"/>
            <w:gridSpan w:val="5"/>
            <w:tcBorders>
              <w:top w:val="single" w:sz="4" w:space="0" w:color="auto"/>
              <w:left w:val="single" w:sz="4" w:space="0" w:color="auto"/>
              <w:bottom w:val="single" w:sz="4" w:space="0" w:color="auto"/>
              <w:right w:val="single" w:sz="4" w:space="0" w:color="auto"/>
            </w:tcBorders>
          </w:tcPr>
          <w:p w:rsidR="00902EF1" w:rsidRPr="00B059B2" w:rsidRDefault="00902EF1" w:rsidP="0023402C">
            <w:pPr>
              <w:jc w:val="center"/>
              <w:rPr>
                <w:i/>
                <w:noProof/>
              </w:rPr>
            </w:pPr>
            <w:r w:rsidRPr="00B059B2">
              <w:rPr>
                <w:i/>
              </w:rPr>
              <w:lastRenderedPageBreak/>
              <w:t>Pozmeňujúci návrh</w:t>
            </w:r>
          </w:p>
        </w:tc>
      </w:tr>
      <w:tr w:rsidR="00902EF1" w:rsidRPr="00B059B2" w:rsidTr="0023402C">
        <w:tc>
          <w:tcPr>
            <w:tcW w:w="4998" w:type="pct"/>
            <w:gridSpan w:val="5"/>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 xml:space="preserve">Tabuľka 6: </w:t>
            </w:r>
            <w:r w:rsidRPr="00B059B2">
              <w:rPr>
                <w:b/>
                <w:bCs/>
                <w:i/>
                <w:iCs/>
              </w:rPr>
              <w:t>Skúšobná metóda</w:t>
            </w:r>
            <w:r w:rsidRPr="00B059B2">
              <w:t xml:space="preserve"> oderu pneumatiky podľa normy Euro 7, limity </w:t>
            </w:r>
            <w:r w:rsidRPr="00B059B2">
              <w:rPr>
                <w:b/>
                <w:bCs/>
                <w:i/>
                <w:iCs/>
              </w:rPr>
              <w:t>a časový harmonogram zavedenia</w:t>
            </w:r>
            <w:r w:rsidRPr="00B059B2">
              <w:t xml:space="preserve"> </w:t>
            </w:r>
          </w:p>
        </w:tc>
      </w:tr>
      <w:tr w:rsidR="00902EF1" w:rsidRPr="00B059B2" w:rsidTr="0023402C">
        <w:tc>
          <w:tcPr>
            <w:tcW w:w="1000"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rPr>
                <w:b/>
                <w:i/>
              </w:rPr>
              <w:t>Číslo predpisu OSN</w:t>
            </w:r>
          </w:p>
        </w:tc>
        <w:tc>
          <w:tcPr>
            <w:tcW w:w="1000"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spacing w:after="160"/>
              <w:rPr>
                <w:b/>
                <w:i/>
              </w:rPr>
            </w:pPr>
            <w:r w:rsidRPr="00B059B2">
              <w:rPr>
                <w:b/>
                <w:i/>
              </w:rPr>
              <w:t>Predmet</w:t>
            </w:r>
          </w:p>
        </w:tc>
        <w:tc>
          <w:tcPr>
            <w:tcW w:w="1000"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spacing w:after="160"/>
              <w:rPr>
                <w:b/>
                <w:i/>
              </w:rPr>
            </w:pPr>
            <w:r w:rsidRPr="00B059B2">
              <w:rPr>
                <w:b/>
                <w:i/>
              </w:rPr>
              <w:t>Séria zmien uverejnená v Úradnom vestníku Európskej únie</w:t>
            </w:r>
          </w:p>
        </w:tc>
        <w:tc>
          <w:tcPr>
            <w:tcW w:w="1000"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spacing w:after="160" w:line="252" w:lineRule="auto"/>
              <w:rPr>
                <w:i/>
              </w:rPr>
            </w:pPr>
            <w:r w:rsidRPr="00B059B2">
              <w:rPr>
                <w:b/>
                <w:i/>
              </w:rPr>
              <w:t>Odkaz na Úradný vestník Európskej únie</w:t>
            </w:r>
            <w:r w:rsidRPr="00B059B2">
              <w:rPr>
                <w:i/>
              </w:rPr>
              <w:t> </w:t>
            </w:r>
          </w:p>
        </w:tc>
        <w:tc>
          <w:tcPr>
            <w:tcW w:w="1000"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spacing w:after="160" w:line="252" w:lineRule="auto"/>
              <w:rPr>
                <w:b/>
                <w:bCs/>
                <w:i/>
              </w:rPr>
            </w:pPr>
            <w:r w:rsidRPr="00B059B2">
              <w:rPr>
                <w:b/>
                <w:i/>
              </w:rPr>
              <w:t xml:space="preserve">Rozsah pôsobnosti súčasných a budúcich predpisov pracovnej skupiny OSN WP29 </w:t>
            </w:r>
            <w:r w:rsidRPr="00B059B2">
              <w:rPr>
                <w:i/>
              </w:rPr>
              <w:t> </w:t>
            </w:r>
          </w:p>
        </w:tc>
      </w:tr>
      <w:tr w:rsidR="00902EF1" w:rsidRPr="00B059B2" w:rsidTr="0023402C">
        <w:tc>
          <w:tcPr>
            <w:tcW w:w="1000"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spacing w:after="160"/>
              <w:rPr>
                <w:b/>
                <w:i/>
              </w:rPr>
            </w:pPr>
            <w:r w:rsidRPr="00B059B2">
              <w:rPr>
                <w:b/>
                <w:i/>
              </w:rPr>
              <w:t>[1xx] </w:t>
            </w:r>
          </w:p>
        </w:tc>
        <w:tc>
          <w:tcPr>
            <w:tcW w:w="1000"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spacing w:after="160"/>
              <w:rPr>
                <w:b/>
                <w:i/>
              </w:rPr>
            </w:pPr>
            <w:r w:rsidRPr="00B059B2">
              <w:rPr>
                <w:b/>
                <w:i/>
              </w:rPr>
              <w:t>Pneumatiky s ohľadom na oder </w:t>
            </w:r>
          </w:p>
        </w:tc>
        <w:tc>
          <w:tcPr>
            <w:tcW w:w="1000"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spacing w:after="160"/>
              <w:rPr>
                <w:b/>
                <w:i/>
              </w:rPr>
            </w:pPr>
            <w:r w:rsidRPr="00B059B2">
              <w:rPr>
                <w:b/>
                <w:i/>
              </w:rPr>
              <w:t>Séria zmien 00 </w:t>
            </w:r>
          </w:p>
        </w:tc>
        <w:tc>
          <w:tcPr>
            <w:tcW w:w="1000" w:type="pct"/>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spacing w:after="160"/>
              <w:rPr>
                <w:b/>
                <w:i/>
              </w:rPr>
            </w:pPr>
            <w:r w:rsidRPr="00B059B2">
              <w:rPr>
                <w:rStyle w:val="contentpasted0"/>
                <w:i/>
              </w:rPr>
              <w:t>Ú. v. EÚ L xxx, xx.x.20XX, s. x</w:t>
            </w:r>
            <w:r w:rsidRPr="00B059B2">
              <w:rPr>
                <w:b/>
                <w:i/>
              </w:rPr>
              <w:t> </w:t>
            </w:r>
          </w:p>
        </w:tc>
        <w:tc>
          <w:tcPr>
            <w:tcW w:w="1000"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spacing w:after="160"/>
              <w:rPr>
                <w:rStyle w:val="contentpasted0"/>
              </w:rPr>
            </w:pPr>
            <w:r w:rsidRPr="00B059B2">
              <w:rPr>
                <w:b/>
                <w:i/>
              </w:rPr>
              <w:t>C1, C2*, C3*</w:t>
            </w:r>
          </w:p>
        </w:tc>
      </w:tr>
      <w:tr w:rsidR="00902EF1" w:rsidRPr="00B059B2" w:rsidTr="0023402C">
        <w:tc>
          <w:tcPr>
            <w:tcW w:w="4998" w:type="pct"/>
            <w:gridSpan w:val="5"/>
            <w:tcBorders>
              <w:top w:val="single" w:sz="4" w:space="0" w:color="auto"/>
              <w:left w:val="single" w:sz="4" w:space="0" w:color="auto"/>
              <w:bottom w:val="single" w:sz="4" w:space="0" w:color="auto"/>
              <w:right w:val="single" w:sz="4" w:space="0" w:color="auto"/>
            </w:tcBorders>
          </w:tcPr>
          <w:p w:rsidR="00902EF1" w:rsidRPr="00B059B2" w:rsidRDefault="00902EF1" w:rsidP="0023402C">
            <w:pPr>
              <w:spacing w:after="160"/>
              <w:rPr>
                <w:rFonts w:ascii="Calibri" w:eastAsia="Calibri" w:hAnsi="Calibri" w:cs="Calibri"/>
                <w:b/>
                <w:i/>
                <w:sz w:val="22"/>
                <w:szCs w:val="22"/>
              </w:rPr>
            </w:pPr>
            <w:r w:rsidRPr="00B059B2">
              <w:rPr>
                <w:b/>
                <w:i/>
              </w:rPr>
              <w:t>* Organizácia Spojených národov (OSN) v budúcnosti rozšíri vývoj vhodnej skúšobnej metódy a limitov na hodnotenie oderu pneumatík tried C2 a C3 voči oderu.</w:t>
            </w:r>
          </w:p>
        </w:tc>
      </w:tr>
    </w:tbl>
    <w:p w:rsidR="00902EF1" w:rsidRPr="00B059B2" w:rsidRDefault="00902EF1" w:rsidP="00902EF1"/>
    <w:p w:rsidR="00902EF1" w:rsidRPr="00B059B2" w:rsidRDefault="00902EF1" w:rsidP="00902EF1">
      <w:pPr>
        <w:pStyle w:val="AmNumberTabs"/>
        <w:keepNext/>
      </w:pPr>
      <w:r w:rsidRPr="00B059B2">
        <w:t>Pozmeňujúci návrh</w:t>
      </w:r>
      <w:r w:rsidRPr="00B059B2">
        <w:tab/>
      </w:r>
      <w:r w:rsidRPr="00B059B2">
        <w:tab/>
        <w:t>157</w:t>
      </w:r>
    </w:p>
    <w:p w:rsidR="00902EF1" w:rsidRPr="00B059B2" w:rsidRDefault="00902EF1" w:rsidP="00902EF1">
      <w:pPr>
        <w:pStyle w:val="NormalBold12b"/>
      </w:pPr>
      <w:r w:rsidRPr="00B059B2">
        <w:t>Návrh nariadenia</w:t>
      </w:r>
    </w:p>
    <w:p w:rsidR="00902EF1" w:rsidRPr="00B059B2" w:rsidRDefault="00902EF1" w:rsidP="00902EF1">
      <w:pPr>
        <w:pStyle w:val="NormalBold"/>
        <w:keepNext/>
      </w:pPr>
      <w:r w:rsidRPr="00B059B2">
        <w:t>Príloha II – tabuľka 1</w:t>
      </w:r>
    </w:p>
    <w:tbl>
      <w:tblPr>
        <w:tblStyle w:val="TableGrid"/>
        <w:tblW w:w="5000" w:type="pct"/>
        <w:tblLook w:val="04A0" w:firstRow="1" w:lastRow="0" w:firstColumn="1" w:lastColumn="0" w:noHBand="0" w:noVBand="1"/>
      </w:tblPr>
      <w:tblGrid>
        <w:gridCol w:w="2264"/>
        <w:gridCol w:w="2264"/>
        <w:gridCol w:w="2263"/>
        <w:gridCol w:w="2269"/>
      </w:tblGrid>
      <w:tr w:rsidR="00902EF1" w:rsidRPr="00B059B2" w:rsidTr="0023402C">
        <w:tc>
          <w:tcPr>
            <w:tcW w:w="4998" w:type="pct"/>
            <w:gridSpan w:val="4"/>
            <w:tcBorders>
              <w:top w:val="single" w:sz="4" w:space="0" w:color="auto"/>
              <w:left w:val="single" w:sz="4" w:space="0" w:color="auto"/>
              <w:bottom w:val="single" w:sz="4" w:space="0" w:color="auto"/>
              <w:right w:val="single" w:sz="4" w:space="0" w:color="auto"/>
            </w:tcBorders>
          </w:tcPr>
          <w:p w:rsidR="00902EF1" w:rsidRPr="00B059B2" w:rsidRDefault="00902EF1" w:rsidP="0023402C">
            <w:pPr>
              <w:jc w:val="center"/>
              <w:rPr>
                <w:i/>
                <w:noProof/>
              </w:rPr>
            </w:pPr>
            <w:r w:rsidRPr="00B059B2">
              <w:rPr>
                <w:i/>
              </w:rPr>
              <w:t>Text predložený Komisiou</w:t>
            </w:r>
          </w:p>
        </w:tc>
      </w:tr>
      <w:tr w:rsidR="00902EF1" w:rsidRPr="00B059B2" w:rsidTr="0023402C">
        <w:tc>
          <w:tcPr>
            <w:tcW w:w="4998" w:type="pct"/>
            <w:gridSpan w:val="4"/>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Tabuľka 1: Minimálne požiadavky na výkon batérie z hľadiska jej životnosti podľa normy Euro 7 pre vozidlá kategórie M</w:t>
            </w:r>
            <w:r w:rsidRPr="00B059B2">
              <w:rPr>
                <w:vertAlign w:val="subscript"/>
              </w:rPr>
              <w:t>1</w:t>
            </w:r>
            <w:r w:rsidRPr="00B059B2">
              <w:t xml:space="preserve"> </w:t>
            </w:r>
          </w:p>
        </w:tc>
      </w:tr>
      <w:tr w:rsidR="00902EF1" w:rsidRPr="00B059B2" w:rsidTr="0023402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Minimálne požiadavky na výkon na základe energie batérie</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Od začiatku životnosti do piatich rokov alebo 100 000 km podľa toho, čo nastane skôr</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 xml:space="preserve">Vozidlá staršie ako päť rokov alebo s nájazdom viac ako 100 000 km a do </w:t>
            </w:r>
            <w:r w:rsidRPr="00B059B2">
              <w:rPr>
                <w:b/>
                <w:bCs/>
                <w:i/>
                <w:iCs/>
              </w:rPr>
              <w:t>8</w:t>
            </w:r>
            <w:r w:rsidRPr="00B059B2">
              <w:t xml:space="preserve"> rokov alebo do nájazdu </w:t>
            </w:r>
            <w:r w:rsidRPr="00B059B2">
              <w:rPr>
                <w:b/>
                <w:bCs/>
                <w:i/>
                <w:iCs/>
              </w:rPr>
              <w:t>160 000</w:t>
            </w:r>
            <w:r w:rsidRPr="00B059B2">
              <w:t> km podľa toho, čo nastane skôr</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Vozidlá do dodatočnej životnosti*</w:t>
            </w:r>
          </w:p>
        </w:tc>
      </w:tr>
      <w:tr w:rsidR="00902EF1" w:rsidRPr="00B059B2" w:rsidTr="0023402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OVC-HEV</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b/>
                <w:i/>
                <w:noProof/>
              </w:rPr>
            </w:pPr>
            <w:r w:rsidRPr="00B059B2">
              <w:rPr>
                <w:b/>
                <w:i/>
              </w:rPr>
              <w:t>80 %</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b/>
                <w:i/>
                <w:noProof/>
              </w:rPr>
            </w:pPr>
            <w:r w:rsidRPr="00B059B2">
              <w:rPr>
                <w:b/>
                <w:i/>
              </w:rPr>
              <w:t xml:space="preserve">70 % </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r>
      <w:tr w:rsidR="00902EF1" w:rsidRPr="00B059B2" w:rsidTr="0023402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PEV</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b/>
                <w:i/>
                <w:noProof/>
              </w:rPr>
            </w:pPr>
            <w:r w:rsidRPr="00B059B2">
              <w:rPr>
                <w:b/>
                <w:i/>
              </w:rPr>
              <w:t>80 %</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b/>
                <w:i/>
                <w:noProof/>
              </w:rPr>
            </w:pPr>
            <w:r w:rsidRPr="00B059B2">
              <w:rPr>
                <w:b/>
                <w:i/>
              </w:rPr>
              <w:t>70 %</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r>
    </w:tbl>
    <w:p w:rsidR="00902EF1" w:rsidRPr="00B059B2" w:rsidRDefault="00902EF1" w:rsidP="00902EF1"/>
    <w:tbl>
      <w:tblPr>
        <w:tblStyle w:val="TableGrid"/>
        <w:tblW w:w="5000" w:type="pct"/>
        <w:tblLook w:val="04A0" w:firstRow="1" w:lastRow="0" w:firstColumn="1" w:lastColumn="0" w:noHBand="0" w:noVBand="1"/>
      </w:tblPr>
      <w:tblGrid>
        <w:gridCol w:w="2265"/>
        <w:gridCol w:w="2265"/>
        <w:gridCol w:w="2265"/>
        <w:gridCol w:w="2265"/>
      </w:tblGrid>
      <w:tr w:rsidR="00902EF1" w:rsidRPr="00B059B2" w:rsidTr="0023402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Minimálne požiadavky na výkon na základe dojazdu</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Od začiatku životnosti do piatich rokov alebo 100 000 km podľa toho, čo nastane skôr</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 xml:space="preserve">Vozidlá staršie ako päť rokov alebo s nájazdom viac ako 100 000 km a do </w:t>
            </w:r>
            <w:r w:rsidRPr="00B059B2">
              <w:rPr>
                <w:b/>
                <w:bCs/>
                <w:i/>
                <w:iCs/>
              </w:rPr>
              <w:t>8</w:t>
            </w:r>
            <w:r w:rsidRPr="00B059B2">
              <w:t xml:space="preserve"> rokov alebo do nájazdu </w:t>
            </w:r>
            <w:r w:rsidRPr="00B059B2">
              <w:rPr>
                <w:b/>
                <w:bCs/>
                <w:i/>
                <w:iCs/>
              </w:rPr>
              <w:t>160 000</w:t>
            </w:r>
            <w:r w:rsidRPr="00B059B2">
              <w:t> km podľa toho, čo nastane skôr</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Vozidlá do dodatočnej životnosti*</w:t>
            </w:r>
          </w:p>
        </w:tc>
      </w:tr>
      <w:tr w:rsidR="00902EF1" w:rsidRPr="00B059B2" w:rsidTr="0023402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OVC-HEV</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r>
      <w:tr w:rsidR="00902EF1" w:rsidRPr="00B059B2" w:rsidTr="0023402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PEV</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r>
    </w:tbl>
    <w:p w:rsidR="00902EF1" w:rsidRPr="00B059B2" w:rsidRDefault="00902EF1" w:rsidP="00902EF1">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902EF1" w:rsidRPr="00B059B2" w:rsidTr="0023402C">
        <w:tc>
          <w:tcPr>
            <w:tcW w:w="4998" w:type="pct"/>
            <w:gridSpan w:val="4"/>
            <w:tcBorders>
              <w:top w:val="single" w:sz="4" w:space="0" w:color="auto"/>
              <w:left w:val="single" w:sz="4" w:space="0" w:color="auto"/>
              <w:bottom w:val="single" w:sz="4" w:space="0" w:color="auto"/>
              <w:right w:val="single" w:sz="4" w:space="0" w:color="auto"/>
            </w:tcBorders>
          </w:tcPr>
          <w:p w:rsidR="00902EF1" w:rsidRPr="00B059B2" w:rsidRDefault="00902EF1" w:rsidP="0023402C">
            <w:pPr>
              <w:jc w:val="center"/>
              <w:rPr>
                <w:i/>
                <w:noProof/>
              </w:rPr>
            </w:pPr>
            <w:r w:rsidRPr="00B059B2">
              <w:rPr>
                <w:i/>
              </w:rPr>
              <w:lastRenderedPageBreak/>
              <w:t>Pozmeňujúci návrh</w:t>
            </w:r>
          </w:p>
        </w:tc>
      </w:tr>
      <w:tr w:rsidR="00902EF1" w:rsidRPr="00B059B2" w:rsidTr="0023402C">
        <w:tc>
          <w:tcPr>
            <w:tcW w:w="4998" w:type="pct"/>
            <w:gridSpan w:val="4"/>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Tabuľka 1: Minimálne požiadavky na výkon batérie z hľadiska jej životnosti podľa normy Euro 7 pre vozidlá kategórie M</w:t>
            </w:r>
            <w:r w:rsidRPr="00B059B2">
              <w:rPr>
                <w:vertAlign w:val="subscript"/>
              </w:rPr>
              <w:t>1</w:t>
            </w:r>
            <w:r w:rsidRPr="00B059B2">
              <w:t xml:space="preserve"> </w:t>
            </w:r>
          </w:p>
        </w:tc>
      </w:tr>
      <w:tr w:rsidR="00902EF1" w:rsidRPr="00B059B2" w:rsidTr="0023402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Minimálne požiadavky na výkon na základe energie batérie</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Od začiatku životnosti do piatich rokov alebo 100 000 km podľa toho, čo nastane skôr</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 xml:space="preserve">Vozidlá staršie ako päť rokov alebo s nájazdom viac ako 100 000 km a do </w:t>
            </w:r>
            <w:r w:rsidRPr="00B059B2">
              <w:rPr>
                <w:b/>
                <w:bCs/>
                <w:i/>
                <w:iCs/>
              </w:rPr>
              <w:t>10</w:t>
            </w:r>
            <w:r w:rsidRPr="00B059B2">
              <w:t xml:space="preserve"> rokov alebo do nájazdu </w:t>
            </w:r>
            <w:r w:rsidRPr="00B059B2">
              <w:rPr>
                <w:b/>
                <w:bCs/>
                <w:i/>
                <w:iCs/>
              </w:rPr>
              <w:t>200 000</w:t>
            </w:r>
            <w:r w:rsidRPr="00B059B2">
              <w:t> km podľa toho, čo nastane skôr</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Vozidlá do dodatočnej životnosti*</w:t>
            </w:r>
          </w:p>
        </w:tc>
      </w:tr>
      <w:tr w:rsidR="00902EF1" w:rsidRPr="00B059B2" w:rsidTr="0023402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OVC-HEV</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b/>
                <w:i/>
                <w:noProof/>
              </w:rPr>
            </w:pPr>
            <w:r w:rsidRPr="00B059B2">
              <w:rPr>
                <w:b/>
                <w:i/>
              </w:rPr>
              <w:t>85 %</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b/>
                <w:i/>
                <w:noProof/>
              </w:rPr>
            </w:pPr>
            <w:r w:rsidRPr="00B059B2">
              <w:rPr>
                <w:b/>
                <w:i/>
              </w:rPr>
              <w:t xml:space="preserve">75 % </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r>
      <w:tr w:rsidR="00902EF1" w:rsidRPr="00B059B2" w:rsidTr="0023402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PEV</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b/>
                <w:i/>
                <w:noProof/>
              </w:rPr>
            </w:pPr>
            <w:r w:rsidRPr="00B059B2">
              <w:rPr>
                <w:b/>
                <w:i/>
              </w:rPr>
              <w:t>85 %</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b/>
                <w:i/>
                <w:noProof/>
              </w:rPr>
            </w:pPr>
            <w:r w:rsidRPr="00B059B2">
              <w:rPr>
                <w:b/>
                <w:i/>
              </w:rPr>
              <w:t>75 %</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r>
    </w:tbl>
    <w:p w:rsidR="00902EF1" w:rsidRPr="00B059B2" w:rsidRDefault="00902EF1" w:rsidP="00902EF1"/>
    <w:tbl>
      <w:tblPr>
        <w:tblStyle w:val="TableGrid"/>
        <w:tblW w:w="5000" w:type="pct"/>
        <w:tblLook w:val="04A0" w:firstRow="1" w:lastRow="0" w:firstColumn="1" w:lastColumn="0" w:noHBand="0" w:noVBand="1"/>
      </w:tblPr>
      <w:tblGrid>
        <w:gridCol w:w="2265"/>
        <w:gridCol w:w="2265"/>
        <w:gridCol w:w="2265"/>
        <w:gridCol w:w="2265"/>
      </w:tblGrid>
      <w:tr w:rsidR="00902EF1" w:rsidRPr="00B059B2" w:rsidTr="0023402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Minimálne požiadavky na výkon na základe dojazdu</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Od začiatku životnosti do piatich rokov alebo 100 000 km podľa toho, čo nastane skôr</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 xml:space="preserve">Vozidlá staršie ako päť rokov alebo s nájazdom viac ako 100 000 km a do </w:t>
            </w:r>
            <w:r w:rsidRPr="00B059B2">
              <w:rPr>
                <w:b/>
                <w:bCs/>
                <w:i/>
                <w:iCs/>
              </w:rPr>
              <w:t>10</w:t>
            </w:r>
            <w:r w:rsidRPr="00B059B2">
              <w:t xml:space="preserve"> rokov alebo do nájazdu </w:t>
            </w:r>
            <w:r w:rsidRPr="00B059B2">
              <w:rPr>
                <w:b/>
                <w:bCs/>
                <w:i/>
                <w:iCs/>
              </w:rPr>
              <w:t>200 000</w:t>
            </w:r>
            <w:r w:rsidRPr="00B059B2">
              <w:t> km podľa toho, čo nastane skôr</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Vozidlá do dodatočnej životnosti*</w:t>
            </w:r>
          </w:p>
        </w:tc>
      </w:tr>
      <w:tr w:rsidR="00902EF1" w:rsidRPr="00B059B2" w:rsidTr="0023402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OVC-HEV</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r>
      <w:tr w:rsidR="00902EF1" w:rsidRPr="00B059B2" w:rsidTr="0023402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PEV</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r>
    </w:tbl>
    <w:p w:rsidR="00902EF1" w:rsidRPr="00B059B2" w:rsidRDefault="00902EF1" w:rsidP="00902EF1"/>
    <w:p w:rsidR="00902EF1" w:rsidRPr="00B059B2" w:rsidRDefault="00902EF1" w:rsidP="00902EF1">
      <w:pPr>
        <w:pStyle w:val="AmNumberTabs"/>
        <w:keepNext/>
      </w:pPr>
      <w:r w:rsidRPr="00B059B2">
        <w:t>Pozmeňujúci návrh</w:t>
      </w:r>
      <w:r w:rsidRPr="00B059B2">
        <w:tab/>
      </w:r>
      <w:r w:rsidRPr="00B059B2">
        <w:tab/>
        <w:t>158</w:t>
      </w:r>
    </w:p>
    <w:p w:rsidR="00902EF1" w:rsidRPr="00B059B2" w:rsidRDefault="00902EF1" w:rsidP="00902EF1">
      <w:pPr>
        <w:pStyle w:val="NormalBold12b"/>
      </w:pPr>
      <w:r w:rsidRPr="00B059B2">
        <w:t>Návrh nariadenia</w:t>
      </w:r>
    </w:p>
    <w:p w:rsidR="00902EF1" w:rsidRPr="00B059B2" w:rsidRDefault="00902EF1" w:rsidP="00902EF1">
      <w:pPr>
        <w:pStyle w:val="NormalBold"/>
        <w:keepNext/>
      </w:pPr>
      <w:r w:rsidRPr="00B059B2">
        <w:t>Príloha II – tabuľka 2</w:t>
      </w:r>
    </w:p>
    <w:tbl>
      <w:tblPr>
        <w:tblStyle w:val="TableGrid"/>
        <w:tblW w:w="5001" w:type="pct"/>
        <w:tblLook w:val="04A0" w:firstRow="1" w:lastRow="0" w:firstColumn="1" w:lastColumn="0" w:noHBand="0" w:noVBand="1"/>
      </w:tblPr>
      <w:tblGrid>
        <w:gridCol w:w="2210"/>
        <w:gridCol w:w="2211"/>
        <w:gridCol w:w="2209"/>
        <w:gridCol w:w="2432"/>
      </w:tblGrid>
      <w:tr w:rsidR="00902EF1" w:rsidRPr="00B059B2" w:rsidTr="0023402C">
        <w:tc>
          <w:tcPr>
            <w:tcW w:w="4999" w:type="pct"/>
            <w:gridSpan w:val="4"/>
            <w:tcBorders>
              <w:top w:val="single" w:sz="4" w:space="0" w:color="auto"/>
              <w:left w:val="single" w:sz="4" w:space="0" w:color="auto"/>
              <w:bottom w:val="single" w:sz="4" w:space="0" w:color="auto"/>
              <w:right w:val="single" w:sz="4" w:space="0" w:color="auto"/>
            </w:tcBorders>
          </w:tcPr>
          <w:p w:rsidR="00902EF1" w:rsidRPr="00B059B2" w:rsidRDefault="00902EF1" w:rsidP="0023402C">
            <w:pPr>
              <w:jc w:val="center"/>
              <w:rPr>
                <w:i/>
                <w:noProof/>
              </w:rPr>
            </w:pPr>
            <w:r w:rsidRPr="00B059B2">
              <w:rPr>
                <w:i/>
              </w:rPr>
              <w:t>Text predložený Komisiou</w:t>
            </w:r>
          </w:p>
        </w:tc>
      </w:tr>
      <w:tr w:rsidR="00902EF1" w:rsidRPr="00B059B2" w:rsidTr="0023402C">
        <w:tc>
          <w:tcPr>
            <w:tcW w:w="4999" w:type="pct"/>
            <w:gridSpan w:val="4"/>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Tabuľka 2: Minimálne požiadavky na výkon batérie z hľadiska jej životnosti podľa normy Euro 7 pre vozidlá kategórie N</w:t>
            </w:r>
            <w:r w:rsidRPr="00B059B2">
              <w:rPr>
                <w:vertAlign w:val="subscript"/>
              </w:rPr>
              <w:t>1</w:t>
            </w:r>
          </w:p>
        </w:tc>
      </w:tr>
      <w:tr w:rsidR="00902EF1" w:rsidRPr="00B059B2" w:rsidTr="0023402C">
        <w:tc>
          <w:tcPr>
            <w:tcW w:w="121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Minimálne požiadavky na výkon na základe energie batérie</w:t>
            </w:r>
          </w:p>
        </w:tc>
        <w:tc>
          <w:tcPr>
            <w:tcW w:w="1220"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Od začiatku životnosti do piatich rokov alebo 100 000 km podľa toho, čo nastane skôr</w:t>
            </w:r>
          </w:p>
        </w:tc>
        <w:tc>
          <w:tcPr>
            <w:tcW w:w="121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 xml:space="preserve">Vozidlá staršie ako päť rokov alebo s nájazdom viac ako 100 000 km a do </w:t>
            </w:r>
            <w:r w:rsidRPr="00B059B2">
              <w:rPr>
                <w:b/>
                <w:bCs/>
                <w:i/>
                <w:iCs/>
              </w:rPr>
              <w:t>8</w:t>
            </w:r>
            <w:r w:rsidRPr="00B059B2">
              <w:t xml:space="preserve"> rokov alebo do nájazdu </w:t>
            </w:r>
            <w:r w:rsidRPr="00B059B2">
              <w:rPr>
                <w:b/>
                <w:bCs/>
                <w:i/>
                <w:iCs/>
              </w:rPr>
              <w:t>160 000</w:t>
            </w:r>
            <w:r w:rsidRPr="00B059B2">
              <w:t> km podľa toho, čo nastane skôr</w:t>
            </w:r>
          </w:p>
        </w:tc>
        <w:tc>
          <w:tcPr>
            <w:tcW w:w="1342"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Vozidlá do dodatočnej životnosti*</w:t>
            </w:r>
          </w:p>
        </w:tc>
      </w:tr>
      <w:tr w:rsidR="00902EF1" w:rsidRPr="00B059B2" w:rsidTr="0023402C">
        <w:tc>
          <w:tcPr>
            <w:tcW w:w="121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OVC-HEV</w:t>
            </w:r>
          </w:p>
        </w:tc>
        <w:tc>
          <w:tcPr>
            <w:tcW w:w="1220"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b/>
                <w:i/>
                <w:noProof/>
              </w:rPr>
            </w:pPr>
            <w:r w:rsidRPr="00B059B2">
              <w:rPr>
                <w:b/>
                <w:i/>
              </w:rPr>
              <w:t>75 %</w:t>
            </w:r>
          </w:p>
        </w:tc>
        <w:tc>
          <w:tcPr>
            <w:tcW w:w="121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b/>
                <w:i/>
                <w:noProof/>
              </w:rPr>
            </w:pPr>
            <w:r w:rsidRPr="00B059B2">
              <w:rPr>
                <w:b/>
                <w:i/>
              </w:rPr>
              <w:t xml:space="preserve">65 % </w:t>
            </w:r>
          </w:p>
        </w:tc>
        <w:tc>
          <w:tcPr>
            <w:tcW w:w="1342"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r>
      <w:tr w:rsidR="00902EF1" w:rsidRPr="00B059B2" w:rsidTr="0023402C">
        <w:tc>
          <w:tcPr>
            <w:tcW w:w="121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PEV</w:t>
            </w:r>
          </w:p>
        </w:tc>
        <w:tc>
          <w:tcPr>
            <w:tcW w:w="1220"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b/>
                <w:i/>
                <w:noProof/>
              </w:rPr>
            </w:pPr>
            <w:r w:rsidRPr="00B059B2">
              <w:rPr>
                <w:b/>
                <w:i/>
              </w:rPr>
              <w:t>75 %</w:t>
            </w:r>
          </w:p>
        </w:tc>
        <w:tc>
          <w:tcPr>
            <w:tcW w:w="121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b/>
                <w:i/>
                <w:noProof/>
              </w:rPr>
            </w:pPr>
            <w:r w:rsidRPr="00B059B2">
              <w:rPr>
                <w:b/>
                <w:i/>
              </w:rPr>
              <w:t xml:space="preserve">65 % </w:t>
            </w:r>
          </w:p>
        </w:tc>
        <w:tc>
          <w:tcPr>
            <w:tcW w:w="1342"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r>
    </w:tbl>
    <w:p w:rsidR="00902EF1" w:rsidRPr="00B059B2" w:rsidRDefault="00902EF1" w:rsidP="00902EF1"/>
    <w:tbl>
      <w:tblPr>
        <w:tblStyle w:val="TableGrid"/>
        <w:tblW w:w="5000" w:type="pct"/>
        <w:tblLook w:val="04A0" w:firstRow="1" w:lastRow="0" w:firstColumn="1" w:lastColumn="0" w:noHBand="0" w:noVBand="1"/>
      </w:tblPr>
      <w:tblGrid>
        <w:gridCol w:w="2265"/>
        <w:gridCol w:w="2265"/>
        <w:gridCol w:w="2265"/>
        <w:gridCol w:w="2265"/>
      </w:tblGrid>
      <w:tr w:rsidR="00902EF1" w:rsidRPr="00B059B2" w:rsidTr="0023402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Minimálne požiadavky na výkon na základe dojazdu</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Od začiatku životnosti do piatich rokov alebo 100 000 km podľa toho, čo nastane skôr</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 xml:space="preserve">Vozidlá staršie ako päť rokov alebo s nájazdom viac ako 100 000 km a do 8 rokov alebo do nájazdu 160 000 km </w:t>
            </w:r>
            <w:r w:rsidRPr="00B059B2">
              <w:lastRenderedPageBreak/>
              <w:t>podľa toho, čo nastane skôr</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lastRenderedPageBreak/>
              <w:t>Vozidlá do dodatočnej životnosti*</w:t>
            </w:r>
          </w:p>
        </w:tc>
      </w:tr>
      <w:tr w:rsidR="00902EF1" w:rsidRPr="00B059B2" w:rsidTr="0023402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OVC-HEV</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r>
      <w:tr w:rsidR="00902EF1" w:rsidRPr="00B059B2" w:rsidTr="0023402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PEV</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r>
    </w:tbl>
    <w:p w:rsidR="00902EF1" w:rsidRPr="00B059B2" w:rsidRDefault="00902EF1" w:rsidP="00902EF1">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902EF1" w:rsidRPr="00B059B2" w:rsidTr="0023402C">
        <w:trPr>
          <w:trHeight w:val="284"/>
        </w:trPr>
        <w:tc>
          <w:tcPr>
            <w:tcW w:w="4998" w:type="pct"/>
            <w:gridSpan w:val="4"/>
            <w:tcBorders>
              <w:top w:val="single" w:sz="4" w:space="0" w:color="auto"/>
              <w:left w:val="single" w:sz="4" w:space="0" w:color="auto"/>
              <w:bottom w:val="single" w:sz="4" w:space="0" w:color="auto"/>
              <w:right w:val="single" w:sz="4" w:space="0" w:color="auto"/>
            </w:tcBorders>
          </w:tcPr>
          <w:p w:rsidR="00902EF1" w:rsidRPr="00B059B2" w:rsidRDefault="00902EF1" w:rsidP="0023402C">
            <w:pPr>
              <w:jc w:val="center"/>
              <w:rPr>
                <w:i/>
                <w:noProof/>
              </w:rPr>
            </w:pPr>
            <w:r w:rsidRPr="00B059B2">
              <w:rPr>
                <w:i/>
              </w:rPr>
              <w:t>Pozmeňujúci návrh</w:t>
            </w:r>
          </w:p>
        </w:tc>
      </w:tr>
      <w:tr w:rsidR="00902EF1" w:rsidRPr="00B059B2" w:rsidTr="0023402C">
        <w:trPr>
          <w:trHeight w:val="568"/>
        </w:trPr>
        <w:tc>
          <w:tcPr>
            <w:tcW w:w="4998" w:type="pct"/>
            <w:gridSpan w:val="4"/>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Tabuľka 2: Minimálne požiadavky na výkon batérie z hľadiska jej životnosti podľa normy Euro 7 pre vozidlá kategórie N</w:t>
            </w:r>
            <w:r w:rsidRPr="00B059B2">
              <w:rPr>
                <w:vertAlign w:val="subscript"/>
              </w:rPr>
              <w:t>1</w:t>
            </w:r>
          </w:p>
        </w:tc>
      </w:tr>
      <w:tr w:rsidR="00902EF1" w:rsidRPr="00B059B2" w:rsidTr="0023402C">
        <w:trPr>
          <w:trHeight w:val="1698"/>
        </w:trPr>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Minimálne požiadavky na výkon na základe energie batérie</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Od začiatku životnosti do piatich rokov alebo 100 000 km podľa toho, čo nastane skôr</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 xml:space="preserve">Vozidlá staršie ako päť rokov alebo s nájazdom viac ako 100 000 km a do </w:t>
            </w:r>
            <w:r w:rsidRPr="00B059B2">
              <w:rPr>
                <w:b/>
                <w:bCs/>
                <w:i/>
                <w:iCs/>
              </w:rPr>
              <w:t>10</w:t>
            </w:r>
            <w:r w:rsidRPr="00B059B2">
              <w:t xml:space="preserve"> rokov alebo do nájazdu </w:t>
            </w:r>
            <w:r w:rsidRPr="00B059B2">
              <w:rPr>
                <w:b/>
                <w:bCs/>
                <w:i/>
                <w:iCs/>
              </w:rPr>
              <w:t>200 000</w:t>
            </w:r>
            <w:r w:rsidRPr="00B059B2">
              <w:t> km podľa toho, čo nastane skôr</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Vozidlá do dodatočnej životnosti*</w:t>
            </w:r>
          </w:p>
        </w:tc>
      </w:tr>
      <w:tr w:rsidR="00902EF1" w:rsidRPr="00B059B2" w:rsidTr="0023402C">
        <w:trPr>
          <w:trHeight w:val="284"/>
        </w:trPr>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OVC-HEV</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b/>
                <w:i/>
                <w:noProof/>
              </w:rPr>
            </w:pPr>
            <w:r w:rsidRPr="00B059B2">
              <w:rPr>
                <w:b/>
                <w:i/>
              </w:rPr>
              <w:t>80 %</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b/>
                <w:i/>
                <w:noProof/>
              </w:rPr>
            </w:pPr>
            <w:r w:rsidRPr="00B059B2">
              <w:rPr>
                <w:b/>
                <w:i/>
              </w:rPr>
              <w:t xml:space="preserve">70 % </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r>
      <w:tr w:rsidR="00902EF1" w:rsidRPr="00B059B2" w:rsidTr="0023402C">
        <w:trPr>
          <w:trHeight w:val="291"/>
        </w:trPr>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PEV</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b/>
                <w:i/>
                <w:noProof/>
              </w:rPr>
            </w:pPr>
            <w:r w:rsidRPr="00B059B2">
              <w:rPr>
                <w:b/>
                <w:i/>
              </w:rPr>
              <w:t>80 %</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b/>
                <w:i/>
                <w:noProof/>
              </w:rPr>
            </w:pPr>
            <w:r w:rsidRPr="00B059B2">
              <w:rPr>
                <w:b/>
                <w:i/>
              </w:rPr>
              <w:t xml:space="preserve">70 % </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r>
    </w:tbl>
    <w:p w:rsidR="00902EF1" w:rsidRPr="00B059B2" w:rsidRDefault="00902EF1" w:rsidP="00902EF1"/>
    <w:tbl>
      <w:tblPr>
        <w:tblStyle w:val="TableGrid"/>
        <w:tblW w:w="5000" w:type="pct"/>
        <w:tblLook w:val="04A0" w:firstRow="1" w:lastRow="0" w:firstColumn="1" w:lastColumn="0" w:noHBand="0" w:noVBand="1"/>
      </w:tblPr>
      <w:tblGrid>
        <w:gridCol w:w="2265"/>
        <w:gridCol w:w="2265"/>
        <w:gridCol w:w="2265"/>
        <w:gridCol w:w="2265"/>
      </w:tblGrid>
      <w:tr w:rsidR="00902EF1" w:rsidRPr="00B059B2" w:rsidTr="0023402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Minimálne požiadavky na výkon na základe dojazdu</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Od začiatku životnosti do piatich rokov alebo 100 000 km podľa toho, čo nastane skôr</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 xml:space="preserve">Vozidlá staršie ako päť rokov alebo s nájazdom viac ako 100 000 km a do </w:t>
            </w:r>
            <w:r w:rsidRPr="00B059B2">
              <w:rPr>
                <w:b/>
                <w:bCs/>
                <w:i/>
                <w:iCs/>
              </w:rPr>
              <w:t>10</w:t>
            </w:r>
            <w:r w:rsidRPr="00B059B2">
              <w:t xml:space="preserve"> rokov alebo do nájazdu </w:t>
            </w:r>
            <w:r w:rsidRPr="00B059B2">
              <w:rPr>
                <w:b/>
                <w:bCs/>
                <w:i/>
                <w:iCs/>
              </w:rPr>
              <w:t>200 000</w:t>
            </w:r>
            <w:r w:rsidRPr="00B059B2">
              <w:t> km podľa toho, čo nastane skôr</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Vozidlá do dodatočnej životnosti*</w:t>
            </w:r>
          </w:p>
        </w:tc>
      </w:tr>
      <w:tr w:rsidR="00902EF1" w:rsidRPr="00B059B2" w:rsidTr="0023402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OVC-HEV</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r>
      <w:tr w:rsidR="00902EF1" w:rsidRPr="00B059B2" w:rsidTr="0023402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PEV</w:t>
            </w: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c>
          <w:tcPr>
            <w:tcW w:w="1249"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r>
    </w:tbl>
    <w:p w:rsidR="00902EF1" w:rsidRPr="00B059B2" w:rsidRDefault="00902EF1" w:rsidP="00902EF1"/>
    <w:p w:rsidR="00902EF1" w:rsidRPr="00B059B2" w:rsidRDefault="00902EF1" w:rsidP="00902EF1">
      <w:pPr>
        <w:pStyle w:val="AmNumberTabs"/>
        <w:keepNext/>
      </w:pPr>
      <w:r w:rsidRPr="00B059B2">
        <w:t>Pozmeňujúci návrh</w:t>
      </w:r>
      <w:r w:rsidRPr="00B059B2">
        <w:tab/>
      </w:r>
      <w:r w:rsidRPr="00B059B2">
        <w:tab/>
        <w:t>159</w:t>
      </w:r>
    </w:p>
    <w:p w:rsidR="00902EF1" w:rsidRPr="00B059B2" w:rsidRDefault="00902EF1" w:rsidP="00902EF1">
      <w:pPr>
        <w:pStyle w:val="NormalBold12b"/>
      </w:pPr>
      <w:r w:rsidRPr="00B059B2">
        <w:t>Návrh nariadenia</w:t>
      </w:r>
    </w:p>
    <w:p w:rsidR="00902EF1" w:rsidRPr="00B059B2" w:rsidRDefault="00902EF1" w:rsidP="00902EF1">
      <w:pPr>
        <w:pStyle w:val="NormalBold"/>
        <w:keepNext/>
      </w:pPr>
      <w:r w:rsidRPr="00B059B2">
        <w:t>Príloha III – tabuľka 1</w:t>
      </w:r>
    </w:p>
    <w:tbl>
      <w:tblPr>
        <w:tblStyle w:val="CV11"/>
        <w:tblW w:w="0" w:type="auto"/>
        <w:tblLook w:val="04A0" w:firstRow="1" w:lastRow="0" w:firstColumn="1" w:lastColumn="0" w:noHBand="0" w:noVBand="1"/>
      </w:tblPr>
      <w:tblGrid>
        <w:gridCol w:w="2768"/>
        <w:gridCol w:w="2811"/>
        <w:gridCol w:w="3481"/>
      </w:tblGrid>
      <w:tr w:rsidR="00902EF1" w:rsidRPr="00B059B2" w:rsidTr="0023402C">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ind w:left="360"/>
              <w:jc w:val="center"/>
              <w:rPr>
                <w:i/>
                <w:noProof/>
              </w:rPr>
            </w:pPr>
            <w:r w:rsidRPr="00B059B2">
              <w:rPr>
                <w:i/>
              </w:rPr>
              <w:t>Text predložený Komisiou</w:t>
            </w:r>
          </w:p>
        </w:tc>
      </w:tr>
      <w:tr w:rsidR="00902EF1" w:rsidRPr="00B059B2" w:rsidTr="0023402C">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szCs w:val="24"/>
              </w:rPr>
            </w:pPr>
            <w:r w:rsidRPr="00B059B2">
              <w:t>Tabuľka 1: Podmienky skúšania súladu vozidiel kategórií M</w:t>
            </w:r>
            <w:r w:rsidRPr="00B059B2">
              <w:rPr>
                <w:vertAlign w:val="subscript"/>
              </w:rPr>
              <w:t>1</w:t>
            </w:r>
            <w:r w:rsidRPr="00B059B2">
              <w:t>, N</w:t>
            </w:r>
            <w:r w:rsidRPr="00B059B2">
              <w:rPr>
                <w:vertAlign w:val="subscript"/>
              </w:rPr>
              <w:t>1</w:t>
            </w:r>
            <w:r w:rsidRPr="00B059B2">
              <w:t xml:space="preserve"> s limitmi výfukových emisií pri použití akéhokoľvek komerčného paliva a maziva v rámci špecifikácií vydaných výrobcom vozidla</w:t>
            </w:r>
          </w:p>
        </w:tc>
      </w:tr>
      <w:tr w:rsidR="00902EF1" w:rsidRPr="00B059B2" w:rsidTr="0023402C">
        <w:trPr>
          <w:trHeight w:val="312"/>
        </w:trPr>
        <w:tc>
          <w:tcPr>
            <w:tcW w:w="2768"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noProof/>
                <w:kern w:val="24"/>
                <w:szCs w:val="24"/>
              </w:rPr>
            </w:pPr>
            <w:r w:rsidRPr="00B059B2">
              <w:t>Ukazovateľ</w:t>
            </w:r>
          </w:p>
        </w:tc>
        <w:tc>
          <w:tcPr>
            <w:tcW w:w="2811"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ind w:left="360"/>
              <w:jc w:val="center"/>
              <w:rPr>
                <w:noProof/>
                <w:kern w:val="24"/>
              </w:rPr>
            </w:pPr>
            <w:r w:rsidRPr="00B059B2">
              <w:t xml:space="preserve">Bežné jazdné podmienky </w:t>
            </w:r>
          </w:p>
        </w:tc>
        <w:tc>
          <w:tcPr>
            <w:tcW w:w="3481"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ind w:left="360"/>
              <w:jc w:val="center"/>
              <w:rPr>
                <w:noProof/>
                <w:kern w:val="24"/>
              </w:rPr>
            </w:pPr>
            <w:r w:rsidRPr="00B059B2">
              <w:t>Rozšírené jazdné podmienky*</w:t>
            </w:r>
          </w:p>
        </w:tc>
      </w:tr>
      <w:tr w:rsidR="00902EF1" w:rsidRPr="00B059B2" w:rsidTr="0023402C">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b/>
                <w:noProof/>
                <w:szCs w:val="24"/>
              </w:rPr>
            </w:pPr>
            <w:r w:rsidRPr="00B059B2">
              <w:t xml:space="preserve">Deliteľ pri rozšírených jazdných podmienkach </w:t>
            </w:r>
          </w:p>
        </w:tc>
        <w:tc>
          <w:tcPr>
            <w:tcW w:w="2811"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ind w:left="360"/>
              <w:jc w:val="center"/>
              <w:rPr>
                <w:b/>
                <w:bCs/>
                <w:noProof/>
              </w:rPr>
            </w:pPr>
            <w:r w:rsidRPr="00B059B2">
              <w:t>-</w:t>
            </w:r>
          </w:p>
        </w:tc>
        <w:tc>
          <w:tcPr>
            <w:tcW w:w="3481"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ind w:left="360"/>
              <w:jc w:val="center"/>
              <w:rPr>
                <w:b/>
                <w:bCs/>
                <w:noProof/>
              </w:rPr>
            </w:pPr>
            <w:r w:rsidRPr="00B059B2">
              <w:t>1.6 (uplatňuje sa na namerané emisie len počas času, keď platí jedna z podmienok stanovených v tomto stĺpci)</w:t>
            </w:r>
          </w:p>
        </w:tc>
      </w:tr>
      <w:tr w:rsidR="00902EF1" w:rsidRPr="00B059B2" w:rsidTr="0023402C">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b/>
                <w:noProof/>
                <w:szCs w:val="24"/>
              </w:rPr>
            </w:pPr>
            <w:r w:rsidRPr="00B059B2">
              <w:t>Teplota okolia</w:t>
            </w:r>
          </w:p>
        </w:tc>
        <w:tc>
          <w:tcPr>
            <w:tcW w:w="2811"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ind w:left="360"/>
              <w:jc w:val="center"/>
              <w:rPr>
                <w:b/>
                <w:bCs/>
                <w:noProof/>
              </w:rPr>
            </w:pPr>
            <w:r w:rsidRPr="00B059B2">
              <w:t xml:space="preserve">od 0 °C do 35 °C </w:t>
            </w:r>
          </w:p>
        </w:tc>
        <w:tc>
          <w:tcPr>
            <w:tcW w:w="3481"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ind w:left="360"/>
              <w:jc w:val="center"/>
              <w:rPr>
                <w:b/>
                <w:bCs/>
                <w:noProof/>
              </w:rPr>
            </w:pPr>
            <w:r w:rsidRPr="00B059B2">
              <w:t xml:space="preserve">od </w:t>
            </w:r>
            <w:r w:rsidRPr="00B059B2">
              <w:rPr>
                <w:b/>
                <w:bCs/>
                <w:i/>
                <w:iCs/>
              </w:rPr>
              <w:t>–10 °C</w:t>
            </w:r>
            <w:r w:rsidRPr="00B059B2">
              <w:t xml:space="preserve"> do 0 °C alebo od 35 °C do </w:t>
            </w:r>
            <w:r w:rsidRPr="00B059B2">
              <w:rPr>
                <w:b/>
                <w:bCs/>
                <w:i/>
                <w:iCs/>
              </w:rPr>
              <w:t>45 °C</w:t>
            </w:r>
          </w:p>
        </w:tc>
      </w:tr>
      <w:tr w:rsidR="00902EF1" w:rsidRPr="00B059B2" w:rsidTr="0023402C">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kern w:val="24"/>
                <w:szCs w:val="24"/>
              </w:rPr>
            </w:pPr>
            <w:r w:rsidRPr="00B059B2">
              <w:t xml:space="preserve">Maximálna nadmorská </w:t>
            </w:r>
            <w:r w:rsidRPr="00B059B2">
              <w:lastRenderedPageBreak/>
              <w:t>výška</w:t>
            </w:r>
          </w:p>
        </w:tc>
        <w:tc>
          <w:tcPr>
            <w:tcW w:w="2811"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ind w:left="360"/>
              <w:jc w:val="center"/>
              <w:rPr>
                <w:noProof/>
                <w:kern w:val="24"/>
              </w:rPr>
            </w:pPr>
            <w:r w:rsidRPr="00B059B2">
              <w:lastRenderedPageBreak/>
              <w:t>700 m</w:t>
            </w:r>
          </w:p>
        </w:tc>
        <w:tc>
          <w:tcPr>
            <w:tcW w:w="3481"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ind w:left="360"/>
              <w:jc w:val="center"/>
              <w:rPr>
                <w:noProof/>
                <w:kern w:val="24"/>
              </w:rPr>
            </w:pPr>
            <w:r w:rsidRPr="00B059B2">
              <w:t xml:space="preserve">viac ako 700 m a menej ako </w:t>
            </w:r>
            <w:r w:rsidRPr="00B059B2">
              <w:rPr>
                <w:b/>
                <w:bCs/>
              </w:rPr>
              <w:lastRenderedPageBreak/>
              <w:t>1 800 </w:t>
            </w:r>
            <w:r w:rsidRPr="00B059B2">
              <w:t>m</w:t>
            </w:r>
          </w:p>
        </w:tc>
      </w:tr>
      <w:tr w:rsidR="00902EF1" w:rsidRPr="00B059B2" w:rsidTr="0023402C">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b/>
                <w:noProof/>
                <w:szCs w:val="24"/>
              </w:rPr>
            </w:pPr>
            <w:r w:rsidRPr="00B059B2">
              <w:lastRenderedPageBreak/>
              <w:t>Maximálna rýchlosť</w:t>
            </w:r>
          </w:p>
        </w:tc>
        <w:tc>
          <w:tcPr>
            <w:tcW w:w="2811"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ind w:left="360"/>
              <w:jc w:val="center"/>
              <w:rPr>
                <w:b/>
                <w:bCs/>
                <w:noProof/>
              </w:rPr>
            </w:pPr>
            <w:r w:rsidRPr="00B059B2">
              <w:t xml:space="preserve">do 145 km/h </w:t>
            </w:r>
          </w:p>
        </w:tc>
        <w:tc>
          <w:tcPr>
            <w:tcW w:w="3481"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ind w:left="360"/>
              <w:jc w:val="center"/>
              <w:rPr>
                <w:b/>
                <w:bCs/>
                <w:noProof/>
              </w:rPr>
            </w:pPr>
            <w:r w:rsidRPr="00B059B2">
              <w:t>od 145 km/h do 160 km/h</w:t>
            </w:r>
          </w:p>
        </w:tc>
      </w:tr>
      <w:tr w:rsidR="00902EF1" w:rsidRPr="00B059B2" w:rsidTr="0023402C">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b/>
                <w:noProof/>
                <w:szCs w:val="24"/>
              </w:rPr>
            </w:pPr>
            <w:r w:rsidRPr="00B059B2">
              <w:t>Ťahanie/aerodynamické úpravy</w:t>
            </w:r>
          </w:p>
        </w:tc>
        <w:tc>
          <w:tcPr>
            <w:tcW w:w="2811"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ind w:left="357"/>
              <w:jc w:val="center"/>
              <w:rPr>
                <w:b/>
                <w:bCs/>
                <w:noProof/>
              </w:rPr>
            </w:pPr>
            <w:r w:rsidRPr="00B059B2">
              <w:t>nepovolené</w:t>
            </w:r>
          </w:p>
        </w:tc>
        <w:tc>
          <w:tcPr>
            <w:tcW w:w="3481"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ind w:left="357"/>
              <w:jc w:val="center"/>
              <w:rPr>
                <w:b/>
                <w:bCs/>
                <w:noProof/>
              </w:rPr>
            </w:pPr>
            <w:r w:rsidRPr="00B059B2">
              <w:t>povolené podľa špecifikácií výrobcu a do regulovanej rýchlosti</w:t>
            </w:r>
          </w:p>
        </w:tc>
      </w:tr>
      <w:tr w:rsidR="00902EF1" w:rsidRPr="00B059B2" w:rsidTr="0023402C">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kern w:val="24"/>
                <w:szCs w:val="24"/>
              </w:rPr>
            </w:pPr>
            <w:r w:rsidRPr="00B059B2">
              <w:t>Pomocné zariadenia</w:t>
            </w:r>
          </w:p>
        </w:tc>
        <w:tc>
          <w:tcPr>
            <w:tcW w:w="2811"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ind w:left="360"/>
              <w:jc w:val="center"/>
              <w:rPr>
                <w:rFonts w:eastAsiaTheme="minorEastAsia"/>
                <w:noProof/>
                <w:kern w:val="24"/>
              </w:rPr>
            </w:pPr>
            <w:r w:rsidRPr="00B059B2">
              <w:t>možné pri bežnom používaní</w:t>
            </w:r>
          </w:p>
        </w:tc>
        <w:tc>
          <w:tcPr>
            <w:tcW w:w="3481"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ind w:left="360"/>
              <w:jc w:val="center"/>
              <w:rPr>
                <w:rFonts w:eastAsiaTheme="minorEastAsia"/>
                <w:noProof/>
                <w:kern w:val="24"/>
              </w:rPr>
            </w:pPr>
            <w:r w:rsidRPr="00B059B2">
              <w:t>-</w:t>
            </w:r>
          </w:p>
        </w:tc>
      </w:tr>
      <w:tr w:rsidR="00902EF1" w:rsidRPr="00B059B2" w:rsidTr="0023402C">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b/>
                <w:noProof/>
                <w:szCs w:val="24"/>
              </w:rPr>
            </w:pPr>
            <w:r w:rsidRPr="00B059B2">
              <w:t>Maximálny priemerný výkon na kolese počas prvých dvoch kilometrov po studenom štarte</w:t>
            </w:r>
          </w:p>
        </w:tc>
        <w:tc>
          <w:tcPr>
            <w:tcW w:w="2811"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noProof/>
                <w:kern w:val="24"/>
                <w:szCs w:val="24"/>
              </w:rPr>
            </w:pPr>
            <w:r w:rsidRPr="00B059B2">
              <w:t>nižší než 20 % maximálneho výkonu na kolese</w:t>
            </w:r>
          </w:p>
        </w:tc>
        <w:tc>
          <w:tcPr>
            <w:tcW w:w="3481"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noProof/>
                <w:kern w:val="24"/>
                <w:szCs w:val="24"/>
              </w:rPr>
            </w:pPr>
            <w:r w:rsidRPr="00B059B2">
              <w:rPr>
                <w:b/>
                <w:bCs/>
                <w:i/>
                <w:iCs/>
              </w:rPr>
              <w:t>vyšší než</w:t>
            </w:r>
            <w:r w:rsidRPr="00B059B2">
              <w:t xml:space="preserve"> 20 % maximálneho výkonu na kolese</w:t>
            </w:r>
          </w:p>
        </w:tc>
      </w:tr>
      <w:tr w:rsidR="00902EF1" w:rsidRPr="00B059B2" w:rsidTr="0023402C">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szCs w:val="24"/>
              </w:rPr>
            </w:pPr>
            <w:r w:rsidRPr="00B059B2">
              <w:t>Skladba cesty</w:t>
            </w:r>
          </w:p>
        </w:tc>
        <w:tc>
          <w:tcPr>
            <w:tcW w:w="2811"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ind w:left="360"/>
              <w:jc w:val="center"/>
              <w:rPr>
                <w:bCs/>
                <w:noProof/>
              </w:rPr>
            </w:pPr>
            <w:r w:rsidRPr="00B059B2">
              <w:t>akékoľvek</w:t>
            </w:r>
          </w:p>
        </w:tc>
        <w:tc>
          <w:tcPr>
            <w:tcW w:w="3481"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ind w:left="360"/>
              <w:jc w:val="center"/>
              <w:rPr>
                <w:b/>
                <w:bCs/>
                <w:i/>
                <w:noProof/>
              </w:rPr>
            </w:pPr>
            <w:r w:rsidRPr="00B059B2">
              <w:rPr>
                <w:b/>
                <w:i/>
              </w:rPr>
              <w:t>-</w:t>
            </w:r>
          </w:p>
        </w:tc>
      </w:tr>
      <w:tr w:rsidR="00902EF1" w:rsidRPr="00B059B2" w:rsidTr="0023402C">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kern w:val="24"/>
                <w:szCs w:val="24"/>
              </w:rPr>
            </w:pPr>
            <w:r w:rsidRPr="00B059B2">
              <w:t>Minimálny počet najazdených kilometrov</w:t>
            </w:r>
          </w:p>
        </w:tc>
        <w:tc>
          <w:tcPr>
            <w:tcW w:w="2811"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ind w:left="360"/>
              <w:jc w:val="center"/>
              <w:rPr>
                <w:noProof/>
                <w:kern w:val="24"/>
              </w:rPr>
            </w:pPr>
            <w:r w:rsidRPr="00B059B2">
              <w:t>10 000 km</w:t>
            </w:r>
          </w:p>
        </w:tc>
        <w:tc>
          <w:tcPr>
            <w:tcW w:w="3481"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ind w:left="360"/>
              <w:jc w:val="center"/>
              <w:rPr>
                <w:noProof/>
                <w:kern w:val="24"/>
              </w:rPr>
            </w:pPr>
            <w:r w:rsidRPr="00B059B2">
              <w:t>od 3 000 km do 10 000 km</w:t>
            </w:r>
          </w:p>
        </w:tc>
      </w:tr>
      <w:tr w:rsidR="00902EF1" w:rsidRPr="00B059B2" w:rsidTr="0023402C">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rPr>
                <w:b/>
                <w:i/>
                <w:noProof/>
                <w:sz w:val="20"/>
              </w:rPr>
            </w:pPr>
            <w:r w:rsidRPr="00B059B2">
              <w:rPr>
                <w:b/>
                <w:i/>
                <w:sz w:val="20"/>
              </w:rPr>
              <w:t>*Rovnaká stratégia regulovania emisií sa použije, keď sa vozidlo prevádzkuje mimo rámca týchto podmienok, pokiaľ neexistuje technický dôvod schválený schvaľovacím úradom.</w:t>
            </w:r>
          </w:p>
        </w:tc>
      </w:tr>
    </w:tbl>
    <w:p w:rsidR="00902EF1" w:rsidRPr="00B059B2" w:rsidRDefault="00902EF1" w:rsidP="00902EF1">
      <w:pPr>
        <w:pStyle w:val="AmOrLang"/>
      </w:pPr>
    </w:p>
    <w:tbl>
      <w:tblPr>
        <w:tblStyle w:val="CV11"/>
        <w:tblW w:w="0" w:type="auto"/>
        <w:tblLook w:val="04A0" w:firstRow="1" w:lastRow="0" w:firstColumn="1" w:lastColumn="0" w:noHBand="0" w:noVBand="1"/>
      </w:tblPr>
      <w:tblGrid>
        <w:gridCol w:w="2763"/>
        <w:gridCol w:w="2832"/>
        <w:gridCol w:w="3465"/>
      </w:tblGrid>
      <w:tr w:rsidR="00902EF1" w:rsidRPr="00B059B2" w:rsidTr="0023402C">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902EF1" w:rsidRPr="00B059B2" w:rsidRDefault="00902EF1" w:rsidP="0023402C">
            <w:pPr>
              <w:ind w:left="360"/>
              <w:jc w:val="center"/>
              <w:rPr>
                <w:i/>
                <w:noProof/>
              </w:rPr>
            </w:pPr>
            <w:r w:rsidRPr="00B059B2">
              <w:rPr>
                <w:i/>
              </w:rPr>
              <w:t>Pozmeňujúci návrh</w:t>
            </w:r>
          </w:p>
        </w:tc>
      </w:tr>
      <w:tr w:rsidR="00902EF1" w:rsidRPr="00B059B2" w:rsidTr="0023402C">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szCs w:val="24"/>
              </w:rPr>
            </w:pPr>
            <w:r w:rsidRPr="00B059B2">
              <w:t>Tabuľka 1: Podmienky skúšania súladu vozidiel kategórií M</w:t>
            </w:r>
            <w:r w:rsidRPr="00B059B2">
              <w:rPr>
                <w:vertAlign w:val="subscript"/>
              </w:rPr>
              <w:t>1</w:t>
            </w:r>
            <w:r w:rsidRPr="00B059B2">
              <w:t>, N</w:t>
            </w:r>
            <w:r w:rsidRPr="00B059B2">
              <w:rPr>
                <w:vertAlign w:val="subscript"/>
              </w:rPr>
              <w:t>1</w:t>
            </w:r>
            <w:r w:rsidRPr="00B059B2">
              <w:t xml:space="preserve"> s limitmi výfukových emisií pri použití akéhokoľvek komerčného paliva a maziva v rámci špecifikácií vydaných výrobcom vozidla</w:t>
            </w:r>
          </w:p>
        </w:tc>
      </w:tr>
      <w:tr w:rsidR="00902EF1" w:rsidRPr="00B059B2" w:rsidTr="0023402C">
        <w:trPr>
          <w:trHeight w:val="312"/>
        </w:trPr>
        <w:tc>
          <w:tcPr>
            <w:tcW w:w="2763"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noProof/>
                <w:kern w:val="24"/>
                <w:szCs w:val="24"/>
              </w:rPr>
            </w:pPr>
            <w:r w:rsidRPr="00B059B2">
              <w:rPr>
                <w:b/>
              </w:rPr>
              <w:t>Ukazovateľ</w:t>
            </w:r>
          </w:p>
        </w:tc>
        <w:tc>
          <w:tcPr>
            <w:tcW w:w="2832"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ind w:left="360"/>
              <w:jc w:val="center"/>
              <w:rPr>
                <w:noProof/>
                <w:kern w:val="24"/>
              </w:rPr>
            </w:pPr>
            <w:r w:rsidRPr="00B059B2">
              <w:rPr>
                <w:b/>
              </w:rPr>
              <w:t xml:space="preserve">Bežné jazdné podmienky </w:t>
            </w:r>
          </w:p>
        </w:tc>
        <w:tc>
          <w:tcPr>
            <w:tcW w:w="3465" w:type="dxa"/>
            <w:tcBorders>
              <w:top w:val="single" w:sz="4" w:space="0" w:color="auto"/>
              <w:left w:val="single" w:sz="4" w:space="0" w:color="auto"/>
              <w:bottom w:val="single" w:sz="4" w:space="0" w:color="auto"/>
              <w:right w:val="single" w:sz="4" w:space="0" w:color="auto"/>
            </w:tcBorders>
            <w:hideMark/>
          </w:tcPr>
          <w:p w:rsidR="00902EF1" w:rsidRPr="00B059B2" w:rsidRDefault="00902EF1" w:rsidP="00FD7366">
            <w:pPr>
              <w:ind w:left="360"/>
              <w:jc w:val="center"/>
              <w:rPr>
                <w:noProof/>
                <w:kern w:val="24"/>
              </w:rPr>
            </w:pPr>
            <w:r w:rsidRPr="00B059B2">
              <w:t>Rozšírené jazdné podmienky</w:t>
            </w:r>
            <w:r w:rsidR="00E86E13" w:rsidRPr="00DF039C">
              <w:rPr>
                <w:b/>
                <w:i/>
                <w:noProof/>
                <w:vertAlign w:val="superscript"/>
                <w:lang w:val="en-GB" w:eastAsia="el-GR"/>
              </w:rPr>
              <w:t>1</w:t>
            </w:r>
            <w:bookmarkStart w:id="8" w:name="_GoBack"/>
            <w:bookmarkEnd w:id="8"/>
          </w:p>
        </w:tc>
      </w:tr>
      <w:tr w:rsidR="00902EF1" w:rsidRPr="00B059B2" w:rsidTr="0023402C">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b/>
                <w:noProof/>
                <w:szCs w:val="24"/>
              </w:rPr>
            </w:pPr>
            <w:r w:rsidRPr="00B059B2">
              <w:t xml:space="preserve">Deliteľ pri rozšírených jazdných podmienkach </w:t>
            </w:r>
          </w:p>
        </w:tc>
        <w:tc>
          <w:tcPr>
            <w:tcW w:w="2832"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ind w:left="360"/>
              <w:jc w:val="center"/>
              <w:rPr>
                <w:b/>
                <w:bCs/>
                <w:noProof/>
              </w:rPr>
            </w:pPr>
            <w:r w:rsidRPr="00B059B2">
              <w:t>-</w:t>
            </w:r>
          </w:p>
        </w:tc>
        <w:tc>
          <w:tcPr>
            <w:tcW w:w="3465" w:type="dxa"/>
            <w:tcBorders>
              <w:top w:val="single" w:sz="4" w:space="0" w:color="auto"/>
              <w:left w:val="single" w:sz="4" w:space="0" w:color="auto"/>
              <w:bottom w:val="single" w:sz="4" w:space="0" w:color="auto"/>
              <w:right w:val="single" w:sz="4" w:space="0" w:color="auto"/>
            </w:tcBorders>
            <w:hideMark/>
          </w:tcPr>
          <w:p w:rsidR="00902EF1" w:rsidRPr="00B059B2" w:rsidRDefault="00902EF1" w:rsidP="00FD7366">
            <w:pPr>
              <w:widowControl/>
              <w:rPr>
                <w:b/>
                <w:bCs/>
                <w:noProof/>
                <w:szCs w:val="24"/>
              </w:rPr>
            </w:pPr>
            <w:r w:rsidRPr="00B059B2">
              <w:t xml:space="preserve">1.6 (uplatňuje sa na namerané emisie len počas času, keď platí jedna z podmienok stanovených v tomto stĺpci) </w:t>
            </w:r>
            <w:r w:rsidRPr="00B059B2">
              <w:rPr>
                <w:b/>
                <w:bCs/>
                <w:i/>
                <w:iCs/>
              </w:rPr>
              <w:t>údaje získané v prípade, že sa uplatňuje viac ako jedna z podmienok stanovených v tomto stĺpci, sa zo skúšky vylúčia.</w:t>
            </w:r>
            <w:r w:rsidRPr="00B059B2">
              <w:rPr>
                <w:b/>
                <w:i/>
              </w:rPr>
              <w:t xml:space="preserve"> </w:t>
            </w:r>
          </w:p>
        </w:tc>
      </w:tr>
      <w:tr w:rsidR="00902EF1" w:rsidRPr="00B059B2" w:rsidTr="0023402C">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b/>
                <w:noProof/>
                <w:szCs w:val="24"/>
              </w:rPr>
            </w:pPr>
            <w:r w:rsidRPr="00B059B2">
              <w:t>Teplota okolia</w:t>
            </w:r>
          </w:p>
        </w:tc>
        <w:tc>
          <w:tcPr>
            <w:tcW w:w="2832"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ind w:left="360"/>
              <w:jc w:val="center"/>
              <w:rPr>
                <w:b/>
                <w:bCs/>
                <w:noProof/>
              </w:rPr>
            </w:pPr>
            <w:r w:rsidRPr="00B059B2">
              <w:t xml:space="preserve">od 0 °C do 35 °C </w:t>
            </w:r>
          </w:p>
        </w:tc>
        <w:tc>
          <w:tcPr>
            <w:tcW w:w="3465"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ind w:left="360"/>
              <w:jc w:val="center"/>
              <w:rPr>
                <w:b/>
                <w:bCs/>
                <w:noProof/>
              </w:rPr>
            </w:pPr>
            <w:r w:rsidRPr="00B059B2">
              <w:t xml:space="preserve">od </w:t>
            </w:r>
            <w:r w:rsidRPr="00B059B2">
              <w:rPr>
                <w:b/>
                <w:bCs/>
                <w:i/>
                <w:iCs/>
              </w:rPr>
              <w:t>–7 °C</w:t>
            </w:r>
            <w:r w:rsidRPr="00B059B2">
              <w:t xml:space="preserve"> do 0 °C alebo od 35 °C do </w:t>
            </w:r>
            <w:r w:rsidRPr="00B059B2">
              <w:rPr>
                <w:b/>
                <w:bCs/>
                <w:i/>
                <w:iCs/>
              </w:rPr>
              <w:t>38 °C</w:t>
            </w:r>
          </w:p>
        </w:tc>
      </w:tr>
      <w:tr w:rsidR="00902EF1" w:rsidRPr="00B059B2" w:rsidTr="0023402C">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kern w:val="24"/>
                <w:szCs w:val="24"/>
              </w:rPr>
            </w:pPr>
            <w:r w:rsidRPr="00B059B2">
              <w:t>Maximálna nadmorská výška</w:t>
            </w:r>
          </w:p>
        </w:tc>
        <w:tc>
          <w:tcPr>
            <w:tcW w:w="2832"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ind w:left="360"/>
              <w:jc w:val="center"/>
              <w:rPr>
                <w:noProof/>
                <w:kern w:val="24"/>
              </w:rPr>
            </w:pPr>
            <w:r w:rsidRPr="00B059B2">
              <w:t>700 m</w:t>
            </w:r>
          </w:p>
        </w:tc>
        <w:tc>
          <w:tcPr>
            <w:tcW w:w="3465"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ind w:left="360"/>
              <w:jc w:val="center"/>
              <w:rPr>
                <w:noProof/>
                <w:kern w:val="24"/>
              </w:rPr>
            </w:pPr>
            <w:r w:rsidRPr="00B059B2">
              <w:t xml:space="preserve">viac ako 700 m a menej ako </w:t>
            </w:r>
            <w:r w:rsidRPr="00B059B2">
              <w:rPr>
                <w:b/>
                <w:bCs/>
                <w:i/>
                <w:iCs/>
              </w:rPr>
              <w:t>1 300</w:t>
            </w:r>
            <w:r w:rsidRPr="00B059B2">
              <w:rPr>
                <w:b/>
                <w:bCs/>
              </w:rPr>
              <w:t> </w:t>
            </w:r>
            <w:r w:rsidRPr="00B059B2">
              <w:t>m</w:t>
            </w:r>
          </w:p>
        </w:tc>
      </w:tr>
      <w:tr w:rsidR="00902EF1" w:rsidRPr="00B059B2" w:rsidTr="0023402C">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b/>
                <w:noProof/>
                <w:szCs w:val="24"/>
              </w:rPr>
            </w:pPr>
            <w:r w:rsidRPr="00B059B2">
              <w:t>Maximálna rýchlosť</w:t>
            </w:r>
          </w:p>
        </w:tc>
        <w:tc>
          <w:tcPr>
            <w:tcW w:w="2832"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ind w:left="360"/>
              <w:jc w:val="center"/>
              <w:rPr>
                <w:b/>
                <w:bCs/>
                <w:noProof/>
              </w:rPr>
            </w:pPr>
            <w:r w:rsidRPr="00B059B2">
              <w:t xml:space="preserve">do 145 km/h </w:t>
            </w:r>
          </w:p>
        </w:tc>
        <w:tc>
          <w:tcPr>
            <w:tcW w:w="3465"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ind w:left="360"/>
              <w:jc w:val="center"/>
              <w:rPr>
                <w:b/>
                <w:bCs/>
                <w:noProof/>
              </w:rPr>
            </w:pPr>
            <w:r w:rsidRPr="00B059B2">
              <w:t>od 145 km/h do 160 km/h</w:t>
            </w:r>
          </w:p>
        </w:tc>
      </w:tr>
      <w:tr w:rsidR="00902EF1" w:rsidRPr="00B059B2" w:rsidTr="0023402C">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b/>
                <w:noProof/>
                <w:szCs w:val="24"/>
              </w:rPr>
            </w:pPr>
            <w:r w:rsidRPr="00B059B2">
              <w:t>Ťahanie/aerodynamické úpravy</w:t>
            </w:r>
          </w:p>
        </w:tc>
        <w:tc>
          <w:tcPr>
            <w:tcW w:w="2832"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ind w:left="357"/>
              <w:jc w:val="center"/>
              <w:rPr>
                <w:b/>
                <w:bCs/>
                <w:noProof/>
              </w:rPr>
            </w:pPr>
            <w:r w:rsidRPr="00B059B2">
              <w:t>nepovolené</w:t>
            </w:r>
          </w:p>
        </w:tc>
        <w:tc>
          <w:tcPr>
            <w:tcW w:w="3465"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ind w:left="357"/>
              <w:jc w:val="center"/>
              <w:rPr>
                <w:b/>
                <w:bCs/>
                <w:noProof/>
              </w:rPr>
            </w:pPr>
            <w:r w:rsidRPr="00B059B2">
              <w:t>povolené podľa špecifikácií výrobcu a do regulovanej rýchlosti</w:t>
            </w:r>
          </w:p>
        </w:tc>
      </w:tr>
      <w:tr w:rsidR="00902EF1" w:rsidRPr="00B059B2" w:rsidTr="0023402C">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kern w:val="24"/>
                <w:szCs w:val="24"/>
              </w:rPr>
            </w:pPr>
            <w:r w:rsidRPr="00B059B2">
              <w:t>Pomocné zariadenia</w:t>
            </w:r>
          </w:p>
        </w:tc>
        <w:tc>
          <w:tcPr>
            <w:tcW w:w="2832"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ind w:left="360"/>
              <w:jc w:val="center"/>
              <w:rPr>
                <w:rFonts w:eastAsiaTheme="minorEastAsia"/>
                <w:noProof/>
                <w:kern w:val="24"/>
              </w:rPr>
            </w:pPr>
            <w:r w:rsidRPr="00B059B2">
              <w:t>možné pri bežnom používaní</w:t>
            </w:r>
          </w:p>
        </w:tc>
        <w:tc>
          <w:tcPr>
            <w:tcW w:w="3465"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ind w:left="360"/>
              <w:jc w:val="center"/>
              <w:rPr>
                <w:rFonts w:eastAsiaTheme="minorEastAsia"/>
                <w:noProof/>
                <w:kern w:val="24"/>
              </w:rPr>
            </w:pPr>
            <w:r w:rsidRPr="00B059B2">
              <w:t>-</w:t>
            </w:r>
          </w:p>
        </w:tc>
      </w:tr>
      <w:tr w:rsidR="00902EF1" w:rsidRPr="00B059B2" w:rsidTr="0023402C">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b/>
                <w:noProof/>
                <w:szCs w:val="24"/>
              </w:rPr>
            </w:pPr>
            <w:r w:rsidRPr="00B059B2">
              <w:t>Maximálny priemerný výkon na kolese počas prvých dvoch kilometrov po studenom štarte</w:t>
            </w:r>
          </w:p>
        </w:tc>
        <w:tc>
          <w:tcPr>
            <w:tcW w:w="2832"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noProof/>
                <w:kern w:val="24"/>
                <w:szCs w:val="24"/>
              </w:rPr>
            </w:pPr>
            <w:r w:rsidRPr="00B059B2">
              <w:t>nižší než 20 % maximálneho výkonu na kolese</w:t>
            </w:r>
          </w:p>
        </w:tc>
        <w:tc>
          <w:tcPr>
            <w:tcW w:w="3465"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noProof/>
                <w:kern w:val="24"/>
                <w:szCs w:val="24"/>
              </w:rPr>
            </w:pPr>
            <w:r w:rsidRPr="00B059B2">
              <w:rPr>
                <w:b/>
                <w:bCs/>
                <w:i/>
                <w:iCs/>
              </w:rPr>
              <w:t>medzi</w:t>
            </w:r>
            <w:r w:rsidRPr="00B059B2">
              <w:t xml:space="preserve"> 20 % </w:t>
            </w:r>
            <w:r w:rsidRPr="00B059B2">
              <w:rPr>
                <w:b/>
                <w:bCs/>
                <w:i/>
                <w:iCs/>
              </w:rPr>
              <w:t>a 30 %</w:t>
            </w:r>
            <w:r w:rsidRPr="00B059B2">
              <w:t xml:space="preserve"> maximálneho výkonu na kolese </w:t>
            </w:r>
          </w:p>
        </w:tc>
      </w:tr>
      <w:tr w:rsidR="00902EF1" w:rsidRPr="00B059B2" w:rsidTr="0023402C">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szCs w:val="24"/>
              </w:rPr>
            </w:pPr>
            <w:r w:rsidRPr="00B059B2">
              <w:lastRenderedPageBreak/>
              <w:t>Skladba cesty</w:t>
            </w:r>
          </w:p>
        </w:tc>
        <w:tc>
          <w:tcPr>
            <w:tcW w:w="2832"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widowControl/>
              <w:jc w:val="center"/>
              <w:rPr>
                <w:bCs/>
                <w:noProof/>
                <w:szCs w:val="24"/>
              </w:rPr>
            </w:pPr>
            <w:r w:rsidRPr="00B059B2">
              <w:rPr>
                <w:b/>
                <w:bCs/>
                <w:i/>
                <w:iCs/>
              </w:rPr>
              <w:t>akákoľvek pri bežnom používaní</w:t>
            </w:r>
            <w:r w:rsidRPr="00B059B2">
              <w:rPr>
                <w:b/>
                <w:bCs/>
                <w:i/>
                <w:iCs/>
                <w:vertAlign w:val="superscript"/>
              </w:rPr>
              <w:t>2</w:t>
            </w:r>
            <w:r w:rsidRPr="00B059B2">
              <w:rPr>
                <w:b/>
                <w:bCs/>
                <w:i/>
                <w:iCs/>
              </w:rPr>
              <w:t xml:space="preserve"> a s výnimkou neobjektívneho vedenia vozidla</w:t>
            </w:r>
          </w:p>
        </w:tc>
        <w:tc>
          <w:tcPr>
            <w:tcW w:w="3465"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widowControl/>
              <w:jc w:val="center"/>
              <w:rPr>
                <w:b/>
                <w:i/>
                <w:szCs w:val="24"/>
              </w:rPr>
            </w:pPr>
            <w:r w:rsidRPr="00B059B2">
              <w:rPr>
                <w:b/>
                <w:bCs/>
                <w:i/>
                <w:iCs/>
              </w:rPr>
              <w:t>akákoľvek pri bežnom používaní</w:t>
            </w:r>
            <w:r w:rsidRPr="00B059B2">
              <w:rPr>
                <w:b/>
                <w:bCs/>
                <w:i/>
                <w:iCs/>
                <w:vertAlign w:val="superscript"/>
              </w:rPr>
              <w:t>2</w:t>
            </w:r>
            <w:r w:rsidRPr="00B059B2">
              <w:rPr>
                <w:b/>
                <w:bCs/>
                <w:i/>
                <w:iCs/>
              </w:rPr>
              <w:t xml:space="preserve"> a s výnimkou neobjektívneho vedenia vozidla</w:t>
            </w:r>
          </w:p>
        </w:tc>
      </w:tr>
      <w:tr w:rsidR="00902EF1" w:rsidRPr="00B059B2" w:rsidTr="0023402C">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noProof/>
                <w:kern w:val="24"/>
                <w:szCs w:val="24"/>
              </w:rPr>
            </w:pPr>
            <w:r w:rsidRPr="00B059B2">
              <w:t>Minimálny počet najazdených kilometrov</w:t>
            </w:r>
          </w:p>
        </w:tc>
        <w:tc>
          <w:tcPr>
            <w:tcW w:w="2832"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ind w:left="360"/>
              <w:jc w:val="center"/>
              <w:rPr>
                <w:noProof/>
                <w:kern w:val="24"/>
              </w:rPr>
            </w:pPr>
            <w:r w:rsidRPr="00B059B2">
              <w:t>10 000 km</w:t>
            </w:r>
          </w:p>
        </w:tc>
        <w:tc>
          <w:tcPr>
            <w:tcW w:w="3465"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ind w:left="360"/>
              <w:jc w:val="center"/>
              <w:rPr>
                <w:noProof/>
                <w:kern w:val="24"/>
              </w:rPr>
            </w:pPr>
            <w:r w:rsidRPr="00B059B2">
              <w:t>od 3 000 km do 10 000 km</w:t>
            </w:r>
          </w:p>
        </w:tc>
      </w:tr>
      <w:tr w:rsidR="00902EF1" w:rsidRPr="00B059B2" w:rsidTr="0023402C">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902EF1" w:rsidRPr="00B059B2" w:rsidRDefault="00902EF1" w:rsidP="0023402C">
            <w:pPr>
              <w:rPr>
                <w:b/>
                <w:bCs/>
                <w:i/>
                <w:noProof/>
                <w:sz w:val="20"/>
              </w:rPr>
            </w:pPr>
            <w:r w:rsidRPr="00B059B2">
              <w:rPr>
                <w:b/>
                <w:i/>
                <w:sz w:val="20"/>
                <w:vertAlign w:val="superscript"/>
              </w:rPr>
              <w:t>1</w:t>
            </w:r>
            <w:r w:rsidRPr="00B059B2">
              <w:rPr>
                <w:b/>
                <w:i/>
                <w:sz w:val="20"/>
              </w:rPr>
              <w:t xml:space="preserve"> Povoľuje sa len kombinácia dvoch rozšírených podmienok teploty a nadmorskej výšky.</w:t>
            </w:r>
          </w:p>
          <w:p w:rsidR="00902EF1" w:rsidRPr="00B059B2" w:rsidRDefault="00902EF1" w:rsidP="0023402C">
            <w:pPr>
              <w:jc w:val="both"/>
              <w:rPr>
                <w:b/>
                <w:bCs/>
                <w:i/>
                <w:noProof/>
              </w:rPr>
            </w:pPr>
            <w:r w:rsidRPr="00B059B2">
              <w:rPr>
                <w:b/>
                <w:i/>
                <w:sz w:val="20"/>
                <w:vertAlign w:val="superscript"/>
              </w:rPr>
              <w:t>2</w:t>
            </w:r>
            <w:r w:rsidRPr="00B059B2">
              <w:rPr>
                <w:b/>
                <w:i/>
                <w:sz w:val="20"/>
              </w:rPr>
              <w:t xml:space="preserve"> Pri bežnom používaní sa vzťahuje na dynamiku jazdy stanovenú v prílohe 9 k predpisu OSN č. 168.</w:t>
            </w:r>
          </w:p>
        </w:tc>
      </w:tr>
    </w:tbl>
    <w:p w:rsidR="00902EF1" w:rsidRPr="00B059B2" w:rsidRDefault="00902EF1" w:rsidP="00902EF1"/>
    <w:p w:rsidR="00902EF1" w:rsidRPr="00B059B2" w:rsidRDefault="00902EF1" w:rsidP="00902EF1">
      <w:pPr>
        <w:pStyle w:val="AmNumberTabs"/>
        <w:keepNext/>
      </w:pPr>
      <w:r w:rsidRPr="00B059B2">
        <w:t>Pozmeňujúci návrh</w:t>
      </w:r>
      <w:r w:rsidRPr="00B059B2">
        <w:tab/>
      </w:r>
      <w:r w:rsidRPr="00B059B2">
        <w:tab/>
        <w:t>160</w:t>
      </w:r>
    </w:p>
    <w:p w:rsidR="00902EF1" w:rsidRPr="00B059B2" w:rsidRDefault="00902EF1" w:rsidP="00902EF1">
      <w:pPr>
        <w:pStyle w:val="NormalBold12b"/>
      </w:pPr>
      <w:r w:rsidRPr="00B059B2">
        <w:t>Návrh nariadenia</w:t>
      </w:r>
    </w:p>
    <w:p w:rsidR="00902EF1" w:rsidRPr="00B059B2" w:rsidRDefault="00902EF1" w:rsidP="00902EF1">
      <w:pPr>
        <w:pStyle w:val="NormalBold"/>
        <w:keepNext/>
      </w:pPr>
      <w:r w:rsidRPr="00B059B2">
        <w:t>Príloha III – tabuľka 2</w:t>
      </w:r>
    </w:p>
    <w:tbl>
      <w:tblPr>
        <w:tblStyle w:val="CV11"/>
        <w:tblW w:w="0" w:type="auto"/>
        <w:tblLook w:val="04A0" w:firstRow="1" w:lastRow="0" w:firstColumn="1" w:lastColumn="0" w:noHBand="0" w:noVBand="1"/>
      </w:tblPr>
      <w:tblGrid>
        <w:gridCol w:w="2616"/>
        <w:gridCol w:w="3182"/>
        <w:gridCol w:w="3262"/>
      </w:tblGrid>
      <w:tr w:rsidR="00902EF1" w:rsidRPr="00B059B2" w:rsidTr="0023402C">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902EF1" w:rsidRPr="00B059B2" w:rsidRDefault="00902EF1" w:rsidP="0023402C">
            <w:pPr>
              <w:ind w:left="360"/>
              <w:jc w:val="center"/>
              <w:rPr>
                <w:i/>
                <w:noProof/>
              </w:rPr>
            </w:pPr>
            <w:r w:rsidRPr="00B059B2">
              <w:rPr>
                <w:i/>
              </w:rPr>
              <w:t>Text predložený Komisiou</w:t>
            </w:r>
          </w:p>
        </w:tc>
      </w:tr>
      <w:tr w:rsidR="00902EF1" w:rsidRPr="00B059B2" w:rsidTr="0023402C">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902EF1" w:rsidRPr="00B059B2" w:rsidRDefault="00902EF1" w:rsidP="0023402C">
            <w:pPr>
              <w:rPr>
                <w:rFonts w:eastAsiaTheme="minorEastAsia"/>
                <w:noProof/>
                <w:kern w:val="24"/>
                <w:szCs w:val="24"/>
              </w:rPr>
            </w:pPr>
            <w:r w:rsidRPr="00B059B2">
              <w:t>Tabuľka 2: Podmienky skúšania súladu vozidiel kategórií M2, M3, N2 a N3 s limitmi výfukových emisií pri použití akéhokoľvek komerčného paliva a maziva v rámci špecifikácií vydaných výrobcom vozidla</w:t>
            </w:r>
          </w:p>
        </w:tc>
      </w:tr>
      <w:tr w:rsidR="00902EF1" w:rsidRPr="00B059B2" w:rsidTr="0023402C">
        <w:trPr>
          <w:trHeight w:val="312"/>
        </w:trPr>
        <w:tc>
          <w:tcPr>
            <w:tcW w:w="2319"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kern w:val="24"/>
                <w:szCs w:val="24"/>
              </w:rPr>
            </w:pPr>
            <w:r w:rsidRPr="00B059B2">
              <w:rPr>
                <w:b/>
                <w:i/>
              </w:rPr>
              <w:t>Ukazovateľ</w:t>
            </w:r>
          </w:p>
        </w:tc>
        <w:tc>
          <w:tcPr>
            <w:tcW w:w="3333"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ind w:left="360"/>
              <w:jc w:val="center"/>
              <w:rPr>
                <w:b/>
                <w:i/>
                <w:noProof/>
                <w:kern w:val="24"/>
              </w:rPr>
            </w:pPr>
            <w:r w:rsidRPr="00B059B2">
              <w:rPr>
                <w:b/>
                <w:i/>
              </w:rPr>
              <w:t xml:space="preserve">Bežné jazdné podmienky </w:t>
            </w:r>
          </w:p>
        </w:tc>
        <w:tc>
          <w:tcPr>
            <w:tcW w:w="3408"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ind w:left="360"/>
              <w:jc w:val="center"/>
              <w:rPr>
                <w:b/>
                <w:i/>
                <w:noProof/>
                <w:kern w:val="24"/>
              </w:rPr>
            </w:pPr>
            <w:r w:rsidRPr="00B059B2">
              <w:rPr>
                <w:b/>
                <w:i/>
              </w:rPr>
              <w:t>Rozšírené jazdné podmienky*</w:t>
            </w:r>
          </w:p>
        </w:tc>
      </w:tr>
      <w:tr w:rsidR="00902EF1" w:rsidRPr="00B059B2" w:rsidTr="0023402C">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b/>
                <w:i/>
                <w:noProof/>
                <w:szCs w:val="24"/>
              </w:rPr>
            </w:pPr>
            <w:r w:rsidRPr="00B059B2">
              <w:rPr>
                <w:b/>
                <w:i/>
              </w:rPr>
              <w:t>Deliteľ pri rozšírených jazdných podmienkach</w:t>
            </w:r>
          </w:p>
        </w:tc>
        <w:tc>
          <w:tcPr>
            <w:tcW w:w="3333"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szCs w:val="24"/>
              </w:rPr>
            </w:pPr>
            <w:r w:rsidRPr="00B059B2">
              <w:rPr>
                <w:b/>
                <w:i/>
              </w:rPr>
              <w:t>-</w:t>
            </w:r>
          </w:p>
        </w:tc>
        <w:tc>
          <w:tcPr>
            <w:tcW w:w="3408"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szCs w:val="24"/>
              </w:rPr>
            </w:pPr>
            <w:r w:rsidRPr="00B059B2">
              <w:rPr>
                <w:b/>
                <w:i/>
              </w:rPr>
              <w:t>2 (uplatňuje sa na namerané emisie len počas času, keď platí jedna z podmienok stanovených v tomto stĺpci)</w:t>
            </w:r>
          </w:p>
        </w:tc>
      </w:tr>
      <w:tr w:rsidR="00902EF1" w:rsidRPr="00B059B2" w:rsidTr="0023402C">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rFonts w:eastAsiaTheme="minorEastAsia"/>
                <w:b/>
                <w:i/>
                <w:noProof/>
                <w:kern w:val="24"/>
                <w:szCs w:val="24"/>
              </w:rPr>
            </w:pPr>
            <w:r w:rsidRPr="00B059B2">
              <w:rPr>
                <w:b/>
                <w:i/>
              </w:rPr>
              <w:t>Teplota okolia</w:t>
            </w:r>
          </w:p>
        </w:tc>
        <w:tc>
          <w:tcPr>
            <w:tcW w:w="3333"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kern w:val="24"/>
                <w:szCs w:val="24"/>
              </w:rPr>
            </w:pPr>
            <w:r w:rsidRPr="00B059B2">
              <w:rPr>
                <w:b/>
                <w:i/>
              </w:rPr>
              <w:t xml:space="preserve">od </w:t>
            </w:r>
            <w:r w:rsidRPr="00B059B2">
              <w:rPr>
                <w:b/>
                <w:bCs/>
                <w:i/>
                <w:iCs/>
              </w:rPr>
              <w:t>–</w:t>
            </w:r>
            <w:r w:rsidRPr="00B059B2">
              <w:rPr>
                <w:b/>
                <w:i/>
              </w:rPr>
              <w:t>7 °C do 35 °C</w:t>
            </w:r>
          </w:p>
        </w:tc>
        <w:tc>
          <w:tcPr>
            <w:tcW w:w="3408"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kern w:val="24"/>
                <w:szCs w:val="24"/>
              </w:rPr>
            </w:pPr>
            <w:r w:rsidRPr="00B059B2">
              <w:rPr>
                <w:b/>
                <w:i/>
              </w:rPr>
              <w:t xml:space="preserve">od </w:t>
            </w:r>
            <w:r w:rsidRPr="00B059B2">
              <w:rPr>
                <w:b/>
                <w:bCs/>
                <w:i/>
                <w:iCs/>
              </w:rPr>
              <w:t>–10 °C</w:t>
            </w:r>
            <w:r w:rsidRPr="00B059B2">
              <w:rPr>
                <w:b/>
                <w:i/>
              </w:rPr>
              <w:t xml:space="preserve"> do </w:t>
            </w:r>
            <w:r w:rsidRPr="00B059B2">
              <w:rPr>
                <w:b/>
                <w:bCs/>
                <w:i/>
                <w:iCs/>
              </w:rPr>
              <w:t>–</w:t>
            </w:r>
            <w:r w:rsidRPr="00B059B2">
              <w:rPr>
                <w:b/>
                <w:i/>
              </w:rPr>
              <w:t xml:space="preserve">7 °C alebo od 35 °C do </w:t>
            </w:r>
            <w:r w:rsidRPr="00B059B2">
              <w:rPr>
                <w:b/>
                <w:bCs/>
                <w:i/>
                <w:iCs/>
              </w:rPr>
              <w:t>45 °C</w:t>
            </w:r>
          </w:p>
        </w:tc>
      </w:tr>
      <w:tr w:rsidR="00902EF1" w:rsidRPr="00B059B2" w:rsidTr="0023402C">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b/>
                <w:i/>
                <w:noProof/>
                <w:szCs w:val="24"/>
              </w:rPr>
            </w:pPr>
            <w:r w:rsidRPr="00B059B2">
              <w:rPr>
                <w:b/>
                <w:i/>
              </w:rPr>
              <w:t>Maximálna nadmorská výška</w:t>
            </w:r>
          </w:p>
        </w:tc>
        <w:tc>
          <w:tcPr>
            <w:tcW w:w="3333"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szCs w:val="24"/>
              </w:rPr>
            </w:pPr>
            <w:r w:rsidRPr="00B059B2">
              <w:rPr>
                <w:b/>
                <w:i/>
              </w:rPr>
              <w:t>1 600 m</w:t>
            </w:r>
          </w:p>
        </w:tc>
        <w:tc>
          <w:tcPr>
            <w:tcW w:w="3408"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szCs w:val="24"/>
              </w:rPr>
            </w:pPr>
            <w:r w:rsidRPr="00B059B2">
              <w:rPr>
                <w:b/>
                <w:i/>
              </w:rPr>
              <w:t>od 1 600 m do 1 800 m</w:t>
            </w:r>
          </w:p>
        </w:tc>
      </w:tr>
      <w:tr w:rsidR="00902EF1" w:rsidRPr="00B059B2" w:rsidTr="0023402C">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rFonts w:eastAsiaTheme="minorEastAsia"/>
                <w:b/>
                <w:i/>
                <w:noProof/>
                <w:kern w:val="24"/>
                <w:szCs w:val="24"/>
              </w:rPr>
            </w:pPr>
            <w:r w:rsidRPr="00B059B2">
              <w:rPr>
                <w:b/>
                <w:i/>
              </w:rPr>
              <w:t>Ťahanie/aerodynamické úpravy</w:t>
            </w:r>
          </w:p>
        </w:tc>
        <w:tc>
          <w:tcPr>
            <w:tcW w:w="3333"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kern w:val="24"/>
                <w:szCs w:val="24"/>
              </w:rPr>
            </w:pPr>
            <w:r w:rsidRPr="00B059B2">
              <w:rPr>
                <w:b/>
                <w:i/>
              </w:rPr>
              <w:t>nepovolené</w:t>
            </w:r>
          </w:p>
        </w:tc>
        <w:tc>
          <w:tcPr>
            <w:tcW w:w="3408"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kern w:val="24"/>
                <w:szCs w:val="24"/>
              </w:rPr>
            </w:pPr>
            <w:r w:rsidRPr="00B059B2">
              <w:rPr>
                <w:b/>
                <w:i/>
              </w:rPr>
              <w:t xml:space="preserve">povolené podľa špecifikácií výrobcu a do regulovanej rýchlosti </w:t>
            </w:r>
          </w:p>
        </w:tc>
      </w:tr>
      <w:tr w:rsidR="00902EF1" w:rsidRPr="00B059B2" w:rsidTr="0023402C">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rFonts w:eastAsiaTheme="minorEastAsia"/>
                <w:b/>
                <w:i/>
                <w:noProof/>
                <w:kern w:val="24"/>
                <w:szCs w:val="24"/>
              </w:rPr>
            </w:pPr>
            <w:r w:rsidRPr="00B059B2">
              <w:rPr>
                <w:b/>
                <w:i/>
              </w:rPr>
              <w:t>Užitočné zaťaženie vozidla</w:t>
            </w:r>
          </w:p>
        </w:tc>
        <w:tc>
          <w:tcPr>
            <w:tcW w:w="3333"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kern w:val="24"/>
                <w:szCs w:val="24"/>
              </w:rPr>
            </w:pPr>
            <w:r w:rsidRPr="00B059B2">
              <w:rPr>
                <w:b/>
                <w:i/>
              </w:rPr>
              <w:t>10 % alebo viac</w:t>
            </w:r>
          </w:p>
        </w:tc>
        <w:tc>
          <w:tcPr>
            <w:tcW w:w="3408"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kern w:val="24"/>
                <w:szCs w:val="24"/>
              </w:rPr>
            </w:pPr>
            <w:r w:rsidRPr="00B059B2">
              <w:rPr>
                <w:b/>
                <w:i/>
              </w:rPr>
              <w:t>menej ako 10 %</w:t>
            </w:r>
          </w:p>
        </w:tc>
      </w:tr>
      <w:tr w:rsidR="00902EF1" w:rsidRPr="00B059B2" w:rsidTr="0023402C">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rFonts w:eastAsiaTheme="minorEastAsia"/>
                <w:b/>
                <w:i/>
                <w:noProof/>
                <w:kern w:val="24"/>
                <w:szCs w:val="24"/>
              </w:rPr>
            </w:pPr>
            <w:r w:rsidRPr="00B059B2">
              <w:rPr>
                <w:b/>
                <w:i/>
              </w:rPr>
              <w:t>Pomocné zariadenia</w:t>
            </w:r>
          </w:p>
        </w:tc>
        <w:tc>
          <w:tcPr>
            <w:tcW w:w="3333"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kern w:val="24"/>
                <w:szCs w:val="24"/>
              </w:rPr>
            </w:pPr>
            <w:r w:rsidRPr="00B059B2">
              <w:rPr>
                <w:b/>
                <w:i/>
              </w:rPr>
              <w:t>možné pri bežnom používaní</w:t>
            </w:r>
          </w:p>
        </w:tc>
        <w:tc>
          <w:tcPr>
            <w:tcW w:w="3408"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kern w:val="24"/>
                <w:szCs w:val="24"/>
              </w:rPr>
            </w:pPr>
            <w:r w:rsidRPr="00B059B2">
              <w:rPr>
                <w:b/>
                <w:i/>
              </w:rPr>
              <w:t>-</w:t>
            </w:r>
          </w:p>
        </w:tc>
      </w:tr>
      <w:tr w:rsidR="00902EF1" w:rsidRPr="00B059B2" w:rsidTr="0023402C">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b/>
                <w:i/>
                <w:noProof/>
                <w:szCs w:val="24"/>
              </w:rPr>
            </w:pPr>
            <w:r w:rsidRPr="00B059B2">
              <w:rPr>
                <w:b/>
                <w:i/>
              </w:rPr>
              <w:t>Zaťaženie spaľovacieho motora pri studenom štarte</w:t>
            </w:r>
          </w:p>
        </w:tc>
        <w:tc>
          <w:tcPr>
            <w:tcW w:w="3333"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szCs w:val="24"/>
              </w:rPr>
            </w:pPr>
            <w:r w:rsidRPr="00B059B2">
              <w:rPr>
                <w:b/>
                <w:i/>
              </w:rPr>
              <w:t>akékoľvek</w:t>
            </w:r>
          </w:p>
        </w:tc>
        <w:tc>
          <w:tcPr>
            <w:tcW w:w="3408"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szCs w:val="24"/>
              </w:rPr>
            </w:pPr>
            <w:r w:rsidRPr="00B059B2">
              <w:rPr>
                <w:b/>
                <w:i/>
              </w:rPr>
              <w:t>-</w:t>
            </w:r>
          </w:p>
        </w:tc>
      </w:tr>
      <w:tr w:rsidR="00902EF1" w:rsidRPr="00B059B2" w:rsidTr="0023402C">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b/>
                <w:i/>
                <w:noProof/>
                <w:szCs w:val="24"/>
              </w:rPr>
            </w:pPr>
            <w:r w:rsidRPr="00B059B2">
              <w:rPr>
                <w:b/>
                <w:i/>
              </w:rPr>
              <w:t>Skladba cesty</w:t>
            </w:r>
          </w:p>
        </w:tc>
        <w:tc>
          <w:tcPr>
            <w:tcW w:w="3333"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szCs w:val="24"/>
              </w:rPr>
            </w:pPr>
            <w:r w:rsidRPr="00B059B2">
              <w:rPr>
                <w:b/>
                <w:i/>
              </w:rPr>
              <w:t xml:space="preserve">pri zvyčajnom používaní </w:t>
            </w:r>
          </w:p>
        </w:tc>
        <w:tc>
          <w:tcPr>
            <w:tcW w:w="3408"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szCs w:val="24"/>
              </w:rPr>
            </w:pPr>
            <w:r w:rsidRPr="00B059B2">
              <w:rPr>
                <w:b/>
                <w:i/>
              </w:rPr>
              <w:t>-</w:t>
            </w:r>
          </w:p>
        </w:tc>
      </w:tr>
      <w:tr w:rsidR="00902EF1" w:rsidRPr="00B059B2" w:rsidTr="0023402C">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902EF1" w:rsidRPr="00B059B2" w:rsidRDefault="00902EF1" w:rsidP="0023402C">
            <w:pPr>
              <w:jc w:val="center"/>
              <w:rPr>
                <w:rFonts w:eastAsiaTheme="minorEastAsia"/>
                <w:b/>
                <w:i/>
                <w:noProof/>
                <w:kern w:val="24"/>
                <w:szCs w:val="24"/>
              </w:rPr>
            </w:pPr>
            <w:r w:rsidRPr="00B059B2">
              <w:rPr>
                <w:b/>
                <w:i/>
              </w:rPr>
              <w:t>Minimálny počet najazdených kilometrov</w:t>
            </w:r>
          </w:p>
        </w:tc>
        <w:tc>
          <w:tcPr>
            <w:tcW w:w="3333"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kern w:val="24"/>
                <w:szCs w:val="24"/>
              </w:rPr>
            </w:pPr>
            <w:r w:rsidRPr="00B059B2">
              <w:rPr>
                <w:b/>
                <w:i/>
              </w:rPr>
              <w:t>5 000 km v prípade TPMLM &lt; 16 t</w:t>
            </w:r>
            <w:r w:rsidRPr="00B059B2">
              <w:rPr>
                <w:b/>
                <w:i/>
              </w:rPr>
              <w:br/>
              <w:t>10 000 km v prípade TPMLM &gt; 16 t</w:t>
            </w:r>
          </w:p>
        </w:tc>
        <w:tc>
          <w:tcPr>
            <w:tcW w:w="3408"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jc w:val="center"/>
              <w:rPr>
                <w:b/>
                <w:i/>
                <w:noProof/>
                <w:kern w:val="24"/>
                <w:szCs w:val="24"/>
              </w:rPr>
            </w:pPr>
            <w:r w:rsidRPr="00B059B2">
              <w:rPr>
                <w:b/>
                <w:i/>
              </w:rPr>
              <w:t>od 3 000 km do 5 000 km v prípade TPMLM &lt; 16 t</w:t>
            </w:r>
            <w:r w:rsidRPr="00B059B2">
              <w:rPr>
                <w:b/>
                <w:i/>
              </w:rPr>
              <w:br/>
              <w:t>od 3 000 km do 10 000 km v prípade TPMLM &gt; 16 t</w:t>
            </w:r>
          </w:p>
        </w:tc>
      </w:tr>
    </w:tbl>
    <w:p w:rsidR="00902EF1" w:rsidRPr="00B059B2" w:rsidRDefault="00902EF1" w:rsidP="00902EF1">
      <w:pPr>
        <w:pStyle w:val="AmOrLang"/>
      </w:pPr>
    </w:p>
    <w:p w:rsidR="00902EF1" w:rsidRPr="00B059B2" w:rsidRDefault="00902EF1" w:rsidP="00902EF1">
      <w:pPr>
        <w:pStyle w:val="AmOrLang"/>
      </w:pPr>
    </w:p>
    <w:tbl>
      <w:tblPr>
        <w:tblStyle w:val="CV11"/>
        <w:tblW w:w="0" w:type="auto"/>
        <w:tblLook w:val="04A0" w:firstRow="1" w:lastRow="0" w:firstColumn="1" w:lastColumn="0" w:noHBand="0" w:noVBand="1"/>
      </w:tblPr>
      <w:tblGrid>
        <w:gridCol w:w="4376"/>
        <w:gridCol w:w="4684"/>
      </w:tblGrid>
      <w:tr w:rsidR="00902EF1" w:rsidRPr="00B059B2" w:rsidTr="0023402C">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902EF1" w:rsidRPr="00B059B2" w:rsidRDefault="00902EF1" w:rsidP="0023402C">
            <w:pPr>
              <w:ind w:left="360"/>
              <w:jc w:val="center"/>
              <w:rPr>
                <w:i/>
                <w:noProof/>
              </w:rPr>
            </w:pPr>
            <w:r w:rsidRPr="00B059B2">
              <w:rPr>
                <w:i/>
              </w:rPr>
              <w:t>Pozmeňujúci návrh</w:t>
            </w:r>
          </w:p>
        </w:tc>
      </w:tr>
      <w:tr w:rsidR="00902EF1" w:rsidRPr="00B059B2" w:rsidTr="0023402C">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902EF1" w:rsidRPr="00B059B2" w:rsidRDefault="00902EF1" w:rsidP="0023402C">
            <w:pPr>
              <w:rPr>
                <w:rFonts w:eastAsiaTheme="minorEastAsia"/>
                <w:noProof/>
                <w:kern w:val="24"/>
                <w:szCs w:val="24"/>
              </w:rPr>
            </w:pPr>
            <w:r w:rsidRPr="00B059B2">
              <w:t xml:space="preserve">Tabuľka 2: Podmienky skúšania súladu vozidiel kategórií M2, M3, N2 a N3 s limitmi výfukových emisií pri použití akéhokoľvek komerčného paliva a maziva v rámci </w:t>
            </w:r>
            <w:r w:rsidRPr="00B059B2">
              <w:lastRenderedPageBreak/>
              <w:t>špecifikácií vydaných výrobcom vozidla</w:t>
            </w:r>
          </w:p>
        </w:tc>
      </w:tr>
      <w:tr w:rsidR="00902EF1" w:rsidRPr="00B059B2" w:rsidTr="0023402C">
        <w:trPr>
          <w:trHeight w:val="312"/>
        </w:trPr>
        <w:tc>
          <w:tcPr>
            <w:tcW w:w="4376" w:type="dxa"/>
            <w:tcBorders>
              <w:top w:val="single" w:sz="4" w:space="0" w:color="auto"/>
              <w:left w:val="single" w:sz="4" w:space="0" w:color="auto"/>
              <w:bottom w:val="single" w:sz="4" w:space="0" w:color="auto"/>
              <w:right w:val="single" w:sz="4" w:space="0" w:color="auto"/>
            </w:tcBorders>
          </w:tcPr>
          <w:p w:rsidR="00902EF1" w:rsidRPr="00B059B2" w:rsidRDefault="00902EF1" w:rsidP="0023402C">
            <w:pPr>
              <w:spacing w:before="60" w:after="60"/>
              <w:jc w:val="center"/>
              <w:rPr>
                <w:b/>
                <w:bCs/>
                <w:i/>
                <w:sz w:val="22"/>
                <w:szCs w:val="22"/>
              </w:rPr>
            </w:pPr>
            <w:r w:rsidRPr="00B059B2">
              <w:rPr>
                <w:b/>
                <w:i/>
                <w:sz w:val="22"/>
              </w:rPr>
              <w:lastRenderedPageBreak/>
              <w:t>Laboratórne meranie výfukových emisií</w:t>
            </w:r>
          </w:p>
        </w:tc>
        <w:tc>
          <w:tcPr>
            <w:tcW w:w="4684" w:type="dxa"/>
            <w:tcBorders>
              <w:top w:val="single" w:sz="4" w:space="0" w:color="auto"/>
              <w:left w:val="single" w:sz="4" w:space="0" w:color="auto"/>
              <w:bottom w:val="single" w:sz="4" w:space="0" w:color="auto"/>
              <w:right w:val="single" w:sz="4" w:space="0" w:color="auto"/>
            </w:tcBorders>
          </w:tcPr>
          <w:p w:rsidR="00902EF1" w:rsidRPr="00B059B2" w:rsidRDefault="00902EF1" w:rsidP="0023402C">
            <w:pPr>
              <w:spacing w:before="60" w:after="60"/>
              <w:jc w:val="center"/>
              <w:rPr>
                <w:rFonts w:ascii="Calibri" w:hAnsi="Calibri" w:cs="Calibri"/>
                <w:b/>
                <w:bCs/>
                <w:i/>
                <w:sz w:val="22"/>
                <w:szCs w:val="22"/>
              </w:rPr>
            </w:pPr>
            <w:r w:rsidRPr="00B059B2">
              <w:rPr>
                <w:b/>
                <w:i/>
                <w:sz w:val="22"/>
              </w:rPr>
              <w:t>Meranie emisií pri skutočnej jazde (RDE)</w:t>
            </w:r>
          </w:p>
        </w:tc>
      </w:tr>
      <w:tr w:rsidR="00902EF1" w:rsidRPr="00B059B2" w:rsidTr="0023402C">
        <w:trPr>
          <w:trHeight w:val="312"/>
        </w:trPr>
        <w:tc>
          <w:tcPr>
            <w:tcW w:w="4376" w:type="dxa"/>
            <w:tcBorders>
              <w:top w:val="single" w:sz="4" w:space="0" w:color="auto"/>
              <w:left w:val="single" w:sz="4" w:space="0" w:color="auto"/>
              <w:bottom w:val="single" w:sz="4" w:space="0" w:color="auto"/>
              <w:right w:val="single" w:sz="4" w:space="0" w:color="auto"/>
            </w:tcBorders>
          </w:tcPr>
          <w:p w:rsidR="00902EF1" w:rsidRPr="00B059B2" w:rsidRDefault="00902EF1" w:rsidP="0023402C">
            <w:pPr>
              <w:spacing w:before="60" w:after="60"/>
              <w:rPr>
                <w:b/>
                <w:bCs/>
                <w:i/>
                <w:sz w:val="22"/>
                <w:szCs w:val="22"/>
              </w:rPr>
            </w:pPr>
            <w:r w:rsidRPr="00B059B2">
              <w:rPr>
                <w:b/>
                <w:i/>
                <w:sz w:val="22"/>
              </w:rPr>
              <w:t>Na všetky skúšky výfukových emisií vykonané s použitím skúšobných cyklov skúšobného zariadenia WHTC/WHSC sa uplatňujú ustanovenia prílohy 4 k predpisu OSN č. 49</w:t>
            </w:r>
            <w:r w:rsidRPr="00B059B2">
              <w:rPr>
                <w:b/>
                <w:i/>
                <w:sz w:val="22"/>
                <w:vertAlign w:val="superscript"/>
              </w:rPr>
              <w:t>1</w:t>
            </w:r>
            <w:r w:rsidRPr="00B059B2">
              <w:rPr>
                <w:b/>
                <w:i/>
                <w:sz w:val="22"/>
              </w:rPr>
              <w:t>.</w:t>
            </w:r>
          </w:p>
        </w:tc>
        <w:tc>
          <w:tcPr>
            <w:tcW w:w="4684" w:type="dxa"/>
            <w:tcBorders>
              <w:top w:val="single" w:sz="4" w:space="0" w:color="auto"/>
              <w:left w:val="single" w:sz="4" w:space="0" w:color="auto"/>
              <w:bottom w:val="single" w:sz="4" w:space="0" w:color="auto"/>
              <w:right w:val="single" w:sz="4" w:space="0" w:color="auto"/>
            </w:tcBorders>
          </w:tcPr>
          <w:p w:rsidR="00902EF1" w:rsidRPr="00B059B2" w:rsidRDefault="00902EF1" w:rsidP="0023402C">
            <w:pPr>
              <w:spacing w:before="60" w:after="60"/>
              <w:rPr>
                <w:b/>
                <w:bCs/>
                <w:i/>
                <w:sz w:val="22"/>
                <w:szCs w:val="22"/>
              </w:rPr>
            </w:pPr>
            <w:r w:rsidRPr="00B059B2">
              <w:rPr>
                <w:b/>
                <w:i/>
                <w:sz w:val="22"/>
              </w:rPr>
              <w:t>Ustanovenia prílohy 8 k predpisu OSN č. 49</w:t>
            </w:r>
            <w:r w:rsidRPr="00B059B2">
              <w:rPr>
                <w:b/>
                <w:i/>
                <w:sz w:val="22"/>
                <w:vertAlign w:val="superscript"/>
              </w:rPr>
              <w:t>2</w:t>
            </w:r>
            <w:r w:rsidRPr="00B059B2">
              <w:rPr>
                <w:b/>
                <w:i/>
                <w:sz w:val="22"/>
              </w:rPr>
              <w:t xml:space="preserve"> sa uplatňujú </w:t>
            </w:r>
            <w:r w:rsidRPr="00B059B2">
              <w:rPr>
                <w:b/>
                <w:i/>
                <w:sz w:val="22"/>
                <w:u w:val="single"/>
              </w:rPr>
              <w:t>s týmito výnimkami</w:t>
            </w:r>
            <w:r w:rsidRPr="00B059B2">
              <w:rPr>
                <w:b/>
                <w:i/>
                <w:sz w:val="22"/>
              </w:rPr>
              <w:t>:</w:t>
            </w:r>
          </w:p>
          <w:p w:rsidR="00902EF1" w:rsidRPr="00B059B2" w:rsidRDefault="00902EF1" w:rsidP="0023402C">
            <w:pPr>
              <w:spacing w:before="60" w:after="60"/>
              <w:rPr>
                <w:b/>
                <w:bCs/>
                <w:i/>
                <w:sz w:val="22"/>
                <w:szCs w:val="22"/>
              </w:rPr>
            </w:pPr>
            <w:r w:rsidRPr="00B059B2">
              <w:rPr>
                <w:b/>
                <w:i/>
                <w:sz w:val="22"/>
              </w:rPr>
              <w:t>• prahová hodnota výkonu v tabuľke 1 prílohy III je 0 %. V prípade okien s výkonom nižším ako 6 % sa na výpočty použije 6 %;</w:t>
            </w:r>
          </w:p>
          <w:p w:rsidR="00902EF1" w:rsidRPr="00B059B2" w:rsidRDefault="00902EF1" w:rsidP="0023402C">
            <w:pPr>
              <w:spacing w:before="60" w:after="60"/>
              <w:rPr>
                <w:b/>
                <w:bCs/>
                <w:i/>
                <w:sz w:val="22"/>
                <w:szCs w:val="22"/>
              </w:rPr>
            </w:pPr>
            <w:r w:rsidRPr="00B059B2">
              <w:rPr>
                <w:b/>
                <w:i/>
                <w:sz w:val="22"/>
              </w:rPr>
              <w:t xml:space="preserve">• faktor zhody (CF) v tabuľke 2 v bode 6.3, kde sa pre všetky znečisťujúce látky použije hodnota = 1,0. Uplatniteľnými limitmi sú skutočné limity emisií pri skutočnej jazde v tabuľke 2 prílohy I. </w:t>
            </w:r>
          </w:p>
        </w:tc>
      </w:tr>
      <w:tr w:rsidR="00902EF1" w:rsidRPr="00B059B2" w:rsidTr="0023402C">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902EF1" w:rsidRPr="00B059B2" w:rsidRDefault="00902EF1" w:rsidP="0023402C">
            <w:pPr>
              <w:spacing w:before="60" w:after="60"/>
              <w:rPr>
                <w:b/>
                <w:bCs/>
                <w:i/>
                <w:sz w:val="20"/>
                <w:u w:val="single"/>
              </w:rPr>
            </w:pPr>
            <w:r w:rsidRPr="00B059B2">
              <w:rPr>
                <w:b/>
                <w:i/>
                <w:sz w:val="20"/>
                <w:u w:val="single"/>
                <w:vertAlign w:val="superscript"/>
              </w:rPr>
              <w:t>1</w:t>
            </w:r>
            <w:r w:rsidRPr="00B059B2">
              <w:rPr>
                <w:b/>
                <w:i/>
                <w:sz w:val="20"/>
                <w:u w:val="single"/>
              </w:rPr>
              <w:t xml:space="preserve"> Séria zmien 07 (Ú. v. EÚ L 14, 16.1.2023, s. 1).</w:t>
            </w:r>
          </w:p>
          <w:p w:rsidR="00902EF1" w:rsidRPr="00B059B2" w:rsidRDefault="00902EF1" w:rsidP="0023402C">
            <w:pPr>
              <w:spacing w:before="60" w:after="60"/>
              <w:rPr>
                <w:b/>
                <w:bCs/>
                <w:i/>
                <w:sz w:val="22"/>
                <w:szCs w:val="22"/>
              </w:rPr>
            </w:pPr>
            <w:r w:rsidRPr="00B059B2">
              <w:rPr>
                <w:b/>
                <w:i/>
                <w:sz w:val="20"/>
                <w:u w:val="single"/>
                <w:vertAlign w:val="superscript"/>
              </w:rPr>
              <w:t>2</w:t>
            </w:r>
            <w:r w:rsidRPr="00B059B2">
              <w:rPr>
                <w:b/>
                <w:i/>
                <w:sz w:val="20"/>
                <w:u w:val="single"/>
              </w:rPr>
              <w:t xml:space="preserve"> Séria zmien 07 (Ú. v. EÚ L 14, 16.1.2023, s. 1).</w:t>
            </w:r>
          </w:p>
        </w:tc>
      </w:tr>
    </w:tbl>
    <w:p w:rsidR="00902EF1" w:rsidRPr="00B059B2" w:rsidRDefault="00902EF1" w:rsidP="00902EF1"/>
    <w:p w:rsidR="00902EF1" w:rsidRPr="00B059B2" w:rsidRDefault="00902EF1" w:rsidP="00902EF1">
      <w:pPr>
        <w:pStyle w:val="AmNumberTabs"/>
        <w:keepNext/>
      </w:pPr>
      <w:r w:rsidRPr="00B059B2">
        <w:t>Pozmeňujúci návrh</w:t>
      </w:r>
      <w:r w:rsidRPr="00B059B2">
        <w:tab/>
      </w:r>
      <w:r w:rsidRPr="00B059B2">
        <w:tab/>
        <w:t>161</w:t>
      </w:r>
    </w:p>
    <w:p w:rsidR="00902EF1" w:rsidRPr="00B059B2" w:rsidRDefault="00902EF1" w:rsidP="00902EF1">
      <w:pPr>
        <w:pStyle w:val="NormalBold12b"/>
      </w:pPr>
      <w:r w:rsidRPr="00B059B2">
        <w:t>Návrh nariadenia</w:t>
      </w:r>
    </w:p>
    <w:p w:rsidR="00902EF1" w:rsidRPr="00B059B2" w:rsidRDefault="00902EF1" w:rsidP="00902EF1">
      <w:pPr>
        <w:pStyle w:val="NormalBold"/>
        <w:keepNext/>
      </w:pPr>
      <w:r w:rsidRPr="00B059B2">
        <w:t>Príloha III – tabuľka 5</w:t>
      </w:r>
    </w:p>
    <w:tbl>
      <w:tblPr>
        <w:tblStyle w:val="TableGrid"/>
        <w:tblW w:w="5000" w:type="pct"/>
        <w:tblLook w:val="04A0" w:firstRow="1" w:lastRow="0" w:firstColumn="1" w:lastColumn="0" w:noHBand="0" w:noVBand="1"/>
      </w:tblPr>
      <w:tblGrid>
        <w:gridCol w:w="3018"/>
        <w:gridCol w:w="3020"/>
        <w:gridCol w:w="3022"/>
      </w:tblGrid>
      <w:tr w:rsidR="00902EF1" w:rsidRPr="00B059B2" w:rsidTr="0023402C">
        <w:tc>
          <w:tcPr>
            <w:tcW w:w="4998" w:type="pct"/>
            <w:gridSpan w:val="3"/>
            <w:tcBorders>
              <w:top w:val="single" w:sz="4" w:space="0" w:color="auto"/>
              <w:left w:val="single" w:sz="4" w:space="0" w:color="auto"/>
              <w:bottom w:val="single" w:sz="4" w:space="0" w:color="auto"/>
              <w:right w:val="single" w:sz="4" w:space="0" w:color="auto"/>
            </w:tcBorders>
          </w:tcPr>
          <w:p w:rsidR="00902EF1" w:rsidRPr="00B059B2" w:rsidRDefault="00902EF1" w:rsidP="0023402C">
            <w:pPr>
              <w:jc w:val="center"/>
              <w:rPr>
                <w:i/>
                <w:noProof/>
              </w:rPr>
            </w:pPr>
            <w:r w:rsidRPr="00B059B2">
              <w:rPr>
                <w:i/>
              </w:rPr>
              <w:t>Text predložený Komisiou</w:t>
            </w:r>
          </w:p>
        </w:tc>
      </w:tr>
      <w:tr w:rsidR="00902EF1" w:rsidRPr="00B059B2" w:rsidTr="0023402C">
        <w:tc>
          <w:tcPr>
            <w:tcW w:w="4998" w:type="pct"/>
            <w:gridSpan w:val="3"/>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Tabuľka 5: Podmienky skúšania súladu s limitmi oderu pneumatiky</w:t>
            </w:r>
          </w:p>
        </w:tc>
      </w:tr>
      <w:tr w:rsidR="00902EF1" w:rsidRPr="00B059B2" w:rsidTr="0023402C">
        <w:tc>
          <w:tcPr>
            <w:tcW w:w="1665"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c>
          <w:tcPr>
            <w:tcW w:w="1666"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Vozidlá kategórií M</w:t>
            </w:r>
            <w:r w:rsidRPr="00B059B2">
              <w:rPr>
                <w:vertAlign w:val="subscript"/>
              </w:rPr>
              <w:t>1</w:t>
            </w:r>
            <w:r w:rsidRPr="00B059B2">
              <w:t>, N</w:t>
            </w:r>
            <w:r w:rsidRPr="00B059B2">
              <w:rPr>
                <w:vertAlign w:val="subscript"/>
              </w:rPr>
              <w:t>1</w:t>
            </w:r>
          </w:p>
        </w:tc>
        <w:tc>
          <w:tcPr>
            <w:tcW w:w="1666"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Vozidlá kategórií M</w:t>
            </w:r>
            <w:r w:rsidRPr="00B059B2">
              <w:rPr>
                <w:vertAlign w:val="subscript"/>
              </w:rPr>
              <w:t>2</w:t>
            </w:r>
            <w:r w:rsidRPr="00B059B2">
              <w:t>, M</w:t>
            </w:r>
            <w:r w:rsidRPr="00B059B2">
              <w:rPr>
                <w:vertAlign w:val="subscript"/>
              </w:rPr>
              <w:t>3</w:t>
            </w:r>
            <w:r w:rsidRPr="00B059B2">
              <w:t>, N</w:t>
            </w:r>
            <w:r w:rsidRPr="00B059B2">
              <w:rPr>
                <w:vertAlign w:val="subscript"/>
              </w:rPr>
              <w:t>2</w:t>
            </w:r>
            <w:r w:rsidRPr="00B059B2">
              <w:t xml:space="preserve"> a N</w:t>
            </w:r>
            <w:r w:rsidRPr="00B059B2">
              <w:rPr>
                <w:vertAlign w:val="subscript"/>
              </w:rPr>
              <w:t>3</w:t>
            </w:r>
          </w:p>
        </w:tc>
      </w:tr>
      <w:tr w:rsidR="00902EF1" w:rsidRPr="00B059B2" w:rsidTr="0023402C">
        <w:tc>
          <w:tcPr>
            <w:tcW w:w="1665"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Skúška limitov oderu pneumatiky</w:t>
            </w:r>
          </w:p>
        </w:tc>
        <w:tc>
          <w:tcPr>
            <w:tcW w:w="1666"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Na základe skúšobných metodík vyvinutých v rámci OSN na skúšanie oderu pneumatiky v reálnych podmienkach</w:t>
            </w:r>
          </w:p>
        </w:tc>
        <w:tc>
          <w:tcPr>
            <w:tcW w:w="1666"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Na základe skúšobných metodík vyvinutých v rámci OSN na skúšanie oderu pneumatiky v reálnych podmienkach</w:t>
            </w:r>
          </w:p>
        </w:tc>
      </w:tr>
    </w:tbl>
    <w:p w:rsidR="00902EF1" w:rsidRPr="00B059B2" w:rsidRDefault="00902EF1" w:rsidP="00902EF1"/>
    <w:p w:rsidR="00902EF1" w:rsidRPr="00B059B2" w:rsidRDefault="00902EF1" w:rsidP="00902EF1">
      <w:pPr>
        <w:pStyle w:val="AmOrLang"/>
      </w:pPr>
    </w:p>
    <w:tbl>
      <w:tblPr>
        <w:tblStyle w:val="TableGrid"/>
        <w:tblW w:w="5000" w:type="pct"/>
        <w:tblLook w:val="04A0" w:firstRow="1" w:lastRow="0" w:firstColumn="1" w:lastColumn="0" w:noHBand="0" w:noVBand="1"/>
      </w:tblPr>
      <w:tblGrid>
        <w:gridCol w:w="3018"/>
        <w:gridCol w:w="3020"/>
        <w:gridCol w:w="3022"/>
      </w:tblGrid>
      <w:tr w:rsidR="00902EF1" w:rsidRPr="00B059B2" w:rsidTr="0023402C">
        <w:tc>
          <w:tcPr>
            <w:tcW w:w="4998" w:type="pct"/>
            <w:gridSpan w:val="3"/>
            <w:tcBorders>
              <w:top w:val="single" w:sz="4" w:space="0" w:color="auto"/>
              <w:left w:val="single" w:sz="4" w:space="0" w:color="auto"/>
              <w:bottom w:val="single" w:sz="4" w:space="0" w:color="auto"/>
              <w:right w:val="single" w:sz="4" w:space="0" w:color="auto"/>
            </w:tcBorders>
          </w:tcPr>
          <w:p w:rsidR="00902EF1" w:rsidRPr="00B059B2" w:rsidRDefault="00902EF1" w:rsidP="0023402C">
            <w:pPr>
              <w:jc w:val="center"/>
              <w:rPr>
                <w:i/>
                <w:noProof/>
              </w:rPr>
            </w:pPr>
            <w:r w:rsidRPr="00B059B2">
              <w:rPr>
                <w:i/>
              </w:rPr>
              <w:t>Pozmeňujúci návrh</w:t>
            </w:r>
          </w:p>
        </w:tc>
      </w:tr>
      <w:tr w:rsidR="00902EF1" w:rsidRPr="00B059B2" w:rsidTr="0023402C">
        <w:tc>
          <w:tcPr>
            <w:tcW w:w="4998" w:type="pct"/>
            <w:gridSpan w:val="3"/>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Tabuľka 5: Podmienky skúšania súladu s limitmi oderu pneumatiky</w:t>
            </w:r>
          </w:p>
        </w:tc>
      </w:tr>
      <w:tr w:rsidR="00902EF1" w:rsidRPr="00B059B2" w:rsidTr="0023402C">
        <w:tc>
          <w:tcPr>
            <w:tcW w:w="1665"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p>
        </w:tc>
        <w:tc>
          <w:tcPr>
            <w:tcW w:w="1666"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Vozidlá kategórií M</w:t>
            </w:r>
            <w:r w:rsidRPr="00B059B2">
              <w:rPr>
                <w:vertAlign w:val="subscript"/>
              </w:rPr>
              <w:t>1</w:t>
            </w:r>
            <w:r w:rsidRPr="00B059B2">
              <w:t>, N</w:t>
            </w:r>
            <w:r w:rsidRPr="00B059B2">
              <w:rPr>
                <w:vertAlign w:val="subscript"/>
              </w:rPr>
              <w:t>1</w:t>
            </w:r>
          </w:p>
        </w:tc>
        <w:tc>
          <w:tcPr>
            <w:tcW w:w="1666"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Vozidlá kategórií M</w:t>
            </w:r>
            <w:r w:rsidRPr="00B059B2">
              <w:rPr>
                <w:vertAlign w:val="subscript"/>
              </w:rPr>
              <w:t>2</w:t>
            </w:r>
            <w:r w:rsidRPr="00B059B2">
              <w:t>, M</w:t>
            </w:r>
            <w:r w:rsidRPr="00B059B2">
              <w:rPr>
                <w:vertAlign w:val="subscript"/>
              </w:rPr>
              <w:t>3</w:t>
            </w:r>
            <w:r w:rsidRPr="00B059B2">
              <w:t>, N</w:t>
            </w:r>
            <w:r w:rsidRPr="00B059B2">
              <w:rPr>
                <w:vertAlign w:val="subscript"/>
              </w:rPr>
              <w:t>2</w:t>
            </w:r>
            <w:r w:rsidRPr="00B059B2">
              <w:t xml:space="preserve"> a N</w:t>
            </w:r>
            <w:r w:rsidRPr="00B059B2">
              <w:rPr>
                <w:vertAlign w:val="subscript"/>
              </w:rPr>
              <w:t>3</w:t>
            </w:r>
          </w:p>
        </w:tc>
      </w:tr>
      <w:tr w:rsidR="00902EF1" w:rsidRPr="00B059B2" w:rsidTr="0023402C">
        <w:tc>
          <w:tcPr>
            <w:tcW w:w="1665"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Skúška limitov oderu pneumatiky</w:t>
            </w:r>
          </w:p>
        </w:tc>
        <w:tc>
          <w:tcPr>
            <w:tcW w:w="1666"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Na základe skúšobných metodík vyvinutých v rámci OSN na skúšanie oderu pneumatiky v reálnych podmienkach</w:t>
            </w:r>
            <w:r w:rsidRPr="00B059B2">
              <w:rPr>
                <w:b/>
                <w:bCs/>
                <w:i/>
                <w:iCs/>
              </w:rPr>
              <w:t xml:space="preserve"> v súlade s článkom 7a (nový)</w:t>
            </w:r>
          </w:p>
        </w:tc>
        <w:tc>
          <w:tcPr>
            <w:tcW w:w="1666" w:type="pct"/>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Na základe skúšobných metodík vyvinutých v rámci OSN na skúšanie oderu pneumatiky v reálnych podmienkach</w:t>
            </w:r>
            <w:r w:rsidRPr="00B059B2">
              <w:rPr>
                <w:b/>
                <w:bCs/>
                <w:i/>
                <w:iCs/>
              </w:rPr>
              <w:t xml:space="preserve"> v súlade s článkom 7a (nový)</w:t>
            </w:r>
          </w:p>
        </w:tc>
      </w:tr>
    </w:tbl>
    <w:p w:rsidR="00902EF1" w:rsidRPr="00B059B2" w:rsidRDefault="00902EF1" w:rsidP="00902EF1"/>
    <w:p w:rsidR="00902EF1" w:rsidRPr="00B059B2" w:rsidRDefault="00902EF1" w:rsidP="00902EF1">
      <w:pPr>
        <w:pStyle w:val="AmNumberTabs"/>
        <w:keepNext/>
      </w:pPr>
      <w:r w:rsidRPr="00B059B2">
        <w:t>Pozmeňujúci návrh</w:t>
      </w:r>
      <w:r w:rsidRPr="00B059B2">
        <w:tab/>
      </w:r>
      <w:r w:rsidRPr="00B059B2">
        <w:tab/>
        <w:t>162</w:t>
      </w:r>
    </w:p>
    <w:p w:rsidR="00902EF1" w:rsidRPr="00B059B2" w:rsidRDefault="00902EF1" w:rsidP="00902EF1">
      <w:pPr>
        <w:pStyle w:val="NormalBold12b"/>
      </w:pPr>
      <w:r w:rsidRPr="00B059B2">
        <w:t>Návrh nariadenia</w:t>
      </w:r>
    </w:p>
    <w:p w:rsidR="00902EF1" w:rsidRPr="00B059B2" w:rsidRDefault="00902EF1" w:rsidP="00902EF1">
      <w:pPr>
        <w:pStyle w:val="NormalBold"/>
        <w:keepNext/>
      </w:pPr>
      <w:r w:rsidRPr="00B059B2">
        <w:t>Príloha IV – tabuľka 1</w:t>
      </w:r>
    </w:p>
    <w:tbl>
      <w:tblPr>
        <w:tblStyle w:val="TableGrid"/>
        <w:tblW w:w="9172" w:type="dxa"/>
        <w:tblLook w:val="04A0" w:firstRow="1" w:lastRow="0" w:firstColumn="1" w:lastColumn="0" w:noHBand="0" w:noVBand="1"/>
      </w:tblPr>
      <w:tblGrid>
        <w:gridCol w:w="1730"/>
        <w:gridCol w:w="2363"/>
        <w:gridCol w:w="2589"/>
        <w:gridCol w:w="2490"/>
      </w:tblGrid>
      <w:tr w:rsidR="00902EF1" w:rsidRPr="00B059B2" w:rsidTr="0023402C">
        <w:trPr>
          <w:trHeight w:val="188"/>
        </w:trPr>
        <w:tc>
          <w:tcPr>
            <w:tcW w:w="9172" w:type="dxa"/>
            <w:gridSpan w:val="4"/>
            <w:tcBorders>
              <w:top w:val="single" w:sz="4" w:space="0" w:color="auto"/>
              <w:left w:val="single" w:sz="4" w:space="0" w:color="auto"/>
              <w:bottom w:val="single" w:sz="4" w:space="0" w:color="auto"/>
              <w:right w:val="single" w:sz="4" w:space="0" w:color="auto"/>
            </w:tcBorders>
          </w:tcPr>
          <w:p w:rsidR="00902EF1" w:rsidRPr="00B059B2" w:rsidRDefault="00902EF1" w:rsidP="0023402C">
            <w:pPr>
              <w:jc w:val="center"/>
              <w:rPr>
                <w:i/>
                <w:noProof/>
              </w:rPr>
            </w:pPr>
            <w:r w:rsidRPr="00B059B2">
              <w:rPr>
                <w:i/>
              </w:rPr>
              <w:t>Text predložený Komisiou</w:t>
            </w:r>
          </w:p>
        </w:tc>
      </w:tr>
      <w:tr w:rsidR="00902EF1" w:rsidRPr="00B059B2" w:rsidTr="0023402C">
        <w:trPr>
          <w:trHeight w:val="188"/>
        </w:trPr>
        <w:tc>
          <w:tcPr>
            <w:tcW w:w="9172" w:type="dxa"/>
            <w:gridSpan w:val="4"/>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lastRenderedPageBreak/>
              <w:t>Tabuľka 1: Životnosť vozidiel, motorov a systémov na reguláciu znečisťujúcich látok</w:t>
            </w:r>
          </w:p>
        </w:tc>
      </w:tr>
      <w:tr w:rsidR="00902EF1" w:rsidRPr="00B059B2" w:rsidTr="0023402C">
        <w:trPr>
          <w:trHeight w:val="564"/>
        </w:trPr>
        <w:tc>
          <w:tcPr>
            <w:tcW w:w="1730"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rPr>
                <w:noProof/>
              </w:rPr>
            </w:pPr>
            <w:r w:rsidRPr="00B059B2">
              <w:t>Životnosť vozidiel, motorov a náhradných zariadení na reguláciu znečisťujúcich látok</w:t>
            </w:r>
          </w:p>
        </w:tc>
        <w:tc>
          <w:tcPr>
            <w:tcW w:w="2363"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rPr>
                <w:noProof/>
              </w:rPr>
            </w:pPr>
            <w:r w:rsidRPr="00B059B2">
              <w:t>M</w:t>
            </w:r>
            <w:r w:rsidRPr="00B059B2">
              <w:rPr>
                <w:vertAlign w:val="subscript"/>
              </w:rPr>
              <w:t>1</w:t>
            </w:r>
            <w:r w:rsidRPr="00B059B2">
              <w:t>, N</w:t>
            </w:r>
            <w:r w:rsidRPr="00B059B2">
              <w:rPr>
                <w:vertAlign w:val="subscript"/>
              </w:rPr>
              <w:t>1</w:t>
            </w:r>
            <w:r w:rsidRPr="00B059B2">
              <w:t xml:space="preserve"> a M</w:t>
            </w:r>
            <w:r w:rsidRPr="00B059B2">
              <w:rPr>
                <w:vertAlign w:val="subscript"/>
              </w:rPr>
              <w:t>2</w:t>
            </w:r>
          </w:p>
        </w:tc>
        <w:tc>
          <w:tcPr>
            <w:tcW w:w="2589"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rPr>
                <w:noProof/>
              </w:rPr>
            </w:pPr>
            <w:r w:rsidRPr="00B059B2">
              <w:t>N</w:t>
            </w:r>
            <w:r w:rsidRPr="00B059B2">
              <w:rPr>
                <w:vertAlign w:val="subscript"/>
              </w:rPr>
              <w:t>2</w:t>
            </w:r>
            <w:r w:rsidRPr="00B059B2">
              <w:t xml:space="preserve">, </w:t>
            </w:r>
            <w:r w:rsidRPr="00B059B2">
              <w:rPr>
                <w:b/>
                <w:i/>
              </w:rPr>
              <w:t>N</w:t>
            </w:r>
            <w:r w:rsidRPr="00B059B2">
              <w:rPr>
                <w:b/>
                <w:i/>
                <w:vertAlign w:val="subscript"/>
              </w:rPr>
              <w:t>3</w:t>
            </w:r>
            <w:r w:rsidRPr="00B059B2">
              <w:rPr>
                <w:b/>
                <w:i/>
              </w:rPr>
              <w:t xml:space="preserve"> &lt; 16 t</w:t>
            </w:r>
            <w:r w:rsidRPr="00B059B2">
              <w:t xml:space="preserve">, </w:t>
            </w:r>
            <w:r w:rsidRPr="00B059B2">
              <w:rPr>
                <w:b/>
                <w:i/>
              </w:rPr>
              <w:t>M</w:t>
            </w:r>
            <w:r w:rsidRPr="00B059B2">
              <w:rPr>
                <w:b/>
                <w:i/>
                <w:vertAlign w:val="subscript"/>
              </w:rPr>
              <w:t>3</w:t>
            </w:r>
            <w:r w:rsidRPr="00B059B2">
              <w:rPr>
                <w:b/>
                <w:i/>
              </w:rPr>
              <w:t xml:space="preserve"> &lt; 7,5 t</w:t>
            </w:r>
            <w:r w:rsidRPr="00B059B2">
              <w:t>:</w:t>
            </w:r>
          </w:p>
        </w:tc>
        <w:tc>
          <w:tcPr>
            <w:tcW w:w="2490"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rPr>
                <w:noProof/>
              </w:rPr>
            </w:pPr>
            <w:r w:rsidRPr="00B059B2">
              <w:t>N</w:t>
            </w:r>
            <w:r w:rsidRPr="00B059B2">
              <w:rPr>
                <w:vertAlign w:val="subscript"/>
              </w:rPr>
              <w:t>3</w:t>
            </w:r>
            <w:r w:rsidRPr="00B059B2">
              <w:t xml:space="preserve"> &gt; 16 t, M</w:t>
            </w:r>
            <w:r w:rsidRPr="00B059B2">
              <w:rPr>
                <w:vertAlign w:val="subscript"/>
              </w:rPr>
              <w:t xml:space="preserve">3 </w:t>
            </w:r>
            <w:r w:rsidRPr="00B059B2">
              <w:t>&gt; 7,5 t</w:t>
            </w:r>
          </w:p>
        </w:tc>
      </w:tr>
      <w:tr w:rsidR="00902EF1" w:rsidRPr="00B059B2" w:rsidTr="0023402C">
        <w:trPr>
          <w:trHeight w:val="376"/>
        </w:trPr>
        <w:tc>
          <w:tcPr>
            <w:tcW w:w="1730"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rPr>
                <w:noProof/>
              </w:rPr>
            </w:pPr>
            <w:r w:rsidRPr="00B059B2">
              <w:t>Hlavná životnosť</w:t>
            </w:r>
          </w:p>
        </w:tc>
        <w:tc>
          <w:tcPr>
            <w:tcW w:w="2363"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rPr>
                <w:noProof/>
              </w:rPr>
            </w:pPr>
            <w:r w:rsidRPr="00B059B2">
              <w:t xml:space="preserve">do </w:t>
            </w:r>
            <w:r w:rsidRPr="00B059B2">
              <w:rPr>
                <w:b/>
                <w:bCs/>
                <w:i/>
                <w:iCs/>
              </w:rPr>
              <w:t>160 000 </w:t>
            </w:r>
            <w:r w:rsidRPr="00B059B2">
              <w:t xml:space="preserve">km alebo </w:t>
            </w:r>
            <w:r w:rsidRPr="00B059B2">
              <w:rPr>
                <w:b/>
                <w:bCs/>
                <w:i/>
                <w:iCs/>
              </w:rPr>
              <w:t>8</w:t>
            </w:r>
            <w:r w:rsidRPr="00B059B2">
              <w:t xml:space="preserve"> rokov podľa toho, čo nastane skôr</w:t>
            </w:r>
          </w:p>
        </w:tc>
        <w:tc>
          <w:tcPr>
            <w:tcW w:w="2589"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rPr>
                <w:noProof/>
              </w:rPr>
            </w:pPr>
            <w:r w:rsidRPr="00B059B2">
              <w:rPr>
                <w:b/>
                <w:bCs/>
                <w:i/>
                <w:iCs/>
              </w:rPr>
              <w:t>300 000</w:t>
            </w:r>
            <w:r w:rsidRPr="00B059B2">
              <w:t xml:space="preserve"> km alebo </w:t>
            </w:r>
            <w:r w:rsidRPr="00B059B2">
              <w:rPr>
                <w:b/>
                <w:bCs/>
                <w:i/>
                <w:iCs/>
              </w:rPr>
              <w:t>8</w:t>
            </w:r>
            <w:r w:rsidRPr="00B059B2">
              <w:t xml:space="preserve"> rokov podľa toho, čo nastane skôr</w:t>
            </w:r>
          </w:p>
        </w:tc>
        <w:tc>
          <w:tcPr>
            <w:tcW w:w="2490"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rPr>
                <w:noProof/>
              </w:rPr>
            </w:pPr>
            <w:r w:rsidRPr="00B059B2">
              <w:rPr>
                <w:b/>
                <w:bCs/>
                <w:i/>
                <w:iCs/>
              </w:rPr>
              <w:t>700 000</w:t>
            </w:r>
            <w:r w:rsidRPr="00B059B2">
              <w:t> km alebo 15 rokov podľa toho, čo nastane skôr</w:t>
            </w:r>
          </w:p>
        </w:tc>
      </w:tr>
      <w:tr w:rsidR="00902EF1" w:rsidRPr="00B059B2" w:rsidTr="0023402C">
        <w:trPr>
          <w:trHeight w:val="564"/>
        </w:trPr>
        <w:tc>
          <w:tcPr>
            <w:tcW w:w="1730"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rPr>
                <w:noProof/>
              </w:rPr>
            </w:pPr>
            <w:r w:rsidRPr="00B059B2">
              <w:t>Dodatočná životnosť</w:t>
            </w:r>
          </w:p>
        </w:tc>
        <w:tc>
          <w:tcPr>
            <w:tcW w:w="2363"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rPr>
                <w:noProof/>
              </w:rPr>
            </w:pPr>
            <w:r w:rsidRPr="00B059B2">
              <w:t xml:space="preserve">po hlavnej životnosti a do </w:t>
            </w:r>
            <w:r w:rsidRPr="00B059B2">
              <w:rPr>
                <w:b/>
                <w:bCs/>
                <w:i/>
                <w:iCs/>
              </w:rPr>
              <w:t>200 000</w:t>
            </w:r>
            <w:r w:rsidRPr="00B059B2">
              <w:t xml:space="preserve"> km alebo </w:t>
            </w:r>
            <w:r w:rsidRPr="00B059B2">
              <w:rPr>
                <w:b/>
                <w:bCs/>
                <w:i/>
                <w:iCs/>
              </w:rPr>
              <w:t>10</w:t>
            </w:r>
            <w:r w:rsidRPr="00B059B2">
              <w:t xml:space="preserve"> rokov podľa toho, čo nastane skôr</w:t>
            </w:r>
          </w:p>
        </w:tc>
        <w:tc>
          <w:tcPr>
            <w:tcW w:w="2589"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rPr>
                <w:noProof/>
              </w:rPr>
            </w:pPr>
            <w:r w:rsidRPr="00B059B2">
              <w:t xml:space="preserve">po hlavnej životnosti a do </w:t>
            </w:r>
            <w:r w:rsidRPr="00B059B2">
              <w:rPr>
                <w:b/>
                <w:bCs/>
                <w:i/>
                <w:iCs/>
              </w:rPr>
              <w:t>375 000</w:t>
            </w:r>
            <w:r w:rsidRPr="00B059B2">
              <w:t> km</w:t>
            </w:r>
          </w:p>
        </w:tc>
        <w:tc>
          <w:tcPr>
            <w:tcW w:w="2490"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rPr>
                <w:noProof/>
              </w:rPr>
            </w:pPr>
            <w:r w:rsidRPr="00B059B2">
              <w:t xml:space="preserve">po hlavnej životnosti a do </w:t>
            </w:r>
          </w:p>
          <w:p w:rsidR="00902EF1" w:rsidRPr="00B059B2" w:rsidRDefault="00902EF1" w:rsidP="0023402C">
            <w:pPr>
              <w:rPr>
                <w:noProof/>
              </w:rPr>
            </w:pPr>
            <w:r w:rsidRPr="00B059B2">
              <w:rPr>
                <w:b/>
                <w:bCs/>
                <w:i/>
                <w:iCs/>
              </w:rPr>
              <w:t>875 000</w:t>
            </w:r>
            <w:r w:rsidRPr="00B059B2">
              <w:t xml:space="preserve"> km </w:t>
            </w:r>
          </w:p>
        </w:tc>
      </w:tr>
    </w:tbl>
    <w:p w:rsidR="00902EF1" w:rsidRPr="00B059B2" w:rsidRDefault="00902EF1" w:rsidP="00902EF1">
      <w:pPr>
        <w:pStyle w:val="AmOrLang"/>
      </w:pPr>
    </w:p>
    <w:tbl>
      <w:tblPr>
        <w:tblStyle w:val="TableGrid"/>
        <w:tblW w:w="9165" w:type="dxa"/>
        <w:tblLook w:val="04A0" w:firstRow="1" w:lastRow="0" w:firstColumn="1" w:lastColumn="0" w:noHBand="0" w:noVBand="1"/>
      </w:tblPr>
      <w:tblGrid>
        <w:gridCol w:w="1729"/>
        <w:gridCol w:w="2361"/>
        <w:gridCol w:w="2587"/>
        <w:gridCol w:w="2488"/>
      </w:tblGrid>
      <w:tr w:rsidR="00902EF1" w:rsidRPr="00B059B2" w:rsidTr="0023402C">
        <w:trPr>
          <w:trHeight w:val="673"/>
        </w:trPr>
        <w:tc>
          <w:tcPr>
            <w:tcW w:w="9165" w:type="dxa"/>
            <w:gridSpan w:val="4"/>
            <w:tcBorders>
              <w:top w:val="single" w:sz="4" w:space="0" w:color="auto"/>
              <w:left w:val="single" w:sz="4" w:space="0" w:color="auto"/>
              <w:bottom w:val="single" w:sz="4" w:space="0" w:color="auto"/>
              <w:right w:val="single" w:sz="4" w:space="0" w:color="auto"/>
            </w:tcBorders>
          </w:tcPr>
          <w:p w:rsidR="00902EF1" w:rsidRPr="00B059B2" w:rsidRDefault="00902EF1" w:rsidP="0023402C">
            <w:pPr>
              <w:jc w:val="center"/>
              <w:rPr>
                <w:i/>
                <w:noProof/>
              </w:rPr>
            </w:pPr>
            <w:r w:rsidRPr="00B059B2">
              <w:rPr>
                <w:i/>
              </w:rPr>
              <w:t>Pozmeňujúci návrh</w:t>
            </w:r>
          </w:p>
        </w:tc>
      </w:tr>
      <w:tr w:rsidR="00902EF1" w:rsidRPr="00B059B2" w:rsidTr="0023402C">
        <w:trPr>
          <w:trHeight w:val="673"/>
        </w:trPr>
        <w:tc>
          <w:tcPr>
            <w:tcW w:w="9165" w:type="dxa"/>
            <w:gridSpan w:val="4"/>
            <w:tcBorders>
              <w:top w:val="single" w:sz="4" w:space="0" w:color="auto"/>
              <w:left w:val="single" w:sz="4" w:space="0" w:color="auto"/>
              <w:bottom w:val="single" w:sz="4" w:space="0" w:color="auto"/>
              <w:right w:val="single" w:sz="4" w:space="0" w:color="auto"/>
            </w:tcBorders>
          </w:tcPr>
          <w:p w:rsidR="00902EF1" w:rsidRPr="00B059B2" w:rsidRDefault="00902EF1" w:rsidP="0023402C">
            <w:pPr>
              <w:rPr>
                <w:noProof/>
              </w:rPr>
            </w:pPr>
            <w:r w:rsidRPr="00B059B2">
              <w:t>Tabuľka 1: Životnosť vozidiel, motorov a systémov na reguláciu znečisťujúcich látok</w:t>
            </w:r>
          </w:p>
        </w:tc>
      </w:tr>
      <w:tr w:rsidR="00902EF1" w:rsidRPr="00B059B2" w:rsidTr="0023402C">
        <w:trPr>
          <w:trHeight w:val="690"/>
        </w:trPr>
        <w:tc>
          <w:tcPr>
            <w:tcW w:w="1729"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rPr>
                <w:noProof/>
              </w:rPr>
            </w:pPr>
            <w:r w:rsidRPr="00B059B2">
              <w:t>Životnosť vozidiel, motorov a náhradných zariadení na reguláciu znečisťujúcich látok</w:t>
            </w:r>
          </w:p>
        </w:tc>
        <w:tc>
          <w:tcPr>
            <w:tcW w:w="2361"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rPr>
                <w:noProof/>
              </w:rPr>
            </w:pPr>
            <w:r w:rsidRPr="00B059B2">
              <w:t>M</w:t>
            </w:r>
            <w:r w:rsidRPr="00B059B2">
              <w:rPr>
                <w:vertAlign w:val="subscript"/>
              </w:rPr>
              <w:t>1</w:t>
            </w:r>
            <w:r w:rsidRPr="00B059B2">
              <w:t>, N</w:t>
            </w:r>
            <w:r w:rsidRPr="00B059B2">
              <w:rPr>
                <w:vertAlign w:val="subscript"/>
              </w:rPr>
              <w:t>1</w:t>
            </w:r>
            <w:r w:rsidRPr="00B059B2">
              <w:t xml:space="preserve"> a M</w:t>
            </w:r>
            <w:r w:rsidRPr="00B059B2">
              <w:rPr>
                <w:vertAlign w:val="subscript"/>
              </w:rPr>
              <w:t>2</w:t>
            </w:r>
          </w:p>
        </w:tc>
        <w:tc>
          <w:tcPr>
            <w:tcW w:w="2587"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rPr>
                <w:noProof/>
              </w:rPr>
            </w:pPr>
            <w:r w:rsidRPr="00B059B2">
              <w:t>N</w:t>
            </w:r>
            <w:r w:rsidRPr="00B059B2">
              <w:rPr>
                <w:vertAlign w:val="subscript"/>
              </w:rPr>
              <w:t>2</w:t>
            </w:r>
            <w:r w:rsidRPr="00B059B2">
              <w:t xml:space="preserve">, </w:t>
            </w:r>
            <w:r w:rsidRPr="00B059B2">
              <w:rPr>
                <w:b/>
                <w:i/>
              </w:rPr>
              <w:t>N</w:t>
            </w:r>
            <w:r w:rsidRPr="00B059B2">
              <w:rPr>
                <w:b/>
                <w:i/>
                <w:vertAlign w:val="subscript"/>
              </w:rPr>
              <w:t>3</w:t>
            </w:r>
            <w:r w:rsidRPr="00B059B2">
              <w:rPr>
                <w:b/>
                <w:i/>
              </w:rPr>
              <w:t xml:space="preserve"> ≤ 16 t</w:t>
            </w:r>
            <w:r w:rsidRPr="00B059B2">
              <w:t xml:space="preserve">, </w:t>
            </w:r>
            <w:r w:rsidRPr="00B059B2">
              <w:rPr>
                <w:b/>
                <w:i/>
              </w:rPr>
              <w:t>M</w:t>
            </w:r>
            <w:r w:rsidRPr="00B059B2">
              <w:rPr>
                <w:b/>
                <w:i/>
                <w:vertAlign w:val="subscript"/>
              </w:rPr>
              <w:t>3</w:t>
            </w:r>
            <w:r w:rsidRPr="00B059B2">
              <w:rPr>
                <w:b/>
                <w:i/>
              </w:rPr>
              <w:t xml:space="preserve"> ≤ 7,5 t</w:t>
            </w:r>
            <w:r w:rsidRPr="00B059B2">
              <w:t>:</w:t>
            </w:r>
          </w:p>
        </w:tc>
        <w:tc>
          <w:tcPr>
            <w:tcW w:w="2488"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rPr>
                <w:noProof/>
              </w:rPr>
            </w:pPr>
            <w:r w:rsidRPr="00B059B2">
              <w:t>N</w:t>
            </w:r>
            <w:r w:rsidRPr="00B059B2">
              <w:rPr>
                <w:vertAlign w:val="subscript"/>
              </w:rPr>
              <w:t>3</w:t>
            </w:r>
            <w:r w:rsidRPr="00B059B2">
              <w:t xml:space="preserve"> &gt; 16 t, M</w:t>
            </w:r>
            <w:r w:rsidRPr="00B059B2">
              <w:rPr>
                <w:vertAlign w:val="subscript"/>
              </w:rPr>
              <w:t xml:space="preserve">3 </w:t>
            </w:r>
            <w:r w:rsidRPr="00B059B2">
              <w:t>&gt; 7,5 t</w:t>
            </w:r>
          </w:p>
        </w:tc>
      </w:tr>
      <w:tr w:rsidR="00902EF1" w:rsidRPr="00B059B2" w:rsidTr="0023402C">
        <w:trPr>
          <w:trHeight w:val="1344"/>
        </w:trPr>
        <w:tc>
          <w:tcPr>
            <w:tcW w:w="1729"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rPr>
                <w:noProof/>
              </w:rPr>
            </w:pPr>
            <w:r w:rsidRPr="00B059B2">
              <w:t>Hlavná životnosť</w:t>
            </w:r>
          </w:p>
        </w:tc>
        <w:tc>
          <w:tcPr>
            <w:tcW w:w="2361"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rPr>
                <w:noProof/>
              </w:rPr>
            </w:pPr>
            <w:r w:rsidRPr="00B059B2">
              <w:t xml:space="preserve">do </w:t>
            </w:r>
            <w:r w:rsidRPr="00B059B2">
              <w:rPr>
                <w:b/>
                <w:bCs/>
                <w:i/>
                <w:iCs/>
              </w:rPr>
              <w:t>200 000 </w:t>
            </w:r>
            <w:r w:rsidRPr="00B059B2">
              <w:t xml:space="preserve">km alebo </w:t>
            </w:r>
            <w:r w:rsidRPr="00B059B2">
              <w:rPr>
                <w:b/>
                <w:bCs/>
                <w:i/>
                <w:iCs/>
              </w:rPr>
              <w:t>10</w:t>
            </w:r>
            <w:r w:rsidRPr="00B059B2">
              <w:t xml:space="preserve"> rokov podľa toho, čo nastane skôr</w:t>
            </w:r>
          </w:p>
        </w:tc>
        <w:tc>
          <w:tcPr>
            <w:tcW w:w="2587"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rPr>
                <w:noProof/>
              </w:rPr>
            </w:pPr>
            <w:r w:rsidRPr="00B059B2">
              <w:rPr>
                <w:b/>
                <w:bCs/>
                <w:i/>
                <w:iCs/>
              </w:rPr>
              <w:t>340 000</w:t>
            </w:r>
            <w:r w:rsidRPr="00B059B2">
              <w:t xml:space="preserve"> km alebo </w:t>
            </w:r>
            <w:r w:rsidRPr="00B059B2">
              <w:rPr>
                <w:b/>
                <w:bCs/>
                <w:i/>
                <w:iCs/>
              </w:rPr>
              <w:t>10</w:t>
            </w:r>
            <w:r w:rsidRPr="00B059B2">
              <w:t> rokov podľa toho, čo nastane skôr</w:t>
            </w:r>
          </w:p>
        </w:tc>
        <w:tc>
          <w:tcPr>
            <w:tcW w:w="2488"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rPr>
                <w:noProof/>
              </w:rPr>
            </w:pPr>
            <w:r w:rsidRPr="00B059B2">
              <w:rPr>
                <w:b/>
                <w:bCs/>
                <w:i/>
                <w:iCs/>
              </w:rPr>
              <w:t>750 000</w:t>
            </w:r>
            <w:r w:rsidRPr="00B059B2">
              <w:t> km alebo 15 rokov podľa toho, čo nastane skôr</w:t>
            </w:r>
          </w:p>
        </w:tc>
      </w:tr>
      <w:tr w:rsidR="00902EF1" w:rsidRPr="00B059B2" w:rsidTr="0023402C">
        <w:trPr>
          <w:trHeight w:val="2019"/>
        </w:trPr>
        <w:tc>
          <w:tcPr>
            <w:tcW w:w="1729"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rPr>
                <w:noProof/>
              </w:rPr>
            </w:pPr>
            <w:r w:rsidRPr="00B059B2">
              <w:t>Dodatočná životnosť</w:t>
            </w:r>
          </w:p>
        </w:tc>
        <w:tc>
          <w:tcPr>
            <w:tcW w:w="2361"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rPr>
                <w:noProof/>
              </w:rPr>
            </w:pPr>
            <w:r w:rsidRPr="00B059B2">
              <w:t xml:space="preserve">po hlavnej životnosti a do </w:t>
            </w:r>
            <w:r w:rsidRPr="00B059B2">
              <w:rPr>
                <w:b/>
                <w:bCs/>
                <w:i/>
                <w:iCs/>
              </w:rPr>
              <w:t>240 000</w:t>
            </w:r>
            <w:r w:rsidRPr="00B059B2">
              <w:t xml:space="preserve"> km alebo </w:t>
            </w:r>
            <w:r w:rsidRPr="00B059B2">
              <w:rPr>
                <w:b/>
                <w:bCs/>
                <w:i/>
                <w:iCs/>
              </w:rPr>
              <w:t>12</w:t>
            </w:r>
            <w:r w:rsidRPr="00B059B2">
              <w:t xml:space="preserve"> rokov podľa toho, čo nastane skôr</w:t>
            </w:r>
          </w:p>
        </w:tc>
        <w:tc>
          <w:tcPr>
            <w:tcW w:w="2587"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rPr>
                <w:b/>
                <w:i/>
                <w:noProof/>
              </w:rPr>
            </w:pPr>
            <w:r w:rsidRPr="00B059B2">
              <w:t xml:space="preserve">po hlavnej životnosti a do </w:t>
            </w:r>
            <w:r w:rsidRPr="00B059B2">
              <w:rPr>
                <w:b/>
                <w:bCs/>
                <w:i/>
                <w:iCs/>
              </w:rPr>
              <w:t>400 000</w:t>
            </w:r>
            <w:r w:rsidRPr="00B059B2">
              <w:t xml:space="preserve"> km alebo </w:t>
            </w:r>
            <w:r w:rsidRPr="00B059B2">
              <w:rPr>
                <w:b/>
                <w:bCs/>
                <w:i/>
                <w:iCs/>
              </w:rPr>
              <w:t>12 rokov podľa toho, čo nastane skôr</w:t>
            </w:r>
          </w:p>
        </w:tc>
        <w:tc>
          <w:tcPr>
            <w:tcW w:w="2488" w:type="dxa"/>
            <w:tcBorders>
              <w:top w:val="single" w:sz="4" w:space="0" w:color="auto"/>
              <w:left w:val="single" w:sz="4" w:space="0" w:color="auto"/>
              <w:bottom w:val="single" w:sz="4" w:space="0" w:color="auto"/>
              <w:right w:val="single" w:sz="4" w:space="0" w:color="auto"/>
            </w:tcBorders>
            <w:hideMark/>
          </w:tcPr>
          <w:p w:rsidR="00902EF1" w:rsidRPr="00B059B2" w:rsidRDefault="00902EF1" w:rsidP="0023402C">
            <w:pPr>
              <w:rPr>
                <w:noProof/>
              </w:rPr>
            </w:pPr>
            <w:r w:rsidRPr="00B059B2">
              <w:t xml:space="preserve">po hlavnej životnosti a do </w:t>
            </w:r>
          </w:p>
          <w:p w:rsidR="00902EF1" w:rsidRPr="00B059B2" w:rsidRDefault="00902EF1" w:rsidP="0023402C">
            <w:pPr>
              <w:rPr>
                <w:noProof/>
              </w:rPr>
            </w:pPr>
            <w:r w:rsidRPr="00B059B2">
              <w:rPr>
                <w:b/>
                <w:bCs/>
                <w:i/>
                <w:iCs/>
              </w:rPr>
              <w:t>900 000</w:t>
            </w:r>
            <w:r w:rsidRPr="00B059B2">
              <w:t xml:space="preserve"> km </w:t>
            </w:r>
            <w:r w:rsidRPr="00B059B2">
              <w:rPr>
                <w:b/>
                <w:bCs/>
                <w:i/>
                <w:iCs/>
              </w:rPr>
              <w:t>alebo 17 rokov podľa toho, čo nastane skôr</w:t>
            </w:r>
            <w:r w:rsidRPr="00B059B2">
              <w:t xml:space="preserve"> </w:t>
            </w:r>
          </w:p>
        </w:tc>
      </w:tr>
    </w:tbl>
    <w:p w:rsidR="00902EF1" w:rsidRPr="00B059B2" w:rsidRDefault="00902EF1" w:rsidP="00902EF1"/>
    <w:p w:rsidR="00902EF1" w:rsidRPr="00B059B2" w:rsidRDefault="00902EF1" w:rsidP="00902EF1">
      <w:pPr>
        <w:pStyle w:val="AmNumberTabs"/>
        <w:keepNext/>
      </w:pPr>
      <w:r w:rsidRPr="00B059B2">
        <w:t>Pozmeňujúci návrh</w:t>
      </w:r>
      <w:r w:rsidRPr="00B059B2">
        <w:tab/>
      </w:r>
      <w:r w:rsidRPr="00B059B2">
        <w:tab/>
        <w:t>163</w:t>
      </w:r>
    </w:p>
    <w:p w:rsidR="00902EF1" w:rsidRPr="00B059B2" w:rsidRDefault="00902EF1" w:rsidP="00902EF1">
      <w:pPr>
        <w:pStyle w:val="NormalBold12b"/>
      </w:pPr>
      <w:r w:rsidRPr="00B059B2">
        <w:t>Návrh nariadenia</w:t>
      </w:r>
    </w:p>
    <w:p w:rsidR="00902EF1" w:rsidRPr="00B059B2" w:rsidRDefault="00902EF1" w:rsidP="00902EF1">
      <w:pPr>
        <w:pStyle w:val="NormalBold"/>
        <w:keepNext/>
      </w:pPr>
      <w:r w:rsidRPr="00B059B2">
        <w:lastRenderedPageBreak/>
        <w:t>Príloha V – tabuľka 3</w:t>
      </w:r>
    </w:p>
    <w:tbl>
      <w:tblPr>
        <w:tblW w:w="9214" w:type="dxa"/>
        <w:tblInd w:w="-3" w:type="dxa"/>
        <w:tblLayout w:type="fixed"/>
        <w:tblLook w:val="04A0" w:firstRow="1" w:lastRow="0" w:firstColumn="1" w:lastColumn="0" w:noHBand="0" w:noVBand="1"/>
      </w:tblPr>
      <w:tblGrid>
        <w:gridCol w:w="2210"/>
        <w:gridCol w:w="2210"/>
        <w:gridCol w:w="2210"/>
        <w:gridCol w:w="2584"/>
      </w:tblGrid>
      <w:tr w:rsidR="00902EF1" w:rsidRPr="00B059B2" w:rsidTr="0023402C">
        <w:trPr>
          <w:trHeight w:val="222"/>
        </w:trPr>
        <w:tc>
          <w:tcPr>
            <w:tcW w:w="9214" w:type="dxa"/>
            <w:gridSpan w:val="4"/>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line="276" w:lineRule="auto"/>
              <w:jc w:val="center"/>
              <w:rPr>
                <w:b/>
                <w:i/>
                <w:noProof/>
              </w:rPr>
            </w:pPr>
            <w:r w:rsidRPr="00B059B2">
              <w:rPr>
                <w:i/>
              </w:rPr>
              <w:t>Text predložený Komisiou</w:t>
            </w:r>
          </w:p>
        </w:tc>
      </w:tr>
      <w:tr w:rsidR="00902EF1" w:rsidRPr="00B059B2" w:rsidTr="0023402C">
        <w:trPr>
          <w:trHeight w:val="222"/>
        </w:trPr>
        <w:tc>
          <w:tcPr>
            <w:tcW w:w="9214" w:type="dxa"/>
            <w:gridSpan w:val="4"/>
            <w:tcBorders>
              <w:top w:val="single" w:sz="2" w:space="0" w:color="auto"/>
              <w:left w:val="single" w:sz="2" w:space="0" w:color="auto"/>
              <w:bottom w:val="single" w:sz="2" w:space="0" w:color="auto"/>
              <w:right w:val="single" w:sz="2" w:space="0" w:color="auto"/>
            </w:tcBorders>
          </w:tcPr>
          <w:p w:rsidR="00902EF1" w:rsidRPr="00B059B2" w:rsidRDefault="00902EF1" w:rsidP="0023402C">
            <w:pPr>
              <w:rPr>
                <w:noProof/>
              </w:rPr>
            </w:pPr>
            <w:r w:rsidRPr="00B059B2">
              <w:t>Tabuľka 3: Uplatňovanie skúšok, vyhlásení a ďalších požiadaviek na typové schválenie a rozšírenia pre vozidlá kategórií M</w:t>
            </w:r>
            <w:r w:rsidRPr="00B059B2">
              <w:rPr>
                <w:vertAlign w:val="subscript"/>
              </w:rPr>
              <w:t>2</w:t>
            </w:r>
            <w:r w:rsidRPr="00B059B2">
              <w:t>, M</w:t>
            </w:r>
            <w:r w:rsidRPr="00B059B2">
              <w:rPr>
                <w:vertAlign w:val="subscript"/>
              </w:rPr>
              <w:t>3</w:t>
            </w:r>
            <w:r w:rsidRPr="00B059B2">
              <w:t>, N</w:t>
            </w:r>
            <w:r w:rsidRPr="00B059B2">
              <w:rPr>
                <w:vertAlign w:val="subscript"/>
              </w:rPr>
              <w:t>2</w:t>
            </w:r>
            <w:r w:rsidRPr="00B059B2">
              <w:t xml:space="preserve"> a N</w:t>
            </w:r>
            <w:r w:rsidRPr="00B059B2">
              <w:rPr>
                <w:vertAlign w:val="subscript"/>
              </w:rPr>
              <w:t>3</w:t>
            </w:r>
            <w:r w:rsidRPr="00B059B2">
              <w:t xml:space="preserve"> v prípade výrobcov</w:t>
            </w:r>
          </w:p>
        </w:tc>
      </w:tr>
      <w:tr w:rsidR="00902EF1" w:rsidRPr="00B059B2" w:rsidTr="0023402C">
        <w:trPr>
          <w:trHeight w:val="222"/>
        </w:trPr>
        <w:tc>
          <w:tcPr>
            <w:tcW w:w="2210"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jc w:val="center"/>
              <w:rPr>
                <w:noProof/>
              </w:rPr>
            </w:pPr>
            <w:r w:rsidRPr="00B059B2">
              <w:t>Skúšobné požiadavky</w:t>
            </w:r>
          </w:p>
        </w:tc>
        <w:tc>
          <w:tcPr>
            <w:tcW w:w="2210"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jc w:val="center"/>
              <w:rPr>
                <w:noProof/>
              </w:rPr>
            </w:pPr>
            <w:r w:rsidRPr="00B059B2">
              <w:t xml:space="preserve">Skúšky a požiadavky </w:t>
            </w:r>
            <w:r w:rsidRPr="00B059B2">
              <w:rPr>
                <w:b/>
                <w:bCs/>
                <w:i/>
                <w:iCs/>
              </w:rPr>
              <w:t>pri počiatočnom</w:t>
            </w:r>
            <w:r w:rsidRPr="00B059B2">
              <w:t xml:space="preserve"> typovom schválení vzhľadom na emisie </w:t>
            </w:r>
          </w:p>
        </w:tc>
        <w:tc>
          <w:tcPr>
            <w:tcW w:w="2210"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jc w:val="center"/>
              <w:rPr>
                <w:noProof/>
              </w:rPr>
            </w:pPr>
            <w:r w:rsidRPr="00B059B2">
              <w:t xml:space="preserve">Skúšky zhody výroby </w:t>
            </w:r>
          </w:p>
        </w:tc>
        <w:tc>
          <w:tcPr>
            <w:tcW w:w="2584"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jc w:val="center"/>
              <w:rPr>
                <w:noProof/>
              </w:rPr>
            </w:pPr>
            <w:r w:rsidRPr="00B059B2">
              <w:t>Skúšky zhody v prevádzke</w:t>
            </w:r>
          </w:p>
        </w:tc>
      </w:tr>
      <w:tr w:rsidR="00902EF1" w:rsidRPr="00B059B2" w:rsidTr="0023402C">
        <w:trPr>
          <w:trHeight w:val="274"/>
        </w:trPr>
        <w:tc>
          <w:tcPr>
            <w:tcW w:w="2210"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b/>
                <w:noProof/>
              </w:rPr>
            </w:pPr>
            <w:r w:rsidRPr="00B059B2">
              <w:t xml:space="preserve">Plynné znečisťujúce látky, </w:t>
            </w:r>
            <w:r w:rsidRPr="00B059B2">
              <w:rPr>
                <w:b/>
                <w:bCs/>
                <w:i/>
                <w:iCs/>
              </w:rPr>
              <w:t>PM a</w:t>
            </w:r>
            <w:r w:rsidRPr="00B059B2">
              <w:t> počet častíc pri cestnej skúške (RDE) pre každé palivo a uplatniteľné kategórie vozidiel (M</w:t>
            </w:r>
            <w:r w:rsidRPr="00B059B2">
              <w:rPr>
                <w:vertAlign w:val="subscript"/>
              </w:rPr>
              <w:t>2</w:t>
            </w:r>
            <w:r w:rsidRPr="00B059B2">
              <w:t>, M</w:t>
            </w:r>
            <w:r w:rsidRPr="00B059B2">
              <w:rPr>
                <w:vertAlign w:val="subscript"/>
              </w:rPr>
              <w:t>3</w:t>
            </w:r>
            <w:r w:rsidRPr="00B059B2">
              <w:t>, N</w:t>
            </w:r>
            <w:r w:rsidRPr="00B059B2">
              <w:rPr>
                <w:vertAlign w:val="subscript"/>
              </w:rPr>
              <w:t>2</w:t>
            </w:r>
            <w:r w:rsidRPr="00B059B2">
              <w:t xml:space="preserve"> a N</w:t>
            </w:r>
            <w:r w:rsidRPr="00B059B2">
              <w:rPr>
                <w:vertAlign w:val="subscript"/>
              </w:rPr>
              <w:t>3</w:t>
            </w:r>
            <w:r w:rsidRPr="00B059B2">
              <w:t>)</w:t>
            </w:r>
            <w:r w:rsidRPr="00B059B2">
              <w:rPr>
                <w:b/>
                <w:i/>
              </w:rPr>
              <w:t xml:space="preserve"> a skúška s nízkym zaťažením (v relevantných prípadoch)</w:t>
            </w:r>
          </w:p>
        </w:tc>
        <w:tc>
          <w:tcPr>
            <w:tcW w:w="2210"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 xml:space="preserve">vyžadujú sa preukazovacie skúšky pre všetky palivá, ktorým je udelené typové schválenie podľa typu vozidla, a vyhlásenie o súlade pre všetky palivá, všetky užitočné zaťaženia a všetky uplatniteľné </w:t>
            </w:r>
            <w:r w:rsidRPr="00B059B2">
              <w:rPr>
                <w:b/>
                <w:bCs/>
                <w:i/>
                <w:iCs/>
              </w:rPr>
              <w:t>typy</w:t>
            </w:r>
            <w:r w:rsidRPr="00B059B2">
              <w:t xml:space="preserve"> vozidiel</w:t>
            </w:r>
          </w:p>
        </w:tc>
        <w:tc>
          <w:tcPr>
            <w:tcW w:w="2210" w:type="dxa"/>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line="276" w:lineRule="auto"/>
              <w:rPr>
                <w:b/>
                <w:i/>
                <w:noProof/>
              </w:rPr>
            </w:pPr>
            <w:r w:rsidRPr="00B059B2">
              <w:rPr>
                <w:b/>
                <w:i/>
              </w:rPr>
              <w:t>skúška zhody výroby vykonaná len na úrovni motora</w:t>
            </w:r>
          </w:p>
        </w:tc>
        <w:tc>
          <w:tcPr>
            <w:tcW w:w="2584"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každé dva roky sa vyžaduje skúška na vozidle s akýmkoľvek palivom a pri akejkoľvek kategórii vozidla a akomkoľvek užitočnom zaťažení pre všetky typy motorov</w:t>
            </w:r>
          </w:p>
        </w:tc>
      </w:tr>
      <w:tr w:rsidR="00902EF1" w:rsidRPr="00B059B2" w:rsidTr="0023402C">
        <w:trPr>
          <w:trHeight w:val="215"/>
        </w:trPr>
        <w:tc>
          <w:tcPr>
            <w:tcW w:w="2210"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b/>
                <w:i/>
                <w:noProof/>
              </w:rPr>
            </w:pPr>
            <w:r w:rsidRPr="00B059B2">
              <w:rPr>
                <w:b/>
                <w:i/>
              </w:rPr>
              <w:t>CO</w:t>
            </w:r>
            <w:r w:rsidRPr="00B059B2">
              <w:rPr>
                <w:b/>
                <w:i/>
                <w:vertAlign w:val="subscript"/>
              </w:rPr>
              <w:t>2</w:t>
            </w:r>
            <w:r w:rsidRPr="00B059B2">
              <w:rPr>
                <w:b/>
                <w:i/>
              </w:rPr>
              <w:t xml:space="preserve"> a spotreba paliva/energie, určenie nulových emisií/elektrického dojazdu vozidla</w:t>
            </w:r>
          </w:p>
        </w:tc>
        <w:tc>
          <w:tcPr>
            <w:tcW w:w="2210"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b/>
                <w:i/>
                <w:noProof/>
              </w:rPr>
            </w:pPr>
            <w:r w:rsidRPr="00B059B2">
              <w:rPr>
                <w:b/>
                <w:i/>
              </w:rPr>
              <w:t>licencia VECTO</w:t>
            </w:r>
          </w:p>
        </w:tc>
        <w:tc>
          <w:tcPr>
            <w:tcW w:w="2210"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b/>
                <w:i/>
                <w:noProof/>
              </w:rPr>
            </w:pPr>
            <w:r w:rsidRPr="00B059B2">
              <w:rPr>
                <w:b/>
                <w:i/>
              </w:rPr>
              <w:t>v prípade komponentov</w:t>
            </w:r>
          </w:p>
        </w:tc>
        <w:tc>
          <w:tcPr>
            <w:tcW w:w="2584"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b/>
                <w:i/>
                <w:noProof/>
              </w:rPr>
            </w:pPr>
            <w:r w:rsidRPr="00B059B2">
              <w:rPr>
                <w:b/>
                <w:i/>
              </w:rPr>
              <w:t>nevyžaduje sa</w:t>
            </w:r>
          </w:p>
        </w:tc>
      </w:tr>
      <w:tr w:rsidR="00902EF1" w:rsidRPr="00B059B2" w:rsidTr="0023402C">
        <w:trPr>
          <w:trHeight w:val="215"/>
        </w:trPr>
        <w:tc>
          <w:tcPr>
            <w:tcW w:w="2210"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Energetická efektívnosť prípojných vozidiel</w:t>
            </w:r>
          </w:p>
        </w:tc>
        <w:tc>
          <w:tcPr>
            <w:tcW w:w="2210"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licencia VECTO</w:t>
            </w:r>
          </w:p>
        </w:tc>
        <w:tc>
          <w:tcPr>
            <w:tcW w:w="2210"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 prípade komponentov</w:t>
            </w:r>
          </w:p>
        </w:tc>
        <w:tc>
          <w:tcPr>
            <w:tcW w:w="2584"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r>
      <w:tr w:rsidR="00902EF1" w:rsidRPr="00B059B2" w:rsidTr="0023402C">
        <w:trPr>
          <w:trHeight w:val="215"/>
        </w:trPr>
        <w:tc>
          <w:tcPr>
            <w:tcW w:w="2210"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Postup overovacej skúšky</w:t>
            </w:r>
          </w:p>
        </w:tc>
        <w:tc>
          <w:tcPr>
            <w:tcW w:w="2210"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c>
          <w:tcPr>
            <w:tcW w:w="2210"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povinné</w:t>
            </w:r>
          </w:p>
        </w:tc>
        <w:tc>
          <w:tcPr>
            <w:tcW w:w="2584"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r>
      <w:tr w:rsidR="00902EF1" w:rsidRPr="00B059B2" w:rsidTr="0023402C">
        <w:trPr>
          <w:trHeight w:val="215"/>
        </w:trPr>
        <w:tc>
          <w:tcPr>
            <w:tcW w:w="2210"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Emisie z kľukovej skrine</w:t>
            </w:r>
          </w:p>
        </w:tc>
        <w:tc>
          <w:tcPr>
            <w:tcW w:w="2210"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kontrola inštalácie uzatvoreného systému kľukovej skrine alebo vedenia do výfukovej trubice</w:t>
            </w:r>
          </w:p>
        </w:tc>
        <w:tc>
          <w:tcPr>
            <w:tcW w:w="2210"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c>
          <w:tcPr>
            <w:tcW w:w="2584"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r w:rsidRPr="00B059B2">
              <w:rPr>
                <w:vertAlign w:val="superscript"/>
              </w:rPr>
              <w:t>6</w:t>
            </w:r>
          </w:p>
        </w:tc>
      </w:tr>
      <w:tr w:rsidR="00902EF1" w:rsidRPr="00B059B2" w:rsidTr="0023402C">
        <w:trPr>
          <w:trHeight w:val="222"/>
        </w:trPr>
        <w:tc>
          <w:tcPr>
            <w:tcW w:w="2210"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Životnosť z hľadiska emisií</w:t>
            </w:r>
          </w:p>
        </w:tc>
        <w:tc>
          <w:tcPr>
            <w:tcW w:w="2210"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Vyhlásenie</w:t>
            </w:r>
          </w:p>
        </w:tc>
        <w:tc>
          <w:tcPr>
            <w:tcW w:w="2210"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c>
          <w:tcPr>
            <w:tcW w:w="2584"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r>
      <w:tr w:rsidR="00902EF1" w:rsidRPr="00B059B2" w:rsidTr="0023402C">
        <w:trPr>
          <w:trHeight w:val="222"/>
        </w:trPr>
        <w:tc>
          <w:tcPr>
            <w:tcW w:w="2210"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Životnosť batérie</w:t>
            </w:r>
          </w:p>
        </w:tc>
        <w:tc>
          <w:tcPr>
            <w:tcW w:w="2210"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Vyhlásenie</w:t>
            </w:r>
          </w:p>
        </w:tc>
        <w:tc>
          <w:tcPr>
            <w:tcW w:w="2210"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c>
          <w:tcPr>
            <w:tcW w:w="2584"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r>
      <w:tr w:rsidR="00902EF1" w:rsidRPr="00B059B2" w:rsidTr="0023402C">
        <w:trPr>
          <w:trHeight w:val="222"/>
        </w:trPr>
        <w:tc>
          <w:tcPr>
            <w:tcW w:w="2210"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 xml:space="preserve">Palubný diagnostický systém </w:t>
            </w:r>
            <w:r w:rsidRPr="00B059B2">
              <w:lastRenderedPageBreak/>
              <w:t xml:space="preserve">(úroveň radu OBD) </w:t>
            </w:r>
          </w:p>
        </w:tc>
        <w:tc>
          <w:tcPr>
            <w:tcW w:w="2210"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lastRenderedPageBreak/>
              <w:t>Vyhlásenie</w:t>
            </w:r>
          </w:p>
        </w:tc>
        <w:tc>
          <w:tcPr>
            <w:tcW w:w="2210"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c>
          <w:tcPr>
            <w:tcW w:w="2584"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r w:rsidRPr="00B059B2">
              <w:rPr>
                <w:vertAlign w:val="superscript"/>
              </w:rPr>
              <w:t>6</w:t>
            </w:r>
          </w:p>
        </w:tc>
      </w:tr>
      <w:tr w:rsidR="00902EF1" w:rsidRPr="00B059B2" w:rsidTr="0023402C">
        <w:trPr>
          <w:trHeight w:val="365"/>
        </w:trPr>
        <w:tc>
          <w:tcPr>
            <w:tcW w:w="2210"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Palubný monitorovací systém (úroveň radu OBM)</w:t>
            </w:r>
          </w:p>
        </w:tc>
        <w:tc>
          <w:tcPr>
            <w:tcW w:w="2210"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predvedenie a vyhlásenie</w:t>
            </w:r>
          </w:p>
        </w:tc>
        <w:tc>
          <w:tcPr>
            <w:tcW w:w="2210"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c>
          <w:tcPr>
            <w:tcW w:w="2584"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povinné</w:t>
            </w:r>
          </w:p>
        </w:tc>
      </w:tr>
      <w:tr w:rsidR="00902EF1" w:rsidRPr="00B059B2" w:rsidTr="0023402C">
        <w:trPr>
          <w:trHeight w:val="222"/>
        </w:trPr>
        <w:tc>
          <w:tcPr>
            <w:tcW w:w="2210"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Prevencia neoprávnených zásahov, bezpečnosť a kybernetická bezpečnosť</w:t>
            </w:r>
          </w:p>
        </w:tc>
        <w:tc>
          <w:tcPr>
            <w:tcW w:w="2210"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vyhlásenie a dokumentácia</w:t>
            </w:r>
          </w:p>
        </w:tc>
        <w:tc>
          <w:tcPr>
            <w:tcW w:w="2210"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c>
          <w:tcPr>
            <w:tcW w:w="2584"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r>
      <w:tr w:rsidR="00902EF1" w:rsidRPr="00B059B2" w:rsidTr="0023402C">
        <w:trPr>
          <w:trHeight w:val="222"/>
        </w:trPr>
        <w:tc>
          <w:tcPr>
            <w:tcW w:w="2210"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b/>
                <w:i/>
                <w:noProof/>
              </w:rPr>
            </w:pPr>
            <w:r w:rsidRPr="00B059B2">
              <w:rPr>
                <w:b/>
                <w:i/>
              </w:rPr>
              <w:t>Adaptívne ovládanie (v relevantných prípadoch)</w:t>
            </w:r>
          </w:p>
        </w:tc>
        <w:tc>
          <w:tcPr>
            <w:tcW w:w="2210"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b/>
                <w:i/>
                <w:noProof/>
              </w:rPr>
            </w:pPr>
            <w:r w:rsidRPr="00B059B2">
              <w:rPr>
                <w:b/>
                <w:i/>
              </w:rPr>
              <w:t>Vyhlásenie</w:t>
            </w:r>
          </w:p>
        </w:tc>
        <w:tc>
          <w:tcPr>
            <w:tcW w:w="2210"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b/>
                <w:i/>
                <w:noProof/>
              </w:rPr>
            </w:pPr>
            <w:r w:rsidRPr="00B059B2">
              <w:rPr>
                <w:b/>
                <w:i/>
              </w:rPr>
              <w:t>nevyžaduje sa</w:t>
            </w:r>
          </w:p>
        </w:tc>
        <w:tc>
          <w:tcPr>
            <w:tcW w:w="2584"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b/>
                <w:i/>
                <w:noProof/>
              </w:rPr>
            </w:pPr>
            <w:r w:rsidRPr="00B059B2">
              <w:rPr>
                <w:b/>
                <w:i/>
              </w:rPr>
              <w:t>nevyžaduje sa</w:t>
            </w:r>
          </w:p>
        </w:tc>
      </w:tr>
      <w:tr w:rsidR="00902EF1" w:rsidRPr="00B059B2" w:rsidTr="0023402C">
        <w:trPr>
          <w:trHeight w:val="222"/>
        </w:trPr>
        <w:tc>
          <w:tcPr>
            <w:tcW w:w="2210"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b/>
                <w:i/>
                <w:noProof/>
              </w:rPr>
            </w:pPr>
            <w:r w:rsidRPr="00B059B2">
              <w:rPr>
                <w:b/>
                <w:i/>
              </w:rPr>
              <w:t>Technológie geofencingu (v relevantných prípadoch)</w:t>
            </w:r>
          </w:p>
        </w:tc>
        <w:tc>
          <w:tcPr>
            <w:tcW w:w="2210"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b/>
                <w:i/>
                <w:noProof/>
              </w:rPr>
            </w:pPr>
            <w:r w:rsidRPr="00B059B2">
              <w:rPr>
                <w:b/>
                <w:i/>
              </w:rPr>
              <w:t>vyhlásenie a predvedenie</w:t>
            </w:r>
          </w:p>
        </w:tc>
        <w:tc>
          <w:tcPr>
            <w:tcW w:w="2210"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b/>
                <w:i/>
                <w:noProof/>
              </w:rPr>
            </w:pPr>
            <w:r w:rsidRPr="00B059B2">
              <w:rPr>
                <w:b/>
                <w:i/>
              </w:rPr>
              <w:t>nevyžaduje sa</w:t>
            </w:r>
          </w:p>
        </w:tc>
        <w:tc>
          <w:tcPr>
            <w:tcW w:w="2584"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b/>
                <w:i/>
                <w:noProof/>
              </w:rPr>
            </w:pPr>
            <w:r w:rsidRPr="00B059B2">
              <w:rPr>
                <w:b/>
                <w:i/>
              </w:rPr>
              <w:t>nevyžaduje sa</w:t>
            </w:r>
          </w:p>
        </w:tc>
      </w:tr>
    </w:tbl>
    <w:p w:rsidR="00902EF1" w:rsidRPr="00B059B2" w:rsidRDefault="00902EF1" w:rsidP="00902EF1"/>
    <w:p w:rsidR="00902EF1" w:rsidRPr="00B059B2" w:rsidRDefault="00902EF1" w:rsidP="00902EF1"/>
    <w:tbl>
      <w:tblPr>
        <w:tblW w:w="8931" w:type="dxa"/>
        <w:tblInd w:w="-3" w:type="dxa"/>
        <w:tblLayout w:type="fixed"/>
        <w:tblLook w:val="04A0" w:firstRow="1" w:lastRow="0" w:firstColumn="1" w:lastColumn="0" w:noHBand="0" w:noVBand="1"/>
      </w:tblPr>
      <w:tblGrid>
        <w:gridCol w:w="2368"/>
        <w:gridCol w:w="2368"/>
        <w:gridCol w:w="2368"/>
        <w:gridCol w:w="1827"/>
      </w:tblGrid>
      <w:tr w:rsidR="00902EF1" w:rsidRPr="00B059B2" w:rsidTr="0023402C">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before="60" w:after="60"/>
              <w:jc w:val="center"/>
              <w:rPr>
                <w:i/>
                <w:noProof/>
                <w:szCs w:val="24"/>
              </w:rPr>
            </w:pPr>
            <w:r w:rsidRPr="00B059B2">
              <w:rPr>
                <w:i/>
              </w:rPr>
              <w:t>Pozmeňujúci návrh</w:t>
            </w:r>
          </w:p>
        </w:tc>
      </w:tr>
      <w:tr w:rsidR="00902EF1" w:rsidRPr="00B059B2" w:rsidTr="0023402C">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after="200" w:line="276" w:lineRule="auto"/>
              <w:rPr>
                <w:noProof/>
                <w:szCs w:val="24"/>
              </w:rPr>
            </w:pPr>
            <w:r w:rsidRPr="00B059B2">
              <w:t xml:space="preserve">Tabuľka 3: Uplatňovanie </w:t>
            </w:r>
            <w:r w:rsidRPr="00B059B2">
              <w:rPr>
                <w:b/>
                <w:bCs/>
                <w:i/>
                <w:iCs/>
              </w:rPr>
              <w:t>skúšobných požiadaviek</w:t>
            </w:r>
            <w:r w:rsidRPr="00B059B2">
              <w:t>, vyhlásení a ďalších požiadaviek na typové schválenie a rozšírenia pre vozidlá kategórií M</w:t>
            </w:r>
            <w:r w:rsidRPr="00B059B2">
              <w:rPr>
                <w:vertAlign w:val="subscript"/>
              </w:rPr>
              <w:t>2</w:t>
            </w:r>
            <w:r w:rsidRPr="00B059B2">
              <w:t>, M</w:t>
            </w:r>
            <w:r w:rsidRPr="00B059B2">
              <w:rPr>
                <w:vertAlign w:val="subscript"/>
              </w:rPr>
              <w:t>3</w:t>
            </w:r>
            <w:r w:rsidRPr="00B059B2">
              <w:t>, N</w:t>
            </w:r>
            <w:r w:rsidRPr="00B059B2">
              <w:rPr>
                <w:vertAlign w:val="subscript"/>
              </w:rPr>
              <w:t>2</w:t>
            </w:r>
            <w:r w:rsidRPr="00B059B2">
              <w:t xml:space="preserve"> a N</w:t>
            </w:r>
            <w:r w:rsidRPr="00B059B2">
              <w:rPr>
                <w:vertAlign w:val="subscript"/>
              </w:rPr>
              <w:t>3</w:t>
            </w:r>
            <w:r w:rsidRPr="00B059B2">
              <w:t xml:space="preserve"> v prípade výrobcov</w:t>
            </w:r>
          </w:p>
        </w:tc>
      </w:tr>
      <w:tr w:rsidR="00902EF1" w:rsidRPr="00B059B2" w:rsidTr="0023402C">
        <w:trPr>
          <w:trHeight w:val="228"/>
        </w:trPr>
        <w:tc>
          <w:tcPr>
            <w:tcW w:w="2368"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before="60" w:after="60"/>
              <w:jc w:val="center"/>
              <w:rPr>
                <w:noProof/>
                <w:szCs w:val="24"/>
              </w:rPr>
            </w:pPr>
            <w:r w:rsidRPr="00B059B2">
              <w:t>Skúšobné požiadavky</w:t>
            </w:r>
          </w:p>
        </w:tc>
        <w:tc>
          <w:tcPr>
            <w:tcW w:w="2368"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before="60" w:after="60"/>
              <w:jc w:val="center"/>
              <w:rPr>
                <w:noProof/>
                <w:szCs w:val="24"/>
              </w:rPr>
            </w:pPr>
            <w:r w:rsidRPr="00B059B2">
              <w:t xml:space="preserve">Skúšky a požiadavky </w:t>
            </w:r>
            <w:r w:rsidRPr="00B059B2">
              <w:rPr>
                <w:b/>
                <w:bCs/>
                <w:i/>
                <w:iCs/>
              </w:rPr>
              <w:t>pre</w:t>
            </w:r>
            <w:r w:rsidRPr="00B059B2">
              <w:t xml:space="preserve"> typové schválenie vzhľadom na emisie  </w:t>
            </w:r>
          </w:p>
        </w:tc>
        <w:tc>
          <w:tcPr>
            <w:tcW w:w="2368"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before="60" w:after="60"/>
              <w:jc w:val="center"/>
              <w:rPr>
                <w:noProof/>
                <w:szCs w:val="24"/>
              </w:rPr>
            </w:pPr>
            <w:r w:rsidRPr="00B059B2">
              <w:t xml:space="preserve">Skúšky zhody výroby </w:t>
            </w:r>
          </w:p>
        </w:tc>
        <w:tc>
          <w:tcPr>
            <w:tcW w:w="1827"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before="60" w:after="60"/>
              <w:jc w:val="center"/>
              <w:rPr>
                <w:noProof/>
                <w:szCs w:val="24"/>
              </w:rPr>
            </w:pPr>
            <w:r w:rsidRPr="00B059B2">
              <w:t>Skúšky zhody v prevádzke</w:t>
            </w:r>
          </w:p>
        </w:tc>
      </w:tr>
      <w:tr w:rsidR="00902EF1" w:rsidRPr="00B059B2" w:rsidTr="0023402C">
        <w:trPr>
          <w:trHeight w:val="282"/>
        </w:trPr>
        <w:tc>
          <w:tcPr>
            <w:tcW w:w="2368"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before="60" w:after="60"/>
              <w:rPr>
                <w:b/>
                <w:i/>
                <w:noProof/>
                <w:szCs w:val="24"/>
              </w:rPr>
            </w:pPr>
            <w:r w:rsidRPr="00B059B2">
              <w:rPr>
                <w:b/>
                <w:i/>
              </w:rPr>
              <w:t>Plynné znečisťujúce látky, PM a PN a emisie CO</w:t>
            </w:r>
            <w:r w:rsidRPr="00B059B2">
              <w:rPr>
                <w:b/>
                <w:i/>
                <w:vertAlign w:val="subscript"/>
              </w:rPr>
              <w:t>2</w:t>
            </w:r>
            <w:r w:rsidRPr="00B059B2">
              <w:rPr>
                <w:b/>
                <w:i/>
              </w:rPr>
              <w:t>, spotreba paliva v nestálom cykle (WHTC za studena a za tepla)</w:t>
            </w:r>
          </w:p>
        </w:tc>
        <w:tc>
          <w:tcPr>
            <w:tcW w:w="2368"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before="60" w:after="60"/>
              <w:rPr>
                <w:b/>
                <w:bCs/>
                <w:i/>
                <w:noProof/>
                <w:szCs w:val="24"/>
              </w:rPr>
            </w:pPr>
            <w:r w:rsidRPr="00B059B2">
              <w:rPr>
                <w:b/>
                <w:i/>
              </w:rPr>
              <w:t>Vyžaduje sa v prípade základného motora emisného radu, v prípade všetkých členov radu sa vyžaduje vyhlásenie*</w:t>
            </w:r>
          </w:p>
          <w:p w:rsidR="00902EF1" w:rsidRPr="00B059B2" w:rsidRDefault="00902EF1" w:rsidP="0023402C">
            <w:pPr>
              <w:spacing w:before="60" w:after="60"/>
              <w:rPr>
                <w:b/>
                <w:i/>
                <w:noProof/>
                <w:szCs w:val="24"/>
              </w:rPr>
            </w:pPr>
            <w:r w:rsidRPr="00B059B2">
              <w:rPr>
                <w:b/>
                <w:i/>
              </w:rPr>
              <w:t>**</w:t>
            </w:r>
          </w:p>
        </w:tc>
        <w:tc>
          <w:tcPr>
            <w:tcW w:w="2368"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before="60" w:after="60"/>
              <w:rPr>
                <w:b/>
                <w:i/>
                <w:noProof/>
                <w:szCs w:val="24"/>
              </w:rPr>
            </w:pPr>
            <w:r w:rsidRPr="00B059B2">
              <w:rPr>
                <w:b/>
                <w:i/>
              </w:rPr>
              <w:t>vyžaduje sa v prípade motora mimo radu</w:t>
            </w:r>
          </w:p>
          <w:p w:rsidR="00902EF1" w:rsidRPr="00B059B2" w:rsidRDefault="00902EF1" w:rsidP="0023402C">
            <w:pPr>
              <w:spacing w:before="60" w:after="60"/>
              <w:rPr>
                <w:b/>
                <w:i/>
                <w:noProof/>
                <w:szCs w:val="24"/>
              </w:rPr>
            </w:pPr>
            <w:r w:rsidRPr="00B059B2">
              <w:rPr>
                <w:b/>
                <w:i/>
              </w:rPr>
              <w:t>**</w:t>
            </w:r>
          </w:p>
        </w:tc>
        <w:tc>
          <w:tcPr>
            <w:tcW w:w="1827" w:type="dxa"/>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before="60" w:after="60"/>
              <w:rPr>
                <w:b/>
                <w:i/>
                <w:noProof/>
                <w:szCs w:val="24"/>
              </w:rPr>
            </w:pPr>
          </w:p>
        </w:tc>
      </w:tr>
      <w:tr w:rsidR="00902EF1" w:rsidRPr="00B059B2" w:rsidTr="0023402C">
        <w:trPr>
          <w:trHeight w:val="221"/>
        </w:trPr>
        <w:tc>
          <w:tcPr>
            <w:tcW w:w="2368"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before="60" w:after="60"/>
              <w:rPr>
                <w:noProof/>
                <w:szCs w:val="24"/>
              </w:rPr>
            </w:pPr>
            <w:r w:rsidRPr="00B059B2">
              <w:t>Plynné znečisťujúce látky, PN pri cestnej skúške (RDE) pre každé palivo a uplatniteľné kategórie vozidiel (M</w:t>
            </w:r>
            <w:r w:rsidRPr="00B059B2">
              <w:rPr>
                <w:vertAlign w:val="subscript"/>
              </w:rPr>
              <w:t>2</w:t>
            </w:r>
            <w:r w:rsidRPr="00B059B2">
              <w:t>, M</w:t>
            </w:r>
            <w:r w:rsidRPr="00B059B2">
              <w:rPr>
                <w:vertAlign w:val="subscript"/>
              </w:rPr>
              <w:t>3</w:t>
            </w:r>
            <w:r w:rsidRPr="00B059B2">
              <w:t>, N</w:t>
            </w:r>
            <w:r w:rsidRPr="00B059B2">
              <w:rPr>
                <w:vertAlign w:val="subscript"/>
              </w:rPr>
              <w:t>2</w:t>
            </w:r>
            <w:r w:rsidRPr="00B059B2">
              <w:t xml:space="preserve"> a N</w:t>
            </w:r>
            <w:r w:rsidRPr="00B059B2">
              <w:rPr>
                <w:vertAlign w:val="subscript"/>
              </w:rPr>
              <w:t>3</w:t>
            </w:r>
            <w:r w:rsidRPr="00B059B2">
              <w:t>)</w:t>
            </w:r>
          </w:p>
        </w:tc>
        <w:tc>
          <w:tcPr>
            <w:tcW w:w="2368"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before="60" w:after="60"/>
              <w:rPr>
                <w:b/>
                <w:bCs/>
                <w:noProof/>
                <w:szCs w:val="24"/>
                <w:u w:val="single"/>
              </w:rPr>
            </w:pPr>
            <w:r w:rsidRPr="00B059B2">
              <w:t xml:space="preserve">Vyžadujú sa preukazovacie skúšky pre všetky palivá, ktorým je udelené typové schválenie podľa typu vozidla, a vyhlásenie o súlade pre všetky palivá, všetky užitočné </w:t>
            </w:r>
            <w:r w:rsidRPr="00B059B2">
              <w:lastRenderedPageBreak/>
              <w:t xml:space="preserve">zaťaženia a všetky uplatniteľné </w:t>
            </w:r>
            <w:r w:rsidRPr="00B059B2">
              <w:rPr>
                <w:b/>
                <w:bCs/>
                <w:i/>
                <w:iCs/>
              </w:rPr>
              <w:t>kategórie</w:t>
            </w:r>
            <w:r w:rsidRPr="00B059B2">
              <w:t xml:space="preserve"> vozidiel</w:t>
            </w:r>
          </w:p>
          <w:p w:rsidR="00902EF1" w:rsidRPr="00B059B2" w:rsidRDefault="00902EF1" w:rsidP="0023402C">
            <w:pPr>
              <w:spacing w:before="60" w:after="60"/>
              <w:rPr>
                <w:b/>
                <w:i/>
                <w:noProof/>
                <w:szCs w:val="24"/>
              </w:rPr>
            </w:pPr>
            <w:r w:rsidRPr="00B059B2">
              <w:rPr>
                <w:b/>
                <w:i/>
              </w:rPr>
              <w:t>**</w:t>
            </w:r>
          </w:p>
        </w:tc>
        <w:tc>
          <w:tcPr>
            <w:tcW w:w="2368"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before="60" w:after="60"/>
              <w:rPr>
                <w:i/>
                <w:noProof/>
                <w:szCs w:val="24"/>
              </w:rPr>
            </w:pPr>
            <w:r w:rsidRPr="00B059B2">
              <w:rPr>
                <w:b/>
                <w:i/>
              </w:rPr>
              <w:lastRenderedPageBreak/>
              <w:t>nevyžaduje sa</w:t>
            </w:r>
          </w:p>
        </w:tc>
        <w:tc>
          <w:tcPr>
            <w:tcW w:w="1827"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before="60" w:after="60"/>
              <w:rPr>
                <w:noProof/>
                <w:szCs w:val="24"/>
              </w:rPr>
            </w:pPr>
            <w:r w:rsidRPr="00B059B2">
              <w:t xml:space="preserve">Vyžaduje sa skúška na vozidle s akýmkoľvek palivom a pri akejkoľvek kategórii vozidla a akomkoľvek </w:t>
            </w:r>
            <w:r w:rsidRPr="00B059B2">
              <w:lastRenderedPageBreak/>
              <w:t xml:space="preserve">užitočnom zaťažení pre všetky typy motorov každé </w:t>
            </w:r>
            <w:r w:rsidRPr="00B059B2">
              <w:rPr>
                <w:b/>
                <w:bCs/>
              </w:rPr>
              <w:t>dva</w:t>
            </w:r>
            <w:r w:rsidRPr="00B059B2">
              <w:t xml:space="preserve"> roky</w:t>
            </w:r>
          </w:p>
          <w:p w:rsidR="00902EF1" w:rsidRPr="00B059B2" w:rsidRDefault="00902EF1" w:rsidP="0023402C">
            <w:pPr>
              <w:spacing w:before="60" w:after="60"/>
              <w:rPr>
                <w:i/>
                <w:noProof/>
                <w:szCs w:val="24"/>
              </w:rPr>
            </w:pPr>
            <w:r w:rsidRPr="00B059B2">
              <w:rPr>
                <w:b/>
                <w:i/>
              </w:rPr>
              <w:t>**</w:t>
            </w:r>
          </w:p>
        </w:tc>
      </w:tr>
      <w:tr w:rsidR="00902EF1" w:rsidRPr="00B059B2" w:rsidTr="0023402C">
        <w:trPr>
          <w:trHeight w:val="221"/>
        </w:trPr>
        <w:tc>
          <w:tcPr>
            <w:tcW w:w="2368"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before="60" w:after="60"/>
              <w:rPr>
                <w:noProof/>
                <w:szCs w:val="24"/>
              </w:rPr>
            </w:pPr>
            <w:r w:rsidRPr="00B059B2">
              <w:lastRenderedPageBreak/>
              <w:t>Energetická efektívnosť prípojných vozidiel</w:t>
            </w:r>
          </w:p>
        </w:tc>
        <w:tc>
          <w:tcPr>
            <w:tcW w:w="2368"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before="60" w:after="60"/>
              <w:rPr>
                <w:noProof/>
                <w:szCs w:val="24"/>
              </w:rPr>
            </w:pPr>
            <w:r w:rsidRPr="00B059B2">
              <w:t>licencia VECTO</w:t>
            </w:r>
          </w:p>
        </w:tc>
        <w:tc>
          <w:tcPr>
            <w:tcW w:w="2368"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before="60" w:after="60"/>
              <w:rPr>
                <w:noProof/>
                <w:szCs w:val="24"/>
              </w:rPr>
            </w:pPr>
            <w:r w:rsidRPr="00B059B2">
              <w:t>v prípade komponentov</w:t>
            </w:r>
          </w:p>
        </w:tc>
        <w:tc>
          <w:tcPr>
            <w:tcW w:w="1827"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before="60" w:after="60"/>
              <w:rPr>
                <w:noProof/>
                <w:szCs w:val="24"/>
              </w:rPr>
            </w:pPr>
            <w:r w:rsidRPr="00B059B2">
              <w:t>nevyžaduje sa</w:t>
            </w:r>
          </w:p>
        </w:tc>
      </w:tr>
      <w:tr w:rsidR="00902EF1" w:rsidRPr="00B059B2" w:rsidTr="0023402C">
        <w:trPr>
          <w:trHeight w:val="221"/>
        </w:trPr>
        <w:tc>
          <w:tcPr>
            <w:tcW w:w="2368"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before="60" w:after="60"/>
              <w:rPr>
                <w:noProof/>
                <w:szCs w:val="24"/>
              </w:rPr>
            </w:pPr>
            <w:r w:rsidRPr="00B059B2">
              <w:t>Postup overovacej skúšky</w:t>
            </w:r>
          </w:p>
        </w:tc>
        <w:tc>
          <w:tcPr>
            <w:tcW w:w="2368"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before="60" w:after="60"/>
              <w:rPr>
                <w:noProof/>
                <w:szCs w:val="24"/>
              </w:rPr>
            </w:pPr>
            <w:r w:rsidRPr="00B059B2">
              <w:t>nevyžaduje sa</w:t>
            </w:r>
          </w:p>
        </w:tc>
        <w:tc>
          <w:tcPr>
            <w:tcW w:w="2368"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before="60" w:after="60"/>
              <w:rPr>
                <w:noProof/>
                <w:szCs w:val="24"/>
              </w:rPr>
            </w:pPr>
            <w:r w:rsidRPr="00B059B2">
              <w:t>povinné</w:t>
            </w:r>
          </w:p>
        </w:tc>
        <w:tc>
          <w:tcPr>
            <w:tcW w:w="1827"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before="60" w:after="60"/>
              <w:rPr>
                <w:noProof/>
                <w:szCs w:val="24"/>
              </w:rPr>
            </w:pPr>
            <w:r w:rsidRPr="00B059B2">
              <w:t>nevyžaduje sa</w:t>
            </w:r>
          </w:p>
        </w:tc>
      </w:tr>
      <w:tr w:rsidR="00902EF1" w:rsidRPr="00B059B2" w:rsidTr="0023402C">
        <w:trPr>
          <w:trHeight w:val="221"/>
        </w:trPr>
        <w:tc>
          <w:tcPr>
            <w:tcW w:w="2368"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before="60" w:after="60"/>
              <w:rPr>
                <w:noProof/>
                <w:szCs w:val="24"/>
              </w:rPr>
            </w:pPr>
            <w:r w:rsidRPr="00B059B2">
              <w:t>Emisie z kľukovej skrine</w:t>
            </w:r>
          </w:p>
        </w:tc>
        <w:tc>
          <w:tcPr>
            <w:tcW w:w="2368"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before="60" w:after="60"/>
              <w:rPr>
                <w:noProof/>
                <w:szCs w:val="24"/>
              </w:rPr>
            </w:pPr>
            <w:r w:rsidRPr="00B059B2">
              <w:t>kontrola inštalácie uzatvoreného systému kľukovej skrine alebo vedenia do výfukovej trubice</w:t>
            </w:r>
          </w:p>
          <w:p w:rsidR="00902EF1" w:rsidRPr="00B059B2" w:rsidRDefault="00902EF1" w:rsidP="0023402C">
            <w:pPr>
              <w:spacing w:before="60" w:after="60"/>
              <w:rPr>
                <w:i/>
                <w:noProof/>
                <w:szCs w:val="24"/>
              </w:rPr>
            </w:pPr>
            <w:r w:rsidRPr="00B059B2">
              <w:rPr>
                <w:b/>
                <w:i/>
              </w:rPr>
              <w:t>**</w:t>
            </w:r>
          </w:p>
        </w:tc>
        <w:tc>
          <w:tcPr>
            <w:tcW w:w="2368"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before="60" w:after="60"/>
              <w:rPr>
                <w:noProof/>
                <w:szCs w:val="24"/>
              </w:rPr>
            </w:pPr>
            <w:r w:rsidRPr="00B059B2">
              <w:t>nevyžaduje sa</w:t>
            </w:r>
          </w:p>
        </w:tc>
        <w:tc>
          <w:tcPr>
            <w:tcW w:w="1827"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before="60" w:after="60"/>
              <w:rPr>
                <w:noProof/>
                <w:szCs w:val="24"/>
              </w:rPr>
            </w:pPr>
            <w:r w:rsidRPr="00B059B2">
              <w:t>voliteľné</w:t>
            </w:r>
            <w:r w:rsidRPr="00B059B2">
              <w:rPr>
                <w:vertAlign w:val="superscript"/>
              </w:rPr>
              <w:t>28</w:t>
            </w:r>
          </w:p>
        </w:tc>
      </w:tr>
      <w:tr w:rsidR="00902EF1" w:rsidRPr="00B059B2" w:rsidTr="0023402C">
        <w:trPr>
          <w:trHeight w:val="228"/>
        </w:trPr>
        <w:tc>
          <w:tcPr>
            <w:tcW w:w="2368"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before="60" w:after="60"/>
              <w:rPr>
                <w:noProof/>
                <w:szCs w:val="24"/>
              </w:rPr>
            </w:pPr>
            <w:r w:rsidRPr="00B059B2">
              <w:t>Životnosť z hľadiska emisií</w:t>
            </w:r>
          </w:p>
        </w:tc>
        <w:tc>
          <w:tcPr>
            <w:tcW w:w="2368"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before="60" w:after="60"/>
              <w:rPr>
                <w:noProof/>
                <w:szCs w:val="24"/>
              </w:rPr>
            </w:pPr>
            <w:r w:rsidRPr="00B059B2">
              <w:t>Vyhlásenie</w:t>
            </w:r>
          </w:p>
          <w:p w:rsidR="00902EF1" w:rsidRPr="00B059B2" w:rsidRDefault="00902EF1" w:rsidP="0023402C">
            <w:pPr>
              <w:spacing w:before="60" w:after="60"/>
              <w:ind w:left="567" w:hanging="567"/>
              <w:rPr>
                <w:i/>
                <w:noProof/>
                <w:szCs w:val="24"/>
              </w:rPr>
            </w:pPr>
            <w:r w:rsidRPr="00B059B2">
              <w:rPr>
                <w:b/>
                <w:i/>
              </w:rPr>
              <w:t>**</w:t>
            </w:r>
          </w:p>
        </w:tc>
        <w:tc>
          <w:tcPr>
            <w:tcW w:w="2368"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before="60" w:after="60"/>
              <w:rPr>
                <w:noProof/>
                <w:szCs w:val="24"/>
              </w:rPr>
            </w:pPr>
            <w:r w:rsidRPr="00B059B2">
              <w:t>nevyžaduje sa</w:t>
            </w:r>
          </w:p>
        </w:tc>
        <w:tc>
          <w:tcPr>
            <w:tcW w:w="1827"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before="60" w:after="60"/>
              <w:rPr>
                <w:noProof/>
                <w:szCs w:val="24"/>
              </w:rPr>
            </w:pPr>
            <w:r w:rsidRPr="00B059B2">
              <w:t>nevyžaduje sa</w:t>
            </w:r>
          </w:p>
        </w:tc>
      </w:tr>
      <w:tr w:rsidR="00902EF1" w:rsidRPr="00B059B2" w:rsidTr="0023402C">
        <w:trPr>
          <w:trHeight w:val="228"/>
        </w:trPr>
        <w:tc>
          <w:tcPr>
            <w:tcW w:w="2368"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before="60" w:after="60"/>
              <w:rPr>
                <w:b/>
                <w:bCs/>
                <w:i/>
                <w:noProof/>
                <w:szCs w:val="24"/>
              </w:rPr>
            </w:pPr>
            <w:r w:rsidRPr="00B059B2">
              <w:rPr>
                <w:b/>
                <w:i/>
              </w:rPr>
              <w:t>Správna prevádzka systémov používajúcich spotrebné činidlo a systémov na reguláciu znečisťujúcich látok</w:t>
            </w:r>
          </w:p>
        </w:tc>
        <w:tc>
          <w:tcPr>
            <w:tcW w:w="2368"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before="60" w:after="60"/>
              <w:rPr>
                <w:b/>
                <w:bCs/>
                <w:i/>
                <w:noProof/>
                <w:szCs w:val="24"/>
              </w:rPr>
            </w:pPr>
            <w:r w:rsidRPr="00B059B2">
              <w:rPr>
                <w:b/>
                <w:i/>
              </w:rPr>
              <w:t>Vyhlásenie</w:t>
            </w:r>
          </w:p>
          <w:p w:rsidR="00902EF1" w:rsidRPr="00B059B2" w:rsidRDefault="00902EF1" w:rsidP="0023402C">
            <w:pPr>
              <w:spacing w:before="60" w:after="60"/>
              <w:rPr>
                <w:b/>
                <w:bCs/>
                <w:i/>
                <w:noProof/>
                <w:szCs w:val="24"/>
              </w:rPr>
            </w:pPr>
            <w:r w:rsidRPr="00B059B2">
              <w:rPr>
                <w:b/>
                <w:i/>
              </w:rPr>
              <w:t>**</w:t>
            </w:r>
          </w:p>
        </w:tc>
        <w:tc>
          <w:tcPr>
            <w:tcW w:w="2368"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before="60" w:after="60"/>
              <w:rPr>
                <w:b/>
                <w:bCs/>
                <w:i/>
                <w:noProof/>
                <w:szCs w:val="24"/>
              </w:rPr>
            </w:pPr>
            <w:r w:rsidRPr="00B059B2">
              <w:rPr>
                <w:b/>
                <w:i/>
              </w:rPr>
              <w:t>nevyžaduje sa</w:t>
            </w:r>
          </w:p>
          <w:p w:rsidR="00902EF1" w:rsidRPr="00B059B2" w:rsidRDefault="00902EF1" w:rsidP="0023402C">
            <w:pPr>
              <w:spacing w:before="60" w:after="60"/>
              <w:rPr>
                <w:b/>
                <w:bCs/>
                <w:i/>
                <w:noProof/>
                <w:szCs w:val="24"/>
              </w:rPr>
            </w:pPr>
            <w:r w:rsidRPr="00B059B2">
              <w:rPr>
                <w:b/>
                <w:i/>
              </w:rPr>
              <w:t>**</w:t>
            </w:r>
          </w:p>
        </w:tc>
        <w:tc>
          <w:tcPr>
            <w:tcW w:w="1827" w:type="dxa"/>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before="60" w:after="60"/>
              <w:rPr>
                <w:b/>
                <w:bCs/>
                <w:i/>
                <w:noProof/>
                <w:szCs w:val="24"/>
              </w:rPr>
            </w:pPr>
            <w:r w:rsidRPr="00B059B2">
              <w:rPr>
                <w:b/>
                <w:i/>
              </w:rPr>
              <w:t>voliteľné</w:t>
            </w:r>
          </w:p>
          <w:p w:rsidR="00902EF1" w:rsidRPr="00B059B2" w:rsidRDefault="00902EF1" w:rsidP="0023402C">
            <w:pPr>
              <w:spacing w:before="60" w:after="60"/>
              <w:rPr>
                <w:b/>
                <w:bCs/>
                <w:i/>
                <w:noProof/>
                <w:szCs w:val="24"/>
              </w:rPr>
            </w:pPr>
            <w:r w:rsidRPr="00B059B2">
              <w:rPr>
                <w:b/>
                <w:i/>
              </w:rPr>
              <w:t>**</w:t>
            </w:r>
          </w:p>
        </w:tc>
      </w:tr>
      <w:tr w:rsidR="00902EF1" w:rsidRPr="00B059B2" w:rsidTr="0023402C">
        <w:trPr>
          <w:trHeight w:val="228"/>
        </w:trPr>
        <w:tc>
          <w:tcPr>
            <w:tcW w:w="2368" w:type="dxa"/>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before="60" w:after="60"/>
              <w:rPr>
                <w:noProof/>
                <w:szCs w:val="24"/>
              </w:rPr>
            </w:pPr>
            <w:r w:rsidRPr="00B059B2">
              <w:t>Životnosť batérie</w:t>
            </w:r>
          </w:p>
        </w:tc>
        <w:tc>
          <w:tcPr>
            <w:tcW w:w="2368" w:type="dxa"/>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before="60" w:after="60"/>
              <w:rPr>
                <w:noProof/>
                <w:szCs w:val="24"/>
              </w:rPr>
            </w:pPr>
            <w:r w:rsidRPr="00B059B2">
              <w:t>Vyhlásenie</w:t>
            </w:r>
          </w:p>
        </w:tc>
        <w:tc>
          <w:tcPr>
            <w:tcW w:w="2368" w:type="dxa"/>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before="60" w:after="60"/>
              <w:rPr>
                <w:noProof/>
                <w:szCs w:val="24"/>
              </w:rPr>
            </w:pPr>
            <w:r w:rsidRPr="00B059B2">
              <w:t>nevyžaduje sa</w:t>
            </w:r>
          </w:p>
        </w:tc>
        <w:tc>
          <w:tcPr>
            <w:tcW w:w="1827" w:type="dxa"/>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before="60" w:after="60"/>
              <w:rPr>
                <w:noProof/>
                <w:szCs w:val="24"/>
              </w:rPr>
            </w:pPr>
            <w:r w:rsidRPr="00B059B2">
              <w:t>nevyžaduje sa</w:t>
            </w:r>
          </w:p>
        </w:tc>
      </w:tr>
      <w:tr w:rsidR="00902EF1" w:rsidRPr="00B059B2" w:rsidTr="0023402C">
        <w:trPr>
          <w:trHeight w:val="228"/>
        </w:trPr>
        <w:tc>
          <w:tcPr>
            <w:tcW w:w="2368" w:type="dxa"/>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before="60" w:after="60"/>
              <w:rPr>
                <w:b/>
                <w:bCs/>
                <w:i/>
                <w:noProof/>
                <w:szCs w:val="24"/>
              </w:rPr>
            </w:pPr>
            <w:r w:rsidRPr="00B059B2">
              <w:rPr>
                <w:b/>
                <w:i/>
              </w:rPr>
              <w:t>Určenie výkonu</w:t>
            </w:r>
          </w:p>
        </w:tc>
        <w:tc>
          <w:tcPr>
            <w:tcW w:w="2368" w:type="dxa"/>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before="60" w:after="60"/>
              <w:rPr>
                <w:b/>
                <w:bCs/>
                <w:i/>
                <w:noProof/>
                <w:szCs w:val="24"/>
              </w:rPr>
            </w:pPr>
            <w:r w:rsidRPr="00B059B2">
              <w:rPr>
                <w:b/>
                <w:i/>
              </w:rPr>
              <w:t>povinné</w:t>
            </w:r>
          </w:p>
          <w:p w:rsidR="00902EF1" w:rsidRPr="00B059B2" w:rsidRDefault="00902EF1" w:rsidP="0023402C">
            <w:pPr>
              <w:spacing w:before="60" w:after="60"/>
              <w:rPr>
                <w:b/>
                <w:bCs/>
                <w:i/>
                <w:noProof/>
                <w:szCs w:val="24"/>
              </w:rPr>
            </w:pPr>
            <w:r w:rsidRPr="00B059B2">
              <w:rPr>
                <w:b/>
                <w:i/>
              </w:rPr>
              <w:t>**</w:t>
            </w:r>
          </w:p>
        </w:tc>
        <w:tc>
          <w:tcPr>
            <w:tcW w:w="2368" w:type="dxa"/>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before="60" w:after="60"/>
              <w:rPr>
                <w:b/>
                <w:bCs/>
                <w:i/>
                <w:noProof/>
                <w:szCs w:val="24"/>
              </w:rPr>
            </w:pPr>
            <w:r w:rsidRPr="00B059B2">
              <w:rPr>
                <w:b/>
                <w:i/>
              </w:rPr>
              <w:t xml:space="preserve">nevyžaduje sa </w:t>
            </w:r>
          </w:p>
        </w:tc>
        <w:tc>
          <w:tcPr>
            <w:tcW w:w="1827" w:type="dxa"/>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before="60" w:after="60"/>
              <w:rPr>
                <w:b/>
                <w:bCs/>
                <w:i/>
                <w:noProof/>
                <w:szCs w:val="24"/>
              </w:rPr>
            </w:pPr>
            <w:r w:rsidRPr="00B059B2">
              <w:rPr>
                <w:b/>
                <w:i/>
              </w:rPr>
              <w:t>nevyžaduje sa</w:t>
            </w:r>
          </w:p>
        </w:tc>
      </w:tr>
      <w:tr w:rsidR="00902EF1" w:rsidRPr="00B059B2" w:rsidTr="0023402C">
        <w:trPr>
          <w:trHeight w:val="228"/>
        </w:trPr>
        <w:tc>
          <w:tcPr>
            <w:tcW w:w="2368" w:type="dxa"/>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before="60" w:after="60"/>
              <w:rPr>
                <w:noProof/>
                <w:szCs w:val="24"/>
              </w:rPr>
            </w:pPr>
            <w:r w:rsidRPr="00B059B2">
              <w:t xml:space="preserve">Palubný diagnostický systém (úroveň radu OBD) </w:t>
            </w:r>
          </w:p>
        </w:tc>
        <w:tc>
          <w:tcPr>
            <w:tcW w:w="2368" w:type="dxa"/>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before="60" w:after="60"/>
              <w:rPr>
                <w:noProof/>
                <w:szCs w:val="24"/>
              </w:rPr>
            </w:pPr>
            <w:r w:rsidRPr="00B059B2">
              <w:t>Vyhlásenie</w:t>
            </w:r>
          </w:p>
        </w:tc>
        <w:tc>
          <w:tcPr>
            <w:tcW w:w="2368" w:type="dxa"/>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before="60" w:after="60"/>
              <w:rPr>
                <w:noProof/>
                <w:szCs w:val="24"/>
              </w:rPr>
            </w:pPr>
            <w:r w:rsidRPr="00B059B2">
              <w:t>nevyžaduje sa</w:t>
            </w:r>
          </w:p>
        </w:tc>
        <w:tc>
          <w:tcPr>
            <w:tcW w:w="1827" w:type="dxa"/>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before="60" w:after="60"/>
              <w:rPr>
                <w:noProof/>
                <w:szCs w:val="24"/>
              </w:rPr>
            </w:pPr>
            <w:r w:rsidRPr="00B059B2">
              <w:t>voliteľné</w:t>
            </w:r>
            <w:r w:rsidRPr="00B059B2">
              <w:rPr>
                <w:vertAlign w:val="superscript"/>
              </w:rPr>
              <w:t>28</w:t>
            </w:r>
          </w:p>
        </w:tc>
      </w:tr>
      <w:tr w:rsidR="00902EF1" w:rsidRPr="00B059B2" w:rsidTr="0023402C">
        <w:trPr>
          <w:trHeight w:val="228"/>
        </w:trPr>
        <w:tc>
          <w:tcPr>
            <w:tcW w:w="2368" w:type="dxa"/>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before="60" w:after="60"/>
              <w:rPr>
                <w:noProof/>
                <w:szCs w:val="24"/>
              </w:rPr>
            </w:pPr>
            <w:r w:rsidRPr="00B059B2">
              <w:t>Palubný monitorovací systém (úroveň radu OBM)</w:t>
            </w:r>
          </w:p>
        </w:tc>
        <w:tc>
          <w:tcPr>
            <w:tcW w:w="2368" w:type="dxa"/>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before="60" w:after="60"/>
              <w:rPr>
                <w:noProof/>
                <w:szCs w:val="24"/>
              </w:rPr>
            </w:pPr>
            <w:r w:rsidRPr="00B059B2">
              <w:t>predvedenie a vyhlásenie</w:t>
            </w:r>
          </w:p>
        </w:tc>
        <w:tc>
          <w:tcPr>
            <w:tcW w:w="2368" w:type="dxa"/>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before="60" w:after="60"/>
              <w:rPr>
                <w:noProof/>
                <w:szCs w:val="24"/>
              </w:rPr>
            </w:pPr>
            <w:r w:rsidRPr="00B059B2">
              <w:t>nevyžaduje sa</w:t>
            </w:r>
          </w:p>
        </w:tc>
        <w:tc>
          <w:tcPr>
            <w:tcW w:w="1827" w:type="dxa"/>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before="60" w:after="60"/>
              <w:rPr>
                <w:noProof/>
                <w:szCs w:val="24"/>
              </w:rPr>
            </w:pPr>
            <w:r w:rsidRPr="00B059B2">
              <w:t>povinné</w:t>
            </w:r>
          </w:p>
        </w:tc>
      </w:tr>
      <w:tr w:rsidR="00902EF1" w:rsidRPr="00B059B2" w:rsidTr="0023402C">
        <w:trPr>
          <w:trHeight w:val="228"/>
        </w:trPr>
        <w:tc>
          <w:tcPr>
            <w:tcW w:w="2368" w:type="dxa"/>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before="60" w:after="60"/>
              <w:rPr>
                <w:noProof/>
                <w:szCs w:val="24"/>
              </w:rPr>
            </w:pPr>
            <w:r w:rsidRPr="00B059B2">
              <w:t>Prevencia neoprávnených zásahov, bezpečnosť a kybernetická bezpečnosť</w:t>
            </w:r>
          </w:p>
        </w:tc>
        <w:tc>
          <w:tcPr>
            <w:tcW w:w="2368" w:type="dxa"/>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before="60" w:after="60"/>
              <w:rPr>
                <w:noProof/>
                <w:szCs w:val="24"/>
              </w:rPr>
            </w:pPr>
            <w:r w:rsidRPr="00B059B2">
              <w:t>vyhlásenie a dokumentácia</w:t>
            </w:r>
          </w:p>
        </w:tc>
        <w:tc>
          <w:tcPr>
            <w:tcW w:w="2368" w:type="dxa"/>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before="60" w:after="60"/>
              <w:rPr>
                <w:noProof/>
                <w:szCs w:val="24"/>
              </w:rPr>
            </w:pPr>
            <w:r w:rsidRPr="00B059B2">
              <w:t>nevyžaduje sa</w:t>
            </w:r>
          </w:p>
        </w:tc>
        <w:tc>
          <w:tcPr>
            <w:tcW w:w="1827" w:type="dxa"/>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before="60" w:after="60"/>
              <w:rPr>
                <w:noProof/>
                <w:szCs w:val="24"/>
              </w:rPr>
            </w:pPr>
            <w:r w:rsidRPr="00B059B2">
              <w:t>nevyžaduje sa</w:t>
            </w:r>
          </w:p>
        </w:tc>
      </w:tr>
      <w:tr w:rsidR="00902EF1" w:rsidRPr="00B059B2" w:rsidTr="0023402C">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902EF1" w:rsidRPr="00B059B2" w:rsidRDefault="00902EF1" w:rsidP="0023402C">
            <w:pPr>
              <w:rPr>
                <w:b/>
                <w:bCs/>
                <w:i/>
                <w:noProof/>
              </w:rPr>
            </w:pPr>
            <w:r w:rsidRPr="00B059B2">
              <w:rPr>
                <w:b/>
                <w:i/>
              </w:rPr>
              <w:t xml:space="preserve">* </w:t>
            </w:r>
            <w:r w:rsidRPr="00B059B2">
              <w:rPr>
                <w:b/>
                <w:i/>
              </w:rPr>
              <w:tab/>
              <w:t>Podporované údajmi o skúšaní motora pre všetky úrovne výkonu.</w:t>
            </w:r>
          </w:p>
          <w:p w:rsidR="00902EF1" w:rsidRPr="00B059B2" w:rsidRDefault="00902EF1" w:rsidP="0023402C">
            <w:pPr>
              <w:rPr>
                <w:noProof/>
              </w:rPr>
            </w:pPr>
            <w:r w:rsidRPr="00B059B2">
              <w:rPr>
                <w:b/>
                <w:i/>
              </w:rPr>
              <w:t>**</w:t>
            </w:r>
            <w:r w:rsidRPr="00B059B2">
              <w:rPr>
                <w:b/>
                <w:i/>
              </w:rPr>
              <w:tab/>
              <w:t>V prípade vozidla so schváleným systémom motora vzhľadom na emisie je za vykonanie tejto skúšky zodpovedný výrobca motora.</w:t>
            </w:r>
          </w:p>
        </w:tc>
      </w:tr>
    </w:tbl>
    <w:p w:rsidR="00902EF1" w:rsidRPr="00B059B2" w:rsidRDefault="00902EF1" w:rsidP="00902EF1"/>
    <w:p w:rsidR="00902EF1" w:rsidRPr="00B059B2" w:rsidRDefault="00902EF1" w:rsidP="00902EF1">
      <w:pPr>
        <w:pStyle w:val="AmNumberTabs"/>
        <w:keepNext/>
      </w:pPr>
      <w:r w:rsidRPr="00B059B2">
        <w:lastRenderedPageBreak/>
        <w:t>Pozmeňujúci návrh</w:t>
      </w:r>
      <w:r w:rsidRPr="00B059B2">
        <w:tab/>
      </w:r>
      <w:r w:rsidRPr="00B059B2">
        <w:tab/>
        <w:t>164</w:t>
      </w:r>
    </w:p>
    <w:p w:rsidR="00902EF1" w:rsidRPr="00B059B2" w:rsidRDefault="00902EF1" w:rsidP="00902EF1">
      <w:pPr>
        <w:pStyle w:val="NormalBold12b"/>
      </w:pPr>
      <w:r w:rsidRPr="00B059B2">
        <w:t>Návrh nariadenia</w:t>
      </w:r>
    </w:p>
    <w:p w:rsidR="00902EF1" w:rsidRPr="00B059B2" w:rsidRDefault="00902EF1" w:rsidP="00902EF1">
      <w:pPr>
        <w:pStyle w:val="NormalBold"/>
        <w:keepNext/>
      </w:pPr>
      <w:r w:rsidRPr="00B059B2">
        <w:t>Príloha V – tabuľka 4</w:t>
      </w:r>
    </w:p>
    <w:tbl>
      <w:tblPr>
        <w:tblW w:w="5000" w:type="pct"/>
        <w:tblLook w:val="04A0" w:firstRow="1" w:lastRow="0" w:firstColumn="1" w:lastColumn="0" w:noHBand="0" w:noVBand="1"/>
      </w:tblPr>
      <w:tblGrid>
        <w:gridCol w:w="1646"/>
        <w:gridCol w:w="1392"/>
        <w:gridCol w:w="1242"/>
        <w:gridCol w:w="1194"/>
        <w:gridCol w:w="1066"/>
        <w:gridCol w:w="1546"/>
        <w:gridCol w:w="978"/>
      </w:tblGrid>
      <w:tr w:rsidR="00902EF1" w:rsidRPr="00B059B2" w:rsidTr="0023402C">
        <w:tc>
          <w:tcPr>
            <w:tcW w:w="5000" w:type="pct"/>
            <w:gridSpan w:val="7"/>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line="276" w:lineRule="auto"/>
              <w:jc w:val="center"/>
              <w:rPr>
                <w:b/>
                <w:noProof/>
              </w:rPr>
            </w:pPr>
            <w:r w:rsidRPr="00B059B2">
              <w:t>Text predložený Komisiou</w:t>
            </w:r>
          </w:p>
        </w:tc>
      </w:tr>
      <w:tr w:rsidR="00902EF1" w:rsidRPr="00B059B2" w:rsidTr="0023402C">
        <w:tc>
          <w:tcPr>
            <w:tcW w:w="5000" w:type="pct"/>
            <w:gridSpan w:val="7"/>
            <w:tcBorders>
              <w:top w:val="single" w:sz="2" w:space="0" w:color="auto"/>
              <w:left w:val="single" w:sz="2" w:space="0" w:color="auto"/>
              <w:bottom w:val="single" w:sz="2" w:space="0" w:color="auto"/>
              <w:right w:val="single" w:sz="2" w:space="0" w:color="auto"/>
            </w:tcBorders>
          </w:tcPr>
          <w:p w:rsidR="00902EF1" w:rsidRPr="00B059B2" w:rsidRDefault="00902EF1" w:rsidP="0023402C">
            <w:pPr>
              <w:rPr>
                <w:noProof/>
              </w:rPr>
            </w:pPr>
            <w:r w:rsidRPr="00B059B2">
              <w:t>Tabuľka 4: Uplatňovanie skúšobných požiadaviek a vyhlásení na typové schválenie a rozšírenia pre vozidlá kategórií M</w:t>
            </w:r>
            <w:r w:rsidRPr="00B059B2">
              <w:rPr>
                <w:vertAlign w:val="subscript"/>
              </w:rPr>
              <w:t>2</w:t>
            </w:r>
            <w:r w:rsidRPr="00B059B2">
              <w:t>, M</w:t>
            </w:r>
            <w:r w:rsidRPr="00B059B2">
              <w:rPr>
                <w:vertAlign w:val="subscript"/>
              </w:rPr>
              <w:t>3</w:t>
            </w:r>
            <w:r w:rsidRPr="00B059B2">
              <w:t>, N</w:t>
            </w:r>
            <w:r w:rsidRPr="00B059B2">
              <w:rPr>
                <w:vertAlign w:val="subscript"/>
              </w:rPr>
              <w:t>2</w:t>
            </w:r>
            <w:r w:rsidRPr="00B059B2">
              <w:t xml:space="preserve"> a N</w:t>
            </w:r>
            <w:r w:rsidRPr="00B059B2">
              <w:rPr>
                <w:vertAlign w:val="subscript"/>
              </w:rPr>
              <w:t>3</w:t>
            </w:r>
            <w:r w:rsidRPr="00B059B2">
              <w:t xml:space="preserve"> v prípade členských štátov a uznaných tretích strán/Komisie</w:t>
            </w:r>
          </w:p>
        </w:tc>
      </w:tr>
      <w:tr w:rsidR="00902EF1" w:rsidRPr="00B059B2" w:rsidTr="0023402C">
        <w:tc>
          <w:tcPr>
            <w:tcW w:w="859"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jc w:val="center"/>
              <w:rPr>
                <w:noProof/>
              </w:rPr>
            </w:pPr>
            <w:r w:rsidRPr="00B059B2">
              <w:t>Skúšobné požiadavky</w:t>
            </w:r>
          </w:p>
        </w:tc>
        <w:tc>
          <w:tcPr>
            <w:tcW w:w="733"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jc w:val="center"/>
              <w:rPr>
                <w:noProof/>
              </w:rPr>
            </w:pPr>
            <w:r w:rsidRPr="00B059B2">
              <w:t>Skúšky a požiadavky</w:t>
            </w:r>
            <w:r w:rsidRPr="00B059B2">
              <w:rPr>
                <w:b/>
                <w:bCs/>
                <w:i/>
                <w:iCs/>
              </w:rPr>
              <w:t xml:space="preserve"> pri počiatočnom</w:t>
            </w:r>
            <w:r w:rsidRPr="00B059B2">
              <w:t xml:space="preserve"> typovom schválení vzhľadom na emisie </w:t>
            </w:r>
          </w:p>
        </w:tc>
        <w:tc>
          <w:tcPr>
            <w:tcW w:w="74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jc w:val="center"/>
              <w:rPr>
                <w:noProof/>
              </w:rPr>
            </w:pPr>
            <w:r w:rsidRPr="00B059B2">
              <w:t xml:space="preserve">Skúšky zhody výroby </w:t>
            </w:r>
          </w:p>
        </w:tc>
        <w:tc>
          <w:tcPr>
            <w:tcW w:w="1139" w:type="pct"/>
            <w:gridSpan w:val="2"/>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jc w:val="center"/>
              <w:rPr>
                <w:noProof/>
              </w:rPr>
            </w:pPr>
            <w:r w:rsidRPr="00B059B2">
              <w:t>Skúšky zhody v prevádzke</w:t>
            </w:r>
          </w:p>
        </w:tc>
        <w:tc>
          <w:tcPr>
            <w:tcW w:w="1529" w:type="pct"/>
            <w:gridSpan w:val="2"/>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jc w:val="center"/>
              <w:rPr>
                <w:noProof/>
              </w:rPr>
            </w:pPr>
            <w:r w:rsidRPr="00B059B2">
              <w:t>Skúšky v rámci dohľadu nad trhom</w:t>
            </w:r>
          </w:p>
        </w:tc>
      </w:tr>
      <w:tr w:rsidR="00902EF1" w:rsidRPr="00B059B2" w:rsidTr="0023402C">
        <w:tc>
          <w:tcPr>
            <w:tcW w:w="859"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jc w:val="center"/>
              <w:rPr>
                <w:noProof/>
              </w:rPr>
            </w:pPr>
            <w:r w:rsidRPr="00B059B2">
              <w:t>Relevantný subjekt</w:t>
            </w:r>
          </w:p>
        </w:tc>
        <w:tc>
          <w:tcPr>
            <w:tcW w:w="733"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jc w:val="center"/>
              <w:rPr>
                <w:noProof/>
              </w:rPr>
            </w:pPr>
            <w:r w:rsidRPr="00B059B2">
              <w:rPr>
                <w:b/>
                <w:bCs/>
                <w:i/>
                <w:iCs/>
              </w:rPr>
              <w:t>Schvaľovací</w:t>
            </w:r>
            <w:r w:rsidRPr="00B059B2">
              <w:t xml:space="preserve"> úrad zodpovedný </w:t>
            </w:r>
            <w:r w:rsidRPr="00B059B2">
              <w:rPr>
                <w:b/>
                <w:bCs/>
                <w:i/>
                <w:iCs/>
              </w:rPr>
              <w:t>za vydanie typového schválenia</w:t>
            </w:r>
          </w:p>
        </w:tc>
        <w:tc>
          <w:tcPr>
            <w:tcW w:w="74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jc w:val="center"/>
              <w:rPr>
                <w:noProof/>
              </w:rPr>
            </w:pPr>
            <w:r w:rsidRPr="00B059B2">
              <w:rPr>
                <w:b/>
                <w:bCs/>
                <w:i/>
                <w:iCs/>
              </w:rPr>
              <w:t>Schvaľovací</w:t>
            </w:r>
            <w:r w:rsidRPr="00B059B2">
              <w:t xml:space="preserve"> úrad</w:t>
            </w:r>
          </w:p>
        </w:tc>
        <w:tc>
          <w:tcPr>
            <w:tcW w:w="498"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jc w:val="center"/>
              <w:rPr>
                <w:b/>
                <w:i/>
                <w:noProof/>
              </w:rPr>
            </w:pPr>
            <w:r w:rsidRPr="00B059B2">
              <w:rPr>
                <w:b/>
                <w:bCs/>
                <w:i/>
                <w:iCs/>
              </w:rPr>
              <w:t>Schvaľovací</w:t>
            </w:r>
            <w:r w:rsidRPr="00B059B2">
              <w:t xml:space="preserve"> úrad</w:t>
            </w:r>
            <w:r w:rsidRPr="00B059B2">
              <w:rPr>
                <w:b/>
                <w:i/>
              </w:rPr>
              <w:t xml:space="preserve"> </w:t>
            </w:r>
          </w:p>
        </w:tc>
        <w:tc>
          <w:tcPr>
            <w:tcW w:w="64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jc w:val="center"/>
              <w:rPr>
                <w:noProof/>
              </w:rPr>
            </w:pPr>
            <w:r w:rsidRPr="00B059B2">
              <w:t>Tretie strany a Komisia</w:t>
            </w:r>
          </w:p>
        </w:tc>
        <w:tc>
          <w:tcPr>
            <w:tcW w:w="888"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jc w:val="center"/>
              <w:rPr>
                <w:noProof/>
              </w:rPr>
            </w:pPr>
            <w:r w:rsidRPr="00B059B2">
              <w:t xml:space="preserve">Orgány dohľadu nad trhom </w:t>
            </w:r>
          </w:p>
        </w:tc>
        <w:tc>
          <w:tcPr>
            <w:tcW w:w="64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jc w:val="center"/>
              <w:rPr>
                <w:noProof/>
              </w:rPr>
            </w:pPr>
            <w:r w:rsidRPr="00B059B2">
              <w:t>Tretie strany a Komisia</w:t>
            </w:r>
          </w:p>
        </w:tc>
      </w:tr>
      <w:tr w:rsidR="00902EF1" w:rsidRPr="00B059B2" w:rsidTr="0023402C">
        <w:trPr>
          <w:trHeight w:val="469"/>
        </w:trPr>
        <w:tc>
          <w:tcPr>
            <w:tcW w:w="859"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 xml:space="preserve">Plynné znečisťujúce látky, </w:t>
            </w:r>
            <w:r w:rsidRPr="00B059B2">
              <w:rPr>
                <w:b/>
                <w:bCs/>
                <w:i/>
                <w:iCs/>
              </w:rPr>
              <w:t>PM a počet častíc</w:t>
            </w:r>
            <w:r w:rsidRPr="00B059B2">
              <w:t> pri cestnej skúške (RDE) pre každé palivo a uplatniteľné kategórie vozidiel (M</w:t>
            </w:r>
            <w:r w:rsidRPr="00B059B2">
              <w:rPr>
                <w:vertAlign w:val="subscript"/>
              </w:rPr>
              <w:t>2</w:t>
            </w:r>
            <w:r w:rsidRPr="00B059B2">
              <w:t>, M</w:t>
            </w:r>
            <w:r w:rsidRPr="00B059B2">
              <w:rPr>
                <w:vertAlign w:val="subscript"/>
              </w:rPr>
              <w:t>3</w:t>
            </w:r>
            <w:r w:rsidRPr="00B059B2">
              <w:t>, N</w:t>
            </w:r>
            <w:r w:rsidRPr="00B059B2">
              <w:rPr>
                <w:vertAlign w:val="subscript"/>
              </w:rPr>
              <w:t>2</w:t>
            </w:r>
            <w:r w:rsidRPr="00B059B2">
              <w:t xml:space="preserve"> a N</w:t>
            </w:r>
            <w:r w:rsidRPr="00B059B2">
              <w:rPr>
                <w:vertAlign w:val="subscript"/>
              </w:rPr>
              <w:t>3</w:t>
            </w:r>
            <w:r w:rsidRPr="00B059B2">
              <w:t xml:space="preserve">) </w:t>
            </w:r>
            <w:r w:rsidRPr="00B059B2">
              <w:rPr>
                <w:b/>
                <w:i/>
              </w:rPr>
              <w:t>+ skúška s nízkym zaťažením (v relevantných prípadoch)</w:t>
            </w:r>
          </w:p>
        </w:tc>
        <w:tc>
          <w:tcPr>
            <w:tcW w:w="733"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 xml:space="preserve">vyžadujú sa preukazovacie skúšky pre všetky palivá, ktorým je udelené typové schválenie podľa typu vozidla, a vyhlásenie o súlade pre všetky palivá, všetky užitočné zaťaženia a všetky uplatniteľné </w:t>
            </w:r>
            <w:r w:rsidRPr="00B059B2">
              <w:rPr>
                <w:b/>
                <w:bCs/>
                <w:i/>
                <w:iCs/>
              </w:rPr>
              <w:t>typy</w:t>
            </w:r>
            <w:r w:rsidRPr="00B059B2">
              <w:t xml:space="preserve"> vozidiel</w:t>
            </w:r>
          </w:p>
        </w:tc>
        <w:tc>
          <w:tcPr>
            <w:tcW w:w="74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after="120"/>
              <w:ind w:left="112"/>
              <w:rPr>
                <w:noProof/>
              </w:rPr>
            </w:pPr>
            <w:r w:rsidRPr="00B059B2">
              <w:t>(pozri požiadavky týkajúce sa motora)</w:t>
            </w:r>
          </w:p>
        </w:tc>
        <w:tc>
          <w:tcPr>
            <w:tcW w:w="498" w:type="pct"/>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line="276" w:lineRule="auto"/>
              <w:rPr>
                <w:noProof/>
              </w:rPr>
            </w:pPr>
            <w:r w:rsidRPr="00B059B2">
              <w:t xml:space="preserve">vyžaduje sa ročne pre primeraný počet typov vozidiel v prípade akéhokoľvek paliva a akejkoľvek kategórie vozidiel, na ktoré sa vzťahuje typové schválenie vzhľadom na emisie </w:t>
            </w:r>
          </w:p>
        </w:tc>
        <w:tc>
          <w:tcPr>
            <w:tcW w:w="64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c>
          <w:tcPr>
            <w:tcW w:w="888"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povinné/voliteľné</w:t>
            </w:r>
          </w:p>
        </w:tc>
        <w:tc>
          <w:tcPr>
            <w:tcW w:w="64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r>
      <w:tr w:rsidR="00902EF1" w:rsidRPr="00B059B2" w:rsidTr="0023402C">
        <w:trPr>
          <w:trHeight w:val="469"/>
        </w:trPr>
        <w:tc>
          <w:tcPr>
            <w:tcW w:w="859"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lastRenderedPageBreak/>
              <w:t>Emisie CO</w:t>
            </w:r>
            <w:r w:rsidRPr="00B059B2">
              <w:rPr>
                <w:vertAlign w:val="subscript"/>
              </w:rPr>
              <w:t>2</w:t>
            </w:r>
            <w:r w:rsidRPr="00B059B2">
              <w:t>, spotreba paliva/energie, určenie nulových emisií/elektrického dojazdu vozidla</w:t>
            </w:r>
          </w:p>
        </w:tc>
        <w:tc>
          <w:tcPr>
            <w:tcW w:w="733"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vydanie licencie VECTO</w:t>
            </w:r>
          </w:p>
        </w:tc>
        <w:tc>
          <w:tcPr>
            <w:tcW w:w="74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 prípade komponentov</w:t>
            </w:r>
          </w:p>
        </w:tc>
        <w:tc>
          <w:tcPr>
            <w:tcW w:w="498"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c>
          <w:tcPr>
            <w:tcW w:w="64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c>
          <w:tcPr>
            <w:tcW w:w="888"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c>
          <w:tcPr>
            <w:tcW w:w="64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r>
      <w:tr w:rsidR="00902EF1" w:rsidRPr="00B059B2" w:rsidTr="0023402C">
        <w:trPr>
          <w:trHeight w:val="469"/>
        </w:trPr>
        <w:tc>
          <w:tcPr>
            <w:tcW w:w="859"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Energetická efektívnosť prípojných vozidiel</w:t>
            </w:r>
          </w:p>
        </w:tc>
        <w:tc>
          <w:tcPr>
            <w:tcW w:w="733"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vydanie licencie VECTO</w:t>
            </w:r>
          </w:p>
        </w:tc>
        <w:tc>
          <w:tcPr>
            <w:tcW w:w="74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 prípade komponentov</w:t>
            </w:r>
          </w:p>
        </w:tc>
        <w:tc>
          <w:tcPr>
            <w:tcW w:w="498"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c>
          <w:tcPr>
            <w:tcW w:w="64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c>
          <w:tcPr>
            <w:tcW w:w="888"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c>
          <w:tcPr>
            <w:tcW w:w="64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r>
      <w:tr w:rsidR="00902EF1" w:rsidRPr="00B059B2" w:rsidTr="0023402C">
        <w:trPr>
          <w:trHeight w:val="469"/>
        </w:trPr>
        <w:tc>
          <w:tcPr>
            <w:tcW w:w="859"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Postup overovacej skúšky</w:t>
            </w:r>
          </w:p>
        </w:tc>
        <w:tc>
          <w:tcPr>
            <w:tcW w:w="733"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c>
          <w:tcPr>
            <w:tcW w:w="74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povinné</w:t>
            </w:r>
          </w:p>
        </w:tc>
        <w:tc>
          <w:tcPr>
            <w:tcW w:w="498"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c>
          <w:tcPr>
            <w:tcW w:w="64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c>
          <w:tcPr>
            <w:tcW w:w="888"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c>
          <w:tcPr>
            <w:tcW w:w="64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r>
      <w:tr w:rsidR="00902EF1" w:rsidRPr="00B059B2" w:rsidTr="0023402C">
        <w:tc>
          <w:tcPr>
            <w:tcW w:w="859"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Emisie z kľukovej skrine</w:t>
            </w:r>
          </w:p>
        </w:tc>
        <w:tc>
          <w:tcPr>
            <w:tcW w:w="733"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 xml:space="preserve">kontrola inštalácie uzatvoreného systému kľukovej skrine alebo vedenia do výfukovej trubice </w:t>
            </w:r>
          </w:p>
        </w:tc>
        <w:tc>
          <w:tcPr>
            <w:tcW w:w="74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c>
          <w:tcPr>
            <w:tcW w:w="498"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c>
          <w:tcPr>
            <w:tcW w:w="64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c>
          <w:tcPr>
            <w:tcW w:w="888"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c>
          <w:tcPr>
            <w:tcW w:w="64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r>
      <w:tr w:rsidR="00902EF1" w:rsidRPr="00B059B2" w:rsidTr="0023402C">
        <w:tc>
          <w:tcPr>
            <w:tcW w:w="859"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Životnosť z hľadiska emisií</w:t>
            </w:r>
          </w:p>
        </w:tc>
        <w:tc>
          <w:tcPr>
            <w:tcW w:w="733"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Vyhlásenie</w:t>
            </w:r>
          </w:p>
        </w:tc>
        <w:tc>
          <w:tcPr>
            <w:tcW w:w="74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c>
          <w:tcPr>
            <w:tcW w:w="498"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c>
          <w:tcPr>
            <w:tcW w:w="64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c>
          <w:tcPr>
            <w:tcW w:w="888"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povinné</w:t>
            </w:r>
          </w:p>
        </w:tc>
        <w:tc>
          <w:tcPr>
            <w:tcW w:w="64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r>
      <w:tr w:rsidR="00902EF1" w:rsidRPr="00B059B2" w:rsidTr="0023402C">
        <w:tc>
          <w:tcPr>
            <w:tcW w:w="859"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Životnosť batérie</w:t>
            </w:r>
          </w:p>
        </w:tc>
        <w:tc>
          <w:tcPr>
            <w:tcW w:w="733"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Vyhlásenie</w:t>
            </w:r>
          </w:p>
        </w:tc>
        <w:tc>
          <w:tcPr>
            <w:tcW w:w="74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c>
          <w:tcPr>
            <w:tcW w:w="498"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c>
          <w:tcPr>
            <w:tcW w:w="64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c>
          <w:tcPr>
            <w:tcW w:w="888"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c>
          <w:tcPr>
            <w:tcW w:w="64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r>
      <w:tr w:rsidR="00902EF1" w:rsidRPr="00B059B2" w:rsidTr="0023402C">
        <w:tc>
          <w:tcPr>
            <w:tcW w:w="859"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 xml:space="preserve">Palubný diagnostický systém (úroveň radu OBD) </w:t>
            </w:r>
          </w:p>
        </w:tc>
        <w:tc>
          <w:tcPr>
            <w:tcW w:w="733"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Vyhlásenie</w:t>
            </w:r>
          </w:p>
        </w:tc>
        <w:tc>
          <w:tcPr>
            <w:tcW w:w="74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c>
          <w:tcPr>
            <w:tcW w:w="498"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c>
          <w:tcPr>
            <w:tcW w:w="64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c>
          <w:tcPr>
            <w:tcW w:w="888"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povinné</w:t>
            </w:r>
          </w:p>
        </w:tc>
        <w:tc>
          <w:tcPr>
            <w:tcW w:w="64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r>
      <w:tr w:rsidR="00902EF1" w:rsidRPr="00B059B2" w:rsidTr="0023402C">
        <w:tc>
          <w:tcPr>
            <w:tcW w:w="859"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Palubný monitorovací systém (úroveň radu OBM)</w:t>
            </w:r>
          </w:p>
        </w:tc>
        <w:tc>
          <w:tcPr>
            <w:tcW w:w="733"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vyhlásenie a predvedenie</w:t>
            </w:r>
          </w:p>
        </w:tc>
        <w:tc>
          <w:tcPr>
            <w:tcW w:w="74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c>
          <w:tcPr>
            <w:tcW w:w="498"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b/>
                <w:i/>
                <w:noProof/>
              </w:rPr>
            </w:pPr>
            <w:r w:rsidRPr="00B059B2">
              <w:rPr>
                <w:b/>
                <w:i/>
              </w:rPr>
              <w:t>nevyžaduje sa</w:t>
            </w:r>
          </w:p>
        </w:tc>
        <w:tc>
          <w:tcPr>
            <w:tcW w:w="64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c>
          <w:tcPr>
            <w:tcW w:w="888"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povinné</w:t>
            </w:r>
          </w:p>
        </w:tc>
        <w:tc>
          <w:tcPr>
            <w:tcW w:w="64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r>
      <w:tr w:rsidR="00902EF1" w:rsidRPr="00B059B2" w:rsidTr="0023402C">
        <w:tc>
          <w:tcPr>
            <w:tcW w:w="859"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 xml:space="preserve">Prevencia neoprávnených zásahov, bezpečnosť </w:t>
            </w:r>
            <w:r w:rsidRPr="00B059B2">
              <w:lastRenderedPageBreak/>
              <w:t>a kybernetická bezpečnosť</w:t>
            </w:r>
          </w:p>
        </w:tc>
        <w:tc>
          <w:tcPr>
            <w:tcW w:w="733"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lastRenderedPageBreak/>
              <w:t>vyhlásenie a dokumentácia</w:t>
            </w:r>
          </w:p>
        </w:tc>
        <w:tc>
          <w:tcPr>
            <w:tcW w:w="74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c>
          <w:tcPr>
            <w:tcW w:w="498"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c>
          <w:tcPr>
            <w:tcW w:w="64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c>
          <w:tcPr>
            <w:tcW w:w="888"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povinné</w:t>
            </w:r>
          </w:p>
        </w:tc>
        <w:tc>
          <w:tcPr>
            <w:tcW w:w="64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r>
      <w:tr w:rsidR="00902EF1" w:rsidRPr="00B059B2" w:rsidTr="0023402C">
        <w:tc>
          <w:tcPr>
            <w:tcW w:w="859"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b/>
                <w:i/>
                <w:noProof/>
              </w:rPr>
            </w:pPr>
            <w:r w:rsidRPr="00B059B2">
              <w:rPr>
                <w:b/>
                <w:i/>
              </w:rPr>
              <w:t>Adaptívne ovládanie (v relevantných prípadoch)</w:t>
            </w:r>
          </w:p>
        </w:tc>
        <w:tc>
          <w:tcPr>
            <w:tcW w:w="733"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b/>
                <w:i/>
                <w:noProof/>
              </w:rPr>
            </w:pPr>
            <w:r w:rsidRPr="00B059B2">
              <w:rPr>
                <w:b/>
                <w:i/>
              </w:rPr>
              <w:t>Vyhlásenie</w:t>
            </w:r>
          </w:p>
        </w:tc>
        <w:tc>
          <w:tcPr>
            <w:tcW w:w="74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b/>
                <w:i/>
                <w:noProof/>
              </w:rPr>
            </w:pPr>
            <w:r w:rsidRPr="00B059B2">
              <w:rPr>
                <w:b/>
                <w:i/>
              </w:rPr>
              <w:t xml:space="preserve">nevyžaduje sa </w:t>
            </w:r>
          </w:p>
        </w:tc>
        <w:tc>
          <w:tcPr>
            <w:tcW w:w="498"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b/>
                <w:i/>
                <w:noProof/>
              </w:rPr>
            </w:pPr>
            <w:r w:rsidRPr="00B059B2">
              <w:rPr>
                <w:b/>
                <w:i/>
              </w:rPr>
              <w:t xml:space="preserve">nevyžaduje sa </w:t>
            </w:r>
          </w:p>
        </w:tc>
        <w:tc>
          <w:tcPr>
            <w:tcW w:w="64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b/>
                <w:i/>
                <w:noProof/>
              </w:rPr>
            </w:pPr>
            <w:r w:rsidRPr="00B059B2">
              <w:rPr>
                <w:b/>
                <w:i/>
              </w:rPr>
              <w:t xml:space="preserve">nevyžaduje sa </w:t>
            </w:r>
          </w:p>
        </w:tc>
        <w:tc>
          <w:tcPr>
            <w:tcW w:w="888"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b/>
                <w:i/>
                <w:noProof/>
              </w:rPr>
            </w:pPr>
            <w:r w:rsidRPr="00B059B2">
              <w:rPr>
                <w:b/>
                <w:i/>
              </w:rPr>
              <w:t>voliteľné</w:t>
            </w:r>
          </w:p>
        </w:tc>
        <w:tc>
          <w:tcPr>
            <w:tcW w:w="64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b/>
                <w:i/>
                <w:noProof/>
              </w:rPr>
            </w:pPr>
            <w:r w:rsidRPr="00B059B2">
              <w:rPr>
                <w:b/>
                <w:i/>
              </w:rPr>
              <w:t>voliteľné</w:t>
            </w:r>
          </w:p>
        </w:tc>
      </w:tr>
      <w:tr w:rsidR="00902EF1" w:rsidRPr="00B059B2" w:rsidTr="0023402C">
        <w:tc>
          <w:tcPr>
            <w:tcW w:w="859"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b/>
                <w:i/>
                <w:noProof/>
              </w:rPr>
            </w:pPr>
            <w:r w:rsidRPr="00B059B2">
              <w:rPr>
                <w:b/>
                <w:i/>
              </w:rPr>
              <w:t>Technológie geofencingu (v relevantných prípadoch)</w:t>
            </w:r>
          </w:p>
        </w:tc>
        <w:tc>
          <w:tcPr>
            <w:tcW w:w="733"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b/>
                <w:i/>
                <w:noProof/>
              </w:rPr>
            </w:pPr>
            <w:r w:rsidRPr="00B059B2">
              <w:rPr>
                <w:b/>
                <w:i/>
              </w:rPr>
              <w:t>vyhlásenie a predvedenie</w:t>
            </w:r>
          </w:p>
        </w:tc>
        <w:tc>
          <w:tcPr>
            <w:tcW w:w="74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b/>
                <w:i/>
                <w:noProof/>
              </w:rPr>
            </w:pPr>
            <w:r w:rsidRPr="00B059B2">
              <w:rPr>
                <w:b/>
                <w:i/>
              </w:rPr>
              <w:t>nevyžaduje sa</w:t>
            </w:r>
          </w:p>
        </w:tc>
        <w:tc>
          <w:tcPr>
            <w:tcW w:w="498"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b/>
                <w:i/>
                <w:noProof/>
              </w:rPr>
            </w:pPr>
            <w:r w:rsidRPr="00B059B2">
              <w:rPr>
                <w:b/>
                <w:i/>
              </w:rPr>
              <w:t>nevyžaduje sa</w:t>
            </w:r>
          </w:p>
        </w:tc>
        <w:tc>
          <w:tcPr>
            <w:tcW w:w="64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b/>
                <w:i/>
                <w:noProof/>
              </w:rPr>
            </w:pPr>
            <w:r w:rsidRPr="00B059B2">
              <w:rPr>
                <w:b/>
                <w:i/>
              </w:rPr>
              <w:t>nevyžaduje sa</w:t>
            </w:r>
          </w:p>
        </w:tc>
        <w:tc>
          <w:tcPr>
            <w:tcW w:w="888"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b/>
                <w:i/>
                <w:noProof/>
              </w:rPr>
            </w:pPr>
            <w:r w:rsidRPr="00B059B2">
              <w:rPr>
                <w:b/>
                <w:i/>
              </w:rPr>
              <w:t>povinné</w:t>
            </w:r>
          </w:p>
        </w:tc>
        <w:tc>
          <w:tcPr>
            <w:tcW w:w="64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b/>
                <w:i/>
                <w:noProof/>
              </w:rPr>
            </w:pPr>
            <w:r w:rsidRPr="00B059B2">
              <w:rPr>
                <w:b/>
                <w:i/>
              </w:rPr>
              <w:t>voliteľné</w:t>
            </w:r>
          </w:p>
        </w:tc>
      </w:tr>
    </w:tbl>
    <w:p w:rsidR="00902EF1" w:rsidRPr="00B059B2" w:rsidRDefault="00902EF1" w:rsidP="00902EF1">
      <w:pPr>
        <w:pStyle w:val="AmOrLang"/>
      </w:pPr>
    </w:p>
    <w:tbl>
      <w:tblPr>
        <w:tblW w:w="5000" w:type="pct"/>
        <w:tblLook w:val="04A0" w:firstRow="1" w:lastRow="0" w:firstColumn="1" w:lastColumn="0" w:noHBand="0" w:noVBand="1"/>
      </w:tblPr>
      <w:tblGrid>
        <w:gridCol w:w="1577"/>
        <w:gridCol w:w="1335"/>
        <w:gridCol w:w="1192"/>
        <w:gridCol w:w="1147"/>
        <w:gridCol w:w="1024"/>
        <w:gridCol w:w="1482"/>
        <w:gridCol w:w="1307"/>
      </w:tblGrid>
      <w:tr w:rsidR="00902EF1" w:rsidRPr="00B059B2" w:rsidTr="0023402C">
        <w:tc>
          <w:tcPr>
            <w:tcW w:w="5000" w:type="pct"/>
            <w:gridSpan w:val="7"/>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line="276" w:lineRule="auto"/>
              <w:jc w:val="center"/>
              <w:rPr>
                <w:b/>
                <w:i/>
                <w:noProof/>
              </w:rPr>
            </w:pPr>
            <w:r w:rsidRPr="00B059B2">
              <w:rPr>
                <w:i/>
              </w:rPr>
              <w:t>Pozmeňujúci návrh</w:t>
            </w:r>
          </w:p>
        </w:tc>
      </w:tr>
      <w:tr w:rsidR="00902EF1" w:rsidRPr="00B059B2" w:rsidTr="0023402C">
        <w:tc>
          <w:tcPr>
            <w:tcW w:w="5000" w:type="pct"/>
            <w:gridSpan w:val="7"/>
            <w:tcBorders>
              <w:top w:val="single" w:sz="2" w:space="0" w:color="auto"/>
              <w:left w:val="single" w:sz="2" w:space="0" w:color="auto"/>
              <w:bottom w:val="single" w:sz="2" w:space="0" w:color="auto"/>
              <w:right w:val="single" w:sz="2" w:space="0" w:color="auto"/>
            </w:tcBorders>
          </w:tcPr>
          <w:p w:rsidR="00902EF1" w:rsidRPr="00B059B2" w:rsidRDefault="00902EF1" w:rsidP="0023402C">
            <w:pPr>
              <w:rPr>
                <w:noProof/>
              </w:rPr>
            </w:pPr>
            <w:r w:rsidRPr="00B059B2">
              <w:t>Tabuľka 4: Uplatňovanie skúšobných požiadaviek a vyhlásení na typové schválenie a rozšírenia pre vozidlá kategórií M</w:t>
            </w:r>
            <w:r w:rsidRPr="00B059B2">
              <w:rPr>
                <w:vertAlign w:val="subscript"/>
              </w:rPr>
              <w:t>2</w:t>
            </w:r>
            <w:r w:rsidRPr="00B059B2">
              <w:t>, M</w:t>
            </w:r>
            <w:r w:rsidRPr="00B059B2">
              <w:rPr>
                <w:vertAlign w:val="subscript"/>
              </w:rPr>
              <w:t>3</w:t>
            </w:r>
            <w:r w:rsidRPr="00B059B2">
              <w:t>, N</w:t>
            </w:r>
            <w:r w:rsidRPr="00B059B2">
              <w:rPr>
                <w:vertAlign w:val="subscript"/>
              </w:rPr>
              <w:t>2</w:t>
            </w:r>
            <w:r w:rsidRPr="00B059B2">
              <w:t xml:space="preserve"> a N</w:t>
            </w:r>
            <w:r w:rsidRPr="00B059B2">
              <w:rPr>
                <w:vertAlign w:val="subscript"/>
              </w:rPr>
              <w:t>3</w:t>
            </w:r>
            <w:r w:rsidRPr="00B059B2">
              <w:t xml:space="preserve"> v prípade členských štátov a uznaných tretích strán/Komisie</w:t>
            </w:r>
          </w:p>
        </w:tc>
      </w:tr>
      <w:tr w:rsidR="00902EF1" w:rsidRPr="00B059B2" w:rsidTr="0023402C">
        <w:tc>
          <w:tcPr>
            <w:tcW w:w="857"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jc w:val="center"/>
              <w:rPr>
                <w:noProof/>
              </w:rPr>
            </w:pPr>
            <w:r w:rsidRPr="00B059B2">
              <w:t>Skúšobné požiadavky</w:t>
            </w:r>
          </w:p>
        </w:tc>
        <w:tc>
          <w:tcPr>
            <w:tcW w:w="73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jc w:val="center"/>
              <w:rPr>
                <w:noProof/>
              </w:rPr>
            </w:pPr>
            <w:r w:rsidRPr="00B059B2">
              <w:t xml:space="preserve">Skúšky a požiadavky </w:t>
            </w:r>
            <w:r w:rsidRPr="00B059B2">
              <w:rPr>
                <w:b/>
                <w:bCs/>
                <w:i/>
                <w:iCs/>
              </w:rPr>
              <w:t>pre</w:t>
            </w:r>
            <w:r w:rsidRPr="00B059B2">
              <w:t xml:space="preserve"> typové schválenie vzhľadom na emisie </w:t>
            </w:r>
          </w:p>
        </w:tc>
        <w:tc>
          <w:tcPr>
            <w:tcW w:w="739"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jc w:val="center"/>
              <w:rPr>
                <w:noProof/>
              </w:rPr>
            </w:pPr>
            <w:r w:rsidRPr="00B059B2">
              <w:t xml:space="preserve">Skúšky zhody výroby </w:t>
            </w:r>
          </w:p>
        </w:tc>
        <w:tc>
          <w:tcPr>
            <w:tcW w:w="1148" w:type="pct"/>
            <w:gridSpan w:val="2"/>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jc w:val="center"/>
              <w:rPr>
                <w:noProof/>
              </w:rPr>
            </w:pPr>
            <w:r w:rsidRPr="00B059B2">
              <w:t>Skúšky zhody v prevádzke</w:t>
            </w:r>
          </w:p>
        </w:tc>
        <w:tc>
          <w:tcPr>
            <w:tcW w:w="1525" w:type="pct"/>
            <w:gridSpan w:val="2"/>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jc w:val="center"/>
              <w:rPr>
                <w:noProof/>
              </w:rPr>
            </w:pPr>
            <w:r w:rsidRPr="00B059B2">
              <w:t>Skúšky v rámci dohľadu nad trhom</w:t>
            </w:r>
          </w:p>
        </w:tc>
      </w:tr>
      <w:tr w:rsidR="00902EF1" w:rsidRPr="00B059B2" w:rsidTr="0023402C">
        <w:tc>
          <w:tcPr>
            <w:tcW w:w="857"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jc w:val="center"/>
              <w:rPr>
                <w:noProof/>
              </w:rPr>
            </w:pPr>
            <w:r w:rsidRPr="00B059B2">
              <w:t>Relevantný subjekt</w:t>
            </w:r>
          </w:p>
        </w:tc>
        <w:tc>
          <w:tcPr>
            <w:tcW w:w="73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jc w:val="center"/>
              <w:rPr>
                <w:b/>
                <w:i/>
                <w:noProof/>
              </w:rPr>
            </w:pPr>
            <w:r w:rsidRPr="00B059B2">
              <w:t xml:space="preserve">Orgán </w:t>
            </w:r>
            <w:r w:rsidRPr="00B059B2">
              <w:rPr>
                <w:b/>
                <w:bCs/>
                <w:i/>
                <w:iCs/>
              </w:rPr>
              <w:t>udeľujúci typové</w:t>
            </w:r>
            <w:r w:rsidRPr="00B059B2">
              <w:t xml:space="preserve"> schválenie</w:t>
            </w:r>
          </w:p>
        </w:tc>
        <w:tc>
          <w:tcPr>
            <w:tcW w:w="739"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jc w:val="center"/>
              <w:rPr>
                <w:b/>
                <w:i/>
                <w:noProof/>
              </w:rPr>
            </w:pPr>
            <w:r w:rsidRPr="00B059B2">
              <w:t xml:space="preserve">Orgán </w:t>
            </w:r>
            <w:r w:rsidRPr="00B059B2">
              <w:rPr>
                <w:b/>
                <w:bCs/>
                <w:i/>
                <w:iCs/>
              </w:rPr>
              <w:t>udeľujúci typové</w:t>
            </w:r>
            <w:r w:rsidRPr="00B059B2">
              <w:t xml:space="preserve"> schválenie</w:t>
            </w:r>
          </w:p>
        </w:tc>
        <w:tc>
          <w:tcPr>
            <w:tcW w:w="509"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jc w:val="center"/>
              <w:rPr>
                <w:b/>
                <w:i/>
                <w:noProof/>
              </w:rPr>
            </w:pPr>
            <w:r w:rsidRPr="00B059B2">
              <w:t xml:space="preserve">Orgán </w:t>
            </w:r>
            <w:r w:rsidRPr="00B059B2">
              <w:rPr>
                <w:b/>
                <w:bCs/>
                <w:i/>
                <w:iCs/>
              </w:rPr>
              <w:t>udeľujúci typové</w:t>
            </w:r>
            <w:r w:rsidRPr="00B059B2">
              <w:t xml:space="preserve"> schválenie</w:t>
            </w:r>
            <w:r w:rsidRPr="00B059B2">
              <w:rPr>
                <w:b/>
                <w:i/>
              </w:rPr>
              <w:t xml:space="preserve"> </w:t>
            </w:r>
          </w:p>
        </w:tc>
        <w:tc>
          <w:tcPr>
            <w:tcW w:w="640"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jc w:val="center"/>
              <w:rPr>
                <w:noProof/>
              </w:rPr>
            </w:pPr>
            <w:r w:rsidRPr="00B059B2">
              <w:t>Tretie strany a Komisia</w:t>
            </w:r>
          </w:p>
        </w:tc>
        <w:tc>
          <w:tcPr>
            <w:tcW w:w="885"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jc w:val="center"/>
              <w:rPr>
                <w:noProof/>
              </w:rPr>
            </w:pPr>
            <w:r w:rsidRPr="00B059B2">
              <w:t xml:space="preserve">Orgány dohľadu nad trhom </w:t>
            </w:r>
          </w:p>
        </w:tc>
        <w:tc>
          <w:tcPr>
            <w:tcW w:w="640"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jc w:val="center"/>
              <w:rPr>
                <w:noProof/>
              </w:rPr>
            </w:pPr>
            <w:r w:rsidRPr="00B059B2">
              <w:t>Tretie strany a Komisia</w:t>
            </w:r>
          </w:p>
        </w:tc>
      </w:tr>
      <w:tr w:rsidR="00902EF1" w:rsidRPr="00B059B2" w:rsidTr="0023402C">
        <w:trPr>
          <w:trHeight w:val="469"/>
        </w:trPr>
        <w:tc>
          <w:tcPr>
            <w:tcW w:w="857"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Plynné znečisťujúce látky, PM a počet častíc pri cestnej skúške (RDE) pre každé palivo a uplatniteľné kategórie vozidiel (M</w:t>
            </w:r>
            <w:r w:rsidRPr="00B059B2">
              <w:rPr>
                <w:vertAlign w:val="subscript"/>
              </w:rPr>
              <w:t>2</w:t>
            </w:r>
            <w:r w:rsidRPr="00B059B2">
              <w:t>, M</w:t>
            </w:r>
            <w:r w:rsidRPr="00B059B2">
              <w:rPr>
                <w:vertAlign w:val="subscript"/>
              </w:rPr>
              <w:t>3</w:t>
            </w:r>
            <w:r w:rsidRPr="00B059B2">
              <w:t>, N</w:t>
            </w:r>
            <w:r w:rsidRPr="00B059B2">
              <w:rPr>
                <w:vertAlign w:val="subscript"/>
              </w:rPr>
              <w:t>2</w:t>
            </w:r>
            <w:r w:rsidRPr="00B059B2">
              <w:t xml:space="preserve"> a N</w:t>
            </w:r>
            <w:r w:rsidRPr="00B059B2">
              <w:rPr>
                <w:vertAlign w:val="subscript"/>
              </w:rPr>
              <w:t>3</w:t>
            </w:r>
            <w:r w:rsidRPr="00B059B2">
              <w:t>)</w:t>
            </w:r>
          </w:p>
        </w:tc>
        <w:tc>
          <w:tcPr>
            <w:tcW w:w="73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b/>
                <w:i/>
                <w:noProof/>
              </w:rPr>
            </w:pPr>
            <w:r w:rsidRPr="00B059B2">
              <w:t xml:space="preserve">Vyžadujú sa preukazovacie skúšky pre všetky palivá, ktorým je udelené typové schválenie podľa typu vozidla, a vyhlásenie o súlade pre všetky </w:t>
            </w:r>
            <w:r w:rsidRPr="00B059B2">
              <w:lastRenderedPageBreak/>
              <w:t xml:space="preserve">palivá, všetky užitočné zaťaženia a všetky uplatniteľné </w:t>
            </w:r>
            <w:r w:rsidRPr="00B059B2">
              <w:rPr>
                <w:b/>
                <w:bCs/>
                <w:i/>
                <w:iCs/>
              </w:rPr>
              <w:t>kategórie</w:t>
            </w:r>
            <w:r w:rsidRPr="00B059B2">
              <w:t xml:space="preserve"> vozidiel</w:t>
            </w:r>
          </w:p>
          <w:p w:rsidR="00902EF1" w:rsidRPr="00B059B2" w:rsidRDefault="00902EF1" w:rsidP="0023402C">
            <w:pPr>
              <w:spacing w:line="276" w:lineRule="auto"/>
              <w:rPr>
                <w:noProof/>
              </w:rPr>
            </w:pPr>
            <w:r w:rsidRPr="00B059B2">
              <w:t>**</w:t>
            </w:r>
          </w:p>
        </w:tc>
        <w:tc>
          <w:tcPr>
            <w:tcW w:w="739"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after="120"/>
              <w:ind w:left="112"/>
              <w:rPr>
                <w:noProof/>
              </w:rPr>
            </w:pPr>
            <w:r w:rsidRPr="00B059B2">
              <w:lastRenderedPageBreak/>
              <w:t>(pozri požiadavky týkajúce sa motora)</w:t>
            </w:r>
          </w:p>
        </w:tc>
        <w:tc>
          <w:tcPr>
            <w:tcW w:w="509" w:type="pct"/>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line="276" w:lineRule="auto"/>
              <w:rPr>
                <w:noProof/>
              </w:rPr>
            </w:pPr>
            <w:r w:rsidRPr="00B059B2">
              <w:t xml:space="preserve">vyžaduje sa ročne pre primeraný počet typov vozidiel v prípade akéhokoľvek paliva a akejkoľvek kategórie vozidiel, </w:t>
            </w:r>
            <w:r w:rsidRPr="00B059B2">
              <w:lastRenderedPageBreak/>
              <w:t xml:space="preserve">na ktoré sa vzťahuje typové schválenie vzhľadom na emisie </w:t>
            </w:r>
          </w:p>
          <w:p w:rsidR="00902EF1" w:rsidRPr="00B059B2" w:rsidRDefault="00902EF1" w:rsidP="0023402C">
            <w:pPr>
              <w:spacing w:line="276" w:lineRule="auto"/>
              <w:rPr>
                <w:b/>
                <w:i/>
                <w:noProof/>
              </w:rPr>
            </w:pPr>
            <w:r w:rsidRPr="00B059B2">
              <w:rPr>
                <w:b/>
                <w:i/>
              </w:rPr>
              <w:t>**</w:t>
            </w:r>
          </w:p>
        </w:tc>
        <w:tc>
          <w:tcPr>
            <w:tcW w:w="640"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lastRenderedPageBreak/>
              <w:t>voliteľné</w:t>
            </w:r>
          </w:p>
        </w:tc>
        <w:tc>
          <w:tcPr>
            <w:tcW w:w="885"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povinné/voliteľné</w:t>
            </w:r>
          </w:p>
        </w:tc>
        <w:tc>
          <w:tcPr>
            <w:tcW w:w="640"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r>
      <w:tr w:rsidR="00902EF1" w:rsidRPr="00B059B2" w:rsidTr="0023402C">
        <w:trPr>
          <w:trHeight w:val="469"/>
        </w:trPr>
        <w:tc>
          <w:tcPr>
            <w:tcW w:w="857"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CO</w:t>
            </w:r>
            <w:r w:rsidRPr="00B059B2">
              <w:rPr>
                <w:vertAlign w:val="subscript"/>
              </w:rPr>
              <w:t>2</w:t>
            </w:r>
            <w:r w:rsidRPr="00B059B2">
              <w:t>, emisie, spotreba paliva/energie, určenie nulových emisií/elektrického dojazdu vozidla</w:t>
            </w:r>
          </w:p>
        </w:tc>
        <w:tc>
          <w:tcPr>
            <w:tcW w:w="73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vydanie licencie VECTO</w:t>
            </w:r>
          </w:p>
        </w:tc>
        <w:tc>
          <w:tcPr>
            <w:tcW w:w="739"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 prípade komponentov</w:t>
            </w:r>
          </w:p>
        </w:tc>
        <w:tc>
          <w:tcPr>
            <w:tcW w:w="509"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c>
          <w:tcPr>
            <w:tcW w:w="640"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c>
          <w:tcPr>
            <w:tcW w:w="885"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c>
          <w:tcPr>
            <w:tcW w:w="640"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r>
      <w:tr w:rsidR="00902EF1" w:rsidRPr="00B059B2" w:rsidTr="0023402C">
        <w:trPr>
          <w:trHeight w:val="469"/>
        </w:trPr>
        <w:tc>
          <w:tcPr>
            <w:tcW w:w="857"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Energetická efektívnosť prípojných vozidiel</w:t>
            </w:r>
          </w:p>
        </w:tc>
        <w:tc>
          <w:tcPr>
            <w:tcW w:w="73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vydanie licencie VECTO</w:t>
            </w:r>
          </w:p>
        </w:tc>
        <w:tc>
          <w:tcPr>
            <w:tcW w:w="739"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 prípade komponentov</w:t>
            </w:r>
          </w:p>
        </w:tc>
        <w:tc>
          <w:tcPr>
            <w:tcW w:w="509"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c>
          <w:tcPr>
            <w:tcW w:w="640"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c>
          <w:tcPr>
            <w:tcW w:w="885"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c>
          <w:tcPr>
            <w:tcW w:w="640"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r>
      <w:tr w:rsidR="00902EF1" w:rsidRPr="00B059B2" w:rsidTr="0023402C">
        <w:trPr>
          <w:trHeight w:val="469"/>
        </w:trPr>
        <w:tc>
          <w:tcPr>
            <w:tcW w:w="857"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Postup overovacej skúšky</w:t>
            </w:r>
          </w:p>
        </w:tc>
        <w:tc>
          <w:tcPr>
            <w:tcW w:w="73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c>
          <w:tcPr>
            <w:tcW w:w="739"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povinné</w:t>
            </w:r>
          </w:p>
        </w:tc>
        <w:tc>
          <w:tcPr>
            <w:tcW w:w="509"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c>
          <w:tcPr>
            <w:tcW w:w="640"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c>
          <w:tcPr>
            <w:tcW w:w="885"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c>
          <w:tcPr>
            <w:tcW w:w="640"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r>
      <w:tr w:rsidR="00902EF1" w:rsidRPr="00B059B2" w:rsidTr="0023402C">
        <w:tc>
          <w:tcPr>
            <w:tcW w:w="857"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Emisie z kľukovej skrine</w:t>
            </w:r>
          </w:p>
        </w:tc>
        <w:tc>
          <w:tcPr>
            <w:tcW w:w="73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 xml:space="preserve">kontrola inštalácie uzatvoreného systému kľukovej skrine alebo vedenia do výfukovej trubice </w:t>
            </w:r>
          </w:p>
        </w:tc>
        <w:tc>
          <w:tcPr>
            <w:tcW w:w="739"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c>
          <w:tcPr>
            <w:tcW w:w="509"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c>
          <w:tcPr>
            <w:tcW w:w="640"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c>
          <w:tcPr>
            <w:tcW w:w="885"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c>
          <w:tcPr>
            <w:tcW w:w="640"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r>
      <w:tr w:rsidR="00902EF1" w:rsidRPr="00B059B2" w:rsidTr="0023402C">
        <w:tc>
          <w:tcPr>
            <w:tcW w:w="857"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Životnosť z hľadiska emisií</w:t>
            </w:r>
          </w:p>
        </w:tc>
        <w:tc>
          <w:tcPr>
            <w:tcW w:w="73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Vyhlásenie</w:t>
            </w:r>
          </w:p>
        </w:tc>
        <w:tc>
          <w:tcPr>
            <w:tcW w:w="739"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c>
          <w:tcPr>
            <w:tcW w:w="509"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c>
          <w:tcPr>
            <w:tcW w:w="640"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c>
          <w:tcPr>
            <w:tcW w:w="885"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povinné</w:t>
            </w:r>
          </w:p>
        </w:tc>
        <w:tc>
          <w:tcPr>
            <w:tcW w:w="640"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r>
      <w:tr w:rsidR="00902EF1" w:rsidRPr="00B059B2" w:rsidTr="0023402C">
        <w:tc>
          <w:tcPr>
            <w:tcW w:w="857" w:type="pct"/>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before="60" w:after="60"/>
              <w:rPr>
                <w:b/>
                <w:i/>
                <w:szCs w:val="24"/>
              </w:rPr>
            </w:pPr>
            <w:r w:rsidRPr="00B059B2">
              <w:rPr>
                <w:b/>
                <w:i/>
              </w:rPr>
              <w:t xml:space="preserve">Správna prevádzka systémov používajúcich spotrebné </w:t>
            </w:r>
            <w:r w:rsidRPr="00B059B2">
              <w:rPr>
                <w:b/>
                <w:i/>
              </w:rPr>
              <w:lastRenderedPageBreak/>
              <w:t>činidlo a systémov na reguláciu znečisťujúcich látok</w:t>
            </w:r>
          </w:p>
        </w:tc>
        <w:tc>
          <w:tcPr>
            <w:tcW w:w="731" w:type="pct"/>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before="60" w:after="60"/>
              <w:rPr>
                <w:b/>
                <w:i/>
                <w:szCs w:val="24"/>
              </w:rPr>
            </w:pPr>
            <w:r w:rsidRPr="00B059B2">
              <w:rPr>
                <w:b/>
                <w:i/>
              </w:rPr>
              <w:lastRenderedPageBreak/>
              <w:t>nevyžaduje sa</w:t>
            </w:r>
          </w:p>
        </w:tc>
        <w:tc>
          <w:tcPr>
            <w:tcW w:w="739" w:type="pct"/>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before="60" w:after="60"/>
              <w:rPr>
                <w:b/>
                <w:i/>
                <w:szCs w:val="24"/>
              </w:rPr>
            </w:pPr>
            <w:r w:rsidRPr="00B059B2">
              <w:rPr>
                <w:b/>
                <w:i/>
              </w:rPr>
              <w:t>nevyžaduje sa</w:t>
            </w:r>
          </w:p>
        </w:tc>
        <w:tc>
          <w:tcPr>
            <w:tcW w:w="509" w:type="pct"/>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before="60" w:after="60"/>
              <w:rPr>
                <w:b/>
                <w:i/>
                <w:szCs w:val="24"/>
              </w:rPr>
            </w:pPr>
            <w:r w:rsidRPr="00B059B2">
              <w:rPr>
                <w:b/>
                <w:i/>
              </w:rPr>
              <w:t>povinné</w:t>
            </w:r>
          </w:p>
        </w:tc>
        <w:tc>
          <w:tcPr>
            <w:tcW w:w="640" w:type="pct"/>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before="60" w:after="60"/>
              <w:rPr>
                <w:b/>
                <w:i/>
                <w:szCs w:val="24"/>
              </w:rPr>
            </w:pPr>
            <w:r w:rsidRPr="00B059B2">
              <w:rPr>
                <w:b/>
                <w:i/>
              </w:rPr>
              <w:t>voliteľné</w:t>
            </w:r>
          </w:p>
        </w:tc>
        <w:tc>
          <w:tcPr>
            <w:tcW w:w="885" w:type="pct"/>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before="60" w:after="60"/>
              <w:rPr>
                <w:b/>
                <w:i/>
                <w:szCs w:val="24"/>
              </w:rPr>
            </w:pPr>
            <w:r w:rsidRPr="00B059B2">
              <w:rPr>
                <w:b/>
                <w:i/>
              </w:rPr>
              <w:t>povinné</w:t>
            </w:r>
          </w:p>
        </w:tc>
        <w:tc>
          <w:tcPr>
            <w:tcW w:w="640" w:type="pct"/>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before="60" w:after="60"/>
              <w:rPr>
                <w:b/>
                <w:i/>
                <w:szCs w:val="24"/>
              </w:rPr>
            </w:pPr>
            <w:r w:rsidRPr="00B059B2">
              <w:rPr>
                <w:b/>
                <w:i/>
              </w:rPr>
              <w:t xml:space="preserve">Správna prevádzka systémov používajúcich </w:t>
            </w:r>
            <w:r w:rsidRPr="00B059B2">
              <w:rPr>
                <w:b/>
                <w:i/>
              </w:rPr>
              <w:lastRenderedPageBreak/>
              <w:t>spotrebné činidlo a systémov na reguláciu znečisťujúcich látok</w:t>
            </w:r>
          </w:p>
        </w:tc>
      </w:tr>
      <w:tr w:rsidR="00902EF1" w:rsidRPr="00B059B2" w:rsidTr="0023402C">
        <w:tc>
          <w:tcPr>
            <w:tcW w:w="857"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lastRenderedPageBreak/>
              <w:t>Životnosť batérie</w:t>
            </w:r>
          </w:p>
        </w:tc>
        <w:tc>
          <w:tcPr>
            <w:tcW w:w="73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Vyhlásenie</w:t>
            </w:r>
          </w:p>
        </w:tc>
        <w:tc>
          <w:tcPr>
            <w:tcW w:w="739"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c>
          <w:tcPr>
            <w:tcW w:w="509"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c>
          <w:tcPr>
            <w:tcW w:w="640"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c>
          <w:tcPr>
            <w:tcW w:w="885"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c>
          <w:tcPr>
            <w:tcW w:w="640"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r>
      <w:tr w:rsidR="00902EF1" w:rsidRPr="00B059B2" w:rsidTr="0023402C">
        <w:tc>
          <w:tcPr>
            <w:tcW w:w="857" w:type="pct"/>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before="60" w:after="60"/>
              <w:rPr>
                <w:b/>
                <w:bCs/>
                <w:i/>
                <w:noProof/>
                <w:szCs w:val="24"/>
              </w:rPr>
            </w:pPr>
            <w:r w:rsidRPr="00B059B2">
              <w:rPr>
                <w:b/>
                <w:i/>
              </w:rPr>
              <w:t>Určenie výkonu</w:t>
            </w:r>
          </w:p>
        </w:tc>
        <w:tc>
          <w:tcPr>
            <w:tcW w:w="731" w:type="pct"/>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before="60" w:after="60"/>
              <w:rPr>
                <w:b/>
                <w:i/>
                <w:noProof/>
                <w:szCs w:val="24"/>
              </w:rPr>
            </w:pPr>
            <w:r w:rsidRPr="00B059B2">
              <w:rPr>
                <w:b/>
                <w:i/>
              </w:rPr>
              <w:t>povinné</w:t>
            </w:r>
          </w:p>
          <w:p w:rsidR="00902EF1" w:rsidRPr="00B059B2" w:rsidRDefault="00902EF1" w:rsidP="0023402C">
            <w:pPr>
              <w:spacing w:before="60" w:after="60"/>
              <w:rPr>
                <w:b/>
                <w:i/>
                <w:noProof/>
                <w:szCs w:val="24"/>
              </w:rPr>
            </w:pPr>
            <w:r w:rsidRPr="00B059B2">
              <w:rPr>
                <w:b/>
                <w:i/>
              </w:rPr>
              <w:t>**</w:t>
            </w:r>
          </w:p>
        </w:tc>
        <w:tc>
          <w:tcPr>
            <w:tcW w:w="739" w:type="pct"/>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before="60" w:after="60"/>
              <w:rPr>
                <w:b/>
                <w:i/>
                <w:noProof/>
                <w:szCs w:val="24"/>
              </w:rPr>
            </w:pPr>
            <w:r w:rsidRPr="00B059B2">
              <w:rPr>
                <w:b/>
                <w:i/>
              </w:rPr>
              <w:t>nevyžaduje sa</w:t>
            </w:r>
          </w:p>
        </w:tc>
        <w:tc>
          <w:tcPr>
            <w:tcW w:w="509" w:type="pct"/>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before="60" w:after="60"/>
              <w:rPr>
                <w:b/>
                <w:i/>
                <w:noProof/>
                <w:szCs w:val="24"/>
              </w:rPr>
            </w:pPr>
            <w:r w:rsidRPr="00B059B2">
              <w:rPr>
                <w:b/>
                <w:i/>
              </w:rPr>
              <w:t>voliteľné</w:t>
            </w:r>
          </w:p>
        </w:tc>
        <w:tc>
          <w:tcPr>
            <w:tcW w:w="640" w:type="pct"/>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before="60" w:after="60"/>
              <w:rPr>
                <w:b/>
                <w:i/>
                <w:noProof/>
                <w:szCs w:val="24"/>
              </w:rPr>
            </w:pPr>
            <w:r w:rsidRPr="00B059B2">
              <w:rPr>
                <w:b/>
                <w:i/>
              </w:rPr>
              <w:t>voliteľné</w:t>
            </w:r>
          </w:p>
        </w:tc>
        <w:tc>
          <w:tcPr>
            <w:tcW w:w="885" w:type="pct"/>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before="60" w:after="60"/>
              <w:rPr>
                <w:b/>
                <w:i/>
                <w:noProof/>
                <w:szCs w:val="24"/>
              </w:rPr>
            </w:pPr>
            <w:r w:rsidRPr="00B059B2">
              <w:rPr>
                <w:b/>
                <w:i/>
              </w:rPr>
              <w:t>voliteľné</w:t>
            </w:r>
          </w:p>
        </w:tc>
        <w:tc>
          <w:tcPr>
            <w:tcW w:w="640" w:type="pct"/>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before="60" w:after="60"/>
              <w:rPr>
                <w:b/>
                <w:i/>
                <w:noProof/>
                <w:szCs w:val="24"/>
              </w:rPr>
            </w:pPr>
            <w:r w:rsidRPr="00B059B2">
              <w:rPr>
                <w:b/>
                <w:i/>
              </w:rPr>
              <w:t>voliteľné</w:t>
            </w:r>
          </w:p>
        </w:tc>
      </w:tr>
      <w:tr w:rsidR="00902EF1" w:rsidRPr="00B059B2" w:rsidTr="0023402C">
        <w:tc>
          <w:tcPr>
            <w:tcW w:w="857"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 xml:space="preserve">Palubný diagnostický systém (úroveň radu OBD) </w:t>
            </w:r>
          </w:p>
        </w:tc>
        <w:tc>
          <w:tcPr>
            <w:tcW w:w="73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Vyhlásenie</w:t>
            </w:r>
          </w:p>
        </w:tc>
        <w:tc>
          <w:tcPr>
            <w:tcW w:w="739"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c>
          <w:tcPr>
            <w:tcW w:w="509"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c>
          <w:tcPr>
            <w:tcW w:w="640"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c>
          <w:tcPr>
            <w:tcW w:w="885"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povinné</w:t>
            </w:r>
          </w:p>
        </w:tc>
        <w:tc>
          <w:tcPr>
            <w:tcW w:w="640"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r>
      <w:tr w:rsidR="00902EF1" w:rsidRPr="00B059B2" w:rsidTr="0023402C">
        <w:tc>
          <w:tcPr>
            <w:tcW w:w="857"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Palubný monitorovací systém (úroveň radu OBM)</w:t>
            </w:r>
          </w:p>
        </w:tc>
        <w:tc>
          <w:tcPr>
            <w:tcW w:w="73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vyhlásenie a predvedenie</w:t>
            </w:r>
          </w:p>
        </w:tc>
        <w:tc>
          <w:tcPr>
            <w:tcW w:w="739"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c>
          <w:tcPr>
            <w:tcW w:w="509"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b/>
                <w:i/>
                <w:noProof/>
              </w:rPr>
            </w:pPr>
            <w:r w:rsidRPr="00B059B2">
              <w:rPr>
                <w:b/>
                <w:i/>
              </w:rPr>
              <w:t>povinné</w:t>
            </w:r>
          </w:p>
        </w:tc>
        <w:tc>
          <w:tcPr>
            <w:tcW w:w="640"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c>
          <w:tcPr>
            <w:tcW w:w="885"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povinné</w:t>
            </w:r>
          </w:p>
        </w:tc>
        <w:tc>
          <w:tcPr>
            <w:tcW w:w="640"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r>
      <w:tr w:rsidR="00902EF1" w:rsidRPr="00B059B2" w:rsidTr="0023402C">
        <w:tc>
          <w:tcPr>
            <w:tcW w:w="857"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Prevencia neoprávnených zásahov, bezpečnosť a kybernetická bezpečnosť</w:t>
            </w:r>
          </w:p>
        </w:tc>
        <w:tc>
          <w:tcPr>
            <w:tcW w:w="73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vyhlásenie a dokumentácia</w:t>
            </w:r>
          </w:p>
        </w:tc>
        <w:tc>
          <w:tcPr>
            <w:tcW w:w="739"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c>
          <w:tcPr>
            <w:tcW w:w="509"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c>
          <w:tcPr>
            <w:tcW w:w="640"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c>
          <w:tcPr>
            <w:tcW w:w="885"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povinné</w:t>
            </w:r>
          </w:p>
        </w:tc>
        <w:tc>
          <w:tcPr>
            <w:tcW w:w="640"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voliteľné</w:t>
            </w:r>
          </w:p>
        </w:tc>
      </w:tr>
      <w:tr w:rsidR="00902EF1" w:rsidRPr="00B059B2" w:rsidTr="0023402C">
        <w:tc>
          <w:tcPr>
            <w:tcW w:w="5000" w:type="pct"/>
            <w:gridSpan w:val="7"/>
            <w:tcBorders>
              <w:top w:val="single" w:sz="2" w:space="0" w:color="auto"/>
              <w:left w:val="single" w:sz="2" w:space="0" w:color="auto"/>
              <w:bottom w:val="single" w:sz="2" w:space="0" w:color="auto"/>
              <w:right w:val="single" w:sz="2" w:space="0" w:color="auto"/>
            </w:tcBorders>
          </w:tcPr>
          <w:p w:rsidR="00902EF1" w:rsidRPr="00B059B2" w:rsidRDefault="00902EF1" w:rsidP="0023402C">
            <w:pPr>
              <w:rPr>
                <w:b/>
                <w:noProof/>
                <w:sz w:val="20"/>
              </w:rPr>
            </w:pPr>
            <w:r w:rsidRPr="00B059B2">
              <w:rPr>
                <w:b/>
                <w:i/>
                <w:sz w:val="20"/>
              </w:rPr>
              <w:t>**</w:t>
            </w:r>
            <w:r w:rsidRPr="00B059B2">
              <w:rPr>
                <w:b/>
                <w:i/>
                <w:sz w:val="20"/>
              </w:rPr>
              <w:tab/>
              <w:t>V prípade vozidla so schváleným systémom motora vzhľadom na emisie je za vykonanie tejto skúšky zodpovedný výrobca motora.</w:t>
            </w:r>
          </w:p>
        </w:tc>
      </w:tr>
    </w:tbl>
    <w:p w:rsidR="00902EF1" w:rsidRPr="00B059B2" w:rsidRDefault="00902EF1" w:rsidP="00902EF1">
      <w:pPr>
        <w:pStyle w:val="AmOrLang"/>
      </w:pPr>
    </w:p>
    <w:p w:rsidR="00902EF1" w:rsidRPr="00B059B2" w:rsidRDefault="00902EF1" w:rsidP="00902EF1"/>
    <w:p w:rsidR="00902EF1" w:rsidRPr="00B059B2" w:rsidRDefault="00902EF1" w:rsidP="00902EF1">
      <w:pPr>
        <w:pStyle w:val="AmNumberTabs"/>
        <w:keepNext/>
      </w:pPr>
      <w:r w:rsidRPr="00B059B2">
        <w:t>Pozmeňujúci návrh</w:t>
      </w:r>
      <w:r w:rsidRPr="00B059B2">
        <w:tab/>
      </w:r>
      <w:r w:rsidRPr="00B059B2">
        <w:tab/>
        <w:t>165</w:t>
      </w:r>
    </w:p>
    <w:p w:rsidR="00902EF1" w:rsidRPr="00B059B2" w:rsidRDefault="00902EF1" w:rsidP="00902EF1">
      <w:pPr>
        <w:pStyle w:val="NormalBold12b"/>
      </w:pPr>
      <w:r w:rsidRPr="00B059B2">
        <w:t>Návrh nariadenia</w:t>
      </w:r>
    </w:p>
    <w:p w:rsidR="00902EF1" w:rsidRPr="00B059B2" w:rsidRDefault="00902EF1" w:rsidP="00902EF1">
      <w:pPr>
        <w:pStyle w:val="NormalBold"/>
        <w:keepNext/>
      </w:pPr>
      <w:r w:rsidRPr="00B059B2">
        <w:t>Príloha V – tabuľka 5</w:t>
      </w:r>
    </w:p>
    <w:tbl>
      <w:tblPr>
        <w:tblW w:w="5000" w:type="pct"/>
        <w:tblLook w:val="04A0" w:firstRow="1" w:lastRow="0" w:firstColumn="1" w:lastColumn="0" w:noHBand="0" w:noVBand="1"/>
      </w:tblPr>
      <w:tblGrid>
        <w:gridCol w:w="2482"/>
        <w:gridCol w:w="2667"/>
        <w:gridCol w:w="1958"/>
        <w:gridCol w:w="1957"/>
      </w:tblGrid>
      <w:tr w:rsidR="00902EF1" w:rsidRPr="00B059B2" w:rsidTr="0023402C">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line="276" w:lineRule="auto"/>
              <w:jc w:val="center"/>
              <w:rPr>
                <w:i/>
                <w:noProof/>
              </w:rPr>
            </w:pPr>
            <w:r w:rsidRPr="00B059B2">
              <w:rPr>
                <w:i/>
              </w:rPr>
              <w:t>Text predložený Komisiou</w:t>
            </w:r>
          </w:p>
        </w:tc>
      </w:tr>
      <w:tr w:rsidR="00902EF1" w:rsidRPr="00B059B2" w:rsidTr="0023402C">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902EF1" w:rsidRPr="00B059B2" w:rsidRDefault="00902EF1" w:rsidP="0023402C">
            <w:pPr>
              <w:rPr>
                <w:noProof/>
              </w:rPr>
            </w:pPr>
            <w:r w:rsidRPr="00B059B2">
              <w:t>Tabuľka 5: Uplatňovanie skúšobných požiadaviek a vyhlásení na typové schválenie a rozšírenia motorov určených pre vozidlá kategórií M</w:t>
            </w:r>
            <w:r w:rsidRPr="00B059B2">
              <w:rPr>
                <w:vertAlign w:val="subscript"/>
              </w:rPr>
              <w:t>2</w:t>
            </w:r>
            <w:r w:rsidRPr="00B059B2">
              <w:t>, M</w:t>
            </w:r>
            <w:r w:rsidRPr="00B059B2">
              <w:rPr>
                <w:vertAlign w:val="subscript"/>
              </w:rPr>
              <w:t>3</w:t>
            </w:r>
            <w:r w:rsidRPr="00B059B2">
              <w:t>, N</w:t>
            </w:r>
            <w:r w:rsidRPr="00B059B2">
              <w:rPr>
                <w:vertAlign w:val="subscript"/>
              </w:rPr>
              <w:t>2</w:t>
            </w:r>
            <w:r w:rsidRPr="00B059B2">
              <w:t xml:space="preserve"> a N</w:t>
            </w:r>
            <w:r w:rsidRPr="00B059B2">
              <w:rPr>
                <w:vertAlign w:val="subscript"/>
              </w:rPr>
              <w:t>3</w:t>
            </w:r>
            <w:r w:rsidRPr="00B059B2">
              <w:t xml:space="preserve"> v prípade výrobcov</w:t>
            </w:r>
          </w:p>
        </w:tc>
      </w:tr>
      <w:tr w:rsidR="00902EF1" w:rsidRPr="00B059B2" w:rsidTr="0023402C">
        <w:trPr>
          <w:trHeight w:val="294"/>
        </w:trPr>
        <w:tc>
          <w:tcPr>
            <w:tcW w:w="133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jc w:val="center"/>
              <w:rPr>
                <w:noProof/>
              </w:rPr>
            </w:pPr>
            <w:r w:rsidRPr="00B059B2">
              <w:t>Skúšobné požiadavky pre každé palivo</w:t>
            </w:r>
          </w:p>
        </w:tc>
        <w:tc>
          <w:tcPr>
            <w:tcW w:w="1484"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jc w:val="center"/>
              <w:rPr>
                <w:noProof/>
              </w:rPr>
            </w:pPr>
            <w:r w:rsidRPr="00B059B2">
              <w:t xml:space="preserve">Skúšky a požiadavky </w:t>
            </w:r>
            <w:r w:rsidRPr="00B059B2">
              <w:rPr>
                <w:b/>
                <w:bCs/>
                <w:i/>
                <w:iCs/>
              </w:rPr>
              <w:t>pri počiatočnom</w:t>
            </w:r>
            <w:r w:rsidRPr="00B059B2">
              <w:t xml:space="preserve"> typovom schválení vzhľadom na emisie </w:t>
            </w:r>
          </w:p>
        </w:tc>
        <w:tc>
          <w:tcPr>
            <w:tcW w:w="1093"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jc w:val="center"/>
              <w:rPr>
                <w:noProof/>
              </w:rPr>
            </w:pPr>
            <w:r w:rsidRPr="00B059B2">
              <w:t xml:space="preserve">Skúšky zhody výroby </w:t>
            </w:r>
          </w:p>
        </w:tc>
        <w:tc>
          <w:tcPr>
            <w:tcW w:w="1092"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jc w:val="center"/>
              <w:rPr>
                <w:noProof/>
              </w:rPr>
            </w:pPr>
            <w:r w:rsidRPr="00B059B2">
              <w:t>Skúšky zhody v prevádzke</w:t>
            </w:r>
          </w:p>
        </w:tc>
      </w:tr>
      <w:tr w:rsidR="00902EF1" w:rsidRPr="00B059B2" w:rsidTr="0023402C">
        <w:trPr>
          <w:trHeight w:val="885"/>
        </w:trPr>
        <w:tc>
          <w:tcPr>
            <w:tcW w:w="133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lastRenderedPageBreak/>
              <w:t>Plynné znečisťujúce látky, PM a PN a emisie CO</w:t>
            </w:r>
            <w:r w:rsidRPr="00B059B2">
              <w:rPr>
                <w:vertAlign w:val="subscript"/>
              </w:rPr>
              <w:t>2</w:t>
            </w:r>
            <w:r w:rsidRPr="00B059B2">
              <w:t>, spotreba paliva v nestálom cykle (WHTC za studena a za tepla)</w:t>
            </w:r>
          </w:p>
        </w:tc>
        <w:tc>
          <w:tcPr>
            <w:tcW w:w="1484"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vyžaduje sa v prípade základného motora emisného radu, v prípade všetkých členov radu sa vyžaduje vyhlásenie**</w:t>
            </w:r>
          </w:p>
        </w:tc>
        <w:tc>
          <w:tcPr>
            <w:tcW w:w="1093"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vyžaduje sa v prípade motora mimo radu</w:t>
            </w:r>
          </w:p>
        </w:tc>
        <w:tc>
          <w:tcPr>
            <w:tcW w:w="1092" w:type="pct"/>
            <w:vMerge w:val="restart"/>
            <w:tcBorders>
              <w:top w:val="single" w:sz="2" w:space="0" w:color="auto"/>
              <w:left w:val="single" w:sz="2" w:space="0" w:color="auto"/>
              <w:bottom w:val="single" w:sz="2" w:space="0" w:color="auto"/>
              <w:right w:val="single" w:sz="2" w:space="0" w:color="auto"/>
            </w:tcBorders>
            <w:vAlign w:val="center"/>
            <w:hideMark/>
          </w:tcPr>
          <w:p w:rsidR="00902EF1" w:rsidRPr="00B059B2" w:rsidRDefault="00902EF1" w:rsidP="0023402C">
            <w:pPr>
              <w:spacing w:line="276" w:lineRule="auto"/>
              <w:jc w:val="center"/>
              <w:rPr>
                <w:noProof/>
              </w:rPr>
            </w:pPr>
            <w:r w:rsidRPr="00B059B2">
              <w:t>vykonáva sa len v prípade dokončeného vozidla ako v tabuľkách 3 a 4</w:t>
            </w:r>
          </w:p>
        </w:tc>
      </w:tr>
      <w:tr w:rsidR="00902EF1" w:rsidRPr="00B059B2" w:rsidTr="0023402C">
        <w:trPr>
          <w:trHeight w:val="685"/>
        </w:trPr>
        <w:tc>
          <w:tcPr>
            <w:tcW w:w="133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Skúšky motora na overenie údajov požadovaných na určenie emisií CO</w:t>
            </w:r>
            <w:r w:rsidRPr="00B059B2">
              <w:rPr>
                <w:vertAlign w:val="subscript"/>
              </w:rPr>
              <w:t>2</w:t>
            </w:r>
            <w:r w:rsidRPr="00B059B2">
              <w:t xml:space="preserve"> </w:t>
            </w:r>
          </w:p>
        </w:tc>
        <w:tc>
          <w:tcPr>
            <w:tcW w:w="1484" w:type="pct"/>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line="276" w:lineRule="auto"/>
              <w:rPr>
                <w:noProof/>
              </w:rPr>
            </w:pPr>
            <w:r w:rsidRPr="00B059B2">
              <w:t xml:space="preserve">povinné </w:t>
            </w:r>
          </w:p>
          <w:p w:rsidR="00902EF1" w:rsidRPr="00B059B2" w:rsidRDefault="00902EF1" w:rsidP="0023402C">
            <w:pPr>
              <w:spacing w:line="276" w:lineRule="auto"/>
              <w:rPr>
                <w:noProof/>
              </w:rPr>
            </w:pPr>
          </w:p>
        </w:tc>
        <w:tc>
          <w:tcPr>
            <w:tcW w:w="1093"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 xml:space="preserve">povinné </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02EF1" w:rsidRPr="00B059B2" w:rsidRDefault="00902EF1" w:rsidP="0023402C">
            <w:pPr>
              <w:spacing w:line="276" w:lineRule="auto"/>
              <w:rPr>
                <w:noProof/>
                <w:szCs w:val="22"/>
                <w:lang w:eastAsia="en-US"/>
              </w:rPr>
            </w:pPr>
          </w:p>
        </w:tc>
      </w:tr>
      <w:tr w:rsidR="00902EF1" w:rsidRPr="00B059B2" w:rsidTr="0023402C">
        <w:trPr>
          <w:trHeight w:val="504"/>
        </w:trPr>
        <w:tc>
          <w:tcPr>
            <w:tcW w:w="133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Kontinuálna/periodická regenerácia</w:t>
            </w:r>
          </w:p>
        </w:tc>
        <w:tc>
          <w:tcPr>
            <w:tcW w:w="1484"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Vyhlásenie</w:t>
            </w:r>
          </w:p>
        </w:tc>
        <w:tc>
          <w:tcPr>
            <w:tcW w:w="1093"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02EF1" w:rsidRPr="00B059B2" w:rsidRDefault="00902EF1" w:rsidP="0023402C">
            <w:pPr>
              <w:spacing w:line="276" w:lineRule="auto"/>
              <w:rPr>
                <w:noProof/>
                <w:szCs w:val="22"/>
                <w:lang w:eastAsia="en-US"/>
              </w:rPr>
            </w:pPr>
          </w:p>
        </w:tc>
      </w:tr>
      <w:tr w:rsidR="00902EF1" w:rsidRPr="00B059B2" w:rsidTr="0023402C">
        <w:trPr>
          <w:trHeight w:val="494"/>
        </w:trPr>
        <w:tc>
          <w:tcPr>
            <w:tcW w:w="133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Emisie z kľukovej skrine</w:t>
            </w:r>
          </w:p>
        </w:tc>
        <w:tc>
          <w:tcPr>
            <w:tcW w:w="1484"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kontrola inštalácie uzatvoreného systému kľukovej skrine alebo vedenia do výfukovej trubice</w:t>
            </w:r>
          </w:p>
        </w:tc>
        <w:tc>
          <w:tcPr>
            <w:tcW w:w="1093"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02EF1" w:rsidRPr="00B059B2" w:rsidRDefault="00902EF1" w:rsidP="0023402C">
            <w:pPr>
              <w:spacing w:line="276" w:lineRule="auto"/>
              <w:rPr>
                <w:noProof/>
                <w:szCs w:val="22"/>
                <w:lang w:eastAsia="en-US"/>
              </w:rPr>
            </w:pPr>
          </w:p>
        </w:tc>
      </w:tr>
      <w:tr w:rsidR="00902EF1" w:rsidRPr="00B059B2" w:rsidTr="0023402C">
        <w:trPr>
          <w:trHeight w:val="484"/>
        </w:trPr>
        <w:tc>
          <w:tcPr>
            <w:tcW w:w="133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Životnosť z hľadiska emisií</w:t>
            </w:r>
          </w:p>
        </w:tc>
        <w:tc>
          <w:tcPr>
            <w:tcW w:w="1484"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Vyhlásenie</w:t>
            </w:r>
          </w:p>
        </w:tc>
        <w:tc>
          <w:tcPr>
            <w:tcW w:w="1093"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02EF1" w:rsidRPr="00B059B2" w:rsidRDefault="00902EF1" w:rsidP="0023402C">
            <w:pPr>
              <w:spacing w:line="276" w:lineRule="auto"/>
              <w:rPr>
                <w:noProof/>
                <w:szCs w:val="22"/>
                <w:lang w:eastAsia="en-US"/>
              </w:rPr>
            </w:pPr>
          </w:p>
        </w:tc>
      </w:tr>
      <w:tr w:rsidR="00902EF1" w:rsidRPr="00B059B2" w:rsidTr="0023402C">
        <w:trPr>
          <w:trHeight w:val="294"/>
        </w:trPr>
        <w:tc>
          <w:tcPr>
            <w:tcW w:w="133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Palubný diagnostický systém (úroveň radu OBD)</w:t>
            </w:r>
          </w:p>
        </w:tc>
        <w:tc>
          <w:tcPr>
            <w:tcW w:w="1484"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Vyhlásenie</w:t>
            </w:r>
          </w:p>
        </w:tc>
        <w:tc>
          <w:tcPr>
            <w:tcW w:w="1093"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02EF1" w:rsidRPr="00B059B2" w:rsidRDefault="00902EF1" w:rsidP="0023402C">
            <w:pPr>
              <w:spacing w:line="276" w:lineRule="auto"/>
              <w:rPr>
                <w:noProof/>
                <w:szCs w:val="22"/>
                <w:lang w:eastAsia="en-US"/>
              </w:rPr>
            </w:pPr>
          </w:p>
        </w:tc>
      </w:tr>
      <w:tr w:rsidR="00902EF1" w:rsidRPr="00B059B2" w:rsidTr="0023402C">
        <w:trPr>
          <w:trHeight w:val="294"/>
        </w:trPr>
        <w:tc>
          <w:tcPr>
            <w:tcW w:w="133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Palubný monitorovací systém (úroveň radu OBM)</w:t>
            </w:r>
          </w:p>
        </w:tc>
        <w:tc>
          <w:tcPr>
            <w:tcW w:w="1484" w:type="pct"/>
            <w:tcBorders>
              <w:top w:val="single" w:sz="2" w:space="0" w:color="auto"/>
              <w:left w:val="single" w:sz="2" w:space="0" w:color="auto"/>
              <w:bottom w:val="single" w:sz="2" w:space="0" w:color="auto"/>
              <w:right w:val="single" w:sz="2" w:space="0" w:color="auto"/>
            </w:tcBorders>
            <w:vAlign w:val="center"/>
            <w:hideMark/>
          </w:tcPr>
          <w:p w:rsidR="00902EF1" w:rsidRPr="00B059B2" w:rsidRDefault="00902EF1" w:rsidP="0023402C">
            <w:pPr>
              <w:spacing w:line="276" w:lineRule="auto"/>
              <w:rPr>
                <w:noProof/>
              </w:rPr>
            </w:pPr>
            <w:r w:rsidRPr="00B059B2">
              <w:t>vykonáva sa len v prípade dokončeného vozidla ako v tabuľkách 3 a 4</w:t>
            </w:r>
          </w:p>
        </w:tc>
        <w:tc>
          <w:tcPr>
            <w:tcW w:w="1093" w:type="pct"/>
            <w:tcBorders>
              <w:top w:val="nil"/>
              <w:left w:val="single" w:sz="2" w:space="0" w:color="auto"/>
              <w:bottom w:val="nil"/>
              <w:right w:val="single" w:sz="2" w:space="0" w:color="auto"/>
            </w:tcBorders>
            <w:hideMark/>
          </w:tcPr>
          <w:p w:rsidR="00902EF1" w:rsidRPr="00B059B2" w:rsidRDefault="00902EF1" w:rsidP="0023402C">
            <w:pPr>
              <w:spacing w:line="276" w:lineRule="auto"/>
              <w:rPr>
                <w:noProof/>
              </w:rPr>
            </w:pPr>
            <w:r w:rsidRPr="00B059B2">
              <w:t>nevyžaduje sa</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02EF1" w:rsidRPr="00B059B2" w:rsidRDefault="00902EF1" w:rsidP="0023402C">
            <w:pPr>
              <w:spacing w:line="276" w:lineRule="auto"/>
              <w:rPr>
                <w:noProof/>
                <w:szCs w:val="22"/>
                <w:lang w:eastAsia="en-US"/>
              </w:rPr>
            </w:pPr>
          </w:p>
        </w:tc>
      </w:tr>
      <w:tr w:rsidR="00902EF1" w:rsidRPr="00B059B2" w:rsidTr="0023402C">
        <w:trPr>
          <w:trHeight w:val="294"/>
        </w:trPr>
        <w:tc>
          <w:tcPr>
            <w:tcW w:w="133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b/>
                <w:i/>
                <w:noProof/>
              </w:rPr>
            </w:pPr>
            <w:r w:rsidRPr="00B059B2">
              <w:rPr>
                <w:b/>
                <w:i/>
              </w:rPr>
              <w:t>Výkon motora</w:t>
            </w:r>
          </w:p>
        </w:tc>
        <w:tc>
          <w:tcPr>
            <w:tcW w:w="2577" w:type="pct"/>
            <w:gridSpan w:val="2"/>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jc w:val="center"/>
              <w:rPr>
                <w:b/>
                <w:i/>
                <w:noProof/>
              </w:rPr>
            </w:pPr>
            <w:r w:rsidRPr="00B059B2">
              <w:rPr>
                <w:b/>
                <w:i/>
              </w:rPr>
              <w:t>povinné</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02EF1" w:rsidRPr="00B059B2" w:rsidRDefault="00902EF1" w:rsidP="0023402C">
            <w:pPr>
              <w:spacing w:line="276" w:lineRule="auto"/>
              <w:rPr>
                <w:b/>
                <w:i/>
                <w:noProof/>
                <w:szCs w:val="22"/>
                <w:lang w:eastAsia="en-US"/>
              </w:rPr>
            </w:pPr>
          </w:p>
        </w:tc>
      </w:tr>
      <w:tr w:rsidR="00902EF1" w:rsidRPr="00B059B2" w:rsidTr="0023402C">
        <w:trPr>
          <w:trHeight w:val="294"/>
        </w:trPr>
        <w:tc>
          <w:tcPr>
            <w:tcW w:w="1" w:type="pct"/>
            <w:gridSpan w:val="4"/>
            <w:tcBorders>
              <w:top w:val="single" w:sz="2" w:space="0" w:color="auto"/>
              <w:left w:val="single" w:sz="2" w:space="0" w:color="auto"/>
              <w:bottom w:val="single" w:sz="2" w:space="0" w:color="auto"/>
              <w:right w:val="single" w:sz="2" w:space="0" w:color="auto"/>
            </w:tcBorders>
          </w:tcPr>
          <w:p w:rsidR="00902EF1" w:rsidRPr="00B059B2" w:rsidRDefault="00902EF1" w:rsidP="0023402C">
            <w:pPr>
              <w:rPr>
                <w:bCs/>
                <w:noProof/>
                <w:sz w:val="20"/>
                <w:szCs w:val="19"/>
              </w:rPr>
            </w:pPr>
            <w:r w:rsidRPr="00B059B2">
              <w:rPr>
                <w:sz w:val="20"/>
              </w:rPr>
              <w:t xml:space="preserve">* Schvaľovací úrad môže požadovať vykonanie skúšky počas počiatočného typového schválenia. </w:t>
            </w:r>
          </w:p>
          <w:p w:rsidR="00902EF1" w:rsidRPr="00B059B2" w:rsidRDefault="00902EF1" w:rsidP="0023402C">
            <w:pPr>
              <w:rPr>
                <w:b/>
                <w:bCs/>
                <w:noProof/>
                <w:sz w:val="19"/>
                <w:szCs w:val="19"/>
              </w:rPr>
            </w:pPr>
            <w:r w:rsidRPr="00B059B2">
              <w:rPr>
                <w:sz w:val="20"/>
              </w:rPr>
              <w:t>** Podporované údajmi o skúšaní motora pre všetky úrovne výkonu.</w:t>
            </w:r>
          </w:p>
        </w:tc>
      </w:tr>
    </w:tbl>
    <w:p w:rsidR="00902EF1" w:rsidRPr="00B059B2" w:rsidRDefault="00902EF1" w:rsidP="00902EF1">
      <w:pPr>
        <w:pStyle w:val="AmOrLang"/>
      </w:pPr>
    </w:p>
    <w:tbl>
      <w:tblPr>
        <w:tblW w:w="5000" w:type="pct"/>
        <w:tblLook w:val="04A0" w:firstRow="1" w:lastRow="0" w:firstColumn="1" w:lastColumn="0" w:noHBand="0" w:noVBand="1"/>
      </w:tblPr>
      <w:tblGrid>
        <w:gridCol w:w="2482"/>
        <w:gridCol w:w="2667"/>
        <w:gridCol w:w="1958"/>
        <w:gridCol w:w="1957"/>
      </w:tblGrid>
      <w:tr w:rsidR="00902EF1" w:rsidRPr="00B059B2" w:rsidTr="0023402C">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line="276" w:lineRule="auto"/>
              <w:jc w:val="center"/>
              <w:rPr>
                <w:i/>
                <w:noProof/>
              </w:rPr>
            </w:pPr>
            <w:r w:rsidRPr="00B059B2">
              <w:rPr>
                <w:i/>
              </w:rPr>
              <w:t>Pozmeňujúci návrh</w:t>
            </w:r>
          </w:p>
        </w:tc>
      </w:tr>
      <w:tr w:rsidR="00902EF1" w:rsidRPr="00B059B2" w:rsidTr="0023402C">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line="276" w:lineRule="auto"/>
              <w:rPr>
                <w:noProof/>
              </w:rPr>
            </w:pPr>
            <w:r w:rsidRPr="00B059B2">
              <w:t>Tabuľka 5: Uplatňovanie skúšobných požiadaviek a vyhlásení na typové schválenie a rozšírenia motorov určených pre vozidlá kategórií M</w:t>
            </w:r>
            <w:r w:rsidRPr="00B059B2">
              <w:rPr>
                <w:vertAlign w:val="subscript"/>
              </w:rPr>
              <w:t>2</w:t>
            </w:r>
            <w:r w:rsidRPr="00B059B2">
              <w:t>, M</w:t>
            </w:r>
            <w:r w:rsidRPr="00B059B2">
              <w:rPr>
                <w:vertAlign w:val="subscript"/>
              </w:rPr>
              <w:t>3</w:t>
            </w:r>
            <w:r w:rsidRPr="00B059B2">
              <w:t>, N</w:t>
            </w:r>
            <w:r w:rsidRPr="00B059B2">
              <w:rPr>
                <w:vertAlign w:val="subscript"/>
              </w:rPr>
              <w:t>2</w:t>
            </w:r>
            <w:r w:rsidRPr="00B059B2">
              <w:t xml:space="preserve"> a N</w:t>
            </w:r>
            <w:r w:rsidRPr="00B059B2">
              <w:rPr>
                <w:vertAlign w:val="subscript"/>
              </w:rPr>
              <w:t>3</w:t>
            </w:r>
            <w:r w:rsidRPr="00B059B2">
              <w:t xml:space="preserve"> v prípade výrobcov</w:t>
            </w:r>
          </w:p>
        </w:tc>
      </w:tr>
      <w:tr w:rsidR="00902EF1" w:rsidRPr="00B059B2" w:rsidTr="0023402C">
        <w:trPr>
          <w:trHeight w:val="294"/>
        </w:trPr>
        <w:tc>
          <w:tcPr>
            <w:tcW w:w="133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jc w:val="center"/>
              <w:rPr>
                <w:noProof/>
              </w:rPr>
            </w:pPr>
            <w:r w:rsidRPr="00B059B2">
              <w:t>Skúšobné požiadavky pre každé palivo</w:t>
            </w:r>
          </w:p>
        </w:tc>
        <w:tc>
          <w:tcPr>
            <w:tcW w:w="1484"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jc w:val="center"/>
              <w:rPr>
                <w:noProof/>
              </w:rPr>
            </w:pPr>
            <w:r w:rsidRPr="00B059B2">
              <w:t xml:space="preserve">Skúšky a požiadavky </w:t>
            </w:r>
            <w:r w:rsidRPr="00B059B2">
              <w:rPr>
                <w:b/>
                <w:bCs/>
                <w:i/>
                <w:iCs/>
              </w:rPr>
              <w:t>pre</w:t>
            </w:r>
            <w:r w:rsidRPr="00B059B2">
              <w:t xml:space="preserve"> typové schválenie vzhľadom na emisie </w:t>
            </w:r>
          </w:p>
        </w:tc>
        <w:tc>
          <w:tcPr>
            <w:tcW w:w="1093"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jc w:val="center"/>
              <w:rPr>
                <w:noProof/>
              </w:rPr>
            </w:pPr>
            <w:r w:rsidRPr="00B059B2">
              <w:t xml:space="preserve">Skúšky zhody výroby </w:t>
            </w:r>
          </w:p>
        </w:tc>
        <w:tc>
          <w:tcPr>
            <w:tcW w:w="1092"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jc w:val="center"/>
              <w:rPr>
                <w:noProof/>
              </w:rPr>
            </w:pPr>
            <w:r w:rsidRPr="00B059B2">
              <w:t>Skúšky zhody v prevádzke</w:t>
            </w:r>
          </w:p>
        </w:tc>
      </w:tr>
      <w:tr w:rsidR="00902EF1" w:rsidRPr="00B059B2" w:rsidTr="0023402C">
        <w:trPr>
          <w:trHeight w:val="885"/>
        </w:trPr>
        <w:tc>
          <w:tcPr>
            <w:tcW w:w="133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Plynné znečisťujúce látky, PM a PN a emisie CO</w:t>
            </w:r>
            <w:r w:rsidRPr="00B059B2">
              <w:rPr>
                <w:vertAlign w:val="subscript"/>
              </w:rPr>
              <w:t>2</w:t>
            </w:r>
            <w:r w:rsidRPr="00B059B2">
              <w:t>, spotreba paliva v nestálom cykle (WHTC za studena a za tepla)</w:t>
            </w:r>
          </w:p>
        </w:tc>
        <w:tc>
          <w:tcPr>
            <w:tcW w:w="1484"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vyžaduje sa v prípade základného motora emisného radu, v prípade všetkých členov radu sa vyžaduje vyhlásenie**</w:t>
            </w:r>
          </w:p>
        </w:tc>
        <w:tc>
          <w:tcPr>
            <w:tcW w:w="1093"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vyžaduje sa v prípade motora mimo radu</w:t>
            </w:r>
          </w:p>
        </w:tc>
        <w:tc>
          <w:tcPr>
            <w:tcW w:w="1092" w:type="pct"/>
            <w:vMerge w:val="restart"/>
            <w:tcBorders>
              <w:top w:val="single" w:sz="2" w:space="0" w:color="auto"/>
              <w:left w:val="single" w:sz="2" w:space="0" w:color="auto"/>
              <w:bottom w:val="single" w:sz="2" w:space="0" w:color="auto"/>
              <w:right w:val="single" w:sz="2" w:space="0" w:color="auto"/>
            </w:tcBorders>
            <w:vAlign w:val="center"/>
            <w:hideMark/>
          </w:tcPr>
          <w:p w:rsidR="00902EF1" w:rsidRPr="00B059B2" w:rsidRDefault="00902EF1" w:rsidP="0023402C">
            <w:pPr>
              <w:spacing w:line="276" w:lineRule="auto"/>
              <w:jc w:val="center"/>
              <w:rPr>
                <w:noProof/>
              </w:rPr>
            </w:pPr>
            <w:r w:rsidRPr="00B059B2">
              <w:t>vykonáva sa len v prípade dokončeného vozidla ako v tabuľkách 3 a 4</w:t>
            </w:r>
          </w:p>
        </w:tc>
      </w:tr>
      <w:tr w:rsidR="00902EF1" w:rsidRPr="00B059B2" w:rsidTr="0023402C">
        <w:trPr>
          <w:trHeight w:val="685"/>
        </w:trPr>
        <w:tc>
          <w:tcPr>
            <w:tcW w:w="1331" w:type="pct"/>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before="60" w:after="60"/>
              <w:rPr>
                <w:b/>
                <w:i/>
                <w:noProof/>
                <w:szCs w:val="24"/>
              </w:rPr>
            </w:pPr>
            <w:r w:rsidRPr="00B059B2">
              <w:rPr>
                <w:b/>
                <w:i/>
              </w:rPr>
              <w:t>Plynné znečisťujúce látky, PN pri cestnej skúške (RDE) pre každé palivo a uplatniteľné kategórie vozidiel (M2, M3, N2 a N3)</w:t>
            </w:r>
          </w:p>
        </w:tc>
        <w:tc>
          <w:tcPr>
            <w:tcW w:w="1484" w:type="pct"/>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before="60" w:after="60"/>
              <w:rPr>
                <w:b/>
                <w:i/>
                <w:noProof/>
                <w:szCs w:val="24"/>
              </w:rPr>
            </w:pPr>
            <w:r w:rsidRPr="00B059B2">
              <w:rPr>
                <w:b/>
                <w:i/>
              </w:rPr>
              <w:t xml:space="preserve">Vyžadujú sa preukazovacie skúšky pre všetky palivá, ktorým je udelené typové schválenie podľa typu vozidla, a vyhlásenie o súlade pre všetky palivá, všetky užitočné zaťaženia a všetky uplatniteľné </w:t>
            </w:r>
            <w:r w:rsidRPr="00B059B2">
              <w:rPr>
                <w:b/>
                <w:bCs/>
                <w:i/>
                <w:iCs/>
              </w:rPr>
              <w:t>kategórie</w:t>
            </w:r>
            <w:r w:rsidRPr="00B059B2">
              <w:rPr>
                <w:b/>
                <w:i/>
              </w:rPr>
              <w:t xml:space="preserve"> vozidiel</w:t>
            </w:r>
          </w:p>
        </w:tc>
        <w:tc>
          <w:tcPr>
            <w:tcW w:w="1093" w:type="pct"/>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before="60" w:after="60"/>
              <w:rPr>
                <w:b/>
                <w:i/>
                <w:noProof/>
                <w:szCs w:val="24"/>
              </w:rPr>
            </w:pPr>
            <w:r w:rsidRPr="00B059B2">
              <w:rPr>
                <w:b/>
                <w:i/>
              </w:rPr>
              <w:t>nevyžaduje sa</w:t>
            </w:r>
          </w:p>
        </w:tc>
        <w:tc>
          <w:tcPr>
            <w:tcW w:w="0" w:type="auto"/>
            <w:vMerge/>
            <w:tcBorders>
              <w:top w:val="single" w:sz="2" w:space="0" w:color="auto"/>
              <w:left w:val="single" w:sz="2" w:space="0" w:color="auto"/>
              <w:bottom w:val="single" w:sz="2" w:space="0" w:color="auto"/>
              <w:right w:val="single" w:sz="2" w:space="0" w:color="auto"/>
            </w:tcBorders>
            <w:vAlign w:val="center"/>
          </w:tcPr>
          <w:p w:rsidR="00902EF1" w:rsidRPr="00B059B2" w:rsidRDefault="00902EF1" w:rsidP="0023402C">
            <w:pPr>
              <w:spacing w:line="276" w:lineRule="auto"/>
              <w:rPr>
                <w:noProof/>
                <w:szCs w:val="22"/>
                <w:lang w:eastAsia="en-US"/>
              </w:rPr>
            </w:pPr>
          </w:p>
        </w:tc>
      </w:tr>
      <w:tr w:rsidR="00902EF1" w:rsidRPr="00B059B2" w:rsidTr="0023402C">
        <w:trPr>
          <w:trHeight w:val="685"/>
        </w:trPr>
        <w:tc>
          <w:tcPr>
            <w:tcW w:w="133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Skúšky motora na overenie údajov požadovaných na určenie emisií CO</w:t>
            </w:r>
            <w:r w:rsidRPr="00B059B2">
              <w:rPr>
                <w:vertAlign w:val="subscript"/>
              </w:rPr>
              <w:t>2</w:t>
            </w:r>
            <w:r w:rsidRPr="00B059B2">
              <w:t xml:space="preserve"> </w:t>
            </w:r>
          </w:p>
        </w:tc>
        <w:tc>
          <w:tcPr>
            <w:tcW w:w="1484" w:type="pct"/>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line="276" w:lineRule="auto"/>
              <w:rPr>
                <w:noProof/>
              </w:rPr>
            </w:pPr>
            <w:r w:rsidRPr="00B059B2">
              <w:t xml:space="preserve">povinné </w:t>
            </w:r>
          </w:p>
          <w:p w:rsidR="00902EF1" w:rsidRPr="00B059B2" w:rsidRDefault="00902EF1" w:rsidP="0023402C">
            <w:pPr>
              <w:spacing w:line="276" w:lineRule="auto"/>
              <w:rPr>
                <w:noProof/>
              </w:rPr>
            </w:pPr>
          </w:p>
        </w:tc>
        <w:tc>
          <w:tcPr>
            <w:tcW w:w="1093"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 xml:space="preserve">povinné </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02EF1" w:rsidRPr="00B059B2" w:rsidRDefault="00902EF1" w:rsidP="0023402C">
            <w:pPr>
              <w:spacing w:line="276" w:lineRule="auto"/>
              <w:rPr>
                <w:noProof/>
                <w:szCs w:val="22"/>
                <w:lang w:eastAsia="en-US"/>
              </w:rPr>
            </w:pPr>
          </w:p>
        </w:tc>
      </w:tr>
      <w:tr w:rsidR="00902EF1" w:rsidRPr="00B059B2" w:rsidTr="0023402C">
        <w:trPr>
          <w:trHeight w:val="504"/>
        </w:trPr>
        <w:tc>
          <w:tcPr>
            <w:tcW w:w="133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Kontinuálna/periodická regenerácia</w:t>
            </w:r>
          </w:p>
        </w:tc>
        <w:tc>
          <w:tcPr>
            <w:tcW w:w="1484"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Vyhlásenie</w:t>
            </w:r>
          </w:p>
        </w:tc>
        <w:tc>
          <w:tcPr>
            <w:tcW w:w="1093"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02EF1" w:rsidRPr="00B059B2" w:rsidRDefault="00902EF1" w:rsidP="0023402C">
            <w:pPr>
              <w:spacing w:line="276" w:lineRule="auto"/>
              <w:rPr>
                <w:noProof/>
                <w:szCs w:val="22"/>
                <w:lang w:eastAsia="en-US"/>
              </w:rPr>
            </w:pPr>
          </w:p>
        </w:tc>
      </w:tr>
      <w:tr w:rsidR="00902EF1" w:rsidRPr="00B059B2" w:rsidTr="0023402C">
        <w:trPr>
          <w:trHeight w:val="494"/>
        </w:trPr>
        <w:tc>
          <w:tcPr>
            <w:tcW w:w="133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Emisie z kľukovej skrine</w:t>
            </w:r>
          </w:p>
        </w:tc>
        <w:tc>
          <w:tcPr>
            <w:tcW w:w="1484"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kontrola inštalácie uzatvoreného systému kľukovej skrine alebo vedenia do výfukovej trubice</w:t>
            </w:r>
          </w:p>
        </w:tc>
        <w:tc>
          <w:tcPr>
            <w:tcW w:w="1093"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02EF1" w:rsidRPr="00B059B2" w:rsidRDefault="00902EF1" w:rsidP="0023402C">
            <w:pPr>
              <w:spacing w:line="276" w:lineRule="auto"/>
              <w:rPr>
                <w:noProof/>
                <w:szCs w:val="22"/>
                <w:lang w:eastAsia="en-US"/>
              </w:rPr>
            </w:pPr>
          </w:p>
        </w:tc>
      </w:tr>
      <w:tr w:rsidR="00902EF1" w:rsidRPr="00B059B2" w:rsidTr="0023402C">
        <w:trPr>
          <w:trHeight w:val="484"/>
        </w:trPr>
        <w:tc>
          <w:tcPr>
            <w:tcW w:w="133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Životnosť z hľadiska emisií</w:t>
            </w:r>
          </w:p>
        </w:tc>
        <w:tc>
          <w:tcPr>
            <w:tcW w:w="1484"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Vyhlásenie</w:t>
            </w:r>
          </w:p>
        </w:tc>
        <w:tc>
          <w:tcPr>
            <w:tcW w:w="1093"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02EF1" w:rsidRPr="00B059B2" w:rsidRDefault="00902EF1" w:rsidP="0023402C">
            <w:pPr>
              <w:spacing w:line="276" w:lineRule="auto"/>
              <w:rPr>
                <w:noProof/>
                <w:szCs w:val="22"/>
                <w:lang w:eastAsia="en-US"/>
              </w:rPr>
            </w:pPr>
          </w:p>
        </w:tc>
      </w:tr>
      <w:tr w:rsidR="00902EF1" w:rsidRPr="00B059B2" w:rsidTr="0023402C">
        <w:trPr>
          <w:trHeight w:val="294"/>
        </w:trPr>
        <w:tc>
          <w:tcPr>
            <w:tcW w:w="1331" w:type="pct"/>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before="60" w:after="60"/>
              <w:rPr>
                <w:b/>
                <w:bCs/>
                <w:i/>
                <w:noProof/>
                <w:szCs w:val="24"/>
              </w:rPr>
            </w:pPr>
            <w:r w:rsidRPr="00B059B2">
              <w:rPr>
                <w:b/>
                <w:i/>
              </w:rPr>
              <w:t>Určenie výkonu</w:t>
            </w:r>
          </w:p>
        </w:tc>
        <w:tc>
          <w:tcPr>
            <w:tcW w:w="1484" w:type="pct"/>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before="60" w:after="60"/>
              <w:rPr>
                <w:i/>
                <w:noProof/>
                <w:szCs w:val="24"/>
              </w:rPr>
            </w:pPr>
            <w:r w:rsidRPr="00B059B2">
              <w:rPr>
                <w:b/>
                <w:i/>
              </w:rPr>
              <w:t>povinné</w:t>
            </w:r>
          </w:p>
        </w:tc>
        <w:tc>
          <w:tcPr>
            <w:tcW w:w="1093" w:type="pct"/>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before="60" w:after="60"/>
              <w:rPr>
                <w:i/>
                <w:noProof/>
                <w:szCs w:val="24"/>
              </w:rPr>
            </w:pPr>
            <w:r w:rsidRPr="00B059B2">
              <w:rPr>
                <w:b/>
                <w:i/>
              </w:rPr>
              <w:t>nevyžaduje sa</w:t>
            </w:r>
          </w:p>
        </w:tc>
        <w:tc>
          <w:tcPr>
            <w:tcW w:w="0" w:type="auto"/>
            <w:vMerge/>
            <w:tcBorders>
              <w:top w:val="single" w:sz="2" w:space="0" w:color="auto"/>
              <w:left w:val="single" w:sz="2" w:space="0" w:color="auto"/>
              <w:bottom w:val="single" w:sz="2" w:space="0" w:color="auto"/>
              <w:right w:val="single" w:sz="2" w:space="0" w:color="auto"/>
            </w:tcBorders>
            <w:vAlign w:val="center"/>
          </w:tcPr>
          <w:p w:rsidR="00902EF1" w:rsidRPr="00B059B2" w:rsidRDefault="00902EF1" w:rsidP="0023402C">
            <w:pPr>
              <w:spacing w:line="276" w:lineRule="auto"/>
              <w:rPr>
                <w:noProof/>
                <w:szCs w:val="22"/>
                <w:lang w:eastAsia="en-US"/>
              </w:rPr>
            </w:pPr>
          </w:p>
        </w:tc>
      </w:tr>
      <w:tr w:rsidR="00902EF1" w:rsidRPr="00B059B2" w:rsidTr="0023402C">
        <w:trPr>
          <w:trHeight w:val="294"/>
        </w:trPr>
        <w:tc>
          <w:tcPr>
            <w:tcW w:w="133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Palubný diagnostický systém (úroveň radu OBD)</w:t>
            </w:r>
          </w:p>
        </w:tc>
        <w:tc>
          <w:tcPr>
            <w:tcW w:w="1484"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Vyhlásenie</w:t>
            </w:r>
          </w:p>
        </w:tc>
        <w:tc>
          <w:tcPr>
            <w:tcW w:w="1093"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nevyžaduje sa</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02EF1" w:rsidRPr="00B059B2" w:rsidRDefault="00902EF1" w:rsidP="0023402C">
            <w:pPr>
              <w:spacing w:line="276" w:lineRule="auto"/>
              <w:rPr>
                <w:noProof/>
                <w:szCs w:val="22"/>
                <w:lang w:eastAsia="en-US"/>
              </w:rPr>
            </w:pPr>
          </w:p>
        </w:tc>
      </w:tr>
      <w:tr w:rsidR="00902EF1" w:rsidRPr="00B059B2" w:rsidTr="0023402C">
        <w:trPr>
          <w:trHeight w:val="294"/>
        </w:trPr>
        <w:tc>
          <w:tcPr>
            <w:tcW w:w="1331" w:type="pct"/>
            <w:tcBorders>
              <w:top w:val="single" w:sz="2" w:space="0" w:color="auto"/>
              <w:left w:val="single" w:sz="2" w:space="0" w:color="auto"/>
              <w:bottom w:val="single" w:sz="2" w:space="0" w:color="auto"/>
              <w:right w:val="single" w:sz="2" w:space="0" w:color="auto"/>
            </w:tcBorders>
            <w:hideMark/>
          </w:tcPr>
          <w:p w:rsidR="00902EF1" w:rsidRPr="00B059B2" w:rsidRDefault="00902EF1" w:rsidP="0023402C">
            <w:pPr>
              <w:spacing w:line="276" w:lineRule="auto"/>
              <w:rPr>
                <w:noProof/>
              </w:rPr>
            </w:pPr>
            <w:r w:rsidRPr="00B059B2">
              <w:t>Palubný monitorovací systém (úroveň radu OBM)</w:t>
            </w:r>
          </w:p>
        </w:tc>
        <w:tc>
          <w:tcPr>
            <w:tcW w:w="1484" w:type="pct"/>
            <w:tcBorders>
              <w:top w:val="single" w:sz="2" w:space="0" w:color="auto"/>
              <w:left w:val="single" w:sz="2" w:space="0" w:color="auto"/>
              <w:bottom w:val="single" w:sz="2" w:space="0" w:color="auto"/>
              <w:right w:val="single" w:sz="2" w:space="0" w:color="auto"/>
            </w:tcBorders>
            <w:vAlign w:val="center"/>
            <w:hideMark/>
          </w:tcPr>
          <w:p w:rsidR="00902EF1" w:rsidRPr="00B059B2" w:rsidRDefault="00902EF1" w:rsidP="0023402C">
            <w:pPr>
              <w:spacing w:line="276" w:lineRule="auto"/>
              <w:rPr>
                <w:noProof/>
              </w:rPr>
            </w:pPr>
            <w:r w:rsidRPr="00B059B2">
              <w:t>vykonáva sa len v prípade dokončeného vozidla ako v tabuľkách 3 a 4</w:t>
            </w:r>
          </w:p>
        </w:tc>
        <w:tc>
          <w:tcPr>
            <w:tcW w:w="1093" w:type="pct"/>
            <w:tcBorders>
              <w:top w:val="single" w:sz="2" w:space="0" w:color="auto"/>
              <w:left w:val="single" w:sz="2" w:space="0" w:color="auto"/>
              <w:bottom w:val="single" w:sz="4" w:space="0" w:color="auto"/>
              <w:right w:val="single" w:sz="2" w:space="0" w:color="auto"/>
            </w:tcBorders>
            <w:hideMark/>
          </w:tcPr>
          <w:p w:rsidR="00902EF1" w:rsidRPr="00B059B2" w:rsidRDefault="00902EF1" w:rsidP="0023402C">
            <w:pPr>
              <w:spacing w:line="276" w:lineRule="auto"/>
              <w:rPr>
                <w:noProof/>
              </w:rPr>
            </w:pPr>
            <w:r w:rsidRPr="00B059B2">
              <w:t>nevyžaduje sa</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02EF1" w:rsidRPr="00B059B2" w:rsidRDefault="00902EF1" w:rsidP="0023402C">
            <w:pPr>
              <w:spacing w:line="276" w:lineRule="auto"/>
              <w:rPr>
                <w:noProof/>
                <w:szCs w:val="22"/>
                <w:lang w:eastAsia="en-US"/>
              </w:rPr>
            </w:pPr>
          </w:p>
        </w:tc>
      </w:tr>
      <w:tr w:rsidR="00902EF1" w:rsidRPr="00B059B2" w:rsidTr="0023402C">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902EF1" w:rsidRPr="00B059B2" w:rsidRDefault="00902EF1" w:rsidP="0023402C">
            <w:pPr>
              <w:spacing w:line="276" w:lineRule="auto"/>
              <w:rPr>
                <w:noProof/>
                <w:szCs w:val="22"/>
              </w:rPr>
            </w:pPr>
            <w:r w:rsidRPr="00B059B2">
              <w:rPr>
                <w:b/>
                <w:i/>
              </w:rPr>
              <w:t>**</w:t>
            </w:r>
            <w:r w:rsidRPr="00B059B2">
              <w:rPr>
                <w:b/>
                <w:i/>
              </w:rPr>
              <w:tab/>
              <w:t>Podporované údajmi o skúšaní motora pre všetky úrovne výkonu.</w:t>
            </w:r>
          </w:p>
        </w:tc>
      </w:tr>
    </w:tbl>
    <w:p w:rsidR="00902EF1" w:rsidRPr="00B059B2" w:rsidRDefault="00902EF1" w:rsidP="00BC38A0">
      <w:pPr>
        <w:pStyle w:val="AmOrLang"/>
      </w:pPr>
    </w:p>
    <w:sectPr w:rsidR="00902EF1" w:rsidRPr="00B059B2" w:rsidSect="00B059B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7555" w:rsidRPr="00B059B2" w:rsidRDefault="00E57555">
      <w:r w:rsidRPr="00B059B2">
        <w:separator/>
      </w:r>
    </w:p>
  </w:endnote>
  <w:endnote w:type="continuationSeparator" w:id="0">
    <w:p w:rsidR="00E57555" w:rsidRPr="00B059B2" w:rsidRDefault="00E57555">
      <w:r w:rsidRPr="00B059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59B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59B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59B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7555" w:rsidRPr="00B059B2" w:rsidRDefault="00E57555">
      <w:r w:rsidRPr="00B059B2">
        <w:separator/>
      </w:r>
    </w:p>
  </w:footnote>
  <w:footnote w:type="continuationSeparator" w:id="0">
    <w:p w:rsidR="00E57555" w:rsidRPr="00B059B2" w:rsidRDefault="00E57555">
      <w:r w:rsidRPr="00B059B2">
        <w:continuationSeparator/>
      </w:r>
    </w:p>
  </w:footnote>
  <w:footnote w:id="1">
    <w:p w:rsidR="00B93CF6" w:rsidRPr="00D92D6C" w:rsidRDefault="00B93CF6" w:rsidP="00D92D6C">
      <w:pPr>
        <w:pStyle w:val="FootnoteText"/>
        <w:ind w:left="567" w:hanging="567"/>
        <w:rPr>
          <w:sz w:val="24"/>
          <w:szCs w:val="24"/>
          <w:lang w:val="sk-SK"/>
        </w:rPr>
      </w:pPr>
      <w:r w:rsidRPr="00D92D6C">
        <w:rPr>
          <w:rStyle w:val="FootnoteReference"/>
          <w:sz w:val="24"/>
          <w:szCs w:val="24"/>
        </w:rPr>
        <w:footnoteRef/>
      </w:r>
      <w:r w:rsidRPr="00D92D6C">
        <w:rPr>
          <w:sz w:val="24"/>
          <w:szCs w:val="24"/>
        </w:rPr>
        <w:t xml:space="preserve"> </w:t>
      </w:r>
      <w:r w:rsidRPr="00D92D6C">
        <w:rPr>
          <w:sz w:val="24"/>
          <w:szCs w:val="24"/>
          <w:lang w:val="sk-SK"/>
        </w:rPr>
        <w:tab/>
        <w:t>Vec bola vrátená gestorskému výboru na medziinštitucionálne rokovania podľa článku 59 ods. 4 štvrtého pododseku (A9-0</w:t>
      </w:r>
      <w:r>
        <w:rPr>
          <w:sz w:val="24"/>
          <w:szCs w:val="24"/>
          <w:lang w:val="sk-SK"/>
        </w:rPr>
        <w:t>298</w:t>
      </w:r>
      <w:r w:rsidRPr="00D92D6C">
        <w:rPr>
          <w:sz w:val="24"/>
          <w:szCs w:val="24"/>
          <w:lang w:val="sk-SK"/>
        </w:rPr>
        <w:t>/202</w:t>
      </w:r>
      <w:r>
        <w:rPr>
          <w:sz w:val="24"/>
          <w:szCs w:val="24"/>
          <w:lang w:val="sk-SK"/>
        </w:rPr>
        <w:t>3</w:t>
      </w:r>
      <w:r w:rsidRPr="00D92D6C">
        <w:rPr>
          <w:sz w:val="24"/>
          <w:szCs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59B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59B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59B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0D32C33"/>
    <w:multiLevelType w:val="hybridMultilevel"/>
    <w:tmpl w:val="C694A34C"/>
    <w:lvl w:ilvl="0" w:tplc="D87815E2">
      <w:start w:val="1"/>
      <w:numFmt w:val="bullet"/>
      <w:lvlText w:val=""/>
      <w:lvlJc w:val="left"/>
      <w:pPr>
        <w:ind w:left="360" w:hanging="360"/>
      </w:pPr>
      <w:rPr>
        <w:rFonts w:ascii="Wingdings" w:hAnsi="Wingdings" w:hint="default"/>
      </w:rPr>
    </w:lvl>
    <w:lvl w:ilvl="1" w:tplc="BC06B522">
      <w:start w:val="1"/>
      <w:numFmt w:val="bullet"/>
      <w:lvlText w:val="o"/>
      <w:lvlJc w:val="left"/>
      <w:pPr>
        <w:ind w:left="1080" w:hanging="360"/>
      </w:pPr>
      <w:rPr>
        <w:rFonts w:ascii="Courier New" w:hAnsi="Courier New" w:cs="Courier New" w:hint="default"/>
      </w:rPr>
    </w:lvl>
    <w:lvl w:ilvl="2" w:tplc="63146530">
      <w:start w:val="1"/>
      <w:numFmt w:val="bullet"/>
      <w:lvlText w:val=""/>
      <w:lvlJc w:val="left"/>
      <w:pPr>
        <w:ind w:left="1800" w:hanging="360"/>
      </w:pPr>
      <w:rPr>
        <w:rFonts w:ascii="Wingdings" w:hAnsi="Wingdings" w:hint="default"/>
      </w:rPr>
    </w:lvl>
    <w:lvl w:ilvl="3" w:tplc="679C51F4">
      <w:start w:val="1"/>
      <w:numFmt w:val="bullet"/>
      <w:lvlText w:val=""/>
      <w:lvlJc w:val="left"/>
      <w:pPr>
        <w:ind w:left="2520" w:hanging="360"/>
      </w:pPr>
      <w:rPr>
        <w:rFonts w:ascii="Symbol" w:hAnsi="Symbol" w:hint="default"/>
      </w:rPr>
    </w:lvl>
    <w:lvl w:ilvl="4" w:tplc="5AE8F68C">
      <w:start w:val="1"/>
      <w:numFmt w:val="bullet"/>
      <w:lvlText w:val="o"/>
      <w:lvlJc w:val="left"/>
      <w:pPr>
        <w:ind w:left="3240" w:hanging="360"/>
      </w:pPr>
      <w:rPr>
        <w:rFonts w:ascii="Courier New" w:hAnsi="Courier New" w:cs="Courier New" w:hint="default"/>
      </w:rPr>
    </w:lvl>
    <w:lvl w:ilvl="5" w:tplc="178235F4">
      <w:start w:val="1"/>
      <w:numFmt w:val="bullet"/>
      <w:lvlText w:val=""/>
      <w:lvlJc w:val="left"/>
      <w:pPr>
        <w:ind w:left="3960" w:hanging="360"/>
      </w:pPr>
      <w:rPr>
        <w:rFonts w:ascii="Wingdings" w:hAnsi="Wingdings" w:hint="default"/>
      </w:rPr>
    </w:lvl>
    <w:lvl w:ilvl="6" w:tplc="3FCA97F0">
      <w:start w:val="1"/>
      <w:numFmt w:val="bullet"/>
      <w:lvlText w:val=""/>
      <w:lvlJc w:val="left"/>
      <w:pPr>
        <w:ind w:left="4680" w:hanging="360"/>
      </w:pPr>
      <w:rPr>
        <w:rFonts w:ascii="Symbol" w:hAnsi="Symbol" w:hint="default"/>
      </w:rPr>
    </w:lvl>
    <w:lvl w:ilvl="7" w:tplc="60E485FA">
      <w:start w:val="1"/>
      <w:numFmt w:val="bullet"/>
      <w:lvlText w:val="o"/>
      <w:lvlJc w:val="left"/>
      <w:pPr>
        <w:ind w:left="5400" w:hanging="360"/>
      </w:pPr>
      <w:rPr>
        <w:rFonts w:ascii="Courier New" w:hAnsi="Courier New" w:cs="Courier New" w:hint="default"/>
      </w:rPr>
    </w:lvl>
    <w:lvl w:ilvl="8" w:tplc="6AFCBA00">
      <w:start w:val="1"/>
      <w:numFmt w:val="bullet"/>
      <w:lvlText w:val=""/>
      <w:lvlJc w:val="left"/>
      <w:pPr>
        <w:ind w:left="6120" w:hanging="360"/>
      </w:pPr>
      <w:rPr>
        <w:rFonts w:ascii="Wingdings" w:hAnsi="Wingdings" w:hint="default"/>
      </w:rPr>
    </w:lvl>
  </w:abstractNum>
  <w:abstractNum w:abstractNumId="12" w15:restartNumberingAfterBreak="0">
    <w:nsid w:val="2BC71F35"/>
    <w:multiLevelType w:val="hybridMultilevel"/>
    <w:tmpl w:val="E9CCBF80"/>
    <w:lvl w:ilvl="0" w:tplc="EBA4873A">
      <w:start w:val="48"/>
      <w:numFmt w:val="bullet"/>
      <w:lvlText w:val="•"/>
      <w:lvlJc w:val="left"/>
      <w:pPr>
        <w:ind w:left="720" w:hanging="360"/>
      </w:pPr>
      <w:rPr>
        <w:rFonts w:ascii="Verdana" w:eastAsia="Verdana" w:hAnsi="Verdana" w:cs="Times New Roman" w:hint="default"/>
      </w:rPr>
    </w:lvl>
    <w:lvl w:ilvl="1" w:tplc="3558C26E">
      <w:start w:val="1"/>
      <w:numFmt w:val="bullet"/>
      <w:lvlText w:val="o"/>
      <w:lvlJc w:val="left"/>
      <w:pPr>
        <w:ind w:left="1440" w:hanging="360"/>
      </w:pPr>
      <w:rPr>
        <w:rFonts w:ascii="Courier New" w:hAnsi="Courier New" w:cs="Courier New" w:hint="default"/>
      </w:rPr>
    </w:lvl>
    <w:lvl w:ilvl="2" w:tplc="A9D83104">
      <w:start w:val="1"/>
      <w:numFmt w:val="bullet"/>
      <w:lvlText w:val=""/>
      <w:lvlJc w:val="left"/>
      <w:pPr>
        <w:ind w:left="2160" w:hanging="360"/>
      </w:pPr>
      <w:rPr>
        <w:rFonts w:ascii="Wingdings" w:hAnsi="Wingdings" w:hint="default"/>
      </w:rPr>
    </w:lvl>
    <w:lvl w:ilvl="3" w:tplc="B6B6D492">
      <w:start w:val="1"/>
      <w:numFmt w:val="bullet"/>
      <w:lvlText w:val=""/>
      <w:lvlJc w:val="left"/>
      <w:pPr>
        <w:ind w:left="2880" w:hanging="360"/>
      </w:pPr>
      <w:rPr>
        <w:rFonts w:ascii="Symbol" w:hAnsi="Symbol" w:hint="default"/>
      </w:rPr>
    </w:lvl>
    <w:lvl w:ilvl="4" w:tplc="618EDCCE">
      <w:start w:val="1"/>
      <w:numFmt w:val="bullet"/>
      <w:lvlText w:val="o"/>
      <w:lvlJc w:val="left"/>
      <w:pPr>
        <w:ind w:left="3600" w:hanging="360"/>
      </w:pPr>
      <w:rPr>
        <w:rFonts w:ascii="Courier New" w:hAnsi="Courier New" w:cs="Courier New" w:hint="default"/>
      </w:rPr>
    </w:lvl>
    <w:lvl w:ilvl="5" w:tplc="70226352">
      <w:start w:val="1"/>
      <w:numFmt w:val="bullet"/>
      <w:lvlText w:val=""/>
      <w:lvlJc w:val="left"/>
      <w:pPr>
        <w:ind w:left="4320" w:hanging="360"/>
      </w:pPr>
      <w:rPr>
        <w:rFonts w:ascii="Wingdings" w:hAnsi="Wingdings" w:hint="default"/>
      </w:rPr>
    </w:lvl>
    <w:lvl w:ilvl="6" w:tplc="C3D07690">
      <w:start w:val="1"/>
      <w:numFmt w:val="bullet"/>
      <w:lvlText w:val=""/>
      <w:lvlJc w:val="left"/>
      <w:pPr>
        <w:ind w:left="5040" w:hanging="360"/>
      </w:pPr>
      <w:rPr>
        <w:rFonts w:ascii="Symbol" w:hAnsi="Symbol" w:hint="default"/>
      </w:rPr>
    </w:lvl>
    <w:lvl w:ilvl="7" w:tplc="F0F0F09C">
      <w:start w:val="1"/>
      <w:numFmt w:val="bullet"/>
      <w:lvlText w:val="o"/>
      <w:lvlJc w:val="left"/>
      <w:pPr>
        <w:ind w:left="5760" w:hanging="360"/>
      </w:pPr>
      <w:rPr>
        <w:rFonts w:ascii="Courier New" w:hAnsi="Courier New" w:cs="Courier New" w:hint="default"/>
      </w:rPr>
    </w:lvl>
    <w:lvl w:ilvl="8" w:tplc="3A8EC2B0">
      <w:start w:val="1"/>
      <w:numFmt w:val="bullet"/>
      <w:lvlText w:val=""/>
      <w:lvlJc w:val="left"/>
      <w:pPr>
        <w:ind w:left="6480" w:hanging="360"/>
      </w:pPr>
      <w:rPr>
        <w:rFonts w:ascii="Wingdings" w:hAnsi="Wingdings" w:hint="default"/>
      </w:rPr>
    </w:lvl>
  </w:abstractNum>
  <w:abstractNum w:abstractNumId="13" w15:restartNumberingAfterBreak="0">
    <w:nsid w:val="2EB808D1"/>
    <w:multiLevelType w:val="hybridMultilevel"/>
    <w:tmpl w:val="9E3C14CA"/>
    <w:lvl w:ilvl="0" w:tplc="A894E8F8">
      <w:start w:val="1"/>
      <w:numFmt w:val="bullet"/>
      <w:lvlText w:val=""/>
      <w:lvlJc w:val="left"/>
      <w:pPr>
        <w:ind w:left="360" w:hanging="360"/>
      </w:pPr>
      <w:rPr>
        <w:rFonts w:ascii="Wingdings" w:hAnsi="Wingdings" w:hint="default"/>
      </w:rPr>
    </w:lvl>
    <w:lvl w:ilvl="1" w:tplc="338AC0C8">
      <w:numFmt w:val="bullet"/>
      <w:lvlText w:val="-"/>
      <w:lvlJc w:val="left"/>
      <w:pPr>
        <w:ind w:left="1080" w:hanging="360"/>
      </w:pPr>
      <w:rPr>
        <w:rFonts w:ascii="Calibri" w:eastAsiaTheme="minorHAnsi" w:hAnsi="Calibri" w:cs="Calibri" w:hint="default"/>
      </w:rPr>
    </w:lvl>
    <w:lvl w:ilvl="2" w:tplc="5EE035BE">
      <w:start w:val="1"/>
      <w:numFmt w:val="bullet"/>
      <w:lvlText w:val=""/>
      <w:lvlJc w:val="left"/>
      <w:pPr>
        <w:ind w:left="1800" w:hanging="360"/>
      </w:pPr>
      <w:rPr>
        <w:rFonts w:ascii="Wingdings" w:hAnsi="Wingdings" w:hint="default"/>
      </w:rPr>
    </w:lvl>
    <w:lvl w:ilvl="3" w:tplc="0B3C6FFC">
      <w:start w:val="1"/>
      <w:numFmt w:val="bullet"/>
      <w:lvlText w:val=""/>
      <w:lvlJc w:val="left"/>
      <w:pPr>
        <w:ind w:left="2520" w:hanging="360"/>
      </w:pPr>
      <w:rPr>
        <w:rFonts w:ascii="Symbol" w:hAnsi="Symbol" w:hint="default"/>
      </w:rPr>
    </w:lvl>
    <w:lvl w:ilvl="4" w:tplc="9272C774">
      <w:start w:val="1"/>
      <w:numFmt w:val="bullet"/>
      <w:lvlText w:val="o"/>
      <w:lvlJc w:val="left"/>
      <w:pPr>
        <w:ind w:left="3240" w:hanging="360"/>
      </w:pPr>
      <w:rPr>
        <w:rFonts w:ascii="Courier New" w:hAnsi="Courier New" w:cs="Courier New" w:hint="default"/>
      </w:rPr>
    </w:lvl>
    <w:lvl w:ilvl="5" w:tplc="607CDB74">
      <w:start w:val="1"/>
      <w:numFmt w:val="bullet"/>
      <w:lvlText w:val=""/>
      <w:lvlJc w:val="left"/>
      <w:pPr>
        <w:ind w:left="3960" w:hanging="360"/>
      </w:pPr>
      <w:rPr>
        <w:rFonts w:ascii="Wingdings" w:hAnsi="Wingdings" w:hint="default"/>
      </w:rPr>
    </w:lvl>
    <w:lvl w:ilvl="6" w:tplc="9808DA46">
      <w:start w:val="1"/>
      <w:numFmt w:val="bullet"/>
      <w:lvlText w:val=""/>
      <w:lvlJc w:val="left"/>
      <w:pPr>
        <w:ind w:left="4680" w:hanging="360"/>
      </w:pPr>
      <w:rPr>
        <w:rFonts w:ascii="Symbol" w:hAnsi="Symbol" w:hint="default"/>
      </w:rPr>
    </w:lvl>
    <w:lvl w:ilvl="7" w:tplc="45DED0CA">
      <w:start w:val="1"/>
      <w:numFmt w:val="bullet"/>
      <w:lvlText w:val="o"/>
      <w:lvlJc w:val="left"/>
      <w:pPr>
        <w:ind w:left="5400" w:hanging="360"/>
      </w:pPr>
      <w:rPr>
        <w:rFonts w:ascii="Courier New" w:hAnsi="Courier New" w:cs="Courier New" w:hint="default"/>
      </w:rPr>
    </w:lvl>
    <w:lvl w:ilvl="8" w:tplc="79BA5854">
      <w:start w:val="1"/>
      <w:numFmt w:val="bullet"/>
      <w:lvlText w:val=""/>
      <w:lvlJc w:val="left"/>
      <w:pPr>
        <w:ind w:left="6120" w:hanging="360"/>
      </w:pPr>
      <w:rPr>
        <w:rFonts w:ascii="Wingdings" w:hAnsi="Wingdings" w:hint="default"/>
      </w:r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4"/>
  </w:num>
  <w:num w:numId="45">
    <w:abstractNumId w:val="11"/>
  </w:num>
  <w:num w:numId="46">
    <w:abstractNumId w:val="13"/>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98/2023"/>
    <w:docVar w:name="dvlangue" w:val="SK"/>
    <w:docVar w:name="dvnumam" w:val="528"/>
    <w:docVar w:name="dvpe" w:val="746.876"/>
    <w:docVar w:name="dvrapporteur" w:val="Spravodajca: "/>
    <w:docVar w:name="dvstar" w:val="***I"/>
    <w:docVar w:name="dvtitre" w:val="Legislatívne uznesenie Európskeho parlamentu z xx. novembra 2023 o návrhu nariadenia Európskeho parlamentu a Rady o typovom schvaľovaní motorových vozidiel a motorov, ako aj systémov, komponentov a samostatných technických jednotiek určených pre takéto vozidlá, pokiaľ ide o ich emisie a životnosť batérií (Euro 7), ktorým sa zrušuje nariadenie (ES) č. 715/2007 a nariadenie (ES) č. 595/2009(COM(2022)0586 – C9-0375/2022 – 2022/0365(COD))"/>
  </w:docVars>
  <w:rsids>
    <w:rsidRoot w:val="00E57555"/>
    <w:rsid w:val="00002272"/>
    <w:rsid w:val="00064002"/>
    <w:rsid w:val="000677B9"/>
    <w:rsid w:val="000831BA"/>
    <w:rsid w:val="000A42CC"/>
    <w:rsid w:val="000E7DD9"/>
    <w:rsid w:val="0010095E"/>
    <w:rsid w:val="00125B37"/>
    <w:rsid w:val="00187494"/>
    <w:rsid w:val="001F32AE"/>
    <w:rsid w:val="002767FF"/>
    <w:rsid w:val="002B18FE"/>
    <w:rsid w:val="002B4C94"/>
    <w:rsid w:val="002B5493"/>
    <w:rsid w:val="00343214"/>
    <w:rsid w:val="00346DFB"/>
    <w:rsid w:val="00361C00"/>
    <w:rsid w:val="00395FA1"/>
    <w:rsid w:val="003E15D4"/>
    <w:rsid w:val="00411CCE"/>
    <w:rsid w:val="0041666E"/>
    <w:rsid w:val="00421060"/>
    <w:rsid w:val="00471C19"/>
    <w:rsid w:val="00481921"/>
    <w:rsid w:val="004867E3"/>
    <w:rsid w:val="00494A28"/>
    <w:rsid w:val="004C0004"/>
    <w:rsid w:val="004C5D52"/>
    <w:rsid w:val="0050519A"/>
    <w:rsid w:val="005072A1"/>
    <w:rsid w:val="00514517"/>
    <w:rsid w:val="00545827"/>
    <w:rsid w:val="00560270"/>
    <w:rsid w:val="005C2568"/>
    <w:rsid w:val="006037C0"/>
    <w:rsid w:val="006631B6"/>
    <w:rsid w:val="00680577"/>
    <w:rsid w:val="006845D5"/>
    <w:rsid w:val="006F74FA"/>
    <w:rsid w:val="00731ADD"/>
    <w:rsid w:val="00734777"/>
    <w:rsid w:val="00747932"/>
    <w:rsid w:val="00751A4A"/>
    <w:rsid w:val="00756632"/>
    <w:rsid w:val="00762C74"/>
    <w:rsid w:val="00786EC0"/>
    <w:rsid w:val="007C2641"/>
    <w:rsid w:val="007D1690"/>
    <w:rsid w:val="007E22AD"/>
    <w:rsid w:val="00817416"/>
    <w:rsid w:val="00842779"/>
    <w:rsid w:val="00865F67"/>
    <w:rsid w:val="00881A7B"/>
    <w:rsid w:val="008840E5"/>
    <w:rsid w:val="00887B3E"/>
    <w:rsid w:val="008C29D6"/>
    <w:rsid w:val="008C2AC6"/>
    <w:rsid w:val="00902EF1"/>
    <w:rsid w:val="00925100"/>
    <w:rsid w:val="00930C23"/>
    <w:rsid w:val="0093193B"/>
    <w:rsid w:val="009509D8"/>
    <w:rsid w:val="00950B64"/>
    <w:rsid w:val="00981893"/>
    <w:rsid w:val="00A1687D"/>
    <w:rsid w:val="00A43E52"/>
    <w:rsid w:val="00A4678D"/>
    <w:rsid w:val="00A778C7"/>
    <w:rsid w:val="00AB441E"/>
    <w:rsid w:val="00AB6293"/>
    <w:rsid w:val="00AE0928"/>
    <w:rsid w:val="00AF3B82"/>
    <w:rsid w:val="00B059B2"/>
    <w:rsid w:val="00B12E95"/>
    <w:rsid w:val="00B22876"/>
    <w:rsid w:val="00B558F0"/>
    <w:rsid w:val="00B93CF6"/>
    <w:rsid w:val="00BC38A0"/>
    <w:rsid w:val="00BD48FE"/>
    <w:rsid w:val="00BD7BD8"/>
    <w:rsid w:val="00BE6ADC"/>
    <w:rsid w:val="00C050B0"/>
    <w:rsid w:val="00C05BFE"/>
    <w:rsid w:val="00C23CD4"/>
    <w:rsid w:val="00C61C0C"/>
    <w:rsid w:val="00C87319"/>
    <w:rsid w:val="00C941CB"/>
    <w:rsid w:val="00CC2357"/>
    <w:rsid w:val="00CF071A"/>
    <w:rsid w:val="00D058B8"/>
    <w:rsid w:val="00D56C11"/>
    <w:rsid w:val="00D834A0"/>
    <w:rsid w:val="00D872DF"/>
    <w:rsid w:val="00D91E21"/>
    <w:rsid w:val="00D92D6C"/>
    <w:rsid w:val="00DA7FCD"/>
    <w:rsid w:val="00E365E1"/>
    <w:rsid w:val="00E57555"/>
    <w:rsid w:val="00E820A4"/>
    <w:rsid w:val="00E86E13"/>
    <w:rsid w:val="00EB006A"/>
    <w:rsid w:val="00EB4772"/>
    <w:rsid w:val="00ED169E"/>
    <w:rsid w:val="00ED4235"/>
    <w:rsid w:val="00F010A2"/>
    <w:rsid w:val="00F04346"/>
    <w:rsid w:val="00F075DC"/>
    <w:rsid w:val="00F149E9"/>
    <w:rsid w:val="00F23B68"/>
    <w:rsid w:val="00F5134D"/>
    <w:rsid w:val="00F71E45"/>
    <w:rsid w:val="00F74202"/>
    <w:rsid w:val="00F87713"/>
    <w:rsid w:val="00FB4360"/>
    <w:rsid w:val="00FD0C70"/>
    <w:rsid w:val="00FD736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77927B"/>
  <w15:chartTrackingRefBased/>
  <w15:docId w15:val="{D14C455B-2A56-4758-9755-B5E632338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aliases w:val="CV1,Deloitte,Document Table,Gena,HTG,Tabellengitternetz"/>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02EF1"/>
    <w:rPr>
      <w:b/>
      <w:kern w:val="28"/>
      <w:sz w:val="28"/>
      <w:lang w:val="fr-FR" w:eastAsia="fr-FR"/>
    </w:rPr>
  </w:style>
  <w:style w:type="character" w:customStyle="1" w:styleId="Heading2Char">
    <w:name w:val="Heading 2 Char"/>
    <w:basedOn w:val="DefaultParagraphFont"/>
    <w:link w:val="Heading2"/>
    <w:semiHidden/>
    <w:rsid w:val="00902EF1"/>
    <w:rPr>
      <w:sz w:val="24"/>
      <w:lang w:val="fr-FR" w:eastAsia="fr-FR"/>
    </w:rPr>
  </w:style>
  <w:style w:type="character" w:customStyle="1" w:styleId="Heading3Char">
    <w:name w:val="Heading 3 Char"/>
    <w:basedOn w:val="DefaultParagraphFont"/>
    <w:link w:val="Heading3"/>
    <w:semiHidden/>
    <w:rsid w:val="00902EF1"/>
    <w:rPr>
      <w:rFonts w:ascii="Arial" w:hAnsi="Arial"/>
      <w:sz w:val="24"/>
      <w:lang w:val="fr-FR" w:eastAsia="fr-FR"/>
    </w:rPr>
  </w:style>
  <w:style w:type="character" w:customStyle="1" w:styleId="Heading4Char">
    <w:name w:val="Heading 4 Char"/>
    <w:basedOn w:val="DefaultParagraphFont"/>
    <w:link w:val="Heading4"/>
    <w:semiHidden/>
    <w:rsid w:val="00902EF1"/>
    <w:rPr>
      <w:sz w:val="24"/>
      <w:lang w:val="en-US" w:eastAsia="fr-FR"/>
    </w:rPr>
  </w:style>
  <w:style w:type="character" w:customStyle="1" w:styleId="Heading5Char">
    <w:name w:val="Heading 5 Char"/>
    <w:basedOn w:val="DefaultParagraphFont"/>
    <w:link w:val="Heading5"/>
    <w:semiHidden/>
    <w:rsid w:val="00902EF1"/>
    <w:rPr>
      <w:sz w:val="24"/>
      <w:lang w:val="en-US" w:eastAsia="fr-FR"/>
    </w:rPr>
  </w:style>
  <w:style w:type="character" w:customStyle="1" w:styleId="Heading6Char">
    <w:name w:val="Heading 6 Char"/>
    <w:basedOn w:val="DefaultParagraphFont"/>
    <w:link w:val="Heading6"/>
    <w:semiHidden/>
    <w:rsid w:val="00902EF1"/>
    <w:rPr>
      <w:i/>
      <w:sz w:val="22"/>
      <w:lang w:val="sk-SK"/>
    </w:rPr>
  </w:style>
  <w:style w:type="character" w:customStyle="1" w:styleId="Heading7Char">
    <w:name w:val="Heading 7 Char"/>
    <w:basedOn w:val="DefaultParagraphFont"/>
    <w:link w:val="Heading7"/>
    <w:semiHidden/>
    <w:rsid w:val="00902EF1"/>
    <w:rPr>
      <w:rFonts w:ascii="Arial" w:hAnsi="Arial"/>
      <w:sz w:val="24"/>
      <w:lang w:val="sk-SK"/>
    </w:rPr>
  </w:style>
  <w:style w:type="character" w:customStyle="1" w:styleId="Heading8Char">
    <w:name w:val="Heading 8 Char"/>
    <w:basedOn w:val="DefaultParagraphFont"/>
    <w:link w:val="Heading8"/>
    <w:semiHidden/>
    <w:rsid w:val="00902EF1"/>
    <w:rPr>
      <w:rFonts w:ascii="Arial" w:hAnsi="Arial"/>
      <w:i/>
      <w:sz w:val="24"/>
      <w:lang w:val="sk-SK"/>
    </w:rPr>
  </w:style>
  <w:style w:type="character" w:customStyle="1" w:styleId="Heading9Char">
    <w:name w:val="Heading 9 Char"/>
    <w:basedOn w:val="DefaultParagraphFont"/>
    <w:link w:val="Heading9"/>
    <w:semiHidden/>
    <w:rsid w:val="00902EF1"/>
    <w:rPr>
      <w:rFonts w:ascii="Arial" w:hAnsi="Arial"/>
      <w:b/>
      <w:i/>
      <w:sz w:val="18"/>
      <w:lang w:val="sk-SK"/>
    </w:rPr>
  </w:style>
  <w:style w:type="paragraph" w:styleId="TOCHeading">
    <w:name w:val="TOC Heading"/>
    <w:basedOn w:val="Normal"/>
    <w:next w:val="Normal"/>
    <w:unhideWhenUsed/>
    <w:qFormat/>
    <w:rsid w:val="00902EF1"/>
    <w:pPr>
      <w:widowControl/>
      <w:spacing w:after="240"/>
    </w:pPr>
    <w:rPr>
      <w:lang w:val="en-GB"/>
    </w:rPr>
  </w:style>
  <w:style w:type="paragraph" w:customStyle="1" w:styleId="EPFooter2">
    <w:name w:val="EPFooter2"/>
    <w:basedOn w:val="Normal"/>
    <w:next w:val="Normal"/>
    <w:rsid w:val="00902EF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02EF1"/>
    <w:pPr>
      <w:keepNext/>
      <w:spacing w:after="240"/>
      <w:jc w:val="right"/>
    </w:pPr>
    <w:rPr>
      <w:rFonts w:ascii="Arial" w:hAnsi="Arial"/>
      <w:b/>
    </w:rPr>
  </w:style>
  <w:style w:type="paragraph" w:customStyle="1" w:styleId="Normal6a">
    <w:name w:val="Normal6a"/>
    <w:basedOn w:val="Normal"/>
    <w:rsid w:val="00902EF1"/>
    <w:pPr>
      <w:spacing w:after="120"/>
    </w:pPr>
  </w:style>
  <w:style w:type="paragraph" w:customStyle="1" w:styleId="PageHeading">
    <w:name w:val="PageHeading"/>
    <w:basedOn w:val="Normal"/>
    <w:rsid w:val="00902EF1"/>
    <w:pPr>
      <w:keepNext/>
      <w:spacing w:after="480"/>
      <w:jc w:val="center"/>
    </w:pPr>
    <w:rPr>
      <w:rFonts w:ascii="Arial" w:hAnsi="Arial" w:cs="Arial"/>
      <w:b/>
    </w:rPr>
  </w:style>
  <w:style w:type="paragraph" w:customStyle="1" w:styleId="NormalBold">
    <w:name w:val="NormalBold"/>
    <w:basedOn w:val="Normal"/>
    <w:link w:val="NormalBoldChar"/>
    <w:rsid w:val="00902EF1"/>
    <w:rPr>
      <w:b/>
    </w:rPr>
  </w:style>
  <w:style w:type="paragraph" w:customStyle="1" w:styleId="NormalBold12a">
    <w:name w:val="NormalBold12a"/>
    <w:basedOn w:val="Normal"/>
    <w:rsid w:val="00902EF1"/>
    <w:pPr>
      <w:spacing w:after="240"/>
    </w:pPr>
    <w:rPr>
      <w:b/>
    </w:rPr>
  </w:style>
  <w:style w:type="paragraph" w:customStyle="1" w:styleId="AmJustText">
    <w:name w:val="AmJustText"/>
    <w:basedOn w:val="Normal"/>
    <w:rsid w:val="00902EF1"/>
    <w:pPr>
      <w:spacing w:after="240"/>
    </w:pPr>
    <w:rPr>
      <w:i/>
    </w:rPr>
  </w:style>
  <w:style w:type="paragraph" w:customStyle="1" w:styleId="NormalHanging12a">
    <w:name w:val="NormalHanging12a"/>
    <w:basedOn w:val="Normal"/>
    <w:rsid w:val="00902EF1"/>
    <w:pPr>
      <w:spacing w:after="240"/>
      <w:ind w:left="567" w:hanging="567"/>
    </w:pPr>
  </w:style>
  <w:style w:type="paragraph" w:customStyle="1" w:styleId="CoverNormal24a">
    <w:name w:val="CoverNormal24a"/>
    <w:basedOn w:val="Normal"/>
    <w:rsid w:val="00902EF1"/>
    <w:pPr>
      <w:spacing w:after="480"/>
      <w:ind w:left="1417"/>
    </w:pPr>
  </w:style>
  <w:style w:type="paragraph" w:customStyle="1" w:styleId="CoverNormal">
    <w:name w:val="CoverNormal"/>
    <w:basedOn w:val="Normal"/>
    <w:rsid w:val="00902EF1"/>
    <w:pPr>
      <w:ind w:left="1418"/>
    </w:pPr>
  </w:style>
  <w:style w:type="paragraph" w:customStyle="1" w:styleId="AmCrossRef">
    <w:name w:val="AmCrossRef"/>
    <w:basedOn w:val="Normal"/>
    <w:rsid w:val="00902EF1"/>
    <w:pPr>
      <w:spacing w:before="240" w:after="240"/>
      <w:jc w:val="center"/>
    </w:pPr>
    <w:rPr>
      <w:i/>
    </w:rPr>
  </w:style>
  <w:style w:type="paragraph" w:customStyle="1" w:styleId="AmJustTitle">
    <w:name w:val="AmJustTitle"/>
    <w:basedOn w:val="Normal"/>
    <w:next w:val="AmJustText"/>
    <w:rsid w:val="00902EF1"/>
    <w:pPr>
      <w:keepNext/>
      <w:spacing w:before="240" w:after="240"/>
      <w:jc w:val="center"/>
    </w:pPr>
    <w:rPr>
      <w:i/>
    </w:rPr>
  </w:style>
  <w:style w:type="paragraph" w:customStyle="1" w:styleId="CoverReference">
    <w:name w:val="CoverReference"/>
    <w:basedOn w:val="Normal"/>
    <w:rsid w:val="00902EF1"/>
    <w:pPr>
      <w:spacing w:before="1080"/>
      <w:jc w:val="right"/>
    </w:pPr>
    <w:rPr>
      <w:rFonts w:ascii="Arial" w:hAnsi="Arial" w:cs="Arial"/>
      <w:b/>
    </w:rPr>
  </w:style>
  <w:style w:type="paragraph" w:customStyle="1" w:styleId="CoverDocType">
    <w:name w:val="CoverDocType"/>
    <w:basedOn w:val="Normal"/>
    <w:rsid w:val="00902EF1"/>
    <w:pPr>
      <w:ind w:left="1418"/>
    </w:pPr>
    <w:rPr>
      <w:rFonts w:ascii="Arial" w:hAnsi="Arial"/>
      <w:b/>
      <w:sz w:val="48"/>
    </w:rPr>
  </w:style>
  <w:style w:type="paragraph" w:customStyle="1" w:styleId="CoverDocType24a">
    <w:name w:val="CoverDocType24a"/>
    <w:basedOn w:val="Normal"/>
    <w:rsid w:val="00902EF1"/>
    <w:pPr>
      <w:spacing w:after="480"/>
      <w:ind w:left="1418"/>
    </w:pPr>
    <w:rPr>
      <w:rFonts w:ascii="Arial" w:hAnsi="Arial"/>
      <w:b/>
      <w:sz w:val="48"/>
    </w:rPr>
  </w:style>
  <w:style w:type="paragraph" w:customStyle="1" w:styleId="CoverDate">
    <w:name w:val="CoverDate"/>
    <w:basedOn w:val="Normal"/>
    <w:rsid w:val="00902EF1"/>
    <w:pPr>
      <w:spacing w:before="240" w:after="1200"/>
    </w:pPr>
  </w:style>
  <w:style w:type="paragraph" w:styleId="Header">
    <w:name w:val="header"/>
    <w:basedOn w:val="Normal"/>
    <w:link w:val="HeaderChar"/>
    <w:rsid w:val="00902EF1"/>
    <w:pPr>
      <w:tabs>
        <w:tab w:val="center" w:pos="4513"/>
        <w:tab w:val="right" w:pos="9026"/>
      </w:tabs>
    </w:pPr>
  </w:style>
  <w:style w:type="character" w:customStyle="1" w:styleId="HeaderChar">
    <w:name w:val="Header Char"/>
    <w:basedOn w:val="DefaultParagraphFont"/>
    <w:link w:val="Header"/>
    <w:rsid w:val="00902EF1"/>
    <w:rPr>
      <w:sz w:val="24"/>
      <w:lang w:val="sk-SK"/>
    </w:rPr>
  </w:style>
  <w:style w:type="paragraph" w:customStyle="1" w:styleId="AmOrLang">
    <w:name w:val="AmOrLang"/>
    <w:basedOn w:val="Normal"/>
    <w:rsid w:val="00902EF1"/>
    <w:pPr>
      <w:spacing w:before="240" w:after="240"/>
      <w:jc w:val="right"/>
    </w:pPr>
  </w:style>
  <w:style w:type="paragraph" w:customStyle="1" w:styleId="AmColumnHeading">
    <w:name w:val="AmColumnHeading"/>
    <w:basedOn w:val="Normal"/>
    <w:rsid w:val="00902EF1"/>
    <w:pPr>
      <w:spacing w:after="240"/>
      <w:jc w:val="center"/>
    </w:pPr>
    <w:rPr>
      <w:i/>
    </w:rPr>
  </w:style>
  <w:style w:type="paragraph" w:customStyle="1" w:styleId="AmNumberTabs">
    <w:name w:val="AmNumberTabs"/>
    <w:basedOn w:val="Normal"/>
    <w:link w:val="AmNumberTabsChar"/>
    <w:rsid w:val="00902EF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02EF1"/>
    <w:pPr>
      <w:spacing w:before="240"/>
    </w:pPr>
    <w:rPr>
      <w:b/>
    </w:rPr>
  </w:style>
  <w:style w:type="paragraph" w:customStyle="1" w:styleId="EPBody">
    <w:name w:val="EPBody"/>
    <w:basedOn w:val="Normal"/>
    <w:rsid w:val="00902EF1"/>
    <w:pPr>
      <w:jc w:val="center"/>
    </w:pPr>
    <w:rPr>
      <w:rFonts w:ascii="Arial" w:hAnsi="Arial" w:cs="Arial"/>
      <w:i/>
      <w:sz w:val="22"/>
      <w:szCs w:val="22"/>
    </w:rPr>
  </w:style>
  <w:style w:type="paragraph" w:customStyle="1" w:styleId="EPFooter">
    <w:name w:val="EPFooter"/>
    <w:basedOn w:val="Normal"/>
    <w:rsid w:val="00902EF1"/>
    <w:pPr>
      <w:tabs>
        <w:tab w:val="center" w:pos="4535"/>
        <w:tab w:val="right" w:pos="9071"/>
      </w:tabs>
      <w:spacing w:before="240" w:after="240"/>
    </w:pPr>
    <w:rPr>
      <w:color w:val="010000"/>
      <w:sz w:val="22"/>
    </w:rPr>
  </w:style>
  <w:style w:type="paragraph" w:customStyle="1" w:styleId="EPComma">
    <w:name w:val="EPComma"/>
    <w:basedOn w:val="Normal"/>
    <w:rsid w:val="00902EF1"/>
    <w:pPr>
      <w:spacing w:before="480" w:after="240"/>
    </w:pPr>
  </w:style>
  <w:style w:type="paragraph" w:customStyle="1" w:styleId="Lgendesigne">
    <w:name w:val="Légende signe"/>
    <w:basedOn w:val="Normal"/>
    <w:rsid w:val="00902EF1"/>
    <w:pPr>
      <w:tabs>
        <w:tab w:val="right" w:pos="454"/>
        <w:tab w:val="left" w:pos="737"/>
      </w:tabs>
      <w:ind w:left="737" w:hanging="737"/>
    </w:pPr>
    <w:rPr>
      <w:snapToGrid w:val="0"/>
      <w:sz w:val="18"/>
      <w:lang w:eastAsia="en-US"/>
    </w:rPr>
  </w:style>
  <w:style w:type="paragraph" w:customStyle="1" w:styleId="Lgendetitre">
    <w:name w:val="Légende titre"/>
    <w:basedOn w:val="Normal"/>
    <w:rsid w:val="00902EF1"/>
    <w:pPr>
      <w:spacing w:before="240" w:after="240"/>
    </w:pPr>
    <w:rPr>
      <w:b/>
      <w:i/>
      <w:snapToGrid w:val="0"/>
      <w:lang w:eastAsia="en-US"/>
    </w:rPr>
  </w:style>
  <w:style w:type="paragraph" w:customStyle="1" w:styleId="Lgendestandard">
    <w:name w:val="Légende standard"/>
    <w:basedOn w:val="Normal"/>
    <w:rsid w:val="00902EF1"/>
    <w:rPr>
      <w:sz w:val="18"/>
    </w:rPr>
  </w:style>
  <w:style w:type="paragraph" w:customStyle="1" w:styleId="msonormal0">
    <w:name w:val="msonormal"/>
    <w:basedOn w:val="Normal"/>
    <w:rsid w:val="00902EF1"/>
    <w:pPr>
      <w:widowControl/>
      <w:spacing w:before="100" w:beforeAutospacing="1" w:after="100" w:afterAutospacing="1"/>
    </w:pPr>
    <w:rPr>
      <w:szCs w:val="24"/>
    </w:rPr>
  </w:style>
  <w:style w:type="paragraph" w:styleId="Footer">
    <w:name w:val="footer"/>
    <w:basedOn w:val="Normal"/>
    <w:link w:val="FooterChar"/>
    <w:rsid w:val="00902EF1"/>
    <w:pPr>
      <w:tabs>
        <w:tab w:val="center" w:pos="4513"/>
        <w:tab w:val="right" w:pos="9026"/>
      </w:tabs>
    </w:pPr>
  </w:style>
  <w:style w:type="character" w:customStyle="1" w:styleId="FooterChar">
    <w:name w:val="Footer Char"/>
    <w:basedOn w:val="DefaultParagraphFont"/>
    <w:link w:val="Footer"/>
    <w:rsid w:val="00902EF1"/>
    <w:rPr>
      <w:sz w:val="24"/>
      <w:lang w:val="sk-SK"/>
    </w:rPr>
  </w:style>
  <w:style w:type="character" w:customStyle="1" w:styleId="Normal12Char">
    <w:name w:val="Normal12 Char"/>
    <w:basedOn w:val="DefaultParagraphFont"/>
    <w:link w:val="Normal12"/>
    <w:locked/>
    <w:rsid w:val="00902EF1"/>
    <w:rPr>
      <w:noProof/>
      <w:sz w:val="24"/>
    </w:rPr>
  </w:style>
  <w:style w:type="paragraph" w:customStyle="1" w:styleId="Normal12">
    <w:name w:val="Normal12"/>
    <w:basedOn w:val="Normal"/>
    <w:link w:val="Normal12Char"/>
    <w:rsid w:val="00902EF1"/>
    <w:pPr>
      <w:spacing w:after="240"/>
    </w:pPr>
    <w:rPr>
      <w:noProof/>
      <w:lang w:val="en-GB"/>
    </w:rPr>
  </w:style>
  <w:style w:type="paragraph" w:customStyle="1" w:styleId="CommitteeAM">
    <w:name w:val="CommitteeAM"/>
    <w:basedOn w:val="Normal"/>
    <w:rsid w:val="00902EF1"/>
    <w:pPr>
      <w:spacing w:before="240" w:after="600"/>
      <w:jc w:val="center"/>
    </w:pPr>
    <w:rPr>
      <w:i/>
    </w:rPr>
  </w:style>
  <w:style w:type="paragraph" w:customStyle="1" w:styleId="ZDateAM">
    <w:name w:val="ZDateAM"/>
    <w:basedOn w:val="Normal"/>
    <w:rsid w:val="00902EF1"/>
    <w:pPr>
      <w:tabs>
        <w:tab w:val="right" w:pos="9356"/>
      </w:tabs>
      <w:spacing w:after="480"/>
    </w:pPr>
    <w:rPr>
      <w:noProof/>
    </w:rPr>
  </w:style>
  <w:style w:type="paragraph" w:customStyle="1" w:styleId="ProjRap">
    <w:name w:val="ProjRap"/>
    <w:basedOn w:val="Normal"/>
    <w:rsid w:val="00902EF1"/>
    <w:pPr>
      <w:tabs>
        <w:tab w:val="right" w:pos="9356"/>
      </w:tabs>
    </w:pPr>
    <w:rPr>
      <w:b/>
      <w:noProof/>
    </w:rPr>
  </w:style>
  <w:style w:type="paragraph" w:customStyle="1" w:styleId="PELeft">
    <w:name w:val="PELeft"/>
    <w:basedOn w:val="Normal"/>
    <w:rsid w:val="00902EF1"/>
    <w:pPr>
      <w:spacing w:before="40" w:after="40"/>
    </w:pPr>
    <w:rPr>
      <w:rFonts w:ascii="Arial" w:hAnsi="Arial" w:cs="Arial"/>
      <w:sz w:val="22"/>
      <w:szCs w:val="22"/>
    </w:rPr>
  </w:style>
  <w:style w:type="paragraph" w:customStyle="1" w:styleId="PERight">
    <w:name w:val="PERight"/>
    <w:basedOn w:val="Normal"/>
    <w:next w:val="Normal"/>
    <w:rsid w:val="00902EF1"/>
    <w:pPr>
      <w:jc w:val="right"/>
    </w:pPr>
    <w:rPr>
      <w:rFonts w:ascii="Arial" w:hAnsi="Arial" w:cs="Arial"/>
      <w:sz w:val="22"/>
      <w:szCs w:val="22"/>
    </w:rPr>
  </w:style>
  <w:style w:type="character" w:customStyle="1" w:styleId="Normal6Char">
    <w:name w:val="Normal6 Char"/>
    <w:basedOn w:val="DefaultParagraphFont"/>
    <w:link w:val="Normal6"/>
    <w:locked/>
    <w:rsid w:val="00902EF1"/>
    <w:rPr>
      <w:sz w:val="24"/>
      <w:lang w:val="sk-SK"/>
    </w:rPr>
  </w:style>
  <w:style w:type="paragraph" w:customStyle="1" w:styleId="Normal6">
    <w:name w:val="Normal6"/>
    <w:basedOn w:val="Normal"/>
    <w:link w:val="Normal6Char"/>
    <w:rsid w:val="00902EF1"/>
    <w:pPr>
      <w:spacing w:after="120"/>
    </w:pPr>
  </w:style>
  <w:style w:type="character" w:customStyle="1" w:styleId="NormalBoldChar">
    <w:name w:val="NormalBold Char"/>
    <w:basedOn w:val="DefaultParagraphFont"/>
    <w:link w:val="NormalBold"/>
    <w:locked/>
    <w:rsid w:val="00902EF1"/>
    <w:rPr>
      <w:b/>
      <w:sz w:val="24"/>
      <w:lang w:val="sk-SK"/>
    </w:rPr>
  </w:style>
  <w:style w:type="paragraph" w:customStyle="1" w:styleId="Normal12Italic">
    <w:name w:val="Normal12Italic"/>
    <w:basedOn w:val="Normal12"/>
    <w:rsid w:val="00902EF1"/>
    <w:pPr>
      <w:jc w:val="both"/>
    </w:pPr>
  </w:style>
  <w:style w:type="paragraph" w:customStyle="1" w:styleId="JustificationTitle">
    <w:name w:val="JustificationTitle"/>
    <w:basedOn w:val="Normal"/>
    <w:next w:val="Normal12"/>
    <w:rsid w:val="00902EF1"/>
    <w:pPr>
      <w:keepNext/>
      <w:spacing w:before="240" w:after="240"/>
      <w:jc w:val="center"/>
    </w:pPr>
    <w:rPr>
      <w:i/>
      <w:noProof/>
    </w:rPr>
  </w:style>
  <w:style w:type="paragraph" w:customStyle="1" w:styleId="Olang">
    <w:name w:val="Olang"/>
    <w:basedOn w:val="Normal"/>
    <w:rsid w:val="00902EF1"/>
    <w:pPr>
      <w:spacing w:before="240" w:after="240"/>
      <w:jc w:val="right"/>
    </w:pPr>
    <w:rPr>
      <w:noProof/>
      <w:szCs w:val="24"/>
    </w:rPr>
  </w:style>
  <w:style w:type="paragraph" w:customStyle="1" w:styleId="ColumnHeading">
    <w:name w:val="ColumnHeading"/>
    <w:basedOn w:val="Normal"/>
    <w:rsid w:val="00902EF1"/>
    <w:pPr>
      <w:spacing w:after="240"/>
      <w:jc w:val="center"/>
    </w:pPr>
    <w:rPr>
      <w:i/>
    </w:rPr>
  </w:style>
  <w:style w:type="paragraph" w:customStyle="1" w:styleId="AMNumberTabs0">
    <w:name w:val="AMNumberTabs"/>
    <w:basedOn w:val="Normal"/>
    <w:rsid w:val="00902EF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902EF1"/>
    <w:pPr>
      <w:spacing w:before="240"/>
      <w:jc w:val="center"/>
    </w:pPr>
    <w:rPr>
      <w:i/>
    </w:rPr>
  </w:style>
  <w:style w:type="character" w:customStyle="1" w:styleId="Footer2Middle">
    <w:name w:val="Footer2Middle"/>
    <w:rsid w:val="00902EF1"/>
    <w:rPr>
      <w:rFonts w:ascii="Arial" w:hAnsi="Arial" w:cs="Arial" w:hint="default"/>
      <w:b w:val="0"/>
      <w:bCs w:val="0"/>
      <w:i/>
      <w:iCs w:val="0"/>
      <w:color w:val="C0C0C0"/>
      <w:sz w:val="22"/>
    </w:rPr>
  </w:style>
  <w:style w:type="paragraph" w:customStyle="1" w:styleId="EntPE">
    <w:name w:val="EntPE"/>
    <w:basedOn w:val="Normal12"/>
    <w:rsid w:val="00902EF1"/>
    <w:pPr>
      <w:jc w:val="center"/>
    </w:pPr>
    <w:rPr>
      <w:noProof w:val="0"/>
      <w:sz w:val="56"/>
    </w:rPr>
  </w:style>
  <w:style w:type="paragraph" w:styleId="BalloonText">
    <w:name w:val="Balloon Text"/>
    <w:basedOn w:val="Normal"/>
    <w:link w:val="BalloonTextChar"/>
    <w:unhideWhenUsed/>
    <w:rsid w:val="00902EF1"/>
    <w:pPr>
      <w:widowControl/>
    </w:pPr>
    <w:rPr>
      <w:rFonts w:ascii="Segoe UI" w:hAnsi="Segoe UI" w:cs="Segoe UI"/>
      <w:sz w:val="18"/>
      <w:szCs w:val="18"/>
    </w:rPr>
  </w:style>
  <w:style w:type="character" w:customStyle="1" w:styleId="BalloonTextChar">
    <w:name w:val="Balloon Text Char"/>
    <w:basedOn w:val="DefaultParagraphFont"/>
    <w:link w:val="BalloonText"/>
    <w:rsid w:val="00902EF1"/>
    <w:rPr>
      <w:rFonts w:ascii="Segoe UI" w:hAnsi="Segoe UI" w:cs="Segoe UI"/>
      <w:sz w:val="18"/>
      <w:szCs w:val="18"/>
      <w:lang w:val="sk-SK"/>
    </w:rPr>
  </w:style>
  <w:style w:type="paragraph" w:customStyle="1" w:styleId="Normal12Hanging">
    <w:name w:val="Normal12Hanging"/>
    <w:basedOn w:val="Normal"/>
    <w:uiPriority w:val="99"/>
    <w:rsid w:val="00902EF1"/>
    <w:pPr>
      <w:spacing w:after="240"/>
      <w:ind w:left="567" w:hanging="567"/>
    </w:pPr>
  </w:style>
  <w:style w:type="character" w:styleId="CommentReference">
    <w:name w:val="annotation reference"/>
    <w:basedOn w:val="DefaultParagraphFont"/>
    <w:rsid w:val="00902EF1"/>
    <w:rPr>
      <w:sz w:val="16"/>
      <w:szCs w:val="16"/>
    </w:rPr>
  </w:style>
  <w:style w:type="paragraph" w:styleId="CommentText">
    <w:name w:val="annotation text"/>
    <w:basedOn w:val="Normal"/>
    <w:link w:val="CommentTextChar"/>
    <w:rsid w:val="00902EF1"/>
    <w:rPr>
      <w:sz w:val="20"/>
    </w:rPr>
  </w:style>
  <w:style w:type="character" w:customStyle="1" w:styleId="CommentTextChar">
    <w:name w:val="Comment Text Char"/>
    <w:basedOn w:val="DefaultParagraphFont"/>
    <w:link w:val="CommentText"/>
    <w:rsid w:val="00902EF1"/>
    <w:rPr>
      <w:lang w:val="sk-SK"/>
    </w:rPr>
  </w:style>
  <w:style w:type="paragraph" w:styleId="CommentSubject">
    <w:name w:val="annotation subject"/>
    <w:basedOn w:val="CommentText"/>
    <w:next w:val="CommentText"/>
    <w:link w:val="CommentSubjectChar"/>
    <w:unhideWhenUsed/>
    <w:rsid w:val="00902EF1"/>
    <w:rPr>
      <w:b/>
      <w:bCs/>
    </w:rPr>
  </w:style>
  <w:style w:type="character" w:customStyle="1" w:styleId="CommentSubjectChar">
    <w:name w:val="Comment Subject Char"/>
    <w:basedOn w:val="CommentTextChar"/>
    <w:link w:val="CommentSubject"/>
    <w:rsid w:val="00902EF1"/>
    <w:rPr>
      <w:b/>
      <w:bCs/>
      <w:lang w:val="sk-SK"/>
    </w:rPr>
  </w:style>
  <w:style w:type="paragraph" w:styleId="ListParagraph">
    <w:name w:val="List Paragraph"/>
    <w:basedOn w:val="Normal"/>
    <w:uiPriority w:val="34"/>
    <w:qFormat/>
    <w:rsid w:val="00902EF1"/>
    <w:pPr>
      <w:widowControl/>
      <w:ind w:left="720"/>
      <w:contextualSpacing/>
      <w:jc w:val="both"/>
    </w:pPr>
    <w:rPr>
      <w:rFonts w:eastAsiaTheme="minorHAnsi"/>
      <w:szCs w:val="24"/>
      <w:lang w:eastAsia="en-US"/>
    </w:rPr>
  </w:style>
  <w:style w:type="paragraph" w:customStyle="1" w:styleId="PageHeadingNotTOC">
    <w:name w:val="PageHeadingNotTOC"/>
    <w:basedOn w:val="Normal"/>
    <w:rsid w:val="00902EF1"/>
    <w:pPr>
      <w:keepNext/>
      <w:spacing w:after="480"/>
      <w:jc w:val="center"/>
    </w:pPr>
    <w:rPr>
      <w:rFonts w:ascii="Arial" w:hAnsi="Arial" w:cs="Arial"/>
      <w:b/>
    </w:rPr>
  </w:style>
  <w:style w:type="paragraph" w:styleId="Revision">
    <w:name w:val="Revision"/>
    <w:uiPriority w:val="99"/>
    <w:semiHidden/>
    <w:rsid w:val="00902EF1"/>
    <w:rPr>
      <w:sz w:val="24"/>
      <w:lang w:val="sk-SK"/>
    </w:rPr>
  </w:style>
  <w:style w:type="character" w:customStyle="1" w:styleId="AmNumberTabsChar">
    <w:name w:val="AmNumberTabs Char"/>
    <w:basedOn w:val="DefaultParagraphFont"/>
    <w:link w:val="AmNumberTabs"/>
    <w:rsid w:val="00902EF1"/>
    <w:rPr>
      <w:b/>
      <w:sz w:val="24"/>
      <w:lang w:val="sk-SK"/>
    </w:rPr>
  </w:style>
  <w:style w:type="character" w:customStyle="1" w:styleId="NormalBold12bChar">
    <w:name w:val="NormalBold12b Char"/>
    <w:basedOn w:val="AmNumberTabsChar"/>
    <w:link w:val="NormalBold12b"/>
    <w:rsid w:val="00902EF1"/>
    <w:rPr>
      <w:b/>
      <w:sz w:val="24"/>
      <w:lang w:val="sk-SK"/>
    </w:rPr>
  </w:style>
  <w:style w:type="paragraph" w:customStyle="1" w:styleId="TableParagraph">
    <w:name w:val="Table Paragraph"/>
    <w:basedOn w:val="Normal"/>
    <w:uiPriority w:val="1"/>
    <w:qFormat/>
    <w:rsid w:val="00902EF1"/>
    <w:pPr>
      <w:autoSpaceDE w:val="0"/>
      <w:autoSpaceDN w:val="0"/>
      <w:spacing w:before="114"/>
      <w:ind w:left="110"/>
    </w:pPr>
    <w:rPr>
      <w:sz w:val="22"/>
      <w:szCs w:val="22"/>
      <w:lang w:eastAsia="en-US"/>
    </w:rPr>
  </w:style>
  <w:style w:type="paragraph" w:customStyle="1" w:styleId="Default">
    <w:name w:val="Default"/>
    <w:rsid w:val="00902EF1"/>
    <w:pPr>
      <w:autoSpaceDE w:val="0"/>
      <w:autoSpaceDN w:val="0"/>
      <w:adjustRightInd w:val="0"/>
    </w:pPr>
    <w:rPr>
      <w:color w:val="000000"/>
      <w:sz w:val="24"/>
      <w:szCs w:val="24"/>
      <w:lang w:val="sk-SK"/>
    </w:rPr>
  </w:style>
  <w:style w:type="character" w:customStyle="1" w:styleId="contentpasted0">
    <w:name w:val="contentpasted0"/>
    <w:rsid w:val="00902EF1"/>
  </w:style>
  <w:style w:type="table" w:customStyle="1" w:styleId="CV11">
    <w:name w:val="CV11"/>
    <w:basedOn w:val="TableNormal"/>
    <w:uiPriority w:val="39"/>
    <w:rsid w:val="00902EF1"/>
    <w:rPr>
      <w:lang w:val="sk-S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a">
    <w:name w:val="Normal12a"/>
    <w:basedOn w:val="Normal"/>
    <w:rsid w:val="00902EF1"/>
    <w:pPr>
      <w:spacing w:after="240"/>
    </w:pPr>
  </w:style>
  <w:style w:type="paragraph" w:customStyle="1" w:styleId="RollCallVotes">
    <w:name w:val="RollCallVotes"/>
    <w:basedOn w:val="Normal"/>
    <w:rsid w:val="00902EF1"/>
    <w:pPr>
      <w:spacing w:before="120" w:after="120"/>
      <w:jc w:val="center"/>
    </w:pPr>
    <w:rPr>
      <w:b/>
      <w:bCs/>
      <w:snapToGrid w:val="0"/>
      <w:sz w:val="16"/>
      <w:lang w:eastAsia="en-US"/>
    </w:rPr>
  </w:style>
  <w:style w:type="paragraph" w:customStyle="1" w:styleId="RollCallTabs">
    <w:name w:val="RollCallTabs"/>
    <w:basedOn w:val="Normal"/>
    <w:qFormat/>
    <w:rsid w:val="00902EF1"/>
    <w:pPr>
      <w:tabs>
        <w:tab w:val="center" w:pos="284"/>
        <w:tab w:val="left" w:pos="426"/>
      </w:tabs>
    </w:pPr>
    <w:rPr>
      <w:snapToGrid w:val="0"/>
      <w:lang w:eastAsia="en-US"/>
    </w:rPr>
  </w:style>
  <w:style w:type="paragraph" w:customStyle="1" w:styleId="RollCallSymbols14pt">
    <w:name w:val="RollCallSymbols14pt"/>
    <w:basedOn w:val="Normal"/>
    <w:rsid w:val="00902EF1"/>
    <w:pPr>
      <w:spacing w:before="120" w:after="120"/>
      <w:jc w:val="center"/>
    </w:pPr>
    <w:rPr>
      <w:rFonts w:ascii="Arial" w:hAnsi="Arial"/>
      <w:b/>
      <w:bCs/>
      <w:snapToGrid w:val="0"/>
      <w:sz w:val="28"/>
      <w:lang w:eastAsia="en-US"/>
    </w:rPr>
  </w:style>
  <w:style w:type="paragraph" w:customStyle="1" w:styleId="RollCallTable">
    <w:name w:val="RollCallTable"/>
    <w:basedOn w:val="Normal"/>
    <w:rsid w:val="00902EF1"/>
    <w:pPr>
      <w:spacing w:before="120" w:after="120"/>
    </w:pPr>
    <w:rPr>
      <w:snapToGrid w:val="0"/>
      <w:sz w:val="16"/>
      <w:lang w:eastAsia="en-US"/>
    </w:rPr>
  </w:style>
  <w:style w:type="paragraph" w:customStyle="1" w:styleId="AmHeadingPA">
    <w:name w:val="AmHeadingPA"/>
    <w:basedOn w:val="Normal"/>
    <w:next w:val="Normal"/>
    <w:rsid w:val="00902EF1"/>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902EF1"/>
    <w:pPr>
      <w:spacing w:after="480"/>
    </w:pPr>
  </w:style>
  <w:style w:type="character" w:customStyle="1" w:styleId="Normal24aChar">
    <w:name w:val="Normal24a Char"/>
    <w:basedOn w:val="DefaultParagraphFont"/>
    <w:link w:val="Normal24a"/>
    <w:rsid w:val="00902EF1"/>
    <w:rPr>
      <w:sz w:val="24"/>
      <w:lang w:val="sk-SK"/>
    </w:rPr>
  </w:style>
  <w:style w:type="paragraph" w:customStyle="1" w:styleId="Normal1">
    <w:name w:val="Normal1"/>
    <w:basedOn w:val="Normal"/>
    <w:rsid w:val="00902EF1"/>
    <w:pPr>
      <w:widowControl/>
      <w:spacing w:before="100" w:beforeAutospacing="1" w:after="100" w:afterAutospacing="1"/>
    </w:pPr>
    <w:rPr>
      <w:szCs w:val="24"/>
    </w:rPr>
  </w:style>
  <w:style w:type="character" w:customStyle="1" w:styleId="footnotereference0">
    <w:name w:val="footnotereference"/>
    <w:basedOn w:val="DefaultParagraphFont"/>
    <w:rsid w:val="00902EF1"/>
  </w:style>
  <w:style w:type="paragraph" w:customStyle="1" w:styleId="CoverBold">
    <w:name w:val="CoverBold"/>
    <w:basedOn w:val="Normal"/>
    <w:rsid w:val="00902EF1"/>
    <w:pPr>
      <w:ind w:left="1417"/>
    </w:pPr>
    <w:rPr>
      <w:b/>
    </w:rPr>
  </w:style>
  <w:style w:type="paragraph" w:styleId="EndnoteText">
    <w:name w:val="endnote text"/>
    <w:basedOn w:val="Normal"/>
    <w:link w:val="EndnoteTextChar"/>
    <w:unhideWhenUsed/>
    <w:rsid w:val="00902EF1"/>
    <w:rPr>
      <w:sz w:val="20"/>
    </w:rPr>
  </w:style>
  <w:style w:type="character" w:customStyle="1" w:styleId="EndnoteTextChar">
    <w:name w:val="Endnote Text Char"/>
    <w:basedOn w:val="DefaultParagraphFont"/>
    <w:link w:val="EndnoteText"/>
    <w:rsid w:val="00902EF1"/>
    <w:rPr>
      <w:lang w:val="sk-SK"/>
    </w:rPr>
  </w:style>
  <w:style w:type="character" w:styleId="EndnoteReference">
    <w:name w:val="endnote reference"/>
    <w:basedOn w:val="DefaultParagraphFont"/>
    <w:unhideWhenUsed/>
    <w:rsid w:val="00902EF1"/>
    <w:rPr>
      <w:vertAlign w:val="superscript"/>
    </w:rPr>
  </w:style>
  <w:style w:type="character" w:customStyle="1" w:styleId="UnresolvedMention1">
    <w:name w:val="Unresolved Mention1"/>
    <w:basedOn w:val="DefaultParagraphFont"/>
    <w:uiPriority w:val="99"/>
    <w:semiHidden/>
    <w:rsid w:val="00902EF1"/>
    <w:rPr>
      <w:color w:val="605E5C"/>
      <w:shd w:val="clear" w:color="auto" w:fill="E1DFDD"/>
    </w:rPr>
  </w:style>
  <w:style w:type="paragraph" w:customStyle="1" w:styleId="AmDocTypeTab">
    <w:name w:val="AmDocTypeTab"/>
    <w:basedOn w:val="Normal"/>
    <w:rsid w:val="00F23B68"/>
    <w:pPr>
      <w:tabs>
        <w:tab w:val="right" w:pos="9070"/>
      </w:tabs>
    </w:pPr>
    <w:rPr>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8B04BB-196D-4167-BB41-6571FFEA6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86</Pages>
  <Words>20419</Words>
  <Characters>120841</Characters>
  <Application>Microsoft Office Word</Application>
  <DocSecurity>0</DocSecurity>
  <Lines>1007</Lines>
  <Paragraphs>281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140979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Karina Pesa</cp:lastModifiedBy>
  <cp:revision>3</cp:revision>
  <cp:lastPrinted>2004-11-19T15:42:00Z</cp:lastPrinted>
  <dcterms:created xsi:type="dcterms:W3CDTF">2024-01-24T14:16:00Z</dcterms:created>
  <dcterms:modified xsi:type="dcterms:W3CDTF">2024-03-21T10:46:00Z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P9_TA(2023)0394_</vt:lpwstr>
  </property>
  <property fmtid="{D5CDD505-2E9C-101B-9397-08002B2CF9AE}" pid="4" name="&lt;Type&gt;">
    <vt:lpwstr>RR</vt:lpwstr>
  </property>
</Properties>
</file>