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932BB" w:rsidTr="0010095E">
        <w:trPr>
          <w:trHeight w:hRule="exact" w:val="1418"/>
        </w:trPr>
        <w:tc>
          <w:tcPr>
            <w:tcW w:w="6804" w:type="dxa"/>
            <w:shd w:val="clear" w:color="auto" w:fill="auto"/>
            <w:vAlign w:val="center"/>
          </w:tcPr>
          <w:p w:rsidR="00751A4A" w:rsidRPr="005932BB" w:rsidRDefault="00555B43" w:rsidP="0010095E">
            <w:pPr>
              <w:pStyle w:val="EPName"/>
            </w:pPr>
            <w:r w:rsidRPr="005932BB">
              <w:t>Europaparlamentet</w:t>
            </w:r>
          </w:p>
          <w:p w:rsidR="00751A4A" w:rsidRPr="005932BB" w:rsidRDefault="00817416" w:rsidP="00756632">
            <w:pPr>
              <w:pStyle w:val="EPTerm"/>
              <w:rPr>
                <w:rStyle w:val="HideTWBExt"/>
                <w:noProof w:val="0"/>
                <w:vanish w:val="0"/>
                <w:color w:val="auto"/>
              </w:rPr>
            </w:pPr>
            <w:r w:rsidRPr="005932BB">
              <w:t>2019-2024</w:t>
            </w:r>
          </w:p>
        </w:tc>
        <w:tc>
          <w:tcPr>
            <w:tcW w:w="2268" w:type="dxa"/>
            <w:shd w:val="clear" w:color="auto" w:fill="auto"/>
          </w:tcPr>
          <w:p w:rsidR="00751A4A" w:rsidRPr="005932BB" w:rsidRDefault="00187494" w:rsidP="0010095E">
            <w:pPr>
              <w:pStyle w:val="EPLogo"/>
            </w:pPr>
            <w:r w:rsidRPr="005932B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932BB" w:rsidRDefault="00D058B8" w:rsidP="004C5D52">
      <w:pPr>
        <w:pStyle w:val="LineTop"/>
      </w:pPr>
    </w:p>
    <w:p w:rsidR="00680577" w:rsidRPr="005932BB" w:rsidRDefault="00555B43" w:rsidP="00680577">
      <w:pPr>
        <w:pStyle w:val="EPBodyTA1"/>
      </w:pPr>
      <w:r w:rsidRPr="005932BB">
        <w:t>ANTAGNA TEXTER</w:t>
      </w:r>
    </w:p>
    <w:p w:rsidR="00D058B8" w:rsidRPr="005932BB" w:rsidRDefault="00D058B8" w:rsidP="00D058B8">
      <w:pPr>
        <w:pStyle w:val="LineBottom"/>
      </w:pPr>
    </w:p>
    <w:p w:rsidR="00555B43" w:rsidRPr="005932BB" w:rsidRDefault="00555B43" w:rsidP="00555B43">
      <w:pPr>
        <w:pStyle w:val="ATHeading1"/>
      </w:pPr>
      <w:bookmarkStart w:id="0" w:name="TANumber"/>
      <w:r w:rsidRPr="005932BB">
        <w:t>P9_TA(2023)0</w:t>
      </w:r>
      <w:r w:rsidR="00C476EF">
        <w:t>394</w:t>
      </w:r>
      <w:bookmarkEnd w:id="0"/>
    </w:p>
    <w:p w:rsidR="00555B43" w:rsidRPr="00690BB0" w:rsidRDefault="00555B43" w:rsidP="00555B43">
      <w:pPr>
        <w:pStyle w:val="ATHeading2"/>
      </w:pPr>
      <w:bookmarkStart w:id="1" w:name="title"/>
      <w:r w:rsidRPr="00690BB0">
        <w:t>Typgodkännande av motorfordon och motorer med avseende på utsläpp och batteriers hållbarhet (Euro 7)</w:t>
      </w:r>
      <w:bookmarkEnd w:id="1"/>
    </w:p>
    <w:p w:rsidR="00555B43" w:rsidRPr="00690BB0" w:rsidRDefault="00555B43" w:rsidP="00555B43">
      <w:pPr>
        <w:rPr>
          <w:i/>
          <w:vanish/>
        </w:rPr>
      </w:pPr>
      <w:r w:rsidRPr="00690BB0">
        <w:rPr>
          <w:i/>
        </w:rPr>
        <w:fldChar w:fldCharType="begin"/>
      </w:r>
      <w:r w:rsidRPr="00690BB0">
        <w:rPr>
          <w:i/>
        </w:rPr>
        <w:instrText xml:space="preserve"> TC"(</w:instrText>
      </w:r>
      <w:bookmarkStart w:id="2" w:name="DocNumber"/>
      <w:r w:rsidRPr="00690BB0">
        <w:rPr>
          <w:i/>
        </w:rPr>
        <w:instrText>A9-0298/2023</w:instrText>
      </w:r>
      <w:bookmarkEnd w:id="2"/>
      <w:r w:rsidRPr="00690BB0">
        <w:rPr>
          <w:i/>
        </w:rPr>
        <w:instrText xml:space="preserve"> - Föredragande: Alexandr Vondra)"\l3 \n&gt; \* MERGEFORMAT </w:instrText>
      </w:r>
      <w:r w:rsidRPr="00690BB0">
        <w:rPr>
          <w:i/>
        </w:rPr>
        <w:fldChar w:fldCharType="end"/>
      </w:r>
    </w:p>
    <w:p w:rsidR="00555B43" w:rsidRPr="00690BB0" w:rsidRDefault="00555B43" w:rsidP="00555B43">
      <w:pPr>
        <w:rPr>
          <w:vanish/>
        </w:rPr>
      </w:pPr>
      <w:bookmarkStart w:id="3" w:name="Commission"/>
      <w:r w:rsidRPr="00690BB0">
        <w:rPr>
          <w:vanish/>
        </w:rPr>
        <w:t>Utskottet för miljö, folkhälsa och livsmedelssäkerhet</w:t>
      </w:r>
      <w:bookmarkEnd w:id="3"/>
    </w:p>
    <w:p w:rsidR="00555B43" w:rsidRPr="00690BB0" w:rsidRDefault="00555B43" w:rsidP="00555B43">
      <w:pPr>
        <w:rPr>
          <w:vanish/>
        </w:rPr>
      </w:pPr>
      <w:bookmarkStart w:id="4" w:name="PE"/>
      <w:r w:rsidRPr="00690BB0">
        <w:rPr>
          <w:vanish/>
        </w:rPr>
        <w:t>PE746.876</w:t>
      </w:r>
      <w:bookmarkEnd w:id="4"/>
    </w:p>
    <w:p w:rsidR="00555B43" w:rsidRPr="00690BB0" w:rsidRDefault="0054295A" w:rsidP="00555B43">
      <w:pPr>
        <w:pStyle w:val="ATHeading3"/>
      </w:pPr>
      <w:bookmarkStart w:id="5" w:name="Sujet"/>
      <w:r w:rsidRPr="00690BB0">
        <w:t>Europaparlamentets ändringar antagna den 9 november 2023 av</w:t>
      </w:r>
      <w:r w:rsidR="00555B43" w:rsidRPr="00690BB0">
        <w:t xml:space="preserve"> förslaget till Europaparlamentets och rådets förordning om typgodkännande av motorfordon och motorer samt av system, komponenter och separata tekniska enheter som är avsedda för sådana fordon med avseende på utsläpp och batteriers hållbarhet (Euro 7) och om upphävande av förordningarna (EG) nr 715/2007 och (EG) nr 595/2009</w:t>
      </w:r>
      <w:bookmarkEnd w:id="5"/>
      <w:r w:rsidR="00555B43" w:rsidRPr="00690BB0">
        <w:t xml:space="preserve"> </w:t>
      </w:r>
      <w:bookmarkStart w:id="6" w:name="References"/>
      <w:r w:rsidR="00555B43" w:rsidRPr="00690BB0">
        <w:t>(COM(2022)0586 – C9-0375/2022 – 2022/0365(COD))</w:t>
      </w:r>
      <w:bookmarkEnd w:id="6"/>
      <w:r w:rsidRPr="00690BB0">
        <w:rPr>
          <w:rStyle w:val="FootnoteReference"/>
        </w:rPr>
        <w:footnoteReference w:id="1"/>
      </w:r>
    </w:p>
    <w:p w:rsidR="00555B43" w:rsidRPr="00690BB0" w:rsidRDefault="00555B43" w:rsidP="00555B43"/>
    <w:p w:rsidR="00D624B1" w:rsidRPr="00690BB0" w:rsidRDefault="00D624B1" w:rsidP="00D624B1">
      <w:pPr>
        <w:pStyle w:val="NormalBold"/>
        <w:widowControl/>
      </w:pPr>
      <w:bookmarkStart w:id="7" w:name="TextBodyBegin"/>
      <w:bookmarkEnd w:id="7"/>
      <w:r w:rsidRPr="00690BB0">
        <w:t>(Ordinarie lagstiftningsförfarande: första behandlingen)</w:t>
      </w:r>
    </w:p>
    <w:p w:rsidR="0054295A" w:rsidRPr="00690BB0" w:rsidRDefault="0054295A">
      <w:pPr>
        <w:widowControl/>
      </w:pPr>
      <w:r w:rsidRPr="00690BB0">
        <w:br w:type="page"/>
      </w:r>
    </w:p>
    <w:p w:rsidR="00D624B1" w:rsidRPr="00690BB0" w:rsidRDefault="007B7831" w:rsidP="00D624B1">
      <w:pPr>
        <w:pStyle w:val="AmNumberTabs"/>
        <w:keepNext/>
        <w:keepLines/>
        <w:widowControl/>
      </w:pPr>
      <w:r w:rsidRPr="00690BB0">
        <w:lastRenderedPageBreak/>
        <w:t>Ändring</w:t>
      </w:r>
      <w:r w:rsidR="00D624B1" w:rsidRPr="00690BB0">
        <w:tab/>
      </w:r>
      <w:r w:rsidR="00D624B1" w:rsidRPr="00690BB0">
        <w:tab/>
        <w:t>1</w:t>
      </w:r>
    </w:p>
    <w:p w:rsidR="00D624B1" w:rsidRPr="00690BB0" w:rsidRDefault="00D624B1" w:rsidP="00D624B1">
      <w:pPr>
        <w:pStyle w:val="NormalBold12b"/>
        <w:widowControl/>
      </w:pPr>
      <w:r w:rsidRPr="00690BB0">
        <w:t>Förslag till förordning</w:t>
      </w:r>
    </w:p>
    <w:p w:rsidR="00D624B1" w:rsidRPr="00690BB0" w:rsidRDefault="00D624B1" w:rsidP="00D624B1">
      <w:pPr>
        <w:pStyle w:val="NormalBold"/>
        <w:widowControl/>
      </w:pPr>
      <w:r w:rsidRPr="00690BB0">
        <w:t>Skäl -1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p>
        </w:tc>
        <w:tc>
          <w:tcPr>
            <w:tcW w:w="4876" w:type="dxa"/>
          </w:tcPr>
          <w:p w:rsidR="00D624B1" w:rsidRPr="00690BB0" w:rsidRDefault="00D624B1" w:rsidP="003F2A5D">
            <w:pPr>
              <w:pStyle w:val="Normal6a"/>
              <w:widowControl/>
            </w:pPr>
            <w:r w:rsidRPr="00690BB0">
              <w:rPr>
                <w:b/>
                <w:i/>
              </w:rPr>
              <w:t>(-1)</w:t>
            </w:r>
            <w:r w:rsidRPr="00690BB0">
              <w:tab/>
            </w:r>
            <w:r w:rsidRPr="00690BB0">
              <w:rPr>
                <w:b/>
                <w:i/>
              </w:rPr>
              <w:t>I Europaparlamentets och rådets beslut (EU) 2022/591</w:t>
            </w:r>
            <w:r w:rsidRPr="00690BB0">
              <w:rPr>
                <w:b/>
                <w:i/>
                <w:vertAlign w:val="superscript"/>
              </w:rPr>
              <w:t>1</w:t>
            </w:r>
            <w:r w:rsidRPr="00690BB0">
              <w:rPr>
                <w:b/>
                <w:i/>
              </w:rPr>
              <w:t xml:space="preserve"> om ett allmänt miljöhandlingsprogram för unionen till 2030, fastställs som ett av unionens sex tematiska mål för perioden fram till och med den 31 december 2030 att eftersträva nollförorening, även när det gäller skadliga kemikalier, i syfte att uppnå en giftfri miljö, inbegripet för luft, vatten och mark, samt när det gäller ljus- och bullerföroreningar, och skydda människors, djurs och ekosystems hälsa och välbefinnande från miljörelaterade risker och negativa konsekvenser.</w:t>
            </w:r>
          </w:p>
        </w:tc>
      </w:tr>
      <w:tr w:rsidR="004C6CBD" w:rsidRPr="00690BB0" w:rsidTr="003F2A5D">
        <w:trPr>
          <w:jc w:val="center"/>
        </w:trPr>
        <w:tc>
          <w:tcPr>
            <w:tcW w:w="4876" w:type="dxa"/>
          </w:tcPr>
          <w:p w:rsidR="004C6CBD" w:rsidRPr="00690BB0" w:rsidRDefault="004C6CBD" w:rsidP="003F2A5D">
            <w:pPr>
              <w:pStyle w:val="Normal6a"/>
              <w:widowControl/>
            </w:pPr>
          </w:p>
        </w:tc>
        <w:tc>
          <w:tcPr>
            <w:tcW w:w="4876" w:type="dxa"/>
          </w:tcPr>
          <w:p w:rsidR="004C6CBD" w:rsidRPr="00690BB0" w:rsidRDefault="004C6CBD" w:rsidP="003F2A5D">
            <w:pPr>
              <w:pStyle w:val="Normal6a"/>
              <w:widowControl/>
              <w:rPr>
                <w:b/>
                <w:i/>
              </w:rPr>
            </w:pPr>
            <w:r>
              <w:rPr>
                <w:b/>
                <w:i/>
                <w:noProof/>
                <w:vertAlign w:val="superscript"/>
                <w:lang w:val="en-GB" w:eastAsia="el-GR"/>
              </w:rPr>
              <w:t>__________________________</w:t>
            </w:r>
          </w:p>
        </w:tc>
      </w:tr>
      <w:tr w:rsidR="00D624B1" w:rsidRPr="00690BB0" w:rsidTr="003F2A5D">
        <w:trPr>
          <w:jc w:val="center"/>
        </w:trPr>
        <w:tc>
          <w:tcPr>
            <w:tcW w:w="4876" w:type="dxa"/>
          </w:tcPr>
          <w:p w:rsidR="00D624B1" w:rsidRPr="00690BB0" w:rsidRDefault="00D624B1" w:rsidP="003F2A5D">
            <w:pPr>
              <w:pStyle w:val="Normal6a"/>
              <w:widowControl/>
            </w:pPr>
          </w:p>
        </w:tc>
        <w:tc>
          <w:tcPr>
            <w:tcW w:w="4876" w:type="dxa"/>
          </w:tcPr>
          <w:p w:rsidR="00D624B1" w:rsidRPr="00690BB0" w:rsidRDefault="00D624B1" w:rsidP="003F2A5D">
            <w:pPr>
              <w:pStyle w:val="Normal6a"/>
              <w:widowControl/>
            </w:pPr>
            <w:r w:rsidRPr="00690BB0">
              <w:rPr>
                <w:b/>
                <w:i/>
                <w:vertAlign w:val="superscript"/>
              </w:rPr>
              <w:t>1</w:t>
            </w:r>
            <w:r w:rsidRPr="00690BB0">
              <w:rPr>
                <w:b/>
                <w:i/>
              </w:rPr>
              <w:t xml:space="preserve"> </w:t>
            </w:r>
            <w:r w:rsidRPr="00690BB0">
              <w:rPr>
                <w:b/>
                <w:bCs/>
                <w:i/>
              </w:rPr>
              <w:t xml:space="preserve">Europaparlamentets och rådets beslut (EU) 2022/591 av den 6 april 2022 om ett allmänt miljöhandlingsprogram för unionen till 2030 (EUT L 114, 12.4.2022, s. 22). </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2</w:t>
      </w:r>
    </w:p>
    <w:p w:rsidR="00D624B1" w:rsidRPr="00690BB0" w:rsidRDefault="00D624B1" w:rsidP="00D624B1">
      <w:pPr>
        <w:pStyle w:val="NormalBold12b"/>
        <w:widowControl/>
      </w:pPr>
      <w:r w:rsidRPr="00690BB0">
        <w:t>Förslag till förordning</w:t>
      </w:r>
    </w:p>
    <w:p w:rsidR="00D624B1" w:rsidRPr="00690BB0" w:rsidRDefault="00D624B1" w:rsidP="00D624B1">
      <w:pPr>
        <w:pStyle w:val="NormalBold"/>
        <w:widowControl/>
      </w:pPr>
      <w:r w:rsidRPr="00690BB0">
        <w:t>Skäl -1a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p>
        </w:tc>
        <w:tc>
          <w:tcPr>
            <w:tcW w:w="4876" w:type="dxa"/>
          </w:tcPr>
          <w:p w:rsidR="00D624B1" w:rsidRPr="00690BB0" w:rsidRDefault="00D624B1" w:rsidP="003F2A5D">
            <w:pPr>
              <w:pStyle w:val="Normal6a"/>
              <w:widowControl/>
            </w:pPr>
            <w:r w:rsidRPr="00690BB0">
              <w:rPr>
                <w:b/>
                <w:i/>
              </w:rPr>
              <w:t>(-1a)</w:t>
            </w:r>
            <w:r w:rsidRPr="00690BB0">
              <w:tab/>
            </w:r>
            <w:r w:rsidRPr="00690BB0">
              <w:rPr>
                <w:b/>
                <w:i/>
              </w:rPr>
              <w:t>Den europeiska gröna given</w:t>
            </w:r>
            <w:r w:rsidRPr="00690BB0">
              <w:rPr>
                <w:b/>
                <w:i/>
                <w:vertAlign w:val="superscript"/>
              </w:rPr>
              <w:t>1a</w:t>
            </w:r>
            <w:r w:rsidRPr="00690BB0">
              <w:rPr>
                <w:b/>
                <w:i/>
              </w:rPr>
              <w:t xml:space="preserve"> är unionens förslag om att inleda en omställning som syftar till att senast 2050 uppnå en klimatneutral, ren och cirkulär ekonomi genom att optimera resursförvaltningen, minimera föroreningar och samtidigt erkänna behovet av djupt omvälvande politik.</w:t>
            </w:r>
            <w:r w:rsidRPr="00690BB0">
              <w:t xml:space="preserve"> </w:t>
            </w:r>
            <w:r w:rsidRPr="00690BB0">
              <w:rPr>
                <w:b/>
                <w:i/>
              </w:rPr>
              <w:t>Unionen har dessutom åtagit sig att följa Agenda 2030 för hållbar utveckling</w:t>
            </w:r>
            <w:r w:rsidRPr="00690BB0">
              <w:rPr>
                <w:b/>
                <w:i/>
                <w:vertAlign w:val="superscript"/>
              </w:rPr>
              <w:t>1b</w:t>
            </w:r>
            <w:r w:rsidRPr="00690BB0">
              <w:rPr>
                <w:b/>
                <w:i/>
              </w:rPr>
              <w:t xml:space="preserve"> och dess mål för hållbar utveckling</w:t>
            </w:r>
            <w:r w:rsidRPr="00690BB0">
              <w:rPr>
                <w:b/>
                <w:i/>
                <w:vertAlign w:val="superscript"/>
              </w:rPr>
              <w:t>1c</w:t>
            </w:r>
            <w:r w:rsidRPr="00690BB0">
              <w:rPr>
                <w:b/>
                <w:i/>
              </w:rPr>
              <w:t>.</w:t>
            </w:r>
            <w:r w:rsidRPr="00690BB0">
              <w:t xml:space="preserve"> </w:t>
            </w:r>
            <w:r w:rsidRPr="00690BB0">
              <w:rPr>
                <w:b/>
                <w:i/>
              </w:rPr>
              <w:t>Strategi för hållbar och smart mobilitet som antogs i december 2020</w:t>
            </w:r>
            <w:r w:rsidRPr="00690BB0">
              <w:rPr>
                <w:b/>
                <w:i/>
                <w:vertAlign w:val="superscript"/>
              </w:rPr>
              <w:t>1d</w:t>
            </w:r>
            <w:r w:rsidRPr="00690BB0">
              <w:rPr>
                <w:b/>
                <w:i/>
              </w:rPr>
              <w:t xml:space="preserve"> och handlingsplanen för nollförorening av </w:t>
            </w:r>
            <w:r w:rsidRPr="00690BB0">
              <w:rPr>
                <w:b/>
                <w:i/>
              </w:rPr>
              <w:lastRenderedPageBreak/>
              <w:t>luft, vatten och mark</w:t>
            </w:r>
            <w:r w:rsidRPr="00690BB0">
              <w:rPr>
                <w:b/>
                <w:i/>
                <w:vertAlign w:val="superscript"/>
              </w:rPr>
              <w:t>1e</w:t>
            </w:r>
            <w:r w:rsidRPr="00690BB0">
              <w:rPr>
                <w:b/>
                <w:i/>
              </w:rPr>
              <w:t xml:space="preserve"> som antogs i maj 2021 tar särskilt upp aspekterna av transportföroreningar i den europeiska gröna given.</w:t>
            </w:r>
            <w:r w:rsidRPr="00690BB0">
              <w:t xml:space="preserve"> </w:t>
            </w:r>
            <w:r w:rsidRPr="00690BB0">
              <w:rPr>
                <w:b/>
                <w:i/>
              </w:rPr>
              <w:t>Annan särskilt relevant politik avseende detta initiativ inkluderar exempelvis luftkvalitetsdirektivet</w:t>
            </w:r>
            <w:r w:rsidRPr="00690BB0">
              <w:rPr>
                <w:b/>
                <w:i/>
                <w:vertAlign w:val="superscript"/>
              </w:rPr>
              <w:t>1f</w:t>
            </w:r>
            <w:r w:rsidRPr="00690BB0">
              <w:rPr>
                <w:b/>
                <w:i/>
              </w:rPr>
              <w:t>, EU:s nya industristrategi</w:t>
            </w:r>
            <w:r w:rsidRPr="00690BB0">
              <w:rPr>
                <w:b/>
                <w:i/>
                <w:vertAlign w:val="superscript"/>
              </w:rPr>
              <w:t>1g</w:t>
            </w:r>
            <w:r w:rsidRPr="00690BB0">
              <w:rPr>
                <w:b/>
                <w:i/>
              </w:rPr>
              <w:t>, standarder för koldioxidutsläpp för bilar och skåpbilar</w:t>
            </w:r>
            <w:r w:rsidRPr="00690BB0">
              <w:rPr>
                <w:b/>
                <w:i/>
                <w:vertAlign w:val="superscript"/>
              </w:rPr>
              <w:t>1h</w:t>
            </w:r>
            <w:r w:rsidRPr="00690BB0">
              <w:rPr>
                <w:b/>
                <w:i/>
              </w:rPr>
              <w:t xml:space="preserve"> och mål för minskade koldioxidutsläpp för nya tunga fordon</w:t>
            </w:r>
            <w:r w:rsidRPr="00690BB0">
              <w:rPr>
                <w:b/>
                <w:i/>
                <w:vertAlign w:val="superscript"/>
              </w:rPr>
              <w:t>1i</w:t>
            </w:r>
            <w:r w:rsidRPr="00690BB0">
              <w:rPr>
                <w:b/>
                <w:i/>
              </w:rPr>
              <w:t>.</w:t>
            </w:r>
          </w:p>
        </w:tc>
      </w:tr>
      <w:tr w:rsidR="00D624B1" w:rsidRPr="00690BB0" w:rsidTr="003F2A5D">
        <w:trPr>
          <w:jc w:val="center"/>
        </w:trPr>
        <w:tc>
          <w:tcPr>
            <w:tcW w:w="4876" w:type="dxa"/>
          </w:tcPr>
          <w:p w:rsidR="00D624B1" w:rsidRPr="00690BB0" w:rsidRDefault="00D624B1" w:rsidP="003F2A5D">
            <w:pPr>
              <w:widowControl/>
            </w:pPr>
          </w:p>
        </w:tc>
        <w:tc>
          <w:tcPr>
            <w:tcW w:w="4876" w:type="dxa"/>
          </w:tcPr>
          <w:p w:rsidR="00D624B1" w:rsidRPr="00690BB0" w:rsidRDefault="00D624B1" w:rsidP="003F2A5D">
            <w:pPr>
              <w:pStyle w:val="Normal6a"/>
              <w:widowControl/>
            </w:pPr>
            <w:r w:rsidRPr="00690BB0">
              <w:rPr>
                <w:b/>
                <w:i/>
              </w:rPr>
              <w:t>_________________</w:t>
            </w:r>
          </w:p>
        </w:tc>
      </w:tr>
      <w:tr w:rsidR="00D624B1" w:rsidRPr="00690BB0" w:rsidTr="003F2A5D">
        <w:trPr>
          <w:jc w:val="center"/>
        </w:trPr>
        <w:tc>
          <w:tcPr>
            <w:tcW w:w="4876" w:type="dxa"/>
          </w:tcPr>
          <w:p w:rsidR="00D624B1" w:rsidRPr="00690BB0" w:rsidRDefault="00D624B1" w:rsidP="003F2A5D">
            <w:pPr>
              <w:widowControl/>
            </w:pPr>
          </w:p>
        </w:tc>
        <w:tc>
          <w:tcPr>
            <w:tcW w:w="4876" w:type="dxa"/>
          </w:tcPr>
          <w:p w:rsidR="00D624B1" w:rsidRPr="00690BB0" w:rsidRDefault="00D624B1" w:rsidP="003F2A5D">
            <w:pPr>
              <w:pStyle w:val="Normal6a"/>
              <w:widowControl/>
            </w:pPr>
            <w:r w:rsidRPr="00690BB0">
              <w:rPr>
                <w:b/>
                <w:i/>
                <w:vertAlign w:val="superscript"/>
              </w:rPr>
              <w:t>1a</w:t>
            </w:r>
            <w:r w:rsidRPr="00690BB0">
              <w:t xml:space="preserve"> </w:t>
            </w:r>
            <w:r w:rsidRPr="00690BB0">
              <w:rPr>
                <w:b/>
                <w:i/>
              </w:rPr>
              <w:t>Meddelande från kommissionen till Europaparlamentet, Europeiska rådet, rådet, Europeiska ekonomiska och sociala kommittén samt Regionkommittén, Den europeiska gröna given</w:t>
            </w:r>
            <w:r w:rsidRPr="00690BB0">
              <w:t xml:space="preserve"> </w:t>
            </w:r>
            <w:r w:rsidRPr="00690BB0">
              <w:rPr>
                <w:b/>
                <w:i/>
              </w:rPr>
              <w:t>COM(2019)0640</w:t>
            </w:r>
          </w:p>
        </w:tc>
      </w:tr>
      <w:tr w:rsidR="00D624B1" w:rsidRPr="00690BB0" w:rsidTr="003F2A5D">
        <w:trPr>
          <w:jc w:val="center"/>
        </w:trPr>
        <w:tc>
          <w:tcPr>
            <w:tcW w:w="4876" w:type="dxa"/>
          </w:tcPr>
          <w:p w:rsidR="00D624B1" w:rsidRPr="00690BB0" w:rsidRDefault="00D624B1" w:rsidP="003F2A5D">
            <w:pPr>
              <w:widowControl/>
            </w:pPr>
          </w:p>
        </w:tc>
        <w:tc>
          <w:tcPr>
            <w:tcW w:w="4876" w:type="dxa"/>
          </w:tcPr>
          <w:p w:rsidR="00D624B1" w:rsidRPr="00690BB0" w:rsidRDefault="00D624B1" w:rsidP="003F2A5D">
            <w:pPr>
              <w:pStyle w:val="Normal6a"/>
              <w:widowControl/>
            </w:pPr>
            <w:r w:rsidRPr="00690BB0">
              <w:rPr>
                <w:b/>
                <w:i/>
                <w:vertAlign w:val="superscript"/>
              </w:rPr>
              <w:t>1b</w:t>
            </w:r>
            <w:r w:rsidRPr="00690BB0">
              <w:t xml:space="preserve"> </w:t>
            </w:r>
            <w:r w:rsidRPr="00690BB0">
              <w:rPr>
                <w:b/>
                <w:i/>
              </w:rPr>
              <w:t>https://www.un.org/ga/search/view_doc.asp?symbol=A/RES/70/1</w:t>
            </w:r>
            <w:r w:rsidRPr="00690BB0">
              <w:rPr>
                <w:rFonts w:ascii="Cambria Math" w:hAnsi="Cambria Math"/>
                <w:b/>
                <w:i/>
              </w:rPr>
              <w:t>⟪</w:t>
            </w:r>
            <w:r w:rsidRPr="00690BB0">
              <w:rPr>
                <w:b/>
                <w:i/>
              </w:rPr>
              <w:t xml:space="preserve">=E </w:t>
            </w:r>
          </w:p>
        </w:tc>
      </w:tr>
      <w:tr w:rsidR="00D624B1" w:rsidRPr="00690BB0" w:rsidTr="003F2A5D">
        <w:trPr>
          <w:jc w:val="center"/>
        </w:trPr>
        <w:tc>
          <w:tcPr>
            <w:tcW w:w="4876" w:type="dxa"/>
          </w:tcPr>
          <w:p w:rsidR="00D624B1" w:rsidRPr="00690BB0" w:rsidRDefault="00D624B1" w:rsidP="003F2A5D">
            <w:pPr>
              <w:widowControl/>
            </w:pPr>
          </w:p>
        </w:tc>
        <w:tc>
          <w:tcPr>
            <w:tcW w:w="4876" w:type="dxa"/>
          </w:tcPr>
          <w:p w:rsidR="00D624B1" w:rsidRPr="00690BB0" w:rsidRDefault="00D624B1" w:rsidP="003F2A5D">
            <w:pPr>
              <w:pStyle w:val="Normal6a"/>
              <w:widowControl/>
            </w:pPr>
            <w:r w:rsidRPr="00690BB0">
              <w:rPr>
                <w:b/>
                <w:i/>
                <w:vertAlign w:val="superscript"/>
              </w:rPr>
              <w:t>1c</w:t>
            </w:r>
            <w:r w:rsidRPr="00690BB0">
              <w:t xml:space="preserve"> </w:t>
            </w:r>
            <w:r w:rsidRPr="00690BB0">
              <w:rPr>
                <w:b/>
                <w:i/>
              </w:rPr>
              <w:t>https://sdgs.un.org/goals</w:t>
            </w:r>
          </w:p>
        </w:tc>
      </w:tr>
      <w:tr w:rsidR="00D624B1" w:rsidRPr="00690BB0" w:rsidTr="003F2A5D">
        <w:trPr>
          <w:jc w:val="center"/>
        </w:trPr>
        <w:tc>
          <w:tcPr>
            <w:tcW w:w="4876" w:type="dxa"/>
          </w:tcPr>
          <w:p w:rsidR="00D624B1" w:rsidRPr="00690BB0" w:rsidRDefault="00D624B1" w:rsidP="003F2A5D">
            <w:pPr>
              <w:widowControl/>
            </w:pPr>
          </w:p>
        </w:tc>
        <w:tc>
          <w:tcPr>
            <w:tcW w:w="4876" w:type="dxa"/>
          </w:tcPr>
          <w:p w:rsidR="00D624B1" w:rsidRPr="00690BB0" w:rsidRDefault="00D624B1" w:rsidP="003F2A5D">
            <w:pPr>
              <w:pStyle w:val="Normal6a"/>
              <w:widowControl/>
            </w:pPr>
            <w:r w:rsidRPr="00690BB0">
              <w:rPr>
                <w:b/>
                <w:i/>
                <w:vertAlign w:val="superscript"/>
              </w:rPr>
              <w:t>1d</w:t>
            </w:r>
            <w:r w:rsidRPr="00690BB0">
              <w:rPr>
                <w:b/>
                <w:i/>
              </w:rPr>
              <w:t xml:space="preserve"> COM(2020)0789</w:t>
            </w:r>
          </w:p>
        </w:tc>
      </w:tr>
      <w:tr w:rsidR="00D624B1" w:rsidRPr="00690BB0" w:rsidTr="003F2A5D">
        <w:trPr>
          <w:jc w:val="center"/>
        </w:trPr>
        <w:tc>
          <w:tcPr>
            <w:tcW w:w="4876" w:type="dxa"/>
          </w:tcPr>
          <w:p w:rsidR="00D624B1" w:rsidRPr="00690BB0" w:rsidRDefault="00D624B1" w:rsidP="003F2A5D">
            <w:pPr>
              <w:widowControl/>
            </w:pPr>
          </w:p>
        </w:tc>
        <w:tc>
          <w:tcPr>
            <w:tcW w:w="4876" w:type="dxa"/>
          </w:tcPr>
          <w:p w:rsidR="00D624B1" w:rsidRPr="00690BB0" w:rsidRDefault="00D624B1" w:rsidP="003F2A5D">
            <w:pPr>
              <w:pStyle w:val="Normal6a"/>
              <w:widowControl/>
            </w:pPr>
            <w:r w:rsidRPr="00690BB0">
              <w:rPr>
                <w:b/>
                <w:i/>
                <w:vertAlign w:val="superscript"/>
              </w:rPr>
              <w:t>1e</w:t>
            </w:r>
            <w:r w:rsidRPr="00690BB0">
              <w:rPr>
                <w:b/>
                <w:i/>
              </w:rPr>
              <w:t xml:space="preserve"> COM(2021)0400</w:t>
            </w:r>
          </w:p>
        </w:tc>
      </w:tr>
      <w:tr w:rsidR="00D624B1" w:rsidRPr="00690BB0" w:rsidTr="003F2A5D">
        <w:trPr>
          <w:jc w:val="center"/>
        </w:trPr>
        <w:tc>
          <w:tcPr>
            <w:tcW w:w="4876" w:type="dxa"/>
          </w:tcPr>
          <w:p w:rsidR="00D624B1" w:rsidRPr="00690BB0" w:rsidRDefault="00D624B1" w:rsidP="003F2A5D">
            <w:pPr>
              <w:widowControl/>
            </w:pPr>
          </w:p>
        </w:tc>
        <w:tc>
          <w:tcPr>
            <w:tcW w:w="4876" w:type="dxa"/>
          </w:tcPr>
          <w:p w:rsidR="00D624B1" w:rsidRPr="00690BB0" w:rsidRDefault="00D624B1" w:rsidP="003F2A5D">
            <w:pPr>
              <w:pStyle w:val="Normal6a"/>
              <w:widowControl/>
            </w:pPr>
            <w:r w:rsidRPr="00690BB0">
              <w:rPr>
                <w:b/>
                <w:i/>
                <w:vertAlign w:val="superscript"/>
              </w:rPr>
              <w:t xml:space="preserve">1f </w:t>
            </w:r>
            <w:r w:rsidRPr="00690BB0">
              <w:rPr>
                <w:b/>
                <w:i/>
              </w:rPr>
              <w:t>Direktiv 2008/50/EG</w:t>
            </w:r>
          </w:p>
        </w:tc>
      </w:tr>
      <w:tr w:rsidR="00D624B1" w:rsidRPr="00690BB0" w:rsidTr="003F2A5D">
        <w:trPr>
          <w:jc w:val="center"/>
        </w:trPr>
        <w:tc>
          <w:tcPr>
            <w:tcW w:w="4876" w:type="dxa"/>
          </w:tcPr>
          <w:p w:rsidR="00D624B1" w:rsidRPr="00690BB0" w:rsidRDefault="00D624B1" w:rsidP="003F2A5D">
            <w:pPr>
              <w:widowControl/>
            </w:pPr>
          </w:p>
        </w:tc>
        <w:tc>
          <w:tcPr>
            <w:tcW w:w="4876" w:type="dxa"/>
          </w:tcPr>
          <w:p w:rsidR="00D624B1" w:rsidRPr="00690BB0" w:rsidRDefault="00D624B1" w:rsidP="003F2A5D">
            <w:pPr>
              <w:pStyle w:val="Normal6a"/>
              <w:widowControl/>
            </w:pPr>
            <w:r w:rsidRPr="00690BB0">
              <w:rPr>
                <w:b/>
                <w:i/>
                <w:vertAlign w:val="superscript"/>
              </w:rPr>
              <w:t>1g</w:t>
            </w:r>
            <w:r w:rsidRPr="00690BB0">
              <w:rPr>
                <w:b/>
                <w:i/>
              </w:rPr>
              <w:t xml:space="preserve"> COM(2020)0102 och COM(2021)0350</w:t>
            </w:r>
          </w:p>
        </w:tc>
      </w:tr>
      <w:tr w:rsidR="00D624B1" w:rsidRPr="00690BB0" w:rsidTr="003F2A5D">
        <w:trPr>
          <w:jc w:val="center"/>
        </w:trPr>
        <w:tc>
          <w:tcPr>
            <w:tcW w:w="4876" w:type="dxa"/>
          </w:tcPr>
          <w:p w:rsidR="00D624B1" w:rsidRPr="00690BB0" w:rsidRDefault="00D624B1" w:rsidP="003F2A5D">
            <w:pPr>
              <w:widowControl/>
            </w:pPr>
          </w:p>
        </w:tc>
        <w:tc>
          <w:tcPr>
            <w:tcW w:w="4876" w:type="dxa"/>
          </w:tcPr>
          <w:p w:rsidR="00D624B1" w:rsidRPr="00690BB0" w:rsidRDefault="00D624B1" w:rsidP="003F2A5D">
            <w:pPr>
              <w:pStyle w:val="Normal6a"/>
              <w:widowControl/>
            </w:pPr>
            <w:r w:rsidRPr="00690BB0">
              <w:rPr>
                <w:b/>
                <w:i/>
                <w:vertAlign w:val="superscript"/>
              </w:rPr>
              <w:t>1h</w:t>
            </w:r>
            <w:r w:rsidRPr="00690BB0">
              <w:rPr>
                <w:b/>
                <w:i/>
              </w:rPr>
              <w:t xml:space="preserve"> COM(2021)0556</w:t>
            </w:r>
          </w:p>
        </w:tc>
      </w:tr>
      <w:tr w:rsidR="00D624B1" w:rsidRPr="00690BB0" w:rsidTr="003F2A5D">
        <w:trPr>
          <w:jc w:val="center"/>
        </w:trPr>
        <w:tc>
          <w:tcPr>
            <w:tcW w:w="4876" w:type="dxa"/>
          </w:tcPr>
          <w:p w:rsidR="00D624B1" w:rsidRPr="00690BB0" w:rsidRDefault="00D624B1" w:rsidP="003F2A5D">
            <w:pPr>
              <w:widowControl/>
            </w:pPr>
          </w:p>
        </w:tc>
        <w:tc>
          <w:tcPr>
            <w:tcW w:w="4876" w:type="dxa"/>
          </w:tcPr>
          <w:p w:rsidR="00D624B1" w:rsidRPr="00690BB0" w:rsidRDefault="00D624B1" w:rsidP="003F2A5D">
            <w:pPr>
              <w:pStyle w:val="Normal6a"/>
              <w:widowControl/>
            </w:pPr>
            <w:r w:rsidRPr="00690BB0">
              <w:rPr>
                <w:b/>
                <w:i/>
                <w:vertAlign w:val="superscript"/>
              </w:rPr>
              <w:t xml:space="preserve">1i </w:t>
            </w:r>
            <w:r w:rsidRPr="00690BB0">
              <w:rPr>
                <w:b/>
                <w:i/>
              </w:rPr>
              <w:t>COM(2023)0088</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3</w:t>
      </w:r>
    </w:p>
    <w:p w:rsidR="00D624B1" w:rsidRPr="00690BB0" w:rsidRDefault="00D624B1" w:rsidP="00D624B1">
      <w:pPr>
        <w:pStyle w:val="NormalBold12b"/>
        <w:widowControl/>
      </w:pPr>
      <w:r w:rsidRPr="00690BB0">
        <w:t>Förslag till förordning</w:t>
      </w:r>
    </w:p>
    <w:p w:rsidR="00D624B1" w:rsidRPr="00690BB0" w:rsidRDefault="00D624B1" w:rsidP="00D624B1">
      <w:pPr>
        <w:pStyle w:val="NormalBold"/>
        <w:widowControl/>
      </w:pPr>
      <w:r w:rsidRPr="00690BB0">
        <w:t>Skäl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(1)</w:t>
            </w:r>
            <w:r w:rsidRPr="00690BB0">
              <w:tab/>
              <w:t>Den inre marknaden är ett område där fri rörlighet för varor, personer, tjänster och kapital måste säkerställas. Därför infördes genom Europaparlamentets och rådets förordning (EU) 2018/858</w:t>
            </w:r>
            <w:r w:rsidRPr="00690BB0">
              <w:rPr>
                <w:vertAlign w:val="superscript"/>
              </w:rPr>
              <w:t>43</w:t>
            </w:r>
            <w:r w:rsidRPr="00690BB0">
              <w:t xml:space="preserve"> ett omfattande system för typgodkännande av och marknadskontroll över motorfordon och släpfordon samt av system, komponenter och separata tekniska enheter som är avsedda för sådana fordon.</w:t>
            </w:r>
          </w:p>
        </w:tc>
        <w:tc>
          <w:tcPr>
            <w:tcW w:w="4876" w:type="dxa"/>
          </w:tcPr>
          <w:p w:rsidR="00D624B1" w:rsidRPr="00690BB0" w:rsidRDefault="00D624B1" w:rsidP="003F2A5D">
            <w:pPr>
              <w:pStyle w:val="Normal6a"/>
              <w:widowControl/>
            </w:pPr>
            <w:r w:rsidRPr="00690BB0">
              <w:t>(1)</w:t>
            </w:r>
            <w:r w:rsidRPr="00690BB0">
              <w:tab/>
              <w:t>Den inre marknaden är ett område där fri rörlighet för varor, personer, tjänster och kapital måste säkerställas. Därför infördes genom Europaparlamentets och rådets förordning (EU) 2018/858</w:t>
            </w:r>
            <w:r w:rsidRPr="00690BB0">
              <w:rPr>
                <w:vertAlign w:val="superscript"/>
              </w:rPr>
              <w:t>43</w:t>
            </w:r>
            <w:r w:rsidRPr="00690BB0">
              <w:t xml:space="preserve"> ett omfattande system för typgodkännande av och marknadskontroll över motorfordon och släpfordon samt av system, komponenter och separata tekniska enheter som är avsedda för sådana fordon</w:t>
            </w:r>
            <w:r w:rsidRPr="00690BB0">
              <w:rPr>
                <w:b/>
                <w:i/>
              </w:rPr>
              <w:t xml:space="preserve"> och däck för alla fordon</w:t>
            </w:r>
            <w:r w:rsidRPr="00690BB0">
              <w:t>.</w:t>
            </w:r>
          </w:p>
        </w:tc>
      </w:tr>
      <w:tr w:rsidR="00D624B1" w:rsidRPr="00690BB0" w:rsidTr="003F2A5D">
        <w:trPr>
          <w:jc w:val="center"/>
        </w:trPr>
        <w:tc>
          <w:tcPr>
            <w:tcW w:w="4876" w:type="dxa"/>
          </w:tcPr>
          <w:p w:rsidR="00D624B1" w:rsidRPr="00690BB0" w:rsidRDefault="00D624B1" w:rsidP="003F2A5D">
            <w:pPr>
              <w:pStyle w:val="Normal6a"/>
              <w:widowControl/>
            </w:pPr>
            <w:r w:rsidRPr="00690BB0">
              <w:rPr>
                <w:b/>
                <w:i/>
              </w:rPr>
              <w:lastRenderedPageBreak/>
              <w:t>_________________</w:t>
            </w:r>
          </w:p>
        </w:tc>
        <w:tc>
          <w:tcPr>
            <w:tcW w:w="4876" w:type="dxa"/>
          </w:tcPr>
          <w:p w:rsidR="00D624B1" w:rsidRPr="00690BB0" w:rsidRDefault="00D624B1" w:rsidP="003F2A5D">
            <w:pPr>
              <w:pStyle w:val="Normal6a"/>
              <w:widowControl/>
            </w:pPr>
            <w:r w:rsidRPr="00690BB0">
              <w:rPr>
                <w:b/>
                <w:i/>
              </w:rPr>
              <w:t>_________________</w:t>
            </w:r>
          </w:p>
        </w:tc>
      </w:tr>
      <w:tr w:rsidR="00D624B1" w:rsidRPr="00690BB0" w:rsidTr="003F2A5D">
        <w:trPr>
          <w:jc w:val="center"/>
        </w:trPr>
        <w:tc>
          <w:tcPr>
            <w:tcW w:w="4876" w:type="dxa"/>
          </w:tcPr>
          <w:p w:rsidR="00D624B1" w:rsidRPr="00690BB0" w:rsidRDefault="00D624B1" w:rsidP="003F2A5D">
            <w:pPr>
              <w:pStyle w:val="Normal6a"/>
              <w:widowControl/>
            </w:pPr>
            <w:r w:rsidRPr="00690BB0">
              <w:rPr>
                <w:vertAlign w:val="superscript"/>
              </w:rPr>
              <w:t>43</w:t>
            </w:r>
            <w:r w:rsidRPr="00690BB0">
              <w:t xml:space="preserve"> Europaparlamentets och rådets förordning (EU) 2018/858 av den 30 maj 2018 om godkännande av och marknadskontroll över motorfordon och släpfordon till dessa fordon samt av system, komponenter och separata tekniska enheter som är avsedda för sådana fordon, om ändring av förordningarna (EG) nr 715/2007 och (EG) nr 595/2009 samt upphävande av direktiv 2007/46/EG (EUT L 151, 14.6.2018, s. 1).</w:t>
            </w:r>
          </w:p>
        </w:tc>
        <w:tc>
          <w:tcPr>
            <w:tcW w:w="4876" w:type="dxa"/>
          </w:tcPr>
          <w:p w:rsidR="00D624B1" w:rsidRPr="00690BB0" w:rsidRDefault="00D624B1" w:rsidP="003F2A5D">
            <w:pPr>
              <w:pStyle w:val="Normal6a"/>
              <w:widowControl/>
            </w:pPr>
            <w:r w:rsidRPr="00690BB0">
              <w:rPr>
                <w:vertAlign w:val="superscript"/>
              </w:rPr>
              <w:t>43</w:t>
            </w:r>
            <w:r w:rsidRPr="00690BB0">
              <w:t xml:space="preserve"> Europaparlamentets och rådets förordning (EU) 2018/858 av den 30 maj 2018 om godkännande av och marknadskontroll över motorfordon och släpfordon till dessa fordon samt av system, komponenter och separata tekniska enheter som är avsedda för sådana fordon, om ändring av förordningarna (EG) nr 715/2007 och (EG) nr 595/2009 samt upphävande av direktiv 2007/46/EG (EUT L 151, 14.6.2018, s. 1).</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4</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Skäl 2a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p>
        </w:tc>
        <w:tc>
          <w:tcPr>
            <w:tcW w:w="4876" w:type="dxa"/>
          </w:tcPr>
          <w:p w:rsidR="00D624B1" w:rsidRPr="00690BB0" w:rsidRDefault="00D624B1" w:rsidP="003F2A5D">
            <w:pPr>
              <w:pStyle w:val="Normal6a"/>
              <w:widowControl/>
            </w:pPr>
            <w:r w:rsidRPr="00690BB0">
              <w:rPr>
                <w:b/>
                <w:i/>
              </w:rPr>
              <w:t>(2a)</w:t>
            </w:r>
            <w:r w:rsidRPr="00690BB0">
              <w:tab/>
            </w:r>
            <w:r w:rsidRPr="00690BB0">
              <w:rPr>
                <w:b/>
                <w:i/>
              </w:rPr>
              <w:t>En framgångsrik omställning till utsläppsfri rörlighet kräver en samordnad strategi och ett gynnsamt klimat för att stimulera innovation och behålla unionens tekniska ledarskap i denna sektor. Det innebär bl.a. offentliga och privata investeringar i forskning och innovation, ökad tillgång på utsläppsfria och utsläppssnåla fordon, utbyggnad av infrastruktur för laddning och tankning, integrering i energisystemen samt hållbar materialförsörjning och hållbar tillverkning, återanvändning och återvinning av batterier i Europa. Det kräver samstämda åtgärder på unionsnivå samt nationell, regional och lokal nivå.</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5</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Skäl 2b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p>
        </w:tc>
        <w:tc>
          <w:tcPr>
            <w:tcW w:w="4876" w:type="dxa"/>
          </w:tcPr>
          <w:p w:rsidR="00D624B1" w:rsidRPr="00690BB0" w:rsidRDefault="00D624B1" w:rsidP="003F2A5D">
            <w:pPr>
              <w:pStyle w:val="Normal6a"/>
              <w:widowControl/>
            </w:pPr>
            <w:r w:rsidRPr="00690BB0">
              <w:rPr>
                <w:b/>
                <w:i/>
              </w:rPr>
              <w:t>(2b)</w:t>
            </w:r>
            <w:r w:rsidRPr="00690BB0">
              <w:tab/>
            </w:r>
            <w:r w:rsidRPr="00690BB0">
              <w:rPr>
                <w:b/>
                <w:i/>
              </w:rPr>
              <w:t xml:space="preserve">För att stödja omställningen till ren mobilitet samtidigt som man </w:t>
            </w:r>
            <w:r w:rsidRPr="00690BB0">
              <w:rPr>
                <w:b/>
                <w:i/>
              </w:rPr>
              <w:lastRenderedPageBreak/>
              <w:t>återindustrialiserar Europa och stöder medborgarna är det viktigt att hålla priserna för privata och kommersiella fordon på en överkomlig nivå för medborgare och företag. Detta kommer att hjälpa till att upprätthålla livskvaliteten, den industriella konkurrenskraften och innovationen, stödja skapandet av arbetstillfällen och kompetensutvecklingen i sektorn.</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6</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Skäl 2c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p>
        </w:tc>
        <w:tc>
          <w:tcPr>
            <w:tcW w:w="4876" w:type="dxa"/>
          </w:tcPr>
          <w:p w:rsidR="00D624B1" w:rsidRPr="00690BB0" w:rsidRDefault="00D624B1" w:rsidP="003F2A5D">
            <w:pPr>
              <w:pStyle w:val="Normal6a"/>
              <w:widowControl/>
            </w:pPr>
            <w:r w:rsidRPr="00690BB0">
              <w:rPr>
                <w:b/>
                <w:i/>
              </w:rPr>
              <w:t>(2c)</w:t>
            </w:r>
            <w:r w:rsidRPr="00690BB0">
              <w:tab/>
            </w:r>
            <w:r w:rsidRPr="00690BB0">
              <w:rPr>
                <w:b/>
                <w:i/>
              </w:rPr>
              <w:t>En socialt godtagbar och rättvis övergång till utsläppsfri rörlighet bör säkerställas. Därför är det viktigt att beakta en sådan omställnings sociala effekter genom bilindustrins hela värdekedja och proaktivt ta itu med konsekvenserna för sysselsättningen. Riktade program på unionsnivå och nationell och regional nivå såsom utvecklingen av planer för en rättvis omställning för regioner som är beroende av bilar, ska utvecklas inom ramen för mekanismen för en rättvis omställning, för omskolning, kompetensutveckling och omplacering av arbetstagare samt utbildnings- och jobbsökningsinitiativ i samhällen och regioner som påverkas negativt, i nära dialog med arbetsmarknadens parter och behöriga myndigheter. Som ett led i denna omställning bör kvinnors sysselsättning och lika möjligheter i denna sektor stärkas.</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7</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Skäl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(4)</w:t>
            </w:r>
            <w:r w:rsidRPr="00690BB0">
              <w:tab/>
              <w:t>De tekniska kraven för typgodkännande av motorfordon, motorer och ersättningsdelar med avseende på utsläpp (typgodkännande avseende utsläpp) fastställs för närvarande i två förordningar som gäller för typgodkännande avseende utsläpp från lätta respektive tunga fordon, nämligen Europaparlamentets och rådets förordning (EG) nr 715/2007 (Euro 6)</w:t>
            </w:r>
            <w:r w:rsidRPr="00690BB0">
              <w:rPr>
                <w:vertAlign w:val="superscript"/>
              </w:rPr>
              <w:t>44</w:t>
            </w:r>
            <w:r w:rsidRPr="00690BB0">
              <w:t xml:space="preserve"> och Europaparlamentets och rådets förordning (EG) nr 595/2009 (Euro VI)</w:t>
            </w:r>
            <w:r w:rsidRPr="00690BB0">
              <w:rPr>
                <w:vertAlign w:val="superscript"/>
              </w:rPr>
              <w:t>45</w:t>
            </w:r>
            <w:r w:rsidRPr="00690BB0">
              <w:t xml:space="preserve">. </w:t>
            </w:r>
            <w:r w:rsidRPr="00690BB0">
              <w:rPr>
                <w:b/>
                <w:i/>
              </w:rPr>
              <w:t>Anledningen till att det fanns två förordningar var att utsläppen från tunga fordon kontrollerades på grundval av motorprovningar, medan man för lätta fordon använde sig av provning av hela fordonet. Sedan dess har metoder utvecklats som gör det möjligt att testa både lätta och tunga fordon på väg. Det är därför inte längre nödvändigt att basera typgodkännandet på motorprovning.</w:t>
            </w:r>
          </w:p>
        </w:tc>
        <w:tc>
          <w:tcPr>
            <w:tcW w:w="4876" w:type="dxa"/>
          </w:tcPr>
          <w:p w:rsidR="00D624B1" w:rsidRPr="00690BB0" w:rsidRDefault="00D624B1" w:rsidP="003F2A5D">
            <w:pPr>
              <w:pStyle w:val="Normal6a"/>
              <w:widowControl/>
            </w:pPr>
            <w:r w:rsidRPr="00690BB0">
              <w:t>(4)</w:t>
            </w:r>
            <w:r w:rsidRPr="00690BB0">
              <w:tab/>
              <w:t>De tekniska kraven för typgodkännande av motorfordon, motorer och ersättningsdelar med avseende på utsläpp (typgodkännande avseende utsläpp) fastställs för närvarande i två förordningar som gäller för typgodkännande avseende utsläpp från lätta respektive tunga fordon, nämligen Europaparlamentets och rådets förordning (EG) nr 715/2007 (Euro 6)</w:t>
            </w:r>
            <w:r w:rsidRPr="00690BB0">
              <w:rPr>
                <w:vertAlign w:val="superscript"/>
              </w:rPr>
              <w:t>44</w:t>
            </w:r>
            <w:r w:rsidRPr="00690BB0">
              <w:t xml:space="preserve"> och Europaparlamentets och rådets förordning (EG) nr 595/2009 (Euro VI)</w:t>
            </w:r>
            <w:r w:rsidRPr="00690BB0">
              <w:rPr>
                <w:vertAlign w:val="superscript"/>
              </w:rPr>
              <w:t>45</w:t>
            </w:r>
            <w:r w:rsidRPr="00690BB0">
              <w:t>.</w:t>
            </w:r>
          </w:p>
        </w:tc>
      </w:tr>
      <w:tr w:rsidR="00D624B1" w:rsidRPr="00690BB0" w:rsidTr="003F2A5D">
        <w:trPr>
          <w:jc w:val="center"/>
        </w:trPr>
        <w:tc>
          <w:tcPr>
            <w:tcW w:w="4876" w:type="dxa"/>
          </w:tcPr>
          <w:p w:rsidR="00D624B1" w:rsidRPr="00690BB0" w:rsidRDefault="00D624B1" w:rsidP="003F2A5D">
            <w:pPr>
              <w:pStyle w:val="Normal6a"/>
              <w:widowControl/>
            </w:pPr>
            <w:r w:rsidRPr="00690BB0">
              <w:rPr>
                <w:b/>
                <w:i/>
              </w:rPr>
              <w:t>_________________</w:t>
            </w:r>
          </w:p>
        </w:tc>
        <w:tc>
          <w:tcPr>
            <w:tcW w:w="4876" w:type="dxa"/>
          </w:tcPr>
          <w:p w:rsidR="00D624B1" w:rsidRPr="00690BB0" w:rsidRDefault="00D624B1" w:rsidP="003F2A5D">
            <w:pPr>
              <w:pStyle w:val="Normal6a"/>
              <w:widowControl/>
            </w:pPr>
            <w:r w:rsidRPr="00690BB0">
              <w:rPr>
                <w:b/>
                <w:i/>
              </w:rPr>
              <w:t>_________________</w:t>
            </w:r>
          </w:p>
        </w:tc>
      </w:tr>
      <w:tr w:rsidR="00D624B1" w:rsidRPr="00690BB0" w:rsidTr="003F2A5D">
        <w:trPr>
          <w:jc w:val="center"/>
        </w:trPr>
        <w:tc>
          <w:tcPr>
            <w:tcW w:w="4876" w:type="dxa"/>
          </w:tcPr>
          <w:p w:rsidR="00D624B1" w:rsidRPr="00690BB0" w:rsidRDefault="00D624B1" w:rsidP="003F2A5D">
            <w:pPr>
              <w:pStyle w:val="Normal6a"/>
              <w:widowControl/>
            </w:pPr>
            <w:r w:rsidRPr="00690BB0">
              <w:rPr>
                <w:vertAlign w:val="superscript"/>
              </w:rPr>
              <w:t>44</w:t>
            </w:r>
            <w:r w:rsidRPr="00690BB0">
              <w:t xml:space="preserve"> Europaparlamentets och rådets förordning (EG) nr 715/2007 av den 20 juni 2007 om typgodkännande av motorfordon med avseende på utsläpp från lätta personbilar och lätta nyttofordon (Euro 5 och Euro 6) och om tillgång till information om reparation och underhåll av fordon (EUT L 171, 29.6.2007, s. 1).</w:t>
            </w:r>
          </w:p>
        </w:tc>
        <w:tc>
          <w:tcPr>
            <w:tcW w:w="4876" w:type="dxa"/>
          </w:tcPr>
          <w:p w:rsidR="00D624B1" w:rsidRPr="00690BB0" w:rsidRDefault="00D624B1" w:rsidP="003F2A5D">
            <w:pPr>
              <w:pStyle w:val="Normal6a"/>
              <w:widowControl/>
            </w:pPr>
            <w:r w:rsidRPr="00690BB0">
              <w:rPr>
                <w:vertAlign w:val="superscript"/>
              </w:rPr>
              <w:t>44</w:t>
            </w:r>
            <w:r w:rsidRPr="00690BB0">
              <w:t xml:space="preserve"> Europaparlamentets och rådets förordning (EG) nr 715/2007 av den 20 juni 2007 om typgodkännande av motorfordon med avseende på utsläpp från lätta personbilar och lätta nyttofordon (Euro 5 och Euro 6) och om tillgång till information om reparation och underhåll av fordon (EUT L 171, 29.6.2007, s. 1).</w:t>
            </w:r>
          </w:p>
        </w:tc>
      </w:tr>
      <w:tr w:rsidR="00D624B1" w:rsidRPr="00690BB0" w:rsidTr="003F2A5D">
        <w:trPr>
          <w:jc w:val="center"/>
        </w:trPr>
        <w:tc>
          <w:tcPr>
            <w:tcW w:w="4876" w:type="dxa"/>
          </w:tcPr>
          <w:p w:rsidR="00D624B1" w:rsidRPr="00690BB0" w:rsidRDefault="00D624B1" w:rsidP="003F2A5D">
            <w:pPr>
              <w:pStyle w:val="Normal6a"/>
              <w:widowControl/>
            </w:pPr>
            <w:r w:rsidRPr="00690BB0">
              <w:rPr>
                <w:vertAlign w:val="superscript"/>
              </w:rPr>
              <w:t>45</w:t>
            </w:r>
            <w:r w:rsidRPr="00690BB0">
              <w:t xml:space="preserve"> Europaparlamentets och rådets förordning (EG) nr 595/2009 av den 18 juni 2009 om typgodkännande av motorfordon och motorer vad gäller utsläpp från tunga fordon (Euro 6) och om tillgång till information om reparation och underhåll av fordon samt om ändring av förordning (EG) nr 715/2007 och direktiv 2007/46/EG och om upphävande av direktiven 80/1269/EEG, 2005/55/EG och 2005/78/EG (EUT L 188, 18.7.2009, s. 1).</w:t>
            </w:r>
          </w:p>
        </w:tc>
        <w:tc>
          <w:tcPr>
            <w:tcW w:w="4876" w:type="dxa"/>
          </w:tcPr>
          <w:p w:rsidR="00D624B1" w:rsidRPr="00690BB0" w:rsidRDefault="00D624B1" w:rsidP="003F2A5D">
            <w:pPr>
              <w:pStyle w:val="Normal6a"/>
              <w:widowControl/>
            </w:pPr>
            <w:r w:rsidRPr="00690BB0">
              <w:rPr>
                <w:vertAlign w:val="superscript"/>
              </w:rPr>
              <w:t>45</w:t>
            </w:r>
            <w:r w:rsidRPr="00690BB0">
              <w:t xml:space="preserve"> Europaparlamentets och rådets förordning (EG) nr 595/2009 av den 18 juni 2009 om typgodkännande av motorfordon och motorer vad gäller utsläpp från tunga fordon (Euro 6) och om tillgång till information om reparation och underhåll av fordon samt om ändring av förordning (EG) nr 715/2007 och direktiv 2007/46/EG och om upphävande av direktiven 80/1269/EEG, 2005/55/EG och 2005/78/EG (EUT L 188, 18.7.2009, s. 1).</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8</w:t>
      </w:r>
    </w:p>
    <w:p w:rsidR="00D624B1" w:rsidRPr="00690BB0" w:rsidRDefault="00D624B1" w:rsidP="00D624B1">
      <w:pPr>
        <w:pStyle w:val="NormalBold12b"/>
        <w:widowControl/>
      </w:pPr>
    </w:p>
    <w:p w:rsidR="00D624B1" w:rsidRPr="00690BB0" w:rsidRDefault="00D624B1" w:rsidP="00D624B1">
      <w:pPr>
        <w:pStyle w:val="NormalBold"/>
        <w:widowControl/>
      </w:pPr>
      <w:r w:rsidRPr="00690BB0">
        <w:lastRenderedPageBreak/>
        <w:t>Förslag till förordning</w:t>
      </w:r>
    </w:p>
    <w:p w:rsidR="00D624B1" w:rsidRPr="00690BB0" w:rsidRDefault="00D624B1" w:rsidP="00D624B1">
      <w:pPr>
        <w:pStyle w:val="NormalBold"/>
        <w:widowControl/>
      </w:pPr>
      <w:r w:rsidRPr="00690BB0">
        <w:t>Skäl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(5)</w:t>
            </w:r>
            <w:r w:rsidRPr="00690BB0">
              <w:tab/>
              <w:t>Genom att sammanföra kraven i förordning (EG) nr 715/2007 och förordning (EG) nr 595/2009 i en enda förordning borde det säkerställas att systemet för typgodkännande avseende utsläpp är enhetligt för både lätta och tunga fordon, samtidigt som olika utsläppsgränser tillåts för sådana fordon.</w:t>
            </w:r>
          </w:p>
        </w:tc>
        <w:tc>
          <w:tcPr>
            <w:tcW w:w="4876" w:type="dxa"/>
          </w:tcPr>
          <w:p w:rsidR="00D624B1" w:rsidRPr="00690BB0" w:rsidRDefault="00D624B1" w:rsidP="003F2A5D">
            <w:pPr>
              <w:pStyle w:val="Normal6a"/>
              <w:widowControl/>
            </w:pPr>
            <w:r w:rsidRPr="00690BB0">
              <w:t>(5)</w:t>
            </w:r>
            <w:r w:rsidRPr="00690BB0">
              <w:tab/>
              <w:t xml:space="preserve">Genom att sammanföra kraven i förordning (EG) nr 715/2007 och förordning (EG) nr 595/2009 i en enda förordning borde det säkerställas att systemet för typgodkännande avseende utsläpp är enhetligt för både lätta och tunga fordon, samtidigt som olika utsläppsgränser </w:t>
            </w:r>
            <w:r w:rsidRPr="00690BB0">
              <w:rPr>
                <w:b/>
                <w:i/>
              </w:rPr>
              <w:t xml:space="preserve">samt regler och villkor för provning </w:t>
            </w:r>
            <w:r w:rsidRPr="00690BB0">
              <w:t>tillåts för sådana fordon.</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9</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Skäl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(7)</w:t>
            </w:r>
            <w:r w:rsidRPr="00690BB0">
              <w:tab/>
              <w:t>Det är också nödvändigt att minska komplexiteten, de administrativa kostnaderna och genomförandekostnaderna för tillverkare och myndigheter och att säkerställa ett ändamålsenligt och effektivt genomförande av Euro-utsläppsnormerna. Förenkling uppnås genom att man avskaffar de olika tillämpningsdatum för gränsvärden och provningar</w:t>
            </w:r>
            <w:r w:rsidRPr="00690BB0">
              <w:rPr>
                <w:b/>
                <w:i/>
              </w:rPr>
              <w:t xml:space="preserve"> som fanns enligt Euro 6 och Euro VI</w:t>
            </w:r>
            <w:r w:rsidRPr="00690BB0">
              <w:t>, genom att man avskaffar upprepade och komplicerade utsläppsprovningar där sådana provningar inte behövs, genom att man hänvisar till standarder i befintliga FN-föreskrifter där så är tillämpligt och genom att man säkerställer att det finns effektiva och enhetliga förfaranden och provningar för de olika faserna av typgodkännandet avseende utsläpp.</w:t>
            </w:r>
          </w:p>
        </w:tc>
        <w:tc>
          <w:tcPr>
            <w:tcW w:w="4876" w:type="dxa"/>
          </w:tcPr>
          <w:p w:rsidR="00D624B1" w:rsidRPr="00690BB0" w:rsidRDefault="00D624B1" w:rsidP="003F2A5D">
            <w:pPr>
              <w:pStyle w:val="Normal6a"/>
              <w:widowControl/>
            </w:pPr>
            <w:r w:rsidRPr="00690BB0">
              <w:t>(7)</w:t>
            </w:r>
            <w:r w:rsidRPr="00690BB0">
              <w:tab/>
              <w:t>Det är också nödvändigt att minska komplexiteten, de administrativa kostnaderna och genomförandekostnaderna för tillverkare och myndigheter och att säkerställa ett ändamålsenligt och effektivt genomförande av Euro-utsläppsnormerna. Förenkling uppnås genom att man avskaffar de olika tillämpningsdatum för gränsvärden och provningar, genom att man avskaffar upprepade och komplicerade utsläppsprovningar där sådana provningar inte behövs, genom att man hänvisar till standarder i befintliga FN-föreskrifter där så är tillämpligt och genom att man säkerställer att det finns effektiva och enhetliga förfaranden och provningar för de olika faserna av typgodkännandet avseende utsläpp.</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10</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Skäl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lastRenderedPageBreak/>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(8)</w:t>
            </w:r>
            <w:r w:rsidRPr="00690BB0">
              <w:tab/>
              <w:t>För att säkerställa att utsläppen från både lätta och tunga fordon begränsas vid verklig körning krävs det att fordonen testas under verkliga användningsförhållanden med ett minimum av restriktioner, gränser och andra körkrav</w:t>
            </w:r>
            <w:r w:rsidRPr="00690BB0">
              <w:rPr>
                <w:b/>
                <w:i/>
              </w:rPr>
              <w:t xml:space="preserve"> och inte bara i laboratoriet.</w:t>
            </w:r>
          </w:p>
        </w:tc>
        <w:tc>
          <w:tcPr>
            <w:tcW w:w="4876" w:type="dxa"/>
          </w:tcPr>
          <w:p w:rsidR="00D624B1" w:rsidRPr="00690BB0" w:rsidRDefault="00D624B1" w:rsidP="003F2A5D">
            <w:pPr>
              <w:pStyle w:val="Normal6a"/>
              <w:widowControl/>
            </w:pPr>
            <w:r w:rsidRPr="00690BB0">
              <w:t>(8)</w:t>
            </w:r>
            <w:r w:rsidRPr="00690BB0">
              <w:tab/>
              <w:t xml:space="preserve">För att säkerställa att utsläppen från både lätta och tunga fordon begränsas vid verklig körning krävs det att fordonen testas under verkliga användningsförhållanden </w:t>
            </w:r>
            <w:r w:rsidRPr="00690BB0">
              <w:rPr>
                <w:b/>
                <w:i/>
              </w:rPr>
              <w:t xml:space="preserve">som är statistiskt relevanta </w:t>
            </w:r>
            <w:r w:rsidRPr="00690BB0">
              <w:t>med ett minimum av restriktioner, gränser och andra körkrav</w:t>
            </w:r>
            <w:r w:rsidRPr="00690BB0">
              <w:rPr>
                <w:b/>
                <w:i/>
              </w:rPr>
              <w:t>.</w:t>
            </w:r>
            <w:r w:rsidRPr="00690BB0">
              <w:t xml:space="preserve"> </w:t>
            </w:r>
            <w:r w:rsidRPr="00690BB0">
              <w:rPr>
                <w:b/>
                <w:i/>
              </w:rPr>
              <w:t>Denna provning på väg bör baseras på normal körning och utesluta partisk körning.</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11</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Skäl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(10)</w:t>
            </w:r>
            <w:r w:rsidRPr="00690BB0">
              <w:tab/>
              <w:t xml:space="preserve">Enligt förordningarna (EG) nr 715/2007 och (EG) nr 595/2009 ska fordon uppfylla utsläppsgränserna under en viss tidsperiod, vilket inte längre motsvarar fordonens genomsnittliga livslängd. Det är därför lämpligt att fastställa hållbarhetskrav som återspeglar den </w:t>
            </w:r>
            <w:r w:rsidRPr="00690BB0">
              <w:rPr>
                <w:b/>
                <w:i/>
              </w:rPr>
              <w:t xml:space="preserve">genomsnittliga </w:t>
            </w:r>
            <w:r w:rsidRPr="00690BB0">
              <w:t>förväntade livslängden för fordon i unionen.</w:t>
            </w:r>
          </w:p>
        </w:tc>
        <w:tc>
          <w:tcPr>
            <w:tcW w:w="4876" w:type="dxa"/>
          </w:tcPr>
          <w:p w:rsidR="00D624B1" w:rsidRPr="00690BB0" w:rsidRDefault="00D624B1" w:rsidP="003F2A5D">
            <w:pPr>
              <w:pStyle w:val="Normal6a"/>
              <w:widowControl/>
            </w:pPr>
            <w:r w:rsidRPr="00690BB0">
              <w:t>(10)</w:t>
            </w:r>
            <w:r w:rsidRPr="00690BB0">
              <w:tab/>
              <w:t>Enligt förordningarna (EG) nr 715/2007 och (EG) nr 595/2009 ska fordon uppfylla utsläppsgränserna under en viss tidsperiod, vilket inte längre motsvarar fordonens genomsnittliga livslängd. Det är därför lämpligt att fastställa hållbarhetskrav som återspeglar den förväntade livslängden för fordon</w:t>
            </w:r>
            <w:r w:rsidRPr="00690BB0">
              <w:rPr>
                <w:b/>
                <w:i/>
              </w:rPr>
              <w:t>1a och deras standardanvändning</w:t>
            </w:r>
            <w:r w:rsidRPr="00690BB0">
              <w:t xml:space="preserve"> i </w:t>
            </w:r>
            <w:r w:rsidRPr="00690BB0">
              <w:rPr>
                <w:b/>
                <w:i/>
              </w:rPr>
              <w:t xml:space="preserve">hela </w:t>
            </w:r>
            <w:r w:rsidRPr="00690BB0">
              <w:t>unionen</w:t>
            </w:r>
            <w:r w:rsidRPr="00690BB0">
              <w:rPr>
                <w:b/>
                <w:i/>
              </w:rPr>
              <w:t xml:space="preserve"> med hänsyn till skillnaderna mellan medlemsstaterna.</w:t>
            </w:r>
            <w:r w:rsidRPr="00690BB0">
              <w:t xml:space="preserve"> </w:t>
            </w:r>
            <w:r w:rsidRPr="00690BB0">
              <w:rPr>
                <w:b/>
                <w:i/>
              </w:rPr>
              <w:t>Det är särskilt viktigt för köpare av begagnade fordon som förväntar sig att fordonet släpper ut lika mycket som det gjorde när det släpptes ut på marknaden.</w:t>
            </w:r>
          </w:p>
        </w:tc>
      </w:tr>
      <w:tr w:rsidR="00D624B1" w:rsidRPr="00690BB0" w:rsidTr="003F2A5D">
        <w:trPr>
          <w:jc w:val="center"/>
        </w:trPr>
        <w:tc>
          <w:tcPr>
            <w:tcW w:w="4876" w:type="dxa"/>
          </w:tcPr>
          <w:p w:rsidR="00D624B1" w:rsidRPr="00690BB0" w:rsidRDefault="00D624B1" w:rsidP="003F2A5D">
            <w:pPr>
              <w:widowControl/>
            </w:pPr>
          </w:p>
        </w:tc>
        <w:tc>
          <w:tcPr>
            <w:tcW w:w="4876" w:type="dxa"/>
          </w:tcPr>
          <w:p w:rsidR="00D624B1" w:rsidRPr="00690BB0" w:rsidRDefault="00D624B1" w:rsidP="003F2A5D">
            <w:pPr>
              <w:pStyle w:val="Normal6a"/>
              <w:widowControl/>
            </w:pPr>
            <w:r w:rsidRPr="00690BB0">
              <w:rPr>
                <w:b/>
                <w:i/>
              </w:rPr>
              <w:t>_________________</w:t>
            </w:r>
          </w:p>
        </w:tc>
      </w:tr>
      <w:tr w:rsidR="00D624B1" w:rsidRPr="004C6CBD" w:rsidTr="003F2A5D">
        <w:trPr>
          <w:jc w:val="center"/>
        </w:trPr>
        <w:tc>
          <w:tcPr>
            <w:tcW w:w="4876" w:type="dxa"/>
          </w:tcPr>
          <w:p w:rsidR="00D624B1" w:rsidRPr="00690BB0" w:rsidRDefault="00D624B1" w:rsidP="003F2A5D">
            <w:pPr>
              <w:widowControl/>
            </w:pPr>
          </w:p>
        </w:tc>
        <w:tc>
          <w:tcPr>
            <w:tcW w:w="4876" w:type="dxa"/>
          </w:tcPr>
          <w:p w:rsidR="00D624B1" w:rsidRPr="00690BB0" w:rsidRDefault="00D624B1" w:rsidP="003F2A5D">
            <w:pPr>
              <w:pStyle w:val="Normal6a"/>
              <w:widowControl/>
              <w:rPr>
                <w:lang w:val="en-GB"/>
              </w:rPr>
            </w:pPr>
            <w:r w:rsidRPr="00690BB0">
              <w:rPr>
                <w:b/>
                <w:i/>
                <w:vertAlign w:val="superscript"/>
                <w:lang w:val="en-GB"/>
              </w:rPr>
              <w:t>1a</w:t>
            </w:r>
            <w:r w:rsidRPr="00690BB0">
              <w:rPr>
                <w:lang w:val="en-GB"/>
              </w:rPr>
              <w:t xml:space="preserve"> </w:t>
            </w:r>
            <w:r w:rsidRPr="00690BB0">
              <w:rPr>
                <w:b/>
                <w:i/>
                <w:lang w:val="en-GB"/>
              </w:rPr>
              <w:t>European Automobile Manufacturers' Association (ACEA) “Vehicles in Use, Europe 2022.</w:t>
            </w:r>
          </w:p>
        </w:tc>
      </w:tr>
    </w:tbl>
    <w:p w:rsidR="00D624B1" w:rsidRPr="00690BB0" w:rsidRDefault="00D624B1" w:rsidP="00D624B1">
      <w:pPr>
        <w:widowControl/>
        <w:rPr>
          <w:lang w:val="en-GB"/>
        </w:rPr>
      </w:pPr>
    </w:p>
    <w:p w:rsidR="00D624B1" w:rsidRPr="00690BB0" w:rsidRDefault="007B7831" w:rsidP="00D624B1">
      <w:pPr>
        <w:pStyle w:val="AmNumberTabs"/>
        <w:widowControl/>
      </w:pPr>
      <w:r w:rsidRPr="00690BB0">
        <w:t>Ändring</w:t>
      </w:r>
      <w:r w:rsidR="00D624B1" w:rsidRPr="00690BB0">
        <w:tab/>
      </w:r>
      <w:r w:rsidR="00D624B1" w:rsidRPr="00690BB0">
        <w:tab/>
        <w:t>12</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Skäl 10a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lastRenderedPageBreak/>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p>
        </w:tc>
        <w:tc>
          <w:tcPr>
            <w:tcW w:w="4876" w:type="dxa"/>
          </w:tcPr>
          <w:p w:rsidR="00D624B1" w:rsidRPr="00690BB0" w:rsidRDefault="00D624B1" w:rsidP="003F2A5D">
            <w:pPr>
              <w:pStyle w:val="Normal6a"/>
              <w:widowControl/>
            </w:pPr>
            <w:r w:rsidRPr="00690BB0">
              <w:rPr>
                <w:b/>
                <w:i/>
              </w:rPr>
              <w:t>(10a)</w:t>
            </w:r>
            <w:r w:rsidRPr="00690BB0">
              <w:tab/>
            </w:r>
            <w:r w:rsidRPr="00690BB0">
              <w:rPr>
                <w:b/>
                <w:i/>
              </w:rPr>
              <w:t>Medlemsstaterna uppmuntras att utveckla och genomföra strategier för att främja fordonsparkens förnyelse i syfte att förkorta fordonslivslängderna och underlätta en gradvis övergång för den europeiska fordonsparken till fordon med minskade utsläpp, vilket bidrar till ett renare och mer hållbart transportekosystem.</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13</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Skäl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(11)</w:t>
            </w:r>
            <w:r w:rsidRPr="00690BB0">
              <w:tab/>
              <w:t xml:space="preserve">Det finns nu teknik som används över hela världen och som begränsar avdunstningsutsläppen av flyktiga organiska föreningar vid användning, parkering och tankning av fordon med bensinbränsle. </w:t>
            </w:r>
            <w:r w:rsidRPr="00690BB0">
              <w:rPr>
                <w:b/>
                <w:i/>
              </w:rPr>
              <w:t>Det</w:t>
            </w:r>
            <w:r w:rsidRPr="00690BB0">
              <w:t xml:space="preserve"> är därför lämpligt att fastställa utsläppsgränserna för sådana flyktiga organiska föreningar på en lägre nivå och att införa utsläppsgränser för tankning.</w:t>
            </w:r>
          </w:p>
        </w:tc>
        <w:tc>
          <w:tcPr>
            <w:tcW w:w="4876" w:type="dxa"/>
          </w:tcPr>
          <w:p w:rsidR="00D624B1" w:rsidRPr="00690BB0" w:rsidRDefault="00D624B1" w:rsidP="003F2A5D">
            <w:pPr>
              <w:pStyle w:val="Normal6a"/>
              <w:widowControl/>
            </w:pPr>
            <w:r w:rsidRPr="00690BB0">
              <w:t>(11)</w:t>
            </w:r>
            <w:r w:rsidRPr="00690BB0">
              <w:tab/>
              <w:t xml:space="preserve">Det finns nu teknik som används över hela världen och som begränsar avdunstningsutsläppen av flyktiga organiska föreningar vid användning, parkering och tankning av fordon med bensinbränsle. </w:t>
            </w:r>
            <w:r w:rsidRPr="00690BB0">
              <w:rPr>
                <w:b/>
                <w:i/>
              </w:rPr>
              <w:t>Eftersom denna teknik redan</w:t>
            </w:r>
            <w:r w:rsidRPr="00690BB0">
              <w:t xml:space="preserve"> är </w:t>
            </w:r>
            <w:r w:rsidRPr="00690BB0">
              <w:rPr>
                <w:b/>
                <w:i/>
              </w:rPr>
              <w:t xml:space="preserve">beprövad och har genomförts på ett kostnadseffektivt sätt på andra marknader och i andra regioner är det </w:t>
            </w:r>
            <w:r w:rsidRPr="00690BB0">
              <w:t>därför lämpligt</w:t>
            </w:r>
            <w:r w:rsidRPr="00690BB0">
              <w:rPr>
                <w:b/>
                <w:i/>
              </w:rPr>
              <w:t xml:space="preserve"> för unionen att anpassa sig till andra marknader genom</w:t>
            </w:r>
            <w:r w:rsidRPr="00690BB0">
              <w:t xml:space="preserve"> att fastställa utsläppsgränserna för sådana flyktiga organiska föreningar på en lägre nivå och att införa utsläppsgränser för tankning.</w:t>
            </w:r>
          </w:p>
        </w:tc>
      </w:tr>
    </w:tbl>
    <w:p w:rsidR="00D624B1" w:rsidRPr="00690BB0" w:rsidRDefault="00D624B1" w:rsidP="00D624B1">
      <w:pPr>
        <w:widowControl/>
      </w:pPr>
    </w:p>
    <w:p w:rsidR="00D624B1" w:rsidRPr="00690BB0" w:rsidRDefault="007B7831" w:rsidP="00D624B1">
      <w:pPr>
        <w:pStyle w:val="AmNumberTabs"/>
        <w:keepNext/>
        <w:keepLines/>
        <w:widowControl/>
      </w:pPr>
      <w:r w:rsidRPr="00690BB0">
        <w:t>Ändring</w:t>
      </w:r>
      <w:r w:rsidR="00D624B1" w:rsidRPr="00690BB0">
        <w:tab/>
      </w:r>
      <w:r w:rsidR="00D624B1" w:rsidRPr="00690BB0">
        <w:tab/>
        <w:t>14</w:t>
      </w:r>
    </w:p>
    <w:p w:rsidR="00D624B1" w:rsidRPr="00690BB0" w:rsidRDefault="00D624B1" w:rsidP="00D624B1">
      <w:pPr>
        <w:pStyle w:val="NormalBold12b"/>
        <w:widowControl/>
      </w:pPr>
      <w:r w:rsidRPr="00690BB0">
        <w:t>Förslag till förordning</w:t>
      </w:r>
    </w:p>
    <w:p w:rsidR="00D624B1" w:rsidRPr="00690BB0" w:rsidRDefault="00D624B1" w:rsidP="00D624B1">
      <w:pPr>
        <w:pStyle w:val="NormalBold"/>
        <w:widowControl/>
      </w:pPr>
      <w:r w:rsidRPr="00690BB0">
        <w:t>Skäl 11a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p>
        </w:tc>
        <w:tc>
          <w:tcPr>
            <w:tcW w:w="4876" w:type="dxa"/>
          </w:tcPr>
          <w:p w:rsidR="00D624B1" w:rsidRPr="00690BB0" w:rsidRDefault="00D624B1" w:rsidP="003F2A5D">
            <w:pPr>
              <w:pStyle w:val="Normal6a"/>
              <w:widowControl/>
            </w:pPr>
            <w:r w:rsidRPr="00690BB0">
              <w:rPr>
                <w:b/>
                <w:i/>
              </w:rPr>
              <w:t>(11a)</w:t>
            </w:r>
            <w:r w:rsidRPr="00690BB0">
              <w:tab/>
            </w:r>
            <w:r w:rsidRPr="00690BB0">
              <w:rPr>
                <w:b/>
                <w:i/>
              </w:rPr>
              <w:t xml:space="preserve">För kontrollen av utsläpp vid tankning har fordonsinstallerade ångåtervinningssystem vid tankning införts på andra marknader och i andra regioner i mer än 15 år med en påvisad kontrolleffektivitet med avseende på </w:t>
            </w:r>
            <w:r w:rsidRPr="00690BB0">
              <w:rPr>
                <w:b/>
                <w:i/>
              </w:rPr>
              <w:lastRenderedPageBreak/>
              <w:t>ångor.</w:t>
            </w:r>
            <w:r w:rsidRPr="00690BB0">
              <w:t xml:space="preserve"> </w:t>
            </w:r>
            <w:r w:rsidRPr="00690BB0">
              <w:rPr>
                <w:b/>
                <w:i/>
              </w:rPr>
              <w:t>Fordonsinstallerade ångåtervinningssystem vid tankning kräver inget årligt underhåll eller årliga inspektioner för att upprätthålla en högre nivå av kontrolleffektivitet med avseende på ångor vid tankning samtidigt som den förblir förenlig med de nuvarande steg II-tankstationerna.</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15</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Skäl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(12)</w:t>
            </w:r>
            <w:r w:rsidRPr="00690BB0">
              <w:tab/>
              <w:t xml:space="preserve">Andra utsläpp än avgaser består av partiklar som avges från fordonens däck och bromsar. Utsläpp från däck beräknas vara den största källan till mikroplaster i miljön. Konsekvensbedömningen visar att andra utsläpp än avgaser förväntas utgöra upp till 90 % av alla partiklar som släpps ut från vägtransporter år 2050, eftersom avgaspartiklarna kommer att minska på grund av elektrifiering av fordon. Dessa andra utsläpp än avgaser bör därför mätas och begränsas. Kommissionen bör </w:t>
            </w:r>
            <w:r w:rsidRPr="00690BB0">
              <w:rPr>
                <w:b/>
                <w:i/>
              </w:rPr>
              <w:t>utarbeta</w:t>
            </w:r>
            <w:r w:rsidRPr="00690BB0">
              <w:t xml:space="preserve"> en </w:t>
            </w:r>
            <w:r w:rsidRPr="00690BB0">
              <w:rPr>
                <w:b/>
                <w:i/>
              </w:rPr>
              <w:t>rapport</w:t>
            </w:r>
            <w:r w:rsidRPr="00690BB0">
              <w:t xml:space="preserve"> om däckslitage senast i </w:t>
            </w:r>
            <w:r w:rsidRPr="00690BB0">
              <w:rPr>
                <w:b/>
                <w:i/>
              </w:rPr>
              <w:t>slutet</w:t>
            </w:r>
            <w:r w:rsidRPr="00690BB0">
              <w:t xml:space="preserve"> av </w:t>
            </w:r>
            <w:r w:rsidRPr="00690BB0">
              <w:rPr>
                <w:b/>
                <w:i/>
              </w:rPr>
              <w:t>2024 för</w:t>
            </w:r>
            <w:r w:rsidRPr="00690BB0">
              <w:t xml:space="preserve"> att </w:t>
            </w:r>
            <w:r w:rsidRPr="00690BB0">
              <w:rPr>
                <w:b/>
                <w:i/>
              </w:rPr>
              <w:t>se över mätmetoderna</w:t>
            </w:r>
            <w:r w:rsidRPr="00690BB0">
              <w:t xml:space="preserve"> och </w:t>
            </w:r>
            <w:r w:rsidRPr="00690BB0">
              <w:rPr>
                <w:b/>
                <w:i/>
              </w:rPr>
              <w:t>den senaste tekniken i syfte</w:t>
            </w:r>
            <w:r w:rsidRPr="00690BB0">
              <w:t xml:space="preserve"> att </w:t>
            </w:r>
            <w:r w:rsidRPr="00690BB0">
              <w:rPr>
                <w:b/>
                <w:i/>
              </w:rPr>
              <w:t>föreslå</w:t>
            </w:r>
            <w:r w:rsidRPr="00690BB0">
              <w:t xml:space="preserve"> gränsvärden för däckslitage.</w:t>
            </w:r>
          </w:p>
        </w:tc>
        <w:tc>
          <w:tcPr>
            <w:tcW w:w="4876" w:type="dxa"/>
          </w:tcPr>
          <w:p w:rsidR="00D624B1" w:rsidRPr="00690BB0" w:rsidRDefault="00D624B1" w:rsidP="003F2A5D">
            <w:pPr>
              <w:pStyle w:val="Normal6a"/>
              <w:widowControl/>
            </w:pPr>
            <w:r w:rsidRPr="00690BB0">
              <w:t>(12)</w:t>
            </w:r>
            <w:r w:rsidRPr="00690BB0">
              <w:tab/>
              <w:t xml:space="preserve">Andra utsläpp än avgaser består av partiklar som avges från fordonens däck och bromsar. Utsläpp från däck beräknas vara den största källan till mikroplaster i miljön. Konsekvensbedömningen visar att andra utsläpp än avgaser förväntas utgöra upp till 90 % av alla partiklar som släpps ut från vägtransporter år 2050, eftersom avgaspartiklarna kommer att minska på grund av elektrifiering av fordon. Dessa andra utsläpp än avgaser bör därför mätas och begränsas. Kommissionen bör </w:t>
            </w:r>
            <w:r w:rsidRPr="00690BB0">
              <w:rPr>
                <w:b/>
                <w:i/>
              </w:rPr>
              <w:t>före utgången av 2025 göra</w:t>
            </w:r>
            <w:r w:rsidRPr="00690BB0">
              <w:t xml:space="preserve"> en </w:t>
            </w:r>
            <w:r w:rsidRPr="00690BB0">
              <w:rPr>
                <w:b/>
                <w:i/>
              </w:rPr>
              <w:t>översyn av mätningen av däckslitage och fastställa nötningsgränser på grundval av de senaste metoderna,</w:t>
            </w:r>
            <w:r w:rsidRPr="00690BB0">
              <w:t xml:space="preserve"> om </w:t>
            </w:r>
            <w:r w:rsidRPr="00690BB0">
              <w:rPr>
                <w:b/>
                <w:i/>
              </w:rPr>
              <w:t xml:space="preserve">enhetliga bestämmelser inte har fastställts som hänvisar till det arbete med </w:t>
            </w:r>
            <w:r w:rsidRPr="00690BB0">
              <w:t xml:space="preserve">däckslitage </w:t>
            </w:r>
            <w:r w:rsidRPr="00690BB0">
              <w:rPr>
                <w:b/>
                <w:i/>
              </w:rPr>
              <w:t xml:space="preserve">som utförts i FN-föreskrift WP 29 </w:t>
            </w:r>
            <w:r w:rsidRPr="00690BB0">
              <w:t xml:space="preserve">senast i </w:t>
            </w:r>
            <w:r w:rsidRPr="00690BB0">
              <w:rPr>
                <w:b/>
                <w:i/>
              </w:rPr>
              <w:t>mitten</w:t>
            </w:r>
            <w:r w:rsidRPr="00690BB0">
              <w:t xml:space="preserve"> av </w:t>
            </w:r>
            <w:r w:rsidRPr="00690BB0">
              <w:rPr>
                <w:b/>
                <w:i/>
              </w:rPr>
              <w:t>2026. Kommissionen bör säkerställa att FN:s WP 29 uppnår sina mål i god tid och återspeglar en hög ambitionsnivå baserad på solida vetenskapliga och tekniska grunder. Översynen bör åtföljas av ett lagstiftningsförslag om</w:t>
            </w:r>
            <w:r w:rsidRPr="00690BB0">
              <w:t xml:space="preserve"> att </w:t>
            </w:r>
            <w:r w:rsidRPr="00690BB0">
              <w:rPr>
                <w:b/>
                <w:i/>
              </w:rPr>
              <w:t>fordon med drivbatterier, inbegripet laddhybrider och batterielfordon, ska anta</w:t>
            </w:r>
            <w:r w:rsidRPr="00690BB0">
              <w:t xml:space="preserve"> gränsvärden för däckslitage</w:t>
            </w:r>
            <w:r w:rsidRPr="00690BB0">
              <w:rPr>
                <w:b/>
                <w:i/>
              </w:rPr>
              <w:t xml:space="preserve"> som är förenliga med unionens mål att minska utsläppen av mikroplast i miljön med 30 % fram till </w:t>
            </w:r>
            <w:r w:rsidRPr="00690BB0">
              <w:rPr>
                <w:b/>
                <w:i/>
              </w:rPr>
              <w:lastRenderedPageBreak/>
              <w:t>2030 och baserat på den senaste tidens nötningstakt</w:t>
            </w:r>
            <w:r w:rsidRPr="00690BB0">
              <w:t>.</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16</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Skäl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(14)</w:t>
            </w:r>
            <w:r w:rsidRPr="00690BB0">
              <w:tab/>
              <w:t>Fordon med drivbatterier, inklusive laddhybridfordon och batterielfordon, bidrar till att minska koldioxidutsläppen från vägtransportsektorn. För att vinna och öka konsumenternas förtroende för sådana fordon måste de vara effektiva och hållbara. Det är därför viktigt att kräva att drivbatterierna behåller en stor del av sin ursprungliga kapacitet efter många års användning. Detta är särskilt viktigt för köpare av begagnade elfordon för att säkerställa att fordonet fortsätter att fungera som förväntat. Övervakning av batteriets hälsotillstånd bör därför krävas för alla fordon som använder drivbatterier. Dessutom bör minimikrav på batteriernas hållbarhet i personbilar införas, med beaktande av FN:s globala tekniska föreskrifter nr</w:t>
            </w:r>
            <w:r w:rsidRPr="00690BB0">
              <w:rPr>
                <w:b/>
                <w:i/>
              </w:rPr>
              <w:t> </w:t>
            </w:r>
            <w:r w:rsidRPr="00690BB0">
              <w:t>22</w:t>
            </w:r>
            <w:r w:rsidRPr="00690BB0">
              <w:rPr>
                <w:vertAlign w:val="superscript"/>
              </w:rPr>
              <w:t>47</w:t>
            </w:r>
            <w:r w:rsidRPr="00690BB0">
              <w:t>.</w:t>
            </w:r>
          </w:p>
        </w:tc>
        <w:tc>
          <w:tcPr>
            <w:tcW w:w="4876" w:type="dxa"/>
          </w:tcPr>
          <w:p w:rsidR="00D624B1" w:rsidRPr="00690BB0" w:rsidRDefault="00D624B1" w:rsidP="003F2A5D">
            <w:pPr>
              <w:pStyle w:val="Normal6a"/>
              <w:widowControl/>
            </w:pPr>
            <w:r w:rsidRPr="00690BB0">
              <w:t>(14)</w:t>
            </w:r>
            <w:r w:rsidRPr="00690BB0">
              <w:tab/>
              <w:t xml:space="preserve">Fordon med drivbatterier, inklusive laddhybridfordon och batterielfordon, bidrar till att minska koldioxidutsläppen från vägtransportsektorn. För att vinna och öka konsumenternas förtroende för sådana fordon måste de vara effektiva och hållbara. Det är därför viktigt att kräva att drivbatterierna behåller en stor del av sin ursprungliga kapacitet efter många års användning. Detta är särskilt viktigt för köpare av begagnade elfordon för att säkerställa att fordonet fortsätter att fungera som förväntat. Övervakning av batteriets hälsotillstånd bör därför krävas för alla fordon som använder drivbatterier. Dessutom bör minimikrav på batteriernas hållbarhet i personbilar </w:t>
            </w:r>
            <w:r w:rsidRPr="00690BB0">
              <w:rPr>
                <w:b/>
                <w:i/>
              </w:rPr>
              <w:t xml:space="preserve">och lätta nyttofordon </w:t>
            </w:r>
            <w:r w:rsidRPr="00690BB0">
              <w:t>införas, med beaktande av FN:s globala tekniska föreskrifter nr</w:t>
            </w:r>
            <w:r w:rsidRPr="00690BB0">
              <w:rPr>
                <w:b/>
                <w:i/>
              </w:rPr>
              <w:t xml:space="preserve"> </w:t>
            </w:r>
            <w:r w:rsidRPr="00690BB0">
              <w:t>22</w:t>
            </w:r>
            <w:r w:rsidRPr="00690BB0">
              <w:rPr>
                <w:vertAlign w:val="superscript"/>
              </w:rPr>
              <w:t>47</w:t>
            </w:r>
            <w:r w:rsidRPr="00690BB0">
              <w:t>.</w:t>
            </w:r>
          </w:p>
        </w:tc>
      </w:tr>
      <w:tr w:rsidR="00D624B1" w:rsidRPr="00690BB0" w:rsidTr="003F2A5D">
        <w:trPr>
          <w:jc w:val="center"/>
        </w:trPr>
        <w:tc>
          <w:tcPr>
            <w:tcW w:w="4876" w:type="dxa"/>
          </w:tcPr>
          <w:p w:rsidR="00D624B1" w:rsidRPr="00690BB0" w:rsidRDefault="00D624B1" w:rsidP="003F2A5D">
            <w:pPr>
              <w:pStyle w:val="Normal6a"/>
              <w:widowControl/>
            </w:pPr>
            <w:r w:rsidRPr="00690BB0">
              <w:rPr>
                <w:b/>
                <w:i/>
              </w:rPr>
              <w:t>_________________</w:t>
            </w:r>
          </w:p>
        </w:tc>
        <w:tc>
          <w:tcPr>
            <w:tcW w:w="4876" w:type="dxa"/>
          </w:tcPr>
          <w:p w:rsidR="00D624B1" w:rsidRPr="00690BB0" w:rsidRDefault="00D624B1" w:rsidP="003F2A5D">
            <w:pPr>
              <w:pStyle w:val="Normal6a"/>
              <w:widowControl/>
            </w:pPr>
            <w:r w:rsidRPr="00690BB0">
              <w:rPr>
                <w:b/>
                <w:i/>
              </w:rPr>
              <w:t>_________________</w:t>
            </w:r>
          </w:p>
        </w:tc>
      </w:tr>
      <w:tr w:rsidR="00D624B1" w:rsidRPr="00690BB0" w:rsidTr="003F2A5D">
        <w:trPr>
          <w:jc w:val="center"/>
        </w:trPr>
        <w:tc>
          <w:tcPr>
            <w:tcW w:w="4876" w:type="dxa"/>
          </w:tcPr>
          <w:p w:rsidR="00D624B1" w:rsidRPr="00690BB0" w:rsidRDefault="00D624B1" w:rsidP="003F2A5D">
            <w:pPr>
              <w:pStyle w:val="Normal6a"/>
              <w:widowControl/>
            </w:pPr>
            <w:r w:rsidRPr="00690BB0">
              <w:rPr>
                <w:vertAlign w:val="superscript"/>
              </w:rPr>
              <w:t>47</w:t>
            </w:r>
            <w:r w:rsidRPr="00690BB0">
              <w:t xml:space="preserve"> FN:s globala tekniska föreskrifter nr 22 om batteriers hållbarhet för elfordon i drift.</w:t>
            </w:r>
          </w:p>
        </w:tc>
        <w:tc>
          <w:tcPr>
            <w:tcW w:w="4876" w:type="dxa"/>
          </w:tcPr>
          <w:p w:rsidR="00D624B1" w:rsidRPr="00690BB0" w:rsidRDefault="00D624B1" w:rsidP="003F2A5D">
            <w:pPr>
              <w:pStyle w:val="Normal6a"/>
              <w:widowControl/>
            </w:pPr>
            <w:r w:rsidRPr="00690BB0">
              <w:rPr>
                <w:vertAlign w:val="superscript"/>
              </w:rPr>
              <w:t>47</w:t>
            </w:r>
            <w:r w:rsidRPr="00690BB0">
              <w:t xml:space="preserve"> FN:s globala tekniska föreskrifter nr 22 om batteriers hållbarhet för elfordon i drift.</w:t>
            </w:r>
          </w:p>
        </w:tc>
      </w:tr>
    </w:tbl>
    <w:p w:rsidR="00D624B1" w:rsidRPr="00690BB0" w:rsidRDefault="00D624B1" w:rsidP="00D624B1">
      <w:pPr>
        <w:widowControl/>
      </w:pPr>
    </w:p>
    <w:p w:rsidR="00D624B1" w:rsidRPr="00690BB0" w:rsidRDefault="007B7831" w:rsidP="00D624B1">
      <w:pPr>
        <w:pStyle w:val="AmNumberTabs"/>
        <w:keepNext/>
        <w:keepLines/>
        <w:widowControl/>
      </w:pPr>
      <w:r w:rsidRPr="00690BB0">
        <w:t>Ändring</w:t>
      </w:r>
      <w:r w:rsidR="00D624B1" w:rsidRPr="00690BB0">
        <w:tab/>
      </w:r>
      <w:r w:rsidR="00D624B1" w:rsidRPr="00690BB0">
        <w:tab/>
        <w:t>17</w:t>
      </w:r>
    </w:p>
    <w:p w:rsidR="00D624B1" w:rsidRPr="00690BB0" w:rsidRDefault="00D624B1" w:rsidP="00D624B1">
      <w:pPr>
        <w:pStyle w:val="NormalBold12b"/>
        <w:widowControl/>
      </w:pPr>
      <w:r w:rsidRPr="00690BB0">
        <w:t>Förslag till förordning</w:t>
      </w:r>
    </w:p>
    <w:p w:rsidR="00D624B1" w:rsidRPr="00690BB0" w:rsidRDefault="00D624B1" w:rsidP="00D624B1">
      <w:pPr>
        <w:pStyle w:val="NormalBold"/>
        <w:widowControl/>
      </w:pPr>
      <w:r w:rsidRPr="00690BB0">
        <w:t>Skäl 14a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p>
        </w:tc>
        <w:tc>
          <w:tcPr>
            <w:tcW w:w="4876" w:type="dxa"/>
          </w:tcPr>
          <w:p w:rsidR="00D624B1" w:rsidRPr="00690BB0" w:rsidRDefault="00D624B1" w:rsidP="003F2A5D">
            <w:pPr>
              <w:pStyle w:val="Normal6a"/>
              <w:widowControl/>
            </w:pPr>
            <w:r w:rsidRPr="00690BB0">
              <w:rPr>
                <w:b/>
                <w:i/>
              </w:rPr>
              <w:t>(14a)</w:t>
            </w:r>
            <w:r w:rsidRPr="00690BB0">
              <w:tab/>
            </w:r>
            <w:r w:rsidRPr="00690BB0">
              <w:rPr>
                <w:b/>
                <w:i/>
              </w:rPr>
              <w:t>OBM-, OBFCM- eller SOH-system använder data som genererats av fordonet för att övervaka dess efterlevnad av denna förordning.</w:t>
            </w:r>
            <w:r w:rsidRPr="00690BB0">
              <w:t xml:space="preserve"> </w:t>
            </w:r>
            <w:r w:rsidRPr="00690BB0">
              <w:rPr>
                <w:b/>
                <w:i/>
              </w:rPr>
              <w:t xml:space="preserve">Samma data bör delas, i enlighet med dataakten, med fordonsanvändarna och deras tjänsteleverantörer så att </w:t>
            </w:r>
            <w:r w:rsidRPr="00690BB0">
              <w:rPr>
                <w:b/>
                <w:i/>
              </w:rPr>
              <w:lastRenderedPageBreak/>
              <w:t>fordonsanvändarna kan dra nytta av råd och rekommendationer om hur man kan begränsa fordonets utsläpp och energiförbrukning samt förlänga dess batterilivslängd genom förbättrad användning av fordonet.</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18</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Skäl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(15)</w:t>
            </w:r>
            <w:r w:rsidRPr="00690BB0">
              <w:tab/>
              <w:t>Manipulering av fordon för att ta bort eller inaktivera delar av de utsläppsbegränsande systemen är ett välkänt problem. Detta leder till okontrollerade utsläpp och bör förhindras. Manipulering av vägmätaren leder till felaktiga körsträckor och försvårar en korrekt kontroll av fordonet i drift. Det är därför av yttersta vikt att garantera högsta möjliga säkerhetsskydd för dessa system, med säkerhetscertifikat och lämpligt skydd mot manipulering för att se till att varken utsläppsbegränsande system eller fordonets vägmätare kan manipuleras.</w:t>
            </w:r>
          </w:p>
        </w:tc>
        <w:tc>
          <w:tcPr>
            <w:tcW w:w="4876" w:type="dxa"/>
          </w:tcPr>
          <w:p w:rsidR="00D624B1" w:rsidRPr="00690BB0" w:rsidRDefault="00D624B1" w:rsidP="003F2A5D">
            <w:pPr>
              <w:pStyle w:val="Normal6a"/>
              <w:widowControl/>
            </w:pPr>
            <w:r w:rsidRPr="00690BB0">
              <w:t>(15)</w:t>
            </w:r>
            <w:r w:rsidRPr="00690BB0">
              <w:tab/>
              <w:t>Manipulering av fordon för att ta bort eller inaktivera delar av de utsläppsbegränsande systemen är ett välkänt problem. Detta leder till okontrollerade utsläpp och bör förhindras</w:t>
            </w:r>
            <w:r w:rsidRPr="00690BB0">
              <w:rPr>
                <w:b/>
                <w:i/>
              </w:rPr>
              <w:t>, bland annat genom åtgärder för att motverka reklam, försäljning och montering av manipulationsanordningar, och bestraffas</w:t>
            </w:r>
            <w:r w:rsidRPr="00690BB0">
              <w:t>. Manipulering av vägmätaren leder till felaktiga körsträckor och försvårar en korrekt kontroll av fordonet i drift. Det är därför av yttersta vikt att garantera högsta möjliga säkerhetsskydd för dessa system, med säkerhetscertifikat och lämpligt skydd mot manipulering för att se till att varken utsläppsbegränsande system eller fordonets vägmätare kan manipuleras.</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19</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Skäl 15a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p>
        </w:tc>
        <w:tc>
          <w:tcPr>
            <w:tcW w:w="4876" w:type="dxa"/>
          </w:tcPr>
          <w:p w:rsidR="00D624B1" w:rsidRPr="00690BB0" w:rsidRDefault="00D624B1" w:rsidP="003F2A5D">
            <w:pPr>
              <w:pStyle w:val="Normal6a"/>
              <w:widowControl/>
            </w:pPr>
            <w:r w:rsidRPr="00690BB0">
              <w:rPr>
                <w:b/>
                <w:i/>
              </w:rPr>
              <w:t>(15a)</w:t>
            </w:r>
            <w:r w:rsidRPr="00690BB0">
              <w:tab/>
            </w:r>
            <w:r w:rsidRPr="00690BB0">
              <w:rPr>
                <w:b/>
                <w:i/>
              </w:rPr>
              <w:t xml:space="preserve">För att förhindra att åtgärder mot manipulering otillbörligen hämmar konkurrensen bör denna förordning och dess sekundärlagstiftning upprätthålla möjligheten för oberoende operatörer att utveckla, distribuera, installera och </w:t>
            </w:r>
            <w:r w:rsidRPr="00690BB0">
              <w:rPr>
                <w:b/>
                <w:i/>
              </w:rPr>
              <w:lastRenderedPageBreak/>
              <w:t>aktivera ersättningsdelar för eftermarknaden. Tillverkarna bör därför säkerställa att oberoende operatörer har tillgång till de uppgifter, verktyg och processer som är absolut nödvändiga för att utveckla och installera sådana ersättningsdelar.</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20</w:t>
      </w:r>
    </w:p>
    <w:p w:rsidR="00D624B1" w:rsidRPr="00690BB0" w:rsidRDefault="00D624B1" w:rsidP="00D624B1">
      <w:pPr>
        <w:pStyle w:val="NormalBold12b"/>
        <w:widowControl/>
      </w:pPr>
      <w:r w:rsidRPr="00690BB0">
        <w:t>Förslag till förordning</w:t>
      </w:r>
    </w:p>
    <w:p w:rsidR="00D624B1" w:rsidRPr="00690BB0" w:rsidRDefault="00D624B1" w:rsidP="00D624B1">
      <w:pPr>
        <w:pStyle w:val="NormalBold"/>
        <w:widowControl/>
      </w:pPr>
      <w:r w:rsidRPr="00690BB0">
        <w:t>Skäl 16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(16)</w:t>
            </w:r>
            <w:r w:rsidRPr="00690BB0">
              <w:tab/>
              <w:t xml:space="preserve">Givare som monteras på fordon används redan i dag för att upptäcka avvikelser i utsläpp och för att begära reparationer genom systemet för omborddiagnos (OBD-system). Det OBD-system som för närvarande används upptäcker dock inte fel i tid eller på ett korrekt sätt, och det kan inte heller </w:t>
            </w:r>
            <w:r w:rsidRPr="00690BB0">
              <w:rPr>
                <w:b/>
                <w:i/>
              </w:rPr>
              <w:t>tvinga fram</w:t>
            </w:r>
            <w:r w:rsidRPr="00690BB0">
              <w:t xml:space="preserve"> reparationer tillräckligt ofta och i tid. Det är därför möjligt att fordonen släpper ut mycket mer än vad de får göra. De givare som hittills har använts för OBD-system kan också användas för att övervaka och kontrollera fordonens </w:t>
            </w:r>
            <w:r w:rsidRPr="00690BB0">
              <w:rPr>
                <w:b/>
                <w:i/>
              </w:rPr>
              <w:t>utsläppsegenskaper</w:t>
            </w:r>
            <w:r w:rsidRPr="00690BB0">
              <w:t xml:space="preserve"> på kontinuerlig basis via ett system för ombordövervakning (OBM-system). OBM-systemet varnar också användaren om att utföra reparationer av motorn eller de utsläppsbegränsande systemen när så behövs. Det är därför lämpligt att kräva att ett sådant system installeras och att reglera dess tekniska krav.</w:t>
            </w:r>
          </w:p>
        </w:tc>
        <w:tc>
          <w:tcPr>
            <w:tcW w:w="4876" w:type="dxa"/>
          </w:tcPr>
          <w:p w:rsidR="00D624B1" w:rsidRPr="00690BB0" w:rsidRDefault="00D624B1" w:rsidP="003F2A5D">
            <w:pPr>
              <w:pStyle w:val="Normal6a"/>
              <w:widowControl/>
            </w:pPr>
            <w:r w:rsidRPr="00690BB0">
              <w:t>(16)</w:t>
            </w:r>
            <w:r w:rsidRPr="00690BB0">
              <w:tab/>
              <w:t xml:space="preserve">Givare som monteras på fordon används redan i dag för att upptäcka avvikelser i utsläpp och för att begära reparationer genom systemet för omborddiagnos (OBD-system). Det OBD-system som för närvarande används upptäcker dock inte fel i tid eller på ett korrekt sätt, och det kan inte heller </w:t>
            </w:r>
            <w:r w:rsidRPr="00690BB0">
              <w:rPr>
                <w:b/>
                <w:i/>
              </w:rPr>
              <w:t>uppmana till</w:t>
            </w:r>
            <w:r w:rsidRPr="00690BB0">
              <w:t xml:space="preserve"> reparationer tillräckligt ofta och i tid. Det är därför möjligt att fordonen släpper ut mycket mer än vad de får göra. De givare som hittills har använts för OBD-system kan också användas för att övervaka och kontrollera fordonens </w:t>
            </w:r>
            <w:r w:rsidRPr="00690BB0">
              <w:rPr>
                <w:b/>
                <w:i/>
              </w:rPr>
              <w:t>avgasutsläppsegenskaper</w:t>
            </w:r>
            <w:r w:rsidRPr="00690BB0">
              <w:t xml:space="preserve"> på kontinuerlig basis via ett system för ombordövervakning (OBM-system). OBM-systemet varnar också användaren om att utföra reparationer av motorn eller de utsläppsbegränsande systemen när så behövs. Det är därför lämpligt att kräva att ett sådant system installeras och att reglera dess tekniska krav. </w:t>
            </w:r>
            <w:r w:rsidRPr="00690BB0">
              <w:rPr>
                <w:b/>
                <w:i/>
              </w:rPr>
              <w:t>De motiveringsåtgärder som dessa system kräver får inte leda till sämre trafiksäkerhet eller begränsad mobilitet.</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21</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Skäl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lastRenderedPageBreak/>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(17)</w:t>
            </w:r>
            <w:r w:rsidRPr="00690BB0">
              <w:tab/>
            </w:r>
            <w:r w:rsidRPr="00690BB0">
              <w:rPr>
                <w:b/>
                <w:i/>
              </w:rPr>
              <w:t>Tillverkarna kan välja att tillverka fordon som uppfyller lägre utsläppsgränser eller har en bättre batterihållbarhet än vad som krävs i denna förordning, eller som har avancerade tillbehör som geofencing och dynamisk reglering. Konsumenter och nationella myndigheter bör kunna identifiera sådana fordon genom lämplig dokumentation.</w:t>
            </w:r>
            <w:r w:rsidRPr="00690BB0">
              <w:t xml:space="preserve"> Ett miljöfordonspass bör </w:t>
            </w:r>
            <w:r w:rsidRPr="00690BB0">
              <w:rPr>
                <w:b/>
                <w:i/>
              </w:rPr>
              <w:t>därför</w:t>
            </w:r>
            <w:r w:rsidRPr="00690BB0">
              <w:t xml:space="preserve"> göras tillgängligt.</w:t>
            </w:r>
          </w:p>
        </w:tc>
        <w:tc>
          <w:tcPr>
            <w:tcW w:w="4876" w:type="dxa"/>
          </w:tcPr>
          <w:p w:rsidR="00D624B1" w:rsidRPr="00690BB0" w:rsidRDefault="00D624B1" w:rsidP="003F2A5D">
            <w:pPr>
              <w:pStyle w:val="Normal6a"/>
              <w:widowControl/>
            </w:pPr>
            <w:r w:rsidRPr="00690BB0">
              <w:t>(17)</w:t>
            </w:r>
            <w:r w:rsidRPr="00690BB0">
              <w:tab/>
            </w:r>
            <w:r w:rsidRPr="00690BB0">
              <w:rPr>
                <w:b/>
                <w:i/>
              </w:rPr>
              <w:t xml:space="preserve"> Ett uppdaterat miljöfordonspass bör därför göras tillgängligt för konsumenter så att de kan få tillgång till uppdaterad information under hela fordonets livslängd</w:t>
            </w:r>
            <w:r w:rsidRPr="00690BB0">
              <w:t xml:space="preserve">, </w:t>
            </w:r>
            <w:r w:rsidRPr="00690BB0">
              <w:rPr>
                <w:b/>
                <w:i/>
              </w:rPr>
              <w:t>såsom bränsleförbrukning, batteriernas hälsotillstånd, gränsvärden för utsläpp, resultat av regelbundna tekniska inspektioner och uppgifter om trafiksäkerhet samt annan relevant information</w:t>
            </w:r>
            <w:r w:rsidRPr="00690BB0">
              <w:t>.</w:t>
            </w:r>
            <w:r w:rsidRPr="00690BB0">
              <w:rPr>
                <w:b/>
                <w:i/>
              </w:rPr>
              <w:t xml:space="preserve"> </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22</w:t>
      </w:r>
    </w:p>
    <w:p w:rsidR="00D624B1" w:rsidRPr="00690BB0" w:rsidRDefault="00D624B1" w:rsidP="00D624B1">
      <w:pPr>
        <w:pStyle w:val="NormalBold12b"/>
        <w:widowControl/>
      </w:pPr>
      <w:r w:rsidRPr="00690BB0">
        <w:t>Förslag till förordning</w:t>
      </w:r>
    </w:p>
    <w:p w:rsidR="00D624B1" w:rsidRPr="00690BB0" w:rsidRDefault="00D624B1" w:rsidP="00D624B1">
      <w:pPr>
        <w:pStyle w:val="NormalBold"/>
        <w:widowControl/>
      </w:pPr>
      <w:r w:rsidRPr="00690BB0">
        <w:t>Skäl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keepNext/>
              <w:keepLines/>
              <w:widowControl/>
            </w:pPr>
            <w:r w:rsidRPr="00690BB0">
              <w:t>Kommissionens förslag</w:t>
            </w:r>
          </w:p>
        </w:tc>
        <w:tc>
          <w:tcPr>
            <w:tcW w:w="4876" w:type="dxa"/>
          </w:tcPr>
          <w:p w:rsidR="00D624B1" w:rsidRPr="00690BB0" w:rsidRDefault="007B7831" w:rsidP="003F2A5D">
            <w:pPr>
              <w:pStyle w:val="AmColumnHeading"/>
              <w:keepNext/>
              <w:keepLines/>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rPr>
                <w:b/>
                <w:i/>
              </w:rPr>
              <w:t>(18)</w:t>
            </w:r>
            <w:r w:rsidRPr="00690BB0">
              <w:tab/>
            </w:r>
            <w:r w:rsidRPr="00690BB0">
              <w:rPr>
                <w:b/>
                <w:i/>
              </w:rPr>
              <w:t>Om kommissionen lägger fram ett förslag om att efter 2035 registrera nya lätta fordon som uteslutande drivs med koldioxidneutrala bränslen utanför tillämpningsområdet för koldioxidnormerna för fordonsparken, och i enlighet med unionsrätten och unionens mål för klimatneutralitet, måste denna förordning ändras för att inkludera möjligheten att typgodkänna sådana fordon.</w:t>
            </w:r>
          </w:p>
        </w:tc>
        <w:tc>
          <w:tcPr>
            <w:tcW w:w="4876" w:type="dxa"/>
          </w:tcPr>
          <w:p w:rsidR="00D624B1" w:rsidRPr="00690BB0" w:rsidRDefault="00D624B1" w:rsidP="003F2A5D">
            <w:pPr>
              <w:pStyle w:val="Normal6a"/>
              <w:widowControl/>
            </w:pPr>
            <w:r w:rsidRPr="00690BB0">
              <w:rPr>
                <w:b/>
                <w:i/>
              </w:rPr>
              <w:t>utgår</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23</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Skäl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(19)</w:t>
            </w:r>
            <w:r w:rsidRPr="00690BB0">
              <w:tab/>
              <w:t xml:space="preserve">Utsläpp från fordon som säljs av tillverkare av små serier utgör en obetydlig del av utsläppen i unionen. En viss flexibilitet kan därför tillåtas i vissa av kraven för sådana tillverkare. Tillverkare av små serier bör därför kunna ersätta vissa provningar under typgodkännandet med försäkringar om överensstämmelse, medan </w:t>
            </w:r>
            <w:r w:rsidRPr="00690BB0">
              <w:lastRenderedPageBreak/>
              <w:t xml:space="preserve">tillverkare av ultrasmå serier bör tillåtas använda laboratorieprovningar baserade på </w:t>
            </w:r>
            <w:r w:rsidRPr="00690BB0">
              <w:rPr>
                <w:b/>
                <w:i/>
              </w:rPr>
              <w:t>slumpmässiga</w:t>
            </w:r>
            <w:r w:rsidRPr="00690BB0">
              <w:t xml:space="preserve"> körcykler vid verklig körning.</w:t>
            </w:r>
          </w:p>
        </w:tc>
        <w:tc>
          <w:tcPr>
            <w:tcW w:w="4876" w:type="dxa"/>
          </w:tcPr>
          <w:p w:rsidR="00D624B1" w:rsidRPr="00690BB0" w:rsidRDefault="00D624B1" w:rsidP="003F2A5D">
            <w:pPr>
              <w:pStyle w:val="Normal6a"/>
              <w:widowControl/>
            </w:pPr>
            <w:r w:rsidRPr="00690BB0">
              <w:lastRenderedPageBreak/>
              <w:t>(19)</w:t>
            </w:r>
            <w:r w:rsidRPr="00690BB0">
              <w:tab/>
              <w:t xml:space="preserve">Utsläpp från fordon som säljs av tillverkare av små serier utgör en obetydlig del av utsläppen i unionen. En viss flexibilitet kan därför tillåtas i vissa av kraven för sådana tillverkare. Tillverkare av små serier bör därför kunna ersätta vissa provningar under typgodkännandet med försäkringar om överensstämmelse, medan </w:t>
            </w:r>
            <w:r w:rsidRPr="00690BB0">
              <w:lastRenderedPageBreak/>
              <w:t xml:space="preserve">tillverkare av ultrasmå serier bör tillåtas använda laboratorieprovningar baserade på </w:t>
            </w:r>
            <w:r w:rsidRPr="00690BB0">
              <w:rPr>
                <w:b/>
                <w:i/>
              </w:rPr>
              <w:t>statistiskt relevanta</w:t>
            </w:r>
            <w:r w:rsidRPr="00690BB0">
              <w:t xml:space="preserve"> körcykler vid verklig körning.</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24</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Skäl 20a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p>
        </w:tc>
        <w:tc>
          <w:tcPr>
            <w:tcW w:w="4876" w:type="dxa"/>
          </w:tcPr>
          <w:p w:rsidR="00D624B1" w:rsidRPr="00690BB0" w:rsidRDefault="00D624B1" w:rsidP="003F2A5D">
            <w:pPr>
              <w:pStyle w:val="Normal6a"/>
              <w:widowControl/>
            </w:pPr>
            <w:r w:rsidRPr="00690BB0">
              <w:rPr>
                <w:b/>
                <w:i/>
              </w:rPr>
              <w:t>(20a)</w:t>
            </w:r>
            <w:r w:rsidRPr="00690BB0">
              <w:tab/>
            </w:r>
            <w:r w:rsidRPr="00690BB0">
              <w:rPr>
                <w:b/>
                <w:i/>
              </w:rPr>
              <w:t>Även om begreppet ”hälsotillstånd” (SOH) ofta används för att hänvisa till ett batteris hälsa vid en viss tidpunkt i dess livscykel, är detta begrepp inte allmänt definierat och fastställs med hjälp av en rad olika metoder: ”Status för certifierad energi” (SOCE) och ”status för certifierad räckvidd” (SOCR). Båda måtten motsvarar en procentandel av den certifierade batterienergin eller den certifierade elektriska räckvidden som återstår vid en given tidpunkt.</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25</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Skäl 21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(21)</w:t>
            </w:r>
            <w:r w:rsidRPr="00690BB0">
              <w:tab/>
              <w:t xml:space="preserve">För att säkerställa enhetliga villkor för genomförandet av denna förordning bör kommissionen ges genomförandebefogenheter när det gäller </w:t>
            </w:r>
            <w:r w:rsidRPr="00690BB0">
              <w:rPr>
                <w:b/>
                <w:i/>
              </w:rPr>
              <w:t>följande: tillverkarens</w:t>
            </w:r>
            <w:r w:rsidRPr="00690BB0">
              <w:t xml:space="preserve"> skyldigheter som en del av typgodkännandet och de förfaranden, provningar och metoder som ska tillämpas för försäkran om överensstämmelse, kontroll av produktionsöverensstämmelse, kontroll av överensstämmelse hos fordon i drift och miljöfordonspass</w:t>
            </w:r>
            <w:r w:rsidRPr="00690BB0">
              <w:rPr>
                <w:b/>
                <w:i/>
              </w:rPr>
              <w:t>;</w:t>
            </w:r>
            <w:r w:rsidRPr="00690BB0">
              <w:t xml:space="preserve"> </w:t>
            </w:r>
            <w:r w:rsidRPr="00690BB0">
              <w:rPr>
                <w:b/>
                <w:i/>
              </w:rPr>
              <w:t>fordons</w:t>
            </w:r>
            <w:r w:rsidRPr="00690BB0">
              <w:t xml:space="preserve"> tillbehör </w:t>
            </w:r>
            <w:r w:rsidRPr="00690BB0">
              <w:rPr>
                <w:b/>
                <w:i/>
              </w:rPr>
              <w:t>och beteckning;</w:t>
            </w:r>
            <w:r w:rsidRPr="00690BB0">
              <w:t xml:space="preserve"> krav, provningar, metoder och korrigerande åtgärder i samband med </w:t>
            </w:r>
            <w:r w:rsidRPr="00690BB0">
              <w:lastRenderedPageBreak/>
              <w:t>fordonens, systemens, komponenternas och de separata tekniska enheternas hållbarhet samt OBM-systemens registrerings- och kommunikationsmöjligheter, även i syfte att utföra periodiska tekniska inspektioner och kontroller av trafiksäkerheten</w:t>
            </w:r>
            <w:r w:rsidRPr="00690BB0">
              <w:rPr>
                <w:b/>
                <w:i/>
              </w:rPr>
              <w:t>;</w:t>
            </w:r>
            <w:r w:rsidRPr="00690BB0">
              <w:t xml:space="preserve"> krav och information som ska tillhandahållas </w:t>
            </w:r>
            <w:r w:rsidRPr="00690BB0">
              <w:rPr>
                <w:b/>
                <w:i/>
              </w:rPr>
              <w:t>av tillverkare av</w:t>
            </w:r>
            <w:r w:rsidRPr="00690BB0">
              <w:t xml:space="preserve"> etappvis färdigbyggda fordon samt förfaranden för att fastställa koldioxidvärdet för dessa etappvis färdigbyggda fordon</w:t>
            </w:r>
            <w:r w:rsidRPr="00690BB0">
              <w:rPr>
                <w:b/>
                <w:i/>
              </w:rPr>
              <w:t>;</w:t>
            </w:r>
            <w:r w:rsidRPr="00690BB0">
              <w:t xml:space="preserve"> tekniska delar, administrativa krav och dokumentationskrav för typgodkännande avseende utsläpp, kontroller, inspektioner och marknadskontroller samt rapporteringsskyldigheter, kontroller av överensstämmelse hos fordon i drift och kontroller av produktionsöverensstämmelse; metoder och provningar för att i) mäta avgasutsläpp i laboratorium och på väg, inklusive slumpmässiga </w:t>
            </w:r>
            <w:r w:rsidRPr="00690BB0">
              <w:rPr>
                <w:b/>
                <w:i/>
              </w:rPr>
              <w:t>RDE-provningscykler och RDE-provningscykler när det gäller högsta utsläpp</w:t>
            </w:r>
            <w:r w:rsidRPr="00690BB0">
              <w:t>, användning av bärbara system för utsläppsmätning för att kontrollera utsläpp vid verklig körning och utsläpp vid tomgång, ii) fastställa ett motorfordons koldioxidutsläpp, bränsle- och energiförbrukning, räckvidd vid eldrift och motoreffekt, iii) tillhandahålla specifikationer för växlingsindikatorer, iv) fastställa hur släpfordon av kategorierna O</w:t>
            </w:r>
            <w:r w:rsidRPr="00690BB0">
              <w:rPr>
                <w:vertAlign w:val="subscript"/>
              </w:rPr>
              <w:t>3</w:t>
            </w:r>
            <w:r w:rsidRPr="00690BB0">
              <w:t xml:space="preserve"> och O</w:t>
            </w:r>
            <w:r w:rsidRPr="00690BB0">
              <w:rPr>
                <w:vertAlign w:val="subscript"/>
              </w:rPr>
              <w:t>4</w:t>
            </w:r>
            <w:r w:rsidRPr="00690BB0">
              <w:t xml:space="preserve"> påverkar ett motorfordons koldioxidutsläpp, bränsle- och energiförbrukning, räckvidd vid eldrift och motoreffekt, iv) mäta vevhusutsläpp, avdunstningsutsläpp och bromsutsläpp, v) utvärdera efterlevnaden av minimikraven på batteriernas hållbarhet, vi) bedöma överensstämmelsen för motorer och fordon i drift, tröskelvärden för överensstämmelse och prestandakrav, vii) provning och metoder för att säkerställa givarnas prestanda (OBD och OBM), viii) metoder för att säkerställa och bedöma säkerhetsåtgärder, specifikation och egenskaper hos förarvarningssystem och metoder för att motivera föraren och för att bedöma om systemen fungerar korrekt; ix) metoder för att bedöma korrekt funktion, </w:t>
            </w:r>
            <w:r w:rsidRPr="00690BB0">
              <w:lastRenderedPageBreak/>
              <w:t xml:space="preserve">effektivitet, regenerering och hållbarhet hos ursprungliga och ersättande utsläppsbegränsande system, x) metoder för att säkerställa och bedöma säkerhetsåtgärder, inklusive sårbarhetsanalys och skydd mot manipulering, </w:t>
            </w:r>
            <w:r w:rsidRPr="00690BB0">
              <w:rPr>
                <w:b/>
                <w:i/>
              </w:rPr>
              <w:t xml:space="preserve">xi) metoder för att bedöma korrekt funktion hos typer som godkänts enligt särskilda Euro 7-beteckningar, </w:t>
            </w:r>
            <w:r w:rsidRPr="00690BB0">
              <w:t xml:space="preserve">xii) kriterier för typgodkännanden avseende utsläpp för tillverkare av små och ultrasmå serier, xiii) kontroller och provningsförfaranden för etappvis färdigbyggda fordon, xiv) Prestandakrav för provningsutrustning. xv) specifikation av referensbränslen, xvi) metoder för att bedöma avsaknaden av manipulationsanordningar och manipulationsstrategier, xvii) mäta däckslitage, samt xviii) miljöfordonspassets format, uppgifter och metod för överföring av miljöfordonspassets uppgifter. </w:t>
            </w:r>
            <w:r w:rsidRPr="00690BB0">
              <w:rPr>
                <w:b/>
                <w:i/>
              </w:rPr>
              <w:t>Dessa befogenheter bör utövas i enlighet med Europaparlamentets och rådets förordning (EU) nr 182/2011</w:t>
            </w:r>
            <w:r w:rsidRPr="00690BB0">
              <w:rPr>
                <w:b/>
                <w:i/>
                <w:vertAlign w:val="superscript"/>
              </w:rPr>
              <w:t>50</w:t>
            </w:r>
            <w:r w:rsidRPr="00690BB0">
              <w:rPr>
                <w:b/>
                <w:i/>
              </w:rPr>
              <w:t>.</w:t>
            </w:r>
          </w:p>
        </w:tc>
        <w:tc>
          <w:tcPr>
            <w:tcW w:w="4876" w:type="dxa"/>
          </w:tcPr>
          <w:p w:rsidR="00D624B1" w:rsidRPr="00690BB0" w:rsidRDefault="00D624B1" w:rsidP="003F2A5D">
            <w:pPr>
              <w:pStyle w:val="Normal6a"/>
              <w:widowControl/>
            </w:pPr>
            <w:r w:rsidRPr="00690BB0">
              <w:lastRenderedPageBreak/>
              <w:t>(21)</w:t>
            </w:r>
            <w:r w:rsidRPr="00690BB0">
              <w:tab/>
              <w:t xml:space="preserve">För att säkerställa enhetliga villkor för genomförandet av denna förordning </w:t>
            </w:r>
            <w:r w:rsidRPr="00690BB0">
              <w:rPr>
                <w:b/>
                <w:i/>
              </w:rPr>
              <w:t xml:space="preserve">och för att komplettera den </w:t>
            </w:r>
            <w:r w:rsidRPr="00690BB0">
              <w:t xml:space="preserve">bör kommissionen ges </w:t>
            </w:r>
            <w:r w:rsidRPr="00690BB0">
              <w:rPr>
                <w:b/>
                <w:i/>
              </w:rPr>
              <w:t xml:space="preserve">både </w:t>
            </w:r>
            <w:r w:rsidRPr="00690BB0">
              <w:t xml:space="preserve">genomförandebefogenheter </w:t>
            </w:r>
            <w:r w:rsidRPr="00690BB0">
              <w:rPr>
                <w:b/>
                <w:i/>
              </w:rPr>
              <w:t xml:space="preserve">i enlighet med förordning (EU) nr 182/2011 och befogenhet att anta delegerade akter i enlighet med artikel 290 i fördraget om Europeiska unionens funktionssätt </w:t>
            </w:r>
            <w:r w:rsidRPr="00690BB0">
              <w:t xml:space="preserve">när det gäller </w:t>
            </w:r>
            <w:r w:rsidRPr="00690BB0">
              <w:rPr>
                <w:b/>
                <w:i/>
              </w:rPr>
              <w:t>tillverkarnas</w:t>
            </w:r>
            <w:r w:rsidRPr="00690BB0">
              <w:t xml:space="preserve"> skyldigheter som en del av typgodkännandet och de förfaranden, provningar och metoder som ska tillämpas för försäkran om överensstämmelse, kontroll av </w:t>
            </w:r>
            <w:r w:rsidRPr="00690BB0">
              <w:lastRenderedPageBreak/>
              <w:t>produktionsöverensstämmelse, kontroll av överensstämmelse hos fordon i drift och miljöfordonspass</w:t>
            </w:r>
            <w:r w:rsidRPr="00690BB0">
              <w:rPr>
                <w:b/>
                <w:i/>
              </w:rPr>
              <w:t>.</w:t>
            </w:r>
            <w:r w:rsidRPr="00690BB0">
              <w:t xml:space="preserve"> Tillbehör </w:t>
            </w:r>
            <w:r w:rsidRPr="00690BB0">
              <w:rPr>
                <w:b/>
                <w:i/>
              </w:rPr>
              <w:t>för fordon,</w:t>
            </w:r>
            <w:r w:rsidRPr="00690BB0">
              <w:t xml:space="preserve"> krav, provningar, metoder och korrigerande åtgärder i samband med fordonens, systemens, komponenternas och de separata tekniska enheternas hållbarhet samt OBM-systemens registrerings- och kommunikationsmöjligheter, även i syfte att utföra periodiska tekniska inspektioner och kontroller av trafiksäkerheten</w:t>
            </w:r>
            <w:r w:rsidRPr="00690BB0">
              <w:rPr>
                <w:b/>
                <w:i/>
              </w:rPr>
              <w:t>,</w:t>
            </w:r>
            <w:r w:rsidRPr="00690BB0">
              <w:t xml:space="preserve"> krav och information som ska tillhandahållas </w:t>
            </w:r>
            <w:r w:rsidRPr="00690BB0">
              <w:rPr>
                <w:b/>
                <w:i/>
              </w:rPr>
              <w:t>för</w:t>
            </w:r>
            <w:r w:rsidRPr="00690BB0">
              <w:t xml:space="preserve"> etappvis färdigbyggda fordon samt förfaranden för att fastställa koldioxidvärdet för dessa etappvis färdigbyggda fordon</w:t>
            </w:r>
            <w:r w:rsidRPr="00690BB0">
              <w:rPr>
                <w:b/>
                <w:i/>
              </w:rPr>
              <w:t>,</w:t>
            </w:r>
            <w:r w:rsidRPr="00690BB0">
              <w:t xml:space="preserve"> tekniska delar, administrativa krav och dokumentationskrav för typgodkännande avseende utsläpp, kontroller, inspektioner och marknadskontroller samt rapporteringsskyldigheter, kontroller av överensstämmelse hos fordon i drift och kontroller av produktionsöverensstämmelse; metoder och provningar för att i) mäta avgasutsläpp i laboratorium och på väg, inklusive slumpmässiga </w:t>
            </w:r>
            <w:r w:rsidRPr="00690BB0">
              <w:rPr>
                <w:b/>
                <w:i/>
              </w:rPr>
              <w:t>men statistiskt relevanta RDE-provningscykler</w:t>
            </w:r>
            <w:r w:rsidRPr="00690BB0">
              <w:t>, användning av bärbara system för utsläppsmätning för att kontrollera utsläpp vid verklig körning och utsläpp vid tomgång, ii) fastställa ett motorfordons koldioxidutsläpp, bränsle- och energiförbrukning, räckvidd vid eldrift och motoreffekt, iii) tillhandahålla specifikationer för växlingsindikatorer, iv) fastställa hur släpfordon av kategorierna O</w:t>
            </w:r>
            <w:r w:rsidRPr="00690BB0">
              <w:rPr>
                <w:vertAlign w:val="subscript"/>
              </w:rPr>
              <w:t>3</w:t>
            </w:r>
            <w:r w:rsidRPr="00690BB0">
              <w:t xml:space="preserve"> och O</w:t>
            </w:r>
            <w:r w:rsidRPr="00690BB0">
              <w:rPr>
                <w:vertAlign w:val="subscript"/>
              </w:rPr>
              <w:t>4</w:t>
            </w:r>
            <w:r w:rsidRPr="00690BB0">
              <w:t xml:space="preserve"> påverkar ett motorfordons koldioxidutsläpp, bränsle- och energiförbrukning, räckvidd vid eldrift och motoreffekt, iv) mäta vevhusutsläpp, avdunstningsutsläpp och bromsutsläpp, v) utvärdera efterlevnaden av minimikraven på batteriernas hållbarhet, vi) bedöma överensstämmelsen för motorer och fordon i drift, tröskelvärden för överensstämmelse och prestandakrav, vii) provning och metoder för att säkerställa givarnas prestanda (OBD och OBM), viii) metoder för att säkerställa och bedöma säkerhetsåtgärder, specifikation och </w:t>
            </w:r>
            <w:r w:rsidRPr="00690BB0">
              <w:lastRenderedPageBreak/>
              <w:t>egenskaper hos förarvarningssystem och metoder för att motivera föraren och för att bedöma om systemen fungerar korrekt; ix) metoder för att bedöma korrekt funktion, effektivitet, regenerering och hållbarhet hos ursprungliga och ersättande utsläppsbegränsande system, x) metoder för att säkerställa och bedöma säkerhetsåtgärder, inklusive sårbarhetsanalys och skydd mot manipulering, xii) kriterier för typgodkännanden avseende utsläpp för tillverkare av små och ultrasmå serier, xiii) kontroller och provningsförfaranden för etappvis färdigbyggda fordon, xiv) Prestandakrav för provningsutrustning. xv) specifikation av referensbränslen, xvi) metoder för att bedöma avsaknaden av manipulationsanordningar och manipulationsstrategier, xvii) mäta däckslitage, samt xviii) miljöfordonspassets format, uppgifter och metod för överföring av miljöfordonspassets uppgifter.</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26</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Skäl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(22)</w:t>
            </w:r>
            <w:r w:rsidRPr="00690BB0">
              <w:tab/>
              <w:t xml:space="preserve">För att vid behov ändra eller komplettera icke väsentliga delar av denna förordning bör befogenheten att anta akter i enlighet med artikel 290 i fördraget om Europeiska unionens funktionssätt delegeras till kommissionen när det gäller följande: provningsvillkor som bygger på uppgifter som samlas in vid provning av Euro 7-fordon, Euro 7-bromsar eller Euro 7-däck; provningskrav, särskilt med hänsyn till den tekniska utvecklingen och uppgifter som samlats in vid provning av Euro 7-fordon; </w:t>
            </w:r>
            <w:r w:rsidRPr="00690BB0">
              <w:rPr>
                <w:b/>
                <w:i/>
              </w:rPr>
              <w:t xml:space="preserve">införande av fordonstillbehör och beteckningar baserade på innovativ teknik </w:t>
            </w:r>
            <w:r w:rsidRPr="00690BB0">
              <w:rPr>
                <w:b/>
                <w:i/>
              </w:rPr>
              <w:lastRenderedPageBreak/>
              <w:t xml:space="preserve">för tillverkarna, men även </w:t>
            </w:r>
            <w:r w:rsidRPr="00690BB0">
              <w:t>fastställande av gränsvärden för bromspartikelutsläpp och nötningsgränser för däcktyper samt minimikrav på batteriers prestanda och hållbarhetsmultiplikatorer på grundval av uppgifter som samlats in vid provning av Euro 7-fordon och fastställande av definitioner och särskilda regler för tillverkare av små serier för fordon av kategorierna M</w:t>
            </w:r>
            <w:r w:rsidRPr="00690BB0">
              <w:rPr>
                <w:vertAlign w:val="subscript"/>
              </w:rPr>
              <w:t>2</w:t>
            </w:r>
            <w:r w:rsidRPr="00690BB0">
              <w:t>, M</w:t>
            </w:r>
            <w:r w:rsidRPr="00690BB0">
              <w:rPr>
                <w:vertAlign w:val="subscript"/>
              </w:rPr>
              <w:t>3</w:t>
            </w:r>
            <w:r w:rsidRPr="00690BB0">
              <w:t>, N</w:t>
            </w:r>
            <w:r w:rsidRPr="00690BB0">
              <w:rPr>
                <w:vertAlign w:val="subscript"/>
              </w:rPr>
              <w:t>2</w:t>
            </w:r>
            <w:r w:rsidRPr="00690BB0">
              <w:t>, N</w:t>
            </w:r>
            <w:r w:rsidRPr="00690BB0">
              <w:rPr>
                <w:vertAlign w:val="subscript"/>
              </w:rPr>
              <w:t>3</w:t>
            </w:r>
            <w:r w:rsidRPr="00690BB0">
              <w:t>. Det är särskilt viktigt att kommissionen genomför lämpliga samråd under sitt förberedande arbete, även på expertnivå, och att dessa samråd genomförs i enlighet med de principer som fastställs i det interinstitutionella avtalet av den 13 april 2016 om bättre lagstiftning</w:t>
            </w:r>
            <w:r w:rsidRPr="00690BB0">
              <w:rPr>
                <w:vertAlign w:val="superscript"/>
              </w:rPr>
              <w:t>51</w:t>
            </w:r>
            <w:r w:rsidRPr="00690BB0">
              <w:t>. För att säkerställa lika stor delaktighet i förberedelsen av delegerade akter erhåller Europaparlamentet och rådet alla handlingar samtidigt som medlemsstaternas experter, och deras experter ges systematiskt tillträde till möten i kommissionens expertgrupper som arbetar med förberedelse av delegerade akter.</w:t>
            </w:r>
          </w:p>
        </w:tc>
        <w:tc>
          <w:tcPr>
            <w:tcW w:w="4876" w:type="dxa"/>
          </w:tcPr>
          <w:p w:rsidR="00D624B1" w:rsidRPr="00690BB0" w:rsidRDefault="00D624B1" w:rsidP="003F2A5D">
            <w:pPr>
              <w:pStyle w:val="Normal6a"/>
              <w:widowControl/>
            </w:pPr>
            <w:r w:rsidRPr="00690BB0">
              <w:lastRenderedPageBreak/>
              <w:t>(22)</w:t>
            </w:r>
            <w:r w:rsidRPr="00690BB0">
              <w:tab/>
              <w:t xml:space="preserve">För att vid behov ändra eller komplettera icke väsentliga delar av denna förordning bör befogenheten att anta akter i enlighet med artikel 290 i fördraget om Europeiska unionens funktionssätt delegeras till kommissionen när det gäller följande: provningsvillkor som bygger på uppgifter som samlas in vid provning av Euro 7-fordon, Euro 7-bromsar eller Euro 7-däck; provningskrav, särskilt med hänsyn till den tekniska utvecklingen och uppgifter som samlats in vid provning av Euro 7-fordon; fastställande av gränsvärden för bromspartikelutsläpp och nötningsgränser </w:t>
            </w:r>
            <w:r w:rsidRPr="00690BB0">
              <w:lastRenderedPageBreak/>
              <w:t>för däcktyper samt minimikrav på batteriers prestanda och hållbarhetsmultiplikatorer på grundval av uppgifter som samlats in vid provning av Euro 7-fordon och fastställande av definitioner och särskilda regler för tillverkare av små serier för fordon av kategorierna M2, M3, N2, N3. Det är särskilt viktigt att kommissionen genomför lämpliga samråd under sitt förberedande arbete, även på expertnivå, och att dessa samråd genomförs i enlighet med de principer som fastställs i det interinstitutionella avtalet av den 13 april 2016 om bättre lagstiftning</w:t>
            </w:r>
            <w:r w:rsidRPr="00690BB0">
              <w:rPr>
                <w:vertAlign w:val="superscript"/>
              </w:rPr>
              <w:t>51</w:t>
            </w:r>
            <w:r w:rsidRPr="00690BB0">
              <w:t>. För att säkerställa lika stor delaktighet i förberedelsen av delegerade akter erhåller Europaparlamentet och rådet alla handlingar samtidigt som medlemsstaternas experter, och deras experter ges systematiskt tillträde till möten i kommissionens expertgrupper som arbetar med förberedelse av delegerade akter.</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27</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Skäl 22a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p>
        </w:tc>
        <w:tc>
          <w:tcPr>
            <w:tcW w:w="4876" w:type="dxa"/>
          </w:tcPr>
          <w:p w:rsidR="00D624B1" w:rsidRPr="00690BB0" w:rsidRDefault="00D624B1" w:rsidP="003F2A5D">
            <w:pPr>
              <w:pStyle w:val="Normal6a"/>
              <w:widowControl/>
            </w:pPr>
            <w:r w:rsidRPr="00690BB0">
              <w:rPr>
                <w:b/>
                <w:i/>
              </w:rPr>
              <w:t>(22a)</w:t>
            </w:r>
            <w:r w:rsidRPr="00690BB0">
              <w:tab/>
            </w:r>
            <w:r w:rsidRPr="00690BB0">
              <w:rPr>
                <w:b/>
                <w:i/>
              </w:rPr>
              <w:t xml:space="preserve">Unionen har undertecknat överenskommelsen från Förenta nationernas ekonomiska kommission för Europa (Unece) som upprättades den 20 mars 1958. Överenskommelsen gäller standardisering av tekniska specifikationer för hjulförsedda fordon, tillhörande utrustning och komponenter som kan installeras på eller användas i hjulförsedda fordon. Dessutom fastställs villkoren för ömsesidigt erkännande av godkännanden som beviljats på grundval av dessa specifikationer. De krav som fastställs i denna förordning bör, när så </w:t>
            </w:r>
            <w:r w:rsidRPr="00690BB0">
              <w:rPr>
                <w:b/>
                <w:i/>
              </w:rPr>
              <w:lastRenderedPageBreak/>
              <w:t>är lämpligt, anpassas till de standarder som fastställs i Unece-föreskrifterna eller eventuella senare ändringar av denna förordning, i förekommande fall, särskilt när det gäller gränsvärden för bromspartikelutsläpp, gränsvärden för däcktyper avseende nötning och fastställandet av minimiprestandakriterier för batterier.</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28</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Skäl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keepNext/>
              <w:keepLines/>
              <w:widowControl/>
            </w:pPr>
            <w:r w:rsidRPr="00690BB0">
              <w:t>Kommissionens förslag</w:t>
            </w:r>
          </w:p>
        </w:tc>
        <w:tc>
          <w:tcPr>
            <w:tcW w:w="4876" w:type="dxa"/>
          </w:tcPr>
          <w:p w:rsidR="00D624B1" w:rsidRPr="00690BB0" w:rsidRDefault="007B7831" w:rsidP="003F2A5D">
            <w:pPr>
              <w:pStyle w:val="AmColumnHeading"/>
              <w:keepNext/>
              <w:keepLines/>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(25)</w:t>
            </w:r>
            <w:r w:rsidRPr="00690BB0">
              <w:tab/>
              <w:t>Det är viktigt att ge medlemsstaterna, de nationella typgodkännandemyndigheterna och de ekonomiska aktörerna tillräckligt med tid för att förbereda sig för tillämpningen av de nya regler som införs genom denna förordning. Tillämpningsdatumet bör därför skjutas upp. För lätta fordon bör tillämpningsdatumet vara så snart som det är tekniskt möjligt, men för tunga fordon och släpfordon kan tillämpningsdatumet skjutas upp ytterligare</w:t>
            </w:r>
            <w:r w:rsidRPr="00690BB0">
              <w:rPr>
                <w:b/>
                <w:i/>
              </w:rPr>
              <w:t xml:space="preserve"> två år</w:t>
            </w:r>
            <w:r w:rsidRPr="00690BB0">
              <w:t>, eftersom omställningen till utsläppsfria fordon kommer att ta längre tid för tunga fordon.</w:t>
            </w:r>
          </w:p>
        </w:tc>
        <w:tc>
          <w:tcPr>
            <w:tcW w:w="4876" w:type="dxa"/>
          </w:tcPr>
          <w:p w:rsidR="00D624B1" w:rsidRPr="00690BB0" w:rsidRDefault="00D624B1" w:rsidP="003F2A5D">
            <w:pPr>
              <w:pStyle w:val="Normal6a"/>
              <w:widowControl/>
            </w:pPr>
            <w:r w:rsidRPr="00690BB0">
              <w:t>(25)</w:t>
            </w:r>
            <w:r w:rsidRPr="00690BB0">
              <w:tab/>
              <w:t>Det är viktigt att ge medlemsstaterna, de nationella typgodkännandemyndigheterna och de ekonomiska aktörerna tillräckligt med tid för att förbereda sig för tillämpningen av de nya regler som införs genom denna förordning</w:t>
            </w:r>
            <w:r w:rsidRPr="00690BB0">
              <w:rPr>
                <w:b/>
                <w:i/>
              </w:rPr>
              <w:t xml:space="preserve"> och dess sekundärlagstiftning</w:t>
            </w:r>
            <w:r w:rsidRPr="00690BB0">
              <w:t xml:space="preserve">. Tillämpningsdatumet bör därför skjutas upp. För lätta fordon bör tillämpningsdatumet vara så snart som det är tekniskt </w:t>
            </w:r>
            <w:r w:rsidRPr="00690BB0">
              <w:rPr>
                <w:b/>
                <w:i/>
              </w:rPr>
              <w:t xml:space="preserve">och ekonomiskt </w:t>
            </w:r>
            <w:r w:rsidRPr="00690BB0">
              <w:t>möjligt, men för tunga fordon och släpfordon kan tillämpningsdatumet skjutas upp ytterligare, eftersom omställningen till utsläppsfria fordon kommer att ta längre tid för tunga fordon.</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29</w:t>
      </w:r>
    </w:p>
    <w:p w:rsidR="00D624B1" w:rsidRPr="00690BB0" w:rsidRDefault="00D624B1" w:rsidP="00D624B1">
      <w:pPr>
        <w:widowControl/>
      </w:pPr>
    </w:p>
    <w:p w:rsidR="00D624B1" w:rsidRPr="00690BB0" w:rsidRDefault="00D624B1" w:rsidP="00D624B1">
      <w:pPr>
        <w:pStyle w:val="NormalBold"/>
        <w:keepNext/>
        <w:widowControl/>
      </w:pPr>
      <w:r w:rsidRPr="00690BB0">
        <w:t>Förslag till förordning</w:t>
      </w:r>
    </w:p>
    <w:p w:rsidR="00D624B1" w:rsidRPr="00690BB0" w:rsidRDefault="00D624B1" w:rsidP="00D624B1">
      <w:pPr>
        <w:pStyle w:val="NormalBold"/>
        <w:widowControl/>
      </w:pPr>
      <w:r w:rsidRPr="00690BB0">
        <w:t>Skäl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jc w:val="center"/>
        </w:trPr>
        <w:tc>
          <w:tcPr>
            <w:tcW w:w="9752" w:type="dxa"/>
            <w:gridSpan w:val="2"/>
          </w:tcPr>
          <w:p w:rsidR="00D624B1" w:rsidRPr="00690BB0" w:rsidRDefault="00D624B1" w:rsidP="003F2A5D">
            <w:pPr>
              <w:keepNext/>
              <w:widowControl/>
            </w:pPr>
          </w:p>
        </w:tc>
      </w:tr>
      <w:tr w:rsidR="00D624B1" w:rsidRPr="00690BB0" w:rsidTr="003F2A5D">
        <w:trPr>
          <w:jc w:val="center"/>
        </w:trPr>
        <w:tc>
          <w:tcPr>
            <w:tcW w:w="4876" w:type="dxa"/>
            <w:hideMark/>
          </w:tcPr>
          <w:p w:rsidR="00D624B1" w:rsidRPr="00690BB0" w:rsidRDefault="00D624B1" w:rsidP="003F2A5D">
            <w:pPr>
              <w:pStyle w:val="ColumnHeading"/>
              <w:keepNext/>
              <w:widowControl/>
            </w:pPr>
            <w:r w:rsidRPr="00690BB0">
              <w:t>Kommissionens förslag</w:t>
            </w:r>
          </w:p>
        </w:tc>
        <w:tc>
          <w:tcPr>
            <w:tcW w:w="4876" w:type="dxa"/>
            <w:hideMark/>
          </w:tcPr>
          <w:p w:rsidR="00D624B1" w:rsidRPr="00690BB0" w:rsidRDefault="007B7831" w:rsidP="003F2A5D">
            <w:pPr>
              <w:pStyle w:val="ColumnHeading"/>
              <w:keepNext/>
              <w:widowControl/>
            </w:pPr>
            <w:r w:rsidRPr="00690BB0">
              <w:t>Ändring</w:t>
            </w:r>
          </w:p>
        </w:tc>
      </w:tr>
      <w:tr w:rsidR="00D624B1" w:rsidRPr="00690BB0" w:rsidTr="003F2A5D">
        <w:trPr>
          <w:jc w:val="center"/>
        </w:trPr>
        <w:tc>
          <w:tcPr>
            <w:tcW w:w="4876" w:type="dxa"/>
            <w:hideMark/>
          </w:tcPr>
          <w:p w:rsidR="00D624B1" w:rsidRPr="00690BB0" w:rsidRDefault="00D624B1" w:rsidP="003F2A5D">
            <w:pPr>
              <w:pStyle w:val="Normal6"/>
              <w:widowControl/>
            </w:pPr>
            <w:r w:rsidRPr="00690BB0">
              <w:t>(26)</w:t>
            </w:r>
            <w:r w:rsidRPr="00690BB0">
              <w:tab/>
              <w:t xml:space="preserve">Eftersom målen med denna förordning, nämligen att fastställa harmoniserade bestämmelser om administrativa och tekniska krav för typgodkännande av fordon av kategorierna M och N och för system, komponenter och </w:t>
            </w:r>
            <w:r w:rsidRPr="00690BB0">
              <w:lastRenderedPageBreak/>
              <w:t>separata tekniska enheter samt om marknadskontroll över sådana fordon, system, komponenter och separata tekniska enheter med avseende på utsläpp, inte i tillräcklig utsträckning kan uppnås av medlemsstaterna och att de därför, på grund av deras omfattning och verkningar, bättre kan uppnås på unionsnivå, får unionen vidta åtgärder i enlighet med subsidiaritetsprincipen i artikel</w:t>
            </w:r>
            <w:r w:rsidRPr="00690BB0">
              <w:rPr>
                <w:b/>
                <w:i/>
              </w:rPr>
              <w:t> </w:t>
            </w:r>
            <w:r w:rsidRPr="00690BB0">
              <w:t>5 i fördraget om Europeiska unionen. I enlighet med proportionalitetsprincipen i samma artikel går denna förordning inte utöver vad som är nödvändigt för att uppnå dessa mål.</w:t>
            </w:r>
          </w:p>
        </w:tc>
        <w:tc>
          <w:tcPr>
            <w:tcW w:w="4876" w:type="dxa"/>
            <w:hideMark/>
          </w:tcPr>
          <w:p w:rsidR="00D624B1" w:rsidRPr="00690BB0" w:rsidRDefault="00D624B1" w:rsidP="003F2A5D">
            <w:pPr>
              <w:pStyle w:val="Normal6"/>
              <w:widowControl/>
              <w:rPr>
                <w:szCs w:val="24"/>
              </w:rPr>
            </w:pPr>
            <w:r w:rsidRPr="00690BB0">
              <w:lastRenderedPageBreak/>
              <w:t>(26)</w:t>
            </w:r>
            <w:r w:rsidRPr="00690BB0">
              <w:tab/>
              <w:t xml:space="preserve">Eftersom målen med denna förordning, nämligen att fastställa harmoniserade bestämmelser om administrativa och tekniska krav för typgodkännande av fordon av kategorierna M och N och för system, komponenter och </w:t>
            </w:r>
            <w:r w:rsidRPr="00690BB0">
              <w:lastRenderedPageBreak/>
              <w:t xml:space="preserve">separata tekniska enheter samt om marknadskontroll över sådana fordon, system, komponenter och separata tekniska enheter med avseende på utsläpp, </w:t>
            </w:r>
            <w:r w:rsidRPr="00690BB0">
              <w:rPr>
                <w:b/>
                <w:i/>
              </w:rPr>
              <w:t xml:space="preserve">samt att eftersträva höga nivåer av miljö- och hälsoskydd, </w:t>
            </w:r>
            <w:r w:rsidRPr="00690BB0">
              <w:t>inte i tillräcklig utsträckning kan uppnås av medlemsstaterna och att de därför, på grund av deras omfattning och verkningar, bättre kan uppnås på unionsnivå, får unionen vidta åtgärder i enlighet med subsidiaritetsprincipen i artikel</w:t>
            </w:r>
            <w:r w:rsidRPr="00690BB0">
              <w:rPr>
                <w:b/>
                <w:i/>
              </w:rPr>
              <w:t xml:space="preserve"> </w:t>
            </w:r>
            <w:r w:rsidRPr="00690BB0">
              <w:t>5 i fördraget om Europeiska unionen. I enlighet med proportionalitetsprincipen i samma artikel går denna förordning inte utöver vad som är nödvändigt för att uppnå dessa mål.</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30</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1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2.</w:t>
            </w:r>
            <w:r w:rsidRPr="00690BB0">
              <w:tab/>
              <w:t>I denna förordning fastställs regler för det ursprungliga typgodkännandet avseende utsläpp, produktionsöverensstämmelse, överensstämmelse hos fordon i drift, marknadskontroll, hållbarheten för utsläppsbegränsande system och drivbatterier, system för ombordövervakning, säkerhetsbestämmelser för att begränsa manipulering och åtgärder för cybersäkerhet samt noggrann bestämning av koldioxidutsläpp, räckvidd vid eldrift, bränsle- och energiförbrukning och energieffektivitet.</w:t>
            </w:r>
          </w:p>
        </w:tc>
        <w:tc>
          <w:tcPr>
            <w:tcW w:w="4876" w:type="dxa"/>
          </w:tcPr>
          <w:p w:rsidR="00D624B1" w:rsidRPr="00690BB0" w:rsidRDefault="00D624B1" w:rsidP="003F2A5D">
            <w:pPr>
              <w:pStyle w:val="Normal6a"/>
              <w:widowControl/>
            </w:pPr>
            <w:r w:rsidRPr="00690BB0">
              <w:t>2.</w:t>
            </w:r>
            <w:r w:rsidRPr="00690BB0">
              <w:tab/>
              <w:t xml:space="preserve">I denna förordning fastställs </w:t>
            </w:r>
            <w:r w:rsidRPr="00690BB0">
              <w:rPr>
                <w:b/>
                <w:i/>
              </w:rPr>
              <w:t xml:space="preserve">dessutom </w:t>
            </w:r>
            <w:r w:rsidRPr="00690BB0">
              <w:t>regler för det ursprungliga typgodkännandet avseende utsläpp, produktionsöverensstämmelse, överensstämmelse hos fordon i drift, marknadskontroll, hållbarheten för utsläppsbegränsande system och drivbatterier, system för ombordövervakning, säkerhetsbestämmelser för att begränsa manipulering och åtgärder för cybersäkerhet samt noggrann bestämning av koldioxidutsläpp</w:t>
            </w:r>
            <w:r w:rsidRPr="00690BB0">
              <w:rPr>
                <w:b/>
                <w:i/>
              </w:rPr>
              <w:t xml:space="preserve"> och utsläpp av föroreningar</w:t>
            </w:r>
            <w:r w:rsidRPr="00690BB0">
              <w:t>, räckvidd vid eldrift, bränsle- och energiförbrukning och energieffektivitet.</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31</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rPr>
          <w:b w:val="0"/>
        </w:rPr>
        <w:t>Artikel 1 – punkt 2a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lastRenderedPageBreak/>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p>
        </w:tc>
        <w:tc>
          <w:tcPr>
            <w:tcW w:w="4876" w:type="dxa"/>
          </w:tcPr>
          <w:p w:rsidR="00D624B1" w:rsidRPr="00690BB0" w:rsidRDefault="00D624B1" w:rsidP="003F2A5D">
            <w:pPr>
              <w:pStyle w:val="Normal6a"/>
              <w:widowControl/>
            </w:pPr>
            <w:r w:rsidRPr="00690BB0">
              <w:rPr>
                <w:b/>
                <w:i/>
              </w:rPr>
              <w:t>2a.</w:t>
            </w:r>
            <w:r w:rsidRPr="00690BB0">
              <w:tab/>
            </w:r>
            <w:r w:rsidRPr="00690BB0">
              <w:rPr>
                <w:b/>
                <w:i/>
              </w:rPr>
              <w:t>I denna förordning fastställs också gemensamma tekniska krav och administrativa bestämmelser för typgodkännande vad gäller nötningsutsläpp och marknadskontroll av alla nytillverkade däck. Dessa ska betraktas som ett komplement till de tekniska kraven för däck och administrativa bestämmelser i förordning (EU) 2019/2144.</w:t>
            </w:r>
          </w:p>
        </w:tc>
      </w:tr>
    </w:tbl>
    <w:p w:rsidR="00D624B1" w:rsidRPr="00690BB0" w:rsidRDefault="00D624B1" w:rsidP="00D624B1">
      <w:pPr>
        <w:widowControl/>
      </w:pPr>
    </w:p>
    <w:p w:rsidR="00D624B1" w:rsidRPr="00690BB0" w:rsidRDefault="007B7831" w:rsidP="00D624B1">
      <w:pPr>
        <w:pStyle w:val="AmNumberTabs"/>
        <w:keepNext/>
        <w:keepLines/>
        <w:widowControl/>
      </w:pPr>
      <w:r w:rsidRPr="00690BB0">
        <w:t>Ändring</w:t>
      </w:r>
      <w:r w:rsidR="00D624B1" w:rsidRPr="00690BB0">
        <w:tab/>
      </w:r>
      <w:r w:rsidR="00D624B1" w:rsidRPr="00690BB0">
        <w:tab/>
        <w:t>32</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Denna förordning gäller motorfordon av kategorierna M</w:t>
            </w:r>
            <w:r w:rsidRPr="00690BB0">
              <w:rPr>
                <w:vertAlign w:val="subscript"/>
              </w:rPr>
              <w:t>1</w:t>
            </w:r>
            <w:r w:rsidRPr="00690BB0">
              <w:t>, M2, M</w:t>
            </w:r>
            <w:r w:rsidRPr="00690BB0">
              <w:rPr>
                <w:vertAlign w:val="subscript"/>
              </w:rPr>
              <w:t>3</w:t>
            </w:r>
            <w:r w:rsidRPr="00690BB0">
              <w:t>, N</w:t>
            </w:r>
            <w:r w:rsidRPr="00690BB0">
              <w:rPr>
                <w:vertAlign w:val="subscript"/>
              </w:rPr>
              <w:t>1</w:t>
            </w:r>
            <w:r w:rsidRPr="00690BB0">
              <w:t>, N</w:t>
            </w:r>
            <w:r w:rsidRPr="00690BB0">
              <w:rPr>
                <w:vertAlign w:val="subscript"/>
              </w:rPr>
              <w:t>2</w:t>
            </w:r>
            <w:r w:rsidRPr="00690BB0">
              <w:t xml:space="preserve"> och N</w:t>
            </w:r>
            <w:r w:rsidRPr="00690BB0">
              <w:rPr>
                <w:vertAlign w:val="subscript"/>
              </w:rPr>
              <w:t>3</w:t>
            </w:r>
            <w:r w:rsidRPr="00690BB0">
              <w:t xml:space="preserve"> samt släpfordon av kategorierna O</w:t>
            </w:r>
            <w:r w:rsidRPr="00690BB0">
              <w:rPr>
                <w:vertAlign w:val="subscript"/>
              </w:rPr>
              <w:t>3</w:t>
            </w:r>
            <w:r w:rsidRPr="00690BB0">
              <w:t xml:space="preserve"> och O</w:t>
            </w:r>
            <w:r w:rsidRPr="00690BB0">
              <w:rPr>
                <w:vertAlign w:val="subscript"/>
              </w:rPr>
              <w:t>4</w:t>
            </w:r>
            <w:r w:rsidRPr="00690BB0">
              <w:t xml:space="preserve"> enligt artikel 4 i förordning (EU) 2018/858, även sådana som är utformade och konstruerade i en eller flera etapper, samt system, komponenter och separata tekniska enheter som är avsedda för sådana fordon.</w:t>
            </w:r>
          </w:p>
        </w:tc>
        <w:tc>
          <w:tcPr>
            <w:tcW w:w="4876" w:type="dxa"/>
          </w:tcPr>
          <w:p w:rsidR="00D624B1" w:rsidRPr="00690BB0" w:rsidRDefault="00D624B1" w:rsidP="003F2A5D">
            <w:pPr>
              <w:pStyle w:val="Normal6a"/>
              <w:widowControl/>
            </w:pPr>
            <w:r w:rsidRPr="00690BB0">
              <w:t>Denna förordning gäller motorfordon av kategorierna M1, M2, M3, N1, N2 och N3 samt släpfordon av kategorierna O3 och O4 enligt artikel 4 i förordning (EU) 2018/858, även sådana som är utformade och konstruerade i en eller flera etapper, samt system, komponenter och separata tekniska enheter som är avsedda för sådana fordon</w:t>
            </w:r>
            <w:r w:rsidRPr="00690BB0">
              <w:rPr>
                <w:b/>
                <w:i/>
              </w:rPr>
              <w:t xml:space="preserve"> och däck av klasserna C1, C2 och C3 enligt vad som fastställs i FN-föreskrift nr 117 med undantag för däck med väggrepp på is</w:t>
            </w:r>
            <w:r w:rsidRPr="00690BB0">
              <w:t>.</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33</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rPr>
          <w:b w:val="0"/>
        </w:rPr>
        <w:t>Artikel 3 – stycke 2 – led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(2)</w:t>
            </w:r>
            <w:r w:rsidRPr="00690BB0">
              <w:tab/>
              <w:t>ursprungligt typgodkännande avseende utsläpp: den första fasen i ett förfarande för typgodkännande avseende utsläpp innan myndigheterna beviljar typgodkännandeintyget för utsläpp och fordonen börjar tillverkas.</w:t>
            </w:r>
          </w:p>
        </w:tc>
        <w:tc>
          <w:tcPr>
            <w:tcW w:w="4876" w:type="dxa"/>
          </w:tcPr>
          <w:p w:rsidR="00D624B1" w:rsidRPr="00690BB0" w:rsidRDefault="00D624B1" w:rsidP="003F2A5D">
            <w:pPr>
              <w:pStyle w:val="Normal6a"/>
              <w:widowControl/>
            </w:pPr>
            <w:r w:rsidRPr="00690BB0">
              <w:t>(2)</w:t>
            </w:r>
            <w:r w:rsidRPr="00690BB0">
              <w:tab/>
              <w:t xml:space="preserve">ursprungligt typgodkännande avseende utsläpp: den första fasen i ett förfarande för typgodkännande avseende utsläpp innan myndigheterna beviljar typgodkännandeintyget för utsläpp och </w:t>
            </w:r>
            <w:r w:rsidRPr="00690BB0">
              <w:lastRenderedPageBreak/>
              <w:t>fordonen</w:t>
            </w:r>
            <w:r w:rsidRPr="00690BB0">
              <w:rPr>
                <w:b/>
                <w:i/>
              </w:rPr>
              <w:t>, separata tekniska enheter eller komponenter</w:t>
            </w:r>
            <w:r w:rsidRPr="00690BB0">
              <w:t xml:space="preserve"> börjar tillverkas.</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34</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rPr>
          <w:b w:val="0"/>
        </w:rPr>
        <w:t>Artikel 3 – stycke 2 – led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(4)</w:t>
            </w:r>
            <w:r w:rsidRPr="00690BB0">
              <w:tab/>
              <w:t>överensstämmelse hos fordon i drift: det arbete som utförs på fordon i trafik i syfte att kontrollera de hållbarhetskrav som fastställs i denna förordning.</w:t>
            </w:r>
          </w:p>
        </w:tc>
        <w:tc>
          <w:tcPr>
            <w:tcW w:w="4876" w:type="dxa"/>
          </w:tcPr>
          <w:p w:rsidR="00D624B1" w:rsidRPr="00690BB0" w:rsidRDefault="00D624B1" w:rsidP="003F2A5D">
            <w:pPr>
              <w:pStyle w:val="Normal6a"/>
              <w:widowControl/>
            </w:pPr>
            <w:r w:rsidRPr="00690BB0">
              <w:t>(4)</w:t>
            </w:r>
            <w:r w:rsidRPr="00690BB0">
              <w:tab/>
              <w:t>överensstämmelse hos fordon i drift: det arbete som utförs på fordon</w:t>
            </w:r>
            <w:r w:rsidRPr="00690BB0">
              <w:rPr>
                <w:b/>
                <w:i/>
              </w:rPr>
              <w:t>, motorer, system, separata tekniska enheter eller komponenter</w:t>
            </w:r>
            <w:r w:rsidRPr="00690BB0">
              <w:t xml:space="preserve"> i trafik i syfte att kontrollera de hållbarhetskrav som fastställs i denna förordning.</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35</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rPr>
          <w:b w:val="0"/>
        </w:rPr>
        <w:t>Artikel 3 – stycke 2 – led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(5)</w:t>
            </w:r>
            <w:r w:rsidRPr="00690BB0">
              <w:tab/>
              <w:t xml:space="preserve">motor: ett fordons </w:t>
            </w:r>
            <w:r w:rsidRPr="00690BB0">
              <w:rPr>
                <w:b/>
                <w:i/>
              </w:rPr>
              <w:t>framdrivningskälla</w:t>
            </w:r>
            <w:r w:rsidRPr="00690BB0">
              <w:t>.</w:t>
            </w:r>
          </w:p>
        </w:tc>
        <w:tc>
          <w:tcPr>
            <w:tcW w:w="4876" w:type="dxa"/>
          </w:tcPr>
          <w:p w:rsidR="00D624B1" w:rsidRPr="00690BB0" w:rsidRDefault="00D624B1" w:rsidP="003F2A5D">
            <w:pPr>
              <w:pStyle w:val="Normal6a"/>
              <w:widowControl/>
            </w:pPr>
            <w:r w:rsidRPr="00690BB0">
              <w:t>(5)</w:t>
            </w:r>
            <w:r w:rsidRPr="00690BB0">
              <w:tab/>
              <w:t xml:space="preserve">motor: ett fordons </w:t>
            </w:r>
            <w:r w:rsidRPr="00690BB0">
              <w:rPr>
                <w:b/>
                <w:i/>
              </w:rPr>
              <w:t>förbränningsmotor</w:t>
            </w:r>
            <w:r w:rsidRPr="00690BB0">
              <w:t>.</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36</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rPr>
          <w:b w:val="0"/>
        </w:rPr>
        <w:t>Artikel 3 – stycke 2 – led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(9)</w:t>
            </w:r>
            <w:r w:rsidRPr="00690BB0">
              <w:tab/>
              <w:t xml:space="preserve">koldioxidutsläpp: utsläpp av koldioxid från </w:t>
            </w:r>
            <w:r w:rsidRPr="00690BB0">
              <w:rPr>
                <w:b/>
                <w:i/>
              </w:rPr>
              <w:t xml:space="preserve">motorfordonets eller motorns </w:t>
            </w:r>
            <w:r w:rsidRPr="00690BB0">
              <w:t>avgasrör.</w:t>
            </w:r>
          </w:p>
        </w:tc>
        <w:tc>
          <w:tcPr>
            <w:tcW w:w="4876" w:type="dxa"/>
          </w:tcPr>
          <w:p w:rsidR="00D624B1" w:rsidRPr="00690BB0" w:rsidRDefault="00D624B1" w:rsidP="003F2A5D">
            <w:pPr>
              <w:pStyle w:val="Normal6a"/>
              <w:widowControl/>
            </w:pPr>
            <w:r w:rsidRPr="00690BB0">
              <w:t>(9)</w:t>
            </w:r>
            <w:r w:rsidRPr="00690BB0">
              <w:tab/>
              <w:t>koldioxidutsläpp: utsläpp av koldioxid från avgasrör.</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37</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rPr>
          <w:b w:val="0"/>
        </w:rPr>
        <w:t>Artikel 3 – stycke 2 – led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(10)</w:t>
            </w:r>
            <w:r w:rsidRPr="00690BB0">
              <w:tab/>
              <w:t xml:space="preserve">kväveoxider: summan av </w:t>
            </w:r>
            <w:r w:rsidRPr="00690BB0">
              <w:rPr>
                <w:b/>
                <w:i/>
              </w:rPr>
              <w:t>de kväveoxider</w:t>
            </w:r>
            <w:r w:rsidRPr="00690BB0">
              <w:t xml:space="preserve"> som släpps ut från avgasröret.</w:t>
            </w:r>
          </w:p>
        </w:tc>
        <w:tc>
          <w:tcPr>
            <w:tcW w:w="4876" w:type="dxa"/>
          </w:tcPr>
          <w:p w:rsidR="00D624B1" w:rsidRPr="00690BB0" w:rsidRDefault="00D624B1" w:rsidP="003F2A5D">
            <w:pPr>
              <w:pStyle w:val="Normal6a"/>
              <w:widowControl/>
            </w:pPr>
            <w:r w:rsidRPr="00690BB0">
              <w:t>(10)</w:t>
            </w:r>
            <w:r w:rsidRPr="00690BB0">
              <w:tab/>
              <w:t xml:space="preserve">kväveoxider: summan av </w:t>
            </w:r>
            <w:r w:rsidRPr="00690BB0">
              <w:rPr>
                <w:b/>
                <w:i/>
              </w:rPr>
              <w:t>den kväveoxid och den kvävedioxid</w:t>
            </w:r>
            <w:r w:rsidRPr="00690BB0">
              <w:t xml:space="preserve"> som släpps ut från avgasröret.</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38</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rPr>
          <w:b w:val="0"/>
        </w:rPr>
        <w:t>Artikel 3 – stycke 2 – led 10a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p>
        </w:tc>
        <w:tc>
          <w:tcPr>
            <w:tcW w:w="4876" w:type="dxa"/>
          </w:tcPr>
          <w:p w:rsidR="00D624B1" w:rsidRPr="00690BB0" w:rsidRDefault="00D624B1" w:rsidP="003F2A5D">
            <w:pPr>
              <w:pStyle w:val="Normal6a"/>
              <w:widowControl/>
            </w:pPr>
            <w:r w:rsidRPr="00690BB0">
              <w:rPr>
                <w:b/>
                <w:i/>
              </w:rPr>
              <w:t>(10a)</w:t>
            </w:r>
            <w:r w:rsidRPr="00690BB0">
              <w:tab/>
            </w:r>
            <w:r w:rsidRPr="00690BB0">
              <w:rPr>
                <w:b/>
                <w:i/>
              </w:rPr>
              <w:t>dikväveoxid eller N</w:t>
            </w:r>
            <w:r w:rsidRPr="00690BB0">
              <w:rPr>
                <w:b/>
                <w:i/>
                <w:vertAlign w:val="subscript"/>
              </w:rPr>
              <w:t>2</w:t>
            </w:r>
            <w:r w:rsidRPr="00690BB0">
              <w:rPr>
                <w:b/>
                <w:i/>
              </w:rPr>
              <w:t>O: utsläpp av dikväveoxid från avgasrör.</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39</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rPr>
          <w:b w:val="0"/>
        </w:rPr>
        <w:t>Artikel 3 – stycke 2 – led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(18)</w:t>
            </w:r>
            <w:r w:rsidRPr="00690BB0">
              <w:tab/>
              <w:t>andra kolväten än metan: de totala kolväten som släpps ut från avgasröret exklusive metan.</w:t>
            </w:r>
          </w:p>
        </w:tc>
        <w:tc>
          <w:tcPr>
            <w:tcW w:w="4876" w:type="dxa"/>
          </w:tcPr>
          <w:p w:rsidR="00D624B1" w:rsidRPr="00690BB0" w:rsidRDefault="00D624B1" w:rsidP="003F2A5D">
            <w:pPr>
              <w:pStyle w:val="Normal6a"/>
              <w:widowControl/>
            </w:pPr>
            <w:r w:rsidRPr="00690BB0">
              <w:rPr>
                <w:i/>
              </w:rPr>
              <w:t>(Berör inte den svenska versionen.)</w:t>
            </w:r>
            <w:r w:rsidRPr="00690BB0">
              <w:tab/>
              <w:t xml:space="preserve"> </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40</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rPr>
          <w:b w:val="0"/>
        </w:rPr>
        <w:t>Artikel 3 – stycke 2 – led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(24)</w:t>
            </w:r>
            <w:r w:rsidRPr="00690BB0">
              <w:tab/>
              <w:t xml:space="preserve">beräkningsverktyg för fordonsenergiförbrukning eller Vecto: simuleringsverktyg som används för att fastställa koldioxidutsläpp, bränsleförbrukning, elenergiförbrukning och räckvidd vid eldrift för tunga fordon. </w:t>
            </w:r>
            <w:r w:rsidRPr="00690BB0">
              <w:rPr>
                <w:b/>
                <w:i/>
              </w:rPr>
              <w:t>energiförbrukning: förbrukning av elenergi från alla framdrivningskällor i ett fordon.</w:t>
            </w:r>
          </w:p>
        </w:tc>
        <w:tc>
          <w:tcPr>
            <w:tcW w:w="4876" w:type="dxa"/>
          </w:tcPr>
          <w:p w:rsidR="00D624B1" w:rsidRPr="00690BB0" w:rsidRDefault="00D624B1" w:rsidP="003F2A5D">
            <w:pPr>
              <w:pStyle w:val="Normal6a"/>
              <w:widowControl/>
            </w:pPr>
            <w:r w:rsidRPr="00690BB0">
              <w:t>(24)</w:t>
            </w:r>
            <w:r w:rsidRPr="00690BB0">
              <w:tab/>
              <w:t>beräkningsverktyg för fordonsenergiförbrukning eller Vecto: simuleringsverktyg som används för att fastställa koldioxidutsläpp, bränsleförbrukning, elenergiförbrukning och räckvidd vid eldrift för tunga fordon.</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41</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3 – stycke 2 – led 24a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p>
        </w:tc>
        <w:tc>
          <w:tcPr>
            <w:tcW w:w="4876" w:type="dxa"/>
          </w:tcPr>
          <w:p w:rsidR="00D624B1" w:rsidRPr="00690BB0" w:rsidRDefault="00D624B1" w:rsidP="003F2A5D">
            <w:pPr>
              <w:pStyle w:val="Normal6a"/>
              <w:widowControl/>
            </w:pPr>
            <w:r w:rsidRPr="00690BB0">
              <w:rPr>
                <w:b/>
                <w:i/>
              </w:rPr>
              <w:t>(24a)</w:t>
            </w:r>
            <w:r w:rsidRPr="00690BB0">
              <w:tab/>
            </w:r>
            <w:r w:rsidRPr="00690BB0">
              <w:rPr>
                <w:b/>
                <w:i/>
              </w:rPr>
              <w:t>energiförbrukning: förbrukning av elenergi från alla framdrivningskällor i ett fordon.</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42</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3 – stycke 2 – led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(29)</w:t>
            </w:r>
            <w:r w:rsidRPr="00690BB0">
              <w:tab/>
              <w:t xml:space="preserve">däckslitage: den </w:t>
            </w:r>
            <w:r w:rsidRPr="00690BB0">
              <w:rPr>
                <w:b/>
                <w:i/>
              </w:rPr>
              <w:t>massa material</w:t>
            </w:r>
            <w:r w:rsidRPr="00690BB0">
              <w:t xml:space="preserve"> som går förlorad från däcket på grund av slitageprocessen och som släpps ut i miljön.</w:t>
            </w:r>
          </w:p>
        </w:tc>
        <w:tc>
          <w:tcPr>
            <w:tcW w:w="4876" w:type="dxa"/>
          </w:tcPr>
          <w:p w:rsidR="00D624B1" w:rsidRPr="00690BB0" w:rsidRDefault="00D624B1" w:rsidP="003F2A5D">
            <w:pPr>
              <w:pStyle w:val="Normal6a"/>
              <w:widowControl/>
            </w:pPr>
            <w:r w:rsidRPr="00690BB0">
              <w:t>(29)</w:t>
            </w:r>
            <w:r w:rsidRPr="00690BB0">
              <w:tab/>
              <w:t xml:space="preserve">däckslitage: den </w:t>
            </w:r>
            <w:r w:rsidRPr="00690BB0">
              <w:rPr>
                <w:b/>
                <w:i/>
              </w:rPr>
              <w:t>materialmassa</w:t>
            </w:r>
            <w:r w:rsidRPr="00690BB0">
              <w:t xml:space="preserve"> som går förlorad från däcket på grund av slitageprocessen </w:t>
            </w:r>
            <w:r w:rsidRPr="00690BB0">
              <w:rPr>
                <w:b/>
                <w:i/>
              </w:rPr>
              <w:t>och som hänför sig till det arbete som utförts i den gemensamma arbetsgruppen GRBP/GRPE för däckslitage i FN:s WP29</w:t>
            </w:r>
            <w:r w:rsidRPr="00690BB0">
              <w:t xml:space="preserve"> och som släpps ut i miljön.</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43</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rPr>
          <w:b w:val="0"/>
        </w:rPr>
        <w:t>Artikel 3 – stycke 2 – led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(34)</w:t>
            </w:r>
            <w:r w:rsidRPr="00690BB0">
              <w:tab/>
              <w:t>ursprungligt utsläppsbegränsande system: utsläppsbegränsande system eller en kombination av sådana system som omfattas av det typgodkännande som beviljats för fordonet i fråga.</w:t>
            </w:r>
          </w:p>
        </w:tc>
        <w:tc>
          <w:tcPr>
            <w:tcW w:w="4876" w:type="dxa"/>
          </w:tcPr>
          <w:p w:rsidR="00D624B1" w:rsidRPr="00690BB0" w:rsidRDefault="00D624B1" w:rsidP="003F2A5D">
            <w:pPr>
              <w:pStyle w:val="Normal6a"/>
              <w:widowControl/>
            </w:pPr>
            <w:r w:rsidRPr="00690BB0">
              <w:t>(34)</w:t>
            </w:r>
            <w:r w:rsidRPr="00690BB0">
              <w:tab/>
              <w:t>ursprungligt utsläppsbegränsande system: utsläppsbegränsande system eller en kombination av sådana system som omfattas av det typgodkännande som beviljats för fordonet i fråga</w:t>
            </w:r>
            <w:r w:rsidRPr="00690BB0">
              <w:rPr>
                <w:b/>
                <w:i/>
              </w:rPr>
              <w:t xml:space="preserve"> och monterats på fordonet då det registreras för första gången</w:t>
            </w:r>
            <w:r w:rsidRPr="00690BB0">
              <w:t>.</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44</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rPr>
          <w:b w:val="0"/>
        </w:rPr>
        <w:t>Artikel 3 – stycke 2 – led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rPr>
                <w:b/>
                <w:i/>
              </w:rPr>
              <w:t>(36)</w:t>
            </w:r>
            <w:r w:rsidRPr="00690BB0">
              <w:tab/>
            </w:r>
            <w:r w:rsidRPr="00690BB0">
              <w:rPr>
                <w:b/>
                <w:i/>
              </w:rPr>
              <w:t>dynamisk reglering: system som justerar motorn, utsläppsbegränsande system eller andra fordonsparametrar i syfte att förbättra bränsle- eller energiförbrukningen och effektiviteten hos det utsläppsbegränsande systemet på grundval av den förväntade användningen av fordonet.</w:t>
            </w:r>
          </w:p>
        </w:tc>
        <w:tc>
          <w:tcPr>
            <w:tcW w:w="4876" w:type="dxa"/>
          </w:tcPr>
          <w:p w:rsidR="00D624B1" w:rsidRPr="00690BB0" w:rsidRDefault="00D624B1" w:rsidP="003F2A5D">
            <w:pPr>
              <w:pStyle w:val="Normal6a"/>
              <w:widowControl/>
            </w:pPr>
            <w:r w:rsidRPr="00690BB0">
              <w:rPr>
                <w:b/>
                <w:i/>
              </w:rPr>
              <w:t>utgår</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45</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3 – stycke 2 – led 38</w:t>
      </w:r>
    </w:p>
    <w:p w:rsidR="00D624B1" w:rsidRPr="00690BB0" w:rsidRDefault="00D624B1" w:rsidP="00D624B1">
      <w:pPr>
        <w:widowControl/>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(38)</w:t>
            </w:r>
            <w:r w:rsidRPr="00690BB0">
              <w:tab/>
              <w:t>system för ombordövervakning eller OBM-system: system på ett fordon som kan upptäcka antingen utsläppsöverskridanden eller när ett fordon i förekommande fall befinner sig i nollutsläppsläge, och som kan indikera förekomsten av sådana överskridanden med hjälp av information som lagrats i fordonet, och som kan överföra denna information via OBD-porten och via luften.</w:t>
            </w:r>
          </w:p>
        </w:tc>
        <w:tc>
          <w:tcPr>
            <w:tcW w:w="4876" w:type="dxa"/>
          </w:tcPr>
          <w:p w:rsidR="00D624B1" w:rsidRPr="00690BB0" w:rsidRDefault="00D624B1" w:rsidP="003F2A5D">
            <w:pPr>
              <w:pStyle w:val="Normal6a"/>
              <w:widowControl/>
            </w:pPr>
            <w:r w:rsidRPr="00690BB0">
              <w:t>(38)</w:t>
            </w:r>
            <w:r w:rsidRPr="00690BB0">
              <w:tab/>
              <w:t xml:space="preserve">system för ombordövervakning eller OBM-system: system på ett fordon som kan </w:t>
            </w:r>
            <w:r w:rsidRPr="00690BB0">
              <w:rPr>
                <w:b/>
                <w:i/>
              </w:rPr>
              <w:t xml:space="preserve">övervaka utsläpp och </w:t>
            </w:r>
            <w:r w:rsidRPr="00690BB0">
              <w:t>upptäcka antingen utsläppsöverskridanden eller när ett fordon i förekommande fall befinner sig i nollutsläppsläge, och som kan indikera förekomsten av sådana överskridanden med hjälp av information som lagrats i fordonet, och som kan överföra denna information via OBD-porten och via luften.</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46</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3 – stycke 2 – led 39</w:t>
      </w:r>
    </w:p>
    <w:p w:rsidR="00D624B1" w:rsidRPr="00690BB0" w:rsidRDefault="00D624B1" w:rsidP="00D624B1">
      <w:pPr>
        <w:widowControl/>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(39)</w:t>
            </w:r>
            <w:r w:rsidRPr="00690BB0">
              <w:tab/>
              <w:t xml:space="preserve">ombordsystem för övervakning av bränsle- och energiförbrukning eller OBFCM-system: programvara eller hårdvara som mäter och använder parametrar för fordon, motor, bränsle- eller </w:t>
            </w:r>
            <w:r w:rsidRPr="00690BB0">
              <w:lastRenderedPageBreak/>
              <w:t>elenergi och nyttolast/vikt i syfte att bestämma och lagra data om bränsle- och energiförbrukning och andra parametrar som är relevanta för att bestämma fordonets bränsle- eller energiförbrukning och energieffektivitet i fordonet.</w:t>
            </w:r>
          </w:p>
        </w:tc>
        <w:tc>
          <w:tcPr>
            <w:tcW w:w="4876" w:type="dxa"/>
          </w:tcPr>
          <w:p w:rsidR="00D624B1" w:rsidRPr="00690BB0" w:rsidRDefault="00D624B1" w:rsidP="003F2A5D">
            <w:pPr>
              <w:pStyle w:val="Normal6a"/>
              <w:widowControl/>
            </w:pPr>
            <w:r w:rsidRPr="00690BB0">
              <w:lastRenderedPageBreak/>
              <w:t>(39)</w:t>
            </w:r>
            <w:r w:rsidRPr="00690BB0">
              <w:tab/>
              <w:t xml:space="preserve">ombordsystem för övervakning av bränsle- och energiförbrukning eller OBFCM-system: programvara eller hårdvara som mäter och använder parametrar för fordon, motor, bränsle- eller </w:t>
            </w:r>
            <w:r w:rsidRPr="00690BB0">
              <w:lastRenderedPageBreak/>
              <w:t>elenergi och nyttolast/vikt i syfte att bestämma och lagra data om bränsle- och energiförbrukning och andra parametrar som är relevanta för att bestämma fordonets bränsle- eller energiförbrukning och energieffektivitet i fordonet</w:t>
            </w:r>
            <w:r w:rsidRPr="00690BB0">
              <w:rPr>
                <w:b/>
                <w:i/>
              </w:rPr>
              <w:t xml:space="preserve"> samt för trafiksäkerhetskontroller</w:t>
            </w:r>
            <w:r w:rsidRPr="00690BB0">
              <w:t>.</w:t>
            </w:r>
          </w:p>
        </w:tc>
      </w:tr>
    </w:tbl>
    <w:p w:rsidR="00D624B1" w:rsidRPr="00690BB0" w:rsidRDefault="00D624B1" w:rsidP="00D624B1">
      <w:pPr>
        <w:widowControl/>
      </w:pPr>
    </w:p>
    <w:p w:rsidR="00D624B1" w:rsidRPr="00690BB0" w:rsidRDefault="007B7831" w:rsidP="00D624B1">
      <w:pPr>
        <w:pStyle w:val="AmNumberTabs"/>
        <w:keepNext/>
        <w:keepLines/>
        <w:widowControl/>
      </w:pPr>
      <w:r w:rsidRPr="00690BB0">
        <w:t>Ändring</w:t>
      </w:r>
      <w:r w:rsidR="00D624B1" w:rsidRPr="00690BB0">
        <w:tab/>
      </w:r>
      <w:r w:rsidR="00D624B1" w:rsidRPr="00690BB0">
        <w:tab/>
        <w:t>47</w:t>
      </w:r>
    </w:p>
    <w:p w:rsidR="00D624B1" w:rsidRPr="00690BB0" w:rsidRDefault="00D624B1" w:rsidP="00D624B1">
      <w:pPr>
        <w:pStyle w:val="NormalBold12b"/>
        <w:keepNext/>
        <w:keepLines/>
        <w:widowControl/>
      </w:pPr>
    </w:p>
    <w:p w:rsidR="00D624B1" w:rsidRPr="00690BB0" w:rsidRDefault="00D624B1" w:rsidP="00D624B1">
      <w:pPr>
        <w:pStyle w:val="NormalBold"/>
        <w:keepNext/>
        <w:keepLines/>
        <w:widowControl/>
      </w:pPr>
      <w:r w:rsidRPr="00690BB0">
        <w:t>Förslag till förordning</w:t>
      </w:r>
    </w:p>
    <w:p w:rsidR="00D624B1" w:rsidRPr="00690BB0" w:rsidRDefault="00D624B1" w:rsidP="00D624B1">
      <w:pPr>
        <w:pStyle w:val="NormalBold"/>
        <w:widowControl/>
      </w:pPr>
      <w:r w:rsidRPr="00690BB0">
        <w:t>Artikel 3 – stycke 2 – led 44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(44)</w:t>
            </w:r>
            <w:r w:rsidRPr="00690BB0">
              <w:tab/>
              <w:t>manipulering: de ekonomiska aktörernas eller oberoende aktörers inaktivering eller ändring av motor, utsläppsbegränsande anordning och system, framdrivningssystem, drivbatteri, vägmätare, OBFCM- eller OBD/OBM-system, inklusive all programvara eller andra logiska kontrollkomponenter i dessa system och deras data.</w:t>
            </w:r>
          </w:p>
        </w:tc>
        <w:tc>
          <w:tcPr>
            <w:tcW w:w="4876" w:type="dxa"/>
          </w:tcPr>
          <w:p w:rsidR="00D624B1" w:rsidRPr="00690BB0" w:rsidRDefault="00D624B1" w:rsidP="003F2A5D">
            <w:pPr>
              <w:pStyle w:val="Normal6a"/>
              <w:widowControl/>
            </w:pPr>
            <w:r w:rsidRPr="00690BB0">
              <w:t>(44)</w:t>
            </w:r>
            <w:r w:rsidRPr="00690BB0">
              <w:tab/>
              <w:t>manipulering: de ekonomiska aktörernas eller oberoende aktörers inaktivering eller ändring av motor</w:t>
            </w:r>
            <w:r w:rsidRPr="00690BB0">
              <w:rPr>
                <w:b/>
                <w:i/>
              </w:rPr>
              <w:t xml:space="preserve"> eller elektrisk motor</w:t>
            </w:r>
            <w:r w:rsidRPr="00690BB0">
              <w:t>, utsläppsbegränsande anordning och system, framdrivningssystem, drivbatteri, vägmätare, OBFCM- eller OBD/OBM-system, inklusive all programvara eller andra logiska kontrollkomponenter i dessa system och deras data.</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48</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rPr>
          <w:b w:val="0"/>
        </w:rPr>
        <w:t>Artikel 3 – stycke 2 – led 47 – inledningen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(47)</w:t>
            </w:r>
            <w:r w:rsidRPr="00690BB0">
              <w:tab/>
              <w:t>tillverkare av små serier: tillverkare av färre än 10 000 nya motorfordon av kategori M</w:t>
            </w:r>
            <w:r w:rsidRPr="00690BB0">
              <w:rPr>
                <w:vertAlign w:val="subscript"/>
              </w:rPr>
              <w:t>1</w:t>
            </w:r>
            <w:r w:rsidRPr="00690BB0">
              <w:t xml:space="preserve"> eller 22 000 nya motorfordon av kategori N</w:t>
            </w:r>
            <w:r w:rsidRPr="00690BB0">
              <w:rPr>
                <w:vertAlign w:val="subscript"/>
              </w:rPr>
              <w:t>1</w:t>
            </w:r>
            <w:r w:rsidRPr="00690BB0">
              <w:t xml:space="preserve"> som registreras i unionen per kalenderår och som</w:t>
            </w:r>
          </w:p>
        </w:tc>
        <w:tc>
          <w:tcPr>
            <w:tcW w:w="4876" w:type="dxa"/>
          </w:tcPr>
          <w:p w:rsidR="00D624B1" w:rsidRPr="00690BB0" w:rsidRDefault="00D624B1" w:rsidP="003F2A5D">
            <w:pPr>
              <w:pStyle w:val="Normal6a"/>
              <w:widowControl/>
            </w:pPr>
            <w:r w:rsidRPr="00690BB0">
              <w:t>(47)</w:t>
            </w:r>
            <w:r w:rsidRPr="00690BB0">
              <w:tab/>
              <w:t xml:space="preserve">Tillverkare av små serier: tillverkare av färre än 10 000 nya motorfordon av kategori M1 eller 22 000 nya motorfordon av kategori N1 </w:t>
            </w:r>
            <w:r w:rsidRPr="00690BB0">
              <w:rPr>
                <w:b/>
                <w:i/>
              </w:rPr>
              <w:t xml:space="preserve">eller 600 nya motorfordon av kategorierna M2 och M3, och totalt 6 900 nya motorfordon av kategorierna N2 och N3 </w:t>
            </w:r>
            <w:r w:rsidRPr="00690BB0">
              <w:t>som registreras i unionen per kalenderår och som</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49</w:t>
      </w:r>
    </w:p>
    <w:p w:rsidR="00D624B1" w:rsidRPr="00690BB0" w:rsidRDefault="00D624B1" w:rsidP="00D624B1">
      <w:pPr>
        <w:pStyle w:val="NormalBold12b"/>
        <w:widowControl/>
      </w:pPr>
    </w:p>
    <w:p w:rsidR="00D624B1" w:rsidRPr="00690BB0" w:rsidRDefault="00D624B1" w:rsidP="00D624B1">
      <w:pPr>
        <w:pStyle w:val="NormalBold"/>
        <w:widowControl/>
      </w:pPr>
      <w:r w:rsidRPr="00690BB0">
        <w:lastRenderedPageBreak/>
        <w:t>Förslag till förordning</w:t>
      </w:r>
    </w:p>
    <w:p w:rsidR="00D624B1" w:rsidRPr="00690BB0" w:rsidRDefault="00D624B1" w:rsidP="00D624B1">
      <w:pPr>
        <w:pStyle w:val="NormalBold"/>
        <w:widowControl/>
      </w:pPr>
      <w:r w:rsidRPr="00690BB0">
        <w:rPr>
          <w:b w:val="0"/>
        </w:rPr>
        <w:t>Artikel 3 – stycke 2 – led 63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(63)</w:t>
            </w:r>
            <w:r w:rsidRPr="00690BB0">
              <w:tab/>
              <w:t>märkeffekt: motorns maximala nettoeffekt i kW.</w:t>
            </w:r>
          </w:p>
        </w:tc>
        <w:tc>
          <w:tcPr>
            <w:tcW w:w="4876" w:type="dxa"/>
          </w:tcPr>
          <w:p w:rsidR="00D624B1" w:rsidRPr="00690BB0" w:rsidRDefault="00D624B1" w:rsidP="003F2A5D">
            <w:pPr>
              <w:pStyle w:val="Normal6a"/>
              <w:widowControl/>
            </w:pPr>
            <w:r w:rsidRPr="00690BB0">
              <w:t>(63)</w:t>
            </w:r>
            <w:r w:rsidRPr="00690BB0">
              <w:tab/>
              <w:t xml:space="preserve">märkeffekt: motorns </w:t>
            </w:r>
            <w:r w:rsidRPr="00690BB0">
              <w:rPr>
                <w:b/>
                <w:i/>
              </w:rPr>
              <w:t xml:space="preserve">eller elektriska motorns </w:t>
            </w:r>
            <w:r w:rsidRPr="00690BB0">
              <w:t>maximala nettoeffekt i kW.</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50</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3 – stycke 2 – led 65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(65)</w:t>
            </w:r>
            <w:r w:rsidRPr="00690BB0">
              <w:tab/>
              <w:t>drivbatteri: batterisystem som lagrar energi med det huvudsakliga syftet att driva fordonet.</w:t>
            </w:r>
          </w:p>
        </w:tc>
        <w:tc>
          <w:tcPr>
            <w:tcW w:w="4876" w:type="dxa"/>
          </w:tcPr>
          <w:p w:rsidR="00D624B1" w:rsidRPr="00690BB0" w:rsidRDefault="00D624B1" w:rsidP="003F2A5D">
            <w:pPr>
              <w:pStyle w:val="Normal6a"/>
              <w:widowControl/>
            </w:pPr>
            <w:r w:rsidRPr="00690BB0">
              <w:t>(65)</w:t>
            </w:r>
            <w:r w:rsidRPr="00690BB0">
              <w:tab/>
              <w:t>drivbatteri: batterisystem som lagrar energi med det huvudsakliga syftet att driva fordonet</w:t>
            </w:r>
            <w:r w:rsidRPr="00690BB0">
              <w:rPr>
                <w:b/>
                <w:i/>
              </w:rPr>
              <w:t>, inklusive dess batterihanteringssystem</w:t>
            </w:r>
            <w:r w:rsidRPr="00690BB0">
              <w:t>.</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51</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3 – stycke 2 – led 65a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p>
        </w:tc>
        <w:tc>
          <w:tcPr>
            <w:tcW w:w="4876" w:type="dxa"/>
          </w:tcPr>
          <w:p w:rsidR="00D624B1" w:rsidRPr="00690BB0" w:rsidRDefault="00D624B1" w:rsidP="003F2A5D">
            <w:pPr>
              <w:pStyle w:val="Normal6a"/>
              <w:widowControl/>
            </w:pPr>
            <w:r w:rsidRPr="00690BB0">
              <w:rPr>
                <w:b/>
                <w:i/>
              </w:rPr>
              <w:t>(65a)</w:t>
            </w:r>
            <w:r w:rsidRPr="00690BB0">
              <w:tab/>
            </w:r>
            <w:r w:rsidRPr="00690BB0">
              <w:rPr>
                <w:b/>
                <w:i/>
              </w:rPr>
              <w:t>batterihanteringssystem: en elektronisk anordning som kontrollerar eller hanterar ett batteris elektriska och termiska funktioner i syfte att säkerställa batteriets säkerhet, prestanda och livslängd, hanterar och lagrar uppgifter om parametrarna för bestämning av batteriets hälsotillstånd och förväntade livslängd enligt bilaga VII till förordning (EU) 2023/1542 och som kommunicerar med det fordon i vilket batteriet ingår, eller med en offentlig eller privat laddningsinfrastruktur.</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52</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rPr>
          <w:b w:val="0"/>
        </w:rPr>
        <w:lastRenderedPageBreak/>
        <w:t>Artikel 3 – stycke 2 – led 67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(67)</w:t>
            </w:r>
            <w:r w:rsidRPr="00690BB0">
              <w:tab/>
              <w:t>utsläppsfri räckvidd: den maximala sträcka som ett utsläppsfritt fordon kan färdas tills drivbatteriet eller bränsletanken har tömts, vilket för fordon med endast eldrift motsvarar räckvidden vid eldrift.</w:t>
            </w:r>
          </w:p>
        </w:tc>
        <w:tc>
          <w:tcPr>
            <w:tcW w:w="4876" w:type="dxa"/>
          </w:tcPr>
          <w:p w:rsidR="00D624B1" w:rsidRPr="00690BB0" w:rsidRDefault="00D624B1" w:rsidP="003F2A5D">
            <w:pPr>
              <w:pStyle w:val="Normal6a"/>
              <w:widowControl/>
            </w:pPr>
            <w:r w:rsidRPr="00690BB0">
              <w:t>(67)</w:t>
            </w:r>
            <w:r w:rsidRPr="00690BB0">
              <w:tab/>
              <w:t xml:space="preserve">utsläppsfri räckvidd: den maximala sträcka som ett utsläppsfritt fordon </w:t>
            </w:r>
            <w:r w:rsidRPr="00690BB0">
              <w:rPr>
                <w:b/>
                <w:i/>
              </w:rPr>
              <w:t xml:space="preserve">eller ett fordon i nollutsläppsläge </w:t>
            </w:r>
            <w:r w:rsidRPr="00690BB0">
              <w:t>kan färdas tills drivbatteriet eller bränsletanken</w:t>
            </w:r>
            <w:r w:rsidRPr="00690BB0">
              <w:rPr>
                <w:b/>
                <w:i/>
              </w:rPr>
              <w:t xml:space="preserve"> för fordon med endast förbränningsmotorer</w:t>
            </w:r>
            <w:r w:rsidRPr="00690BB0">
              <w:t xml:space="preserve"> har tömts, vilket för fordon med endast eldrift motsvarar räckvidden vid eldrift.</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53</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rPr>
          <w:b w:val="0"/>
        </w:rPr>
        <w:t>Artikel 3 – stycke 2 – led 71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(71)</w:t>
            </w:r>
            <w:r w:rsidRPr="00690BB0">
              <w:tab/>
              <w:t xml:space="preserve">miljöfordonspass: dokument på papper och i digital form som innehåller </w:t>
            </w:r>
            <w:r w:rsidRPr="00690BB0">
              <w:rPr>
                <w:b/>
                <w:i/>
              </w:rPr>
              <w:t>information om ett fordons miljöprestanda vid registreringstillfället, inklusive gränsvärden</w:t>
            </w:r>
            <w:r w:rsidRPr="00690BB0">
              <w:t xml:space="preserve"> för </w:t>
            </w:r>
            <w:r w:rsidRPr="00690BB0">
              <w:rPr>
                <w:b/>
                <w:i/>
              </w:rPr>
              <w:t>utsläpp av föroreningar, koldioxidutsläpp, bränsleförbrukning, energiförbrukning, räckvidd vid eldrift</w:t>
            </w:r>
            <w:r w:rsidRPr="00690BB0">
              <w:t xml:space="preserve"> och </w:t>
            </w:r>
            <w:r w:rsidRPr="00690BB0">
              <w:rPr>
                <w:b/>
                <w:i/>
              </w:rPr>
              <w:t>motoreffekt samt batteriets hållbarhet och andra relaterade värden</w:t>
            </w:r>
            <w:r w:rsidRPr="00690BB0">
              <w:t>.</w:t>
            </w:r>
          </w:p>
        </w:tc>
        <w:tc>
          <w:tcPr>
            <w:tcW w:w="4876" w:type="dxa"/>
          </w:tcPr>
          <w:p w:rsidR="00D624B1" w:rsidRPr="00690BB0" w:rsidRDefault="00D624B1" w:rsidP="003F2A5D">
            <w:pPr>
              <w:pStyle w:val="Normal6a"/>
              <w:widowControl/>
            </w:pPr>
            <w:r w:rsidRPr="00690BB0">
              <w:t>(71)</w:t>
            </w:r>
            <w:r w:rsidRPr="00690BB0">
              <w:tab/>
              <w:t xml:space="preserve">miljöfordonspass: dokument på papper och i digital form som innehåller </w:t>
            </w:r>
            <w:r w:rsidRPr="00690BB0">
              <w:rPr>
                <w:b/>
                <w:i/>
              </w:rPr>
              <w:t>all information som krävs</w:t>
            </w:r>
            <w:r w:rsidRPr="00690BB0">
              <w:t xml:space="preserve"> för </w:t>
            </w:r>
            <w:r w:rsidRPr="00690BB0">
              <w:rPr>
                <w:b/>
                <w:i/>
              </w:rPr>
              <w:t>att verifiera de provade</w:t>
            </w:r>
            <w:r w:rsidRPr="00690BB0">
              <w:t xml:space="preserve"> och </w:t>
            </w:r>
            <w:r w:rsidRPr="00690BB0">
              <w:rPr>
                <w:b/>
                <w:i/>
              </w:rPr>
              <w:t>tillverkardeklarerade värdena under typgodkännandet</w:t>
            </w:r>
            <w:r w:rsidRPr="00690BB0">
              <w:t>.</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54</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rPr>
          <w:b w:val="0"/>
        </w:rPr>
        <w:t>Artikel 3 – stycke 2 – led 72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(72)</w:t>
            </w:r>
            <w:r w:rsidRPr="00690BB0">
              <w:tab/>
              <w:t xml:space="preserve">förarvarningssystem för överskridande </w:t>
            </w:r>
            <w:r w:rsidRPr="00690BB0">
              <w:rPr>
                <w:b/>
                <w:i/>
              </w:rPr>
              <w:t>utsläpp</w:t>
            </w:r>
            <w:r w:rsidRPr="00690BB0">
              <w:t xml:space="preserve">: system som har utformats, konstruerats och installerats i ett fordon för att informera användaren om överskridande av </w:t>
            </w:r>
            <w:r w:rsidRPr="00690BB0">
              <w:rPr>
                <w:b/>
                <w:i/>
              </w:rPr>
              <w:t>utsläpp</w:t>
            </w:r>
            <w:r w:rsidRPr="00690BB0">
              <w:t xml:space="preserve"> och för att tvinga fram reparationer.</w:t>
            </w:r>
          </w:p>
        </w:tc>
        <w:tc>
          <w:tcPr>
            <w:tcW w:w="4876" w:type="dxa"/>
          </w:tcPr>
          <w:p w:rsidR="00D624B1" w:rsidRPr="00690BB0" w:rsidRDefault="00D624B1" w:rsidP="003F2A5D">
            <w:pPr>
              <w:pStyle w:val="Normal6a"/>
              <w:widowControl/>
            </w:pPr>
            <w:r w:rsidRPr="00690BB0">
              <w:t>(72)</w:t>
            </w:r>
            <w:r w:rsidRPr="00690BB0">
              <w:tab/>
              <w:t xml:space="preserve">förarvarningssystem för överskridande </w:t>
            </w:r>
            <w:r w:rsidRPr="00690BB0">
              <w:rPr>
                <w:b/>
                <w:i/>
              </w:rPr>
              <w:t>avgasutsläpp</w:t>
            </w:r>
            <w:r w:rsidRPr="00690BB0">
              <w:t xml:space="preserve">: system som har utformats, konstruerats och installerats i ett fordon för att informera användaren om överskridande av </w:t>
            </w:r>
            <w:r w:rsidRPr="00690BB0">
              <w:rPr>
                <w:b/>
                <w:i/>
              </w:rPr>
              <w:t>avgasutsläpp</w:t>
            </w:r>
            <w:r w:rsidRPr="00690BB0">
              <w:t xml:space="preserve"> och för att tvinga fram reparationer.</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55</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3 – stycke 2 – led 77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rPr>
                <w:b/>
                <w:i/>
              </w:rPr>
              <w:t>(77)</w:t>
            </w:r>
            <w:r w:rsidRPr="00690BB0">
              <w:tab/>
            </w:r>
            <w:r w:rsidRPr="00690BB0">
              <w:rPr>
                <w:b/>
                <w:i/>
              </w:rPr>
              <w:t>vinterdäck: däck vars slitbanemönster, gummiblandning eller struktur primärt utformats för att under vinterförhållanden visa bättre prestanda än ett normalt däck i fråga om förmågan att inleda eller upprätthålla fordonets rörelse.</w:t>
            </w:r>
          </w:p>
        </w:tc>
        <w:tc>
          <w:tcPr>
            <w:tcW w:w="4876" w:type="dxa"/>
          </w:tcPr>
          <w:p w:rsidR="00D624B1" w:rsidRPr="00690BB0" w:rsidRDefault="00D624B1" w:rsidP="003F2A5D">
            <w:pPr>
              <w:pStyle w:val="Normal6a"/>
              <w:widowControl/>
            </w:pPr>
            <w:r w:rsidRPr="00690BB0">
              <w:rPr>
                <w:b/>
                <w:i/>
              </w:rPr>
              <w:t>utgår</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56</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3 – stycke 2 – led 78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rPr>
                <w:b/>
                <w:i/>
              </w:rPr>
              <w:t>(78)</w:t>
            </w:r>
            <w:r w:rsidRPr="00690BB0">
              <w:tab/>
            </w:r>
            <w:r w:rsidRPr="00690BB0">
              <w:rPr>
                <w:b/>
                <w:i/>
              </w:rPr>
              <w:t>däck för särskilt bruk: däck avsedda för blandad körning både på väg och i terräng eller för annat särskilt bruk. Dessa däck är i första hand konstruerade för att inleda och upprätthålla fordonets rörelse vid terrängkörning.</w:t>
            </w:r>
          </w:p>
        </w:tc>
        <w:tc>
          <w:tcPr>
            <w:tcW w:w="4876" w:type="dxa"/>
          </w:tcPr>
          <w:p w:rsidR="00D624B1" w:rsidRPr="00690BB0" w:rsidRDefault="00D624B1" w:rsidP="003F2A5D">
            <w:pPr>
              <w:pStyle w:val="Normal6a"/>
              <w:widowControl/>
            </w:pPr>
            <w:r w:rsidRPr="00690BB0">
              <w:rPr>
                <w:b/>
                <w:i/>
              </w:rPr>
              <w:t>utgår</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57</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3 – stycke 2 – led 78a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p>
        </w:tc>
        <w:tc>
          <w:tcPr>
            <w:tcW w:w="4876" w:type="dxa"/>
          </w:tcPr>
          <w:p w:rsidR="00D624B1" w:rsidRPr="00690BB0" w:rsidRDefault="00D624B1" w:rsidP="003F2A5D">
            <w:pPr>
              <w:pStyle w:val="Normal6a"/>
              <w:widowControl/>
            </w:pPr>
            <w:r w:rsidRPr="00690BB0">
              <w:rPr>
                <w:b/>
                <w:i/>
              </w:rPr>
              <w:t>(78a)</w:t>
            </w:r>
            <w:r w:rsidRPr="00690BB0">
              <w:tab/>
            </w:r>
            <w:r w:rsidRPr="00690BB0">
              <w:rPr>
                <w:b/>
                <w:i/>
              </w:rPr>
              <w:t>däck med väggrepp på is: vinterdäck av klass C1 för användning i svåra vinterförhållanden som även är särskilt avsedda att användas på vägbanor som är täckta av is, och som uppfyller de krav som anges i FN-föreskrift nr 117.</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58</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rPr>
          <w:b w:val="0"/>
        </w:rPr>
        <w:lastRenderedPageBreak/>
        <w:t>Artikel 4 – punkt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1.</w:t>
            </w:r>
            <w:r w:rsidRPr="00690BB0">
              <w:tab/>
              <w:t xml:space="preserve">Tillverkarna ska säkerställa att de nya fordon som de tillverkar och som säljs, registreras eller tas i bruk i unionen är typgodkända i enlighet med denna förordning. </w:t>
            </w:r>
            <w:r w:rsidRPr="00690BB0">
              <w:rPr>
                <w:b/>
                <w:i/>
              </w:rPr>
              <w:t>Tillverkarna</w:t>
            </w:r>
            <w:r w:rsidRPr="00690BB0">
              <w:t xml:space="preserve"> ska säkerställa att de nya komponenter eller separata tekniska enheter, inklusive motorer, drivbatterier, bromssystem och ersättande utsläppsbegränsande system som kräver typgodkännande och som de tillverkar och som säljs eller tas i bruk i unionen är typgodkända i enlighet med denna förordning.</w:t>
            </w:r>
          </w:p>
        </w:tc>
        <w:tc>
          <w:tcPr>
            <w:tcW w:w="4876" w:type="dxa"/>
          </w:tcPr>
          <w:p w:rsidR="00D624B1" w:rsidRPr="00690BB0" w:rsidRDefault="00D624B1" w:rsidP="003F2A5D">
            <w:pPr>
              <w:pStyle w:val="Normal6a"/>
              <w:widowControl/>
            </w:pPr>
            <w:r w:rsidRPr="00690BB0">
              <w:t>1.</w:t>
            </w:r>
            <w:r w:rsidRPr="00690BB0">
              <w:tab/>
              <w:t xml:space="preserve">Tillverkarna ska säkerställa att de nya fordon som de tillverkar och som säljs, registreras eller tas i bruk i unionen är typgodkända i enlighet med denna förordning. </w:t>
            </w:r>
            <w:r w:rsidRPr="00690BB0">
              <w:rPr>
                <w:b/>
                <w:i/>
              </w:rPr>
              <w:t>Från och med de specifika tillämpningsdatum som beskrivs i denna förordning</w:t>
            </w:r>
            <w:r w:rsidRPr="00690BB0">
              <w:t xml:space="preserve"> ska</w:t>
            </w:r>
            <w:r w:rsidRPr="00690BB0">
              <w:rPr>
                <w:b/>
                <w:i/>
              </w:rPr>
              <w:t xml:space="preserve"> tillverkarna</w:t>
            </w:r>
            <w:r w:rsidRPr="00690BB0">
              <w:t xml:space="preserve"> säkerställa att de nya komponenter eller separata tekniska enheter, inklusive motorer, drivbatterier, bromssystem</w:t>
            </w:r>
            <w:r w:rsidRPr="00690BB0">
              <w:rPr>
                <w:b/>
                <w:i/>
              </w:rPr>
              <w:t>, däck</w:t>
            </w:r>
            <w:r w:rsidRPr="00690BB0">
              <w:t xml:space="preserve"> och ersättande utsläppsbegränsande system som kräver typgodkännande och som de tillverkar och som säljs eller tas i bruk i unionen är typgodkända i enlighet med denna förordning.</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59</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4 – punkt 3 – stycke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 xml:space="preserve">Vid kontroll av efterlevnaden av gränsvärdena för avgasutsläpp, om provningen utförs under </w:t>
            </w:r>
            <w:r w:rsidRPr="00690BB0">
              <w:rPr>
                <w:b/>
                <w:i/>
              </w:rPr>
              <w:t>utökade körförhållanden</w:t>
            </w:r>
            <w:r w:rsidRPr="00690BB0">
              <w:t>, ska utsläppen delas med den delare för utökad körning som anges i bilaga III.</w:t>
            </w:r>
          </w:p>
        </w:tc>
        <w:tc>
          <w:tcPr>
            <w:tcW w:w="4876" w:type="dxa"/>
          </w:tcPr>
          <w:p w:rsidR="00D624B1" w:rsidRPr="00690BB0" w:rsidRDefault="00D624B1" w:rsidP="003F2A5D">
            <w:pPr>
              <w:pStyle w:val="Normal6a"/>
              <w:widowControl/>
            </w:pPr>
            <w:r w:rsidRPr="00690BB0">
              <w:t xml:space="preserve">Vid kontroll av efterlevnaden av gränsvärdena för avgasutsläpp, om provningen utförs under </w:t>
            </w:r>
            <w:r w:rsidRPr="00690BB0">
              <w:rPr>
                <w:b/>
                <w:i/>
              </w:rPr>
              <w:t>ett utökat körförhållande åt gången</w:t>
            </w:r>
            <w:r w:rsidRPr="00690BB0">
              <w:t>, ska utsläppen delas med den delare för utökad körning som anges i bilaga III.</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60</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4 – punkt 3 – stycke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Utsläppen under regenerering av utsläppsbegränsande system ska inkluderas som ett viktat genomsnitt baserat på regenereringens frekvens och varaktighet.</w:t>
            </w:r>
          </w:p>
        </w:tc>
        <w:tc>
          <w:tcPr>
            <w:tcW w:w="4876" w:type="dxa"/>
          </w:tcPr>
          <w:p w:rsidR="00D624B1" w:rsidRPr="00690BB0" w:rsidRDefault="00D624B1" w:rsidP="003F2A5D">
            <w:pPr>
              <w:pStyle w:val="Normal6a"/>
              <w:widowControl/>
            </w:pPr>
            <w:r w:rsidRPr="00690BB0">
              <w:rPr>
                <w:i/>
              </w:rPr>
              <w:t>(Berör inte den svenska versionen.)</w:t>
            </w:r>
          </w:p>
        </w:tc>
      </w:tr>
    </w:tbl>
    <w:p w:rsidR="00D624B1" w:rsidRPr="00690BB0" w:rsidRDefault="00D624B1" w:rsidP="00D624B1">
      <w:pPr>
        <w:widowControl/>
      </w:pPr>
    </w:p>
    <w:p w:rsidR="00D624B1" w:rsidRPr="00690BB0" w:rsidRDefault="007B7831" w:rsidP="00D624B1">
      <w:pPr>
        <w:pStyle w:val="AmNumberTabs"/>
        <w:widowControl/>
      </w:pPr>
      <w:r w:rsidRPr="00690BB0">
        <w:lastRenderedPageBreak/>
        <w:t>Ändring</w:t>
      </w:r>
      <w:r w:rsidR="00D624B1" w:rsidRPr="00690BB0">
        <w:tab/>
      </w:r>
      <w:r w:rsidR="00D624B1" w:rsidRPr="00690BB0">
        <w:tab/>
        <w:t>61</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rPr>
          <w:b w:val="0"/>
        </w:rPr>
        <w:t>Artikel 4 – punkt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4.</w:t>
            </w:r>
            <w:r w:rsidRPr="00690BB0">
              <w:tab/>
              <w:t>Tillverkarna ska konstruera och tillverka komponenter eller separata tekniska enheter, inklusive motorer, drivbatterier, bromssystem och ersättande utsläppsbegränsande system på ett sådant sätt att de uppfyller kraven i denna förordning, inklusive de utsläppsgränser som anges i bilaga I.</w:t>
            </w:r>
          </w:p>
        </w:tc>
        <w:tc>
          <w:tcPr>
            <w:tcW w:w="4876" w:type="dxa"/>
          </w:tcPr>
          <w:p w:rsidR="00D624B1" w:rsidRPr="00690BB0" w:rsidRDefault="00D624B1" w:rsidP="003F2A5D">
            <w:pPr>
              <w:pStyle w:val="Normal6a"/>
              <w:widowControl/>
            </w:pPr>
            <w:r w:rsidRPr="00690BB0">
              <w:t>4.</w:t>
            </w:r>
            <w:r w:rsidRPr="00690BB0">
              <w:tab/>
              <w:t>Tillverkarna ska konstruera och tillverka komponenter eller separata tekniska enheter, inklusive motorer, drivbatterier, bromssystem och ersättande utsläppsbegränsande system på ett sådant sätt att de uppfyller kraven i denna förordning, inklusive de utsläppsgränser som anges i bilaga I</w:t>
            </w:r>
            <w:r w:rsidRPr="00690BB0">
              <w:rPr>
                <w:b/>
                <w:i/>
              </w:rPr>
              <w:t xml:space="preserve"> under de provningsvillkor som anges i bilaga III</w:t>
            </w:r>
            <w:r w:rsidRPr="00690BB0">
              <w:t>.</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62</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rPr>
          <w:b w:val="0"/>
        </w:rPr>
        <w:t>Artikel 4 – punkt 6 – led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(a)</w:t>
            </w:r>
            <w:r w:rsidRPr="00690BB0">
              <w:tab/>
              <w:t xml:space="preserve">OBD-system som kan upptäcka felfungerande system som leder till överskridande </w:t>
            </w:r>
            <w:r w:rsidRPr="00690BB0">
              <w:rPr>
                <w:b/>
                <w:i/>
              </w:rPr>
              <w:t>utsläpp</w:t>
            </w:r>
            <w:r w:rsidRPr="00690BB0">
              <w:t xml:space="preserve"> för att underlätta reparationer,</w:t>
            </w:r>
          </w:p>
        </w:tc>
        <w:tc>
          <w:tcPr>
            <w:tcW w:w="4876" w:type="dxa"/>
          </w:tcPr>
          <w:p w:rsidR="00D624B1" w:rsidRPr="00690BB0" w:rsidRDefault="00D624B1" w:rsidP="003F2A5D">
            <w:pPr>
              <w:pStyle w:val="Normal6a"/>
              <w:widowControl/>
            </w:pPr>
            <w:r w:rsidRPr="00690BB0">
              <w:t>(a)</w:t>
            </w:r>
            <w:r w:rsidRPr="00690BB0">
              <w:tab/>
              <w:t xml:space="preserve">OBD-system som kan upptäcka felfungerande system som leder till överskridande </w:t>
            </w:r>
            <w:r w:rsidRPr="00690BB0">
              <w:rPr>
                <w:b/>
                <w:i/>
              </w:rPr>
              <w:t>avgasutsläpp eller felfunktion hos andra komponenter</w:t>
            </w:r>
            <w:r w:rsidRPr="00690BB0">
              <w:t xml:space="preserve"> för att underlätta reparationer,</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63</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rPr>
          <w:b w:val="0"/>
        </w:rPr>
        <w:t>Artikel 4 – punkt 6 – led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(b)</w:t>
            </w:r>
            <w:r w:rsidRPr="00690BB0">
              <w:tab/>
              <w:t>OBM-system som kan upptäcka utsläpp över utsläppsgränserna på grund av felfunktioner, ökad effektminskning eller andra situationer som ökar utsläppen,</w:t>
            </w:r>
          </w:p>
        </w:tc>
        <w:tc>
          <w:tcPr>
            <w:tcW w:w="4876" w:type="dxa"/>
          </w:tcPr>
          <w:p w:rsidR="00D624B1" w:rsidRPr="00690BB0" w:rsidRDefault="00D624B1" w:rsidP="003F2A5D">
            <w:pPr>
              <w:pStyle w:val="Normal6a"/>
              <w:widowControl/>
            </w:pPr>
            <w:r w:rsidRPr="00690BB0">
              <w:t>(b)</w:t>
            </w:r>
            <w:r w:rsidRPr="00690BB0">
              <w:tab/>
              <w:t>OBM-system som kan upptäcka utsläpp över utsläppsgränserna på grund av felfunktioner, ökad effektminskning eller andra situationer som ökar utsläppen</w:t>
            </w:r>
            <w:r w:rsidRPr="00690BB0">
              <w:rPr>
                <w:b/>
                <w:i/>
              </w:rPr>
              <w:t xml:space="preserve"> inom toleransintervallet för OBM-mätningar eller nollutsläppsläget</w:t>
            </w:r>
            <w:r w:rsidRPr="00690BB0">
              <w:t>,</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64</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rPr>
          <w:b w:val="0"/>
        </w:rPr>
        <w:t>Artikel 4 – punkt 6 – led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(d)</w:t>
            </w:r>
            <w:r w:rsidRPr="00690BB0">
              <w:tab/>
              <w:t xml:space="preserve">övervakning av hälsotillståndet hos </w:t>
            </w:r>
            <w:r w:rsidRPr="00690BB0">
              <w:rPr>
                <w:b/>
                <w:i/>
              </w:rPr>
              <w:t>drivbatteri och utsläppssystem</w:t>
            </w:r>
            <w:r w:rsidRPr="00690BB0">
              <w:t>,</w:t>
            </w:r>
          </w:p>
        </w:tc>
        <w:tc>
          <w:tcPr>
            <w:tcW w:w="4876" w:type="dxa"/>
          </w:tcPr>
          <w:p w:rsidR="00D624B1" w:rsidRPr="00690BB0" w:rsidRDefault="00D624B1" w:rsidP="003F2A5D">
            <w:pPr>
              <w:pStyle w:val="Normal6a"/>
              <w:widowControl/>
            </w:pPr>
            <w:r w:rsidRPr="00690BB0">
              <w:t>(d)</w:t>
            </w:r>
            <w:r w:rsidRPr="00690BB0">
              <w:tab/>
              <w:t xml:space="preserve">övervakning av hälsotillståndet hos </w:t>
            </w:r>
            <w:r w:rsidRPr="00690BB0">
              <w:rPr>
                <w:b/>
                <w:i/>
              </w:rPr>
              <w:t>drivbatteriet</w:t>
            </w:r>
            <w:r w:rsidRPr="00690BB0">
              <w:t>,</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65</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rPr>
          <w:b w:val="0"/>
        </w:rPr>
        <w:t>Artikel 4 – punkt 6 – led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(e)</w:t>
            </w:r>
            <w:r w:rsidRPr="00690BB0">
              <w:tab/>
              <w:t xml:space="preserve">förarvarningssystem för överskridande </w:t>
            </w:r>
            <w:r w:rsidRPr="00690BB0">
              <w:rPr>
                <w:b/>
                <w:i/>
              </w:rPr>
              <w:t>utsläpp</w:t>
            </w:r>
            <w:r w:rsidRPr="00690BB0">
              <w:t>,</w:t>
            </w:r>
          </w:p>
        </w:tc>
        <w:tc>
          <w:tcPr>
            <w:tcW w:w="4876" w:type="dxa"/>
          </w:tcPr>
          <w:p w:rsidR="00D624B1" w:rsidRPr="00690BB0" w:rsidRDefault="00D624B1" w:rsidP="003F2A5D">
            <w:pPr>
              <w:pStyle w:val="Normal6a"/>
              <w:widowControl/>
            </w:pPr>
            <w:r w:rsidRPr="00690BB0">
              <w:t>(e)</w:t>
            </w:r>
            <w:r w:rsidRPr="00690BB0">
              <w:tab/>
              <w:t xml:space="preserve">förarvarningssystem för överskridande </w:t>
            </w:r>
            <w:r w:rsidRPr="00690BB0">
              <w:rPr>
                <w:b/>
                <w:i/>
              </w:rPr>
              <w:t>avgasutsläpp</w:t>
            </w:r>
            <w:r w:rsidRPr="00690BB0">
              <w:t>,</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66</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rPr>
          <w:b w:val="0"/>
        </w:rPr>
        <w:t>Artikel 4 – punkt 6 – led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(g)</w:t>
            </w:r>
            <w:r w:rsidRPr="00690BB0">
              <w:tab/>
              <w:t>anordningar som överför fordonsgenererade data som används för att uppfylla denna förordning och OBFCM-data, i syfte att utföra periodiska trafiksäkerhetsprovningar och tekniska vägkontroller via luften</w:t>
            </w:r>
            <w:r w:rsidRPr="00690BB0">
              <w:rPr>
                <w:b/>
                <w:i/>
              </w:rPr>
              <w:t>,</w:t>
            </w:r>
            <w:r w:rsidRPr="00690BB0">
              <w:t xml:space="preserve"> och i syfte att kommunicera med laddningsinfrastruktur och stationära elsystem som kan stödja smarta och dubbelriktade laddningsfunktioner.</w:t>
            </w:r>
          </w:p>
        </w:tc>
        <w:tc>
          <w:tcPr>
            <w:tcW w:w="4876" w:type="dxa"/>
          </w:tcPr>
          <w:p w:rsidR="00D624B1" w:rsidRPr="00690BB0" w:rsidRDefault="00D624B1" w:rsidP="003F2A5D">
            <w:pPr>
              <w:pStyle w:val="Normal6a"/>
              <w:widowControl/>
            </w:pPr>
            <w:r w:rsidRPr="00690BB0">
              <w:t>(g)</w:t>
            </w:r>
            <w:r w:rsidRPr="00690BB0">
              <w:tab/>
              <w:t xml:space="preserve">anordningar som överför fordonsgenererade data </w:t>
            </w:r>
            <w:r w:rsidRPr="00690BB0">
              <w:rPr>
                <w:b/>
                <w:i/>
              </w:rPr>
              <w:t xml:space="preserve">tillsammans med godkännandenumret och typgodkännandevarianten </w:t>
            </w:r>
            <w:r w:rsidRPr="00690BB0">
              <w:t>som används för att uppfylla denna förordning och OBFCM-data, i syfte att utföra periodiska trafiksäkerhetsprovningar och tekniska vägkontroller</w:t>
            </w:r>
            <w:r w:rsidRPr="00690BB0">
              <w:rPr>
                <w:b/>
                <w:i/>
              </w:rPr>
              <w:t>,</w:t>
            </w:r>
            <w:r w:rsidRPr="00690BB0">
              <w:t xml:space="preserve"> via luften och i syfte att kommunicera med laddningsinfrastruktur och stationära elsystem som kan stödja smarta och dubbelriktade laddningsfunktioner</w:t>
            </w:r>
            <w:r w:rsidRPr="00690BB0">
              <w:rPr>
                <w:b/>
                <w:i/>
              </w:rPr>
              <w:t xml:space="preserve"> och också för att tillhandahålla tredjepartstjänster till fordonsanvändaren i syfte att förbättra fordonsanvändningen, minska energianvändning och utsläpp eller förlänga livslängden för batteriet vid användning</w:t>
            </w:r>
            <w:r w:rsidRPr="00690BB0">
              <w:t>.</w:t>
            </w:r>
          </w:p>
        </w:tc>
      </w:tr>
    </w:tbl>
    <w:p w:rsidR="00D624B1" w:rsidRPr="00690BB0" w:rsidRDefault="00D624B1" w:rsidP="00D624B1">
      <w:pPr>
        <w:widowControl/>
      </w:pPr>
    </w:p>
    <w:p w:rsidR="00D624B1" w:rsidRPr="00690BB0" w:rsidRDefault="007B7831" w:rsidP="00D624B1">
      <w:pPr>
        <w:pStyle w:val="AmNumberTabs"/>
        <w:keepNext/>
        <w:keepLines/>
        <w:widowControl/>
      </w:pPr>
      <w:r w:rsidRPr="00690BB0">
        <w:lastRenderedPageBreak/>
        <w:t>Ändring</w:t>
      </w:r>
      <w:r w:rsidR="00D624B1" w:rsidRPr="00690BB0">
        <w:tab/>
      </w:r>
      <w:r w:rsidR="00D624B1" w:rsidRPr="00690BB0">
        <w:tab/>
        <w:t>67</w:t>
      </w:r>
    </w:p>
    <w:p w:rsidR="00D624B1" w:rsidRPr="00690BB0" w:rsidRDefault="00D624B1" w:rsidP="00D624B1">
      <w:pPr>
        <w:pStyle w:val="NormalBold12b"/>
        <w:keepNext/>
        <w:keepLines/>
        <w:widowControl/>
      </w:pPr>
    </w:p>
    <w:p w:rsidR="00D624B1" w:rsidRPr="00690BB0" w:rsidRDefault="00D624B1" w:rsidP="00D624B1">
      <w:pPr>
        <w:pStyle w:val="NormalBold"/>
        <w:keepNext/>
        <w:keepLines/>
        <w:widowControl/>
      </w:pPr>
      <w:r w:rsidRPr="00690BB0">
        <w:t>Förslag till förordning</w:t>
      </w:r>
    </w:p>
    <w:p w:rsidR="00D624B1" w:rsidRPr="00690BB0" w:rsidRDefault="00D624B1" w:rsidP="00D624B1">
      <w:pPr>
        <w:pStyle w:val="NormalBold"/>
        <w:widowControl/>
      </w:pPr>
      <w:r w:rsidRPr="00690BB0">
        <w:rPr>
          <w:b w:val="0"/>
        </w:rPr>
        <w:t>Artikel 4 – punkt 7 – led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(d)</w:t>
            </w:r>
            <w:r w:rsidRPr="00690BB0">
              <w:tab/>
              <w:t>Vägmätare.</w:t>
            </w:r>
          </w:p>
        </w:tc>
        <w:tc>
          <w:tcPr>
            <w:tcW w:w="4876" w:type="dxa"/>
          </w:tcPr>
          <w:p w:rsidR="00D624B1" w:rsidRPr="00690BB0" w:rsidRDefault="00D624B1" w:rsidP="003F2A5D">
            <w:pPr>
              <w:pStyle w:val="Normal6a"/>
              <w:widowControl/>
            </w:pPr>
            <w:r w:rsidRPr="00690BB0">
              <w:rPr>
                <w:i/>
              </w:rPr>
              <w:t>(Berör inte den svenska versionen.)</w:t>
            </w:r>
            <w:r w:rsidRPr="00690BB0">
              <w:tab/>
              <w:t xml:space="preserve"> </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68</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rPr>
          <w:b w:val="0"/>
        </w:rPr>
        <w:t>Artikel 4 – punkt 7 – led ea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p>
        </w:tc>
        <w:tc>
          <w:tcPr>
            <w:tcW w:w="4876" w:type="dxa"/>
          </w:tcPr>
          <w:p w:rsidR="00D624B1" w:rsidRPr="00690BB0" w:rsidRDefault="00D624B1" w:rsidP="003F2A5D">
            <w:pPr>
              <w:pStyle w:val="Normal6a"/>
              <w:widowControl/>
            </w:pPr>
            <w:r w:rsidRPr="00690BB0">
              <w:rPr>
                <w:b/>
                <w:i/>
              </w:rPr>
              <w:t>(ea)</w:t>
            </w:r>
            <w:r w:rsidRPr="00690BB0">
              <w:tab/>
            </w:r>
            <w:r w:rsidRPr="00690BB0">
              <w:rPr>
                <w:b/>
                <w:i/>
              </w:rPr>
              <w:t>Elektriska motorer och relaterade styrenheter.</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69</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rPr>
          <w:b w:val="0"/>
        </w:rPr>
        <w:t>Artikel 4 – punkt 7 – led eb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p>
        </w:tc>
        <w:tc>
          <w:tcPr>
            <w:tcW w:w="4876" w:type="dxa"/>
          </w:tcPr>
          <w:p w:rsidR="00D624B1" w:rsidRPr="00690BB0" w:rsidRDefault="00D624B1" w:rsidP="003F2A5D">
            <w:pPr>
              <w:pStyle w:val="Normal6a"/>
              <w:widowControl/>
            </w:pPr>
            <w:r w:rsidRPr="00690BB0">
              <w:rPr>
                <w:b/>
                <w:i/>
              </w:rPr>
              <w:t>(eb)</w:t>
            </w:r>
            <w:r w:rsidRPr="00690BB0">
              <w:tab/>
            </w:r>
            <w:r w:rsidRPr="00690BB0">
              <w:rPr>
                <w:b/>
                <w:i/>
              </w:rPr>
              <w:t>Fordonssäkerhetssystem.</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70</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4 – punkt 8</w:t>
      </w:r>
    </w:p>
    <w:p w:rsidR="00D624B1" w:rsidRPr="00690BB0" w:rsidRDefault="00D624B1" w:rsidP="00D624B1">
      <w:pPr>
        <w:widowControl/>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8.</w:t>
            </w:r>
            <w:r w:rsidRPr="00690BB0">
              <w:tab/>
              <w:t>Tillverkaren ska förhindra att de sårbarheter som avses i punkt 7 kan utnyttjas. När en sådan sårbarhet upptäcks ska tillverkaren avlägsna sårbarheten genom programuppdatering eller på annat lämpligt sätt.</w:t>
            </w:r>
          </w:p>
        </w:tc>
        <w:tc>
          <w:tcPr>
            <w:tcW w:w="4876" w:type="dxa"/>
          </w:tcPr>
          <w:p w:rsidR="00D624B1" w:rsidRPr="00690BB0" w:rsidRDefault="00D624B1" w:rsidP="003F2A5D">
            <w:pPr>
              <w:pStyle w:val="Normal6a"/>
              <w:widowControl/>
            </w:pPr>
            <w:r w:rsidRPr="00690BB0">
              <w:t>8.</w:t>
            </w:r>
            <w:r w:rsidRPr="00690BB0">
              <w:tab/>
              <w:t>Tillverkaren ska förhindra att de sårbarheter som avses i punkt 7 kan utnyttjas</w:t>
            </w:r>
            <w:r w:rsidRPr="00690BB0">
              <w:rPr>
                <w:b/>
                <w:i/>
              </w:rPr>
              <w:t xml:space="preserve"> i största möjliga utsträckning baserat på bästa tillgängliga kunskap vid tidpunkten för typgodkännandet</w:t>
            </w:r>
            <w:r w:rsidRPr="00690BB0">
              <w:t>. När en sådan sårbarhet upptäcks ska tillverkaren</w:t>
            </w:r>
            <w:r w:rsidRPr="00690BB0">
              <w:rPr>
                <w:b/>
                <w:i/>
              </w:rPr>
              <w:t xml:space="preserve"> vidta alla tänkbara åtgärder, med beaktande av teknikens tillstånd, för att</w:t>
            </w:r>
            <w:r w:rsidRPr="00690BB0">
              <w:t xml:space="preserve"> </w:t>
            </w:r>
            <w:r w:rsidRPr="00690BB0">
              <w:lastRenderedPageBreak/>
              <w:t>avlägsna sårbarheten genom programuppdatering eller på annat lämpligt sätt.</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71</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4 – punkt 8a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p>
        </w:tc>
        <w:tc>
          <w:tcPr>
            <w:tcW w:w="4876" w:type="dxa"/>
          </w:tcPr>
          <w:p w:rsidR="00D624B1" w:rsidRPr="00690BB0" w:rsidRDefault="00D624B1" w:rsidP="003F2A5D">
            <w:pPr>
              <w:pStyle w:val="Normal6a"/>
              <w:widowControl/>
            </w:pPr>
            <w:r w:rsidRPr="00690BB0">
              <w:rPr>
                <w:b/>
                <w:i/>
              </w:rPr>
              <w:t>8a.</w:t>
            </w:r>
            <w:r w:rsidRPr="00690BB0">
              <w:tab/>
            </w:r>
            <w:r w:rsidRPr="00690BB0">
              <w:rPr>
                <w:b/>
                <w:i/>
              </w:rPr>
              <w:t>Tillverkarna ska säkerställa oberoende aktörers tillgång till de uppgifter, verktyg och processer som krävs för att utveckla kompatibla ersättningsdelar för eftermarknaden som uppfyller tillverkarens tekniska krav samt förmågan att installera och aktivera dessa delar i fordonet, inklusive OBM-relaterade komponenter, i överensstämmelse med de åtgärder mot manipulering som genomförts av tillverkaren.</w:t>
            </w:r>
          </w:p>
        </w:tc>
      </w:tr>
      <w:tr w:rsidR="00D624B1" w:rsidRPr="00690BB0" w:rsidTr="003F2A5D">
        <w:trPr>
          <w:jc w:val="center"/>
        </w:trPr>
        <w:tc>
          <w:tcPr>
            <w:tcW w:w="4876" w:type="dxa"/>
          </w:tcPr>
          <w:p w:rsidR="00D624B1" w:rsidRPr="00690BB0" w:rsidRDefault="00D624B1" w:rsidP="003F2A5D">
            <w:pPr>
              <w:pStyle w:val="Normal6a"/>
              <w:widowControl/>
            </w:pPr>
          </w:p>
        </w:tc>
        <w:tc>
          <w:tcPr>
            <w:tcW w:w="4876" w:type="dxa"/>
          </w:tcPr>
          <w:p w:rsidR="00D624B1" w:rsidRPr="00690BB0" w:rsidRDefault="00D624B1" w:rsidP="003F2A5D">
            <w:pPr>
              <w:pStyle w:val="Normal6a"/>
              <w:widowControl/>
            </w:pPr>
            <w:r w:rsidRPr="00690BB0">
              <w:rPr>
                <w:b/>
                <w:i/>
              </w:rPr>
              <w:t>När tillverkare, av hänsyn till skyddet mot manipulering, överväger att hemlighålla uppgifter, verktyg och processer som är nödvändiga för oberoende aktörer ska de visa huruvida hemlighållande av uppgifterna, verktygen och processerna vore ett proportionerligt sätt att hantera dessa frågor om skydd mot manipulering. De ska därför särskilt undersöka huruvida mindre restriktiva åtgärder skulle räcka.</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72</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rPr>
          <w:b w:val="0"/>
        </w:rPr>
        <w:t>Artikel 4 – punkt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rPr>
                <w:b/>
                <w:i/>
              </w:rPr>
              <w:t>10.</w:t>
            </w:r>
            <w:r w:rsidRPr="00690BB0">
              <w:tab/>
            </w:r>
            <w:r w:rsidRPr="00690BB0">
              <w:rPr>
                <w:b/>
                <w:i/>
              </w:rPr>
              <w:t xml:space="preserve">Kommissionen ska genom genomförandeakter anta närmare bestämmelser om förfaranden, provningar och metoder för att </w:t>
            </w:r>
            <w:r w:rsidRPr="00690BB0">
              <w:rPr>
                <w:b/>
                <w:i/>
              </w:rPr>
              <w:lastRenderedPageBreak/>
              <w:t>kontrollera att kraven i punkterna 1–9 uppfylls. Dessa genomförandeakter ska antas i enlighet med det granskningsförfarande som avses i artikel 17.2.</w:t>
            </w:r>
          </w:p>
        </w:tc>
        <w:tc>
          <w:tcPr>
            <w:tcW w:w="4876" w:type="dxa"/>
          </w:tcPr>
          <w:p w:rsidR="00D624B1" w:rsidRPr="00690BB0" w:rsidRDefault="00D624B1" w:rsidP="003F2A5D">
            <w:pPr>
              <w:pStyle w:val="Normal6a"/>
              <w:widowControl/>
            </w:pPr>
            <w:r w:rsidRPr="00690BB0">
              <w:rPr>
                <w:b/>
                <w:i/>
              </w:rPr>
              <w:lastRenderedPageBreak/>
              <w:t>utgår</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73</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5 – punkt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rPr>
                <w:b/>
                <w:i/>
              </w:rPr>
              <w:t>1.</w:t>
            </w:r>
            <w:r w:rsidRPr="00690BB0">
              <w:tab/>
            </w:r>
            <w:r w:rsidRPr="00690BB0">
              <w:rPr>
                <w:b/>
                <w:i/>
              </w:rPr>
              <w:t>Tillverkarna får beteckna de fordon de tillverkar som ”Euro 7+-fordon” om dessa fordon uppfyller följande krav:</w:t>
            </w:r>
          </w:p>
        </w:tc>
        <w:tc>
          <w:tcPr>
            <w:tcW w:w="4876" w:type="dxa"/>
          </w:tcPr>
          <w:p w:rsidR="00D624B1" w:rsidRPr="00690BB0" w:rsidRDefault="00D624B1" w:rsidP="003F2A5D">
            <w:pPr>
              <w:pStyle w:val="Normal6a"/>
              <w:widowControl/>
            </w:pPr>
            <w:r w:rsidRPr="00690BB0">
              <w:rPr>
                <w:b/>
                <w:i/>
              </w:rPr>
              <w:t>utgår</w:t>
            </w:r>
          </w:p>
        </w:tc>
      </w:tr>
      <w:tr w:rsidR="00D624B1" w:rsidRPr="00690BB0" w:rsidTr="003F2A5D">
        <w:trPr>
          <w:jc w:val="center"/>
        </w:trPr>
        <w:tc>
          <w:tcPr>
            <w:tcW w:w="4876" w:type="dxa"/>
          </w:tcPr>
          <w:p w:rsidR="00D624B1" w:rsidRPr="00690BB0" w:rsidRDefault="00D624B1" w:rsidP="003F2A5D">
            <w:pPr>
              <w:pStyle w:val="Normal6a"/>
              <w:widowControl/>
            </w:pPr>
            <w:r w:rsidRPr="00690BB0">
              <w:rPr>
                <w:b/>
                <w:i/>
              </w:rPr>
              <w:t xml:space="preserve">(a) </w:t>
            </w:r>
            <w:r w:rsidRPr="00690BB0">
              <w:tab/>
            </w:r>
            <w:r w:rsidRPr="00690BB0">
              <w:rPr>
                <w:b/>
                <w:i/>
              </w:rPr>
              <w:t>För fordon med endast förbränningsmotorer och ej externt laddbara hybridelfordon genom att förklara att de uppfyller minst 20 % lägre utsläppsgränser än de som anges i bilaga I för gasformiga föroreningar och en storleksordning lägre utsläppsgränser för partikelutsläpp.</w:t>
            </w:r>
          </w:p>
        </w:tc>
        <w:tc>
          <w:tcPr>
            <w:tcW w:w="4876" w:type="dxa"/>
          </w:tcPr>
          <w:p w:rsidR="00D624B1" w:rsidRPr="00690BB0" w:rsidRDefault="00D624B1" w:rsidP="003F2A5D">
            <w:pPr>
              <w:pStyle w:val="Normal6a"/>
              <w:widowControl/>
            </w:pPr>
          </w:p>
        </w:tc>
      </w:tr>
      <w:tr w:rsidR="00D624B1" w:rsidRPr="00690BB0" w:rsidTr="003F2A5D">
        <w:trPr>
          <w:jc w:val="center"/>
        </w:trPr>
        <w:tc>
          <w:tcPr>
            <w:tcW w:w="4876" w:type="dxa"/>
          </w:tcPr>
          <w:p w:rsidR="00D624B1" w:rsidRPr="00690BB0" w:rsidRDefault="00D624B1" w:rsidP="003F2A5D">
            <w:pPr>
              <w:pStyle w:val="Normal6a"/>
              <w:widowControl/>
            </w:pPr>
            <w:r w:rsidRPr="00690BB0">
              <w:rPr>
                <w:b/>
                <w:i/>
              </w:rPr>
              <w:t xml:space="preserve">(b) </w:t>
            </w:r>
            <w:r w:rsidRPr="00690BB0">
              <w:tab/>
            </w:r>
            <w:r w:rsidRPr="00690BB0">
              <w:rPr>
                <w:b/>
                <w:i/>
              </w:rPr>
              <w:t>För externt laddbara hybridelfordon genom att förklara att de uppfyller minst 20 % lägre utsläppsgränser än de som anges i bilaga I för gasformiga föroreningar, en storleksordning lägre utsläppsgränser för partikelutsläpp och en batterihållbarhet som är minst 10 procentenheter högre än de krav som anges i bilaga II.</w:t>
            </w:r>
          </w:p>
        </w:tc>
        <w:tc>
          <w:tcPr>
            <w:tcW w:w="4876" w:type="dxa"/>
          </w:tcPr>
          <w:p w:rsidR="00D624B1" w:rsidRPr="00690BB0" w:rsidRDefault="00D624B1" w:rsidP="003F2A5D">
            <w:pPr>
              <w:pStyle w:val="Normal6a"/>
              <w:widowControl/>
            </w:pPr>
          </w:p>
        </w:tc>
      </w:tr>
      <w:tr w:rsidR="00D624B1" w:rsidRPr="00690BB0" w:rsidTr="003F2A5D">
        <w:trPr>
          <w:jc w:val="center"/>
        </w:trPr>
        <w:tc>
          <w:tcPr>
            <w:tcW w:w="4876" w:type="dxa"/>
          </w:tcPr>
          <w:p w:rsidR="00D624B1" w:rsidRPr="00690BB0" w:rsidRDefault="00D624B1" w:rsidP="003F2A5D">
            <w:pPr>
              <w:pStyle w:val="Normal6a"/>
              <w:widowControl/>
            </w:pPr>
            <w:r w:rsidRPr="00690BB0">
              <w:rPr>
                <w:b/>
                <w:i/>
              </w:rPr>
              <w:t>(c)</w:t>
            </w:r>
            <w:r w:rsidRPr="00690BB0">
              <w:tab/>
            </w:r>
            <w:r w:rsidRPr="00690BB0">
              <w:rPr>
                <w:b/>
                <w:i/>
              </w:rPr>
              <w:t xml:space="preserve"> För fordon med endast eldrift genom att deklarera att batteriets hållbarhet är minst 10 procentenheter högre än de krav som anges i bilaga II.</w:t>
            </w:r>
          </w:p>
        </w:tc>
        <w:tc>
          <w:tcPr>
            <w:tcW w:w="4876" w:type="dxa"/>
          </w:tcPr>
          <w:p w:rsidR="00D624B1" w:rsidRPr="00690BB0" w:rsidRDefault="00D624B1" w:rsidP="003F2A5D">
            <w:pPr>
              <w:pStyle w:val="Normal6a"/>
              <w:widowControl/>
            </w:pPr>
          </w:p>
        </w:tc>
      </w:tr>
    </w:tbl>
    <w:p w:rsidR="00D624B1" w:rsidRPr="00690BB0" w:rsidRDefault="00D624B1" w:rsidP="00D624B1">
      <w:pPr>
        <w:widowControl/>
      </w:pPr>
    </w:p>
    <w:p w:rsidR="00D624B1" w:rsidRPr="00690BB0" w:rsidRDefault="007B7831" w:rsidP="00D624B1">
      <w:pPr>
        <w:pStyle w:val="AmNumberTabs"/>
        <w:keepNext/>
        <w:keepLines/>
        <w:widowControl/>
      </w:pPr>
      <w:r w:rsidRPr="00690BB0">
        <w:t>Ändring</w:t>
      </w:r>
      <w:r w:rsidR="00D624B1" w:rsidRPr="00690BB0">
        <w:tab/>
      </w:r>
      <w:r w:rsidR="00D624B1" w:rsidRPr="00690BB0">
        <w:tab/>
        <w:t>74</w:t>
      </w:r>
    </w:p>
    <w:p w:rsidR="00D624B1" w:rsidRPr="00690BB0" w:rsidRDefault="00D624B1" w:rsidP="00D624B1">
      <w:pPr>
        <w:pStyle w:val="NormalBold12b"/>
        <w:keepNext/>
        <w:keepLines/>
        <w:widowControl/>
      </w:pPr>
    </w:p>
    <w:p w:rsidR="00D624B1" w:rsidRPr="00690BB0" w:rsidRDefault="00D624B1" w:rsidP="00D624B1">
      <w:pPr>
        <w:pStyle w:val="NormalBold"/>
        <w:keepNext/>
        <w:keepLines/>
        <w:widowControl/>
      </w:pPr>
      <w:r w:rsidRPr="00690BB0">
        <w:t>Förslag till förordning</w:t>
      </w:r>
    </w:p>
    <w:p w:rsidR="00D624B1" w:rsidRPr="00690BB0" w:rsidRDefault="00D624B1" w:rsidP="00D624B1">
      <w:pPr>
        <w:pStyle w:val="NormalBold"/>
        <w:widowControl/>
      </w:pPr>
      <w:r w:rsidRPr="00690BB0">
        <w:rPr>
          <w:b w:val="0"/>
        </w:rPr>
        <w:t>Artikel 5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lastRenderedPageBreak/>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rPr>
                <w:b/>
                <w:i/>
              </w:rPr>
              <w:t>2.</w:t>
            </w:r>
            <w:r w:rsidRPr="00690BB0">
              <w:tab/>
            </w:r>
            <w:r w:rsidRPr="00690BB0">
              <w:rPr>
                <w:b/>
                <w:i/>
              </w:rPr>
              <w:t>Dessa fordons överensstämmelse med kraven i punkt 1 ska kontrolleras mot de angivna värdena.</w:t>
            </w:r>
          </w:p>
        </w:tc>
        <w:tc>
          <w:tcPr>
            <w:tcW w:w="4876" w:type="dxa"/>
          </w:tcPr>
          <w:p w:rsidR="00D624B1" w:rsidRPr="00690BB0" w:rsidRDefault="00D624B1" w:rsidP="003F2A5D">
            <w:pPr>
              <w:pStyle w:val="Normal6a"/>
              <w:widowControl/>
            </w:pPr>
            <w:r w:rsidRPr="00690BB0">
              <w:rPr>
                <w:b/>
                <w:i/>
              </w:rPr>
              <w:t>utgår</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75</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5 – punkt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rPr>
                <w:b/>
                <w:i/>
              </w:rPr>
              <w:t>3.</w:t>
            </w:r>
            <w:r w:rsidRPr="00690BB0">
              <w:tab/>
            </w:r>
            <w:r w:rsidRPr="00690BB0">
              <w:rPr>
                <w:b/>
                <w:i/>
              </w:rPr>
              <w:t>Tillverkarna får beteckna fordon som ”Euro 7A-fordon” om dessa fordon är utrustade med dynamisk reglering. Användningen av dynamisk reglering ska visas för typgodkännandemyndigheterna under typgodkännandet och kontrolleras under fordonets livslängd enligt tabell 1 i bilaga IV.</w:t>
            </w:r>
          </w:p>
        </w:tc>
        <w:tc>
          <w:tcPr>
            <w:tcW w:w="4876" w:type="dxa"/>
          </w:tcPr>
          <w:p w:rsidR="00D624B1" w:rsidRPr="00690BB0" w:rsidRDefault="00D624B1" w:rsidP="003F2A5D">
            <w:pPr>
              <w:pStyle w:val="Normal6a"/>
              <w:widowControl/>
            </w:pPr>
            <w:r w:rsidRPr="00690BB0">
              <w:rPr>
                <w:b/>
                <w:i/>
              </w:rPr>
              <w:t>utgår</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76</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5 – punkt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rPr>
                <w:b/>
                <w:i/>
              </w:rPr>
              <w:t>4.</w:t>
            </w:r>
            <w:r w:rsidRPr="00690BB0">
              <w:tab/>
            </w:r>
            <w:r w:rsidRPr="00690BB0">
              <w:rPr>
                <w:b/>
                <w:i/>
              </w:rPr>
              <w:t>Tillverkarna får beteckna fordon som ”Euro 7G-fordon” om dessa fordon är utrustade med förbränningsmotorer med geofencing-teknik. Tillverkaren ska installera ett förarvarningssystem i dessa fordon för att informera användaren när drivbatterierna nästan är tomma och för att stanna fordonet om det inte laddas inom 5 km från den första varningen när det körs i nollutsläppsläge. Tillämpningen av sådan geofencing-teknik kan kontrolleras under fordonets livstid.</w:t>
            </w:r>
          </w:p>
        </w:tc>
        <w:tc>
          <w:tcPr>
            <w:tcW w:w="4876" w:type="dxa"/>
          </w:tcPr>
          <w:p w:rsidR="00D624B1" w:rsidRPr="00690BB0" w:rsidRDefault="00D624B1" w:rsidP="003F2A5D">
            <w:pPr>
              <w:pStyle w:val="Normal6a"/>
              <w:widowControl/>
            </w:pPr>
            <w:r w:rsidRPr="00690BB0">
              <w:rPr>
                <w:b/>
                <w:i/>
              </w:rPr>
              <w:t>utgår</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77</w:t>
      </w:r>
    </w:p>
    <w:p w:rsidR="00D624B1" w:rsidRPr="00690BB0" w:rsidRDefault="00D624B1" w:rsidP="00D624B1">
      <w:pPr>
        <w:pStyle w:val="NormalBold12b"/>
        <w:widowControl/>
      </w:pPr>
    </w:p>
    <w:p w:rsidR="00D624B1" w:rsidRPr="00690BB0" w:rsidRDefault="00D624B1" w:rsidP="00D624B1">
      <w:pPr>
        <w:pStyle w:val="NormalBold"/>
        <w:widowControl/>
      </w:pPr>
      <w:r w:rsidRPr="00690BB0">
        <w:lastRenderedPageBreak/>
        <w:t>Förslag till förordning</w:t>
      </w:r>
    </w:p>
    <w:p w:rsidR="00D624B1" w:rsidRPr="00690BB0" w:rsidRDefault="00D624B1" w:rsidP="00D624B1">
      <w:pPr>
        <w:pStyle w:val="NormalBold"/>
        <w:widowControl/>
      </w:pPr>
      <w:r w:rsidRPr="00690BB0">
        <w:t>Artikel 5 – punkt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rPr>
                <w:b/>
                <w:i/>
              </w:rPr>
              <w:t>5.</w:t>
            </w:r>
            <w:r w:rsidRPr="00690BB0">
              <w:tab/>
            </w:r>
            <w:r w:rsidRPr="00690BB0">
              <w:rPr>
                <w:b/>
                <w:i/>
              </w:rPr>
              <w:t>Tillverkarna får konstruera fordon som kombinerar två eller flera av de egenskaper som avses i punkterna 1, 2 eller 3 och beteckna dem med en kombination av symboler och bokstäver, till exempel ”Euro 7+A”, ”Euro 7+G”, ”Euro 7+AG” eller ”Euro 7AG”.</w:t>
            </w:r>
          </w:p>
        </w:tc>
        <w:tc>
          <w:tcPr>
            <w:tcW w:w="4876" w:type="dxa"/>
          </w:tcPr>
          <w:p w:rsidR="00D624B1" w:rsidRPr="00690BB0" w:rsidRDefault="00D624B1" w:rsidP="003F2A5D">
            <w:pPr>
              <w:pStyle w:val="Normal6a"/>
              <w:widowControl/>
            </w:pPr>
            <w:r w:rsidRPr="00690BB0">
              <w:rPr>
                <w:b/>
                <w:i/>
              </w:rPr>
              <w:t>utgår</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78</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5 – punkt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rPr>
                <w:b/>
                <w:i/>
              </w:rPr>
              <w:t>6.</w:t>
            </w:r>
            <w:r w:rsidRPr="00690BB0">
              <w:tab/>
            </w:r>
            <w:r w:rsidRPr="00690BB0">
              <w:rPr>
                <w:b/>
                <w:i/>
              </w:rPr>
              <w:t>På tillverkarens begäran får typgodkännandemyndigheten för N</w:t>
            </w:r>
            <w:r w:rsidRPr="00690BB0">
              <w:rPr>
                <w:b/>
                <w:i/>
                <w:vertAlign w:val="subscript"/>
              </w:rPr>
              <w:t>2</w:t>
            </w:r>
            <w:r w:rsidRPr="00690BB0">
              <w:rPr>
                <w:b/>
                <w:i/>
              </w:rPr>
              <w:t>-fordon med en totalvikt på mellan 3,5 och 4,0 ton som härrör från en N</w:t>
            </w:r>
            <w:r w:rsidRPr="00690BB0">
              <w:rPr>
                <w:b/>
                <w:i/>
                <w:vertAlign w:val="subscript"/>
              </w:rPr>
              <w:t>1</w:t>
            </w:r>
            <w:r w:rsidRPr="00690BB0">
              <w:rPr>
                <w:b/>
                <w:i/>
              </w:rPr>
              <w:t>-fordonstyp bevilja ett typgodkännande avseende utsläpp för N1-fordonstyp. Sådana fordon ska betecknas som ”Euro 7ext-fordon”.</w:t>
            </w:r>
          </w:p>
        </w:tc>
        <w:tc>
          <w:tcPr>
            <w:tcW w:w="4876" w:type="dxa"/>
          </w:tcPr>
          <w:p w:rsidR="00D624B1" w:rsidRPr="00690BB0" w:rsidRDefault="00D624B1" w:rsidP="003F2A5D">
            <w:pPr>
              <w:pStyle w:val="Normal6a"/>
              <w:widowControl/>
            </w:pPr>
            <w:r w:rsidRPr="00690BB0">
              <w:rPr>
                <w:b/>
                <w:i/>
              </w:rPr>
              <w:t>utgår</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79</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5 – punkt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rPr>
                <w:b/>
                <w:i/>
              </w:rPr>
              <w:t>7.</w:t>
            </w:r>
            <w:r w:rsidRPr="00690BB0">
              <w:tab/>
            </w:r>
            <w:r w:rsidRPr="00690BB0">
              <w:rPr>
                <w:b/>
                <w:i/>
              </w:rPr>
              <w:t>Kommissionen ska genom genomförandeakter anta närmare bestämmelser om förfaranden, provningar och metoder för att kontrollera att kraven i punkterna 1–6 uppfylls. Dessa genomförandeakter ska antas i enlighet med det granskningsförfarande som avses i artikel 17.2.</w:t>
            </w:r>
          </w:p>
        </w:tc>
        <w:tc>
          <w:tcPr>
            <w:tcW w:w="4876" w:type="dxa"/>
          </w:tcPr>
          <w:p w:rsidR="00D624B1" w:rsidRPr="00690BB0" w:rsidRDefault="00D624B1" w:rsidP="003F2A5D">
            <w:pPr>
              <w:pStyle w:val="Normal6a"/>
              <w:widowControl/>
            </w:pPr>
            <w:r w:rsidRPr="00690BB0">
              <w:rPr>
                <w:b/>
                <w:i/>
              </w:rPr>
              <w:t>utgår</w:t>
            </w:r>
          </w:p>
        </w:tc>
      </w:tr>
    </w:tbl>
    <w:p w:rsidR="00D624B1" w:rsidRPr="00690BB0" w:rsidRDefault="00D624B1" w:rsidP="00D624B1">
      <w:pPr>
        <w:widowControl/>
      </w:pPr>
    </w:p>
    <w:p w:rsidR="00D624B1" w:rsidRPr="00690BB0" w:rsidRDefault="007B7831" w:rsidP="00D624B1">
      <w:pPr>
        <w:pStyle w:val="AmNumberTabs"/>
        <w:widowControl/>
      </w:pPr>
      <w:r w:rsidRPr="00690BB0">
        <w:lastRenderedPageBreak/>
        <w:t>Ändring</w:t>
      </w:r>
      <w:r w:rsidR="00D624B1" w:rsidRPr="00690BB0">
        <w:tab/>
      </w:r>
      <w:r w:rsidR="00D624B1" w:rsidRPr="00690BB0">
        <w:tab/>
        <w:t>80</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rPr>
          <w:b w:val="0"/>
        </w:rPr>
        <w:t>Artikel 6 – punkt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3.</w:t>
            </w:r>
            <w:r w:rsidRPr="00690BB0">
              <w:tab/>
              <w:t>Tillverkarna ska säkerställa att OBFCM-, OBD- och OBM-system och åtgärder mot manipulering som installeras i dessa fordon uppfyller bestämmelserna i denna förordning så länge fordonet används.</w:t>
            </w:r>
          </w:p>
        </w:tc>
        <w:tc>
          <w:tcPr>
            <w:tcW w:w="4876" w:type="dxa"/>
          </w:tcPr>
          <w:p w:rsidR="00D624B1" w:rsidRPr="00690BB0" w:rsidRDefault="00D624B1" w:rsidP="003F2A5D">
            <w:pPr>
              <w:pStyle w:val="Normal6a"/>
              <w:widowControl/>
            </w:pPr>
            <w:r w:rsidRPr="00690BB0">
              <w:t>3.</w:t>
            </w:r>
            <w:r w:rsidRPr="00690BB0">
              <w:tab/>
              <w:t xml:space="preserve">Tillverkarna ska säkerställa att </w:t>
            </w:r>
            <w:r w:rsidRPr="00690BB0">
              <w:rPr>
                <w:b/>
                <w:i/>
              </w:rPr>
              <w:t xml:space="preserve">utformningen och funktionaliteten hos </w:t>
            </w:r>
            <w:r w:rsidRPr="00690BB0">
              <w:t>OBFCM-, OBD- och OBM-system och åtgärder mot manipulering som installeras i dessa fordon uppfyller bestämmelserna i denna förordning</w:t>
            </w:r>
            <w:r w:rsidRPr="00690BB0">
              <w:rPr>
                <w:b/>
                <w:i/>
              </w:rPr>
              <w:t xml:space="preserve"> och inte deaktiveras</w:t>
            </w:r>
            <w:r w:rsidRPr="00690BB0">
              <w:t xml:space="preserve"> så länge fordonet används.</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81</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rPr>
          <w:b w:val="0"/>
        </w:rPr>
        <w:t>Artikel 6 – punkt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4.</w:t>
            </w:r>
            <w:r w:rsidRPr="00690BB0">
              <w:tab/>
              <w:t>De krav som avses i punkterna 1–3 ska tillämpas på fordon för alla typer av bränslen eller energikällor som de drivs med. Samma krav ska också tillämpas på alla separata tekniska enheter och komponenter som är avsedda för sådana fordon.</w:t>
            </w:r>
          </w:p>
        </w:tc>
        <w:tc>
          <w:tcPr>
            <w:tcW w:w="4876" w:type="dxa"/>
          </w:tcPr>
          <w:p w:rsidR="00D624B1" w:rsidRPr="00690BB0" w:rsidRDefault="00D624B1" w:rsidP="003F2A5D">
            <w:pPr>
              <w:pStyle w:val="Normal6a"/>
              <w:widowControl/>
            </w:pPr>
            <w:r w:rsidRPr="00690BB0">
              <w:rPr>
                <w:i/>
              </w:rPr>
              <w:t>(Berör inte den svenska versionen.)</w:t>
            </w:r>
            <w:r w:rsidRPr="00690BB0">
              <w:tab/>
              <w:t xml:space="preserve"> </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82</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rPr>
          <w:b w:val="0"/>
        </w:rPr>
        <w:t>Artikel 6 – punkt 6 – inledningen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keepNext/>
              <w:keepLines/>
              <w:widowControl/>
            </w:pPr>
            <w:r w:rsidRPr="00690BB0">
              <w:t>Kommissionens förslag</w:t>
            </w:r>
          </w:p>
        </w:tc>
        <w:tc>
          <w:tcPr>
            <w:tcW w:w="4876" w:type="dxa"/>
          </w:tcPr>
          <w:p w:rsidR="00D624B1" w:rsidRPr="00690BB0" w:rsidRDefault="007B7831" w:rsidP="003F2A5D">
            <w:pPr>
              <w:pStyle w:val="AmColumnHeading"/>
              <w:keepNext/>
              <w:keepLines/>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6.</w:t>
            </w:r>
            <w:r w:rsidRPr="00690BB0">
              <w:tab/>
              <w:t>De OBM-system som tillverkaren har installerat i dessa fordon ska kunna</w:t>
            </w:r>
          </w:p>
        </w:tc>
        <w:tc>
          <w:tcPr>
            <w:tcW w:w="4876" w:type="dxa"/>
          </w:tcPr>
          <w:p w:rsidR="00D624B1" w:rsidRPr="00690BB0" w:rsidRDefault="00D624B1" w:rsidP="003F2A5D">
            <w:pPr>
              <w:pStyle w:val="Normal6a"/>
              <w:widowControl/>
            </w:pPr>
            <w:r w:rsidRPr="00690BB0">
              <w:rPr>
                <w:i/>
              </w:rPr>
              <w:t>(Berör inte den svenska versionen.)</w:t>
            </w:r>
            <w:r w:rsidRPr="00690BB0">
              <w:tab/>
              <w:t xml:space="preserve"> </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83</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rPr>
          <w:b w:val="0"/>
        </w:rPr>
        <w:t>Artikel 6 – punkt 6 – led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(b)</w:t>
            </w:r>
            <w:r w:rsidRPr="00690BB0">
              <w:tab/>
              <w:t xml:space="preserve">överföra data om fordonets </w:t>
            </w:r>
            <w:r w:rsidRPr="00690BB0">
              <w:rPr>
                <w:b/>
                <w:i/>
              </w:rPr>
              <w:t>utsläppsegenskaper</w:t>
            </w:r>
            <w:r w:rsidRPr="00690BB0">
              <w:t xml:space="preserve">, inklusive data från föroreningsgivare och avgasflödesdata, via OBD-porten och via luften, </w:t>
            </w:r>
            <w:r w:rsidRPr="00690BB0">
              <w:rPr>
                <w:b/>
                <w:i/>
              </w:rPr>
              <w:t>även</w:t>
            </w:r>
            <w:r w:rsidRPr="00690BB0">
              <w:t xml:space="preserve"> i samband med trafiksäkerhetsprovningar och tekniska vägkontroller</w:t>
            </w:r>
            <w:r w:rsidRPr="00690BB0">
              <w:rPr>
                <w:vertAlign w:val="superscript"/>
              </w:rPr>
              <w:t>55</w:t>
            </w:r>
            <w:r w:rsidRPr="00690BB0">
              <w:t>,</w:t>
            </w:r>
            <w:r w:rsidRPr="00690BB0">
              <w:rPr>
                <w:vertAlign w:val="superscript"/>
              </w:rPr>
              <w:t>56</w:t>
            </w:r>
            <w:r w:rsidRPr="00690BB0">
              <w:t>,</w:t>
            </w:r>
          </w:p>
        </w:tc>
        <w:tc>
          <w:tcPr>
            <w:tcW w:w="4876" w:type="dxa"/>
          </w:tcPr>
          <w:p w:rsidR="00D624B1" w:rsidRPr="00690BB0" w:rsidRDefault="00D624B1" w:rsidP="003F2A5D">
            <w:pPr>
              <w:pStyle w:val="Normal6a"/>
              <w:widowControl/>
            </w:pPr>
            <w:r w:rsidRPr="00690BB0">
              <w:t>(b)</w:t>
            </w:r>
            <w:r w:rsidRPr="00690BB0">
              <w:tab/>
              <w:t xml:space="preserve">överföra data om fordonets </w:t>
            </w:r>
            <w:r w:rsidRPr="00690BB0">
              <w:rPr>
                <w:b/>
                <w:i/>
              </w:rPr>
              <w:t>avgasutsläppsegenskaper</w:t>
            </w:r>
            <w:r w:rsidRPr="00690BB0">
              <w:t xml:space="preserve">, inklusive data från föroreningsgivare och avgasflödesdata, via OBD-porten och via luften, </w:t>
            </w:r>
            <w:r w:rsidRPr="00690BB0">
              <w:rPr>
                <w:b/>
                <w:i/>
              </w:rPr>
              <w:t>bland annat</w:t>
            </w:r>
            <w:r w:rsidRPr="00690BB0">
              <w:t xml:space="preserve"> i samband med trafiksäkerhetsprovningar och tekniska vägkontroller</w:t>
            </w:r>
            <w:r w:rsidRPr="00690BB0">
              <w:rPr>
                <w:vertAlign w:val="superscript"/>
              </w:rPr>
              <w:t>55,</w:t>
            </w:r>
            <w:r w:rsidRPr="00690BB0">
              <w:t xml:space="preserve"> </w:t>
            </w:r>
            <w:r w:rsidRPr="00690BB0">
              <w:rPr>
                <w:vertAlign w:val="superscript"/>
              </w:rPr>
              <w:t>56</w:t>
            </w:r>
            <w:r w:rsidRPr="00690BB0">
              <w:rPr>
                <w:b/>
                <w:i/>
              </w:rPr>
              <w:t xml:space="preserve"> eller för att upptäcka manipulering och tillhandahålla tredjepartstjänster som hjälper fordonsanvändaren att minska utsläppen i användningsfasen</w:t>
            </w:r>
            <w:r w:rsidRPr="00690BB0">
              <w:t>,</w:t>
            </w:r>
          </w:p>
        </w:tc>
      </w:tr>
      <w:tr w:rsidR="00D624B1" w:rsidRPr="00690BB0" w:rsidTr="003F2A5D">
        <w:trPr>
          <w:jc w:val="center"/>
        </w:trPr>
        <w:tc>
          <w:tcPr>
            <w:tcW w:w="4876" w:type="dxa"/>
          </w:tcPr>
          <w:p w:rsidR="00D624B1" w:rsidRPr="00690BB0" w:rsidRDefault="00D624B1" w:rsidP="003F2A5D">
            <w:pPr>
              <w:pStyle w:val="Normal6a"/>
              <w:widowControl/>
            </w:pPr>
            <w:r w:rsidRPr="00690BB0">
              <w:rPr>
                <w:b/>
                <w:i/>
              </w:rPr>
              <w:t>_________________</w:t>
            </w:r>
          </w:p>
        </w:tc>
        <w:tc>
          <w:tcPr>
            <w:tcW w:w="4876" w:type="dxa"/>
          </w:tcPr>
          <w:p w:rsidR="00D624B1" w:rsidRPr="00690BB0" w:rsidRDefault="00D624B1" w:rsidP="003F2A5D">
            <w:pPr>
              <w:pStyle w:val="Normal6a"/>
              <w:widowControl/>
            </w:pPr>
            <w:r w:rsidRPr="00690BB0">
              <w:rPr>
                <w:b/>
                <w:i/>
              </w:rPr>
              <w:t>_________________</w:t>
            </w:r>
          </w:p>
        </w:tc>
      </w:tr>
      <w:tr w:rsidR="00D624B1" w:rsidRPr="00690BB0" w:rsidTr="003F2A5D">
        <w:trPr>
          <w:jc w:val="center"/>
        </w:trPr>
        <w:tc>
          <w:tcPr>
            <w:tcW w:w="4876" w:type="dxa"/>
          </w:tcPr>
          <w:p w:rsidR="00D624B1" w:rsidRPr="00690BB0" w:rsidRDefault="00D624B1" w:rsidP="003F2A5D">
            <w:pPr>
              <w:pStyle w:val="Normal6a"/>
              <w:widowControl/>
            </w:pPr>
            <w:r w:rsidRPr="00690BB0">
              <w:rPr>
                <w:vertAlign w:val="superscript"/>
              </w:rPr>
              <w:t>55</w:t>
            </w:r>
            <w:r w:rsidRPr="00690BB0">
              <w:t xml:space="preserve"> Europaparlamentets och rådets direktiv 2014/47/EU av den 3 april 2014 om vägkontroller av trafiksäkerheten hos nyttofordon i trafik i gemenskapen och om upphävande av direktiv 2000/30/EG (EUT L 127, 29.4.2014, s. 134).</w:t>
            </w:r>
          </w:p>
        </w:tc>
        <w:tc>
          <w:tcPr>
            <w:tcW w:w="4876" w:type="dxa"/>
          </w:tcPr>
          <w:p w:rsidR="00D624B1" w:rsidRPr="00690BB0" w:rsidRDefault="00D624B1" w:rsidP="003F2A5D">
            <w:pPr>
              <w:pStyle w:val="Normal6a"/>
              <w:widowControl/>
            </w:pPr>
            <w:r w:rsidRPr="00690BB0">
              <w:rPr>
                <w:vertAlign w:val="superscript"/>
              </w:rPr>
              <w:t>55</w:t>
            </w:r>
            <w:r w:rsidRPr="00690BB0">
              <w:t xml:space="preserve"> Europaparlamentets och rådets direktiv 2014/47/EU av den 3 april 2014 om vägkontroller av trafiksäkerheten hos nyttofordon i trafik i gemenskapen och om upphävande av direktiv 2000/30/EG (EUT L 127, 29.4.2014, s. 134).</w:t>
            </w:r>
          </w:p>
        </w:tc>
      </w:tr>
      <w:tr w:rsidR="00D624B1" w:rsidRPr="00690BB0" w:rsidTr="003F2A5D">
        <w:trPr>
          <w:jc w:val="center"/>
        </w:trPr>
        <w:tc>
          <w:tcPr>
            <w:tcW w:w="4876" w:type="dxa"/>
          </w:tcPr>
          <w:p w:rsidR="00D624B1" w:rsidRPr="00690BB0" w:rsidRDefault="00D624B1" w:rsidP="003F2A5D">
            <w:pPr>
              <w:pStyle w:val="Normal6a"/>
              <w:widowControl/>
            </w:pPr>
            <w:r w:rsidRPr="00690BB0">
              <w:rPr>
                <w:vertAlign w:val="superscript"/>
              </w:rPr>
              <w:t>56</w:t>
            </w:r>
            <w:r w:rsidRPr="00690BB0">
              <w:t xml:space="preserve"> Europaparlamentets och rådets direktiv 2014/45/EU av den 3 april 2014 om periodisk provning av motorfordons och tillhörande släpvagnars trafiksäkerhet och om upphävande av direktiv 2009/40/EG (EUT L 127, 29.4.2014, s. 129).</w:t>
            </w:r>
          </w:p>
        </w:tc>
        <w:tc>
          <w:tcPr>
            <w:tcW w:w="4876" w:type="dxa"/>
          </w:tcPr>
          <w:p w:rsidR="00D624B1" w:rsidRPr="00690BB0" w:rsidRDefault="00D624B1" w:rsidP="003F2A5D">
            <w:pPr>
              <w:pStyle w:val="Normal6a"/>
              <w:widowControl/>
            </w:pPr>
            <w:r w:rsidRPr="00690BB0">
              <w:rPr>
                <w:vertAlign w:val="superscript"/>
              </w:rPr>
              <w:t>56</w:t>
            </w:r>
            <w:r w:rsidRPr="00690BB0">
              <w:t xml:space="preserve"> Europaparlamentets och rådets direktiv 2014/45/EU av den 3 april 2014 om periodisk provning av motorfordons och tillhörande släpvagnars trafiksäkerhet och om upphävande av direktiv 2009/40/EG (EUT L 127, 29.4.2014, s. 129).</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84</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6 – punkt 6 – led c</w:t>
      </w:r>
    </w:p>
    <w:p w:rsidR="00D624B1" w:rsidRPr="00690BB0" w:rsidRDefault="00D624B1" w:rsidP="00D624B1">
      <w:pPr>
        <w:widowControl/>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keepNext/>
              <w:keepLines/>
              <w:widowControl/>
            </w:pPr>
            <w:r w:rsidRPr="00690BB0">
              <w:t>Kommissionens förslag</w:t>
            </w:r>
          </w:p>
        </w:tc>
        <w:tc>
          <w:tcPr>
            <w:tcW w:w="4876" w:type="dxa"/>
          </w:tcPr>
          <w:p w:rsidR="00D624B1" w:rsidRPr="00690BB0" w:rsidRDefault="007B7831" w:rsidP="003F2A5D">
            <w:pPr>
              <w:pStyle w:val="AmColumnHeading"/>
              <w:keepNext/>
              <w:keepLines/>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(c)</w:t>
            </w:r>
            <w:r w:rsidRPr="00690BB0">
              <w:tab/>
            </w:r>
            <w:r w:rsidRPr="00690BB0">
              <w:rPr>
                <w:b/>
                <w:i/>
              </w:rPr>
              <w:t>begära</w:t>
            </w:r>
            <w:r w:rsidRPr="00690BB0">
              <w:t xml:space="preserve"> reparation av fordonet när förarvarningssystemet meddelar att det finns kraftigt överskridande av utsläpp.</w:t>
            </w:r>
          </w:p>
        </w:tc>
        <w:tc>
          <w:tcPr>
            <w:tcW w:w="4876" w:type="dxa"/>
          </w:tcPr>
          <w:p w:rsidR="00D624B1" w:rsidRPr="00690BB0" w:rsidRDefault="00D624B1" w:rsidP="003F2A5D">
            <w:pPr>
              <w:pStyle w:val="Normal6a"/>
              <w:widowControl/>
            </w:pPr>
            <w:r w:rsidRPr="00690BB0">
              <w:t>(c)</w:t>
            </w:r>
            <w:r w:rsidRPr="00690BB0">
              <w:tab/>
            </w:r>
            <w:r w:rsidRPr="00690BB0">
              <w:rPr>
                <w:b/>
                <w:i/>
              </w:rPr>
              <w:t>uppmana till</w:t>
            </w:r>
            <w:r w:rsidRPr="00690BB0">
              <w:t xml:space="preserve"> reparation av fordonet när förarvarningssystemet meddelar att det finns kraftigt överskridande av utsläpp.</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85</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rPr>
          <w:b w:val="0"/>
        </w:rPr>
        <w:t>Artikel 6 – punkt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lastRenderedPageBreak/>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7.</w:t>
            </w:r>
            <w:r w:rsidRPr="00690BB0">
              <w:tab/>
              <w:t xml:space="preserve">De OBFCM-system som tillverkaren har installerat i dessa fordon ska kunna överföra </w:t>
            </w:r>
            <w:r w:rsidRPr="00690BB0">
              <w:rPr>
                <w:b/>
                <w:i/>
              </w:rPr>
              <w:t>de</w:t>
            </w:r>
            <w:r w:rsidRPr="00690BB0">
              <w:t xml:space="preserve"> fordonsdata som de registrerar via OBD-porten och via luften.</w:t>
            </w:r>
          </w:p>
        </w:tc>
        <w:tc>
          <w:tcPr>
            <w:tcW w:w="4876" w:type="dxa"/>
          </w:tcPr>
          <w:p w:rsidR="00D624B1" w:rsidRPr="00690BB0" w:rsidRDefault="00D624B1" w:rsidP="003F2A5D">
            <w:pPr>
              <w:pStyle w:val="Normal6a"/>
              <w:widowControl/>
            </w:pPr>
            <w:r w:rsidRPr="00690BB0">
              <w:t>7.</w:t>
            </w:r>
            <w:r w:rsidRPr="00690BB0">
              <w:tab/>
              <w:t xml:space="preserve">De OBFCM-system som tillverkaren har installerat i dessa fordon ska kunna överföra </w:t>
            </w:r>
            <w:r w:rsidRPr="00690BB0">
              <w:rPr>
                <w:b/>
                <w:i/>
              </w:rPr>
              <w:t>alla lagstadgade relevanta</w:t>
            </w:r>
            <w:r w:rsidRPr="00690BB0">
              <w:t xml:space="preserve"> fordonsdata som de registrerar via OBD-porten och via luften</w:t>
            </w:r>
            <w:r w:rsidRPr="00690BB0">
              <w:rPr>
                <w:b/>
                <w:i/>
              </w:rPr>
              <w:t>, med iakttagande av bestämmelserna i förordning (EU) 2016/679</w:t>
            </w:r>
            <w:r w:rsidRPr="00690BB0">
              <w:t>.</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86</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rPr>
          <w:b w:val="0"/>
        </w:rPr>
        <w:t>Artikel 6 – punkt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8.</w:t>
            </w:r>
            <w:r w:rsidRPr="00690BB0">
              <w:tab/>
              <w:t xml:space="preserve">För fordon, system, komponenter och separata tekniska enheter som utgör en allvarlig risk eller som inte uppfyller kraven i denna förordning ska tillverkarna </w:t>
            </w:r>
            <w:r w:rsidRPr="00690BB0">
              <w:rPr>
                <w:b/>
                <w:i/>
              </w:rPr>
              <w:t xml:space="preserve">omedelbart </w:t>
            </w:r>
            <w:r w:rsidRPr="00690BB0">
              <w:t>vidta nödvändiga korrigerande åtgärder, inklusive reparationer eller ändringar av dessa fordon, system, komponenter och separata tekniska enheter, för att säkerställa att de uppfyller kraven i denna förordning. Tillverkarna eller andra ekonomiska aktörer ska dra tillbaka fordonet från marknaden eller återkalla det, beroende på vad som är lämpligt. Tillverkaren ska omedelbart med lämpliga uppgifter informera den typgodkännandemyndighet som beviljade typgodkännandet om den bristande överensstämmelsen.</w:t>
            </w:r>
          </w:p>
        </w:tc>
        <w:tc>
          <w:tcPr>
            <w:tcW w:w="4876" w:type="dxa"/>
          </w:tcPr>
          <w:p w:rsidR="00D624B1" w:rsidRPr="00690BB0" w:rsidRDefault="00D624B1" w:rsidP="003F2A5D">
            <w:pPr>
              <w:pStyle w:val="Normal6a"/>
              <w:widowControl/>
            </w:pPr>
            <w:r w:rsidRPr="00690BB0">
              <w:t>8.</w:t>
            </w:r>
            <w:r w:rsidRPr="00690BB0">
              <w:tab/>
              <w:t>För fordon, system, komponenter och separata tekniska enheter som utgör en allvarlig risk eller som inte uppfyller kraven i denna förordning ska tillverkarna vidta nödvändiga korrigerande åtgärder, inklusive reparationer eller ändringar av dessa fordon, system, komponenter och separata tekniska enheter, för att säkerställa att de uppfyller kraven i denna förordning. Tillverkarna eller andra ekonomiska aktörer ska dra tillbaka fordonet från marknaden eller återkalla det, beroende på vad som är lämpligt. Tillverkaren ska omedelbart med lämpliga uppgifter informera den typgodkännandemyndighet som beviljade typgodkännandet</w:t>
            </w:r>
            <w:r w:rsidRPr="00690BB0">
              <w:rPr>
                <w:b/>
                <w:i/>
              </w:rPr>
              <w:t xml:space="preserve"> och kommissionen</w:t>
            </w:r>
            <w:r w:rsidRPr="00690BB0">
              <w:t xml:space="preserve"> om den bristande överensstämmelsen.</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87</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rPr>
          <w:b w:val="0"/>
        </w:rPr>
        <w:t>Artikel 6 – punkt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rPr>
                <w:b/>
                <w:i/>
              </w:rPr>
              <w:t>9.</w:t>
            </w:r>
            <w:r w:rsidRPr="00690BB0">
              <w:tab/>
            </w:r>
            <w:r w:rsidRPr="00690BB0">
              <w:rPr>
                <w:b/>
                <w:i/>
              </w:rPr>
              <w:t xml:space="preserve">Kommissionen ska genom genomförandeakter anta närmare bestämmelser om krav, provningar, metoder och korrigerande åtgärder i </w:t>
            </w:r>
            <w:r w:rsidRPr="00690BB0">
              <w:rPr>
                <w:b/>
                <w:i/>
              </w:rPr>
              <w:lastRenderedPageBreak/>
              <w:t>samband med de skyldigheter som avses i punkterna 1–8. Dessa genomförandeakter ska antas i enlighet med det granskningsförfarande som avses i artikel 17.2.</w:t>
            </w:r>
          </w:p>
        </w:tc>
        <w:tc>
          <w:tcPr>
            <w:tcW w:w="4876" w:type="dxa"/>
          </w:tcPr>
          <w:p w:rsidR="00D624B1" w:rsidRPr="00690BB0" w:rsidRDefault="00D624B1" w:rsidP="003F2A5D">
            <w:pPr>
              <w:pStyle w:val="Normal6a"/>
              <w:widowControl/>
            </w:pPr>
            <w:r w:rsidRPr="00690BB0">
              <w:rPr>
                <w:b/>
                <w:i/>
              </w:rPr>
              <w:lastRenderedPageBreak/>
              <w:t>utgår</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88</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rPr>
          <w:b w:val="0"/>
        </w:rPr>
        <w:t>Artikel 7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2.</w:t>
            </w:r>
            <w:r w:rsidRPr="00690BB0">
              <w:tab/>
              <w:t>Tillverkaren ska förse typgodkännandemyndigheten med en undertecknad försäkran om överensstämmelse när det gäller kraven på RDE, korrigering av CO</w:t>
            </w:r>
            <w:r w:rsidRPr="00690BB0">
              <w:rPr>
                <w:vertAlign w:val="subscript"/>
              </w:rPr>
              <w:t>2</w:t>
            </w:r>
            <w:r w:rsidRPr="00690BB0">
              <w:t xml:space="preserve">-omgivningstemperaturen, OBD, OBM, utsläpp och batteriers hållbarhet, kontinuerlig eller periodisk regenerering, skydd mot manipulering samt vevhus enligt bilaga V. </w:t>
            </w:r>
            <w:r w:rsidRPr="00690BB0">
              <w:rPr>
                <w:b/>
                <w:i/>
              </w:rPr>
              <w:t>Tillverkaren ska förse typgodkännandemyndigheten med en undertecknad försäkran om överensstämmelse när det gäller användningen av tillbehören dynamisk reglering och geofencing när tillverkaren väljer dessa tillbehör.</w:t>
            </w:r>
          </w:p>
        </w:tc>
        <w:tc>
          <w:tcPr>
            <w:tcW w:w="4876" w:type="dxa"/>
          </w:tcPr>
          <w:p w:rsidR="00D624B1" w:rsidRPr="00690BB0" w:rsidRDefault="00D624B1" w:rsidP="003F2A5D">
            <w:pPr>
              <w:pStyle w:val="Normal6a"/>
              <w:widowControl/>
            </w:pPr>
            <w:r w:rsidRPr="00690BB0">
              <w:t>2.</w:t>
            </w:r>
            <w:r w:rsidRPr="00690BB0">
              <w:tab/>
              <w:t>Tillverkaren ska förse typgodkännandemyndigheten med en undertecknad försäkran om överensstämmelse när det gäller kraven på RDE, korrigering av CO</w:t>
            </w:r>
            <w:r w:rsidRPr="00690BB0">
              <w:rPr>
                <w:vertAlign w:val="subscript"/>
              </w:rPr>
              <w:t>2</w:t>
            </w:r>
            <w:r w:rsidRPr="00690BB0">
              <w:t>-omgivningstemperaturen, OBD, OBM, utsläpp och batteriers hållbarhet, kontinuerlig eller periodisk regenerering, skydd mot manipulering samt vevhus enligt bilaga V.</w:t>
            </w:r>
          </w:p>
        </w:tc>
      </w:tr>
    </w:tbl>
    <w:p w:rsidR="00D624B1" w:rsidRPr="00690BB0" w:rsidRDefault="00D624B1" w:rsidP="00D624B1">
      <w:pPr>
        <w:widowControl/>
      </w:pPr>
    </w:p>
    <w:p w:rsidR="00D624B1" w:rsidRPr="00690BB0" w:rsidRDefault="007B7831" w:rsidP="00D624B1">
      <w:pPr>
        <w:pStyle w:val="AmNumberTabs"/>
        <w:keepNext/>
        <w:keepLines/>
        <w:widowControl/>
      </w:pPr>
      <w:r w:rsidRPr="00690BB0">
        <w:t>Ändring</w:t>
      </w:r>
      <w:r w:rsidR="00D624B1" w:rsidRPr="00690BB0">
        <w:tab/>
      </w:r>
      <w:r w:rsidR="00D624B1" w:rsidRPr="00690BB0">
        <w:tab/>
        <w:t>89</w:t>
      </w:r>
    </w:p>
    <w:p w:rsidR="00D624B1" w:rsidRPr="00690BB0" w:rsidRDefault="00D624B1" w:rsidP="00D624B1">
      <w:pPr>
        <w:pStyle w:val="NormalBold12b"/>
        <w:keepNext/>
        <w:keepLines/>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rPr>
          <w:b w:val="0"/>
        </w:rPr>
        <w:t>Artikel 7 – punkt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4.</w:t>
            </w:r>
            <w:r w:rsidRPr="00690BB0">
              <w:tab/>
              <w:t>Tillverkarna ska utfärda ett miljöfordonspass för varje fordon och överlämna passet till fordonets köpare</w:t>
            </w:r>
            <w:r w:rsidRPr="00690BB0">
              <w:rPr>
                <w:b/>
                <w:i/>
              </w:rPr>
              <w:t xml:space="preserve"> tillsammans med fordonet</w:t>
            </w:r>
            <w:r w:rsidRPr="00690BB0">
              <w:t xml:space="preserve"> genom att hämta relevanta uppgifter från källor, t.ex. intyget om överensstämmelse och typgodkännandedokumentationen. Tillverkaren ska se till att miljöfordonspassets uppgifter finns </w:t>
            </w:r>
            <w:r w:rsidRPr="00690BB0">
              <w:lastRenderedPageBreak/>
              <w:t>tillgängliga för visning i fordonets elektroniska system och att de kan överföras från fordonet till utrustning utanför fordonet.</w:t>
            </w:r>
          </w:p>
        </w:tc>
        <w:tc>
          <w:tcPr>
            <w:tcW w:w="4876" w:type="dxa"/>
          </w:tcPr>
          <w:p w:rsidR="00D624B1" w:rsidRPr="00690BB0" w:rsidRDefault="00D624B1" w:rsidP="003F2A5D">
            <w:pPr>
              <w:pStyle w:val="Normal6a"/>
              <w:widowControl/>
            </w:pPr>
            <w:r w:rsidRPr="00690BB0">
              <w:lastRenderedPageBreak/>
              <w:t>4.</w:t>
            </w:r>
            <w:r w:rsidRPr="00690BB0">
              <w:tab/>
              <w:t xml:space="preserve">Tillverkarna ska utfärda ett miljöfordonspass för varje fordon och </w:t>
            </w:r>
            <w:r w:rsidRPr="00690BB0">
              <w:rPr>
                <w:b/>
                <w:i/>
              </w:rPr>
              <w:t>tillhandahålla det tillsammans med fordonet vid försäljningsstället samt </w:t>
            </w:r>
            <w:r w:rsidRPr="00690BB0">
              <w:t xml:space="preserve">överlämna passet till fordonets köpare genom att hämta relevanta uppgifter från källor, t.ex. intyget om överensstämmelse och typgodkännandedokumentationen. </w:t>
            </w:r>
            <w:r w:rsidRPr="00690BB0">
              <w:lastRenderedPageBreak/>
              <w:t>Tillverkaren ska se till att miljöfordonspassets uppgifter finns tillgängliga för visning i fordonets elektroniska system och att de kan överföras från fordonet till utrustning utanför fordonet.</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90</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rPr>
          <w:b w:val="0"/>
        </w:rPr>
        <w:t>Artikel 7 – punkt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5.</w:t>
            </w:r>
            <w:r w:rsidRPr="00690BB0">
              <w:tab/>
            </w:r>
            <w:r w:rsidRPr="00690BB0">
              <w:rPr>
                <w:b/>
                <w:i/>
              </w:rPr>
              <w:t>Kommissionen</w:t>
            </w:r>
            <w:r w:rsidRPr="00690BB0">
              <w:t xml:space="preserve"> ska </w:t>
            </w:r>
            <w:r w:rsidRPr="00690BB0">
              <w:rPr>
                <w:b/>
                <w:i/>
              </w:rPr>
              <w:t>anta genomförandeakter för att fastställa provning och kontroll av överensstämmelse samt förfaranden</w:t>
            </w:r>
            <w:r w:rsidRPr="00690BB0">
              <w:t xml:space="preserve"> för </w:t>
            </w:r>
            <w:r w:rsidRPr="00690BB0">
              <w:rPr>
                <w:b/>
                <w:i/>
              </w:rPr>
              <w:t xml:space="preserve">typgodkännande avseende utsläpp, produktionsöverensstämmelse, </w:t>
            </w:r>
            <w:r w:rsidRPr="00690BB0">
              <w:t>överensstämmelse hos fordon i drift,</w:t>
            </w:r>
            <w:r w:rsidRPr="00690BB0">
              <w:rPr>
                <w:b/>
                <w:i/>
              </w:rPr>
              <w:t xml:space="preserve"> försäkran om överensstämmelse</w:t>
            </w:r>
            <w:r w:rsidRPr="00690BB0">
              <w:t xml:space="preserve"> och </w:t>
            </w:r>
            <w:r w:rsidRPr="00690BB0">
              <w:rPr>
                <w:b/>
                <w:i/>
              </w:rPr>
              <w:t>miljöfordonspass enligt punkterna 1–4.</w:t>
            </w:r>
            <w:r w:rsidRPr="00690BB0">
              <w:t xml:space="preserve"> </w:t>
            </w:r>
            <w:r w:rsidRPr="00690BB0">
              <w:rPr>
                <w:b/>
                <w:i/>
              </w:rPr>
              <w:t xml:space="preserve">Dessa genomförandeakter ska antas </w:t>
            </w:r>
            <w:r w:rsidRPr="00690BB0">
              <w:t xml:space="preserve">i enlighet med </w:t>
            </w:r>
            <w:r w:rsidRPr="00690BB0">
              <w:rPr>
                <w:b/>
                <w:i/>
              </w:rPr>
              <w:t>det granskningsförfarande som avses i artikel 17.2</w:t>
            </w:r>
            <w:r w:rsidRPr="00690BB0">
              <w:t>.</w:t>
            </w:r>
          </w:p>
        </w:tc>
        <w:tc>
          <w:tcPr>
            <w:tcW w:w="4876" w:type="dxa"/>
          </w:tcPr>
          <w:p w:rsidR="00D624B1" w:rsidRPr="00690BB0" w:rsidRDefault="00D624B1" w:rsidP="003F2A5D">
            <w:pPr>
              <w:pStyle w:val="Normal6a"/>
              <w:widowControl/>
            </w:pPr>
            <w:r w:rsidRPr="00690BB0">
              <w:t>5.</w:t>
            </w:r>
            <w:r w:rsidRPr="00690BB0">
              <w:tab/>
            </w:r>
            <w:r w:rsidRPr="00690BB0">
              <w:rPr>
                <w:b/>
                <w:i/>
              </w:rPr>
              <w:t>Tillverkarna</w:t>
            </w:r>
            <w:r w:rsidRPr="00690BB0">
              <w:t xml:space="preserve"> ska </w:t>
            </w:r>
            <w:r w:rsidRPr="00690BB0">
              <w:rPr>
                <w:b/>
                <w:i/>
              </w:rPr>
              <w:t xml:space="preserve">utfärda ett uppdaterat miljöfordonspass efter kontroller av </w:t>
            </w:r>
            <w:r w:rsidRPr="00690BB0">
              <w:t>överensstämmelse hos fordon i drift,</w:t>
            </w:r>
            <w:r w:rsidRPr="00690BB0">
              <w:rPr>
                <w:b/>
                <w:i/>
              </w:rPr>
              <w:t xml:space="preserve"> och ange uppdaterade värden</w:t>
            </w:r>
            <w:r w:rsidRPr="00690BB0">
              <w:t xml:space="preserve"> för </w:t>
            </w:r>
            <w:r w:rsidRPr="00690BB0">
              <w:rPr>
                <w:b/>
                <w:i/>
              </w:rPr>
              <w:t>den information som nämns i artikel 3.71</w:t>
            </w:r>
            <w:r w:rsidRPr="00690BB0">
              <w:t xml:space="preserve"> i </w:t>
            </w:r>
            <w:r w:rsidRPr="00690BB0">
              <w:rPr>
                <w:b/>
                <w:i/>
              </w:rPr>
              <w:t>denna förordning.</w:t>
            </w:r>
            <w:r w:rsidRPr="00690BB0">
              <w:t xml:space="preserve"> I enlighet med</w:t>
            </w:r>
            <w:r w:rsidRPr="00690BB0">
              <w:rPr>
                <w:b/>
                <w:i/>
              </w:rPr>
              <w:t xml:space="preserve"> förordning (EU) 2018/858</w:t>
            </w:r>
            <w:r w:rsidRPr="00690BB0">
              <w:t xml:space="preserve"> och </w:t>
            </w:r>
            <w:r w:rsidRPr="00690BB0">
              <w:rPr>
                <w:b/>
                <w:i/>
              </w:rPr>
              <w:t>direktiv 2014/45/EU ska tillverkarna tillåta att behöriga myndigheter och provningscentrum uppdaterar miljöfordonspasset</w:t>
            </w:r>
            <w:r w:rsidRPr="00690BB0">
              <w:t xml:space="preserve"> </w:t>
            </w:r>
            <w:r w:rsidRPr="00690BB0">
              <w:rPr>
                <w:b/>
                <w:bCs/>
                <w:i/>
                <w:iCs/>
              </w:rPr>
              <w:t>med</w:t>
            </w:r>
            <w:r w:rsidRPr="00690BB0">
              <w:t xml:space="preserve"> </w:t>
            </w:r>
            <w:r w:rsidRPr="00690BB0">
              <w:rPr>
                <w:b/>
                <w:i/>
              </w:rPr>
              <w:t>korrekta data från OBD-porten och fordonets OBFCM-system</w:t>
            </w:r>
            <w:r w:rsidRPr="00690BB0">
              <w:t>.</w:t>
            </w:r>
          </w:p>
        </w:tc>
      </w:tr>
    </w:tbl>
    <w:p w:rsidR="00D624B1" w:rsidRPr="00690BB0" w:rsidRDefault="00D624B1" w:rsidP="00D624B1">
      <w:pPr>
        <w:widowControl/>
      </w:pPr>
    </w:p>
    <w:p w:rsidR="00D624B1" w:rsidRPr="00690BB0" w:rsidRDefault="007B7831" w:rsidP="00D624B1">
      <w:pPr>
        <w:pStyle w:val="AmNumberTabs"/>
        <w:keepNext/>
        <w:keepLines/>
        <w:widowControl/>
      </w:pPr>
      <w:r w:rsidRPr="00690BB0">
        <w:t>Ändring</w:t>
      </w:r>
      <w:r w:rsidR="00D624B1" w:rsidRPr="00690BB0">
        <w:tab/>
      </w:r>
      <w:r w:rsidR="00D624B1" w:rsidRPr="00690BB0">
        <w:tab/>
        <w:t>91</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7a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p>
        </w:tc>
        <w:tc>
          <w:tcPr>
            <w:tcW w:w="4876" w:type="dxa"/>
          </w:tcPr>
          <w:p w:rsidR="00D624B1" w:rsidRPr="00690BB0" w:rsidRDefault="00D624B1" w:rsidP="003F2A5D">
            <w:pPr>
              <w:pStyle w:val="Normal6a"/>
              <w:widowControl/>
              <w:jc w:val="center"/>
            </w:pPr>
            <w:r w:rsidRPr="00690BB0">
              <w:rPr>
                <w:b/>
                <w:i/>
              </w:rPr>
              <w:t>Artikel 7a</w:t>
            </w:r>
          </w:p>
        </w:tc>
      </w:tr>
      <w:tr w:rsidR="00D624B1" w:rsidRPr="00690BB0" w:rsidTr="003F2A5D">
        <w:trPr>
          <w:jc w:val="center"/>
        </w:trPr>
        <w:tc>
          <w:tcPr>
            <w:tcW w:w="4876" w:type="dxa"/>
          </w:tcPr>
          <w:p w:rsidR="00D624B1" w:rsidRPr="00690BB0" w:rsidRDefault="00D624B1" w:rsidP="003F2A5D">
            <w:pPr>
              <w:pStyle w:val="Normal6a"/>
              <w:widowControl/>
            </w:pPr>
          </w:p>
        </w:tc>
        <w:tc>
          <w:tcPr>
            <w:tcW w:w="4876" w:type="dxa"/>
          </w:tcPr>
          <w:p w:rsidR="00D624B1" w:rsidRPr="00690BB0" w:rsidRDefault="00D624B1" w:rsidP="003F2A5D">
            <w:pPr>
              <w:pStyle w:val="Normal6a"/>
              <w:widowControl/>
              <w:jc w:val="center"/>
            </w:pPr>
            <w:r w:rsidRPr="00690BB0">
              <w:rPr>
                <w:b/>
                <w:i/>
              </w:rPr>
              <w:t>Särskilda bestämmelser som rör slitage på fordonsdäck</w:t>
            </w:r>
          </w:p>
        </w:tc>
      </w:tr>
      <w:tr w:rsidR="00D624B1" w:rsidRPr="00690BB0" w:rsidTr="003F2A5D">
        <w:trPr>
          <w:jc w:val="center"/>
        </w:trPr>
        <w:tc>
          <w:tcPr>
            <w:tcW w:w="4876" w:type="dxa"/>
          </w:tcPr>
          <w:p w:rsidR="00D624B1" w:rsidRPr="00690BB0" w:rsidRDefault="00D624B1" w:rsidP="003F2A5D">
            <w:pPr>
              <w:pStyle w:val="Normal6a"/>
              <w:widowControl/>
            </w:pPr>
          </w:p>
        </w:tc>
        <w:tc>
          <w:tcPr>
            <w:tcW w:w="4876" w:type="dxa"/>
          </w:tcPr>
          <w:p w:rsidR="00D624B1" w:rsidRPr="00690BB0" w:rsidRDefault="00D624B1" w:rsidP="003F2A5D">
            <w:pPr>
              <w:pStyle w:val="Normal6a"/>
              <w:widowControl/>
            </w:pPr>
            <w:r w:rsidRPr="00690BB0">
              <w:rPr>
                <w:b/>
                <w:i/>
              </w:rPr>
              <w:t xml:space="preserve">Efter offentliggörandet av de relevanta enhetliga bestämmelserna i FN:s världsforum för harmonisering av föreskrifter om fordon (WP29) ska kommissionen anta delegerade akter i enlighet med artikel 16 för att komplettera denna förordning genom att fastställa metoder och gränser för mätning av </w:t>
            </w:r>
            <w:r w:rsidRPr="00690BB0">
              <w:rPr>
                <w:b/>
                <w:i/>
              </w:rPr>
              <w:lastRenderedPageBreak/>
              <w:t>utsläpp genom däckslitage per däckkategori för typgodkännande, vilka ska hänvisa till de enhetliga bestämmelser och undantag som fastställs av FN:s världsforum för harmonisering av föreskrifter om fordon (WP29) vad gäller godkännande av däck med avseende på typgodkännande avseende utsläpp genom däckslitage.</w:t>
            </w:r>
          </w:p>
        </w:tc>
      </w:tr>
      <w:tr w:rsidR="00D624B1" w:rsidRPr="00690BB0" w:rsidTr="003F2A5D">
        <w:trPr>
          <w:jc w:val="center"/>
        </w:trPr>
        <w:tc>
          <w:tcPr>
            <w:tcW w:w="4876" w:type="dxa"/>
          </w:tcPr>
          <w:p w:rsidR="00D624B1" w:rsidRPr="00690BB0" w:rsidRDefault="00D624B1" w:rsidP="003F2A5D">
            <w:pPr>
              <w:pStyle w:val="Normal6a"/>
              <w:widowControl/>
            </w:pPr>
          </w:p>
        </w:tc>
        <w:tc>
          <w:tcPr>
            <w:tcW w:w="4876" w:type="dxa"/>
          </w:tcPr>
          <w:p w:rsidR="00D624B1" w:rsidRPr="00690BB0" w:rsidRDefault="00D624B1" w:rsidP="003F2A5D">
            <w:pPr>
              <w:pStyle w:val="Normal6a"/>
              <w:widowControl/>
            </w:pPr>
            <w:r w:rsidRPr="00690BB0">
              <w:rPr>
                <w:b/>
                <w:i/>
              </w:rPr>
              <w:t>Om enhetliga bestämmelser inte har fastställts av FN:s världsforum för harmonisering av föreskrifter om fordon (WP29) senast den 30 juni 2026 för C1-däck, och senast den 31 december 2035 för C2- och C3-däck, ska kommissionen genomföra en översyn och, om så är lämpligt, utveckla en metod för mätning av däckslitage och fastställa nötningsgränser för däck på grundval av andra moderna metoder. Efter denna översyn och om så är lämpligt ska kommissionen senast den 30 oktober 2026 anta delegerade akter i enlighet med artikel 16 för att specificera sådana metoder och fastställa gränsvärden för nötningsutsläpp per däckkategori.</w:t>
            </w:r>
          </w:p>
        </w:tc>
      </w:tr>
    </w:tbl>
    <w:p w:rsidR="00D624B1" w:rsidRPr="00690BB0" w:rsidRDefault="00D624B1" w:rsidP="00D624B1">
      <w:pPr>
        <w:widowControl/>
      </w:pPr>
    </w:p>
    <w:p w:rsidR="00D624B1" w:rsidRPr="00690BB0" w:rsidRDefault="007B7831" w:rsidP="00D624B1">
      <w:pPr>
        <w:pStyle w:val="AmNumberTabs"/>
        <w:keepNext/>
        <w:keepLines/>
        <w:widowControl/>
      </w:pPr>
      <w:r w:rsidRPr="00690BB0">
        <w:t>Ändring</w:t>
      </w:r>
      <w:r w:rsidR="00D624B1" w:rsidRPr="00690BB0">
        <w:tab/>
      </w:r>
      <w:r w:rsidR="00D624B1" w:rsidRPr="00690BB0">
        <w:tab/>
        <w:t>92</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8 – rubriken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Särskilda regler för tillverkare av små serier</w:t>
            </w:r>
          </w:p>
        </w:tc>
        <w:tc>
          <w:tcPr>
            <w:tcW w:w="4876" w:type="dxa"/>
          </w:tcPr>
          <w:p w:rsidR="00D624B1" w:rsidRPr="00690BB0" w:rsidRDefault="00D624B1" w:rsidP="003F2A5D">
            <w:pPr>
              <w:pStyle w:val="Normal6a"/>
              <w:widowControl/>
            </w:pPr>
            <w:r w:rsidRPr="00690BB0">
              <w:t xml:space="preserve">Särskilda regler för tillverkare av små </w:t>
            </w:r>
            <w:r w:rsidRPr="00690BB0">
              <w:rPr>
                <w:b/>
                <w:i/>
              </w:rPr>
              <w:t xml:space="preserve">och ultrasmå </w:t>
            </w:r>
            <w:r w:rsidRPr="00690BB0">
              <w:t>serier</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93</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1.</w:t>
            </w:r>
            <w:r w:rsidRPr="00690BB0">
              <w:tab/>
              <w:t xml:space="preserve">När det gäller utsläpp av föroreningar får tillverkare av små serier </w:t>
            </w:r>
            <w:r w:rsidRPr="00690BB0">
              <w:lastRenderedPageBreak/>
              <w:t xml:space="preserve">ersätta de provningar som anges i tabellerna 1, 3, 5, 7 och 9 i bilaga V med försäkringar om överensstämmelse. Överensstämmelsen för fordon som konstrueras och släpps ut på marknaden av små tillverkare får provas för överensstämmelse i drift och marknadskontroll i enlighet med tabellerna 2, 4, 6, 8 och 10 i bilaga V. Provningar av produktionsöverensstämmelse enligt bilaga V ska inte krävas. Artikel </w:t>
            </w:r>
            <w:r w:rsidRPr="00690BB0">
              <w:rPr>
                <w:b/>
                <w:bCs/>
                <w:i/>
                <w:iCs/>
              </w:rPr>
              <w:t>4.4</w:t>
            </w:r>
            <w:r w:rsidRPr="00690BB0">
              <w:t xml:space="preserve"> b ska inte tillämpas på tillverkare av små serier.</w:t>
            </w:r>
          </w:p>
        </w:tc>
        <w:tc>
          <w:tcPr>
            <w:tcW w:w="4876" w:type="dxa"/>
          </w:tcPr>
          <w:p w:rsidR="00D624B1" w:rsidRPr="00690BB0" w:rsidRDefault="00D624B1" w:rsidP="003F2A5D">
            <w:pPr>
              <w:pStyle w:val="Normal6a"/>
              <w:widowControl/>
            </w:pPr>
            <w:r w:rsidRPr="00690BB0">
              <w:lastRenderedPageBreak/>
              <w:t>1.</w:t>
            </w:r>
            <w:r w:rsidRPr="00690BB0">
              <w:tab/>
              <w:t xml:space="preserve">När det gäller utsläpp av föroreningar får tillverkare av små </w:t>
            </w:r>
            <w:r w:rsidRPr="00690BB0">
              <w:rPr>
                <w:b/>
                <w:i/>
              </w:rPr>
              <w:t xml:space="preserve">och </w:t>
            </w:r>
            <w:r w:rsidRPr="00690BB0">
              <w:rPr>
                <w:b/>
                <w:i/>
              </w:rPr>
              <w:lastRenderedPageBreak/>
              <w:t xml:space="preserve">ultrasmå </w:t>
            </w:r>
            <w:r w:rsidRPr="00690BB0">
              <w:t xml:space="preserve">serier ersätta de provningar som anges i tabellerna 1, 3, 5, 7 och 9 i bilaga V med försäkringar om överensstämmelse. Överensstämmelsen för fordon som konstrueras och släpps ut på marknaden av små tillverkare får provas för överensstämmelse i drift och marknadskontroll i enlighet med tabellerna 2, 4, 6, 8 och 10 i bilaga V. Provningar av produktionsöverensstämmelse enligt bilaga V ska inte krävas. Artikel </w:t>
            </w:r>
            <w:r w:rsidRPr="00690BB0">
              <w:rPr>
                <w:b/>
                <w:bCs/>
                <w:i/>
                <w:iCs/>
              </w:rPr>
              <w:t>4.6</w:t>
            </w:r>
            <w:r w:rsidRPr="00690BB0">
              <w:t xml:space="preserve"> b ska inte tillämpas på tillverkare av små</w:t>
            </w:r>
            <w:r w:rsidRPr="00690BB0">
              <w:rPr>
                <w:b/>
                <w:i/>
              </w:rPr>
              <w:t xml:space="preserve"> och ultrasmå</w:t>
            </w:r>
            <w:r w:rsidRPr="00690BB0">
              <w:t xml:space="preserve"> serier.</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94</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8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2.</w:t>
            </w:r>
            <w:r w:rsidRPr="00690BB0">
              <w:tab/>
              <w:t xml:space="preserve">Tillverkare av ultrasmå serier ska uppfylla de utsläppsgränser som anges i bilaga I i laboratorieprovningar baserade på </w:t>
            </w:r>
            <w:r w:rsidRPr="00690BB0">
              <w:rPr>
                <w:b/>
                <w:i/>
              </w:rPr>
              <w:t>slumpmässiga</w:t>
            </w:r>
            <w:r w:rsidRPr="00690BB0">
              <w:t xml:space="preserve"> körcykler vid verklig körning för överensstämmelse hos fordon i drift och marknadskontroll.</w:t>
            </w:r>
          </w:p>
        </w:tc>
        <w:tc>
          <w:tcPr>
            <w:tcW w:w="4876" w:type="dxa"/>
          </w:tcPr>
          <w:p w:rsidR="00D624B1" w:rsidRPr="00690BB0" w:rsidRDefault="00D624B1" w:rsidP="003F2A5D">
            <w:pPr>
              <w:pStyle w:val="Normal6a"/>
              <w:widowControl/>
            </w:pPr>
            <w:r w:rsidRPr="00690BB0">
              <w:t>2.</w:t>
            </w:r>
            <w:r w:rsidRPr="00690BB0">
              <w:tab/>
              <w:t xml:space="preserve">Tillverkare av ultrasmå serier ska uppfylla de utsläppsgränser som anges i bilaga I i laboratorieprovningar baserade på </w:t>
            </w:r>
            <w:r w:rsidRPr="00690BB0">
              <w:rPr>
                <w:b/>
                <w:i/>
              </w:rPr>
              <w:t>statistiskt relevanta</w:t>
            </w:r>
            <w:r w:rsidRPr="00690BB0">
              <w:t xml:space="preserve"> körcykler vid verklig körning för överensstämmelse hos fordon i drift och marknadskontroll.</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95</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9 – rubriken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Särskilda regler för etappvis färdigbyggda fordon</w:t>
            </w:r>
          </w:p>
        </w:tc>
        <w:tc>
          <w:tcPr>
            <w:tcW w:w="4876" w:type="dxa"/>
          </w:tcPr>
          <w:p w:rsidR="00D624B1" w:rsidRPr="00690BB0" w:rsidRDefault="00D624B1" w:rsidP="003F2A5D">
            <w:pPr>
              <w:pStyle w:val="Normal6a"/>
              <w:widowControl/>
            </w:pPr>
            <w:r w:rsidRPr="00690BB0">
              <w:t xml:space="preserve">Särskilda regler för </w:t>
            </w:r>
            <w:r w:rsidRPr="00690BB0">
              <w:rPr>
                <w:b/>
                <w:i/>
              </w:rPr>
              <w:t xml:space="preserve">typgodkännande för </w:t>
            </w:r>
            <w:r w:rsidRPr="00690BB0">
              <w:t>etappvis färdigbyggda fordon</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96</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lastRenderedPageBreak/>
              <w:t>1.</w:t>
            </w:r>
            <w:r w:rsidRPr="00690BB0">
              <w:tab/>
            </w:r>
            <w:r w:rsidRPr="00690BB0">
              <w:rPr>
                <w:b/>
                <w:i/>
              </w:rPr>
              <w:t xml:space="preserve">När det gäller typgodkännanden för </w:t>
            </w:r>
            <w:r w:rsidRPr="00690BB0">
              <w:t>etappvis färdigbyggda fordon</w:t>
            </w:r>
            <w:r w:rsidRPr="00690BB0">
              <w:rPr>
                <w:b/>
                <w:i/>
              </w:rPr>
              <w:t xml:space="preserve"> ska tillverkarna av den andra etappen eller efterföljande etapper vara ansvariga för typgodkännandet avseende utsläpp om</w:t>
            </w:r>
            <w:r w:rsidRPr="00690BB0">
              <w:t xml:space="preserve"> de </w:t>
            </w:r>
            <w:r w:rsidRPr="00690BB0">
              <w:rPr>
                <w:b/>
                <w:i/>
              </w:rPr>
              <w:t>ändrar någon del av fordonet som enligt de uppgifter som tillhandahållits av tillverkarna av den föregående etappen kan påverka utsläppen eller batteriets hållbarhet</w:t>
            </w:r>
            <w:r w:rsidRPr="00690BB0">
              <w:t>.</w:t>
            </w:r>
          </w:p>
        </w:tc>
        <w:tc>
          <w:tcPr>
            <w:tcW w:w="4876" w:type="dxa"/>
          </w:tcPr>
          <w:p w:rsidR="00D624B1" w:rsidRPr="00690BB0" w:rsidRDefault="00D624B1" w:rsidP="003F2A5D">
            <w:pPr>
              <w:pStyle w:val="Normal6a"/>
              <w:widowControl/>
            </w:pPr>
            <w:r w:rsidRPr="00690BB0">
              <w:t>1.</w:t>
            </w:r>
            <w:r w:rsidRPr="00690BB0">
              <w:tab/>
              <w:t xml:space="preserve">De </w:t>
            </w:r>
            <w:r w:rsidRPr="00690BB0">
              <w:rPr>
                <w:b/>
                <w:i/>
              </w:rPr>
              <w:t xml:space="preserve">särskilda bestämmelserna i bilaga V tabellerna 3, 4 och 5 ska tillämpas på </w:t>
            </w:r>
            <w:r w:rsidRPr="00690BB0">
              <w:t>etappvis färdigbyggda fordon.</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97</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9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rPr>
                <w:b/>
                <w:i/>
              </w:rPr>
              <w:t>2.</w:t>
            </w:r>
            <w:r w:rsidRPr="00690BB0">
              <w:tab/>
            </w:r>
            <w:r w:rsidRPr="00690BB0">
              <w:rPr>
                <w:b/>
                <w:i/>
              </w:rPr>
              <w:t>Kommissionen ska anta genomförandeakter för att fastställa de administrativa kraven och de uppgifter som ska tillhandahållas av tillverkarna av den föregående etappen i enlighet med punkt 1 samt förfaranden för att fastställa koldioxidutsläppen från sådana fordon. Dessa genomförandeakter ska antas i enlighet med det granskningsförfarande som avses i artikel 17.2.</w:t>
            </w:r>
          </w:p>
        </w:tc>
        <w:tc>
          <w:tcPr>
            <w:tcW w:w="4876" w:type="dxa"/>
          </w:tcPr>
          <w:p w:rsidR="00D624B1" w:rsidRPr="00690BB0" w:rsidRDefault="00D624B1" w:rsidP="003F2A5D">
            <w:pPr>
              <w:pStyle w:val="Normal6a"/>
              <w:widowControl/>
            </w:pPr>
            <w:r w:rsidRPr="00690BB0">
              <w:rPr>
                <w:b/>
                <w:i/>
              </w:rPr>
              <w:t>utgår</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98</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10 – punkt 1</w:t>
      </w:r>
    </w:p>
    <w:p w:rsidR="00D624B1" w:rsidRPr="00690BB0" w:rsidRDefault="00D624B1" w:rsidP="00D624B1">
      <w:pPr>
        <w:widowControl/>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1.</w:t>
            </w:r>
            <w:r w:rsidRPr="00690BB0">
              <w:tab/>
              <w:t xml:space="preserve">De nationella godkännandemyndigheterna ska vidta åtgärder för att bevilja typgodkännanden avseende utsläpp för fordonstyper, komponenter och separata tekniska enheter och för att utföra provningar, kontroller och inspektioner för att kontrollera att tillverkarna uppfyller kraven på produktionsöverensstämmelse och </w:t>
            </w:r>
            <w:r w:rsidRPr="00690BB0">
              <w:lastRenderedPageBreak/>
              <w:t>överensstämmelse hos fordon i drift i enlighet med bilaga V.</w:t>
            </w:r>
          </w:p>
        </w:tc>
        <w:tc>
          <w:tcPr>
            <w:tcW w:w="4876" w:type="dxa"/>
          </w:tcPr>
          <w:p w:rsidR="00D624B1" w:rsidRPr="00690BB0" w:rsidRDefault="00D624B1" w:rsidP="003F2A5D">
            <w:pPr>
              <w:pStyle w:val="Normal6a"/>
              <w:widowControl/>
            </w:pPr>
            <w:r w:rsidRPr="00690BB0">
              <w:lastRenderedPageBreak/>
              <w:t>1.</w:t>
            </w:r>
            <w:r w:rsidRPr="00690BB0">
              <w:tab/>
              <w:t xml:space="preserve">De nationella godkännandemyndigheterna ska vidta åtgärder för att bevilja typgodkännanden avseende utsläpp för fordonstyper, </w:t>
            </w:r>
            <w:r w:rsidRPr="00690BB0">
              <w:rPr>
                <w:b/>
                <w:i/>
              </w:rPr>
              <w:t xml:space="preserve">system, </w:t>
            </w:r>
            <w:r w:rsidRPr="00690BB0">
              <w:t xml:space="preserve">komponenter och separata tekniska enheter och för att utföra provningar, kontroller och inspektioner för att kontrollera att tillverkarna uppfyller kraven på produktionsöverensstämmelse och </w:t>
            </w:r>
            <w:r w:rsidRPr="00690BB0">
              <w:lastRenderedPageBreak/>
              <w:t>överensstämmelse hos fordon i drift i enlighet med bilaga V.</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99</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10 – punkt 2a (ny)</w:t>
      </w:r>
    </w:p>
    <w:p w:rsidR="00D624B1" w:rsidRPr="00690BB0" w:rsidRDefault="00D624B1" w:rsidP="00D624B1">
      <w:pPr>
        <w:widowControl/>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p>
        </w:tc>
        <w:tc>
          <w:tcPr>
            <w:tcW w:w="4876" w:type="dxa"/>
          </w:tcPr>
          <w:p w:rsidR="00D624B1" w:rsidRPr="00690BB0" w:rsidRDefault="00D624B1" w:rsidP="003F2A5D">
            <w:pPr>
              <w:pStyle w:val="Normal6a"/>
              <w:widowControl/>
            </w:pPr>
            <w:r w:rsidRPr="00690BB0">
              <w:rPr>
                <w:b/>
                <w:i/>
              </w:rPr>
              <w:t>2a.</w:t>
            </w:r>
            <w:r w:rsidRPr="00690BB0">
              <w:tab/>
            </w:r>
            <w:r w:rsidRPr="00690BB0">
              <w:rPr>
                <w:b/>
                <w:i/>
              </w:rPr>
              <w:t>Vid utförandet av provningar, kontroller och inspektioner ska nationella myndigheter och provningscentrum uppdatera miljöfordonspasset med uppdaterade värden för den information som avses i artikel 3.71.</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100</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10 – punkt 3a (ny)</w:t>
      </w:r>
    </w:p>
    <w:p w:rsidR="00D624B1" w:rsidRPr="00690BB0" w:rsidRDefault="00D624B1" w:rsidP="00D624B1">
      <w:pPr>
        <w:widowControl/>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p>
        </w:tc>
        <w:tc>
          <w:tcPr>
            <w:tcW w:w="4876" w:type="dxa"/>
          </w:tcPr>
          <w:p w:rsidR="00D624B1" w:rsidRPr="00690BB0" w:rsidRDefault="00D624B1" w:rsidP="003F2A5D">
            <w:pPr>
              <w:pStyle w:val="Normal6a"/>
              <w:widowControl/>
            </w:pPr>
            <w:r w:rsidRPr="00690BB0">
              <w:rPr>
                <w:b/>
                <w:i/>
              </w:rPr>
              <w:t>3a.</w:t>
            </w:r>
            <w:r w:rsidRPr="00690BB0">
              <w:tab/>
            </w:r>
            <w:r w:rsidRPr="00690BB0">
              <w:rPr>
                <w:b/>
                <w:i/>
              </w:rPr>
              <w:t xml:space="preserve">Från och med 24 månader efter ikraftträdandet av all </w:t>
            </w:r>
            <w:r w:rsidR="00A014B6" w:rsidRPr="00690BB0">
              <w:rPr>
                <w:b/>
                <w:i/>
              </w:rPr>
              <w:t xml:space="preserve">relevant </w:t>
            </w:r>
            <w:r w:rsidRPr="00690BB0">
              <w:rPr>
                <w:b/>
                <w:i/>
              </w:rPr>
              <w:t>sekundärlagstiftning och i enlighet med de särskilda bestämmelserna för system, komponenter samt separata tekniska enheter ska de nationella godkännandemyndigheterna, av skäl som hänför sig till koldioxidutsläpp och utsläpp av föroreningar, bränsle- och energiförbrukning eller batteriers hållbarhet, när det gäller nya fordon av kategorierna M</w:t>
            </w:r>
            <w:r w:rsidRPr="00690BB0">
              <w:rPr>
                <w:b/>
                <w:i/>
                <w:vertAlign w:val="subscript"/>
              </w:rPr>
              <w:t>1</w:t>
            </w:r>
            <w:r w:rsidRPr="00690BB0">
              <w:rPr>
                <w:b/>
                <w:i/>
              </w:rPr>
              <w:t xml:space="preserve"> och N</w:t>
            </w:r>
            <w:r w:rsidRPr="00690BB0">
              <w:rPr>
                <w:b/>
                <w:i/>
                <w:vertAlign w:val="subscript"/>
              </w:rPr>
              <w:t>1</w:t>
            </w:r>
            <w:r w:rsidRPr="00690BB0">
              <w:rPr>
                <w:b/>
                <w:i/>
              </w:rPr>
              <w:t>, vägra att bevilja EU-typgodkännande avseende utsläpp eller nationellt typgodkännande avseende utsläpp som inte uppfyller kraven i denna förordning.</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101</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10 – punkt 4</w:t>
      </w:r>
    </w:p>
    <w:p w:rsidR="00D624B1" w:rsidRPr="00690BB0" w:rsidRDefault="00D624B1" w:rsidP="00D624B1">
      <w:pPr>
        <w:widowControl/>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4.</w:t>
            </w:r>
            <w:r w:rsidRPr="00690BB0">
              <w:tab/>
              <w:t xml:space="preserve">Från och med </w:t>
            </w:r>
            <w:r w:rsidRPr="00690BB0">
              <w:rPr>
                <w:b/>
                <w:i/>
              </w:rPr>
              <w:t>den 1 juli 2025</w:t>
            </w:r>
            <w:r w:rsidRPr="00690BB0">
              <w:t xml:space="preserve"> ska de nationella myndigheterna, när det gäller nya fordon av kategorierna M</w:t>
            </w:r>
            <w:r w:rsidRPr="00690BB0">
              <w:rPr>
                <w:vertAlign w:val="subscript"/>
              </w:rPr>
              <w:t>1</w:t>
            </w:r>
            <w:r w:rsidRPr="00690BB0">
              <w:t xml:space="preserve"> och N</w:t>
            </w:r>
            <w:r w:rsidRPr="00690BB0">
              <w:rPr>
                <w:vertAlign w:val="subscript"/>
              </w:rPr>
              <w:t>1</w:t>
            </w:r>
            <w:r w:rsidRPr="00690BB0">
              <w:t xml:space="preserve"> som inte uppfyller kraven i denna förordning, betrakta intyg om överensstämmelse som ogiltiga för registrering och ska, med hänvisning till utsläpp av koldioxid och föroreningar, bränsle- och energiförbrukning eller batteriernas hållbarhet, förbjuda registrering, försäljning eller ibruktagande av sådana fordon.</w:t>
            </w:r>
          </w:p>
        </w:tc>
        <w:tc>
          <w:tcPr>
            <w:tcW w:w="4876" w:type="dxa"/>
          </w:tcPr>
          <w:p w:rsidR="00D624B1" w:rsidRPr="00690BB0" w:rsidRDefault="00D624B1" w:rsidP="003F2A5D">
            <w:pPr>
              <w:pStyle w:val="Normal6a"/>
              <w:widowControl/>
            </w:pPr>
            <w:r w:rsidRPr="00690BB0">
              <w:t>4.</w:t>
            </w:r>
            <w:r w:rsidRPr="00690BB0">
              <w:tab/>
              <w:t xml:space="preserve">Från och med </w:t>
            </w:r>
            <w:r w:rsidRPr="00690BB0">
              <w:rPr>
                <w:b/>
                <w:i/>
              </w:rPr>
              <w:t xml:space="preserve">36 månader efter ikraftträdandet av all </w:t>
            </w:r>
            <w:r w:rsidR="00A014B6" w:rsidRPr="00690BB0">
              <w:rPr>
                <w:b/>
                <w:i/>
              </w:rPr>
              <w:t xml:space="preserve">relevant </w:t>
            </w:r>
            <w:r w:rsidRPr="00690BB0">
              <w:rPr>
                <w:b/>
                <w:i/>
              </w:rPr>
              <w:t>sekundärlagstiftning och i enlighet med de särskilda bestämmelserna för system, komponenter och separata tekniska enheter</w:t>
            </w:r>
            <w:r w:rsidRPr="00690BB0">
              <w:t xml:space="preserve"> ska de nationella myndigheterna, när det gäller nya fordon av kategorierna M</w:t>
            </w:r>
            <w:r w:rsidRPr="00690BB0">
              <w:rPr>
                <w:vertAlign w:val="subscript"/>
              </w:rPr>
              <w:t>1</w:t>
            </w:r>
            <w:r w:rsidRPr="00690BB0">
              <w:t xml:space="preserve"> och N</w:t>
            </w:r>
            <w:r w:rsidRPr="00690BB0">
              <w:rPr>
                <w:vertAlign w:val="subscript"/>
              </w:rPr>
              <w:t>1</w:t>
            </w:r>
            <w:r w:rsidRPr="00690BB0">
              <w:t xml:space="preserve"> som inte uppfyller kraven i denna förordning, betrakta intyg om överensstämmelse som ogiltiga för registrering och ska, med hänvisning till utsläpp av koldioxid och föroreningar, bränsle- och energiförbrukning eller batteriernas hållbarhet, förbjuda registrering, försäljning eller ibruktagande av sådana fordon.</w:t>
            </w:r>
          </w:p>
        </w:tc>
      </w:tr>
    </w:tbl>
    <w:p w:rsidR="00D624B1" w:rsidRPr="00690BB0" w:rsidRDefault="00D624B1" w:rsidP="00D624B1">
      <w:pPr>
        <w:widowControl/>
      </w:pPr>
    </w:p>
    <w:p w:rsidR="00D624B1" w:rsidRPr="00690BB0" w:rsidRDefault="007B7831" w:rsidP="00D624B1">
      <w:pPr>
        <w:pStyle w:val="AmNumberTabs"/>
        <w:keepNext/>
        <w:keepLines/>
        <w:widowControl/>
      </w:pPr>
      <w:r w:rsidRPr="00690BB0">
        <w:t>Ändring</w:t>
      </w:r>
      <w:r w:rsidR="00D624B1" w:rsidRPr="00690BB0">
        <w:tab/>
      </w:r>
      <w:r w:rsidR="00D624B1" w:rsidRPr="00690BB0">
        <w:tab/>
        <w:t>102</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10 – punkt 4a (ny)</w:t>
      </w:r>
    </w:p>
    <w:p w:rsidR="00D624B1" w:rsidRPr="00690BB0" w:rsidRDefault="00D624B1" w:rsidP="00D624B1">
      <w:pPr>
        <w:widowControl/>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p>
        </w:tc>
        <w:tc>
          <w:tcPr>
            <w:tcW w:w="4876" w:type="dxa"/>
          </w:tcPr>
          <w:p w:rsidR="00D624B1" w:rsidRPr="00690BB0" w:rsidRDefault="00D624B1" w:rsidP="003F2A5D">
            <w:pPr>
              <w:pStyle w:val="Normal6a"/>
              <w:widowControl/>
            </w:pPr>
            <w:r w:rsidRPr="00690BB0">
              <w:rPr>
                <w:b/>
                <w:i/>
              </w:rPr>
              <w:t>4a.</w:t>
            </w:r>
            <w:r w:rsidRPr="00690BB0">
              <w:tab/>
            </w:r>
            <w:r w:rsidRPr="00690BB0">
              <w:rPr>
                <w:b/>
                <w:i/>
              </w:rPr>
              <w:t>Från och med 48 månader efter ikraftträdandet av all relevant sekundärlagstiftning och i enlighet med de särskilda bestämmelserna för system, komponenter samt separata tekniska enheter ska de nationella godkännandemyndigheterna, av skäl som hänför sig till koldioxidutsläpp och utsläpp av föroreningar, bränsle- och energiförbrukning eller batteriers hållbarhet, när det gäller nya typer av fordon av kategorierna M</w:t>
            </w:r>
            <w:r w:rsidRPr="00690BB0">
              <w:rPr>
                <w:b/>
                <w:i/>
                <w:vertAlign w:val="subscript"/>
              </w:rPr>
              <w:t>2</w:t>
            </w:r>
            <w:r w:rsidRPr="00690BB0">
              <w:rPr>
                <w:b/>
                <w:i/>
              </w:rPr>
              <w:t>, M</w:t>
            </w:r>
            <w:r w:rsidRPr="00690BB0">
              <w:rPr>
                <w:b/>
                <w:i/>
                <w:vertAlign w:val="subscript"/>
              </w:rPr>
              <w:t>3</w:t>
            </w:r>
            <w:r w:rsidRPr="00690BB0">
              <w:rPr>
                <w:b/>
                <w:i/>
              </w:rPr>
              <w:t>, N</w:t>
            </w:r>
            <w:r w:rsidRPr="00690BB0">
              <w:rPr>
                <w:b/>
                <w:i/>
                <w:vertAlign w:val="subscript"/>
              </w:rPr>
              <w:t>2</w:t>
            </w:r>
            <w:r w:rsidRPr="00690BB0">
              <w:rPr>
                <w:b/>
                <w:i/>
              </w:rPr>
              <w:t xml:space="preserve"> och N</w:t>
            </w:r>
            <w:r w:rsidRPr="00690BB0">
              <w:rPr>
                <w:b/>
                <w:i/>
                <w:vertAlign w:val="subscript"/>
              </w:rPr>
              <w:t>3</w:t>
            </w:r>
            <w:r w:rsidRPr="00690BB0">
              <w:rPr>
                <w:b/>
                <w:i/>
              </w:rPr>
              <w:t xml:space="preserve"> samt nya släpfordon av kategorierna O</w:t>
            </w:r>
            <w:r w:rsidRPr="00690BB0">
              <w:rPr>
                <w:b/>
                <w:i/>
                <w:vertAlign w:val="subscript"/>
              </w:rPr>
              <w:t>3</w:t>
            </w:r>
            <w:r w:rsidRPr="00690BB0">
              <w:rPr>
                <w:b/>
                <w:i/>
              </w:rPr>
              <w:t xml:space="preserve"> och O</w:t>
            </w:r>
            <w:r w:rsidRPr="00690BB0">
              <w:rPr>
                <w:b/>
                <w:i/>
                <w:vertAlign w:val="subscript"/>
              </w:rPr>
              <w:t>4</w:t>
            </w:r>
            <w:r w:rsidRPr="00690BB0">
              <w:rPr>
                <w:b/>
                <w:i/>
              </w:rPr>
              <w:t xml:space="preserve">, vägra att bevilja EU-typgodkännande avseende utsläpp eller nationellt typgodkännande avseende </w:t>
            </w:r>
            <w:r w:rsidRPr="00690BB0">
              <w:rPr>
                <w:b/>
                <w:i/>
              </w:rPr>
              <w:lastRenderedPageBreak/>
              <w:t>utsläpp som inte uppfyller kraven i denna förordning.</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103</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rPr>
          <w:b w:val="0"/>
        </w:rPr>
        <w:t>Artikel 10 – punkt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5.</w:t>
            </w:r>
            <w:r w:rsidRPr="00690BB0">
              <w:tab/>
              <w:t xml:space="preserve">Från och med </w:t>
            </w:r>
            <w:r w:rsidRPr="00690BB0">
              <w:rPr>
                <w:b/>
                <w:i/>
              </w:rPr>
              <w:t>den 1 juli 2027</w:t>
            </w:r>
            <w:r w:rsidRPr="00690BB0">
              <w:t xml:space="preserve"> ska de nationella myndigheterna, när det gäller nya fordon av kategorierna M</w:t>
            </w:r>
            <w:r w:rsidRPr="00690BB0">
              <w:rPr>
                <w:vertAlign w:val="subscript"/>
              </w:rPr>
              <w:t>2</w:t>
            </w:r>
            <w:r w:rsidRPr="00690BB0">
              <w:t>, M</w:t>
            </w:r>
            <w:r w:rsidRPr="00690BB0">
              <w:rPr>
                <w:vertAlign w:val="subscript"/>
              </w:rPr>
              <w:t>3</w:t>
            </w:r>
            <w:r w:rsidRPr="00690BB0">
              <w:t>, N</w:t>
            </w:r>
            <w:r w:rsidRPr="00690BB0">
              <w:rPr>
                <w:vertAlign w:val="subscript"/>
              </w:rPr>
              <w:t>2</w:t>
            </w:r>
            <w:r w:rsidRPr="00690BB0">
              <w:t xml:space="preserve"> och N</w:t>
            </w:r>
            <w:r w:rsidRPr="00690BB0">
              <w:rPr>
                <w:vertAlign w:val="subscript"/>
              </w:rPr>
              <w:t>3</w:t>
            </w:r>
            <w:r w:rsidRPr="00690BB0">
              <w:t xml:space="preserve"> samt nya släpfordon av kategorierna O</w:t>
            </w:r>
            <w:r w:rsidRPr="00690BB0">
              <w:rPr>
                <w:vertAlign w:val="subscript"/>
              </w:rPr>
              <w:t>3</w:t>
            </w:r>
            <w:r w:rsidRPr="00690BB0">
              <w:t xml:space="preserve"> och O</w:t>
            </w:r>
            <w:r w:rsidRPr="00690BB0">
              <w:rPr>
                <w:vertAlign w:val="subscript"/>
              </w:rPr>
              <w:t>4</w:t>
            </w:r>
            <w:r w:rsidRPr="00690BB0">
              <w:t xml:space="preserve"> som inte uppfyller kraven i denna förordning, betrakta intyg om överensstämmelse som ogiltiga för registrering och ska, med hänvisning till utsläpp av koldioxid och föroreningar, bränsle- och energiförbrukning, energieffektivitet eller batteriernas hållbarhet, förbjuda registrering, försäljning eller ibruktagande av sådana fordon.</w:t>
            </w:r>
          </w:p>
        </w:tc>
        <w:tc>
          <w:tcPr>
            <w:tcW w:w="4876" w:type="dxa"/>
          </w:tcPr>
          <w:p w:rsidR="00D624B1" w:rsidRPr="00690BB0" w:rsidRDefault="00D624B1" w:rsidP="003F2A5D">
            <w:pPr>
              <w:pStyle w:val="Normal6a"/>
              <w:widowControl/>
            </w:pPr>
            <w:r w:rsidRPr="00690BB0">
              <w:t>5.</w:t>
            </w:r>
            <w:r w:rsidRPr="00690BB0">
              <w:tab/>
              <w:t xml:space="preserve">Från och med </w:t>
            </w:r>
            <w:r w:rsidRPr="00690BB0">
              <w:rPr>
                <w:b/>
                <w:i/>
              </w:rPr>
              <w:t>60 månader efter ikraftträdandet av all relevant sekundärlagstiftning och i enlighet med de särskilda bestämmelserna för system, komponenter samt separata tekniska enheter</w:t>
            </w:r>
            <w:r w:rsidRPr="00690BB0">
              <w:t xml:space="preserve"> ska de nationella myndigheterna, när det gäller nya fordon av kategorierna M</w:t>
            </w:r>
            <w:r w:rsidRPr="00690BB0">
              <w:rPr>
                <w:vertAlign w:val="subscript"/>
              </w:rPr>
              <w:t>2</w:t>
            </w:r>
            <w:r w:rsidRPr="00690BB0">
              <w:t>, M</w:t>
            </w:r>
            <w:r w:rsidRPr="00690BB0">
              <w:rPr>
                <w:vertAlign w:val="subscript"/>
              </w:rPr>
              <w:t>3</w:t>
            </w:r>
            <w:r w:rsidRPr="00690BB0">
              <w:t>, N</w:t>
            </w:r>
            <w:r w:rsidRPr="00690BB0">
              <w:rPr>
                <w:vertAlign w:val="subscript"/>
              </w:rPr>
              <w:t>2</w:t>
            </w:r>
            <w:r w:rsidRPr="00690BB0">
              <w:t xml:space="preserve"> och N</w:t>
            </w:r>
            <w:r w:rsidRPr="00690BB0">
              <w:rPr>
                <w:vertAlign w:val="subscript"/>
              </w:rPr>
              <w:t>3</w:t>
            </w:r>
            <w:r w:rsidRPr="00690BB0">
              <w:t xml:space="preserve"> samt nya släpfordon av kategorierna O</w:t>
            </w:r>
            <w:r w:rsidRPr="00690BB0">
              <w:rPr>
                <w:vertAlign w:val="subscript"/>
              </w:rPr>
              <w:t>3</w:t>
            </w:r>
            <w:r w:rsidRPr="00690BB0">
              <w:t xml:space="preserve"> och O</w:t>
            </w:r>
            <w:r w:rsidRPr="00690BB0">
              <w:rPr>
                <w:vertAlign w:val="subscript"/>
              </w:rPr>
              <w:t>4</w:t>
            </w:r>
            <w:r w:rsidRPr="00690BB0">
              <w:t xml:space="preserve"> som inte uppfyller kraven i denna förordning, betrakta intyg om överensstämmelse som ogiltiga för registrering och ska, med hänvisning till utsläpp av koldioxid och föroreningar, bränsle- och energiförbrukning, energieffektivitet eller batteriernas hållbarhet, förbjuda registrering, försäljning eller ibruktagande av sådana </w:t>
            </w:r>
            <w:r w:rsidRPr="00690BB0">
              <w:rPr>
                <w:b/>
                <w:i/>
              </w:rPr>
              <w:t xml:space="preserve">motorer, </w:t>
            </w:r>
            <w:r w:rsidRPr="00690BB0">
              <w:t>fordon</w:t>
            </w:r>
            <w:r w:rsidRPr="00690BB0">
              <w:rPr>
                <w:b/>
                <w:i/>
              </w:rPr>
              <w:t xml:space="preserve"> eller släpfordon</w:t>
            </w:r>
            <w:r w:rsidRPr="00690BB0">
              <w:t>.</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104</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10 – punkt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rPr>
                <w:b/>
                <w:i/>
              </w:rPr>
              <w:t>8.</w:t>
            </w:r>
            <w:r w:rsidRPr="00690BB0">
              <w:tab/>
            </w:r>
            <w:r w:rsidRPr="00690BB0">
              <w:rPr>
                <w:b/>
                <w:i/>
              </w:rPr>
              <w:t xml:space="preserve">Kommissionen ska anta genomförandeakter för att fastställa de administrativa och tekniska delar som krävs för att utföra provningar, kontroller och inspektioner i syfte att kontrollera efterlevnaden av punkt 1, samt de tekniska delar som krävs för marknadskontroller enligt punkt 2. Dessa genomförandeakter ska antas i enlighet </w:t>
            </w:r>
            <w:r w:rsidRPr="00690BB0">
              <w:rPr>
                <w:b/>
                <w:i/>
              </w:rPr>
              <w:lastRenderedPageBreak/>
              <w:t>med det granskningsförfarande som avses i artikel 17.2.</w:t>
            </w:r>
          </w:p>
        </w:tc>
        <w:tc>
          <w:tcPr>
            <w:tcW w:w="4876" w:type="dxa"/>
          </w:tcPr>
          <w:p w:rsidR="00D624B1" w:rsidRPr="00690BB0" w:rsidRDefault="00D624B1" w:rsidP="003F2A5D">
            <w:pPr>
              <w:pStyle w:val="Normal6a"/>
              <w:widowControl/>
            </w:pPr>
            <w:r w:rsidRPr="00690BB0">
              <w:rPr>
                <w:b/>
                <w:i/>
              </w:rPr>
              <w:lastRenderedPageBreak/>
              <w:t>utgår</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105</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rPr>
          <w:b w:val="0"/>
        </w:rPr>
        <w:t>Artikel 11 – punkt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1.</w:t>
            </w:r>
            <w:r w:rsidRPr="00690BB0">
              <w:tab/>
              <w:t xml:space="preserve">Från och med </w:t>
            </w:r>
            <w:r w:rsidRPr="00690BB0">
              <w:rPr>
                <w:b/>
                <w:i/>
              </w:rPr>
              <w:t>den 1 juli 2025</w:t>
            </w:r>
            <w:r w:rsidRPr="00690BB0">
              <w:t xml:space="preserve"> ska försäljning eller installation av ett system, en komponent eller en separat teknisk enhet som är avsedd att monteras på ett fordon av kategorierna M</w:t>
            </w:r>
            <w:r w:rsidRPr="00690BB0">
              <w:rPr>
                <w:vertAlign w:val="subscript"/>
              </w:rPr>
              <w:t>1</w:t>
            </w:r>
            <w:r w:rsidRPr="00690BB0">
              <w:t xml:space="preserve"> och N</w:t>
            </w:r>
            <w:r w:rsidRPr="00690BB0">
              <w:rPr>
                <w:vertAlign w:val="subscript"/>
              </w:rPr>
              <w:t>1</w:t>
            </w:r>
            <w:r w:rsidRPr="00690BB0">
              <w:t xml:space="preserve"> som godkänts enligt denna förordning vara förbjuden om systemet, komponenten eller den separata tekniska enheten inte är typgodkänd i enlighet med denna förordning.</w:t>
            </w:r>
          </w:p>
        </w:tc>
        <w:tc>
          <w:tcPr>
            <w:tcW w:w="4876" w:type="dxa"/>
          </w:tcPr>
          <w:p w:rsidR="00D624B1" w:rsidRPr="00690BB0" w:rsidRDefault="00D624B1" w:rsidP="003F2A5D">
            <w:pPr>
              <w:pStyle w:val="Normal6a"/>
              <w:widowControl/>
            </w:pPr>
            <w:r w:rsidRPr="00690BB0">
              <w:t>1.</w:t>
            </w:r>
            <w:r w:rsidRPr="00690BB0">
              <w:tab/>
              <w:t xml:space="preserve">Från och med </w:t>
            </w:r>
            <w:r w:rsidRPr="00690BB0">
              <w:rPr>
                <w:b/>
                <w:i/>
              </w:rPr>
              <w:t xml:space="preserve">24 månader efter ikraftträdandet av all </w:t>
            </w:r>
            <w:r w:rsidR="00A014B6" w:rsidRPr="00690BB0">
              <w:rPr>
                <w:b/>
                <w:i/>
              </w:rPr>
              <w:t xml:space="preserve">relevant </w:t>
            </w:r>
            <w:r w:rsidRPr="00690BB0">
              <w:rPr>
                <w:b/>
                <w:i/>
              </w:rPr>
              <w:t>sekundärlagstiftning</w:t>
            </w:r>
            <w:r w:rsidRPr="00690BB0">
              <w:t xml:space="preserve"> ska försäljning eller installation av ett system, en komponent eller en separat teknisk enhet som är avsedd att monteras på ett fordon av kategorierna M</w:t>
            </w:r>
            <w:r w:rsidRPr="00690BB0">
              <w:rPr>
                <w:vertAlign w:val="subscript"/>
              </w:rPr>
              <w:t>1</w:t>
            </w:r>
            <w:r w:rsidRPr="00690BB0">
              <w:t xml:space="preserve"> och N</w:t>
            </w:r>
            <w:r w:rsidRPr="00690BB0">
              <w:rPr>
                <w:vertAlign w:val="subscript"/>
              </w:rPr>
              <w:t>1</w:t>
            </w:r>
            <w:r w:rsidRPr="00690BB0">
              <w:t xml:space="preserve"> som godkänts enligt denna förordning vara förbjuden om systemet, komponenten eller den separata tekniska enheten inte är typgodkänd i enlighet med denna förordning.</w:t>
            </w:r>
          </w:p>
        </w:tc>
      </w:tr>
    </w:tbl>
    <w:p w:rsidR="00D624B1" w:rsidRPr="00690BB0" w:rsidRDefault="00D624B1" w:rsidP="00D624B1">
      <w:pPr>
        <w:widowControl/>
      </w:pPr>
    </w:p>
    <w:p w:rsidR="00D624B1" w:rsidRPr="00690BB0" w:rsidRDefault="007B7831" w:rsidP="00D624B1">
      <w:pPr>
        <w:pStyle w:val="AmNumberTabs"/>
        <w:keepNext/>
        <w:keepLines/>
        <w:widowControl/>
      </w:pPr>
      <w:r w:rsidRPr="00690BB0">
        <w:t>Ändring</w:t>
      </w:r>
      <w:r w:rsidR="00D624B1" w:rsidRPr="00690BB0">
        <w:tab/>
      </w:r>
      <w:r w:rsidR="00D624B1" w:rsidRPr="00690BB0">
        <w:tab/>
        <w:t>106</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rPr>
          <w:b w:val="0"/>
        </w:rPr>
        <w:t>Artikel 11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2.</w:t>
            </w:r>
            <w:r w:rsidRPr="00690BB0">
              <w:tab/>
              <w:t xml:space="preserve">Från och med </w:t>
            </w:r>
            <w:r w:rsidRPr="00690BB0">
              <w:rPr>
                <w:b/>
                <w:i/>
              </w:rPr>
              <w:t>den 1 juli 2027</w:t>
            </w:r>
            <w:r w:rsidRPr="00690BB0">
              <w:t xml:space="preserve"> ska försäljning eller installation av ett system, en komponent eller en separat teknisk enhet som är avsedd att monteras på ett fordon av kategorierna M</w:t>
            </w:r>
            <w:r w:rsidRPr="00690BB0">
              <w:rPr>
                <w:vertAlign w:val="subscript"/>
              </w:rPr>
              <w:t>2</w:t>
            </w:r>
            <w:r w:rsidRPr="00690BB0">
              <w:t>, M</w:t>
            </w:r>
            <w:r w:rsidRPr="00690BB0">
              <w:rPr>
                <w:vertAlign w:val="subscript"/>
              </w:rPr>
              <w:t>3</w:t>
            </w:r>
            <w:r w:rsidRPr="00690BB0">
              <w:t>, N</w:t>
            </w:r>
            <w:r w:rsidRPr="00690BB0">
              <w:rPr>
                <w:vertAlign w:val="subscript"/>
              </w:rPr>
              <w:t>2</w:t>
            </w:r>
            <w:r w:rsidRPr="00690BB0">
              <w:t xml:space="preserve"> och N</w:t>
            </w:r>
            <w:r w:rsidRPr="00690BB0">
              <w:rPr>
                <w:vertAlign w:val="subscript"/>
              </w:rPr>
              <w:t>3</w:t>
            </w:r>
            <w:r w:rsidRPr="00690BB0">
              <w:t xml:space="preserve"> som godkänts enligt denna förordning vara förbjuden om systemet, komponenten eller den separata tekniska enheten inte är typgodkänd i enlighet med denna förordning.</w:t>
            </w:r>
          </w:p>
        </w:tc>
        <w:tc>
          <w:tcPr>
            <w:tcW w:w="4876" w:type="dxa"/>
          </w:tcPr>
          <w:p w:rsidR="00D624B1" w:rsidRPr="00690BB0" w:rsidRDefault="00D624B1" w:rsidP="003F2A5D">
            <w:pPr>
              <w:pStyle w:val="Normal6a"/>
              <w:widowControl/>
            </w:pPr>
            <w:r w:rsidRPr="00690BB0">
              <w:t>2.</w:t>
            </w:r>
            <w:r w:rsidRPr="00690BB0">
              <w:tab/>
              <w:t xml:space="preserve">Från och med </w:t>
            </w:r>
            <w:r w:rsidRPr="00690BB0">
              <w:rPr>
                <w:b/>
                <w:i/>
              </w:rPr>
              <w:t>48 månader efter ikraftträdandet av all relevant sekundärlagstiftning</w:t>
            </w:r>
            <w:r w:rsidRPr="00690BB0">
              <w:t xml:space="preserve"> ska försäljning eller installation av ett system, en komponent eller en separat teknisk enhet som är avsedd att monteras på ett fordon av kategorierna M</w:t>
            </w:r>
            <w:r w:rsidRPr="00690BB0">
              <w:rPr>
                <w:vertAlign w:val="subscript"/>
              </w:rPr>
              <w:t>2</w:t>
            </w:r>
            <w:r w:rsidRPr="00690BB0">
              <w:t>, M</w:t>
            </w:r>
            <w:r w:rsidRPr="00690BB0">
              <w:rPr>
                <w:vertAlign w:val="subscript"/>
              </w:rPr>
              <w:t>3</w:t>
            </w:r>
            <w:r w:rsidRPr="00690BB0">
              <w:t>, N</w:t>
            </w:r>
            <w:r w:rsidRPr="00690BB0">
              <w:rPr>
                <w:vertAlign w:val="subscript"/>
              </w:rPr>
              <w:t>2</w:t>
            </w:r>
            <w:r w:rsidRPr="00690BB0">
              <w:t xml:space="preserve"> och N</w:t>
            </w:r>
            <w:r w:rsidRPr="00690BB0">
              <w:rPr>
                <w:vertAlign w:val="subscript"/>
              </w:rPr>
              <w:t>3</w:t>
            </w:r>
            <w:r w:rsidRPr="00690BB0">
              <w:rPr>
                <w:b/>
                <w:i/>
              </w:rPr>
              <w:t xml:space="preserve"> samt släpfordon av kategorierna O</w:t>
            </w:r>
            <w:r w:rsidRPr="00690BB0">
              <w:rPr>
                <w:b/>
                <w:i/>
                <w:vertAlign w:val="subscript"/>
              </w:rPr>
              <w:t>3</w:t>
            </w:r>
            <w:r w:rsidRPr="00690BB0">
              <w:rPr>
                <w:b/>
                <w:i/>
              </w:rPr>
              <w:t xml:space="preserve"> och O</w:t>
            </w:r>
            <w:r w:rsidRPr="00690BB0">
              <w:rPr>
                <w:b/>
                <w:i/>
                <w:vertAlign w:val="subscript"/>
              </w:rPr>
              <w:t>4</w:t>
            </w:r>
            <w:r w:rsidRPr="00690BB0">
              <w:t xml:space="preserve"> som godkänts enligt denna förordning vara förbjuden om systemet, komponenten eller den separata tekniska enheten inte är typgodkänd i enlighet med denna förordning.</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107</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11 – punkt 3a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p>
        </w:tc>
        <w:tc>
          <w:tcPr>
            <w:tcW w:w="4876" w:type="dxa"/>
          </w:tcPr>
          <w:p w:rsidR="00D624B1" w:rsidRPr="00690BB0" w:rsidRDefault="00D624B1" w:rsidP="007B7831">
            <w:pPr>
              <w:widowControl/>
              <w:spacing w:after="120"/>
            </w:pPr>
            <w:r w:rsidRPr="00690BB0">
              <w:rPr>
                <w:b/>
                <w:i/>
              </w:rPr>
              <w:t>3a.</w:t>
            </w:r>
            <w:r w:rsidRPr="00690BB0">
              <w:tab/>
            </w:r>
            <w:r w:rsidRPr="00690BB0">
              <w:rPr>
                <w:b/>
                <w:i/>
              </w:rPr>
              <w:t xml:space="preserve">Från och med 12 månader efter antagandet i enlighet med artikel 7a av den delegerade akten om typgodkännande av C1-däck vad gäller gränsvärden för nötningsutsläpp ska de nationella myndigheterna endast bevilja EU-typgodkännande för komponenter eller separata tekniska enheter för nya däcktyper om de uppfyller kraven i denna förordning och vägra att bevilja </w:t>
            </w:r>
            <w:r w:rsidR="00A014B6" w:rsidRPr="00690BB0">
              <w:rPr>
                <w:b/>
                <w:i/>
              </w:rPr>
              <w:t>EU</w:t>
            </w:r>
            <w:r w:rsidRPr="00690BB0">
              <w:rPr>
                <w:b/>
                <w:i/>
              </w:rPr>
              <w:t>-typgodkännande för en komponent eller separat teknisk enhet för nya däcktyper som inte uppfyller kraven i denna förordning.</w:t>
            </w:r>
          </w:p>
        </w:tc>
      </w:tr>
      <w:tr w:rsidR="00D624B1" w:rsidRPr="00690BB0" w:rsidTr="003F2A5D">
        <w:trPr>
          <w:jc w:val="center"/>
        </w:trPr>
        <w:tc>
          <w:tcPr>
            <w:tcW w:w="4876" w:type="dxa"/>
          </w:tcPr>
          <w:p w:rsidR="00D624B1" w:rsidRPr="00690BB0" w:rsidRDefault="00D624B1" w:rsidP="003F2A5D">
            <w:pPr>
              <w:pStyle w:val="Normal6a"/>
              <w:widowControl/>
            </w:pPr>
          </w:p>
        </w:tc>
        <w:tc>
          <w:tcPr>
            <w:tcW w:w="4876" w:type="dxa"/>
          </w:tcPr>
          <w:p w:rsidR="00D624B1" w:rsidRPr="00690BB0" w:rsidRDefault="00D624B1" w:rsidP="003F2A5D">
            <w:pPr>
              <w:pStyle w:val="Normal6a"/>
              <w:widowControl/>
            </w:pPr>
            <w:r w:rsidRPr="00690BB0">
              <w:rPr>
                <w:b/>
                <w:i/>
              </w:rPr>
              <w:t>Från och med 36 månader efter antagandet i enlighet med artikel 7a av den delegerade akten om typgodkännande av C1-däck vad gäller nötningsutsläpp, ska nationella myndigheter vägra att bevilja typgodkännande för nya C1-däck som inte överensstämmer med denna förordning. C1-däck som tillverkats före det ikraftträdandedatum som anges i detta stycke och som inte uppfyller kraven i denna förordning och dess genomförandeåtgärder får säljas under en period på högst 30 månader.</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108</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12 – punkt 1 – stycke 1a (nytt)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p>
        </w:tc>
        <w:tc>
          <w:tcPr>
            <w:tcW w:w="4876" w:type="dxa"/>
          </w:tcPr>
          <w:p w:rsidR="00D624B1" w:rsidRPr="00690BB0" w:rsidRDefault="00D624B1" w:rsidP="003F2A5D">
            <w:pPr>
              <w:pStyle w:val="Normal6a"/>
              <w:widowControl/>
            </w:pPr>
            <w:r w:rsidRPr="00690BB0">
              <w:rPr>
                <w:b/>
                <w:i/>
              </w:rPr>
              <w:t>Manipulering som leder till utsläpp som överskrider de gränser som föreskrivs i bilaga 1 ska leda till att fordonet inte längre uppfyller denna förordning.</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109</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12 – punkt 1 – stycke 1b (nytt)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p>
        </w:tc>
        <w:tc>
          <w:tcPr>
            <w:tcW w:w="4876" w:type="dxa"/>
          </w:tcPr>
          <w:p w:rsidR="00D624B1" w:rsidRPr="00690BB0" w:rsidRDefault="00D624B1" w:rsidP="003F2A5D">
            <w:pPr>
              <w:pStyle w:val="Normal6a"/>
              <w:widowControl/>
            </w:pPr>
            <w:r w:rsidRPr="00690BB0">
              <w:rPr>
                <w:b/>
                <w:i/>
              </w:rPr>
              <w:t>Bristande efterlevnad till följd av manipulering ska leda till att de nationella behöriga myndigheterna vidtar lämpliga korrigerande åtgärder, inbegripet återkallelser, samt inför effektiva, proportionella och avskräckande ekonomiska sanktioner.</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110</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12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keepNext/>
              <w:keepLines/>
              <w:widowControl/>
            </w:pPr>
            <w:r w:rsidRPr="00690BB0">
              <w:t>Kommissionens förslag</w:t>
            </w:r>
          </w:p>
        </w:tc>
        <w:tc>
          <w:tcPr>
            <w:tcW w:w="4876" w:type="dxa"/>
          </w:tcPr>
          <w:p w:rsidR="00D624B1" w:rsidRPr="00690BB0" w:rsidRDefault="007B7831" w:rsidP="003F2A5D">
            <w:pPr>
              <w:pStyle w:val="AmColumnHeading"/>
              <w:keepNext/>
              <w:keepLines/>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2.</w:t>
            </w:r>
            <w:r w:rsidRPr="00690BB0">
              <w:tab/>
              <w:t>De nationella myndigheterna ska i samband med kontroller av överensstämmelse hos fordon i drift eller marknadskontroll kontrollera om fordonstillverkarna har installerat förarvarningssystem för överskridande utsläpp och förarvarningssystem för låg reagensnivå på rätt sätt, samt om fordonen kan manipuleras.</w:t>
            </w:r>
          </w:p>
        </w:tc>
        <w:tc>
          <w:tcPr>
            <w:tcW w:w="4876" w:type="dxa"/>
          </w:tcPr>
          <w:p w:rsidR="00D624B1" w:rsidRPr="00690BB0" w:rsidRDefault="00D624B1" w:rsidP="003F2A5D">
            <w:pPr>
              <w:pStyle w:val="Normal6a"/>
              <w:widowControl/>
            </w:pPr>
            <w:r w:rsidRPr="00690BB0">
              <w:t>2.</w:t>
            </w:r>
            <w:r w:rsidRPr="00690BB0">
              <w:tab/>
              <w:t xml:space="preserve">De nationella myndigheterna ska i samband med kontroller av överensstämmelse hos fordon i drift eller marknadskontroll kontrollera </w:t>
            </w:r>
            <w:r w:rsidRPr="00690BB0">
              <w:rPr>
                <w:b/>
                <w:i/>
              </w:rPr>
              <w:t xml:space="preserve">kvaliteten på den reagens som använts, </w:t>
            </w:r>
            <w:r w:rsidRPr="00690BB0">
              <w:t>om fordonstillverkarna har installerat förarvarningssystem för överskridande utsläpp och förarvarningssystem för låg reagensnivå på rätt sätt, samt om fordonen kan manipuleras.</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111</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13 – punkt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1.</w:t>
            </w:r>
            <w:r w:rsidRPr="00690BB0">
              <w:tab/>
              <w:t xml:space="preserve">Kommissionen eller tredje part </w:t>
            </w:r>
            <w:r w:rsidRPr="00690BB0">
              <w:rPr>
                <w:b/>
                <w:i/>
              </w:rPr>
              <w:t>får</w:t>
            </w:r>
            <w:r w:rsidRPr="00690BB0">
              <w:t xml:space="preserve"> i enlighet med artiklarna 9 och 13.10 i förordning (EU) 2018/858 utföra kontroller av överensstämmelse hos fordon i drift och kontroller av marknadskontroll enligt tabellerna 2, 4, 6, 8 och 10 i bilaga V för att kontrollera att fordon, komponenter och </w:t>
            </w:r>
            <w:r w:rsidRPr="00690BB0">
              <w:lastRenderedPageBreak/>
              <w:t>separata tekniska enheter överensstämmer med den här förordningen.</w:t>
            </w:r>
          </w:p>
        </w:tc>
        <w:tc>
          <w:tcPr>
            <w:tcW w:w="4876" w:type="dxa"/>
          </w:tcPr>
          <w:p w:rsidR="00D624B1" w:rsidRPr="00690BB0" w:rsidRDefault="00D624B1" w:rsidP="003F2A5D">
            <w:pPr>
              <w:pStyle w:val="Normal6a"/>
              <w:widowControl/>
            </w:pPr>
            <w:r w:rsidRPr="00690BB0">
              <w:lastRenderedPageBreak/>
              <w:t>1.</w:t>
            </w:r>
            <w:r w:rsidRPr="00690BB0">
              <w:tab/>
              <w:t xml:space="preserve">Kommissionen eller tredje part </w:t>
            </w:r>
            <w:r w:rsidRPr="00690BB0">
              <w:rPr>
                <w:b/>
                <w:i/>
              </w:rPr>
              <w:t>ska</w:t>
            </w:r>
            <w:r w:rsidRPr="00690BB0">
              <w:t xml:space="preserve"> i enlighet med artiklarna 9 och 13.10 i förordning (EU) 2018/858 utföra kontroller av överensstämmelse hos fordon i drift och kontroller av marknadskontroll enligt tabellerna 2, 4, 6, 8 och 10 i bilaga V för att kontrollera att fordon, komponenter och </w:t>
            </w:r>
            <w:r w:rsidRPr="00690BB0">
              <w:lastRenderedPageBreak/>
              <w:t>separata tekniska enheter överensstämmer med den här förordningen.</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112</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13 – punkt 2a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p>
        </w:tc>
        <w:tc>
          <w:tcPr>
            <w:tcW w:w="4876" w:type="dxa"/>
          </w:tcPr>
          <w:p w:rsidR="00D624B1" w:rsidRPr="00690BB0" w:rsidRDefault="00D624B1" w:rsidP="003F2A5D">
            <w:pPr>
              <w:pStyle w:val="Normal6a"/>
              <w:widowControl/>
            </w:pPr>
            <w:r w:rsidRPr="00690BB0">
              <w:rPr>
                <w:b/>
                <w:i/>
              </w:rPr>
              <w:t>2a.</w:t>
            </w:r>
            <w:r w:rsidRPr="00690BB0">
              <w:tab/>
            </w:r>
            <w:r w:rsidRPr="00690BB0">
              <w:rPr>
                <w:b/>
                <w:i/>
              </w:rPr>
              <w:t>Kommissionen ska kontinuerligt övervaka situationen på unionsnivå i syfte att identifiera kringgående och bristande överensstämmelse. När brister i överensstämmelsen upptäcks ska kommissionen lägga fram en rapport för Europaparlamentet och rådet och vid behov följa upp med ett lagstiftningsförslag för att hantera och eliminera riskerna i samband med denna bristande överensstämmelse.</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113</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14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2.</w:t>
            </w:r>
            <w:r w:rsidRPr="00690BB0">
              <w:tab/>
              <w:t xml:space="preserve">Provningar för att visa att kraven i </w:t>
            </w:r>
            <w:r w:rsidRPr="00690BB0">
              <w:rPr>
                <w:b/>
                <w:i/>
              </w:rPr>
              <w:t>artikel 4</w:t>
            </w:r>
            <w:r w:rsidRPr="00690BB0">
              <w:t xml:space="preserve"> är uppfyllda ska utföras av tillverkare och nationella myndigheter enligt bilaga V. Provningar för att visa att kraven i </w:t>
            </w:r>
            <w:r w:rsidRPr="00690BB0">
              <w:rPr>
                <w:b/>
                <w:i/>
              </w:rPr>
              <w:t>artikel 4</w:t>
            </w:r>
            <w:r w:rsidRPr="00690BB0">
              <w:t xml:space="preserve"> är uppfyllda får utföras av kommissionen och tredje part enligt bilaga V.</w:t>
            </w:r>
          </w:p>
        </w:tc>
        <w:tc>
          <w:tcPr>
            <w:tcW w:w="4876" w:type="dxa"/>
          </w:tcPr>
          <w:p w:rsidR="00D624B1" w:rsidRPr="00690BB0" w:rsidRDefault="00D624B1" w:rsidP="003F2A5D">
            <w:pPr>
              <w:pStyle w:val="Normal6a"/>
              <w:widowControl/>
            </w:pPr>
            <w:r w:rsidRPr="00690BB0">
              <w:t>2.</w:t>
            </w:r>
            <w:r w:rsidRPr="00690BB0">
              <w:tab/>
              <w:t xml:space="preserve">Provningar för att visa att kraven i </w:t>
            </w:r>
            <w:r w:rsidRPr="00690BB0">
              <w:rPr>
                <w:b/>
                <w:i/>
              </w:rPr>
              <w:t>denna förordning</w:t>
            </w:r>
            <w:r w:rsidRPr="00690BB0">
              <w:t xml:space="preserve"> är uppfyllda ska utföras av tillverkare och nationella myndigheter enligt bilaga V. Provningar för att visa att kraven i </w:t>
            </w:r>
            <w:r w:rsidRPr="00690BB0">
              <w:rPr>
                <w:b/>
                <w:i/>
              </w:rPr>
              <w:t>denna förordning</w:t>
            </w:r>
            <w:r w:rsidRPr="00690BB0">
              <w:t xml:space="preserve"> är uppfyllda får utföras av kommissionen och tredje part enligt bilaga V.</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114</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14 – punkt 3 – inledningen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lastRenderedPageBreak/>
              <w:t>3.</w:t>
            </w:r>
            <w:r w:rsidRPr="00690BB0">
              <w:tab/>
              <w:t xml:space="preserve">Kommissionen ska anta genomförandeakter för alla faser av typgodkännandet avseende utsläpp, inklusive produktionsöverensstämmelse, överensstämmelse hos fordon i drift och marknadskontroll, som behandlar </w:t>
            </w:r>
            <w:r w:rsidRPr="00690BB0">
              <w:rPr>
                <w:b/>
                <w:i/>
              </w:rPr>
              <w:t xml:space="preserve">förfaranden och provningar för typgodkännande avseende utsläpp, provningsmetoder, </w:t>
            </w:r>
            <w:r w:rsidRPr="00690BB0">
              <w:t>administrativa bestämmelser, ändring och utökning av typgodkännande avseende utsläpp, dataåtkomst, dokumentationskrav och mallar för följande:</w:t>
            </w:r>
          </w:p>
        </w:tc>
        <w:tc>
          <w:tcPr>
            <w:tcW w:w="4876" w:type="dxa"/>
          </w:tcPr>
          <w:p w:rsidR="00D624B1" w:rsidRPr="00690BB0" w:rsidRDefault="00D624B1" w:rsidP="003F2A5D">
            <w:pPr>
              <w:pStyle w:val="Normal6a"/>
              <w:widowControl/>
            </w:pPr>
            <w:r w:rsidRPr="00690BB0">
              <w:t>3.</w:t>
            </w:r>
            <w:r w:rsidRPr="00690BB0">
              <w:tab/>
              <w:t>Kommissionen ska anta genomförandeakter för alla faser av typgodkännandet avseende utsläpp, inklusive produktionsöverensstämmelse, överensstämmelse hos fordon i drift och marknadskontroll, som behandlar administrativa bestämmelser, ändring och utökning av typgodkännande avseende utsläpp, dataåtkomst, dokumentationskrav och mallar för följande:</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115</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14 – punkt 3 – led da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p>
        </w:tc>
        <w:tc>
          <w:tcPr>
            <w:tcW w:w="4876" w:type="dxa"/>
          </w:tcPr>
          <w:p w:rsidR="00D624B1" w:rsidRPr="00690BB0" w:rsidRDefault="00D624B1" w:rsidP="003F2A5D">
            <w:pPr>
              <w:pStyle w:val="Normal6a"/>
              <w:widowControl/>
            </w:pPr>
            <w:r w:rsidRPr="00690BB0">
              <w:rPr>
                <w:b/>
                <w:i/>
              </w:rPr>
              <w:t>(da)</w:t>
            </w:r>
            <w:r w:rsidRPr="00690BB0">
              <w:tab/>
            </w:r>
            <w:r w:rsidRPr="00690BB0">
              <w:rPr>
                <w:b/>
                <w:i/>
              </w:rPr>
              <w:t>Förarvarningssystem för överskridande utsläpp.</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116</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14 – punkt 3 – led db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p>
        </w:tc>
        <w:tc>
          <w:tcPr>
            <w:tcW w:w="4876" w:type="dxa"/>
          </w:tcPr>
          <w:p w:rsidR="00D624B1" w:rsidRPr="00690BB0" w:rsidRDefault="00D624B1" w:rsidP="003F2A5D">
            <w:pPr>
              <w:pStyle w:val="Normal6a"/>
              <w:widowControl/>
            </w:pPr>
            <w:r w:rsidRPr="00690BB0">
              <w:rPr>
                <w:b/>
                <w:i/>
              </w:rPr>
              <w:t>(db)</w:t>
            </w:r>
            <w:r w:rsidRPr="00690BB0">
              <w:tab/>
            </w:r>
            <w:r w:rsidRPr="00690BB0">
              <w:rPr>
                <w:b/>
                <w:i/>
              </w:rPr>
              <w:t>Förarvarningssystem för låg reagensnivå.</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117</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14 – punkt 3 – led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(e)</w:t>
            </w:r>
            <w:r w:rsidRPr="00690BB0">
              <w:tab/>
              <w:t>Skydd mot manipulering, säkerhetssystem och cybersäkerhetssystem.</w:t>
            </w:r>
          </w:p>
        </w:tc>
        <w:tc>
          <w:tcPr>
            <w:tcW w:w="4876" w:type="dxa"/>
          </w:tcPr>
          <w:p w:rsidR="00D624B1" w:rsidRPr="00690BB0" w:rsidRDefault="00D624B1" w:rsidP="003F2A5D">
            <w:pPr>
              <w:pStyle w:val="Normal6a"/>
              <w:widowControl/>
            </w:pPr>
            <w:r w:rsidRPr="00690BB0">
              <w:t>(e)</w:t>
            </w:r>
            <w:r w:rsidRPr="00690BB0">
              <w:tab/>
              <w:t xml:space="preserve">Skydd mot manipulering, </w:t>
            </w:r>
            <w:r w:rsidRPr="00690BB0">
              <w:rPr>
                <w:b/>
                <w:i/>
              </w:rPr>
              <w:t xml:space="preserve">med hänsyn till eftermarknadskrav och överlämnande till oberoende aktörer av all information och alla verktyg och </w:t>
            </w:r>
            <w:r w:rsidRPr="00690BB0">
              <w:rPr>
                <w:b/>
                <w:i/>
              </w:rPr>
              <w:lastRenderedPageBreak/>
              <w:t>processer som krävs för utveckling och installation av ersättningsdelar, samt</w:t>
            </w:r>
            <w:r w:rsidRPr="00690BB0">
              <w:t xml:space="preserve"> säkerhetssystem och cybersäkerhetssystem.</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118</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14 – punkt 3 – led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(g)</w:t>
            </w:r>
            <w:r w:rsidRPr="00690BB0">
              <w:tab/>
              <w:t>Bromssystemtyper och deras ersättningsdelar.</w:t>
            </w:r>
          </w:p>
        </w:tc>
        <w:tc>
          <w:tcPr>
            <w:tcW w:w="4876" w:type="dxa"/>
          </w:tcPr>
          <w:p w:rsidR="00D624B1" w:rsidRPr="00690BB0" w:rsidRDefault="00D624B1" w:rsidP="003F2A5D">
            <w:pPr>
              <w:pStyle w:val="Normal6a"/>
              <w:widowControl/>
            </w:pPr>
            <w:r w:rsidRPr="00690BB0">
              <w:t>(g)</w:t>
            </w:r>
            <w:r w:rsidRPr="00690BB0">
              <w:tab/>
              <w:t>Bromssystemtyper och deras ersättningsdelar</w:t>
            </w:r>
            <w:r w:rsidRPr="00690BB0">
              <w:rPr>
                <w:b/>
                <w:i/>
              </w:rPr>
              <w:t xml:space="preserve"> med avseende på partikelutsläpp för alla fordonskategorier, samtidigt som man tar hänsyn till andra fordonssystem som bidrar till bromsningen för fordon</w:t>
            </w:r>
            <w:r w:rsidRPr="00690BB0">
              <w:t>.</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119</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14 – punkt 3 – led ga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p>
        </w:tc>
        <w:tc>
          <w:tcPr>
            <w:tcW w:w="4876" w:type="dxa"/>
          </w:tcPr>
          <w:p w:rsidR="00D624B1" w:rsidRPr="00690BB0" w:rsidRDefault="00D624B1" w:rsidP="003F2A5D">
            <w:pPr>
              <w:pStyle w:val="Normal6a"/>
              <w:widowControl/>
            </w:pPr>
            <w:r w:rsidRPr="00690BB0">
              <w:rPr>
                <w:b/>
                <w:i/>
              </w:rPr>
              <w:t>(ga)</w:t>
            </w:r>
            <w:r w:rsidRPr="00690BB0">
              <w:tab/>
            </w:r>
            <w:r w:rsidRPr="00690BB0">
              <w:rPr>
                <w:b/>
                <w:i/>
              </w:rPr>
              <w:t>Bromssystemtyper och deras ersättningsdelar som ska eftermonteras i fordon som redan släppts ut på marknaden för att avsevärt minska bromsutsläppen.</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120</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14 – punkt 3a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p>
        </w:tc>
        <w:tc>
          <w:tcPr>
            <w:tcW w:w="4876" w:type="dxa"/>
          </w:tcPr>
          <w:p w:rsidR="00D624B1" w:rsidRPr="00690BB0" w:rsidRDefault="00D624B1" w:rsidP="0038035C">
            <w:pPr>
              <w:pStyle w:val="Normal6a"/>
              <w:widowControl/>
            </w:pPr>
            <w:r w:rsidRPr="00690BB0">
              <w:rPr>
                <w:b/>
                <w:i/>
              </w:rPr>
              <w:t>3a.</w:t>
            </w:r>
            <w:r w:rsidRPr="00690BB0">
              <w:tab/>
            </w:r>
            <w:r w:rsidRPr="00690BB0">
              <w:rPr>
                <w:b/>
                <w:i/>
              </w:rPr>
              <w:t xml:space="preserve">Kommissionen ges befogenhet att anta delegerade akter i enlighet med artikel 16 för förfaranden och provningar för typgodkännandet avseende utsläpp och provningsmetoder för alla faser av typgodkännandet avseende utsläpp, inklusive överensstämmelse i drift, </w:t>
            </w:r>
            <w:r w:rsidRPr="00690BB0">
              <w:rPr>
                <w:b/>
                <w:i/>
              </w:rPr>
              <w:lastRenderedPageBreak/>
              <w:t>produktionsöverensstämmelse och marknadskontroll, för följande:</w:t>
            </w:r>
          </w:p>
        </w:tc>
      </w:tr>
      <w:tr w:rsidR="00D624B1" w:rsidRPr="00690BB0" w:rsidTr="003F2A5D">
        <w:trPr>
          <w:jc w:val="center"/>
        </w:trPr>
        <w:tc>
          <w:tcPr>
            <w:tcW w:w="4876" w:type="dxa"/>
          </w:tcPr>
          <w:p w:rsidR="00D624B1" w:rsidRPr="00690BB0" w:rsidRDefault="00D624B1" w:rsidP="003F2A5D">
            <w:pPr>
              <w:pStyle w:val="Normal6a"/>
              <w:widowControl/>
            </w:pPr>
          </w:p>
        </w:tc>
        <w:tc>
          <w:tcPr>
            <w:tcW w:w="4876" w:type="dxa"/>
          </w:tcPr>
          <w:p w:rsidR="00D624B1" w:rsidRPr="00690BB0" w:rsidRDefault="00D624B1" w:rsidP="003F2A5D">
            <w:pPr>
              <w:pStyle w:val="Normal6a"/>
              <w:widowControl/>
            </w:pPr>
            <w:r w:rsidRPr="00690BB0">
              <w:rPr>
                <w:b/>
                <w:i/>
              </w:rPr>
              <w:t xml:space="preserve">(a) </w:t>
            </w:r>
            <w:r w:rsidRPr="00690BB0">
              <w:tab/>
            </w:r>
            <w:r w:rsidRPr="00690BB0">
              <w:rPr>
                <w:b/>
                <w:i/>
              </w:rPr>
              <w:t>Fordonstyper av kategorierna M</w:t>
            </w:r>
            <w:r w:rsidRPr="00690BB0">
              <w:rPr>
                <w:b/>
                <w:i/>
                <w:vertAlign w:val="subscript"/>
              </w:rPr>
              <w:t>1</w:t>
            </w:r>
            <w:r w:rsidRPr="00690BB0">
              <w:rPr>
                <w:b/>
                <w:i/>
              </w:rPr>
              <w:t xml:space="preserve"> och N</w:t>
            </w:r>
            <w:r w:rsidRPr="00690BB0">
              <w:rPr>
                <w:b/>
                <w:i/>
                <w:vertAlign w:val="subscript"/>
              </w:rPr>
              <w:t>1</w:t>
            </w:r>
            <w:r w:rsidRPr="00690BB0">
              <w:rPr>
                <w:b/>
                <w:i/>
              </w:rPr>
              <w:t>.</w:t>
            </w:r>
          </w:p>
        </w:tc>
      </w:tr>
      <w:tr w:rsidR="00D624B1" w:rsidRPr="00690BB0" w:rsidTr="003F2A5D">
        <w:trPr>
          <w:jc w:val="center"/>
        </w:trPr>
        <w:tc>
          <w:tcPr>
            <w:tcW w:w="4876" w:type="dxa"/>
          </w:tcPr>
          <w:p w:rsidR="00D624B1" w:rsidRPr="00690BB0" w:rsidRDefault="00D624B1" w:rsidP="003F2A5D">
            <w:pPr>
              <w:pStyle w:val="Normal6a"/>
              <w:widowControl/>
            </w:pPr>
          </w:p>
        </w:tc>
        <w:tc>
          <w:tcPr>
            <w:tcW w:w="4876" w:type="dxa"/>
          </w:tcPr>
          <w:p w:rsidR="00D624B1" w:rsidRPr="00690BB0" w:rsidRDefault="00D624B1" w:rsidP="003F2A5D">
            <w:pPr>
              <w:pStyle w:val="Normal6a"/>
              <w:widowControl/>
            </w:pPr>
            <w:r w:rsidRPr="00690BB0">
              <w:rPr>
                <w:b/>
                <w:i/>
              </w:rPr>
              <w:t xml:space="preserve">(b) </w:t>
            </w:r>
            <w:r w:rsidRPr="00690BB0">
              <w:tab/>
            </w:r>
            <w:r w:rsidRPr="00690BB0">
              <w:rPr>
                <w:b/>
                <w:i/>
              </w:rPr>
              <w:t>Fordonstyper av kategorierna M</w:t>
            </w:r>
            <w:r w:rsidRPr="00690BB0">
              <w:rPr>
                <w:b/>
                <w:i/>
                <w:vertAlign w:val="subscript"/>
              </w:rPr>
              <w:t>2</w:t>
            </w:r>
            <w:r w:rsidRPr="00690BB0">
              <w:rPr>
                <w:b/>
                <w:i/>
              </w:rPr>
              <w:t>, M</w:t>
            </w:r>
            <w:r w:rsidRPr="00690BB0">
              <w:rPr>
                <w:b/>
                <w:i/>
                <w:vertAlign w:val="subscript"/>
              </w:rPr>
              <w:t>3</w:t>
            </w:r>
            <w:r w:rsidRPr="00690BB0">
              <w:rPr>
                <w:b/>
                <w:i/>
              </w:rPr>
              <w:t>, N</w:t>
            </w:r>
            <w:r w:rsidRPr="00690BB0">
              <w:rPr>
                <w:b/>
                <w:i/>
                <w:vertAlign w:val="subscript"/>
              </w:rPr>
              <w:t>2</w:t>
            </w:r>
            <w:r w:rsidRPr="00690BB0">
              <w:rPr>
                <w:b/>
                <w:i/>
              </w:rPr>
              <w:t xml:space="preserve"> och N</w:t>
            </w:r>
            <w:r w:rsidRPr="00690BB0">
              <w:rPr>
                <w:b/>
                <w:i/>
                <w:vertAlign w:val="subscript"/>
              </w:rPr>
              <w:t>3</w:t>
            </w:r>
            <w:r w:rsidRPr="00690BB0">
              <w:rPr>
                <w:b/>
                <w:i/>
              </w:rPr>
              <w:t>.</w:t>
            </w:r>
          </w:p>
        </w:tc>
      </w:tr>
      <w:tr w:rsidR="00D624B1" w:rsidRPr="00690BB0" w:rsidTr="003F2A5D">
        <w:trPr>
          <w:jc w:val="center"/>
        </w:trPr>
        <w:tc>
          <w:tcPr>
            <w:tcW w:w="4876" w:type="dxa"/>
          </w:tcPr>
          <w:p w:rsidR="00D624B1" w:rsidRPr="00690BB0" w:rsidRDefault="00D624B1" w:rsidP="003F2A5D">
            <w:pPr>
              <w:pStyle w:val="Normal6a"/>
              <w:widowControl/>
            </w:pPr>
          </w:p>
        </w:tc>
        <w:tc>
          <w:tcPr>
            <w:tcW w:w="4876" w:type="dxa"/>
          </w:tcPr>
          <w:p w:rsidR="00D624B1" w:rsidRPr="00690BB0" w:rsidRDefault="00D624B1" w:rsidP="003F2A5D">
            <w:pPr>
              <w:pStyle w:val="Normal6a"/>
              <w:widowControl/>
            </w:pPr>
            <w:r w:rsidRPr="00690BB0">
              <w:rPr>
                <w:b/>
                <w:i/>
              </w:rPr>
              <w:t xml:space="preserve">(c) </w:t>
            </w:r>
            <w:r w:rsidRPr="00690BB0">
              <w:tab/>
            </w:r>
            <w:r w:rsidRPr="00690BB0">
              <w:rPr>
                <w:b/>
                <w:i/>
              </w:rPr>
              <w:t>Motorer som används av fordonstyperna M</w:t>
            </w:r>
            <w:r w:rsidRPr="00690BB0">
              <w:rPr>
                <w:b/>
                <w:i/>
                <w:vertAlign w:val="subscript"/>
              </w:rPr>
              <w:t>2</w:t>
            </w:r>
            <w:r w:rsidRPr="00690BB0">
              <w:rPr>
                <w:b/>
                <w:i/>
              </w:rPr>
              <w:t>, M</w:t>
            </w:r>
            <w:r w:rsidRPr="00690BB0">
              <w:rPr>
                <w:b/>
                <w:i/>
                <w:vertAlign w:val="subscript"/>
              </w:rPr>
              <w:t>3</w:t>
            </w:r>
            <w:r w:rsidRPr="00690BB0">
              <w:rPr>
                <w:b/>
                <w:i/>
              </w:rPr>
              <w:t>, N</w:t>
            </w:r>
            <w:r w:rsidRPr="00690BB0">
              <w:rPr>
                <w:b/>
                <w:i/>
                <w:vertAlign w:val="subscript"/>
              </w:rPr>
              <w:t>2</w:t>
            </w:r>
            <w:r w:rsidRPr="00690BB0">
              <w:rPr>
                <w:b/>
                <w:i/>
              </w:rPr>
              <w:t xml:space="preserve"> och N</w:t>
            </w:r>
            <w:r w:rsidRPr="00690BB0">
              <w:rPr>
                <w:b/>
                <w:i/>
                <w:vertAlign w:val="subscript"/>
              </w:rPr>
              <w:t>3</w:t>
            </w:r>
            <w:r w:rsidRPr="00690BB0">
              <w:rPr>
                <w:b/>
                <w:i/>
              </w:rPr>
              <w:t>.</w:t>
            </w:r>
          </w:p>
        </w:tc>
      </w:tr>
      <w:tr w:rsidR="00D624B1" w:rsidRPr="00690BB0" w:rsidTr="003F2A5D">
        <w:trPr>
          <w:jc w:val="center"/>
        </w:trPr>
        <w:tc>
          <w:tcPr>
            <w:tcW w:w="4876" w:type="dxa"/>
          </w:tcPr>
          <w:p w:rsidR="00D624B1" w:rsidRPr="00690BB0" w:rsidRDefault="00D624B1" w:rsidP="003F2A5D">
            <w:pPr>
              <w:pStyle w:val="Normal6a"/>
              <w:widowControl/>
            </w:pPr>
          </w:p>
        </w:tc>
        <w:tc>
          <w:tcPr>
            <w:tcW w:w="4876" w:type="dxa"/>
          </w:tcPr>
          <w:p w:rsidR="00D624B1" w:rsidRPr="00690BB0" w:rsidRDefault="00D624B1" w:rsidP="003F2A5D">
            <w:pPr>
              <w:pStyle w:val="Normal6a"/>
              <w:widowControl/>
            </w:pPr>
            <w:r w:rsidRPr="00690BB0">
              <w:rPr>
                <w:b/>
                <w:i/>
              </w:rPr>
              <w:t xml:space="preserve">(d) </w:t>
            </w:r>
            <w:r w:rsidRPr="00690BB0">
              <w:tab/>
            </w:r>
            <w:r w:rsidRPr="00690BB0">
              <w:rPr>
                <w:b/>
                <w:i/>
              </w:rPr>
              <w:t>OBM/OBD-system.</w:t>
            </w:r>
          </w:p>
        </w:tc>
      </w:tr>
      <w:tr w:rsidR="00D624B1" w:rsidRPr="00690BB0" w:rsidTr="003F2A5D">
        <w:trPr>
          <w:jc w:val="center"/>
        </w:trPr>
        <w:tc>
          <w:tcPr>
            <w:tcW w:w="4876" w:type="dxa"/>
          </w:tcPr>
          <w:p w:rsidR="00D624B1" w:rsidRPr="00690BB0" w:rsidRDefault="00D624B1" w:rsidP="003F2A5D">
            <w:pPr>
              <w:pStyle w:val="Normal6a"/>
              <w:widowControl/>
            </w:pPr>
          </w:p>
        </w:tc>
        <w:tc>
          <w:tcPr>
            <w:tcW w:w="4876" w:type="dxa"/>
          </w:tcPr>
          <w:p w:rsidR="00D624B1" w:rsidRPr="00690BB0" w:rsidRDefault="00D624B1" w:rsidP="003F2A5D">
            <w:pPr>
              <w:pStyle w:val="Normal6a"/>
              <w:widowControl/>
            </w:pPr>
            <w:r w:rsidRPr="00690BB0">
              <w:rPr>
                <w:b/>
                <w:i/>
              </w:rPr>
              <w:t xml:space="preserve">(da) </w:t>
            </w:r>
            <w:r w:rsidRPr="00690BB0">
              <w:tab/>
            </w:r>
            <w:r w:rsidRPr="00690BB0">
              <w:rPr>
                <w:b/>
                <w:i/>
              </w:rPr>
              <w:t>Förarvarningssystem för överskridande utsläpp.</w:t>
            </w:r>
          </w:p>
        </w:tc>
      </w:tr>
      <w:tr w:rsidR="00D624B1" w:rsidRPr="00690BB0" w:rsidTr="003F2A5D">
        <w:trPr>
          <w:jc w:val="center"/>
        </w:trPr>
        <w:tc>
          <w:tcPr>
            <w:tcW w:w="4876" w:type="dxa"/>
          </w:tcPr>
          <w:p w:rsidR="00D624B1" w:rsidRPr="00690BB0" w:rsidRDefault="00D624B1" w:rsidP="003F2A5D">
            <w:pPr>
              <w:pStyle w:val="Normal6a"/>
              <w:widowControl/>
            </w:pPr>
          </w:p>
        </w:tc>
        <w:tc>
          <w:tcPr>
            <w:tcW w:w="4876" w:type="dxa"/>
          </w:tcPr>
          <w:p w:rsidR="00D624B1" w:rsidRPr="00690BB0" w:rsidRDefault="00D624B1" w:rsidP="003F2A5D">
            <w:pPr>
              <w:pStyle w:val="Normal6a"/>
              <w:widowControl/>
            </w:pPr>
            <w:r w:rsidRPr="00690BB0">
              <w:rPr>
                <w:b/>
                <w:i/>
              </w:rPr>
              <w:t xml:space="preserve">(db) </w:t>
            </w:r>
            <w:r w:rsidRPr="00690BB0">
              <w:tab/>
            </w:r>
            <w:r w:rsidRPr="00690BB0">
              <w:rPr>
                <w:b/>
                <w:i/>
              </w:rPr>
              <w:t>Förarvarningssystem för låg reagensnivå.</w:t>
            </w:r>
          </w:p>
        </w:tc>
      </w:tr>
      <w:tr w:rsidR="00D624B1" w:rsidRPr="00690BB0" w:rsidTr="003F2A5D">
        <w:trPr>
          <w:jc w:val="center"/>
        </w:trPr>
        <w:tc>
          <w:tcPr>
            <w:tcW w:w="4876" w:type="dxa"/>
          </w:tcPr>
          <w:p w:rsidR="00D624B1" w:rsidRPr="00690BB0" w:rsidRDefault="00D624B1" w:rsidP="003F2A5D">
            <w:pPr>
              <w:pStyle w:val="Normal6a"/>
              <w:widowControl/>
            </w:pPr>
          </w:p>
        </w:tc>
        <w:tc>
          <w:tcPr>
            <w:tcW w:w="4876" w:type="dxa"/>
          </w:tcPr>
          <w:p w:rsidR="00D624B1" w:rsidRPr="00690BB0" w:rsidRDefault="00D624B1" w:rsidP="003F2A5D">
            <w:pPr>
              <w:pStyle w:val="Normal6a"/>
              <w:widowControl/>
            </w:pPr>
            <w:r w:rsidRPr="00690BB0">
              <w:rPr>
                <w:b/>
                <w:i/>
              </w:rPr>
              <w:t xml:space="preserve">(e) </w:t>
            </w:r>
            <w:r w:rsidRPr="00690BB0">
              <w:tab/>
            </w:r>
            <w:r w:rsidRPr="00690BB0">
              <w:rPr>
                <w:b/>
                <w:i/>
              </w:rPr>
              <w:t>Skydd mot manipulering, med hänsyn till eftermarknadskrav och överlämnande till oberoende aktörer av all information samt alla verktyg och processer som krävs för utveckling och installation av ersättningsdelar, samt säkerhetssystem och cybersäkerhetssystem.</w:t>
            </w:r>
          </w:p>
        </w:tc>
      </w:tr>
      <w:tr w:rsidR="00D624B1" w:rsidRPr="00690BB0" w:rsidTr="003F2A5D">
        <w:trPr>
          <w:jc w:val="center"/>
        </w:trPr>
        <w:tc>
          <w:tcPr>
            <w:tcW w:w="4876" w:type="dxa"/>
          </w:tcPr>
          <w:p w:rsidR="00D624B1" w:rsidRPr="00690BB0" w:rsidRDefault="00D624B1" w:rsidP="003F2A5D">
            <w:pPr>
              <w:pStyle w:val="Normal6a"/>
              <w:widowControl/>
            </w:pPr>
          </w:p>
        </w:tc>
        <w:tc>
          <w:tcPr>
            <w:tcW w:w="4876" w:type="dxa"/>
          </w:tcPr>
          <w:p w:rsidR="00D624B1" w:rsidRPr="00690BB0" w:rsidRDefault="00D624B1" w:rsidP="003F2A5D">
            <w:pPr>
              <w:pStyle w:val="Normal6a"/>
              <w:widowControl/>
            </w:pPr>
            <w:r w:rsidRPr="00690BB0">
              <w:rPr>
                <w:b/>
                <w:i/>
              </w:rPr>
              <w:t xml:space="preserve">(f) </w:t>
            </w:r>
            <w:r w:rsidRPr="00690BB0">
              <w:tab/>
            </w:r>
            <w:r w:rsidRPr="00690BB0">
              <w:rPr>
                <w:b/>
                <w:i/>
              </w:rPr>
              <w:t>Typ av ersättande utsläppsbegränsande system och deras komponenter.</w:t>
            </w:r>
          </w:p>
        </w:tc>
      </w:tr>
      <w:tr w:rsidR="00D624B1" w:rsidRPr="00690BB0" w:rsidTr="003F2A5D">
        <w:trPr>
          <w:jc w:val="center"/>
        </w:trPr>
        <w:tc>
          <w:tcPr>
            <w:tcW w:w="4876" w:type="dxa"/>
          </w:tcPr>
          <w:p w:rsidR="00D624B1" w:rsidRPr="00690BB0" w:rsidRDefault="00D624B1" w:rsidP="003F2A5D">
            <w:pPr>
              <w:pStyle w:val="Normal6a"/>
              <w:widowControl/>
            </w:pPr>
          </w:p>
        </w:tc>
        <w:tc>
          <w:tcPr>
            <w:tcW w:w="4876" w:type="dxa"/>
          </w:tcPr>
          <w:p w:rsidR="00D624B1" w:rsidRPr="00690BB0" w:rsidRDefault="00D624B1" w:rsidP="003F2A5D">
            <w:pPr>
              <w:pStyle w:val="Normal6a"/>
              <w:widowControl/>
            </w:pPr>
            <w:r w:rsidRPr="00690BB0">
              <w:rPr>
                <w:b/>
                <w:i/>
              </w:rPr>
              <w:t xml:space="preserve">(g) </w:t>
            </w:r>
            <w:r w:rsidRPr="00690BB0">
              <w:tab/>
            </w:r>
            <w:r w:rsidRPr="00690BB0">
              <w:rPr>
                <w:b/>
                <w:i/>
              </w:rPr>
              <w:t>Bromssystemtyper och deras ersättningsdelar.</w:t>
            </w:r>
          </w:p>
        </w:tc>
      </w:tr>
      <w:tr w:rsidR="00D624B1" w:rsidRPr="00690BB0" w:rsidTr="003F2A5D">
        <w:trPr>
          <w:jc w:val="center"/>
        </w:trPr>
        <w:tc>
          <w:tcPr>
            <w:tcW w:w="4876" w:type="dxa"/>
          </w:tcPr>
          <w:p w:rsidR="00D624B1" w:rsidRPr="00690BB0" w:rsidRDefault="00D624B1" w:rsidP="003F2A5D">
            <w:pPr>
              <w:pStyle w:val="Normal6a"/>
              <w:widowControl/>
            </w:pPr>
          </w:p>
        </w:tc>
        <w:tc>
          <w:tcPr>
            <w:tcW w:w="4876" w:type="dxa"/>
          </w:tcPr>
          <w:p w:rsidR="00D624B1" w:rsidRPr="00690BB0" w:rsidRDefault="00D624B1" w:rsidP="003F2A5D">
            <w:pPr>
              <w:pStyle w:val="Normal6a"/>
              <w:widowControl/>
            </w:pPr>
            <w:r w:rsidRPr="00690BB0">
              <w:rPr>
                <w:b/>
                <w:i/>
              </w:rPr>
              <w:t xml:space="preserve">(ga) </w:t>
            </w:r>
            <w:r w:rsidRPr="00690BB0">
              <w:tab/>
            </w:r>
            <w:r w:rsidRPr="00690BB0">
              <w:rPr>
                <w:b/>
                <w:i/>
              </w:rPr>
              <w:t>Bromssystemtyper och deras ersättningsdelar som ska eftermonteras i fordon som redan släppts ut på marknaden för att avsevärt minska bromsutsläppen.</w:t>
            </w:r>
          </w:p>
        </w:tc>
      </w:tr>
      <w:tr w:rsidR="00D624B1" w:rsidRPr="00690BB0" w:rsidTr="003F2A5D">
        <w:trPr>
          <w:jc w:val="center"/>
        </w:trPr>
        <w:tc>
          <w:tcPr>
            <w:tcW w:w="4876" w:type="dxa"/>
          </w:tcPr>
          <w:p w:rsidR="00D624B1" w:rsidRPr="00690BB0" w:rsidRDefault="00D624B1" w:rsidP="003F2A5D">
            <w:pPr>
              <w:pStyle w:val="Normal6a"/>
              <w:widowControl/>
            </w:pPr>
          </w:p>
        </w:tc>
        <w:tc>
          <w:tcPr>
            <w:tcW w:w="4876" w:type="dxa"/>
          </w:tcPr>
          <w:p w:rsidR="00D624B1" w:rsidRPr="00690BB0" w:rsidRDefault="00D624B1" w:rsidP="003F2A5D">
            <w:pPr>
              <w:pStyle w:val="Normal6a"/>
              <w:widowControl/>
            </w:pPr>
            <w:r w:rsidRPr="00690BB0">
              <w:rPr>
                <w:b/>
                <w:i/>
              </w:rPr>
              <w:t xml:space="preserve">(h) </w:t>
            </w:r>
            <w:r w:rsidRPr="00690BB0">
              <w:tab/>
            </w:r>
            <w:r w:rsidRPr="00690BB0">
              <w:rPr>
                <w:b/>
                <w:i/>
              </w:rPr>
              <w:t>Däcktyper med avseende på däckslitage.</w:t>
            </w:r>
          </w:p>
        </w:tc>
      </w:tr>
      <w:tr w:rsidR="00D624B1" w:rsidRPr="00690BB0" w:rsidTr="003F2A5D">
        <w:trPr>
          <w:jc w:val="center"/>
        </w:trPr>
        <w:tc>
          <w:tcPr>
            <w:tcW w:w="4876" w:type="dxa"/>
          </w:tcPr>
          <w:p w:rsidR="00D624B1" w:rsidRPr="00690BB0" w:rsidRDefault="00D624B1" w:rsidP="003F2A5D">
            <w:pPr>
              <w:pStyle w:val="Normal6a"/>
              <w:widowControl/>
            </w:pPr>
          </w:p>
        </w:tc>
        <w:tc>
          <w:tcPr>
            <w:tcW w:w="4876" w:type="dxa"/>
          </w:tcPr>
          <w:p w:rsidR="00D624B1" w:rsidRPr="00690BB0" w:rsidRDefault="00D624B1" w:rsidP="003F2A5D">
            <w:pPr>
              <w:pStyle w:val="Normal6a"/>
              <w:widowControl/>
            </w:pPr>
            <w:r w:rsidRPr="00690BB0">
              <w:rPr>
                <w:b/>
                <w:i/>
              </w:rPr>
              <w:t xml:space="preserve">(i) </w:t>
            </w:r>
            <w:r w:rsidRPr="00690BB0">
              <w:tab/>
            </w:r>
            <w:r w:rsidRPr="00690BB0">
              <w:rPr>
                <w:b/>
                <w:i/>
              </w:rPr>
              <w:t>Fordonstyper av kategorierna M</w:t>
            </w:r>
            <w:r w:rsidRPr="00690BB0">
              <w:rPr>
                <w:b/>
                <w:i/>
                <w:vertAlign w:val="subscript"/>
              </w:rPr>
              <w:t>1</w:t>
            </w:r>
            <w:r w:rsidRPr="00690BB0">
              <w:rPr>
                <w:b/>
                <w:i/>
              </w:rPr>
              <w:t xml:space="preserve"> och N</w:t>
            </w:r>
            <w:r w:rsidRPr="00690BB0">
              <w:rPr>
                <w:b/>
                <w:i/>
                <w:vertAlign w:val="subscript"/>
              </w:rPr>
              <w:t>1</w:t>
            </w:r>
            <w:r w:rsidRPr="00690BB0">
              <w:rPr>
                <w:b/>
                <w:i/>
              </w:rPr>
              <w:t>.</w:t>
            </w:r>
          </w:p>
        </w:tc>
      </w:tr>
      <w:tr w:rsidR="00D624B1" w:rsidRPr="00690BB0" w:rsidTr="003F2A5D">
        <w:trPr>
          <w:jc w:val="center"/>
        </w:trPr>
        <w:tc>
          <w:tcPr>
            <w:tcW w:w="4876" w:type="dxa"/>
          </w:tcPr>
          <w:p w:rsidR="00D624B1" w:rsidRPr="00690BB0" w:rsidRDefault="00D624B1" w:rsidP="003F2A5D">
            <w:pPr>
              <w:pStyle w:val="Normal6a"/>
              <w:widowControl/>
            </w:pPr>
          </w:p>
        </w:tc>
        <w:tc>
          <w:tcPr>
            <w:tcW w:w="4876" w:type="dxa"/>
          </w:tcPr>
          <w:p w:rsidR="00D624B1" w:rsidRPr="00690BB0" w:rsidRDefault="00D624B1" w:rsidP="003F2A5D">
            <w:pPr>
              <w:pStyle w:val="Normal6a"/>
              <w:widowControl/>
            </w:pPr>
            <w:r w:rsidRPr="00690BB0">
              <w:rPr>
                <w:b/>
                <w:i/>
              </w:rPr>
              <w:t xml:space="preserve">(j) </w:t>
            </w:r>
            <w:r w:rsidRPr="00690BB0">
              <w:tab/>
            </w:r>
            <w:r w:rsidRPr="00690BB0">
              <w:rPr>
                <w:b/>
                <w:i/>
              </w:rPr>
              <w:t>Bestämning av koldioxidutsläpp, bränsle- och energiförbrukning, räckvidd vid eldrift och motoreffekt för fordon av kategorierna M</w:t>
            </w:r>
            <w:r w:rsidRPr="00690BB0">
              <w:rPr>
                <w:b/>
                <w:i/>
                <w:vertAlign w:val="subscript"/>
              </w:rPr>
              <w:t>1</w:t>
            </w:r>
            <w:r w:rsidRPr="00690BB0">
              <w:rPr>
                <w:b/>
                <w:i/>
              </w:rPr>
              <w:t xml:space="preserve"> och N</w:t>
            </w:r>
            <w:r w:rsidRPr="00690BB0">
              <w:rPr>
                <w:b/>
                <w:i/>
                <w:vertAlign w:val="subscript"/>
              </w:rPr>
              <w:t>1</w:t>
            </w:r>
            <w:r w:rsidRPr="00690BB0">
              <w:rPr>
                <w:b/>
                <w:i/>
              </w:rPr>
              <w:t xml:space="preserve"> samt bestämmelser för OBFCM-system.</w:t>
            </w:r>
          </w:p>
        </w:tc>
      </w:tr>
      <w:tr w:rsidR="00D624B1" w:rsidRPr="00690BB0" w:rsidTr="003F2A5D">
        <w:trPr>
          <w:jc w:val="center"/>
        </w:trPr>
        <w:tc>
          <w:tcPr>
            <w:tcW w:w="4876" w:type="dxa"/>
          </w:tcPr>
          <w:p w:rsidR="00D624B1" w:rsidRPr="00690BB0" w:rsidRDefault="00D624B1" w:rsidP="003F2A5D">
            <w:pPr>
              <w:pStyle w:val="Normal6a"/>
              <w:widowControl/>
            </w:pPr>
          </w:p>
        </w:tc>
        <w:tc>
          <w:tcPr>
            <w:tcW w:w="4876" w:type="dxa"/>
          </w:tcPr>
          <w:p w:rsidR="00D624B1" w:rsidRPr="00690BB0" w:rsidRDefault="00D624B1" w:rsidP="003F2A5D">
            <w:pPr>
              <w:pStyle w:val="Normal6a"/>
              <w:widowControl/>
            </w:pPr>
            <w:r w:rsidRPr="00690BB0">
              <w:rPr>
                <w:b/>
                <w:i/>
              </w:rPr>
              <w:t xml:space="preserve">(k) </w:t>
            </w:r>
            <w:r w:rsidRPr="00690BB0">
              <w:tab/>
            </w:r>
            <w:r w:rsidRPr="00690BB0">
              <w:rPr>
                <w:b/>
                <w:i/>
              </w:rPr>
              <w:t xml:space="preserve">Bestämning av koldioxidutsläpp, bränsle- och energiförbrukning, utsläppsfri räckvidd, räckvidd vid eldrift och motoreffekt för fordon av </w:t>
            </w:r>
            <w:r w:rsidRPr="00690BB0">
              <w:rPr>
                <w:b/>
                <w:i/>
              </w:rPr>
              <w:lastRenderedPageBreak/>
              <w:t>kategorierna M</w:t>
            </w:r>
            <w:r w:rsidRPr="00690BB0">
              <w:rPr>
                <w:b/>
                <w:i/>
                <w:vertAlign w:val="subscript"/>
              </w:rPr>
              <w:t>2</w:t>
            </w:r>
            <w:r w:rsidRPr="00690BB0">
              <w:rPr>
                <w:b/>
                <w:i/>
              </w:rPr>
              <w:t>, M</w:t>
            </w:r>
            <w:r w:rsidRPr="00690BB0">
              <w:rPr>
                <w:b/>
                <w:i/>
                <w:vertAlign w:val="subscript"/>
              </w:rPr>
              <w:t>3</w:t>
            </w:r>
            <w:r w:rsidRPr="00690BB0">
              <w:rPr>
                <w:b/>
                <w:i/>
              </w:rPr>
              <w:t>, N</w:t>
            </w:r>
            <w:r w:rsidRPr="00690BB0">
              <w:rPr>
                <w:b/>
                <w:i/>
                <w:vertAlign w:val="subscript"/>
              </w:rPr>
              <w:t>2</w:t>
            </w:r>
            <w:r w:rsidRPr="00690BB0">
              <w:rPr>
                <w:b/>
                <w:i/>
              </w:rPr>
              <w:t xml:space="preserve"> och N</w:t>
            </w:r>
            <w:r w:rsidRPr="00690BB0">
              <w:rPr>
                <w:b/>
                <w:i/>
                <w:vertAlign w:val="subscript"/>
              </w:rPr>
              <w:t>3</w:t>
            </w:r>
            <w:r w:rsidRPr="00690BB0">
              <w:rPr>
                <w:b/>
                <w:i/>
              </w:rPr>
              <w:t>, energieffektivitet för släpfordon av kategorierna O</w:t>
            </w:r>
            <w:r w:rsidRPr="00690BB0">
              <w:rPr>
                <w:b/>
                <w:i/>
                <w:vertAlign w:val="subscript"/>
              </w:rPr>
              <w:t>3</w:t>
            </w:r>
            <w:r w:rsidRPr="00690BB0">
              <w:rPr>
                <w:b/>
                <w:i/>
              </w:rPr>
              <w:t xml:space="preserve"> och O</w:t>
            </w:r>
            <w:r w:rsidRPr="00690BB0">
              <w:rPr>
                <w:b/>
                <w:i/>
                <w:vertAlign w:val="subscript"/>
              </w:rPr>
              <w:t>4</w:t>
            </w:r>
            <w:r w:rsidRPr="00690BB0">
              <w:rPr>
                <w:b/>
                <w:i/>
              </w:rPr>
              <w:t xml:space="preserve"> samt bestämmelser för OBFCM-system.</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121</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14 – punkt 4 – stycke 1 – inledningen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 xml:space="preserve">Kommissionen ska ges befogenhet att anta </w:t>
            </w:r>
            <w:r w:rsidRPr="00690BB0">
              <w:rPr>
                <w:b/>
                <w:i/>
              </w:rPr>
              <w:t>genomförandeakter</w:t>
            </w:r>
            <w:r w:rsidRPr="00690BB0">
              <w:t xml:space="preserve"> för alla faser av typgodkännandet avseende utsläpp, inklusive överensstämmelse hos fordon i drift, produktionsöverensstämmelse och marknadskontroll, för att fastställa följande:</w:t>
            </w:r>
          </w:p>
        </w:tc>
        <w:tc>
          <w:tcPr>
            <w:tcW w:w="4876" w:type="dxa"/>
          </w:tcPr>
          <w:p w:rsidR="00D624B1" w:rsidRPr="00690BB0" w:rsidRDefault="00D624B1" w:rsidP="003F2A5D">
            <w:pPr>
              <w:pStyle w:val="Normal6a"/>
              <w:widowControl/>
            </w:pPr>
            <w:r w:rsidRPr="00690BB0">
              <w:t xml:space="preserve">Kommissionen ska ges befogenhet att anta </w:t>
            </w:r>
            <w:r w:rsidRPr="00690BB0">
              <w:rPr>
                <w:b/>
                <w:i/>
              </w:rPr>
              <w:t>delegerade akter</w:t>
            </w:r>
            <w:r w:rsidRPr="00690BB0">
              <w:t xml:space="preserve"> för alla faser av typgodkännandet avseende utsläpp, inklusive överensstämmelse hos fordon i drift, produktionsöverensstämmelse och marknadskontroll, för att fastställa följande:</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122</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14 – punkt 4 – stycke 1 – led ba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p>
        </w:tc>
        <w:tc>
          <w:tcPr>
            <w:tcW w:w="4876" w:type="dxa"/>
          </w:tcPr>
          <w:p w:rsidR="00D624B1" w:rsidRPr="00690BB0" w:rsidRDefault="00D624B1" w:rsidP="003F2A5D">
            <w:pPr>
              <w:pStyle w:val="Normal6a"/>
              <w:widowControl/>
            </w:pPr>
            <w:r w:rsidRPr="00690BB0">
              <w:rPr>
                <w:b/>
                <w:i/>
              </w:rPr>
              <w:t>(ba)</w:t>
            </w:r>
            <w:r w:rsidRPr="00690BB0">
              <w:tab/>
            </w:r>
            <w:r w:rsidRPr="00690BB0">
              <w:rPr>
                <w:b/>
                <w:i/>
              </w:rPr>
              <w:t>Metoder för typgodkännande av tillämplig hybridteknik i fordon av kategorierna M</w:t>
            </w:r>
            <w:r w:rsidRPr="00690BB0">
              <w:rPr>
                <w:b/>
                <w:i/>
                <w:vertAlign w:val="subscript"/>
              </w:rPr>
              <w:t>2</w:t>
            </w:r>
            <w:r w:rsidRPr="00690BB0">
              <w:rPr>
                <w:b/>
                <w:i/>
              </w:rPr>
              <w:t>, M</w:t>
            </w:r>
            <w:r w:rsidRPr="00690BB0">
              <w:rPr>
                <w:b/>
                <w:i/>
                <w:vertAlign w:val="subscript"/>
              </w:rPr>
              <w:t>3</w:t>
            </w:r>
            <w:r w:rsidRPr="00690BB0">
              <w:rPr>
                <w:b/>
                <w:i/>
              </w:rPr>
              <w:t>, N</w:t>
            </w:r>
            <w:r w:rsidRPr="00690BB0">
              <w:rPr>
                <w:b/>
                <w:i/>
                <w:vertAlign w:val="subscript"/>
              </w:rPr>
              <w:t>2</w:t>
            </w:r>
            <w:r w:rsidRPr="00690BB0">
              <w:rPr>
                <w:b/>
                <w:i/>
              </w:rPr>
              <w:t xml:space="preserve"> och N</w:t>
            </w:r>
            <w:r w:rsidRPr="00690BB0">
              <w:rPr>
                <w:b/>
                <w:i/>
                <w:vertAlign w:val="subscript"/>
              </w:rPr>
              <w:t>3</w:t>
            </w:r>
            <w:r w:rsidRPr="00690BB0">
              <w:rPr>
                <w:b/>
                <w:i/>
              </w:rPr>
              <w:t>.</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123</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14 – punkt 4 – stycke 1 – led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(g)</w:t>
            </w:r>
            <w:r w:rsidRPr="00690BB0">
              <w:tab/>
              <w:t xml:space="preserve">Metoder för att mäta bromspartikelutsläpp, inklusive metoder för </w:t>
            </w:r>
            <w:r w:rsidRPr="00690BB0">
              <w:rPr>
                <w:b/>
                <w:i/>
              </w:rPr>
              <w:t>tunga fordon</w:t>
            </w:r>
            <w:r w:rsidRPr="00690BB0">
              <w:t>, bromspartikelutsläpp vid verklig körning och regenerativ bromsning.</w:t>
            </w:r>
          </w:p>
        </w:tc>
        <w:tc>
          <w:tcPr>
            <w:tcW w:w="4876" w:type="dxa"/>
          </w:tcPr>
          <w:p w:rsidR="00D624B1" w:rsidRPr="00690BB0" w:rsidRDefault="00D624B1" w:rsidP="003F2A5D">
            <w:pPr>
              <w:pStyle w:val="Normal6a"/>
              <w:widowControl/>
            </w:pPr>
            <w:r w:rsidRPr="00690BB0">
              <w:t>(g)</w:t>
            </w:r>
            <w:r w:rsidRPr="00690BB0">
              <w:tab/>
              <w:t xml:space="preserve">Metoder för att mäta bromspartikelutsläpp, inklusive metoder för </w:t>
            </w:r>
            <w:r w:rsidRPr="00690BB0">
              <w:rPr>
                <w:b/>
                <w:i/>
              </w:rPr>
              <w:t>fordon av kategorierna M</w:t>
            </w:r>
            <w:r w:rsidRPr="00690BB0">
              <w:rPr>
                <w:b/>
                <w:i/>
                <w:vertAlign w:val="subscript"/>
              </w:rPr>
              <w:t>2</w:t>
            </w:r>
            <w:r w:rsidRPr="00690BB0">
              <w:rPr>
                <w:b/>
                <w:i/>
              </w:rPr>
              <w:t>, M</w:t>
            </w:r>
            <w:r w:rsidRPr="00690BB0">
              <w:rPr>
                <w:b/>
                <w:i/>
                <w:vertAlign w:val="subscript"/>
              </w:rPr>
              <w:t>3</w:t>
            </w:r>
            <w:r w:rsidRPr="00690BB0">
              <w:rPr>
                <w:b/>
                <w:i/>
              </w:rPr>
              <w:t>, N</w:t>
            </w:r>
            <w:r w:rsidRPr="00690BB0">
              <w:rPr>
                <w:b/>
                <w:i/>
                <w:vertAlign w:val="subscript"/>
              </w:rPr>
              <w:t>2</w:t>
            </w:r>
            <w:r w:rsidRPr="00690BB0">
              <w:rPr>
                <w:b/>
                <w:i/>
              </w:rPr>
              <w:t xml:space="preserve"> och N</w:t>
            </w:r>
            <w:r w:rsidRPr="00690BB0">
              <w:rPr>
                <w:b/>
                <w:i/>
                <w:vertAlign w:val="subscript"/>
              </w:rPr>
              <w:t>3</w:t>
            </w:r>
            <w:r w:rsidRPr="00690BB0">
              <w:t>, bromspartikelutsläpp vid verklig körning och regenerativ bromsning.</w:t>
            </w:r>
          </w:p>
        </w:tc>
      </w:tr>
    </w:tbl>
    <w:p w:rsidR="00D624B1" w:rsidRPr="00690BB0" w:rsidRDefault="00D624B1" w:rsidP="00D624B1">
      <w:pPr>
        <w:widowControl/>
      </w:pPr>
    </w:p>
    <w:p w:rsidR="00D624B1" w:rsidRPr="00690BB0" w:rsidRDefault="007B7831" w:rsidP="00D624B1">
      <w:pPr>
        <w:pStyle w:val="AmNumberTabs"/>
        <w:widowControl/>
      </w:pPr>
      <w:r w:rsidRPr="00690BB0">
        <w:lastRenderedPageBreak/>
        <w:t>Ändring</w:t>
      </w:r>
      <w:r w:rsidR="00D624B1" w:rsidRPr="00690BB0">
        <w:tab/>
      </w:r>
      <w:r w:rsidR="00D624B1" w:rsidRPr="00690BB0">
        <w:tab/>
        <w:t>124</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14 – punkt 4 – stycke 1 – led 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(j)</w:t>
            </w:r>
            <w:r w:rsidRPr="00690BB0">
              <w:tab/>
              <w:t>OBFCM-system, OBD-system och OBM-system, inklusive tröskelvärden för överensstämmelse, prestandakrav och provningar, metoder för att säkerställa givarnas prestanda och överföring av data som registreras av dessa system via luften.</w:t>
            </w:r>
          </w:p>
        </w:tc>
        <w:tc>
          <w:tcPr>
            <w:tcW w:w="4876" w:type="dxa"/>
          </w:tcPr>
          <w:p w:rsidR="00D624B1" w:rsidRPr="00690BB0" w:rsidRDefault="00D624B1" w:rsidP="003F2A5D">
            <w:pPr>
              <w:pStyle w:val="Normal6a"/>
              <w:widowControl/>
            </w:pPr>
            <w:r w:rsidRPr="00690BB0">
              <w:t>(j)</w:t>
            </w:r>
            <w:r w:rsidRPr="00690BB0">
              <w:tab/>
            </w:r>
            <w:r w:rsidRPr="00690BB0">
              <w:rPr>
                <w:b/>
                <w:i/>
              </w:rPr>
              <w:t>Egenskaper och prestanda hos</w:t>
            </w:r>
            <w:r w:rsidRPr="00690BB0">
              <w:t xml:space="preserve"> OBFCM-system, OBD-system och OBM-system, inklusive tröskelvärden för överensstämmelse, prestandakrav och provningar, metoder för att säkerställa givarnas prestanda och överföring av data som registreras av dessa system via luften.</w:t>
            </w:r>
          </w:p>
        </w:tc>
      </w:tr>
    </w:tbl>
    <w:p w:rsidR="00D624B1" w:rsidRPr="00690BB0" w:rsidRDefault="00D624B1" w:rsidP="00D624B1">
      <w:pPr>
        <w:widowControl/>
      </w:pPr>
    </w:p>
    <w:p w:rsidR="00D624B1" w:rsidRPr="00690BB0" w:rsidRDefault="007B7831" w:rsidP="00D624B1">
      <w:pPr>
        <w:pStyle w:val="AmNumberTabs"/>
        <w:keepNext/>
        <w:keepLines/>
        <w:widowControl/>
      </w:pPr>
      <w:r w:rsidRPr="00690BB0">
        <w:t>Ändring</w:t>
      </w:r>
      <w:r w:rsidR="00D624B1" w:rsidRPr="00690BB0">
        <w:tab/>
      </w:r>
      <w:r w:rsidR="00D624B1" w:rsidRPr="00690BB0">
        <w:tab/>
        <w:t>125</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14 – punkt 4 – stycke 1 – led 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(l)</w:t>
            </w:r>
            <w:r w:rsidRPr="00690BB0">
              <w:tab/>
              <w:t>Metoder för att bedöma korrekt funktion, effektivitet, regenerering och hållbarhet hos ursprungliga och ersättande utsläppsbegränsande system.</w:t>
            </w:r>
          </w:p>
        </w:tc>
        <w:tc>
          <w:tcPr>
            <w:tcW w:w="4876" w:type="dxa"/>
          </w:tcPr>
          <w:p w:rsidR="00D624B1" w:rsidRPr="00690BB0" w:rsidRDefault="00D624B1" w:rsidP="003F2A5D">
            <w:pPr>
              <w:pStyle w:val="Normal6a"/>
              <w:widowControl/>
            </w:pPr>
            <w:r w:rsidRPr="00690BB0">
              <w:t>(l)</w:t>
            </w:r>
            <w:r w:rsidRPr="00690BB0">
              <w:tab/>
              <w:t xml:space="preserve">Metoder </w:t>
            </w:r>
            <w:r w:rsidRPr="00690BB0">
              <w:rPr>
                <w:b/>
                <w:i/>
              </w:rPr>
              <w:t xml:space="preserve">och krav </w:t>
            </w:r>
            <w:r w:rsidRPr="00690BB0">
              <w:t>för att bedöma korrekt funktion, effektivitet, regenerering och hållbarhet hos ursprungliga och ersättande utsläppsbegränsande system</w:t>
            </w:r>
            <w:r w:rsidRPr="00690BB0">
              <w:rPr>
                <w:b/>
                <w:i/>
              </w:rPr>
              <w:t xml:space="preserve"> och reagensernas kvalitet</w:t>
            </w:r>
            <w:r w:rsidRPr="00690BB0">
              <w:t>.</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126</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14 – punkt 4 – stycke 1 – led 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(o)</w:t>
            </w:r>
            <w:r w:rsidRPr="00690BB0">
              <w:tab/>
              <w:t xml:space="preserve">Metoder för att bedöma om fordonstyper </w:t>
            </w:r>
            <w:r w:rsidRPr="00690BB0">
              <w:rPr>
                <w:b/>
                <w:i/>
              </w:rPr>
              <w:t xml:space="preserve">som godkänts enligt beteckningarna i artikel 5 </w:t>
            </w:r>
            <w:r w:rsidRPr="00690BB0">
              <w:t>fungerar korrekt.</w:t>
            </w:r>
          </w:p>
        </w:tc>
        <w:tc>
          <w:tcPr>
            <w:tcW w:w="4876" w:type="dxa"/>
          </w:tcPr>
          <w:p w:rsidR="00D624B1" w:rsidRPr="00690BB0" w:rsidRDefault="00D624B1" w:rsidP="003F2A5D">
            <w:pPr>
              <w:pStyle w:val="Normal6a"/>
              <w:widowControl/>
            </w:pPr>
            <w:r w:rsidRPr="00690BB0">
              <w:t>(o)</w:t>
            </w:r>
            <w:r w:rsidRPr="00690BB0">
              <w:tab/>
              <w:t>Metoder för att bedöma om fordonstyper fungerar korrekt.</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127</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14 – punkt 4 – stycke 1 – led p</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(p)</w:t>
            </w:r>
            <w:r w:rsidRPr="00690BB0">
              <w:tab/>
              <w:t xml:space="preserve">Kontroller av efterlevnaden av </w:t>
            </w:r>
            <w:r w:rsidRPr="00690BB0">
              <w:rPr>
                <w:b/>
                <w:i/>
              </w:rPr>
              <w:t xml:space="preserve">bestämmelserna i artikel 9.1 och </w:t>
            </w:r>
            <w:r w:rsidRPr="00690BB0">
              <w:t>provningsförfaranden för etappvis färdigbyggda fordon.</w:t>
            </w:r>
          </w:p>
        </w:tc>
        <w:tc>
          <w:tcPr>
            <w:tcW w:w="4876" w:type="dxa"/>
          </w:tcPr>
          <w:p w:rsidR="00D624B1" w:rsidRPr="00690BB0" w:rsidRDefault="00D624B1" w:rsidP="003F2A5D">
            <w:pPr>
              <w:pStyle w:val="Normal6a"/>
              <w:widowControl/>
            </w:pPr>
            <w:r w:rsidRPr="00690BB0">
              <w:t>(p)</w:t>
            </w:r>
            <w:r w:rsidRPr="00690BB0">
              <w:tab/>
              <w:t>Kontroller av efterlevnaden av provningsförfaranden för etappvis färdigbyggda fordon.</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128</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14 – punkt 4 – stycke 1 – led 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(s)</w:t>
            </w:r>
            <w:r w:rsidRPr="00690BB0">
              <w:tab/>
              <w:t>Metoder för att fastställa avsaknaden av manipulationsanordningar och manipulationsstrategier.</w:t>
            </w:r>
          </w:p>
        </w:tc>
        <w:tc>
          <w:tcPr>
            <w:tcW w:w="4876" w:type="dxa"/>
          </w:tcPr>
          <w:p w:rsidR="00D624B1" w:rsidRPr="00690BB0" w:rsidRDefault="00D624B1" w:rsidP="003F2A5D">
            <w:pPr>
              <w:pStyle w:val="Normal6a"/>
              <w:widowControl/>
            </w:pPr>
            <w:r w:rsidRPr="00690BB0">
              <w:t>(s)</w:t>
            </w:r>
            <w:r w:rsidRPr="00690BB0">
              <w:tab/>
              <w:t>Metoder för att fastställa avsaknaden av manipulationsanordningar och manipulationsstrategier</w:t>
            </w:r>
            <w:r w:rsidRPr="00690BB0">
              <w:rPr>
                <w:b/>
                <w:i/>
              </w:rPr>
              <w:t xml:space="preserve"> och överföring till denna förordning av de krav som fastställs i artikel 5.2 i förordning (EG) nr 715/2007 och artikel 5.11 i förordning (EU) 2017/1151 som är tillämpliga på fordon av kategorierna M</w:t>
            </w:r>
            <w:r w:rsidRPr="00690BB0">
              <w:rPr>
                <w:b/>
                <w:i/>
                <w:vertAlign w:val="subscript"/>
              </w:rPr>
              <w:t>1</w:t>
            </w:r>
            <w:r w:rsidRPr="00690BB0">
              <w:rPr>
                <w:b/>
                <w:i/>
              </w:rPr>
              <w:t xml:space="preserve"> och N</w:t>
            </w:r>
            <w:r w:rsidRPr="00690BB0">
              <w:rPr>
                <w:b/>
                <w:i/>
                <w:vertAlign w:val="subscript"/>
              </w:rPr>
              <w:t>1</w:t>
            </w:r>
            <w:r w:rsidRPr="00690BB0">
              <w:rPr>
                <w:b/>
                <w:i/>
              </w:rPr>
              <w:t>, samt i Uneces föreskrift nr 49 revidering 6, bilaga 10, punkt 5.1.2 som är tillämplig på fordon av kategorierna M</w:t>
            </w:r>
            <w:r w:rsidRPr="00690BB0">
              <w:rPr>
                <w:b/>
                <w:i/>
                <w:vertAlign w:val="subscript"/>
              </w:rPr>
              <w:t>2</w:t>
            </w:r>
            <w:r w:rsidRPr="00690BB0">
              <w:rPr>
                <w:b/>
                <w:i/>
              </w:rPr>
              <w:t>, M</w:t>
            </w:r>
            <w:r w:rsidRPr="00690BB0">
              <w:rPr>
                <w:b/>
                <w:i/>
                <w:vertAlign w:val="subscript"/>
              </w:rPr>
              <w:t>3</w:t>
            </w:r>
            <w:r w:rsidRPr="00690BB0">
              <w:rPr>
                <w:b/>
                <w:i/>
              </w:rPr>
              <w:t>, N</w:t>
            </w:r>
            <w:r w:rsidRPr="00690BB0">
              <w:rPr>
                <w:b/>
                <w:i/>
                <w:vertAlign w:val="subscript"/>
              </w:rPr>
              <w:t>2</w:t>
            </w:r>
            <w:r w:rsidRPr="00690BB0">
              <w:rPr>
                <w:b/>
                <w:i/>
              </w:rPr>
              <w:t xml:space="preserve"> och N</w:t>
            </w:r>
            <w:r w:rsidRPr="00690BB0">
              <w:rPr>
                <w:b/>
                <w:i/>
                <w:vertAlign w:val="subscript"/>
              </w:rPr>
              <w:t>3</w:t>
            </w:r>
            <w:r w:rsidRPr="00690BB0">
              <w:t>.</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129</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14 – punkt 4 – stycke 1 – led 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rPr>
                <w:b/>
                <w:i/>
              </w:rPr>
              <w:t>(t)</w:t>
            </w:r>
            <w:r w:rsidRPr="00690BB0">
              <w:tab/>
            </w:r>
            <w:r w:rsidRPr="00690BB0">
              <w:rPr>
                <w:b/>
                <w:i/>
              </w:rPr>
              <w:t>Metoder för att mäta däckslitage.</w:t>
            </w:r>
          </w:p>
        </w:tc>
        <w:tc>
          <w:tcPr>
            <w:tcW w:w="4876" w:type="dxa"/>
          </w:tcPr>
          <w:p w:rsidR="00D624B1" w:rsidRPr="00690BB0" w:rsidRDefault="00D624B1" w:rsidP="003F2A5D">
            <w:pPr>
              <w:pStyle w:val="Normal6a"/>
              <w:widowControl/>
            </w:pPr>
            <w:r w:rsidRPr="00690BB0">
              <w:rPr>
                <w:b/>
                <w:i/>
              </w:rPr>
              <w:t>utgår</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130</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14 – punkt 4 – stycke 1 – led 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lastRenderedPageBreak/>
              <w:t>(v)</w:t>
            </w:r>
            <w:r w:rsidRPr="00690BB0">
              <w:tab/>
              <w:t>Administrativa krav och dokumentation för typgodkännande avseende utsläpp.</w:t>
            </w:r>
          </w:p>
        </w:tc>
        <w:tc>
          <w:tcPr>
            <w:tcW w:w="4876" w:type="dxa"/>
          </w:tcPr>
          <w:p w:rsidR="00D624B1" w:rsidRPr="00690BB0" w:rsidRDefault="00D624B1" w:rsidP="003F2A5D">
            <w:pPr>
              <w:pStyle w:val="Normal6a"/>
              <w:widowControl/>
            </w:pPr>
            <w:r w:rsidRPr="00690BB0">
              <w:t>(v)</w:t>
            </w:r>
            <w:r w:rsidRPr="00690BB0">
              <w:tab/>
              <w:t>Administrativa krav och dokumentation för typgodkännande avseende utsläpp</w:t>
            </w:r>
            <w:r w:rsidRPr="00690BB0">
              <w:rPr>
                <w:b/>
                <w:i/>
              </w:rPr>
              <w:t xml:space="preserve"> och för utförande av provningar, kontroller och inspektioner i syfte att kontrollera efterlevnaden</w:t>
            </w:r>
            <w:r w:rsidRPr="00690BB0">
              <w:t>.</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131</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14 – punkt 4 – stycke 1 – led 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keepNext/>
              <w:keepLines/>
              <w:widowControl/>
            </w:pPr>
            <w:r w:rsidRPr="00690BB0">
              <w:t>Kommissionens förslag</w:t>
            </w:r>
          </w:p>
        </w:tc>
        <w:tc>
          <w:tcPr>
            <w:tcW w:w="4876" w:type="dxa"/>
          </w:tcPr>
          <w:p w:rsidR="00D624B1" w:rsidRPr="00690BB0" w:rsidRDefault="007B7831" w:rsidP="003F2A5D">
            <w:pPr>
              <w:pStyle w:val="AmColumnHeading"/>
              <w:keepNext/>
              <w:keepLines/>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(w)</w:t>
            </w:r>
            <w:r w:rsidRPr="00690BB0">
              <w:tab/>
            </w:r>
            <w:r w:rsidRPr="00690BB0">
              <w:rPr>
                <w:b/>
                <w:i/>
              </w:rPr>
              <w:t>Rapporteringsskyldigheter</w:t>
            </w:r>
            <w:r w:rsidRPr="00690BB0">
              <w:t xml:space="preserve"> när så är lämpligt.</w:t>
            </w:r>
          </w:p>
        </w:tc>
        <w:tc>
          <w:tcPr>
            <w:tcW w:w="4876" w:type="dxa"/>
          </w:tcPr>
          <w:p w:rsidR="00D624B1" w:rsidRPr="00690BB0" w:rsidRDefault="00D624B1" w:rsidP="003F2A5D">
            <w:pPr>
              <w:pStyle w:val="Normal6a"/>
              <w:widowControl/>
            </w:pPr>
            <w:r w:rsidRPr="00690BB0">
              <w:t>(w)</w:t>
            </w:r>
            <w:r w:rsidRPr="00690BB0">
              <w:tab/>
            </w:r>
            <w:r w:rsidRPr="00690BB0">
              <w:rPr>
                <w:b/>
                <w:i/>
              </w:rPr>
              <w:t>Skyldigheter att rapportera format och data</w:t>
            </w:r>
            <w:r w:rsidRPr="00690BB0">
              <w:t xml:space="preserve"> när så är lämpligt.</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132</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14 – punkt 4 – stycke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Dessa genomförandeakter ska antas i enlighet med det granskningsförfarande som avses i artikel 17.2.</w:t>
            </w:r>
          </w:p>
        </w:tc>
        <w:tc>
          <w:tcPr>
            <w:tcW w:w="4876" w:type="dxa"/>
          </w:tcPr>
          <w:p w:rsidR="00D624B1" w:rsidRPr="00690BB0" w:rsidRDefault="00D624B1" w:rsidP="003F2A5D">
            <w:pPr>
              <w:pStyle w:val="Normal6a"/>
              <w:widowControl/>
            </w:pPr>
            <w:r w:rsidRPr="00690BB0">
              <w:rPr>
                <w:b/>
                <w:i/>
              </w:rPr>
              <w:t>5.</w:t>
            </w:r>
            <w:r w:rsidRPr="00690BB0">
              <w:t xml:space="preserve"> </w:t>
            </w:r>
            <w:r w:rsidRPr="00690BB0">
              <w:tab/>
              <w:t>Dessa genomförandeakter ska antas i enlighet med det granskningsförfarande som avses i artikel 17.2.</w:t>
            </w:r>
          </w:p>
        </w:tc>
      </w:tr>
      <w:tr w:rsidR="00D624B1" w:rsidRPr="00690BB0" w:rsidTr="003F2A5D">
        <w:trPr>
          <w:jc w:val="center"/>
        </w:trPr>
        <w:tc>
          <w:tcPr>
            <w:tcW w:w="4876" w:type="dxa"/>
          </w:tcPr>
          <w:p w:rsidR="00D624B1" w:rsidRPr="00690BB0" w:rsidRDefault="00D624B1" w:rsidP="003F2A5D">
            <w:pPr>
              <w:pStyle w:val="Normal6a"/>
              <w:widowControl/>
            </w:pPr>
          </w:p>
        </w:tc>
        <w:tc>
          <w:tcPr>
            <w:tcW w:w="4876" w:type="dxa"/>
          </w:tcPr>
          <w:p w:rsidR="00D624B1" w:rsidRPr="00690BB0" w:rsidRDefault="00D624B1" w:rsidP="003F2A5D">
            <w:pPr>
              <w:pStyle w:val="Normal6a"/>
              <w:widowControl/>
            </w:pPr>
            <w:r w:rsidRPr="00690BB0">
              <w:rPr>
                <w:b/>
                <w:i/>
              </w:rPr>
              <w:t>De genomförandeakter som avses i punkt 3 a–f och i–k och de delegerade akter som avses i punkt 3a a–f och i–k samt punkt 4 a–f och j–w ska antas senast den ... [tolv månader efter ikraftträdandet av denna förordning].</w:t>
            </w:r>
          </w:p>
        </w:tc>
      </w:tr>
      <w:tr w:rsidR="00D624B1" w:rsidRPr="00690BB0" w:rsidTr="003F2A5D">
        <w:trPr>
          <w:jc w:val="center"/>
        </w:trPr>
        <w:tc>
          <w:tcPr>
            <w:tcW w:w="4876" w:type="dxa"/>
          </w:tcPr>
          <w:p w:rsidR="00D624B1" w:rsidRPr="00690BB0" w:rsidRDefault="00D624B1" w:rsidP="003F2A5D">
            <w:pPr>
              <w:pStyle w:val="Normal6a"/>
              <w:widowControl/>
            </w:pPr>
          </w:p>
        </w:tc>
        <w:tc>
          <w:tcPr>
            <w:tcW w:w="4876" w:type="dxa"/>
          </w:tcPr>
          <w:p w:rsidR="00D624B1" w:rsidRPr="00690BB0" w:rsidRDefault="00D624B1" w:rsidP="003F2A5D">
            <w:pPr>
              <w:pStyle w:val="Normal6a"/>
              <w:widowControl/>
            </w:pPr>
            <w:r w:rsidRPr="00690BB0">
              <w:rPr>
                <w:b/>
                <w:i/>
              </w:rPr>
              <w:t>De genomförandeakter som avses i punkt 3 g–h och de delegerade akter som avses i punkt 3a g–h och punkt 4 g–i ska antas utan onödigt dröjsmål efter offentliggörandet av de relevanta enhetliga bestämmelser som antagits av FN:s världsforum för harmonisering av föreskrifter om fordon (WP29).</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133</w:t>
      </w:r>
    </w:p>
    <w:p w:rsidR="00D624B1" w:rsidRPr="00690BB0" w:rsidRDefault="00D624B1" w:rsidP="00D624B1">
      <w:pPr>
        <w:pStyle w:val="NormalBold12b"/>
        <w:widowControl/>
      </w:pPr>
    </w:p>
    <w:p w:rsidR="00D624B1" w:rsidRPr="00690BB0" w:rsidRDefault="00D624B1" w:rsidP="00D624B1">
      <w:pPr>
        <w:pStyle w:val="NormalBold"/>
        <w:widowControl/>
      </w:pPr>
      <w:r w:rsidRPr="00690BB0">
        <w:lastRenderedPageBreak/>
        <w:t>Förslag till förordning</w:t>
      </w:r>
    </w:p>
    <w:p w:rsidR="00D624B1" w:rsidRPr="00690BB0" w:rsidRDefault="00D624B1" w:rsidP="00D624B1">
      <w:pPr>
        <w:pStyle w:val="NormalBold"/>
        <w:widowControl/>
      </w:pPr>
      <w:r w:rsidRPr="00690BB0">
        <w:t>Artikel 15 – punkt 1 – inledningen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1.</w:t>
            </w:r>
            <w:r w:rsidRPr="00690BB0">
              <w:tab/>
              <w:t>Kommissionen ska ges befogenhet att anta delegerade akter i enlighet med artikel 16 för att ta hänsyn till den tekniska utvecklingen för att ändra följande:</w:t>
            </w:r>
          </w:p>
        </w:tc>
        <w:tc>
          <w:tcPr>
            <w:tcW w:w="4876" w:type="dxa"/>
          </w:tcPr>
          <w:p w:rsidR="00D624B1" w:rsidRPr="00690BB0" w:rsidRDefault="00D624B1" w:rsidP="003F2A5D">
            <w:pPr>
              <w:pStyle w:val="Normal6a"/>
              <w:widowControl/>
            </w:pPr>
            <w:r w:rsidRPr="00690BB0">
              <w:t>1.</w:t>
            </w:r>
            <w:r w:rsidRPr="00690BB0">
              <w:tab/>
              <w:t xml:space="preserve">Kommissionen ska ges befogenhet att anta delegerade akter i enlighet med artikel 16 för att ta hänsyn till den tekniska utvecklingen för att ändra </w:t>
            </w:r>
            <w:r w:rsidRPr="00690BB0">
              <w:rPr>
                <w:b/>
                <w:i/>
              </w:rPr>
              <w:t xml:space="preserve">denna förordning enligt </w:t>
            </w:r>
            <w:r w:rsidRPr="00690BB0">
              <w:t>följande:</w:t>
            </w:r>
          </w:p>
        </w:tc>
      </w:tr>
    </w:tbl>
    <w:p w:rsidR="00D624B1" w:rsidRPr="00690BB0" w:rsidRDefault="00D624B1" w:rsidP="00D624B1">
      <w:pPr>
        <w:widowControl/>
      </w:pPr>
    </w:p>
    <w:p w:rsidR="00D624B1" w:rsidRPr="00690BB0" w:rsidRDefault="007B7831" w:rsidP="00D624B1">
      <w:pPr>
        <w:pStyle w:val="AmNumberTabs"/>
        <w:keepNext/>
        <w:keepLines/>
        <w:widowControl/>
      </w:pPr>
      <w:r w:rsidRPr="00690BB0">
        <w:t>Ändring</w:t>
      </w:r>
      <w:r w:rsidR="00D624B1" w:rsidRPr="00690BB0">
        <w:tab/>
      </w:r>
      <w:r w:rsidR="00D624B1" w:rsidRPr="00690BB0">
        <w:tab/>
        <w:t>134</w:t>
      </w:r>
    </w:p>
    <w:p w:rsidR="00D624B1" w:rsidRPr="00690BB0" w:rsidRDefault="00D624B1" w:rsidP="00D624B1">
      <w:pPr>
        <w:pStyle w:val="NormalBold12b"/>
        <w:keepNext/>
        <w:keepLines/>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15 – punkt 1 – led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(a)</w:t>
            </w:r>
            <w:r w:rsidRPr="00690BB0">
              <w:tab/>
              <w:t>Bilaga III, när det gäller provningsvillkoren för fordon av kategorierna M</w:t>
            </w:r>
            <w:r w:rsidRPr="00690BB0">
              <w:rPr>
                <w:vertAlign w:val="subscript"/>
              </w:rPr>
              <w:t>2</w:t>
            </w:r>
            <w:r w:rsidRPr="00690BB0">
              <w:t>, M</w:t>
            </w:r>
            <w:r w:rsidRPr="00690BB0">
              <w:rPr>
                <w:vertAlign w:val="subscript"/>
              </w:rPr>
              <w:t>3</w:t>
            </w:r>
            <w:r w:rsidRPr="00690BB0">
              <w:t>, N</w:t>
            </w:r>
            <w:r w:rsidRPr="00690BB0">
              <w:rPr>
                <w:vertAlign w:val="subscript"/>
              </w:rPr>
              <w:t>2</w:t>
            </w:r>
            <w:r w:rsidRPr="00690BB0">
              <w:t xml:space="preserve"> och N</w:t>
            </w:r>
            <w:r w:rsidRPr="00690BB0">
              <w:rPr>
                <w:vertAlign w:val="subscript"/>
              </w:rPr>
              <w:t>3</w:t>
            </w:r>
            <w:r w:rsidRPr="00690BB0">
              <w:t>, på grundval av uppgifter som samlats in vid provning av Euro 7-fordon.</w:t>
            </w:r>
          </w:p>
        </w:tc>
        <w:tc>
          <w:tcPr>
            <w:tcW w:w="4876" w:type="dxa"/>
          </w:tcPr>
          <w:p w:rsidR="00D624B1" w:rsidRPr="00690BB0" w:rsidRDefault="00D624B1" w:rsidP="003F2A5D">
            <w:pPr>
              <w:pStyle w:val="Normal6a"/>
              <w:widowControl/>
            </w:pPr>
            <w:r w:rsidRPr="00690BB0">
              <w:t>(a)</w:t>
            </w:r>
            <w:r w:rsidRPr="00690BB0">
              <w:tab/>
              <w:t>Bilaga III</w:t>
            </w:r>
            <w:r w:rsidRPr="00690BB0">
              <w:rPr>
                <w:b/>
                <w:i/>
              </w:rPr>
              <w:t xml:space="preserve"> tabell 2</w:t>
            </w:r>
            <w:r w:rsidRPr="00690BB0">
              <w:t>, när det gäller provningsvillkoren för fordon av kategorierna M</w:t>
            </w:r>
            <w:r w:rsidRPr="00690BB0">
              <w:rPr>
                <w:vertAlign w:val="subscript"/>
              </w:rPr>
              <w:t>2</w:t>
            </w:r>
            <w:r w:rsidRPr="00690BB0">
              <w:t>, M</w:t>
            </w:r>
            <w:r w:rsidRPr="00690BB0">
              <w:rPr>
                <w:vertAlign w:val="subscript"/>
              </w:rPr>
              <w:t>3</w:t>
            </w:r>
            <w:r w:rsidRPr="00690BB0">
              <w:t>, N</w:t>
            </w:r>
            <w:r w:rsidRPr="00690BB0">
              <w:rPr>
                <w:vertAlign w:val="subscript"/>
              </w:rPr>
              <w:t>2</w:t>
            </w:r>
            <w:r w:rsidRPr="00690BB0">
              <w:t xml:space="preserve"> och N</w:t>
            </w:r>
            <w:r w:rsidRPr="00690BB0">
              <w:rPr>
                <w:vertAlign w:val="subscript"/>
              </w:rPr>
              <w:t>3</w:t>
            </w:r>
            <w:r w:rsidRPr="00690BB0">
              <w:t>, på grundval av uppgifter som samlats in vid provning av Euro 7-fordon.</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135</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15 – punkt 1 – led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(b)</w:t>
            </w:r>
            <w:r w:rsidRPr="00690BB0">
              <w:tab/>
              <w:t>Bilaga III, när det gäller provningsvillkoren, på grundval av uppgifter som samlats in vid provning av Euro 7-bromsar eller Euro 7-däck.</w:t>
            </w:r>
          </w:p>
        </w:tc>
        <w:tc>
          <w:tcPr>
            <w:tcW w:w="4876" w:type="dxa"/>
          </w:tcPr>
          <w:p w:rsidR="00D624B1" w:rsidRPr="00690BB0" w:rsidRDefault="00D624B1" w:rsidP="003F2A5D">
            <w:pPr>
              <w:pStyle w:val="Normal6a"/>
              <w:widowControl/>
            </w:pPr>
            <w:r w:rsidRPr="00690BB0">
              <w:t>(b)</w:t>
            </w:r>
            <w:r w:rsidRPr="00690BB0">
              <w:tab/>
              <w:t>Bilaga III</w:t>
            </w:r>
            <w:r w:rsidRPr="00690BB0">
              <w:rPr>
                <w:b/>
                <w:i/>
              </w:rPr>
              <w:t xml:space="preserve"> tabellerna 4 och 5</w:t>
            </w:r>
            <w:r w:rsidRPr="00690BB0">
              <w:t>, när det gäller provningsvillkoren, på grundval av uppgifter som samlats in vid provning av Euro 7-bromsar eller Euro 7-däck.</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136</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15 – punkt 1 – led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rPr>
                <w:b/>
                <w:i/>
              </w:rPr>
              <w:lastRenderedPageBreak/>
              <w:t>(d)</w:t>
            </w:r>
            <w:r w:rsidRPr="00690BB0">
              <w:tab/>
            </w:r>
            <w:r w:rsidRPr="00690BB0">
              <w:rPr>
                <w:b/>
                <w:i/>
              </w:rPr>
              <w:t>Artikel 5 genom att införa tillbehör och beteckningar baserade på innovativ teknik för tillverkare.</w:t>
            </w:r>
          </w:p>
        </w:tc>
        <w:tc>
          <w:tcPr>
            <w:tcW w:w="4876" w:type="dxa"/>
          </w:tcPr>
          <w:p w:rsidR="00D624B1" w:rsidRPr="00690BB0" w:rsidRDefault="00D624B1" w:rsidP="003F2A5D">
            <w:pPr>
              <w:pStyle w:val="Normal6a"/>
              <w:widowControl/>
            </w:pPr>
            <w:r w:rsidRPr="00690BB0">
              <w:rPr>
                <w:b/>
                <w:i/>
              </w:rPr>
              <w:t>utgår</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137</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15 – punkt 2 – led ca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keepNext/>
              <w:keepLines/>
              <w:widowControl/>
            </w:pPr>
            <w:r w:rsidRPr="00690BB0">
              <w:t>Kommissionens förslag</w:t>
            </w:r>
          </w:p>
        </w:tc>
        <w:tc>
          <w:tcPr>
            <w:tcW w:w="4876" w:type="dxa"/>
          </w:tcPr>
          <w:p w:rsidR="00D624B1" w:rsidRPr="00690BB0" w:rsidRDefault="007B7831" w:rsidP="003F2A5D">
            <w:pPr>
              <w:pStyle w:val="AmColumnHeading"/>
              <w:keepNext/>
              <w:keepLines/>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p>
        </w:tc>
        <w:tc>
          <w:tcPr>
            <w:tcW w:w="4876" w:type="dxa"/>
          </w:tcPr>
          <w:p w:rsidR="00D624B1" w:rsidRPr="00690BB0" w:rsidRDefault="00D624B1" w:rsidP="003F2A5D">
            <w:pPr>
              <w:pStyle w:val="Normal6a"/>
              <w:widowControl/>
            </w:pPr>
            <w:r w:rsidRPr="00690BB0">
              <w:rPr>
                <w:b/>
                <w:i/>
              </w:rPr>
              <w:t>(ca)</w:t>
            </w:r>
            <w:r w:rsidRPr="00690BB0">
              <w:tab/>
            </w:r>
            <w:r w:rsidRPr="00690BB0">
              <w:rPr>
                <w:b/>
                <w:i/>
              </w:rPr>
              <w:t>om så är lämpligt fastställa nötningsgränser för däcktyper i bilaga I om enhetliga bestämmelser inte har fastställts i FN:s världsforum för harmonisering av föreskrifter om fordon (WP29) före den relevanta tidsfrist som fastställs i artikel 7a,</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138</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15 – punkt 2 – led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(d)</w:t>
            </w:r>
            <w:r w:rsidRPr="00690BB0">
              <w:tab/>
              <w:t>fastställa hållbarhetsmultiplikatorer i bilaga IV på grundval av uppgifter som samlats in vid provning av Euro 7-fordon av kategorierna M</w:t>
            </w:r>
            <w:r w:rsidRPr="00690BB0">
              <w:rPr>
                <w:vertAlign w:val="subscript"/>
              </w:rPr>
              <w:t>3</w:t>
            </w:r>
            <w:r w:rsidRPr="00690BB0">
              <w:t>, N</w:t>
            </w:r>
            <w:r w:rsidRPr="00690BB0">
              <w:rPr>
                <w:vertAlign w:val="subscript"/>
              </w:rPr>
              <w:t>2</w:t>
            </w:r>
            <w:r w:rsidRPr="00690BB0">
              <w:t xml:space="preserve"> och N</w:t>
            </w:r>
            <w:r w:rsidRPr="00690BB0">
              <w:rPr>
                <w:vertAlign w:val="subscript"/>
              </w:rPr>
              <w:t>3</w:t>
            </w:r>
            <w:r w:rsidRPr="00690BB0">
              <w:t xml:space="preserve"> och en rapport om hållbarheten hos tunga fordon som läggs fram för Europaparlamentet och rådet,</w:t>
            </w:r>
          </w:p>
        </w:tc>
        <w:tc>
          <w:tcPr>
            <w:tcW w:w="4876" w:type="dxa"/>
          </w:tcPr>
          <w:p w:rsidR="00D624B1" w:rsidRPr="00690BB0" w:rsidRDefault="00D624B1" w:rsidP="003F2A5D">
            <w:pPr>
              <w:pStyle w:val="Normal6a"/>
              <w:widowControl/>
            </w:pPr>
            <w:r w:rsidRPr="00690BB0">
              <w:t>(d)</w:t>
            </w:r>
            <w:r w:rsidRPr="00690BB0">
              <w:tab/>
              <w:t>fastställa hållbarhetsmultiplikatorer i bilaga IV på grundval av uppgifter som samlats in vid provning av Euro 7-fordon av kategorierna M</w:t>
            </w:r>
            <w:r w:rsidRPr="00690BB0">
              <w:rPr>
                <w:vertAlign w:val="subscript"/>
              </w:rPr>
              <w:t>3</w:t>
            </w:r>
            <w:r w:rsidRPr="00690BB0">
              <w:t>, N</w:t>
            </w:r>
            <w:r w:rsidRPr="00690BB0">
              <w:rPr>
                <w:vertAlign w:val="subscript"/>
              </w:rPr>
              <w:t>2</w:t>
            </w:r>
            <w:r w:rsidRPr="00690BB0">
              <w:t xml:space="preserve"> och N</w:t>
            </w:r>
            <w:r w:rsidRPr="00690BB0">
              <w:rPr>
                <w:vertAlign w:val="subscript"/>
              </w:rPr>
              <w:t>3</w:t>
            </w:r>
            <w:r w:rsidRPr="00690BB0">
              <w:t xml:space="preserve"> och </w:t>
            </w:r>
            <w:r w:rsidRPr="00690BB0">
              <w:rPr>
                <w:b/>
                <w:i/>
              </w:rPr>
              <w:t xml:space="preserve">slutsatserna av </w:t>
            </w:r>
            <w:r w:rsidRPr="00690BB0">
              <w:t>en rapport om</w:t>
            </w:r>
            <w:r w:rsidRPr="00690BB0">
              <w:rPr>
                <w:b/>
                <w:i/>
              </w:rPr>
              <w:t xml:space="preserve"> bedömning av</w:t>
            </w:r>
            <w:r w:rsidRPr="00690BB0">
              <w:t xml:space="preserve"> hållbarheten hos tunga fordon</w:t>
            </w:r>
            <w:r w:rsidRPr="00690BB0">
              <w:rPr>
                <w:b/>
                <w:i/>
              </w:rPr>
              <w:t xml:space="preserve"> med avseende på utsläpp</w:t>
            </w:r>
            <w:r w:rsidRPr="00690BB0">
              <w:t xml:space="preserve"> som läggs fram för Europaparlamentet och rådet,</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139</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15 – punkt 2 – led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(e)</w:t>
            </w:r>
            <w:r w:rsidRPr="00690BB0">
              <w:tab/>
              <w:t xml:space="preserve">fastställa </w:t>
            </w:r>
            <w:r w:rsidRPr="00690BB0">
              <w:rPr>
                <w:b/>
                <w:i/>
              </w:rPr>
              <w:t xml:space="preserve">definitioner och </w:t>
            </w:r>
            <w:r w:rsidRPr="00690BB0">
              <w:t>särskilda regler för tillverkare av små serier för fordon av kategorierna M</w:t>
            </w:r>
            <w:r w:rsidRPr="00690BB0">
              <w:rPr>
                <w:vertAlign w:val="subscript"/>
              </w:rPr>
              <w:t>2</w:t>
            </w:r>
            <w:r w:rsidRPr="00690BB0">
              <w:t>, M</w:t>
            </w:r>
            <w:r w:rsidRPr="00690BB0">
              <w:rPr>
                <w:vertAlign w:val="subscript"/>
              </w:rPr>
              <w:t>3</w:t>
            </w:r>
            <w:r w:rsidRPr="00690BB0">
              <w:t>, N</w:t>
            </w:r>
            <w:r w:rsidRPr="00690BB0">
              <w:rPr>
                <w:vertAlign w:val="subscript"/>
              </w:rPr>
              <w:t>2</w:t>
            </w:r>
            <w:r w:rsidRPr="00690BB0">
              <w:t xml:space="preserve"> och N</w:t>
            </w:r>
            <w:r w:rsidRPr="00690BB0">
              <w:rPr>
                <w:vertAlign w:val="subscript"/>
              </w:rPr>
              <w:t>3</w:t>
            </w:r>
            <w:r w:rsidRPr="00690BB0">
              <w:t xml:space="preserve"> </w:t>
            </w:r>
            <w:r w:rsidRPr="00690BB0">
              <w:lastRenderedPageBreak/>
              <w:t>enligt artiklarna 3 och 8 i denna förordning.</w:t>
            </w:r>
          </w:p>
        </w:tc>
        <w:tc>
          <w:tcPr>
            <w:tcW w:w="4876" w:type="dxa"/>
          </w:tcPr>
          <w:p w:rsidR="00D624B1" w:rsidRPr="00690BB0" w:rsidRDefault="00D624B1" w:rsidP="003F2A5D">
            <w:pPr>
              <w:pStyle w:val="Normal6a"/>
              <w:widowControl/>
            </w:pPr>
            <w:r w:rsidRPr="00690BB0">
              <w:lastRenderedPageBreak/>
              <w:t>(e)</w:t>
            </w:r>
            <w:r w:rsidRPr="00690BB0">
              <w:tab/>
              <w:t xml:space="preserve">fastställa särskilda regler för tillverkare av små serier för fordon av </w:t>
            </w:r>
            <w:r w:rsidRPr="00690BB0">
              <w:lastRenderedPageBreak/>
              <w:t>kategorierna M</w:t>
            </w:r>
            <w:r w:rsidRPr="00690BB0">
              <w:rPr>
                <w:vertAlign w:val="subscript"/>
              </w:rPr>
              <w:t>2</w:t>
            </w:r>
            <w:r w:rsidRPr="00690BB0">
              <w:t>, M</w:t>
            </w:r>
            <w:r w:rsidRPr="00690BB0">
              <w:rPr>
                <w:vertAlign w:val="subscript"/>
              </w:rPr>
              <w:t>3</w:t>
            </w:r>
            <w:r w:rsidRPr="00690BB0">
              <w:t>, N</w:t>
            </w:r>
            <w:r w:rsidRPr="00690BB0">
              <w:rPr>
                <w:vertAlign w:val="subscript"/>
              </w:rPr>
              <w:t>2</w:t>
            </w:r>
            <w:r w:rsidRPr="00690BB0">
              <w:t xml:space="preserve"> och N</w:t>
            </w:r>
            <w:r w:rsidRPr="00690BB0">
              <w:rPr>
                <w:vertAlign w:val="subscript"/>
              </w:rPr>
              <w:t>3</w:t>
            </w:r>
            <w:r w:rsidRPr="00690BB0">
              <w:t xml:space="preserve"> enligt artiklarna 3 och 8 i denna förordning.</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140</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15 – punkt 2 – stycke 1a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p>
        </w:tc>
        <w:tc>
          <w:tcPr>
            <w:tcW w:w="4876" w:type="dxa"/>
          </w:tcPr>
          <w:p w:rsidR="00D624B1" w:rsidRPr="00690BB0" w:rsidRDefault="00D624B1" w:rsidP="003F2A5D">
            <w:pPr>
              <w:pStyle w:val="Normal6a"/>
              <w:widowControl/>
            </w:pPr>
            <w:r w:rsidRPr="00690BB0">
              <w:rPr>
                <w:b/>
                <w:i/>
              </w:rPr>
              <w:t>Kommissionen ska anta de delegerade akter som avses i leden a–c utan onödigt dröjsmål efter det att FN:s världsforum för harmonisering av föreskrifter om fordon (WP29) offentliggjort de relevanta enhetliga bestämmelserna. Om enhetliga bestämmelser inte har fastställts i WP29 senast den 30 juni 2026 för C1-däck och senast den 31 december 2035 för C2- och C3-däck ska artikel 7a i denna förordning tillämpas.</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141</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16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2.</w:t>
            </w:r>
            <w:r w:rsidRPr="00690BB0">
              <w:tab/>
              <w:t>Den befogenhet att anta delegerade akter som avses i artikel 15 ges till kommissionen för en period på fem år från och med den … [Publikationsbyrån: för in datum = datum för denna förordnings ikraftträdande]. Kommissionen ska utarbeta en rapport om delegeringen av befogenhet senast nio månader före utgången av perioden på fem år. Delegeringen av befogenhet ska genom tyst medgivande förlängas med perioder av samma längd, såvida inte Europaparlamentet eller rådet motsätter sig en sådan förlängning senast tre månader före utgången av perioden i fråga.</w:t>
            </w:r>
          </w:p>
        </w:tc>
        <w:tc>
          <w:tcPr>
            <w:tcW w:w="4876" w:type="dxa"/>
          </w:tcPr>
          <w:p w:rsidR="00D624B1" w:rsidRPr="00690BB0" w:rsidRDefault="00D624B1" w:rsidP="003F2A5D">
            <w:pPr>
              <w:pStyle w:val="Normal6a"/>
              <w:widowControl/>
            </w:pPr>
            <w:r w:rsidRPr="00690BB0">
              <w:t>2.</w:t>
            </w:r>
            <w:r w:rsidRPr="00690BB0">
              <w:tab/>
              <w:t xml:space="preserve">Den befogenhet att anta delegerade akter som avses i artikel </w:t>
            </w:r>
            <w:r w:rsidRPr="00690BB0">
              <w:rPr>
                <w:b/>
                <w:i/>
              </w:rPr>
              <w:t xml:space="preserve">14.3a och 14.4 och artikel </w:t>
            </w:r>
            <w:r w:rsidRPr="00690BB0">
              <w:t>15 ges till kommissionen för en period på fem år från och med den … [Publikationsbyrån: för in datum = datum för denna förordnings ikraftträdande]. Kommissionen ska utarbeta en rapport om delegeringen av befogenhet senast nio månader före utgången av perioden på fem år. Delegeringen av befogenhet ska genom tyst medgivande förlängas med perioder av samma längd, såvida inte Europaparlamentet eller rådet motsätter sig en sådan förlängning senast tre månader före utgången av perioden i fråga.</w:t>
            </w:r>
          </w:p>
        </w:tc>
      </w:tr>
    </w:tbl>
    <w:p w:rsidR="00D624B1" w:rsidRPr="00690BB0" w:rsidRDefault="00D624B1" w:rsidP="00D624B1">
      <w:pPr>
        <w:widowControl/>
      </w:pPr>
    </w:p>
    <w:p w:rsidR="00D624B1" w:rsidRPr="00690BB0" w:rsidRDefault="007B7831" w:rsidP="00D624B1">
      <w:pPr>
        <w:pStyle w:val="AmNumberTabs"/>
        <w:widowControl/>
      </w:pPr>
      <w:r w:rsidRPr="00690BB0">
        <w:lastRenderedPageBreak/>
        <w:t>Ändring</w:t>
      </w:r>
      <w:r w:rsidR="00D624B1" w:rsidRPr="00690BB0">
        <w:tab/>
      </w:r>
      <w:r w:rsidR="00D624B1" w:rsidRPr="00690BB0">
        <w:tab/>
        <w:t>142</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16 – punkt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3.</w:t>
            </w:r>
            <w:r w:rsidRPr="00690BB0">
              <w:tab/>
              <w:t>Den delegering av befogenhet som avses i artikel 15 får när som helst återkallas av Europaparlamentet eller rådet. Ett beslut om återkallelse innebär att delegeringen av den befogenhet som anges i beslutet upphör att gälla. Beslutet får verkan dagen efter det att det offentliggörs i Europeiska unionens officiella tidning, eller vid ett senare i beslutet angivet datum. Det påverkar inte giltigheten av delegerade akter som redan har trätt i kraft.</w:t>
            </w:r>
          </w:p>
        </w:tc>
        <w:tc>
          <w:tcPr>
            <w:tcW w:w="4876" w:type="dxa"/>
          </w:tcPr>
          <w:p w:rsidR="00D624B1" w:rsidRPr="00690BB0" w:rsidRDefault="00D624B1" w:rsidP="003F2A5D">
            <w:pPr>
              <w:pStyle w:val="Normal6a"/>
              <w:widowControl/>
            </w:pPr>
            <w:r w:rsidRPr="00690BB0">
              <w:t>3.</w:t>
            </w:r>
            <w:r w:rsidRPr="00690BB0">
              <w:tab/>
              <w:t xml:space="preserve">Den delegering av befogenhet som avses i artikel </w:t>
            </w:r>
            <w:r w:rsidRPr="00690BB0">
              <w:rPr>
                <w:b/>
                <w:i/>
              </w:rPr>
              <w:t xml:space="preserve">14.3a och 14.4 och artikel </w:t>
            </w:r>
            <w:r w:rsidRPr="00690BB0">
              <w:t>15 får när som helst återkallas av Europaparlamentet eller rådet. Ett beslut om återkallelse innebär att delegeringen av den befogenhet som anges i beslutet upphör att gälla. Beslutet får verkan dagen efter det att det offentliggörs i Europeiska unionens officiella tidning, eller vid ett senare i beslutet angivet datum. Det påverkar inte giltigheten av delegerade akter som redan har trätt i kraft.</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143</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16 – punkt 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AD08AA">
        <w:trPr>
          <w:trHeight w:hRule="exact" w:val="240"/>
          <w:jc w:val="center"/>
        </w:trPr>
        <w:tc>
          <w:tcPr>
            <w:tcW w:w="9752" w:type="dxa"/>
            <w:gridSpan w:val="2"/>
          </w:tcPr>
          <w:p w:rsidR="00D624B1" w:rsidRPr="00690BB0" w:rsidRDefault="00D624B1" w:rsidP="003F2A5D">
            <w:pPr>
              <w:widowControl/>
            </w:pPr>
          </w:p>
        </w:tc>
      </w:tr>
      <w:tr w:rsidR="00D624B1" w:rsidRPr="00690BB0" w:rsidTr="00AD08AA">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AD08AA">
        <w:trPr>
          <w:jc w:val="center"/>
        </w:trPr>
        <w:tc>
          <w:tcPr>
            <w:tcW w:w="4876" w:type="dxa"/>
          </w:tcPr>
          <w:p w:rsidR="00D624B1" w:rsidRPr="00690BB0" w:rsidRDefault="00D624B1" w:rsidP="003F2A5D">
            <w:pPr>
              <w:pStyle w:val="Normal6a"/>
              <w:widowControl/>
            </w:pPr>
            <w:r w:rsidRPr="00690BB0">
              <w:t>6.</w:t>
            </w:r>
            <w:r w:rsidRPr="00690BB0">
              <w:tab/>
              <w:t>En delegerad akt som antas enligt artikel 15 ska träda i kraft endast om varken Europaparlamentet eller rådet har gjort invändningar mot den delegerade akten inom en period på två månader från den dag då akten delgavs Europaparlamentet och rådet, eller om både Europaparlamentet och rådet, före utgången av den perioden, har underrättat kommissionen om att de inte kommer att invända. Denna period ska förlängas med två månader på Europaparlamentets eller rådets initiativ.</w:t>
            </w:r>
          </w:p>
        </w:tc>
        <w:tc>
          <w:tcPr>
            <w:tcW w:w="4876" w:type="dxa"/>
          </w:tcPr>
          <w:p w:rsidR="00D624B1" w:rsidRPr="00690BB0" w:rsidRDefault="00D624B1" w:rsidP="003F2A5D">
            <w:pPr>
              <w:pStyle w:val="Normal6a"/>
              <w:widowControl/>
            </w:pPr>
            <w:r w:rsidRPr="00690BB0">
              <w:t>6.</w:t>
            </w:r>
            <w:r w:rsidRPr="00690BB0">
              <w:tab/>
              <w:t xml:space="preserve">En delegerad akt som antas enligt artikel </w:t>
            </w:r>
            <w:r w:rsidRPr="00690BB0">
              <w:rPr>
                <w:b/>
                <w:i/>
              </w:rPr>
              <w:t xml:space="preserve">14.3a och 14.4 och artikel </w:t>
            </w:r>
            <w:r w:rsidRPr="00690BB0">
              <w:t>15 ska träda i kraft endast om varken Europaparlamentet eller rådet har gjort invändningar mot den delegerade akten inom en period på två månader från den dag då akten delgavs Europaparlamentet och rådet, eller om både Europaparlamentet och rådet, före utgången av den perioden, har underrättat kommissionen om att de inte kommer att invända. Denna period ska förlängas med två månader på Europaparlamentets eller rådets initiativ.</w:t>
            </w:r>
          </w:p>
        </w:tc>
      </w:tr>
    </w:tbl>
    <w:p w:rsidR="00AD08AA" w:rsidRPr="00690BB0" w:rsidRDefault="00AD08AA" w:rsidP="00AD08AA">
      <w:pPr>
        <w:pStyle w:val="AmNumberTabs"/>
      </w:pPr>
      <w:r w:rsidRPr="00690BB0">
        <w:t>Ändring</w:t>
      </w:r>
      <w:r w:rsidRPr="00690BB0">
        <w:tab/>
      </w:r>
      <w:r w:rsidRPr="00690BB0">
        <w:tab/>
        <w:t>242</w:t>
      </w:r>
    </w:p>
    <w:p w:rsidR="00AD08AA" w:rsidRPr="00690BB0" w:rsidRDefault="00AD08AA" w:rsidP="00AD08AA">
      <w:pPr>
        <w:pStyle w:val="NormalBold12b"/>
      </w:pPr>
      <w:r w:rsidRPr="00690BB0">
        <w:t>Förslag till förordning</w:t>
      </w:r>
    </w:p>
    <w:p w:rsidR="00AD08AA" w:rsidRPr="00690BB0" w:rsidRDefault="00AD08AA" w:rsidP="00AD08AA">
      <w:pPr>
        <w:pStyle w:val="NormalBold"/>
      </w:pPr>
      <w:r w:rsidRPr="00690BB0">
        <w:t>Artikel 16a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08AA" w:rsidRPr="00690BB0" w:rsidTr="002E44E0">
        <w:trPr>
          <w:trHeight w:hRule="exact" w:val="240"/>
          <w:jc w:val="center"/>
        </w:trPr>
        <w:tc>
          <w:tcPr>
            <w:tcW w:w="9752" w:type="dxa"/>
            <w:gridSpan w:val="2"/>
          </w:tcPr>
          <w:p w:rsidR="00AD08AA" w:rsidRPr="00690BB0" w:rsidRDefault="00AD08AA" w:rsidP="002E44E0"/>
        </w:tc>
      </w:tr>
      <w:tr w:rsidR="00AD08AA" w:rsidRPr="00690BB0" w:rsidTr="002E44E0">
        <w:trPr>
          <w:trHeight w:val="240"/>
          <w:jc w:val="center"/>
        </w:trPr>
        <w:tc>
          <w:tcPr>
            <w:tcW w:w="4876" w:type="dxa"/>
          </w:tcPr>
          <w:p w:rsidR="00AD08AA" w:rsidRPr="00690BB0" w:rsidRDefault="00AD08AA" w:rsidP="002E44E0">
            <w:pPr>
              <w:pStyle w:val="AmColumnHeading"/>
            </w:pPr>
            <w:r w:rsidRPr="00690BB0">
              <w:lastRenderedPageBreak/>
              <w:t>Kommissionens förslag</w:t>
            </w:r>
          </w:p>
        </w:tc>
        <w:tc>
          <w:tcPr>
            <w:tcW w:w="4876" w:type="dxa"/>
          </w:tcPr>
          <w:p w:rsidR="00AD08AA" w:rsidRPr="00690BB0" w:rsidRDefault="00AD08AA" w:rsidP="00AD08AA">
            <w:pPr>
              <w:pStyle w:val="AmColumnHeading"/>
            </w:pPr>
            <w:r w:rsidRPr="00690BB0">
              <w:t>Ändring</w:t>
            </w:r>
          </w:p>
        </w:tc>
      </w:tr>
      <w:tr w:rsidR="00AD08AA" w:rsidRPr="00690BB0" w:rsidTr="002E44E0">
        <w:trPr>
          <w:jc w:val="center"/>
        </w:trPr>
        <w:tc>
          <w:tcPr>
            <w:tcW w:w="4876" w:type="dxa"/>
          </w:tcPr>
          <w:p w:rsidR="00AD08AA" w:rsidRPr="00690BB0" w:rsidRDefault="00AD08AA" w:rsidP="002E44E0">
            <w:pPr>
              <w:pStyle w:val="Normal6a"/>
            </w:pPr>
          </w:p>
        </w:tc>
        <w:tc>
          <w:tcPr>
            <w:tcW w:w="4876" w:type="dxa"/>
          </w:tcPr>
          <w:p w:rsidR="00AD08AA" w:rsidRPr="00690BB0" w:rsidRDefault="00AD08AA" w:rsidP="002E44E0">
            <w:pPr>
              <w:pStyle w:val="Normal6a"/>
              <w:jc w:val="center"/>
            </w:pPr>
            <w:r w:rsidRPr="00690BB0">
              <w:rPr>
                <w:b/>
                <w:i/>
              </w:rPr>
              <w:t>Artikel 16a</w:t>
            </w:r>
          </w:p>
        </w:tc>
      </w:tr>
      <w:tr w:rsidR="00AD08AA" w:rsidRPr="00690BB0" w:rsidTr="002E44E0">
        <w:trPr>
          <w:jc w:val="center"/>
        </w:trPr>
        <w:tc>
          <w:tcPr>
            <w:tcW w:w="4876" w:type="dxa"/>
          </w:tcPr>
          <w:p w:rsidR="00AD08AA" w:rsidRPr="00690BB0" w:rsidRDefault="00AD08AA" w:rsidP="002E44E0">
            <w:pPr>
              <w:pStyle w:val="Normal6a"/>
            </w:pPr>
          </w:p>
        </w:tc>
        <w:tc>
          <w:tcPr>
            <w:tcW w:w="4876" w:type="dxa"/>
          </w:tcPr>
          <w:p w:rsidR="00AD08AA" w:rsidRPr="00690BB0" w:rsidRDefault="00AD08AA" w:rsidP="002E44E0">
            <w:pPr>
              <w:pStyle w:val="Normal6a"/>
              <w:jc w:val="center"/>
            </w:pPr>
            <w:r w:rsidRPr="00690BB0">
              <w:rPr>
                <w:b/>
                <w:i/>
              </w:rPr>
              <w:t>Fysiska eller juridiska personers motiverade klagomål</w:t>
            </w:r>
          </w:p>
        </w:tc>
      </w:tr>
      <w:tr w:rsidR="00AD08AA" w:rsidRPr="00690BB0" w:rsidTr="002E44E0">
        <w:trPr>
          <w:jc w:val="center"/>
        </w:trPr>
        <w:tc>
          <w:tcPr>
            <w:tcW w:w="4876" w:type="dxa"/>
          </w:tcPr>
          <w:p w:rsidR="00AD08AA" w:rsidRPr="00690BB0" w:rsidRDefault="00AD08AA" w:rsidP="002E44E0">
            <w:pPr>
              <w:pStyle w:val="Normal6a"/>
            </w:pPr>
          </w:p>
        </w:tc>
        <w:tc>
          <w:tcPr>
            <w:tcW w:w="4876" w:type="dxa"/>
          </w:tcPr>
          <w:p w:rsidR="00AD08AA" w:rsidRPr="00690BB0" w:rsidRDefault="00AD08AA" w:rsidP="002E44E0">
            <w:pPr>
              <w:pStyle w:val="Normal6a"/>
            </w:pPr>
            <w:r w:rsidRPr="00690BB0">
              <w:rPr>
                <w:b/>
                <w:i/>
              </w:rPr>
              <w:t>1. Varje fysisk eller juridisk person, enskilt eller tillsammans med andra, ska ha rätt att lämna in motiverade klagomål till nationella marknadskontrollmyndigheter när de har skäl att anta att en eller flera tillverkare, ekonomiska aktörer eller oberoende aktörer inte följer denna förordning.</w:t>
            </w:r>
          </w:p>
        </w:tc>
      </w:tr>
      <w:tr w:rsidR="00AD08AA" w:rsidRPr="00690BB0" w:rsidTr="002E44E0">
        <w:trPr>
          <w:jc w:val="center"/>
        </w:trPr>
        <w:tc>
          <w:tcPr>
            <w:tcW w:w="4876" w:type="dxa"/>
          </w:tcPr>
          <w:p w:rsidR="00AD08AA" w:rsidRPr="00690BB0" w:rsidRDefault="00AD08AA" w:rsidP="002E44E0">
            <w:pPr>
              <w:pStyle w:val="Normal6a"/>
            </w:pPr>
          </w:p>
        </w:tc>
        <w:tc>
          <w:tcPr>
            <w:tcW w:w="4876" w:type="dxa"/>
          </w:tcPr>
          <w:p w:rsidR="00AD08AA" w:rsidRPr="00690BB0" w:rsidRDefault="00AD08AA" w:rsidP="002E44E0">
            <w:pPr>
              <w:pStyle w:val="Normal6a"/>
            </w:pPr>
            <w:r w:rsidRPr="00690BB0">
              <w:rPr>
                <w:b/>
                <w:i/>
              </w:rPr>
              <w:t>2. På begäran av en person som lämnar in motiverade klagomål ska marknadskontrollmyndigheterna vidta nödvändiga åtgärder för att på lämpligt sätt skydda den personens identitet och personuppgifter, vars utlämnande skulle vara skadlig för den personen.</w:t>
            </w:r>
          </w:p>
        </w:tc>
      </w:tr>
      <w:tr w:rsidR="00AD08AA" w:rsidRPr="00690BB0" w:rsidTr="002E44E0">
        <w:trPr>
          <w:jc w:val="center"/>
        </w:trPr>
        <w:tc>
          <w:tcPr>
            <w:tcW w:w="4876" w:type="dxa"/>
          </w:tcPr>
          <w:p w:rsidR="00AD08AA" w:rsidRPr="00690BB0" w:rsidRDefault="00AD08AA" w:rsidP="002E44E0">
            <w:pPr>
              <w:pStyle w:val="Normal6a"/>
            </w:pPr>
          </w:p>
        </w:tc>
        <w:tc>
          <w:tcPr>
            <w:tcW w:w="4876" w:type="dxa"/>
          </w:tcPr>
          <w:p w:rsidR="00AD08AA" w:rsidRPr="00690BB0" w:rsidRDefault="00AD08AA" w:rsidP="002E44E0">
            <w:pPr>
              <w:pStyle w:val="Normal6a"/>
            </w:pPr>
            <w:r w:rsidRPr="00690BB0">
              <w:rPr>
                <w:b/>
                <w:i/>
              </w:rPr>
              <w:t>3. Marknadskontrollmyndigheterna ska utan onödigt dröjsmål omsorgsfullt och opartiskt bedöma de motiverade klagomålen, inbegripet huruvida påståendena är välgrundade, och vidta nödvändiga åtgärder, inbegripet att genomföra kontroller och utvärderingar i enlighet med artiklarna 8 och 51 i förordning (EU) 2018/858, i syfte att upptäcka eventuell bristande efterlevnad av denna förordning och vid behov kräva korrigerande åtgärder eller vidta lämpliga begränsande åtgärder i enlighet med artikel 52 i förordning (EU) 2018/858.</w:t>
            </w:r>
          </w:p>
        </w:tc>
      </w:tr>
      <w:tr w:rsidR="00AD08AA" w:rsidRPr="00690BB0" w:rsidTr="002E44E0">
        <w:trPr>
          <w:jc w:val="center"/>
        </w:trPr>
        <w:tc>
          <w:tcPr>
            <w:tcW w:w="4876" w:type="dxa"/>
          </w:tcPr>
          <w:p w:rsidR="00AD08AA" w:rsidRPr="00690BB0" w:rsidRDefault="00AD08AA" w:rsidP="002E44E0">
            <w:pPr>
              <w:pStyle w:val="Normal6a"/>
            </w:pPr>
          </w:p>
        </w:tc>
        <w:tc>
          <w:tcPr>
            <w:tcW w:w="4876" w:type="dxa"/>
          </w:tcPr>
          <w:p w:rsidR="00AD08AA" w:rsidRPr="00690BB0" w:rsidRDefault="00AD08AA" w:rsidP="002E44E0">
            <w:pPr>
              <w:pStyle w:val="Normal6a"/>
            </w:pPr>
            <w:r w:rsidRPr="00690BB0">
              <w:rPr>
                <w:b/>
                <w:i/>
              </w:rPr>
              <w:t>4. Den nationella marknadskontrollmyndigheten ska inom 3 månader informera de fysiska eller juridiska personer som avses i punkt 1 om sitt beslut att tillmötesgå eller avslå begäran om åtgärder och om de åtgärder den avser vidta för att åtgärda de farhågor som framförts i det motiverade klagomålet, med angivande av skälen till både det beslut som fattats och de föreslagna åtgärderna.</w:t>
            </w:r>
          </w:p>
        </w:tc>
      </w:tr>
    </w:tbl>
    <w:p w:rsidR="00D624B1" w:rsidRPr="00690BB0" w:rsidRDefault="00D624B1" w:rsidP="00AD08AA"/>
    <w:p w:rsidR="00D624B1" w:rsidRPr="00690BB0" w:rsidRDefault="007B7831" w:rsidP="00D624B1">
      <w:pPr>
        <w:pStyle w:val="AmNumberTabs"/>
        <w:widowControl/>
      </w:pPr>
      <w:r w:rsidRPr="00690BB0">
        <w:t>Ändring</w:t>
      </w:r>
      <w:r w:rsidR="00D624B1" w:rsidRPr="00690BB0">
        <w:tab/>
      </w:r>
      <w:r w:rsidR="00D624B1" w:rsidRPr="00690BB0">
        <w:tab/>
        <w:t>144</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18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2.</w:t>
            </w:r>
            <w:r w:rsidRPr="00690BB0">
              <w:tab/>
              <w:t>Senast den 1 september 2031 ska kommissionen, på grundval av den information som lämnats i enlighet med punkt 1, överlämna en utvärderingsrapport om tillämpningen av denna förordning till Europaparlamentet och rådet.</w:t>
            </w:r>
          </w:p>
        </w:tc>
        <w:tc>
          <w:tcPr>
            <w:tcW w:w="4876" w:type="dxa"/>
          </w:tcPr>
          <w:p w:rsidR="00D624B1" w:rsidRPr="00690BB0" w:rsidRDefault="00D624B1" w:rsidP="003F2A5D">
            <w:pPr>
              <w:pStyle w:val="Normal6a"/>
              <w:widowControl/>
            </w:pPr>
            <w:r w:rsidRPr="00690BB0">
              <w:t>2.</w:t>
            </w:r>
            <w:r w:rsidRPr="00690BB0">
              <w:tab/>
              <w:t>Senast den 1 september 2031 ska kommissionen, på grundval av den information som lämnats i enlighet med punkt 1, överlämna en utvärderingsrapport om tillämpningen av denna förordning till Europaparlamentet och rådet</w:t>
            </w:r>
            <w:r w:rsidRPr="00690BB0">
              <w:rPr>
                <w:b/>
                <w:i/>
              </w:rPr>
              <w:t>, vilken ska inbegripa en utvärdering av de utsläppsminskningar som har uppnåtts i form av avgasutsläpp och andra utsläpp än avgaser och en bedömning av dess bidrag till att uppfylla de luftföroreningsnormer som fastställs i [XXX förslaget till omarbetning av luftkvalitetsdirektivet]</w:t>
            </w:r>
            <w:r w:rsidRPr="00690BB0">
              <w:t>.</w:t>
            </w:r>
          </w:p>
        </w:tc>
      </w:tr>
    </w:tbl>
    <w:p w:rsidR="00D624B1" w:rsidRPr="00690BB0" w:rsidRDefault="00D624B1" w:rsidP="00D624B1">
      <w:pPr>
        <w:widowControl/>
      </w:pPr>
    </w:p>
    <w:p w:rsidR="00AD08AA" w:rsidRPr="00690BB0" w:rsidRDefault="00AD08AA" w:rsidP="00AD08AA">
      <w:pPr>
        <w:pStyle w:val="AmNumberTabs"/>
      </w:pPr>
      <w:r w:rsidRPr="00690BB0">
        <w:t>Ändring</w:t>
      </w:r>
      <w:r w:rsidRPr="00690BB0">
        <w:tab/>
        <w:t>ar</w:t>
      </w:r>
      <w:r w:rsidRPr="00690BB0">
        <w:tab/>
        <w:t>181 och 192</w:t>
      </w:r>
    </w:p>
    <w:p w:rsidR="00AD08AA" w:rsidRPr="00690BB0" w:rsidRDefault="00AD08AA" w:rsidP="00AD08AA">
      <w:pPr>
        <w:pStyle w:val="NormalBold12b"/>
      </w:pPr>
      <w:r w:rsidRPr="00690BB0">
        <w:t>Förslag till förordning</w:t>
      </w:r>
    </w:p>
    <w:p w:rsidR="00AD08AA" w:rsidRPr="00690BB0" w:rsidRDefault="00AD08AA" w:rsidP="00AD08AA">
      <w:pPr>
        <w:pStyle w:val="NormalBold"/>
      </w:pPr>
      <w:r w:rsidRPr="00690BB0">
        <w:t>Artikel 18 – punkt 2a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08AA" w:rsidRPr="00690BB0" w:rsidTr="002E44E0">
        <w:trPr>
          <w:trHeight w:hRule="exact" w:val="240"/>
          <w:jc w:val="center"/>
        </w:trPr>
        <w:tc>
          <w:tcPr>
            <w:tcW w:w="9752" w:type="dxa"/>
            <w:gridSpan w:val="2"/>
          </w:tcPr>
          <w:p w:rsidR="00AD08AA" w:rsidRPr="00690BB0" w:rsidRDefault="00AD08AA" w:rsidP="002E44E0"/>
        </w:tc>
      </w:tr>
      <w:tr w:rsidR="00AD08AA" w:rsidRPr="00690BB0" w:rsidTr="002E44E0">
        <w:trPr>
          <w:trHeight w:val="240"/>
          <w:jc w:val="center"/>
        </w:trPr>
        <w:tc>
          <w:tcPr>
            <w:tcW w:w="4876" w:type="dxa"/>
          </w:tcPr>
          <w:p w:rsidR="00AD08AA" w:rsidRPr="00690BB0" w:rsidRDefault="00AD08AA" w:rsidP="002E44E0">
            <w:pPr>
              <w:pStyle w:val="AmColumnHeading"/>
            </w:pPr>
            <w:r w:rsidRPr="00690BB0">
              <w:t>Kommissionens förslag</w:t>
            </w:r>
          </w:p>
        </w:tc>
        <w:tc>
          <w:tcPr>
            <w:tcW w:w="4876" w:type="dxa"/>
          </w:tcPr>
          <w:p w:rsidR="00AD08AA" w:rsidRPr="00690BB0" w:rsidRDefault="00AD08AA" w:rsidP="00AD08AA">
            <w:pPr>
              <w:pStyle w:val="AmColumnHeading"/>
            </w:pPr>
            <w:r w:rsidRPr="00690BB0">
              <w:t>Ändring</w:t>
            </w:r>
          </w:p>
        </w:tc>
      </w:tr>
      <w:tr w:rsidR="00AD08AA" w:rsidRPr="00690BB0" w:rsidTr="002E44E0">
        <w:trPr>
          <w:jc w:val="center"/>
        </w:trPr>
        <w:tc>
          <w:tcPr>
            <w:tcW w:w="4876" w:type="dxa"/>
          </w:tcPr>
          <w:p w:rsidR="00AD08AA" w:rsidRPr="00690BB0" w:rsidRDefault="00AD08AA" w:rsidP="002E44E0">
            <w:pPr>
              <w:pStyle w:val="Normal6a"/>
            </w:pPr>
          </w:p>
        </w:tc>
        <w:tc>
          <w:tcPr>
            <w:tcW w:w="4876" w:type="dxa"/>
          </w:tcPr>
          <w:p w:rsidR="00AD08AA" w:rsidRPr="00690BB0" w:rsidRDefault="00AD08AA" w:rsidP="002E44E0">
            <w:pPr>
              <w:pStyle w:val="Normal6a"/>
            </w:pPr>
            <w:r w:rsidRPr="00690BB0">
              <w:rPr>
                <w:b/>
                <w:i/>
              </w:rPr>
              <w:t>2a.</w:t>
            </w:r>
            <w:r w:rsidRPr="00690BB0">
              <w:tab/>
            </w:r>
            <w:r w:rsidRPr="00690BB0">
              <w:rPr>
                <w:b/>
                <w:i/>
              </w:rPr>
              <w:t>Senast den 31 december 2025 ska kommissionen överlämna en rapport till Europaparlamentet och rådet med en bedömning av hållbarhetsprestandan hos tunga fordon med avseende på utsläpp.</w:t>
            </w:r>
          </w:p>
        </w:tc>
      </w:tr>
    </w:tbl>
    <w:p w:rsidR="00D624B1" w:rsidRPr="00690BB0" w:rsidRDefault="00D624B1" w:rsidP="001F1F51"/>
    <w:p w:rsidR="00D624B1" w:rsidRPr="00690BB0" w:rsidRDefault="007B7831" w:rsidP="00D624B1">
      <w:pPr>
        <w:pStyle w:val="AmNumberTabs"/>
        <w:widowControl/>
      </w:pPr>
      <w:r w:rsidRPr="00690BB0">
        <w:t>Ändring</w:t>
      </w:r>
      <w:r w:rsidR="00D624B1" w:rsidRPr="00690BB0">
        <w:tab/>
      </w:r>
      <w:r w:rsidR="00D624B1" w:rsidRPr="00690BB0">
        <w:tab/>
        <w:t>146</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 xml:space="preserve">Förordning (EG) nr 715/2007 ska upphöra att gälla med verkan från och med den 1 juli </w:t>
            </w:r>
            <w:r w:rsidRPr="00690BB0">
              <w:rPr>
                <w:b/>
                <w:i/>
              </w:rPr>
              <w:t>2025</w:t>
            </w:r>
            <w:r w:rsidRPr="00690BB0">
              <w:t>.</w:t>
            </w:r>
          </w:p>
        </w:tc>
        <w:tc>
          <w:tcPr>
            <w:tcW w:w="4876" w:type="dxa"/>
          </w:tcPr>
          <w:p w:rsidR="00D624B1" w:rsidRPr="00690BB0" w:rsidRDefault="00D624B1" w:rsidP="003F2A5D">
            <w:pPr>
              <w:pStyle w:val="Normal6a"/>
              <w:widowControl/>
            </w:pPr>
            <w:r w:rsidRPr="00690BB0">
              <w:t xml:space="preserve">Förordning (EG) nr 715/2007 ska upphöra att gälla med verkan från och med den 1 juli </w:t>
            </w:r>
            <w:r w:rsidRPr="00690BB0">
              <w:rPr>
                <w:b/>
                <w:i/>
              </w:rPr>
              <w:t>2030</w:t>
            </w:r>
            <w:r w:rsidRPr="00690BB0">
              <w:t>.</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147</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19 – stycke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Förordning (</w:t>
            </w:r>
            <w:r w:rsidRPr="00690BB0">
              <w:rPr>
                <w:b/>
                <w:i/>
              </w:rPr>
              <w:t>EC</w:t>
            </w:r>
            <w:r w:rsidRPr="00690BB0">
              <w:t xml:space="preserve">) 595/2009 ska upphöra att gälla med verkan från och med den 1 juli </w:t>
            </w:r>
            <w:r w:rsidRPr="00690BB0">
              <w:rPr>
                <w:b/>
                <w:i/>
              </w:rPr>
              <w:t>2027</w:t>
            </w:r>
            <w:r w:rsidRPr="00690BB0">
              <w:t>.</w:t>
            </w:r>
          </w:p>
        </w:tc>
        <w:tc>
          <w:tcPr>
            <w:tcW w:w="4876" w:type="dxa"/>
          </w:tcPr>
          <w:p w:rsidR="00D624B1" w:rsidRPr="00690BB0" w:rsidRDefault="00D624B1" w:rsidP="003F2A5D">
            <w:pPr>
              <w:pStyle w:val="Normal6a"/>
              <w:widowControl/>
            </w:pPr>
            <w:r w:rsidRPr="00690BB0">
              <w:t>Förordning (</w:t>
            </w:r>
            <w:r w:rsidRPr="00690BB0">
              <w:rPr>
                <w:b/>
                <w:i/>
              </w:rPr>
              <w:t>EG</w:t>
            </w:r>
            <w:r w:rsidRPr="00690BB0">
              <w:t xml:space="preserve">) 595/2009 ska upphöra att gälla med verkan från och med den 1 juli </w:t>
            </w:r>
            <w:r w:rsidRPr="00690BB0">
              <w:rPr>
                <w:b/>
                <w:i/>
              </w:rPr>
              <w:t>2031</w:t>
            </w:r>
            <w:r w:rsidRPr="00690BB0">
              <w:t>.</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148</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rPr>
          <w:b w:val="0"/>
        </w:rPr>
        <w:t>Artikel 20 – stycke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 xml:space="preserve">Förordningen ska tillämpas från och med </w:t>
            </w:r>
            <w:r w:rsidRPr="00690BB0">
              <w:rPr>
                <w:b/>
                <w:i/>
              </w:rPr>
              <w:t>den 1 juli 2025</w:t>
            </w:r>
            <w:r w:rsidRPr="00690BB0">
              <w:t xml:space="preserve"> för fordon och komponenter av kategorierna M</w:t>
            </w:r>
            <w:r w:rsidRPr="00690BB0">
              <w:rPr>
                <w:vertAlign w:val="subscript"/>
              </w:rPr>
              <w:t>1</w:t>
            </w:r>
            <w:r w:rsidRPr="00690BB0">
              <w:t xml:space="preserve"> och N</w:t>
            </w:r>
            <w:r w:rsidRPr="00690BB0">
              <w:rPr>
                <w:vertAlign w:val="subscript"/>
              </w:rPr>
              <w:t>1</w:t>
            </w:r>
            <w:r w:rsidRPr="00690BB0">
              <w:t xml:space="preserve"> samt separata tekniska enheter för dessa fordon och </w:t>
            </w:r>
            <w:r w:rsidRPr="00690BB0">
              <w:rPr>
                <w:b/>
                <w:i/>
              </w:rPr>
              <w:t>från och med den 1 juli 2027</w:t>
            </w:r>
            <w:r w:rsidRPr="00690BB0">
              <w:t xml:space="preserve"> för fordon och komponenter av kategorierna M</w:t>
            </w:r>
            <w:r w:rsidRPr="00690BB0">
              <w:rPr>
                <w:vertAlign w:val="subscript"/>
              </w:rPr>
              <w:t>2</w:t>
            </w:r>
            <w:r w:rsidRPr="00690BB0">
              <w:t>, M</w:t>
            </w:r>
            <w:r w:rsidRPr="00690BB0">
              <w:rPr>
                <w:vertAlign w:val="subscript"/>
              </w:rPr>
              <w:t>3</w:t>
            </w:r>
            <w:r w:rsidRPr="00690BB0">
              <w:t>, N</w:t>
            </w:r>
            <w:r w:rsidRPr="00690BB0">
              <w:rPr>
                <w:vertAlign w:val="subscript"/>
              </w:rPr>
              <w:t>2</w:t>
            </w:r>
            <w:r w:rsidRPr="00690BB0">
              <w:t xml:space="preserve"> och N</w:t>
            </w:r>
            <w:r w:rsidRPr="00690BB0">
              <w:rPr>
                <w:vertAlign w:val="subscript"/>
              </w:rPr>
              <w:t>3</w:t>
            </w:r>
            <w:r w:rsidRPr="00690BB0">
              <w:t xml:space="preserve"> samt separata tekniska enheter för dessa fordon och släpfordon av kategorierna O</w:t>
            </w:r>
            <w:r w:rsidRPr="00690BB0">
              <w:rPr>
                <w:vertAlign w:val="subscript"/>
              </w:rPr>
              <w:t>3</w:t>
            </w:r>
            <w:r w:rsidRPr="00690BB0">
              <w:t xml:space="preserve"> och O</w:t>
            </w:r>
            <w:r w:rsidRPr="00690BB0">
              <w:rPr>
                <w:vertAlign w:val="subscript"/>
              </w:rPr>
              <w:t>4</w:t>
            </w:r>
            <w:r w:rsidRPr="00690BB0">
              <w:t xml:space="preserve">. </w:t>
            </w:r>
          </w:p>
        </w:tc>
        <w:tc>
          <w:tcPr>
            <w:tcW w:w="4876" w:type="dxa"/>
          </w:tcPr>
          <w:p w:rsidR="00D624B1" w:rsidRPr="00690BB0" w:rsidRDefault="00D624B1" w:rsidP="003F2A5D">
            <w:pPr>
              <w:pStyle w:val="Normal6a"/>
              <w:widowControl/>
            </w:pPr>
            <w:r w:rsidRPr="00690BB0">
              <w:t xml:space="preserve">Förordningen ska tillämpas från och med </w:t>
            </w:r>
            <w:r w:rsidRPr="00690BB0">
              <w:rPr>
                <w:b/>
                <w:i/>
              </w:rPr>
              <w:t>24 månader efter ikraftträdandet av all relevant sekundärlagstiftning</w:t>
            </w:r>
            <w:r w:rsidRPr="00690BB0">
              <w:t xml:space="preserve"> för</w:t>
            </w:r>
            <w:r w:rsidRPr="00690BB0">
              <w:rPr>
                <w:b/>
                <w:i/>
              </w:rPr>
              <w:t xml:space="preserve"> nya</w:t>
            </w:r>
            <w:r w:rsidRPr="00690BB0">
              <w:t xml:space="preserve"> fordon och komponenter av kategorierna M</w:t>
            </w:r>
            <w:r w:rsidRPr="00690BB0">
              <w:rPr>
                <w:vertAlign w:val="subscript"/>
              </w:rPr>
              <w:t>1</w:t>
            </w:r>
            <w:r w:rsidRPr="00690BB0">
              <w:t xml:space="preserve"> och N</w:t>
            </w:r>
            <w:r w:rsidRPr="00690BB0">
              <w:rPr>
                <w:vertAlign w:val="subscript"/>
              </w:rPr>
              <w:t>1</w:t>
            </w:r>
            <w:r w:rsidRPr="00690BB0">
              <w:t xml:space="preserve"> samt separata tekniska enheter för dessa fordon och </w:t>
            </w:r>
            <w:r w:rsidRPr="00690BB0">
              <w:rPr>
                <w:b/>
                <w:i/>
              </w:rPr>
              <w:t>36 månader efter ikraftträdandet av all relevant sekundärlagstiftning</w:t>
            </w:r>
            <w:r w:rsidRPr="00690BB0">
              <w:t xml:space="preserve"> </w:t>
            </w:r>
            <w:r w:rsidRPr="00690BB0">
              <w:rPr>
                <w:b/>
                <w:bCs/>
                <w:i/>
                <w:iCs/>
              </w:rPr>
              <w:t>för</w:t>
            </w:r>
            <w:r w:rsidRPr="00690BB0">
              <w:rPr>
                <w:b/>
                <w:i/>
              </w:rPr>
              <w:t xml:space="preserve"> nya</w:t>
            </w:r>
            <w:r w:rsidRPr="00690BB0">
              <w:rPr>
                <w:b/>
                <w:bCs/>
                <w:i/>
                <w:iCs/>
              </w:rPr>
              <w:t xml:space="preserve"> fordon och komponenter av kategorierna M</w:t>
            </w:r>
            <w:r w:rsidRPr="00690BB0">
              <w:rPr>
                <w:b/>
                <w:bCs/>
                <w:i/>
                <w:iCs/>
                <w:vertAlign w:val="subscript"/>
              </w:rPr>
              <w:t>1</w:t>
            </w:r>
            <w:r w:rsidRPr="00690BB0">
              <w:rPr>
                <w:b/>
                <w:bCs/>
                <w:i/>
                <w:iCs/>
              </w:rPr>
              <w:t xml:space="preserve"> och N</w:t>
            </w:r>
            <w:r w:rsidRPr="00690BB0">
              <w:rPr>
                <w:b/>
                <w:bCs/>
                <w:i/>
                <w:iCs/>
                <w:vertAlign w:val="subscript"/>
              </w:rPr>
              <w:t>1</w:t>
            </w:r>
            <w:r w:rsidRPr="00690BB0">
              <w:rPr>
                <w:b/>
                <w:bCs/>
                <w:i/>
                <w:iCs/>
              </w:rPr>
              <w:t xml:space="preserve"> samt separata tekniska enheter för dessa fordon.</w:t>
            </w:r>
          </w:p>
        </w:tc>
      </w:tr>
      <w:tr w:rsidR="00D624B1" w:rsidRPr="00690BB0" w:rsidTr="003F2A5D">
        <w:trPr>
          <w:jc w:val="center"/>
        </w:trPr>
        <w:tc>
          <w:tcPr>
            <w:tcW w:w="4876" w:type="dxa"/>
          </w:tcPr>
          <w:p w:rsidR="00D624B1" w:rsidRPr="00690BB0" w:rsidRDefault="00D624B1" w:rsidP="003F2A5D">
            <w:pPr>
              <w:pStyle w:val="Normal6a"/>
              <w:widowControl/>
            </w:pPr>
          </w:p>
        </w:tc>
        <w:tc>
          <w:tcPr>
            <w:tcW w:w="4876" w:type="dxa"/>
          </w:tcPr>
          <w:p w:rsidR="00D624B1" w:rsidRPr="00690BB0" w:rsidRDefault="00D624B1" w:rsidP="003F2A5D">
            <w:pPr>
              <w:pStyle w:val="Normal6a"/>
              <w:widowControl/>
            </w:pPr>
            <w:r w:rsidRPr="00690BB0">
              <w:rPr>
                <w:b/>
                <w:i/>
              </w:rPr>
              <w:t>Förordningen ska tillämpas 48 månader efter ikraftträdandet av all relevant sekundärlagstiftning för nya fordon och komponenter av kategorierna M</w:t>
            </w:r>
            <w:r w:rsidRPr="00690BB0">
              <w:rPr>
                <w:b/>
                <w:i/>
                <w:vertAlign w:val="subscript"/>
              </w:rPr>
              <w:t>2</w:t>
            </w:r>
            <w:r w:rsidRPr="00690BB0">
              <w:rPr>
                <w:b/>
                <w:i/>
              </w:rPr>
              <w:t>, M</w:t>
            </w:r>
            <w:r w:rsidRPr="00690BB0">
              <w:rPr>
                <w:b/>
                <w:i/>
                <w:vertAlign w:val="subscript"/>
              </w:rPr>
              <w:t>3</w:t>
            </w:r>
            <w:r w:rsidRPr="00690BB0">
              <w:rPr>
                <w:b/>
                <w:i/>
              </w:rPr>
              <w:t>, N</w:t>
            </w:r>
            <w:r w:rsidRPr="00690BB0">
              <w:rPr>
                <w:b/>
                <w:i/>
                <w:vertAlign w:val="subscript"/>
              </w:rPr>
              <w:t>2</w:t>
            </w:r>
            <w:r w:rsidRPr="00690BB0">
              <w:rPr>
                <w:b/>
                <w:i/>
              </w:rPr>
              <w:t xml:space="preserve"> och N</w:t>
            </w:r>
            <w:r w:rsidRPr="00690BB0">
              <w:rPr>
                <w:b/>
                <w:i/>
                <w:vertAlign w:val="subscript"/>
              </w:rPr>
              <w:t>3</w:t>
            </w:r>
            <w:r w:rsidRPr="00690BB0">
              <w:rPr>
                <w:b/>
                <w:i/>
              </w:rPr>
              <w:t xml:space="preserve"> samt separata tekniska enheter för dessa fordon och släpfordon av kategorierna O</w:t>
            </w:r>
            <w:r w:rsidRPr="00690BB0">
              <w:rPr>
                <w:b/>
                <w:i/>
                <w:vertAlign w:val="subscript"/>
              </w:rPr>
              <w:t>3</w:t>
            </w:r>
            <w:r w:rsidRPr="00690BB0">
              <w:rPr>
                <w:b/>
                <w:i/>
              </w:rPr>
              <w:t xml:space="preserve"> och O</w:t>
            </w:r>
            <w:r w:rsidRPr="00690BB0">
              <w:rPr>
                <w:b/>
                <w:i/>
                <w:vertAlign w:val="subscript"/>
              </w:rPr>
              <w:t>4</w:t>
            </w:r>
            <w:r w:rsidRPr="00690BB0">
              <w:rPr>
                <w:b/>
                <w:i/>
              </w:rPr>
              <w:t xml:space="preserve"> och 60 månader efter ikraftträdandet av all relevant sekundärlagstiftning </w:t>
            </w:r>
            <w:r w:rsidRPr="00690BB0">
              <w:t xml:space="preserve">för </w:t>
            </w:r>
            <w:r w:rsidRPr="00690BB0">
              <w:rPr>
                <w:b/>
                <w:i/>
              </w:rPr>
              <w:t xml:space="preserve">nya </w:t>
            </w:r>
            <w:r w:rsidRPr="00690BB0">
              <w:t>fordon och komponenter av kategorierna M</w:t>
            </w:r>
            <w:r w:rsidRPr="00690BB0">
              <w:rPr>
                <w:vertAlign w:val="subscript"/>
              </w:rPr>
              <w:t>2</w:t>
            </w:r>
            <w:r w:rsidRPr="00690BB0">
              <w:t>, M</w:t>
            </w:r>
            <w:r w:rsidRPr="00690BB0">
              <w:rPr>
                <w:vertAlign w:val="subscript"/>
              </w:rPr>
              <w:t>3</w:t>
            </w:r>
            <w:r w:rsidRPr="00690BB0">
              <w:t>, N</w:t>
            </w:r>
            <w:r w:rsidRPr="00690BB0">
              <w:rPr>
                <w:vertAlign w:val="subscript"/>
              </w:rPr>
              <w:t>2</w:t>
            </w:r>
            <w:r w:rsidRPr="00690BB0">
              <w:t xml:space="preserve"> och N</w:t>
            </w:r>
            <w:r w:rsidRPr="00690BB0">
              <w:rPr>
                <w:vertAlign w:val="subscript"/>
              </w:rPr>
              <w:t>3</w:t>
            </w:r>
            <w:r w:rsidRPr="00690BB0">
              <w:t xml:space="preserve"> samt separata tekniska enheter för dessa fordon och släpfordon av kategorierna O</w:t>
            </w:r>
            <w:r w:rsidRPr="00690BB0">
              <w:rPr>
                <w:vertAlign w:val="subscript"/>
              </w:rPr>
              <w:t>3</w:t>
            </w:r>
            <w:r w:rsidRPr="00690BB0">
              <w:t xml:space="preserve"> och O</w:t>
            </w:r>
            <w:r w:rsidRPr="00690BB0">
              <w:rPr>
                <w:vertAlign w:val="subscript"/>
              </w:rPr>
              <w:t>4</w:t>
            </w:r>
            <w:r w:rsidRPr="00690BB0">
              <w:t>.</w:t>
            </w:r>
          </w:p>
        </w:tc>
      </w:tr>
    </w:tbl>
    <w:p w:rsidR="00D624B1" w:rsidRPr="00690BB0" w:rsidRDefault="00D624B1" w:rsidP="00D624B1">
      <w:pPr>
        <w:widowControl/>
      </w:pPr>
    </w:p>
    <w:p w:rsidR="00D624B1" w:rsidRPr="00690BB0" w:rsidRDefault="007B7831" w:rsidP="00D624B1">
      <w:pPr>
        <w:pStyle w:val="AmNumberTabs"/>
        <w:widowControl/>
      </w:pPr>
      <w:r w:rsidRPr="00690BB0">
        <w:t>Ändring</w:t>
      </w:r>
      <w:r w:rsidR="00D624B1" w:rsidRPr="00690BB0">
        <w:tab/>
      </w:r>
      <w:r w:rsidR="00D624B1" w:rsidRPr="00690BB0">
        <w:tab/>
        <w:t>149</w:t>
      </w:r>
    </w:p>
    <w:p w:rsidR="00D624B1" w:rsidRPr="00690BB0" w:rsidRDefault="00D624B1" w:rsidP="00D624B1">
      <w:pPr>
        <w:pStyle w:val="NormalBold12b"/>
        <w:widowControl/>
      </w:pPr>
    </w:p>
    <w:p w:rsidR="00D624B1" w:rsidRPr="00690BB0" w:rsidRDefault="00D624B1" w:rsidP="00D624B1">
      <w:pPr>
        <w:pStyle w:val="NormalBold"/>
        <w:widowControl/>
      </w:pPr>
      <w:r w:rsidRPr="00690BB0">
        <w:t>Förslag till förordning</w:t>
      </w:r>
    </w:p>
    <w:p w:rsidR="00D624B1" w:rsidRPr="00690BB0" w:rsidRDefault="00D624B1" w:rsidP="00D624B1">
      <w:pPr>
        <w:pStyle w:val="NormalBold"/>
        <w:widowControl/>
      </w:pPr>
      <w:r w:rsidRPr="00690BB0">
        <w:t>Artikel 20 – stycke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4B1" w:rsidRPr="00690BB0" w:rsidTr="003F2A5D">
        <w:trPr>
          <w:trHeight w:hRule="exact" w:val="240"/>
          <w:jc w:val="center"/>
        </w:trPr>
        <w:tc>
          <w:tcPr>
            <w:tcW w:w="9752" w:type="dxa"/>
            <w:gridSpan w:val="2"/>
          </w:tcPr>
          <w:p w:rsidR="00D624B1" w:rsidRPr="00690BB0" w:rsidRDefault="00D624B1" w:rsidP="003F2A5D">
            <w:pPr>
              <w:widowControl/>
            </w:pPr>
          </w:p>
        </w:tc>
      </w:tr>
      <w:tr w:rsidR="00D624B1" w:rsidRPr="00690BB0" w:rsidTr="003F2A5D">
        <w:trPr>
          <w:trHeight w:val="240"/>
          <w:jc w:val="center"/>
        </w:trPr>
        <w:tc>
          <w:tcPr>
            <w:tcW w:w="4876" w:type="dxa"/>
          </w:tcPr>
          <w:p w:rsidR="00D624B1" w:rsidRPr="00690BB0" w:rsidRDefault="00D624B1" w:rsidP="003F2A5D">
            <w:pPr>
              <w:pStyle w:val="AmColumnHeading"/>
              <w:widowControl/>
            </w:pPr>
            <w:r w:rsidRPr="00690BB0">
              <w:t>Kommissionens förslag</w:t>
            </w:r>
          </w:p>
        </w:tc>
        <w:tc>
          <w:tcPr>
            <w:tcW w:w="4876" w:type="dxa"/>
          </w:tcPr>
          <w:p w:rsidR="00D624B1" w:rsidRPr="00690BB0" w:rsidRDefault="007B7831" w:rsidP="003F2A5D">
            <w:pPr>
              <w:pStyle w:val="AmColumnHeading"/>
              <w:widowControl/>
            </w:pPr>
            <w:r w:rsidRPr="00690BB0">
              <w:t>Ändring</w:t>
            </w:r>
          </w:p>
        </w:tc>
      </w:tr>
      <w:tr w:rsidR="00D624B1" w:rsidRPr="00690BB0" w:rsidTr="003F2A5D">
        <w:trPr>
          <w:jc w:val="center"/>
        </w:trPr>
        <w:tc>
          <w:tcPr>
            <w:tcW w:w="4876" w:type="dxa"/>
          </w:tcPr>
          <w:p w:rsidR="00D624B1" w:rsidRPr="00690BB0" w:rsidRDefault="00D624B1" w:rsidP="003F2A5D">
            <w:pPr>
              <w:pStyle w:val="Normal6a"/>
              <w:widowControl/>
            </w:pPr>
            <w:r w:rsidRPr="00690BB0">
              <w:t>Förordningen ska tillämpas från och med den 1 juli 2030 för fordon av kategorierna M</w:t>
            </w:r>
            <w:r w:rsidRPr="00690BB0">
              <w:rPr>
                <w:vertAlign w:val="subscript"/>
              </w:rPr>
              <w:t>1</w:t>
            </w:r>
            <w:r w:rsidRPr="00690BB0">
              <w:t xml:space="preserve"> och N</w:t>
            </w:r>
            <w:r w:rsidRPr="00690BB0">
              <w:rPr>
                <w:vertAlign w:val="subscript"/>
              </w:rPr>
              <w:t>1</w:t>
            </w:r>
            <w:r w:rsidRPr="00690BB0">
              <w:t xml:space="preserve"> som konstrueras av tillverkare av små serier.</w:t>
            </w:r>
          </w:p>
        </w:tc>
        <w:tc>
          <w:tcPr>
            <w:tcW w:w="4876" w:type="dxa"/>
          </w:tcPr>
          <w:p w:rsidR="00D624B1" w:rsidRPr="00690BB0" w:rsidRDefault="00D624B1" w:rsidP="003F2A5D">
            <w:pPr>
              <w:pStyle w:val="Normal6a"/>
              <w:widowControl/>
            </w:pPr>
            <w:r w:rsidRPr="00690BB0">
              <w:t>Förordningen ska tillämpas från och med den 1 juli 2030 för fordon av kategorierna M</w:t>
            </w:r>
            <w:r w:rsidRPr="00690BB0">
              <w:rPr>
                <w:vertAlign w:val="subscript"/>
              </w:rPr>
              <w:t>1</w:t>
            </w:r>
            <w:r w:rsidRPr="00690BB0">
              <w:t xml:space="preserve"> och N</w:t>
            </w:r>
            <w:r w:rsidRPr="00690BB0">
              <w:rPr>
                <w:vertAlign w:val="subscript"/>
              </w:rPr>
              <w:t>1</w:t>
            </w:r>
            <w:r w:rsidRPr="00690BB0">
              <w:t xml:space="preserve"> som konstrueras av tillverkare av små serier</w:t>
            </w:r>
            <w:r w:rsidRPr="00690BB0">
              <w:rPr>
                <w:b/>
                <w:i/>
              </w:rPr>
              <w:t xml:space="preserve"> och från och med den 1 juli 2031 för fordon av kategorierna M</w:t>
            </w:r>
            <w:r w:rsidRPr="00690BB0">
              <w:rPr>
                <w:b/>
                <w:i/>
                <w:vertAlign w:val="subscript"/>
              </w:rPr>
              <w:t>2</w:t>
            </w:r>
            <w:r w:rsidRPr="00690BB0">
              <w:rPr>
                <w:b/>
                <w:i/>
              </w:rPr>
              <w:t>, M</w:t>
            </w:r>
            <w:r w:rsidRPr="00690BB0">
              <w:rPr>
                <w:b/>
                <w:i/>
                <w:vertAlign w:val="subscript"/>
              </w:rPr>
              <w:t>3</w:t>
            </w:r>
            <w:r w:rsidRPr="00690BB0">
              <w:rPr>
                <w:b/>
                <w:i/>
              </w:rPr>
              <w:t>, N</w:t>
            </w:r>
            <w:r w:rsidRPr="00690BB0">
              <w:rPr>
                <w:b/>
                <w:i/>
                <w:vertAlign w:val="subscript"/>
              </w:rPr>
              <w:t>2</w:t>
            </w:r>
            <w:r w:rsidRPr="00690BB0">
              <w:rPr>
                <w:b/>
                <w:i/>
              </w:rPr>
              <w:t xml:space="preserve"> och N</w:t>
            </w:r>
            <w:r w:rsidRPr="00690BB0">
              <w:rPr>
                <w:b/>
                <w:i/>
                <w:vertAlign w:val="subscript"/>
              </w:rPr>
              <w:t>3</w:t>
            </w:r>
            <w:r w:rsidRPr="00690BB0">
              <w:rPr>
                <w:b/>
                <w:i/>
              </w:rPr>
              <w:t xml:space="preserve"> som konstrueras av tillverkare av små serier</w:t>
            </w:r>
            <w:r w:rsidRPr="00690BB0">
              <w:t>.</w:t>
            </w:r>
          </w:p>
        </w:tc>
      </w:tr>
    </w:tbl>
    <w:p w:rsidR="00D624B1" w:rsidRPr="00690BB0" w:rsidRDefault="00D624B1" w:rsidP="00D624B1">
      <w:pPr>
        <w:widowControl/>
      </w:pPr>
    </w:p>
    <w:p w:rsidR="00D624B1" w:rsidRPr="00690BB0" w:rsidRDefault="007B7831" w:rsidP="00D624B1">
      <w:pPr>
        <w:pStyle w:val="AmNumberTabs"/>
        <w:keepNext/>
        <w:widowControl/>
      </w:pPr>
      <w:r w:rsidRPr="00690BB0">
        <w:t>Ändring</w:t>
      </w:r>
      <w:r w:rsidR="00D624B1" w:rsidRPr="00690BB0">
        <w:tab/>
      </w:r>
      <w:r w:rsidR="00D624B1" w:rsidRPr="00690BB0">
        <w:tab/>
        <w:t>150</w:t>
      </w:r>
    </w:p>
    <w:p w:rsidR="00D624B1" w:rsidRPr="00690BB0" w:rsidRDefault="00D624B1" w:rsidP="00D624B1">
      <w:pPr>
        <w:pStyle w:val="NormalBold12b"/>
        <w:widowControl/>
      </w:pPr>
      <w:r w:rsidRPr="00690BB0">
        <w:t>Förslag till förordning</w:t>
      </w:r>
    </w:p>
    <w:p w:rsidR="00D624B1" w:rsidRPr="00690BB0" w:rsidRDefault="00D624B1" w:rsidP="00D624B1">
      <w:pPr>
        <w:pStyle w:val="NormalBold"/>
        <w:keepNext/>
        <w:widowControl/>
      </w:pPr>
      <w:r w:rsidRPr="00690BB0">
        <w:t>Bilaga I – tabell 1</w:t>
      </w:r>
    </w:p>
    <w:tbl>
      <w:tblPr>
        <w:tblStyle w:val="TableGrid"/>
        <w:tblW w:w="5000" w:type="pct"/>
        <w:tblLook w:val="04A0" w:firstRow="1" w:lastRow="0" w:firstColumn="1" w:lastColumn="0" w:noHBand="0" w:noVBand="1"/>
      </w:tblPr>
      <w:tblGrid>
        <w:gridCol w:w="1812"/>
        <w:gridCol w:w="1812"/>
        <w:gridCol w:w="1812"/>
        <w:gridCol w:w="1812"/>
        <w:gridCol w:w="1812"/>
      </w:tblGrid>
      <w:tr w:rsidR="00D624B1" w:rsidRPr="00690BB0" w:rsidTr="003F2A5D">
        <w:tc>
          <w:tcPr>
            <w:tcW w:w="4998" w:type="pct"/>
            <w:gridSpan w:val="5"/>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jc w:val="center"/>
              <w:rPr>
                <w:i/>
                <w:noProof/>
              </w:rPr>
            </w:pPr>
            <w:r w:rsidRPr="00690BB0">
              <w:rPr>
                <w:i/>
              </w:rPr>
              <w:t>Kommissionens förslag</w:t>
            </w:r>
          </w:p>
        </w:tc>
      </w:tr>
      <w:tr w:rsidR="00D624B1" w:rsidRPr="00690BB0" w:rsidTr="003F2A5D">
        <w:tc>
          <w:tcPr>
            <w:tcW w:w="4998" w:type="pct"/>
            <w:gridSpan w:val="5"/>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Tabell 1: Gränsvärden för avgasutsläpp enligt Euro 7 för fordon av kategorierna M</w:t>
            </w:r>
            <w:r w:rsidRPr="00690BB0">
              <w:rPr>
                <w:vertAlign w:val="subscript"/>
              </w:rPr>
              <w:t>1</w:t>
            </w:r>
            <w:r w:rsidRPr="00690BB0">
              <w:t xml:space="preserve"> och N</w:t>
            </w:r>
            <w:r w:rsidRPr="00690BB0">
              <w:rPr>
                <w:vertAlign w:val="subscript"/>
              </w:rPr>
              <w:t>1</w:t>
            </w:r>
            <w:r w:rsidRPr="00690BB0">
              <w:t xml:space="preserve"> med förbränningsmotor</w:t>
            </w:r>
          </w:p>
        </w:tc>
      </w:tr>
      <w:tr w:rsidR="00D624B1" w:rsidRPr="00690BB0" w:rsidTr="003F2A5D">
        <w:tc>
          <w:tcPr>
            <w:tcW w:w="1000" w:type="pct"/>
            <w:vMerge w:val="restar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rPr>
                <w:noProof/>
              </w:rPr>
            </w:pPr>
            <w:r w:rsidRPr="00690BB0">
              <w:t>Utsläpp av föroreningar</w:t>
            </w:r>
          </w:p>
        </w:tc>
        <w:tc>
          <w:tcPr>
            <w:tcW w:w="1000"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noProof/>
              </w:rPr>
            </w:pPr>
            <w:r w:rsidRPr="00690BB0">
              <w:t xml:space="preserve">Fordon av </w:t>
            </w:r>
            <w:r w:rsidRPr="00690BB0">
              <w:rPr>
                <w:b/>
                <w:bCs/>
                <w:i/>
                <w:iCs/>
              </w:rPr>
              <w:t>kategorierna</w:t>
            </w:r>
            <w:r w:rsidRPr="00690BB0">
              <w:t xml:space="preserve"> M</w:t>
            </w:r>
            <w:r w:rsidRPr="00690BB0">
              <w:rPr>
                <w:vertAlign w:val="subscript"/>
              </w:rPr>
              <w:t>1</w:t>
            </w:r>
            <w:r w:rsidRPr="00690BB0">
              <w:t xml:space="preserve"> </w:t>
            </w:r>
            <w:r w:rsidRPr="00690BB0">
              <w:rPr>
                <w:b/>
                <w:bCs/>
                <w:i/>
                <w:iCs/>
              </w:rPr>
              <w:t>och N</w:t>
            </w:r>
            <w:r w:rsidRPr="00690BB0">
              <w:rPr>
                <w:b/>
                <w:bCs/>
                <w:i/>
                <w:iCs/>
                <w:vertAlign w:val="subscript"/>
              </w:rPr>
              <w:t>1</w:t>
            </w:r>
          </w:p>
        </w:tc>
        <w:tc>
          <w:tcPr>
            <w:tcW w:w="1000"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noProof/>
              </w:rPr>
            </w:pPr>
            <w:r w:rsidRPr="00690BB0">
              <w:rPr>
                <w:b/>
                <w:bCs/>
                <w:i/>
                <w:iCs/>
              </w:rPr>
              <w:t>Endast för fordon av kategori</w:t>
            </w:r>
            <w:r w:rsidRPr="00690BB0">
              <w:t xml:space="preserve"> N</w:t>
            </w:r>
            <w:r w:rsidRPr="00690BB0">
              <w:rPr>
                <w:vertAlign w:val="subscript"/>
              </w:rPr>
              <w:t>1</w:t>
            </w:r>
            <w:r w:rsidRPr="00690BB0">
              <w:t xml:space="preserve"> </w:t>
            </w:r>
            <w:r w:rsidRPr="00690BB0">
              <w:rPr>
                <w:b/>
                <w:bCs/>
                <w:i/>
                <w:iCs/>
              </w:rPr>
              <w:t>med ett förhållande effekt/vikt</w:t>
            </w:r>
            <w:r w:rsidRPr="00690BB0">
              <w:rPr>
                <w:b/>
                <w:bCs/>
                <w:i/>
                <w:iCs/>
                <w:vertAlign w:val="superscript"/>
              </w:rPr>
              <w:t>1</w:t>
            </w:r>
            <w:r w:rsidRPr="00690BB0">
              <w:rPr>
                <w:b/>
                <w:bCs/>
                <w:i/>
                <w:iCs/>
              </w:rPr>
              <w:t xml:space="preserve"> mindre än 35 kW/t</w:t>
            </w:r>
          </w:p>
        </w:tc>
        <w:tc>
          <w:tcPr>
            <w:tcW w:w="1000"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noProof/>
              </w:rPr>
            </w:pPr>
            <w:r w:rsidRPr="00690BB0">
              <w:t>Utsläppsbudget för alla trippar som är kortare än 10 km för fordon av kategorierna M</w:t>
            </w:r>
            <w:r w:rsidRPr="00690BB0">
              <w:rPr>
                <w:vertAlign w:val="subscript"/>
              </w:rPr>
              <w:t>1</w:t>
            </w:r>
            <w:r w:rsidRPr="00690BB0">
              <w:t xml:space="preserve"> och N</w:t>
            </w:r>
            <w:r w:rsidRPr="00690BB0">
              <w:rPr>
                <w:vertAlign w:val="subscript"/>
              </w:rPr>
              <w:t>1</w:t>
            </w:r>
          </w:p>
        </w:tc>
        <w:tc>
          <w:tcPr>
            <w:tcW w:w="1000"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noProof/>
              </w:rPr>
            </w:pPr>
            <w:r w:rsidRPr="00690BB0">
              <w:t>Utsläppsbudget för alla trippar som är kortare än 10 km endast för fordon av kategori N</w:t>
            </w:r>
            <w:r w:rsidRPr="00690BB0">
              <w:rPr>
                <w:vertAlign w:val="subscript"/>
              </w:rPr>
              <w:t>1</w:t>
            </w:r>
            <w:r w:rsidRPr="00690BB0">
              <w:t xml:space="preserve"> </w:t>
            </w:r>
            <w:r w:rsidRPr="00690BB0">
              <w:rPr>
                <w:b/>
                <w:bCs/>
                <w:i/>
                <w:iCs/>
              </w:rPr>
              <w:t>med ett förhållande effekt/vikt mindre än 35 kW/t</w:t>
            </w:r>
          </w:p>
        </w:tc>
      </w:tr>
      <w:tr w:rsidR="00D624B1" w:rsidRPr="00690BB0" w:rsidTr="003F2A5D">
        <w:tc>
          <w:tcPr>
            <w:tcW w:w="0" w:type="auto"/>
            <w:vMerge/>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rPr>
                <w:noProof/>
                <w:szCs w:val="22"/>
                <w:lang w:eastAsia="en-US"/>
              </w:rPr>
            </w:pPr>
          </w:p>
        </w:tc>
        <w:tc>
          <w:tcPr>
            <w:tcW w:w="1000"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noProof/>
              </w:rPr>
            </w:pPr>
            <w:r w:rsidRPr="00690BB0">
              <w:t xml:space="preserve">per km </w:t>
            </w:r>
          </w:p>
        </w:tc>
        <w:tc>
          <w:tcPr>
            <w:tcW w:w="1000"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noProof/>
              </w:rPr>
            </w:pPr>
            <w:r w:rsidRPr="00690BB0">
              <w:t>per km</w:t>
            </w:r>
          </w:p>
        </w:tc>
        <w:tc>
          <w:tcPr>
            <w:tcW w:w="1000"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noProof/>
              </w:rPr>
            </w:pPr>
            <w:r w:rsidRPr="00690BB0">
              <w:t>per tripp</w:t>
            </w:r>
          </w:p>
        </w:tc>
        <w:tc>
          <w:tcPr>
            <w:tcW w:w="1000"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noProof/>
              </w:rPr>
            </w:pPr>
            <w:r w:rsidRPr="00690BB0">
              <w:t>per tripp</w:t>
            </w:r>
          </w:p>
        </w:tc>
      </w:tr>
      <w:tr w:rsidR="00D624B1" w:rsidRPr="00690BB0" w:rsidTr="003F2A5D">
        <w:tc>
          <w:tcPr>
            <w:tcW w:w="1000"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spacing w:line="276" w:lineRule="auto"/>
              <w:rPr>
                <w:noProof/>
              </w:rPr>
            </w:pPr>
            <w:r w:rsidRPr="00690BB0">
              <w:t>Kväveoxider i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spacing w:line="276" w:lineRule="auto"/>
              <w:jc w:val="center"/>
              <w:rPr>
                <w:noProof/>
              </w:rPr>
            </w:pPr>
            <w:r w:rsidRPr="00690BB0">
              <w:rPr>
                <w:sz w:val="22"/>
              </w:rPr>
              <w:t xml:space="preserve">60 </w:t>
            </w:r>
          </w:p>
        </w:tc>
        <w:tc>
          <w:tcPr>
            <w:tcW w:w="1000"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spacing w:line="276" w:lineRule="auto"/>
              <w:jc w:val="center"/>
              <w:rPr>
                <w:noProof/>
              </w:rPr>
            </w:pPr>
            <w:r w:rsidRPr="00690BB0">
              <w:rPr>
                <w:sz w:val="22"/>
              </w:rPr>
              <w:t>75</w:t>
            </w:r>
          </w:p>
        </w:tc>
        <w:tc>
          <w:tcPr>
            <w:tcW w:w="1000"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noProof/>
              </w:rPr>
            </w:pPr>
            <w:r w:rsidRPr="00690BB0">
              <w:rPr>
                <w:sz w:val="22"/>
              </w:rPr>
              <w:t>600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noProof/>
              </w:rPr>
            </w:pPr>
            <w:r w:rsidRPr="00690BB0">
              <w:rPr>
                <w:sz w:val="22"/>
              </w:rPr>
              <w:t>750</w:t>
            </w:r>
          </w:p>
        </w:tc>
      </w:tr>
      <w:tr w:rsidR="00D624B1" w:rsidRPr="00690BB0" w:rsidTr="003F2A5D">
        <w:trPr>
          <w:trHeight w:val="50"/>
        </w:trPr>
        <w:tc>
          <w:tcPr>
            <w:tcW w:w="1000"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spacing w:line="276" w:lineRule="auto"/>
              <w:rPr>
                <w:noProof/>
              </w:rPr>
            </w:pPr>
            <w:r w:rsidRPr="00690BB0">
              <w:t>Partikelmassa i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spacing w:line="276" w:lineRule="auto"/>
              <w:jc w:val="center"/>
              <w:rPr>
                <w:noProof/>
              </w:rPr>
            </w:pPr>
            <w:r w:rsidRPr="00690BB0">
              <w:rPr>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spacing w:line="276" w:lineRule="auto"/>
              <w:jc w:val="center"/>
              <w:rPr>
                <w:noProof/>
              </w:rPr>
            </w:pPr>
            <w:r w:rsidRPr="00690BB0">
              <w:rPr>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noProof/>
              </w:rPr>
            </w:pPr>
            <w:r w:rsidRPr="00690BB0">
              <w:rPr>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noProof/>
              </w:rPr>
            </w:pPr>
            <w:r w:rsidRPr="00690BB0">
              <w:rPr>
                <w:sz w:val="22"/>
              </w:rPr>
              <w:t>45</w:t>
            </w:r>
          </w:p>
        </w:tc>
      </w:tr>
      <w:tr w:rsidR="00D624B1" w:rsidRPr="00690BB0" w:rsidTr="003F2A5D">
        <w:tc>
          <w:tcPr>
            <w:tcW w:w="1000"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spacing w:line="276" w:lineRule="auto"/>
              <w:rPr>
                <w:noProof/>
              </w:rPr>
            </w:pPr>
            <w:r w:rsidRPr="00690BB0">
              <w:t>PN</w:t>
            </w:r>
            <w:r w:rsidRPr="00690BB0">
              <w:rPr>
                <w:vertAlign w:val="subscript"/>
              </w:rPr>
              <w:t>10</w:t>
            </w:r>
            <w:r w:rsidRPr="00690BB0">
              <w:t xml:space="preserve"> i antal </w:t>
            </w:r>
          </w:p>
        </w:tc>
        <w:tc>
          <w:tcPr>
            <w:tcW w:w="1000"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spacing w:line="276" w:lineRule="auto"/>
              <w:jc w:val="center"/>
              <w:rPr>
                <w:noProof/>
              </w:rPr>
            </w:pPr>
            <w:r w:rsidRPr="00690BB0">
              <w:rPr>
                <w:sz w:val="22"/>
              </w:rPr>
              <w:t>6×10</w:t>
            </w:r>
            <w:r w:rsidRPr="00690BB0">
              <w:rPr>
                <w:sz w:val="22"/>
                <w:vertAlign w:val="superscript"/>
              </w:rPr>
              <w:t>11</w:t>
            </w:r>
          </w:p>
        </w:tc>
        <w:tc>
          <w:tcPr>
            <w:tcW w:w="1000"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spacing w:line="276" w:lineRule="auto"/>
              <w:jc w:val="center"/>
              <w:rPr>
                <w:noProof/>
              </w:rPr>
            </w:pPr>
            <w:r w:rsidRPr="00690BB0">
              <w:rPr>
                <w:sz w:val="22"/>
              </w:rPr>
              <w:t>6×10</w:t>
            </w:r>
            <w:r w:rsidRPr="00690BB0">
              <w:rPr>
                <w:sz w:val="22"/>
                <w:vertAlign w:val="superscript"/>
              </w:rPr>
              <w:t>11</w:t>
            </w:r>
          </w:p>
        </w:tc>
        <w:tc>
          <w:tcPr>
            <w:tcW w:w="1000"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noProof/>
              </w:rPr>
            </w:pPr>
            <w:r w:rsidRPr="00690BB0">
              <w:rPr>
                <w:sz w:val="22"/>
              </w:rPr>
              <w:t>6×10</w:t>
            </w:r>
            <w:r w:rsidRPr="00690BB0">
              <w:rPr>
                <w:sz w:val="22"/>
                <w:vertAlign w:val="superscript"/>
              </w:rPr>
              <w:t>12</w:t>
            </w:r>
          </w:p>
        </w:tc>
        <w:tc>
          <w:tcPr>
            <w:tcW w:w="1000"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noProof/>
              </w:rPr>
            </w:pPr>
            <w:r w:rsidRPr="00690BB0">
              <w:rPr>
                <w:sz w:val="22"/>
              </w:rPr>
              <w:t>6×10</w:t>
            </w:r>
            <w:r w:rsidRPr="00690BB0">
              <w:rPr>
                <w:sz w:val="22"/>
                <w:vertAlign w:val="superscript"/>
              </w:rPr>
              <w:t>12</w:t>
            </w:r>
          </w:p>
        </w:tc>
      </w:tr>
      <w:tr w:rsidR="00D624B1" w:rsidRPr="00690BB0" w:rsidTr="003F2A5D">
        <w:tc>
          <w:tcPr>
            <w:tcW w:w="1000"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spacing w:line="276" w:lineRule="auto"/>
              <w:rPr>
                <w:noProof/>
              </w:rPr>
            </w:pPr>
            <w:r w:rsidRPr="00690BB0">
              <w:t>Kolmonoxid i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spacing w:line="276" w:lineRule="auto"/>
              <w:jc w:val="center"/>
              <w:rPr>
                <w:noProof/>
              </w:rPr>
            </w:pPr>
            <w:r w:rsidRPr="00690BB0">
              <w:rPr>
                <w:sz w:val="22"/>
              </w:rPr>
              <w:t>500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spacing w:line="276" w:lineRule="auto"/>
              <w:jc w:val="center"/>
              <w:rPr>
                <w:noProof/>
              </w:rPr>
            </w:pPr>
            <w:r w:rsidRPr="00690BB0">
              <w:rPr>
                <w:sz w:val="22"/>
              </w:rPr>
              <w:t>630</w:t>
            </w:r>
          </w:p>
        </w:tc>
        <w:tc>
          <w:tcPr>
            <w:tcW w:w="1000"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noProof/>
              </w:rPr>
            </w:pPr>
            <w:r w:rsidRPr="00690BB0">
              <w:rPr>
                <w:sz w:val="22"/>
              </w:rPr>
              <w:t>5000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noProof/>
              </w:rPr>
            </w:pPr>
            <w:r w:rsidRPr="00690BB0">
              <w:rPr>
                <w:sz w:val="22"/>
              </w:rPr>
              <w:t>6300</w:t>
            </w:r>
          </w:p>
        </w:tc>
      </w:tr>
      <w:tr w:rsidR="00D624B1" w:rsidRPr="00690BB0" w:rsidTr="003F2A5D">
        <w:tc>
          <w:tcPr>
            <w:tcW w:w="1000"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spacing w:line="276" w:lineRule="auto"/>
              <w:rPr>
                <w:noProof/>
              </w:rPr>
            </w:pPr>
            <w:r w:rsidRPr="00690BB0">
              <w:t>Totala kolväten i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spacing w:line="276" w:lineRule="auto"/>
              <w:jc w:val="center"/>
              <w:rPr>
                <w:noProof/>
              </w:rPr>
            </w:pPr>
            <w:r w:rsidRPr="00690BB0">
              <w:rPr>
                <w:sz w:val="22"/>
              </w:rPr>
              <w:t>100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spacing w:line="276" w:lineRule="auto"/>
              <w:jc w:val="center"/>
              <w:rPr>
                <w:noProof/>
              </w:rPr>
            </w:pPr>
            <w:r w:rsidRPr="00690BB0">
              <w:rPr>
                <w:sz w:val="22"/>
              </w:rPr>
              <w:t>130</w:t>
            </w:r>
          </w:p>
        </w:tc>
        <w:tc>
          <w:tcPr>
            <w:tcW w:w="1000"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noProof/>
              </w:rPr>
            </w:pPr>
            <w:r w:rsidRPr="00690BB0">
              <w:rPr>
                <w:sz w:val="22"/>
              </w:rPr>
              <w:t>1000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noProof/>
              </w:rPr>
            </w:pPr>
            <w:r w:rsidRPr="00690BB0">
              <w:rPr>
                <w:sz w:val="22"/>
              </w:rPr>
              <w:t>1300</w:t>
            </w:r>
          </w:p>
        </w:tc>
      </w:tr>
      <w:tr w:rsidR="00D624B1" w:rsidRPr="00690BB0" w:rsidTr="003F2A5D">
        <w:tc>
          <w:tcPr>
            <w:tcW w:w="1000"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spacing w:line="276" w:lineRule="auto"/>
              <w:rPr>
                <w:noProof/>
              </w:rPr>
            </w:pPr>
            <w:r w:rsidRPr="00690BB0">
              <w:t>Andra kolväten än metan i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spacing w:line="276" w:lineRule="auto"/>
              <w:jc w:val="center"/>
              <w:rPr>
                <w:noProof/>
              </w:rPr>
            </w:pPr>
            <w:r w:rsidRPr="00690BB0">
              <w:rPr>
                <w:sz w:val="22"/>
              </w:rPr>
              <w:t>68</w:t>
            </w:r>
          </w:p>
        </w:tc>
        <w:tc>
          <w:tcPr>
            <w:tcW w:w="1000"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spacing w:line="276" w:lineRule="auto"/>
              <w:jc w:val="center"/>
              <w:rPr>
                <w:noProof/>
              </w:rPr>
            </w:pPr>
            <w:r w:rsidRPr="00690BB0">
              <w:rPr>
                <w:sz w:val="22"/>
              </w:rPr>
              <w:t>90</w:t>
            </w:r>
          </w:p>
        </w:tc>
        <w:tc>
          <w:tcPr>
            <w:tcW w:w="1000"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noProof/>
              </w:rPr>
            </w:pPr>
            <w:r w:rsidRPr="00690BB0">
              <w:rPr>
                <w:sz w:val="22"/>
              </w:rPr>
              <w:t>680</w:t>
            </w:r>
          </w:p>
        </w:tc>
        <w:tc>
          <w:tcPr>
            <w:tcW w:w="1000"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noProof/>
              </w:rPr>
            </w:pPr>
            <w:r w:rsidRPr="00690BB0">
              <w:rPr>
                <w:sz w:val="22"/>
              </w:rPr>
              <w:t>900</w:t>
            </w:r>
          </w:p>
        </w:tc>
      </w:tr>
      <w:tr w:rsidR="00D624B1" w:rsidRPr="00690BB0" w:rsidTr="003F2A5D">
        <w:tc>
          <w:tcPr>
            <w:tcW w:w="1000"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spacing w:line="276" w:lineRule="auto"/>
              <w:rPr>
                <w:noProof/>
              </w:rPr>
            </w:pPr>
            <w:r w:rsidRPr="00690BB0">
              <w:t>Ammoniak i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spacing w:line="276" w:lineRule="auto"/>
              <w:jc w:val="center"/>
              <w:rPr>
                <w:noProof/>
              </w:rPr>
            </w:pPr>
            <w:r w:rsidRPr="00690BB0">
              <w:rPr>
                <w:sz w:val="22"/>
              </w:rPr>
              <w:t>20</w:t>
            </w:r>
          </w:p>
        </w:tc>
        <w:tc>
          <w:tcPr>
            <w:tcW w:w="1000"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spacing w:line="276" w:lineRule="auto"/>
              <w:jc w:val="center"/>
              <w:rPr>
                <w:noProof/>
              </w:rPr>
            </w:pPr>
            <w:r w:rsidRPr="00690BB0">
              <w:rPr>
                <w:sz w:val="22"/>
              </w:rPr>
              <w:t>20</w:t>
            </w:r>
          </w:p>
        </w:tc>
        <w:tc>
          <w:tcPr>
            <w:tcW w:w="1000"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noProof/>
              </w:rPr>
            </w:pPr>
            <w:r w:rsidRPr="00690BB0">
              <w:rPr>
                <w:sz w:val="22"/>
              </w:rPr>
              <w:t>200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noProof/>
              </w:rPr>
            </w:pPr>
            <w:r w:rsidRPr="00690BB0">
              <w:rPr>
                <w:sz w:val="22"/>
              </w:rPr>
              <w:t>200</w:t>
            </w:r>
          </w:p>
        </w:tc>
      </w:tr>
      <w:tr w:rsidR="00D624B1" w:rsidRPr="00690BB0" w:rsidTr="003F2A5D">
        <w:tc>
          <w:tcPr>
            <w:tcW w:w="4998" w:type="pct"/>
            <w:gridSpan w:val="5"/>
            <w:tcBorders>
              <w:top w:val="single" w:sz="4" w:space="0" w:color="auto"/>
              <w:left w:val="single" w:sz="4" w:space="0" w:color="auto"/>
              <w:bottom w:val="single" w:sz="4" w:space="0" w:color="auto"/>
              <w:right w:val="single" w:sz="4" w:space="0" w:color="auto"/>
            </w:tcBorders>
          </w:tcPr>
          <w:p w:rsidR="00D624B1" w:rsidRPr="00690BB0" w:rsidRDefault="00D624B1" w:rsidP="003F2A5D">
            <w:pPr>
              <w:pStyle w:val="FootnoteText"/>
              <w:rPr>
                <w:b/>
                <w:i/>
                <w:noProof/>
                <w:lang w:val="sv-SE"/>
              </w:rPr>
            </w:pPr>
            <w:r w:rsidRPr="00690BB0">
              <w:rPr>
                <w:b/>
                <w:i/>
                <w:sz w:val="18"/>
                <w:vertAlign w:val="superscript"/>
                <w:lang w:val="sv-SE"/>
              </w:rPr>
              <w:t>1</w:t>
            </w:r>
            <w:r w:rsidRPr="00690BB0">
              <w:rPr>
                <w:b/>
                <w:i/>
                <w:sz w:val="18"/>
                <w:lang w:val="sv-SE"/>
              </w:rPr>
              <w:t xml:space="preserve"> Uppmätt i enlighet med punkt 5.3.2 i FN-föreskrift nr 85 när det gäller fordon med endast förbränningsmotorer och fordon med endast eldrift eller, i alla andra fall, uppmätt i enlighet med ett av de provningsförfaranden som anges i punkt 6 i FN:s globala tekniska föreskrift nr 21.</w:t>
            </w:r>
          </w:p>
        </w:tc>
      </w:tr>
    </w:tbl>
    <w:p w:rsidR="00D624B1" w:rsidRPr="00690BB0" w:rsidRDefault="00D624B1" w:rsidP="00D624B1">
      <w:pPr>
        <w:pStyle w:val="AmOrLang"/>
        <w:widowControl/>
      </w:pPr>
    </w:p>
    <w:tbl>
      <w:tblPr>
        <w:tblStyle w:val="TableGrid"/>
        <w:tblW w:w="5000" w:type="pct"/>
        <w:tblLook w:val="04A0" w:firstRow="1" w:lastRow="0" w:firstColumn="1" w:lastColumn="0" w:noHBand="0" w:noVBand="1"/>
      </w:tblPr>
      <w:tblGrid>
        <w:gridCol w:w="1192"/>
        <w:gridCol w:w="791"/>
        <w:gridCol w:w="666"/>
        <w:gridCol w:w="666"/>
        <w:gridCol w:w="663"/>
        <w:gridCol w:w="1307"/>
        <w:gridCol w:w="1234"/>
        <w:gridCol w:w="1307"/>
        <w:gridCol w:w="1234"/>
      </w:tblGrid>
      <w:tr w:rsidR="00D624B1" w:rsidRPr="00690BB0" w:rsidTr="003F2A5D">
        <w:tc>
          <w:tcPr>
            <w:tcW w:w="623"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jc w:val="center"/>
              <w:rPr>
                <w:i/>
                <w:noProof/>
              </w:rPr>
            </w:pPr>
          </w:p>
        </w:tc>
        <w:tc>
          <w:tcPr>
            <w:tcW w:w="538"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jc w:val="center"/>
              <w:rPr>
                <w:i/>
                <w:noProof/>
              </w:rPr>
            </w:pPr>
          </w:p>
        </w:tc>
        <w:tc>
          <w:tcPr>
            <w:tcW w:w="503"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jc w:val="center"/>
              <w:rPr>
                <w:i/>
                <w:noProof/>
              </w:rPr>
            </w:pPr>
          </w:p>
        </w:tc>
        <w:tc>
          <w:tcPr>
            <w:tcW w:w="2765" w:type="pct"/>
            <w:gridSpan w:val="5"/>
            <w:tcBorders>
              <w:top w:val="single" w:sz="4" w:space="0" w:color="auto"/>
              <w:left w:val="single" w:sz="4" w:space="0" w:color="auto"/>
              <w:bottom w:val="single" w:sz="4" w:space="0" w:color="auto"/>
              <w:right w:val="single" w:sz="4" w:space="0" w:color="auto"/>
            </w:tcBorders>
          </w:tcPr>
          <w:p w:rsidR="00D624B1" w:rsidRPr="00690BB0" w:rsidRDefault="007B7831" w:rsidP="003F2A5D">
            <w:pPr>
              <w:widowControl/>
              <w:jc w:val="center"/>
              <w:rPr>
                <w:i/>
                <w:noProof/>
              </w:rPr>
            </w:pPr>
            <w:r w:rsidRPr="00690BB0">
              <w:rPr>
                <w:i/>
              </w:rPr>
              <w:t>Ändring</w:t>
            </w:r>
          </w:p>
        </w:tc>
        <w:tc>
          <w:tcPr>
            <w:tcW w:w="56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jc w:val="center"/>
              <w:rPr>
                <w:i/>
                <w:noProof/>
              </w:rPr>
            </w:pPr>
          </w:p>
        </w:tc>
      </w:tr>
      <w:tr w:rsidR="00D624B1" w:rsidRPr="00690BB0" w:rsidTr="003F2A5D">
        <w:tc>
          <w:tcPr>
            <w:tcW w:w="4998" w:type="pct"/>
            <w:gridSpan w:val="9"/>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Tabell 1: Gränsvärden för avgasutsläpp enligt Euro 7 för fordon av kategorierna M</w:t>
            </w:r>
            <w:r w:rsidRPr="00690BB0">
              <w:rPr>
                <w:vertAlign w:val="subscript"/>
              </w:rPr>
              <w:t>1</w:t>
            </w:r>
            <w:r w:rsidRPr="00690BB0">
              <w:t xml:space="preserve"> och N</w:t>
            </w:r>
            <w:r w:rsidRPr="00690BB0">
              <w:rPr>
                <w:vertAlign w:val="subscript"/>
              </w:rPr>
              <w:t>1</w:t>
            </w:r>
            <w:r w:rsidRPr="00690BB0">
              <w:t xml:space="preserve"> med förbränningsmotor</w:t>
            </w:r>
          </w:p>
        </w:tc>
      </w:tr>
      <w:tr w:rsidR="00D624B1" w:rsidRPr="00690BB0" w:rsidTr="003F2A5D">
        <w:tc>
          <w:tcPr>
            <w:tcW w:w="623"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p>
        </w:tc>
        <w:tc>
          <w:tcPr>
            <w:tcW w:w="538"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noProof/>
              </w:rPr>
            </w:pPr>
            <w:r w:rsidRPr="00690BB0">
              <w:t>Fordon av kategori M</w:t>
            </w:r>
            <w:r w:rsidRPr="00690BB0">
              <w:rPr>
                <w:vertAlign w:val="subscript"/>
              </w:rPr>
              <w:t>1</w:t>
            </w:r>
          </w:p>
        </w:tc>
        <w:tc>
          <w:tcPr>
            <w:tcW w:w="503" w:type="pct"/>
            <w:tcBorders>
              <w:top w:val="single" w:sz="4" w:space="0" w:color="auto"/>
              <w:left w:val="single" w:sz="4" w:space="0" w:color="auto"/>
              <w:bottom w:val="single" w:sz="4" w:space="0" w:color="auto"/>
              <w:right w:val="single" w:sz="4" w:space="0" w:color="auto"/>
            </w:tcBorders>
            <w:vAlign w:val="center"/>
          </w:tcPr>
          <w:p w:rsidR="00D624B1" w:rsidRPr="00690BB0" w:rsidRDefault="00D624B1" w:rsidP="003F2A5D">
            <w:pPr>
              <w:widowControl/>
              <w:jc w:val="center"/>
              <w:rPr>
                <w:b/>
                <w:bCs/>
                <w:i/>
                <w:iCs/>
                <w:sz w:val="22"/>
                <w:szCs w:val="22"/>
              </w:rPr>
            </w:pPr>
            <w:r w:rsidRPr="00690BB0">
              <w:rPr>
                <w:b/>
                <w:i/>
                <w:sz w:val="22"/>
              </w:rPr>
              <w:t>N</w:t>
            </w:r>
            <w:r w:rsidRPr="00690BB0">
              <w:rPr>
                <w:b/>
                <w:i/>
                <w:sz w:val="22"/>
                <w:vertAlign w:val="subscript"/>
              </w:rPr>
              <w:t>1</w:t>
            </w:r>
            <w:r w:rsidRPr="00690BB0">
              <w:rPr>
                <w:b/>
                <w:i/>
                <w:sz w:val="22"/>
              </w:rPr>
              <w:t xml:space="preserve"> (klass I)</w:t>
            </w:r>
          </w:p>
        </w:tc>
        <w:tc>
          <w:tcPr>
            <w:tcW w:w="503"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noProof/>
              </w:rPr>
            </w:pPr>
            <w:r w:rsidRPr="00690BB0">
              <w:t>N</w:t>
            </w:r>
            <w:r w:rsidRPr="00690BB0">
              <w:rPr>
                <w:vertAlign w:val="subscript"/>
              </w:rPr>
              <w:t>1</w:t>
            </w:r>
            <w:r w:rsidRPr="00690BB0">
              <w:rPr>
                <w:b/>
                <w:bCs/>
                <w:i/>
                <w:iCs/>
              </w:rPr>
              <w:t xml:space="preserve"> (klass II)</w:t>
            </w:r>
          </w:p>
        </w:tc>
        <w:tc>
          <w:tcPr>
            <w:tcW w:w="503" w:type="pct"/>
            <w:tcBorders>
              <w:top w:val="single" w:sz="4" w:space="0" w:color="auto"/>
              <w:left w:val="single" w:sz="4" w:space="0" w:color="auto"/>
              <w:bottom w:val="single" w:sz="4" w:space="0" w:color="auto"/>
              <w:right w:val="single" w:sz="4" w:space="0" w:color="auto"/>
            </w:tcBorders>
            <w:vAlign w:val="center"/>
          </w:tcPr>
          <w:p w:rsidR="00D624B1" w:rsidRPr="00690BB0" w:rsidRDefault="00D624B1" w:rsidP="003F2A5D">
            <w:pPr>
              <w:widowControl/>
              <w:jc w:val="center"/>
              <w:rPr>
                <w:noProof/>
              </w:rPr>
            </w:pPr>
            <w:r w:rsidRPr="00690BB0">
              <w:rPr>
                <w:b/>
                <w:i/>
                <w:sz w:val="22"/>
              </w:rPr>
              <w:t>N</w:t>
            </w:r>
            <w:r w:rsidRPr="00690BB0">
              <w:rPr>
                <w:b/>
                <w:i/>
                <w:sz w:val="22"/>
                <w:vertAlign w:val="subscript"/>
              </w:rPr>
              <w:t>1</w:t>
            </w:r>
            <w:r w:rsidRPr="00690BB0">
              <w:rPr>
                <w:b/>
                <w:i/>
                <w:sz w:val="22"/>
              </w:rPr>
              <w:t xml:space="preserve"> (klass III)</w:t>
            </w:r>
          </w:p>
        </w:tc>
        <w:tc>
          <w:tcPr>
            <w:tcW w:w="595"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noProof/>
              </w:rPr>
            </w:pPr>
            <w:r w:rsidRPr="00690BB0">
              <w:t>Utsläppsbudget för alla trippar som är kortare än 10 km för fordon av kategorierna M</w:t>
            </w:r>
            <w:r w:rsidRPr="00690BB0">
              <w:rPr>
                <w:vertAlign w:val="subscript"/>
              </w:rPr>
              <w:t>1</w:t>
            </w:r>
            <w:r w:rsidRPr="00690BB0">
              <w:t xml:space="preserve"> och N</w:t>
            </w:r>
            <w:r w:rsidRPr="00690BB0">
              <w:rPr>
                <w:vertAlign w:val="subscript"/>
              </w:rPr>
              <w:t>1</w:t>
            </w:r>
          </w:p>
        </w:tc>
        <w:tc>
          <w:tcPr>
            <w:tcW w:w="569" w:type="pct"/>
            <w:tcBorders>
              <w:top w:val="single" w:sz="4" w:space="0" w:color="auto"/>
              <w:left w:val="single" w:sz="4" w:space="0" w:color="auto"/>
              <w:bottom w:val="single" w:sz="4" w:space="0" w:color="auto"/>
              <w:right w:val="single" w:sz="4" w:space="0" w:color="auto"/>
            </w:tcBorders>
            <w:vAlign w:val="center"/>
          </w:tcPr>
          <w:p w:rsidR="00D624B1" w:rsidRPr="00690BB0" w:rsidRDefault="00D624B1" w:rsidP="003F2A5D">
            <w:pPr>
              <w:widowControl/>
              <w:jc w:val="center"/>
              <w:rPr>
                <w:b/>
                <w:bCs/>
                <w:i/>
                <w:iCs/>
                <w:sz w:val="22"/>
                <w:szCs w:val="22"/>
              </w:rPr>
            </w:pPr>
            <w:r w:rsidRPr="00690BB0">
              <w:rPr>
                <w:b/>
                <w:i/>
                <w:sz w:val="22"/>
              </w:rPr>
              <w:t>Utsläppsbudget för alla trippar som är kortare än 10 km för fordon av kategori N</w:t>
            </w:r>
            <w:r w:rsidRPr="00690BB0">
              <w:rPr>
                <w:b/>
                <w:i/>
                <w:sz w:val="22"/>
                <w:vertAlign w:val="subscript"/>
              </w:rPr>
              <w:t>1</w:t>
            </w:r>
            <w:r w:rsidRPr="00690BB0">
              <w:rPr>
                <w:b/>
                <w:i/>
                <w:sz w:val="22"/>
              </w:rPr>
              <w:t xml:space="preserve"> (klass I)</w:t>
            </w:r>
          </w:p>
        </w:tc>
        <w:tc>
          <w:tcPr>
            <w:tcW w:w="595"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noProof/>
              </w:rPr>
            </w:pPr>
            <w:r w:rsidRPr="00690BB0">
              <w:t>Utsläppsbudget för alla trippar som är kortare än 10 km endast för fordon av kategori N</w:t>
            </w:r>
            <w:r w:rsidRPr="00690BB0">
              <w:rPr>
                <w:vertAlign w:val="subscript"/>
              </w:rPr>
              <w:t>1</w:t>
            </w:r>
            <w:r w:rsidRPr="00690BB0">
              <w:t xml:space="preserve"> </w:t>
            </w:r>
            <w:r w:rsidRPr="00690BB0">
              <w:rPr>
                <w:b/>
                <w:bCs/>
                <w:i/>
                <w:iCs/>
              </w:rPr>
              <w:t>(klass II)</w:t>
            </w:r>
          </w:p>
        </w:tc>
        <w:tc>
          <w:tcPr>
            <w:tcW w:w="569" w:type="pct"/>
            <w:tcBorders>
              <w:top w:val="single" w:sz="4" w:space="0" w:color="auto"/>
              <w:left w:val="single" w:sz="4" w:space="0" w:color="auto"/>
              <w:bottom w:val="single" w:sz="4" w:space="0" w:color="auto"/>
              <w:right w:val="single" w:sz="4" w:space="0" w:color="auto"/>
            </w:tcBorders>
            <w:vAlign w:val="center"/>
          </w:tcPr>
          <w:p w:rsidR="00D624B1" w:rsidRPr="00690BB0" w:rsidRDefault="00D624B1" w:rsidP="003F2A5D">
            <w:pPr>
              <w:widowControl/>
              <w:jc w:val="center"/>
              <w:rPr>
                <w:b/>
                <w:bCs/>
                <w:i/>
                <w:iCs/>
                <w:sz w:val="22"/>
                <w:szCs w:val="22"/>
              </w:rPr>
            </w:pPr>
            <w:r w:rsidRPr="00690BB0">
              <w:rPr>
                <w:b/>
                <w:i/>
                <w:sz w:val="22"/>
              </w:rPr>
              <w:t>Utsläppsbudget för alla trippar som är kortare än 10 km för fordon av kategori N</w:t>
            </w:r>
            <w:r w:rsidRPr="00690BB0">
              <w:rPr>
                <w:b/>
                <w:i/>
                <w:sz w:val="22"/>
                <w:vertAlign w:val="subscript"/>
              </w:rPr>
              <w:t>1</w:t>
            </w:r>
            <w:r w:rsidRPr="00690BB0">
              <w:rPr>
                <w:b/>
                <w:i/>
                <w:sz w:val="22"/>
              </w:rPr>
              <w:t xml:space="preserve"> (klass III)</w:t>
            </w:r>
          </w:p>
        </w:tc>
      </w:tr>
      <w:tr w:rsidR="00D624B1" w:rsidRPr="00690BB0" w:rsidTr="003F2A5D">
        <w:tc>
          <w:tcPr>
            <w:tcW w:w="623"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rPr>
                <w:b/>
                <w:i/>
                <w:sz w:val="22"/>
              </w:rPr>
              <w:t>Vikt i körklart skick (MRO) i kg</w:t>
            </w:r>
          </w:p>
        </w:tc>
        <w:tc>
          <w:tcPr>
            <w:tcW w:w="538" w:type="pct"/>
            <w:tcBorders>
              <w:top w:val="single" w:sz="4" w:space="0" w:color="auto"/>
              <w:left w:val="single" w:sz="4" w:space="0" w:color="auto"/>
              <w:bottom w:val="single" w:sz="4" w:space="0" w:color="auto"/>
              <w:right w:val="single" w:sz="4" w:space="0" w:color="auto"/>
            </w:tcBorders>
            <w:vAlign w:val="center"/>
          </w:tcPr>
          <w:p w:rsidR="00D624B1" w:rsidRPr="00690BB0" w:rsidRDefault="00D624B1" w:rsidP="003F2A5D">
            <w:pPr>
              <w:widowControl/>
              <w:jc w:val="center"/>
              <w:rPr>
                <w:b/>
                <w:i/>
                <w:noProof/>
              </w:rPr>
            </w:pPr>
            <w:r w:rsidRPr="00690BB0">
              <w:rPr>
                <w:b/>
                <w:i/>
              </w:rPr>
              <w:t>–</w:t>
            </w:r>
          </w:p>
        </w:tc>
        <w:tc>
          <w:tcPr>
            <w:tcW w:w="503" w:type="pct"/>
            <w:tcBorders>
              <w:top w:val="single" w:sz="4" w:space="0" w:color="auto"/>
              <w:left w:val="single" w:sz="4" w:space="0" w:color="auto"/>
              <w:bottom w:val="single" w:sz="4" w:space="0" w:color="auto"/>
              <w:right w:val="single" w:sz="4" w:space="0" w:color="auto"/>
            </w:tcBorders>
            <w:vAlign w:val="center"/>
          </w:tcPr>
          <w:p w:rsidR="00D624B1" w:rsidRPr="00690BB0" w:rsidRDefault="00D624B1" w:rsidP="003F2A5D">
            <w:pPr>
              <w:widowControl/>
              <w:jc w:val="center"/>
              <w:rPr>
                <w:b/>
                <w:i/>
                <w:sz w:val="22"/>
                <w:szCs w:val="22"/>
              </w:rPr>
            </w:pPr>
            <w:r w:rsidRPr="00690BB0">
              <w:rPr>
                <w:b/>
                <w:i/>
                <w:sz w:val="22"/>
              </w:rPr>
              <w:t>För N</w:t>
            </w:r>
            <w:r w:rsidRPr="00690BB0">
              <w:rPr>
                <w:b/>
                <w:i/>
                <w:sz w:val="22"/>
                <w:vertAlign w:val="subscript"/>
              </w:rPr>
              <w:t>1</w:t>
            </w:r>
            <w:r w:rsidRPr="00690BB0">
              <w:rPr>
                <w:b/>
                <w:i/>
                <w:sz w:val="22"/>
              </w:rPr>
              <w:t>-fordon med MRO ≤ 1280</w:t>
            </w:r>
          </w:p>
        </w:tc>
        <w:tc>
          <w:tcPr>
            <w:tcW w:w="503" w:type="pct"/>
            <w:tcBorders>
              <w:top w:val="single" w:sz="4" w:space="0" w:color="auto"/>
              <w:left w:val="single" w:sz="4" w:space="0" w:color="auto"/>
              <w:bottom w:val="single" w:sz="4" w:space="0" w:color="auto"/>
              <w:right w:val="single" w:sz="4" w:space="0" w:color="auto"/>
            </w:tcBorders>
            <w:vAlign w:val="center"/>
          </w:tcPr>
          <w:p w:rsidR="00D624B1" w:rsidRPr="00690BB0" w:rsidRDefault="00D624B1" w:rsidP="003F2A5D">
            <w:pPr>
              <w:widowControl/>
              <w:jc w:val="center"/>
              <w:rPr>
                <w:b/>
                <w:i/>
                <w:sz w:val="22"/>
                <w:szCs w:val="22"/>
              </w:rPr>
            </w:pPr>
            <w:r w:rsidRPr="00690BB0">
              <w:rPr>
                <w:b/>
                <w:i/>
                <w:sz w:val="22"/>
              </w:rPr>
              <w:t>För N</w:t>
            </w:r>
            <w:r w:rsidRPr="00690BB0">
              <w:rPr>
                <w:b/>
                <w:i/>
                <w:sz w:val="22"/>
                <w:vertAlign w:val="subscript"/>
              </w:rPr>
              <w:t>1</w:t>
            </w:r>
            <w:r w:rsidRPr="00690BB0">
              <w:rPr>
                <w:b/>
                <w:i/>
                <w:sz w:val="22"/>
              </w:rPr>
              <w:t>-fordon med 1280 &lt; MRO ≤ 1735</w:t>
            </w:r>
          </w:p>
        </w:tc>
        <w:tc>
          <w:tcPr>
            <w:tcW w:w="503" w:type="pct"/>
            <w:tcBorders>
              <w:top w:val="single" w:sz="4" w:space="0" w:color="auto"/>
              <w:left w:val="single" w:sz="4" w:space="0" w:color="auto"/>
              <w:bottom w:val="single" w:sz="4" w:space="0" w:color="auto"/>
              <w:right w:val="single" w:sz="4" w:space="0" w:color="auto"/>
            </w:tcBorders>
            <w:vAlign w:val="center"/>
          </w:tcPr>
          <w:p w:rsidR="00D624B1" w:rsidRPr="00690BB0" w:rsidRDefault="00D624B1" w:rsidP="003F2A5D">
            <w:pPr>
              <w:widowControl/>
              <w:jc w:val="center"/>
              <w:rPr>
                <w:b/>
                <w:i/>
                <w:sz w:val="22"/>
                <w:szCs w:val="22"/>
              </w:rPr>
            </w:pPr>
            <w:r w:rsidRPr="00690BB0">
              <w:rPr>
                <w:b/>
                <w:i/>
                <w:sz w:val="22"/>
              </w:rPr>
              <w:t>För N</w:t>
            </w:r>
            <w:r w:rsidRPr="00690BB0">
              <w:rPr>
                <w:b/>
                <w:i/>
                <w:sz w:val="22"/>
                <w:vertAlign w:val="subscript"/>
              </w:rPr>
              <w:t>1</w:t>
            </w:r>
            <w:r w:rsidRPr="00690BB0">
              <w:rPr>
                <w:b/>
                <w:i/>
                <w:sz w:val="22"/>
              </w:rPr>
              <w:t>-fordon med 1735 &lt; MRO</w:t>
            </w:r>
          </w:p>
        </w:tc>
        <w:tc>
          <w:tcPr>
            <w:tcW w:w="595" w:type="pct"/>
            <w:tcBorders>
              <w:top w:val="single" w:sz="4" w:space="0" w:color="auto"/>
              <w:left w:val="single" w:sz="4" w:space="0" w:color="auto"/>
              <w:bottom w:val="single" w:sz="4" w:space="0" w:color="auto"/>
              <w:right w:val="single" w:sz="4" w:space="0" w:color="auto"/>
            </w:tcBorders>
            <w:vAlign w:val="center"/>
          </w:tcPr>
          <w:p w:rsidR="00D624B1" w:rsidRPr="00690BB0" w:rsidRDefault="00D624B1" w:rsidP="003F2A5D">
            <w:pPr>
              <w:widowControl/>
              <w:jc w:val="center"/>
              <w:rPr>
                <w:b/>
                <w:i/>
                <w:noProof/>
              </w:rPr>
            </w:pPr>
            <w:r w:rsidRPr="00690BB0">
              <w:rPr>
                <w:b/>
                <w:i/>
              </w:rPr>
              <w:t>–</w:t>
            </w:r>
          </w:p>
        </w:tc>
        <w:tc>
          <w:tcPr>
            <w:tcW w:w="569" w:type="pct"/>
            <w:tcBorders>
              <w:top w:val="single" w:sz="4" w:space="0" w:color="auto"/>
              <w:left w:val="single" w:sz="4" w:space="0" w:color="auto"/>
              <w:bottom w:val="single" w:sz="4" w:space="0" w:color="auto"/>
              <w:right w:val="single" w:sz="4" w:space="0" w:color="auto"/>
            </w:tcBorders>
            <w:vAlign w:val="center"/>
          </w:tcPr>
          <w:p w:rsidR="00D624B1" w:rsidRPr="00690BB0" w:rsidRDefault="00D624B1" w:rsidP="003F2A5D">
            <w:pPr>
              <w:widowControl/>
              <w:jc w:val="center"/>
              <w:rPr>
                <w:b/>
                <w:i/>
                <w:sz w:val="22"/>
                <w:szCs w:val="22"/>
              </w:rPr>
            </w:pPr>
            <w:r w:rsidRPr="00690BB0">
              <w:rPr>
                <w:b/>
                <w:i/>
                <w:sz w:val="22"/>
              </w:rPr>
              <w:t>För N</w:t>
            </w:r>
            <w:r w:rsidRPr="00690BB0">
              <w:rPr>
                <w:b/>
                <w:i/>
                <w:sz w:val="22"/>
                <w:vertAlign w:val="subscript"/>
              </w:rPr>
              <w:t>1</w:t>
            </w:r>
            <w:r w:rsidRPr="00690BB0">
              <w:rPr>
                <w:b/>
                <w:i/>
                <w:sz w:val="22"/>
              </w:rPr>
              <w:t>-fordon med MRO ≤ 1280</w:t>
            </w:r>
          </w:p>
        </w:tc>
        <w:tc>
          <w:tcPr>
            <w:tcW w:w="595"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jc w:val="center"/>
              <w:rPr>
                <w:b/>
                <w:i/>
                <w:noProof/>
              </w:rPr>
            </w:pPr>
            <w:r w:rsidRPr="00690BB0">
              <w:rPr>
                <w:b/>
                <w:i/>
                <w:sz w:val="22"/>
              </w:rPr>
              <w:t>För N</w:t>
            </w:r>
            <w:r w:rsidRPr="00690BB0">
              <w:rPr>
                <w:b/>
                <w:i/>
                <w:sz w:val="22"/>
                <w:vertAlign w:val="subscript"/>
              </w:rPr>
              <w:t>1</w:t>
            </w:r>
            <w:r w:rsidRPr="00690BB0">
              <w:rPr>
                <w:b/>
                <w:i/>
                <w:sz w:val="22"/>
              </w:rPr>
              <w:t>-fordon med 1280 &lt; MRO ≤ 1735</w:t>
            </w:r>
          </w:p>
        </w:tc>
        <w:tc>
          <w:tcPr>
            <w:tcW w:w="569" w:type="pct"/>
            <w:tcBorders>
              <w:top w:val="single" w:sz="4" w:space="0" w:color="auto"/>
              <w:left w:val="single" w:sz="4" w:space="0" w:color="auto"/>
              <w:bottom w:val="single" w:sz="4" w:space="0" w:color="auto"/>
              <w:right w:val="single" w:sz="4" w:space="0" w:color="auto"/>
            </w:tcBorders>
            <w:vAlign w:val="center"/>
          </w:tcPr>
          <w:p w:rsidR="00D624B1" w:rsidRPr="00690BB0" w:rsidRDefault="00D624B1" w:rsidP="003F2A5D">
            <w:pPr>
              <w:widowControl/>
              <w:jc w:val="center"/>
              <w:rPr>
                <w:b/>
                <w:i/>
                <w:sz w:val="22"/>
                <w:szCs w:val="22"/>
              </w:rPr>
            </w:pPr>
            <w:r w:rsidRPr="00690BB0">
              <w:rPr>
                <w:b/>
                <w:i/>
                <w:sz w:val="22"/>
              </w:rPr>
              <w:t>För N</w:t>
            </w:r>
            <w:r w:rsidRPr="00690BB0">
              <w:rPr>
                <w:b/>
                <w:i/>
                <w:sz w:val="22"/>
                <w:vertAlign w:val="subscript"/>
              </w:rPr>
              <w:t>1</w:t>
            </w:r>
            <w:r w:rsidRPr="00690BB0">
              <w:rPr>
                <w:b/>
                <w:i/>
                <w:sz w:val="22"/>
              </w:rPr>
              <w:t>-fordon med 1735 &lt; MRO</w:t>
            </w:r>
          </w:p>
        </w:tc>
      </w:tr>
      <w:tr w:rsidR="00D624B1" w:rsidRPr="00690BB0" w:rsidTr="003F2A5D">
        <w:tc>
          <w:tcPr>
            <w:tcW w:w="623"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rPr>
                <w:noProof/>
              </w:rPr>
            </w:pPr>
            <w:r w:rsidRPr="00690BB0">
              <w:t>Utsläpp av föroreningar</w:t>
            </w:r>
          </w:p>
        </w:tc>
        <w:tc>
          <w:tcPr>
            <w:tcW w:w="538"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noProof/>
              </w:rPr>
            </w:pPr>
            <w:r w:rsidRPr="00690BB0">
              <w:t xml:space="preserve">per km </w:t>
            </w:r>
          </w:p>
        </w:tc>
        <w:tc>
          <w:tcPr>
            <w:tcW w:w="503" w:type="pct"/>
            <w:tcBorders>
              <w:top w:val="single" w:sz="4" w:space="0" w:color="auto"/>
              <w:left w:val="single" w:sz="4" w:space="0" w:color="auto"/>
              <w:bottom w:val="single" w:sz="4" w:space="0" w:color="auto"/>
              <w:right w:val="single" w:sz="4" w:space="0" w:color="auto"/>
            </w:tcBorders>
            <w:vAlign w:val="center"/>
          </w:tcPr>
          <w:p w:rsidR="00D624B1" w:rsidRPr="00690BB0" w:rsidRDefault="00D624B1" w:rsidP="003F2A5D">
            <w:pPr>
              <w:widowControl/>
              <w:jc w:val="center"/>
              <w:rPr>
                <w:b/>
                <w:i/>
                <w:sz w:val="22"/>
                <w:szCs w:val="22"/>
              </w:rPr>
            </w:pPr>
            <w:r w:rsidRPr="00690BB0">
              <w:rPr>
                <w:b/>
                <w:i/>
                <w:sz w:val="22"/>
              </w:rPr>
              <w:t>per km</w:t>
            </w:r>
          </w:p>
        </w:tc>
        <w:tc>
          <w:tcPr>
            <w:tcW w:w="503"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noProof/>
              </w:rPr>
            </w:pPr>
            <w:r w:rsidRPr="00690BB0">
              <w:t>per km</w:t>
            </w:r>
          </w:p>
        </w:tc>
        <w:tc>
          <w:tcPr>
            <w:tcW w:w="503" w:type="pct"/>
            <w:tcBorders>
              <w:top w:val="single" w:sz="4" w:space="0" w:color="auto"/>
              <w:left w:val="single" w:sz="4" w:space="0" w:color="auto"/>
              <w:bottom w:val="single" w:sz="4" w:space="0" w:color="auto"/>
              <w:right w:val="single" w:sz="4" w:space="0" w:color="auto"/>
            </w:tcBorders>
            <w:vAlign w:val="center"/>
          </w:tcPr>
          <w:p w:rsidR="00D624B1" w:rsidRPr="00690BB0" w:rsidRDefault="00D624B1" w:rsidP="003F2A5D">
            <w:pPr>
              <w:widowControl/>
              <w:jc w:val="center"/>
              <w:rPr>
                <w:b/>
                <w:i/>
                <w:sz w:val="22"/>
                <w:szCs w:val="22"/>
              </w:rPr>
            </w:pPr>
            <w:r w:rsidRPr="00690BB0">
              <w:rPr>
                <w:b/>
                <w:i/>
                <w:sz w:val="22"/>
              </w:rPr>
              <w:t>per km</w:t>
            </w:r>
          </w:p>
        </w:tc>
        <w:tc>
          <w:tcPr>
            <w:tcW w:w="595"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noProof/>
              </w:rPr>
            </w:pPr>
            <w:r w:rsidRPr="00690BB0">
              <w:rPr>
                <w:sz w:val="22"/>
              </w:rPr>
              <w:t>per tripp</w:t>
            </w:r>
          </w:p>
        </w:tc>
        <w:tc>
          <w:tcPr>
            <w:tcW w:w="569" w:type="pct"/>
            <w:tcBorders>
              <w:top w:val="single" w:sz="4" w:space="0" w:color="auto"/>
              <w:left w:val="single" w:sz="4" w:space="0" w:color="auto"/>
              <w:bottom w:val="single" w:sz="4" w:space="0" w:color="auto"/>
              <w:right w:val="single" w:sz="4" w:space="0" w:color="auto"/>
            </w:tcBorders>
            <w:vAlign w:val="center"/>
          </w:tcPr>
          <w:p w:rsidR="00D624B1" w:rsidRPr="00690BB0" w:rsidRDefault="00D624B1" w:rsidP="003F2A5D">
            <w:pPr>
              <w:widowControl/>
              <w:jc w:val="center"/>
              <w:rPr>
                <w:sz w:val="22"/>
                <w:szCs w:val="22"/>
              </w:rPr>
            </w:pPr>
            <w:r w:rsidRPr="00690BB0">
              <w:rPr>
                <w:sz w:val="22"/>
              </w:rPr>
              <w:t>per tripp</w:t>
            </w:r>
          </w:p>
        </w:tc>
        <w:tc>
          <w:tcPr>
            <w:tcW w:w="595"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noProof/>
              </w:rPr>
            </w:pPr>
            <w:r w:rsidRPr="00690BB0">
              <w:t>per tripp</w:t>
            </w:r>
          </w:p>
        </w:tc>
        <w:tc>
          <w:tcPr>
            <w:tcW w:w="569" w:type="pct"/>
            <w:tcBorders>
              <w:top w:val="single" w:sz="4" w:space="0" w:color="auto"/>
              <w:left w:val="single" w:sz="4" w:space="0" w:color="auto"/>
              <w:bottom w:val="single" w:sz="4" w:space="0" w:color="auto"/>
              <w:right w:val="single" w:sz="4" w:space="0" w:color="auto"/>
            </w:tcBorders>
            <w:vAlign w:val="center"/>
          </w:tcPr>
          <w:p w:rsidR="00D624B1" w:rsidRPr="00690BB0" w:rsidRDefault="00D624B1" w:rsidP="003F2A5D">
            <w:pPr>
              <w:widowControl/>
              <w:jc w:val="center"/>
              <w:rPr>
                <w:sz w:val="22"/>
                <w:szCs w:val="22"/>
              </w:rPr>
            </w:pPr>
            <w:r w:rsidRPr="00690BB0">
              <w:rPr>
                <w:sz w:val="22"/>
              </w:rPr>
              <w:t>per tripp</w:t>
            </w:r>
          </w:p>
        </w:tc>
      </w:tr>
      <w:tr w:rsidR="00D624B1" w:rsidRPr="00690BB0" w:rsidTr="003F2A5D">
        <w:tc>
          <w:tcPr>
            <w:tcW w:w="623"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spacing w:line="276" w:lineRule="auto"/>
              <w:rPr>
                <w:noProof/>
              </w:rPr>
            </w:pPr>
            <w:r w:rsidRPr="00690BB0">
              <w:t>Kväveoxider i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spacing w:line="276" w:lineRule="auto"/>
              <w:jc w:val="center"/>
              <w:rPr>
                <w:noProof/>
              </w:rPr>
            </w:pPr>
            <w:r w:rsidRPr="00690BB0">
              <w:rPr>
                <w:sz w:val="22"/>
              </w:rPr>
              <w:t xml:space="preserve">60 </w:t>
            </w:r>
          </w:p>
        </w:tc>
        <w:tc>
          <w:tcPr>
            <w:tcW w:w="503" w:type="pct"/>
            <w:tcBorders>
              <w:top w:val="single" w:sz="4" w:space="0" w:color="auto"/>
              <w:left w:val="single" w:sz="4" w:space="0" w:color="auto"/>
              <w:bottom w:val="single" w:sz="4" w:space="0" w:color="auto"/>
              <w:right w:val="single" w:sz="4" w:space="0" w:color="auto"/>
            </w:tcBorders>
            <w:vAlign w:val="center"/>
          </w:tcPr>
          <w:p w:rsidR="00D624B1" w:rsidRPr="00690BB0" w:rsidRDefault="00D624B1" w:rsidP="003F2A5D">
            <w:pPr>
              <w:widowControl/>
              <w:jc w:val="center"/>
              <w:rPr>
                <w:b/>
                <w:bCs/>
                <w:i/>
                <w:iCs/>
                <w:sz w:val="22"/>
                <w:szCs w:val="22"/>
              </w:rPr>
            </w:pPr>
            <w:r w:rsidRPr="00690BB0">
              <w:rPr>
                <w:b/>
                <w:i/>
                <w:sz w:val="22"/>
              </w:rPr>
              <w:t>60</w:t>
            </w:r>
          </w:p>
        </w:tc>
        <w:tc>
          <w:tcPr>
            <w:tcW w:w="503"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spacing w:line="276" w:lineRule="auto"/>
              <w:jc w:val="center"/>
              <w:rPr>
                <w:noProof/>
              </w:rPr>
            </w:pPr>
            <w:r w:rsidRPr="00690BB0">
              <w:rPr>
                <w:sz w:val="22"/>
              </w:rPr>
              <w:t>75</w:t>
            </w:r>
          </w:p>
        </w:tc>
        <w:tc>
          <w:tcPr>
            <w:tcW w:w="503" w:type="pct"/>
            <w:tcBorders>
              <w:top w:val="single" w:sz="4" w:space="0" w:color="auto"/>
              <w:left w:val="single" w:sz="4" w:space="0" w:color="auto"/>
              <w:bottom w:val="single" w:sz="4" w:space="0" w:color="auto"/>
              <w:right w:val="single" w:sz="4" w:space="0" w:color="auto"/>
            </w:tcBorders>
            <w:vAlign w:val="center"/>
          </w:tcPr>
          <w:p w:rsidR="00D624B1" w:rsidRPr="00690BB0" w:rsidRDefault="00D624B1" w:rsidP="003F2A5D">
            <w:pPr>
              <w:widowControl/>
              <w:jc w:val="center"/>
              <w:rPr>
                <w:b/>
                <w:bCs/>
                <w:i/>
                <w:iCs/>
                <w:sz w:val="22"/>
                <w:szCs w:val="22"/>
              </w:rPr>
            </w:pPr>
            <w:r w:rsidRPr="00690BB0">
              <w:rPr>
                <w:b/>
                <w:i/>
                <w:sz w:val="22"/>
              </w:rPr>
              <w:t>82</w:t>
            </w:r>
          </w:p>
        </w:tc>
        <w:tc>
          <w:tcPr>
            <w:tcW w:w="595"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noProof/>
              </w:rPr>
            </w:pPr>
            <w:r w:rsidRPr="00690BB0">
              <w:rPr>
                <w:sz w:val="22"/>
              </w:rPr>
              <w:t>600</w:t>
            </w:r>
          </w:p>
        </w:tc>
        <w:tc>
          <w:tcPr>
            <w:tcW w:w="569" w:type="pct"/>
            <w:tcBorders>
              <w:top w:val="single" w:sz="4" w:space="0" w:color="auto"/>
              <w:left w:val="single" w:sz="4" w:space="0" w:color="auto"/>
              <w:bottom w:val="single" w:sz="4" w:space="0" w:color="auto"/>
              <w:right w:val="single" w:sz="4" w:space="0" w:color="auto"/>
            </w:tcBorders>
            <w:vAlign w:val="center"/>
          </w:tcPr>
          <w:p w:rsidR="00D624B1" w:rsidRPr="00690BB0" w:rsidRDefault="00D624B1" w:rsidP="003F2A5D">
            <w:pPr>
              <w:widowControl/>
              <w:jc w:val="center"/>
              <w:rPr>
                <w:b/>
                <w:bCs/>
                <w:i/>
                <w:iCs/>
                <w:sz w:val="22"/>
                <w:szCs w:val="22"/>
              </w:rPr>
            </w:pPr>
            <w:r w:rsidRPr="00690BB0">
              <w:rPr>
                <w:b/>
                <w:i/>
                <w:sz w:val="22"/>
              </w:rPr>
              <w:t>600</w:t>
            </w:r>
          </w:p>
        </w:tc>
        <w:tc>
          <w:tcPr>
            <w:tcW w:w="595"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noProof/>
              </w:rPr>
            </w:pPr>
            <w:r w:rsidRPr="00690BB0">
              <w:rPr>
                <w:sz w:val="22"/>
              </w:rPr>
              <w:t>750</w:t>
            </w:r>
          </w:p>
        </w:tc>
        <w:tc>
          <w:tcPr>
            <w:tcW w:w="569" w:type="pct"/>
            <w:tcBorders>
              <w:top w:val="single" w:sz="4" w:space="0" w:color="auto"/>
              <w:left w:val="single" w:sz="4" w:space="0" w:color="auto"/>
              <w:bottom w:val="single" w:sz="4" w:space="0" w:color="auto"/>
              <w:right w:val="single" w:sz="4" w:space="0" w:color="auto"/>
            </w:tcBorders>
            <w:vAlign w:val="center"/>
          </w:tcPr>
          <w:p w:rsidR="00D624B1" w:rsidRPr="00690BB0" w:rsidRDefault="00D624B1" w:rsidP="003F2A5D">
            <w:pPr>
              <w:widowControl/>
              <w:jc w:val="center"/>
              <w:rPr>
                <w:b/>
                <w:bCs/>
                <w:i/>
                <w:iCs/>
                <w:sz w:val="22"/>
                <w:szCs w:val="22"/>
              </w:rPr>
            </w:pPr>
            <w:r w:rsidRPr="00690BB0">
              <w:rPr>
                <w:b/>
                <w:i/>
                <w:sz w:val="22"/>
              </w:rPr>
              <w:t>820</w:t>
            </w:r>
          </w:p>
        </w:tc>
      </w:tr>
      <w:tr w:rsidR="00D624B1" w:rsidRPr="00690BB0" w:rsidTr="003F2A5D">
        <w:trPr>
          <w:trHeight w:val="50"/>
        </w:trPr>
        <w:tc>
          <w:tcPr>
            <w:tcW w:w="623"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spacing w:line="276" w:lineRule="auto"/>
              <w:rPr>
                <w:noProof/>
              </w:rPr>
            </w:pPr>
            <w:r w:rsidRPr="00690BB0">
              <w:t>Partikelmassa i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spacing w:line="276" w:lineRule="auto"/>
              <w:jc w:val="center"/>
              <w:rPr>
                <w:noProof/>
              </w:rPr>
            </w:pPr>
            <w:r w:rsidRPr="00690BB0">
              <w:rPr>
                <w:sz w:val="22"/>
              </w:rPr>
              <w:t>4,5</w:t>
            </w:r>
          </w:p>
        </w:tc>
        <w:tc>
          <w:tcPr>
            <w:tcW w:w="503" w:type="pct"/>
            <w:tcBorders>
              <w:top w:val="single" w:sz="4" w:space="0" w:color="auto"/>
              <w:left w:val="single" w:sz="4" w:space="0" w:color="auto"/>
              <w:bottom w:val="single" w:sz="4" w:space="0" w:color="auto"/>
              <w:right w:val="single" w:sz="4" w:space="0" w:color="auto"/>
            </w:tcBorders>
            <w:vAlign w:val="center"/>
          </w:tcPr>
          <w:p w:rsidR="00D624B1" w:rsidRPr="00690BB0" w:rsidRDefault="00D624B1" w:rsidP="003F2A5D">
            <w:pPr>
              <w:widowControl/>
              <w:jc w:val="center"/>
              <w:rPr>
                <w:b/>
                <w:bCs/>
                <w:i/>
                <w:iCs/>
                <w:sz w:val="22"/>
                <w:szCs w:val="22"/>
              </w:rPr>
            </w:pPr>
            <w:r w:rsidRPr="00690BB0">
              <w:rPr>
                <w:b/>
                <w:i/>
                <w:sz w:val="22"/>
              </w:rPr>
              <w:t>4,5</w:t>
            </w:r>
          </w:p>
        </w:tc>
        <w:tc>
          <w:tcPr>
            <w:tcW w:w="503"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spacing w:line="276" w:lineRule="auto"/>
              <w:jc w:val="center"/>
              <w:rPr>
                <w:noProof/>
              </w:rPr>
            </w:pPr>
            <w:r w:rsidRPr="00690BB0">
              <w:rPr>
                <w:sz w:val="22"/>
              </w:rPr>
              <w:t>4,5</w:t>
            </w:r>
          </w:p>
        </w:tc>
        <w:tc>
          <w:tcPr>
            <w:tcW w:w="503" w:type="pct"/>
            <w:tcBorders>
              <w:top w:val="single" w:sz="4" w:space="0" w:color="auto"/>
              <w:left w:val="single" w:sz="4" w:space="0" w:color="auto"/>
              <w:bottom w:val="single" w:sz="4" w:space="0" w:color="auto"/>
              <w:right w:val="single" w:sz="4" w:space="0" w:color="auto"/>
            </w:tcBorders>
            <w:vAlign w:val="center"/>
          </w:tcPr>
          <w:p w:rsidR="00D624B1" w:rsidRPr="00690BB0" w:rsidRDefault="00D624B1" w:rsidP="003F2A5D">
            <w:pPr>
              <w:widowControl/>
              <w:jc w:val="center"/>
              <w:rPr>
                <w:b/>
                <w:bCs/>
                <w:i/>
                <w:iCs/>
                <w:sz w:val="22"/>
                <w:szCs w:val="22"/>
              </w:rPr>
            </w:pPr>
            <w:r w:rsidRPr="00690BB0">
              <w:rPr>
                <w:b/>
                <w:i/>
                <w:sz w:val="22"/>
              </w:rPr>
              <w:t>4,5</w:t>
            </w:r>
          </w:p>
        </w:tc>
        <w:tc>
          <w:tcPr>
            <w:tcW w:w="595"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noProof/>
              </w:rPr>
            </w:pPr>
            <w:r w:rsidRPr="00690BB0">
              <w:rPr>
                <w:sz w:val="22"/>
              </w:rPr>
              <w:t>45</w:t>
            </w:r>
          </w:p>
        </w:tc>
        <w:tc>
          <w:tcPr>
            <w:tcW w:w="569" w:type="pct"/>
            <w:tcBorders>
              <w:top w:val="single" w:sz="4" w:space="0" w:color="auto"/>
              <w:left w:val="single" w:sz="4" w:space="0" w:color="auto"/>
              <w:bottom w:val="single" w:sz="4" w:space="0" w:color="auto"/>
              <w:right w:val="single" w:sz="4" w:space="0" w:color="auto"/>
            </w:tcBorders>
            <w:vAlign w:val="center"/>
          </w:tcPr>
          <w:p w:rsidR="00D624B1" w:rsidRPr="00690BB0" w:rsidRDefault="00D624B1" w:rsidP="003F2A5D">
            <w:pPr>
              <w:widowControl/>
              <w:jc w:val="center"/>
              <w:rPr>
                <w:b/>
                <w:bCs/>
                <w:i/>
                <w:iCs/>
                <w:sz w:val="22"/>
                <w:szCs w:val="22"/>
              </w:rPr>
            </w:pPr>
            <w:r w:rsidRPr="00690BB0">
              <w:rPr>
                <w:b/>
                <w:i/>
                <w:sz w:val="22"/>
              </w:rPr>
              <w:t>45</w:t>
            </w:r>
          </w:p>
        </w:tc>
        <w:tc>
          <w:tcPr>
            <w:tcW w:w="595"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noProof/>
              </w:rPr>
            </w:pPr>
            <w:r w:rsidRPr="00690BB0">
              <w:rPr>
                <w:sz w:val="22"/>
              </w:rPr>
              <w:t>45</w:t>
            </w:r>
          </w:p>
        </w:tc>
        <w:tc>
          <w:tcPr>
            <w:tcW w:w="569" w:type="pct"/>
            <w:tcBorders>
              <w:top w:val="single" w:sz="4" w:space="0" w:color="auto"/>
              <w:left w:val="single" w:sz="4" w:space="0" w:color="auto"/>
              <w:bottom w:val="single" w:sz="4" w:space="0" w:color="auto"/>
              <w:right w:val="single" w:sz="4" w:space="0" w:color="auto"/>
            </w:tcBorders>
            <w:vAlign w:val="center"/>
          </w:tcPr>
          <w:p w:rsidR="00D624B1" w:rsidRPr="00690BB0" w:rsidRDefault="00D624B1" w:rsidP="003F2A5D">
            <w:pPr>
              <w:widowControl/>
              <w:jc w:val="center"/>
              <w:rPr>
                <w:b/>
                <w:bCs/>
                <w:i/>
                <w:iCs/>
                <w:sz w:val="22"/>
                <w:szCs w:val="22"/>
              </w:rPr>
            </w:pPr>
            <w:r w:rsidRPr="00690BB0">
              <w:rPr>
                <w:b/>
                <w:i/>
                <w:sz w:val="22"/>
              </w:rPr>
              <w:t>45</w:t>
            </w:r>
          </w:p>
        </w:tc>
      </w:tr>
      <w:tr w:rsidR="00D624B1" w:rsidRPr="00690BB0" w:rsidTr="003F2A5D">
        <w:tc>
          <w:tcPr>
            <w:tcW w:w="623"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spacing w:line="276" w:lineRule="auto"/>
              <w:rPr>
                <w:noProof/>
              </w:rPr>
            </w:pPr>
            <w:r w:rsidRPr="00690BB0">
              <w:t>PN</w:t>
            </w:r>
            <w:r w:rsidRPr="00690BB0">
              <w:rPr>
                <w:vertAlign w:val="subscript"/>
              </w:rPr>
              <w:t>10</w:t>
            </w:r>
            <w:r w:rsidRPr="00690BB0">
              <w:t xml:space="preserve"> i antal </w:t>
            </w:r>
          </w:p>
        </w:tc>
        <w:tc>
          <w:tcPr>
            <w:tcW w:w="538"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spacing w:line="276" w:lineRule="auto"/>
              <w:jc w:val="center"/>
              <w:rPr>
                <w:noProof/>
              </w:rPr>
            </w:pPr>
            <w:r w:rsidRPr="00690BB0">
              <w:rPr>
                <w:sz w:val="22"/>
              </w:rPr>
              <w:t>6×10</w:t>
            </w:r>
            <w:r w:rsidRPr="00690BB0">
              <w:rPr>
                <w:sz w:val="22"/>
                <w:vertAlign w:val="superscript"/>
              </w:rPr>
              <w:t>11</w:t>
            </w:r>
          </w:p>
        </w:tc>
        <w:tc>
          <w:tcPr>
            <w:tcW w:w="503" w:type="pct"/>
            <w:tcBorders>
              <w:top w:val="single" w:sz="4" w:space="0" w:color="auto"/>
              <w:left w:val="single" w:sz="4" w:space="0" w:color="auto"/>
              <w:bottom w:val="single" w:sz="4" w:space="0" w:color="auto"/>
              <w:right w:val="single" w:sz="4" w:space="0" w:color="auto"/>
            </w:tcBorders>
            <w:vAlign w:val="center"/>
          </w:tcPr>
          <w:p w:rsidR="00D624B1" w:rsidRPr="00690BB0" w:rsidRDefault="00D624B1" w:rsidP="003F2A5D">
            <w:pPr>
              <w:widowControl/>
              <w:jc w:val="center"/>
              <w:rPr>
                <w:b/>
                <w:i/>
                <w:sz w:val="22"/>
                <w:szCs w:val="22"/>
              </w:rPr>
            </w:pPr>
            <w:r w:rsidRPr="00690BB0">
              <w:rPr>
                <w:b/>
                <w:i/>
                <w:sz w:val="22"/>
              </w:rPr>
              <w:t>6×10</w:t>
            </w:r>
            <w:r w:rsidRPr="00690BB0">
              <w:rPr>
                <w:b/>
                <w:i/>
                <w:sz w:val="22"/>
                <w:vertAlign w:val="superscript"/>
              </w:rPr>
              <w:t>11</w:t>
            </w:r>
          </w:p>
        </w:tc>
        <w:tc>
          <w:tcPr>
            <w:tcW w:w="503"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spacing w:line="276" w:lineRule="auto"/>
              <w:jc w:val="center"/>
              <w:rPr>
                <w:noProof/>
              </w:rPr>
            </w:pPr>
            <w:r w:rsidRPr="00690BB0">
              <w:rPr>
                <w:sz w:val="22"/>
              </w:rPr>
              <w:t>6×10</w:t>
            </w:r>
            <w:r w:rsidRPr="00690BB0">
              <w:rPr>
                <w:sz w:val="22"/>
                <w:vertAlign w:val="superscript"/>
              </w:rPr>
              <w:t>11</w:t>
            </w:r>
          </w:p>
        </w:tc>
        <w:tc>
          <w:tcPr>
            <w:tcW w:w="503" w:type="pct"/>
            <w:tcBorders>
              <w:top w:val="single" w:sz="4" w:space="0" w:color="auto"/>
              <w:left w:val="single" w:sz="4" w:space="0" w:color="auto"/>
              <w:bottom w:val="single" w:sz="4" w:space="0" w:color="auto"/>
              <w:right w:val="single" w:sz="4" w:space="0" w:color="auto"/>
            </w:tcBorders>
            <w:vAlign w:val="center"/>
          </w:tcPr>
          <w:p w:rsidR="00D624B1" w:rsidRPr="00690BB0" w:rsidRDefault="00D624B1" w:rsidP="003F2A5D">
            <w:pPr>
              <w:widowControl/>
              <w:jc w:val="center"/>
              <w:rPr>
                <w:b/>
                <w:bCs/>
                <w:i/>
                <w:iCs/>
                <w:sz w:val="22"/>
                <w:szCs w:val="22"/>
              </w:rPr>
            </w:pPr>
            <w:r w:rsidRPr="00690BB0">
              <w:rPr>
                <w:b/>
                <w:i/>
                <w:sz w:val="22"/>
              </w:rPr>
              <w:t>6×10</w:t>
            </w:r>
            <w:r w:rsidRPr="00690BB0">
              <w:rPr>
                <w:b/>
                <w:i/>
                <w:sz w:val="22"/>
                <w:vertAlign w:val="superscript"/>
              </w:rPr>
              <w:t>11</w:t>
            </w:r>
          </w:p>
        </w:tc>
        <w:tc>
          <w:tcPr>
            <w:tcW w:w="595"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noProof/>
              </w:rPr>
            </w:pPr>
            <w:r w:rsidRPr="00690BB0">
              <w:rPr>
                <w:sz w:val="22"/>
              </w:rPr>
              <w:t>6×10</w:t>
            </w:r>
            <w:r w:rsidRPr="00690BB0">
              <w:rPr>
                <w:sz w:val="22"/>
                <w:vertAlign w:val="superscript"/>
              </w:rPr>
              <w:t>12</w:t>
            </w:r>
          </w:p>
        </w:tc>
        <w:tc>
          <w:tcPr>
            <w:tcW w:w="569" w:type="pct"/>
            <w:tcBorders>
              <w:top w:val="single" w:sz="4" w:space="0" w:color="auto"/>
              <w:left w:val="single" w:sz="4" w:space="0" w:color="auto"/>
              <w:bottom w:val="single" w:sz="4" w:space="0" w:color="auto"/>
              <w:right w:val="single" w:sz="4" w:space="0" w:color="auto"/>
            </w:tcBorders>
            <w:vAlign w:val="center"/>
          </w:tcPr>
          <w:p w:rsidR="00D624B1" w:rsidRPr="00690BB0" w:rsidRDefault="00D624B1" w:rsidP="003F2A5D">
            <w:pPr>
              <w:widowControl/>
              <w:jc w:val="center"/>
              <w:rPr>
                <w:b/>
                <w:bCs/>
                <w:i/>
                <w:iCs/>
                <w:sz w:val="22"/>
                <w:szCs w:val="22"/>
              </w:rPr>
            </w:pPr>
            <w:r w:rsidRPr="00690BB0">
              <w:rPr>
                <w:b/>
                <w:i/>
                <w:sz w:val="22"/>
              </w:rPr>
              <w:t>6×10</w:t>
            </w:r>
            <w:r w:rsidRPr="00690BB0">
              <w:rPr>
                <w:b/>
                <w:i/>
                <w:sz w:val="22"/>
                <w:vertAlign w:val="superscript"/>
              </w:rPr>
              <w:t>12</w:t>
            </w:r>
          </w:p>
        </w:tc>
        <w:tc>
          <w:tcPr>
            <w:tcW w:w="595"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noProof/>
              </w:rPr>
            </w:pPr>
            <w:r w:rsidRPr="00690BB0">
              <w:rPr>
                <w:sz w:val="22"/>
              </w:rPr>
              <w:t>6×10</w:t>
            </w:r>
            <w:r w:rsidRPr="00690BB0">
              <w:rPr>
                <w:sz w:val="22"/>
                <w:vertAlign w:val="superscript"/>
              </w:rPr>
              <w:t>12</w:t>
            </w:r>
          </w:p>
        </w:tc>
        <w:tc>
          <w:tcPr>
            <w:tcW w:w="569" w:type="pct"/>
            <w:tcBorders>
              <w:top w:val="single" w:sz="4" w:space="0" w:color="auto"/>
              <w:left w:val="single" w:sz="4" w:space="0" w:color="auto"/>
              <w:bottom w:val="single" w:sz="4" w:space="0" w:color="auto"/>
              <w:right w:val="single" w:sz="4" w:space="0" w:color="auto"/>
            </w:tcBorders>
            <w:vAlign w:val="center"/>
          </w:tcPr>
          <w:p w:rsidR="00D624B1" w:rsidRPr="00690BB0" w:rsidRDefault="00D624B1" w:rsidP="003F2A5D">
            <w:pPr>
              <w:widowControl/>
              <w:jc w:val="center"/>
              <w:rPr>
                <w:b/>
                <w:bCs/>
                <w:i/>
                <w:iCs/>
                <w:sz w:val="22"/>
                <w:szCs w:val="22"/>
              </w:rPr>
            </w:pPr>
            <w:r w:rsidRPr="00690BB0">
              <w:rPr>
                <w:b/>
                <w:i/>
                <w:sz w:val="22"/>
              </w:rPr>
              <w:t>6×10</w:t>
            </w:r>
            <w:r w:rsidRPr="00690BB0">
              <w:rPr>
                <w:b/>
                <w:i/>
                <w:sz w:val="22"/>
                <w:vertAlign w:val="superscript"/>
              </w:rPr>
              <w:t>12</w:t>
            </w:r>
          </w:p>
        </w:tc>
      </w:tr>
      <w:tr w:rsidR="00D624B1" w:rsidRPr="00690BB0" w:rsidTr="003F2A5D">
        <w:tc>
          <w:tcPr>
            <w:tcW w:w="623"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spacing w:line="276" w:lineRule="auto"/>
              <w:rPr>
                <w:noProof/>
              </w:rPr>
            </w:pPr>
            <w:r w:rsidRPr="00690BB0">
              <w:t>Kolmonoxid i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spacing w:line="276" w:lineRule="auto"/>
              <w:jc w:val="center"/>
              <w:rPr>
                <w:noProof/>
              </w:rPr>
            </w:pPr>
            <w:r w:rsidRPr="00690BB0">
              <w:rPr>
                <w:sz w:val="22"/>
              </w:rPr>
              <w:t>500</w:t>
            </w:r>
          </w:p>
        </w:tc>
        <w:tc>
          <w:tcPr>
            <w:tcW w:w="503" w:type="pct"/>
            <w:tcBorders>
              <w:top w:val="single" w:sz="4" w:space="0" w:color="auto"/>
              <w:left w:val="single" w:sz="4" w:space="0" w:color="auto"/>
              <w:bottom w:val="single" w:sz="4" w:space="0" w:color="auto"/>
              <w:right w:val="single" w:sz="4" w:space="0" w:color="auto"/>
            </w:tcBorders>
            <w:vAlign w:val="center"/>
          </w:tcPr>
          <w:p w:rsidR="00D624B1" w:rsidRPr="00690BB0" w:rsidRDefault="00D624B1" w:rsidP="003F2A5D">
            <w:pPr>
              <w:widowControl/>
              <w:jc w:val="center"/>
              <w:rPr>
                <w:b/>
                <w:bCs/>
                <w:i/>
                <w:iCs/>
                <w:sz w:val="22"/>
                <w:szCs w:val="22"/>
              </w:rPr>
            </w:pPr>
            <w:r w:rsidRPr="00690BB0">
              <w:rPr>
                <w:b/>
                <w:i/>
                <w:sz w:val="22"/>
              </w:rPr>
              <w:t>500</w:t>
            </w:r>
          </w:p>
        </w:tc>
        <w:tc>
          <w:tcPr>
            <w:tcW w:w="503"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spacing w:line="276" w:lineRule="auto"/>
              <w:jc w:val="center"/>
              <w:rPr>
                <w:noProof/>
              </w:rPr>
            </w:pPr>
            <w:r w:rsidRPr="00690BB0">
              <w:rPr>
                <w:sz w:val="22"/>
              </w:rPr>
              <w:t>630</w:t>
            </w:r>
          </w:p>
        </w:tc>
        <w:tc>
          <w:tcPr>
            <w:tcW w:w="503" w:type="pct"/>
            <w:tcBorders>
              <w:top w:val="single" w:sz="4" w:space="0" w:color="auto"/>
              <w:left w:val="single" w:sz="4" w:space="0" w:color="auto"/>
              <w:bottom w:val="single" w:sz="4" w:space="0" w:color="auto"/>
              <w:right w:val="single" w:sz="4" w:space="0" w:color="auto"/>
            </w:tcBorders>
            <w:vAlign w:val="center"/>
          </w:tcPr>
          <w:p w:rsidR="00D624B1" w:rsidRPr="00690BB0" w:rsidRDefault="00D624B1" w:rsidP="003F2A5D">
            <w:pPr>
              <w:widowControl/>
              <w:jc w:val="center"/>
              <w:rPr>
                <w:b/>
                <w:bCs/>
                <w:i/>
                <w:iCs/>
                <w:sz w:val="22"/>
                <w:szCs w:val="22"/>
              </w:rPr>
            </w:pPr>
            <w:r w:rsidRPr="00690BB0">
              <w:rPr>
                <w:b/>
                <w:i/>
                <w:sz w:val="22"/>
              </w:rPr>
              <w:t>740</w:t>
            </w:r>
          </w:p>
        </w:tc>
        <w:tc>
          <w:tcPr>
            <w:tcW w:w="595"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noProof/>
              </w:rPr>
            </w:pPr>
            <w:r w:rsidRPr="00690BB0">
              <w:rPr>
                <w:sz w:val="22"/>
              </w:rPr>
              <w:t>5000</w:t>
            </w:r>
          </w:p>
        </w:tc>
        <w:tc>
          <w:tcPr>
            <w:tcW w:w="569" w:type="pct"/>
            <w:tcBorders>
              <w:top w:val="single" w:sz="4" w:space="0" w:color="auto"/>
              <w:left w:val="single" w:sz="4" w:space="0" w:color="auto"/>
              <w:bottom w:val="single" w:sz="4" w:space="0" w:color="auto"/>
              <w:right w:val="single" w:sz="4" w:space="0" w:color="auto"/>
            </w:tcBorders>
            <w:vAlign w:val="center"/>
          </w:tcPr>
          <w:p w:rsidR="00D624B1" w:rsidRPr="00690BB0" w:rsidRDefault="00D624B1" w:rsidP="003F2A5D">
            <w:pPr>
              <w:widowControl/>
              <w:jc w:val="center"/>
              <w:rPr>
                <w:b/>
                <w:bCs/>
                <w:i/>
                <w:iCs/>
                <w:sz w:val="22"/>
                <w:szCs w:val="22"/>
              </w:rPr>
            </w:pPr>
            <w:r w:rsidRPr="00690BB0">
              <w:rPr>
                <w:b/>
                <w:i/>
                <w:sz w:val="22"/>
              </w:rPr>
              <w:t>5000</w:t>
            </w:r>
          </w:p>
        </w:tc>
        <w:tc>
          <w:tcPr>
            <w:tcW w:w="595"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noProof/>
              </w:rPr>
            </w:pPr>
            <w:r w:rsidRPr="00690BB0">
              <w:rPr>
                <w:sz w:val="22"/>
              </w:rPr>
              <w:t>6300</w:t>
            </w:r>
          </w:p>
        </w:tc>
        <w:tc>
          <w:tcPr>
            <w:tcW w:w="569" w:type="pct"/>
            <w:tcBorders>
              <w:top w:val="single" w:sz="4" w:space="0" w:color="auto"/>
              <w:left w:val="single" w:sz="4" w:space="0" w:color="auto"/>
              <w:bottom w:val="single" w:sz="4" w:space="0" w:color="auto"/>
              <w:right w:val="single" w:sz="4" w:space="0" w:color="auto"/>
            </w:tcBorders>
            <w:vAlign w:val="center"/>
          </w:tcPr>
          <w:p w:rsidR="00D624B1" w:rsidRPr="00690BB0" w:rsidRDefault="00D624B1" w:rsidP="003F2A5D">
            <w:pPr>
              <w:widowControl/>
              <w:jc w:val="center"/>
              <w:rPr>
                <w:b/>
                <w:bCs/>
                <w:i/>
                <w:iCs/>
                <w:sz w:val="22"/>
                <w:szCs w:val="22"/>
              </w:rPr>
            </w:pPr>
            <w:r w:rsidRPr="00690BB0">
              <w:rPr>
                <w:b/>
                <w:i/>
                <w:sz w:val="22"/>
              </w:rPr>
              <w:t>7400</w:t>
            </w:r>
          </w:p>
        </w:tc>
      </w:tr>
      <w:tr w:rsidR="00D624B1" w:rsidRPr="00690BB0" w:rsidTr="003F2A5D">
        <w:tc>
          <w:tcPr>
            <w:tcW w:w="623"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spacing w:line="276" w:lineRule="auto"/>
              <w:rPr>
                <w:noProof/>
              </w:rPr>
            </w:pPr>
            <w:r w:rsidRPr="00690BB0">
              <w:t>Totala kolväten i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spacing w:line="276" w:lineRule="auto"/>
              <w:jc w:val="center"/>
              <w:rPr>
                <w:noProof/>
              </w:rPr>
            </w:pPr>
            <w:r w:rsidRPr="00690BB0">
              <w:rPr>
                <w:sz w:val="22"/>
              </w:rPr>
              <w:t>100</w:t>
            </w:r>
          </w:p>
        </w:tc>
        <w:tc>
          <w:tcPr>
            <w:tcW w:w="503" w:type="pct"/>
            <w:tcBorders>
              <w:top w:val="single" w:sz="4" w:space="0" w:color="auto"/>
              <w:left w:val="single" w:sz="4" w:space="0" w:color="auto"/>
              <w:bottom w:val="single" w:sz="4" w:space="0" w:color="auto"/>
              <w:right w:val="single" w:sz="4" w:space="0" w:color="auto"/>
            </w:tcBorders>
            <w:vAlign w:val="center"/>
          </w:tcPr>
          <w:p w:rsidR="00D624B1" w:rsidRPr="00690BB0" w:rsidRDefault="00D624B1" w:rsidP="003F2A5D">
            <w:pPr>
              <w:widowControl/>
              <w:jc w:val="center"/>
              <w:rPr>
                <w:b/>
                <w:bCs/>
                <w:i/>
                <w:iCs/>
                <w:sz w:val="22"/>
                <w:szCs w:val="22"/>
              </w:rPr>
            </w:pPr>
            <w:r w:rsidRPr="00690BB0">
              <w:rPr>
                <w:b/>
                <w:i/>
                <w:sz w:val="22"/>
              </w:rPr>
              <w:t>100</w:t>
            </w:r>
          </w:p>
        </w:tc>
        <w:tc>
          <w:tcPr>
            <w:tcW w:w="503"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spacing w:line="276" w:lineRule="auto"/>
              <w:jc w:val="center"/>
              <w:rPr>
                <w:noProof/>
              </w:rPr>
            </w:pPr>
            <w:r w:rsidRPr="00690BB0">
              <w:rPr>
                <w:sz w:val="22"/>
              </w:rPr>
              <w:t>130</w:t>
            </w:r>
          </w:p>
        </w:tc>
        <w:tc>
          <w:tcPr>
            <w:tcW w:w="503" w:type="pct"/>
            <w:tcBorders>
              <w:top w:val="single" w:sz="4" w:space="0" w:color="auto"/>
              <w:left w:val="single" w:sz="4" w:space="0" w:color="auto"/>
              <w:bottom w:val="single" w:sz="4" w:space="0" w:color="auto"/>
              <w:right w:val="single" w:sz="4" w:space="0" w:color="auto"/>
            </w:tcBorders>
            <w:vAlign w:val="center"/>
          </w:tcPr>
          <w:p w:rsidR="00D624B1" w:rsidRPr="00690BB0" w:rsidRDefault="00D624B1" w:rsidP="003F2A5D">
            <w:pPr>
              <w:widowControl/>
              <w:jc w:val="center"/>
              <w:rPr>
                <w:b/>
                <w:bCs/>
                <w:i/>
                <w:iCs/>
                <w:sz w:val="22"/>
                <w:szCs w:val="22"/>
              </w:rPr>
            </w:pPr>
            <w:r w:rsidRPr="00690BB0">
              <w:rPr>
                <w:b/>
                <w:i/>
                <w:sz w:val="22"/>
              </w:rPr>
              <w:t>160</w:t>
            </w:r>
          </w:p>
        </w:tc>
        <w:tc>
          <w:tcPr>
            <w:tcW w:w="595"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noProof/>
              </w:rPr>
            </w:pPr>
            <w:r w:rsidRPr="00690BB0">
              <w:rPr>
                <w:sz w:val="22"/>
              </w:rPr>
              <w:t>1000</w:t>
            </w:r>
          </w:p>
        </w:tc>
        <w:tc>
          <w:tcPr>
            <w:tcW w:w="569" w:type="pct"/>
            <w:tcBorders>
              <w:top w:val="single" w:sz="4" w:space="0" w:color="auto"/>
              <w:left w:val="single" w:sz="4" w:space="0" w:color="auto"/>
              <w:bottom w:val="single" w:sz="4" w:space="0" w:color="auto"/>
              <w:right w:val="single" w:sz="4" w:space="0" w:color="auto"/>
            </w:tcBorders>
            <w:vAlign w:val="center"/>
          </w:tcPr>
          <w:p w:rsidR="00D624B1" w:rsidRPr="00690BB0" w:rsidRDefault="00D624B1" w:rsidP="003F2A5D">
            <w:pPr>
              <w:widowControl/>
              <w:jc w:val="center"/>
              <w:rPr>
                <w:b/>
                <w:bCs/>
                <w:i/>
                <w:iCs/>
                <w:sz w:val="22"/>
                <w:szCs w:val="22"/>
              </w:rPr>
            </w:pPr>
            <w:r w:rsidRPr="00690BB0">
              <w:rPr>
                <w:b/>
                <w:i/>
                <w:sz w:val="22"/>
              </w:rPr>
              <w:t>1000</w:t>
            </w:r>
          </w:p>
        </w:tc>
        <w:tc>
          <w:tcPr>
            <w:tcW w:w="595"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noProof/>
              </w:rPr>
            </w:pPr>
            <w:r w:rsidRPr="00690BB0">
              <w:rPr>
                <w:sz w:val="22"/>
              </w:rPr>
              <w:t>1300</w:t>
            </w:r>
          </w:p>
        </w:tc>
        <w:tc>
          <w:tcPr>
            <w:tcW w:w="569" w:type="pct"/>
            <w:tcBorders>
              <w:top w:val="single" w:sz="4" w:space="0" w:color="auto"/>
              <w:left w:val="single" w:sz="4" w:space="0" w:color="auto"/>
              <w:bottom w:val="single" w:sz="4" w:space="0" w:color="auto"/>
              <w:right w:val="single" w:sz="4" w:space="0" w:color="auto"/>
            </w:tcBorders>
            <w:vAlign w:val="center"/>
          </w:tcPr>
          <w:p w:rsidR="00D624B1" w:rsidRPr="00690BB0" w:rsidRDefault="00D624B1" w:rsidP="003F2A5D">
            <w:pPr>
              <w:widowControl/>
              <w:jc w:val="center"/>
              <w:rPr>
                <w:b/>
                <w:bCs/>
                <w:i/>
                <w:iCs/>
                <w:sz w:val="22"/>
                <w:szCs w:val="22"/>
              </w:rPr>
            </w:pPr>
            <w:r w:rsidRPr="00690BB0">
              <w:rPr>
                <w:b/>
                <w:i/>
                <w:sz w:val="22"/>
              </w:rPr>
              <w:t>1600</w:t>
            </w:r>
          </w:p>
        </w:tc>
      </w:tr>
      <w:tr w:rsidR="00D624B1" w:rsidRPr="00690BB0" w:rsidTr="003F2A5D">
        <w:tc>
          <w:tcPr>
            <w:tcW w:w="623"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spacing w:line="276" w:lineRule="auto"/>
              <w:rPr>
                <w:noProof/>
              </w:rPr>
            </w:pPr>
            <w:r w:rsidRPr="00690BB0">
              <w:t>Andra kolväten än metan i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spacing w:line="276" w:lineRule="auto"/>
              <w:jc w:val="center"/>
              <w:rPr>
                <w:noProof/>
              </w:rPr>
            </w:pPr>
            <w:r w:rsidRPr="00690BB0">
              <w:rPr>
                <w:sz w:val="22"/>
              </w:rPr>
              <w:t>68</w:t>
            </w:r>
          </w:p>
        </w:tc>
        <w:tc>
          <w:tcPr>
            <w:tcW w:w="503" w:type="pct"/>
            <w:tcBorders>
              <w:top w:val="single" w:sz="4" w:space="0" w:color="auto"/>
              <w:left w:val="single" w:sz="4" w:space="0" w:color="auto"/>
              <w:bottom w:val="single" w:sz="4" w:space="0" w:color="auto"/>
              <w:right w:val="single" w:sz="4" w:space="0" w:color="auto"/>
            </w:tcBorders>
            <w:vAlign w:val="center"/>
          </w:tcPr>
          <w:p w:rsidR="00D624B1" w:rsidRPr="00690BB0" w:rsidRDefault="00D624B1" w:rsidP="003F2A5D">
            <w:pPr>
              <w:widowControl/>
              <w:jc w:val="center"/>
              <w:rPr>
                <w:b/>
                <w:bCs/>
                <w:i/>
                <w:iCs/>
                <w:sz w:val="22"/>
                <w:szCs w:val="22"/>
              </w:rPr>
            </w:pPr>
            <w:r w:rsidRPr="00690BB0">
              <w:rPr>
                <w:b/>
                <w:i/>
                <w:sz w:val="22"/>
              </w:rPr>
              <w:t>68</w:t>
            </w:r>
          </w:p>
        </w:tc>
        <w:tc>
          <w:tcPr>
            <w:tcW w:w="503"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spacing w:line="276" w:lineRule="auto"/>
              <w:jc w:val="center"/>
              <w:rPr>
                <w:noProof/>
              </w:rPr>
            </w:pPr>
            <w:r w:rsidRPr="00690BB0">
              <w:rPr>
                <w:sz w:val="22"/>
              </w:rPr>
              <w:t>90</w:t>
            </w:r>
          </w:p>
        </w:tc>
        <w:tc>
          <w:tcPr>
            <w:tcW w:w="503" w:type="pct"/>
            <w:tcBorders>
              <w:top w:val="single" w:sz="4" w:space="0" w:color="auto"/>
              <w:left w:val="single" w:sz="4" w:space="0" w:color="auto"/>
              <w:bottom w:val="single" w:sz="4" w:space="0" w:color="auto"/>
              <w:right w:val="single" w:sz="4" w:space="0" w:color="auto"/>
            </w:tcBorders>
            <w:vAlign w:val="center"/>
          </w:tcPr>
          <w:p w:rsidR="00D624B1" w:rsidRPr="00690BB0" w:rsidRDefault="00D624B1" w:rsidP="003F2A5D">
            <w:pPr>
              <w:widowControl/>
              <w:jc w:val="center"/>
              <w:rPr>
                <w:b/>
                <w:bCs/>
                <w:i/>
                <w:iCs/>
                <w:sz w:val="22"/>
                <w:szCs w:val="22"/>
              </w:rPr>
            </w:pPr>
            <w:r w:rsidRPr="00690BB0">
              <w:rPr>
                <w:b/>
                <w:i/>
                <w:sz w:val="22"/>
              </w:rPr>
              <w:t>108</w:t>
            </w:r>
          </w:p>
        </w:tc>
        <w:tc>
          <w:tcPr>
            <w:tcW w:w="595"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noProof/>
              </w:rPr>
            </w:pPr>
            <w:r w:rsidRPr="00690BB0">
              <w:rPr>
                <w:sz w:val="22"/>
              </w:rPr>
              <w:t>680</w:t>
            </w:r>
          </w:p>
        </w:tc>
        <w:tc>
          <w:tcPr>
            <w:tcW w:w="569" w:type="pct"/>
            <w:tcBorders>
              <w:top w:val="single" w:sz="4" w:space="0" w:color="auto"/>
              <w:left w:val="single" w:sz="4" w:space="0" w:color="auto"/>
              <w:bottom w:val="single" w:sz="4" w:space="0" w:color="auto"/>
              <w:right w:val="single" w:sz="4" w:space="0" w:color="auto"/>
            </w:tcBorders>
            <w:vAlign w:val="center"/>
          </w:tcPr>
          <w:p w:rsidR="00D624B1" w:rsidRPr="00690BB0" w:rsidRDefault="00D624B1" w:rsidP="003F2A5D">
            <w:pPr>
              <w:widowControl/>
              <w:jc w:val="center"/>
              <w:rPr>
                <w:b/>
                <w:bCs/>
                <w:i/>
                <w:iCs/>
                <w:sz w:val="22"/>
                <w:szCs w:val="22"/>
              </w:rPr>
            </w:pPr>
            <w:r w:rsidRPr="00690BB0">
              <w:rPr>
                <w:b/>
                <w:i/>
                <w:sz w:val="22"/>
              </w:rPr>
              <w:t>680</w:t>
            </w:r>
          </w:p>
        </w:tc>
        <w:tc>
          <w:tcPr>
            <w:tcW w:w="595"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noProof/>
              </w:rPr>
            </w:pPr>
            <w:r w:rsidRPr="00690BB0">
              <w:rPr>
                <w:sz w:val="22"/>
              </w:rPr>
              <w:t>900</w:t>
            </w:r>
          </w:p>
        </w:tc>
        <w:tc>
          <w:tcPr>
            <w:tcW w:w="569" w:type="pct"/>
            <w:tcBorders>
              <w:top w:val="single" w:sz="4" w:space="0" w:color="auto"/>
              <w:left w:val="single" w:sz="4" w:space="0" w:color="auto"/>
              <w:bottom w:val="single" w:sz="4" w:space="0" w:color="auto"/>
              <w:right w:val="single" w:sz="4" w:space="0" w:color="auto"/>
            </w:tcBorders>
            <w:vAlign w:val="center"/>
          </w:tcPr>
          <w:p w:rsidR="00D624B1" w:rsidRPr="00690BB0" w:rsidRDefault="00D624B1" w:rsidP="003F2A5D">
            <w:pPr>
              <w:widowControl/>
              <w:jc w:val="center"/>
              <w:rPr>
                <w:b/>
                <w:bCs/>
                <w:i/>
                <w:iCs/>
                <w:sz w:val="22"/>
                <w:szCs w:val="22"/>
              </w:rPr>
            </w:pPr>
            <w:r w:rsidRPr="00690BB0">
              <w:rPr>
                <w:b/>
                <w:i/>
                <w:sz w:val="22"/>
              </w:rPr>
              <w:t>1080</w:t>
            </w:r>
          </w:p>
        </w:tc>
      </w:tr>
      <w:tr w:rsidR="00D624B1" w:rsidRPr="00690BB0" w:rsidTr="003F2A5D">
        <w:tc>
          <w:tcPr>
            <w:tcW w:w="623"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spacing w:line="276" w:lineRule="auto"/>
              <w:rPr>
                <w:noProof/>
              </w:rPr>
            </w:pPr>
            <w:r w:rsidRPr="00690BB0">
              <w:t>Ammoniak i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spacing w:line="276" w:lineRule="auto"/>
              <w:jc w:val="center"/>
              <w:rPr>
                <w:noProof/>
              </w:rPr>
            </w:pPr>
            <w:r w:rsidRPr="00690BB0">
              <w:rPr>
                <w:sz w:val="22"/>
              </w:rPr>
              <w:t>20</w:t>
            </w:r>
          </w:p>
        </w:tc>
        <w:tc>
          <w:tcPr>
            <w:tcW w:w="503" w:type="pct"/>
            <w:tcBorders>
              <w:top w:val="single" w:sz="4" w:space="0" w:color="auto"/>
              <w:left w:val="single" w:sz="4" w:space="0" w:color="auto"/>
              <w:bottom w:val="single" w:sz="4" w:space="0" w:color="auto"/>
              <w:right w:val="single" w:sz="4" w:space="0" w:color="auto"/>
            </w:tcBorders>
            <w:vAlign w:val="center"/>
          </w:tcPr>
          <w:p w:rsidR="00D624B1" w:rsidRPr="00690BB0" w:rsidRDefault="00D624B1" w:rsidP="003F2A5D">
            <w:pPr>
              <w:widowControl/>
              <w:jc w:val="center"/>
              <w:rPr>
                <w:b/>
                <w:bCs/>
                <w:i/>
                <w:iCs/>
                <w:sz w:val="22"/>
                <w:szCs w:val="22"/>
              </w:rPr>
            </w:pPr>
            <w:r w:rsidRPr="00690BB0">
              <w:rPr>
                <w:b/>
                <w:i/>
                <w:sz w:val="22"/>
              </w:rPr>
              <w:t>20</w:t>
            </w:r>
          </w:p>
        </w:tc>
        <w:tc>
          <w:tcPr>
            <w:tcW w:w="503"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spacing w:line="276" w:lineRule="auto"/>
              <w:jc w:val="center"/>
              <w:rPr>
                <w:noProof/>
              </w:rPr>
            </w:pPr>
            <w:r w:rsidRPr="00690BB0">
              <w:rPr>
                <w:sz w:val="22"/>
              </w:rPr>
              <w:t>20</w:t>
            </w:r>
          </w:p>
        </w:tc>
        <w:tc>
          <w:tcPr>
            <w:tcW w:w="503" w:type="pct"/>
            <w:tcBorders>
              <w:top w:val="single" w:sz="4" w:space="0" w:color="auto"/>
              <w:left w:val="single" w:sz="4" w:space="0" w:color="auto"/>
              <w:bottom w:val="single" w:sz="4" w:space="0" w:color="auto"/>
              <w:right w:val="single" w:sz="4" w:space="0" w:color="auto"/>
            </w:tcBorders>
            <w:vAlign w:val="center"/>
          </w:tcPr>
          <w:p w:rsidR="00D624B1" w:rsidRPr="00690BB0" w:rsidRDefault="00D624B1" w:rsidP="003F2A5D">
            <w:pPr>
              <w:widowControl/>
              <w:jc w:val="center"/>
              <w:rPr>
                <w:b/>
                <w:i/>
                <w:sz w:val="22"/>
                <w:szCs w:val="22"/>
              </w:rPr>
            </w:pPr>
            <w:r w:rsidRPr="00690BB0">
              <w:rPr>
                <w:b/>
                <w:i/>
                <w:sz w:val="22"/>
              </w:rPr>
              <w:t>20</w:t>
            </w:r>
          </w:p>
        </w:tc>
        <w:tc>
          <w:tcPr>
            <w:tcW w:w="595"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noProof/>
              </w:rPr>
            </w:pPr>
            <w:r w:rsidRPr="00690BB0">
              <w:rPr>
                <w:sz w:val="22"/>
              </w:rPr>
              <w:t>200</w:t>
            </w:r>
          </w:p>
        </w:tc>
        <w:tc>
          <w:tcPr>
            <w:tcW w:w="56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jc w:val="center"/>
              <w:rPr>
                <w:b/>
                <w:i/>
                <w:noProof/>
                <w:sz w:val="22"/>
              </w:rPr>
            </w:pPr>
            <w:r w:rsidRPr="00690BB0">
              <w:rPr>
                <w:b/>
                <w:i/>
                <w:sz w:val="22"/>
              </w:rPr>
              <w:t>200</w:t>
            </w:r>
          </w:p>
        </w:tc>
        <w:tc>
          <w:tcPr>
            <w:tcW w:w="595"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noProof/>
              </w:rPr>
            </w:pPr>
            <w:r w:rsidRPr="00690BB0">
              <w:rPr>
                <w:sz w:val="22"/>
              </w:rPr>
              <w:t>200</w:t>
            </w:r>
          </w:p>
        </w:tc>
        <w:tc>
          <w:tcPr>
            <w:tcW w:w="569" w:type="pct"/>
            <w:tcBorders>
              <w:top w:val="single" w:sz="4" w:space="0" w:color="auto"/>
              <w:left w:val="single" w:sz="4" w:space="0" w:color="auto"/>
              <w:bottom w:val="single" w:sz="4" w:space="0" w:color="auto"/>
              <w:right w:val="single" w:sz="4" w:space="0" w:color="auto"/>
            </w:tcBorders>
            <w:vAlign w:val="center"/>
          </w:tcPr>
          <w:p w:rsidR="00D624B1" w:rsidRPr="00690BB0" w:rsidRDefault="00D624B1" w:rsidP="003F2A5D">
            <w:pPr>
              <w:widowControl/>
              <w:jc w:val="center"/>
              <w:rPr>
                <w:b/>
                <w:bCs/>
                <w:i/>
                <w:iCs/>
                <w:sz w:val="22"/>
                <w:szCs w:val="22"/>
              </w:rPr>
            </w:pPr>
            <w:r w:rsidRPr="00690BB0">
              <w:rPr>
                <w:b/>
                <w:i/>
                <w:sz w:val="22"/>
              </w:rPr>
              <w:t>200</w:t>
            </w:r>
          </w:p>
        </w:tc>
      </w:tr>
    </w:tbl>
    <w:p w:rsidR="00D624B1" w:rsidRPr="00690BB0" w:rsidRDefault="00D624B1" w:rsidP="00D624B1">
      <w:pPr>
        <w:widowControl/>
      </w:pPr>
    </w:p>
    <w:p w:rsidR="00D624B1" w:rsidRPr="00690BB0" w:rsidRDefault="007B7831" w:rsidP="00D624B1">
      <w:pPr>
        <w:pStyle w:val="AmNumberTabs"/>
        <w:keepNext/>
        <w:widowControl/>
      </w:pPr>
      <w:r w:rsidRPr="00690BB0">
        <w:lastRenderedPageBreak/>
        <w:t>Ändring</w:t>
      </w:r>
      <w:r w:rsidR="00D624B1" w:rsidRPr="00690BB0">
        <w:tab/>
      </w:r>
      <w:r w:rsidR="00D624B1" w:rsidRPr="00690BB0">
        <w:tab/>
        <w:t>151</w:t>
      </w:r>
    </w:p>
    <w:p w:rsidR="00D624B1" w:rsidRPr="00690BB0" w:rsidRDefault="00D624B1" w:rsidP="00D624B1">
      <w:pPr>
        <w:pStyle w:val="NormalBold12b"/>
        <w:widowControl/>
      </w:pPr>
      <w:r w:rsidRPr="00690BB0">
        <w:t>Förslag till förordning</w:t>
      </w:r>
    </w:p>
    <w:p w:rsidR="00D624B1" w:rsidRPr="00690BB0" w:rsidRDefault="00D624B1" w:rsidP="00D624B1">
      <w:pPr>
        <w:pStyle w:val="NormalBold"/>
        <w:keepNext/>
        <w:widowControl/>
      </w:pPr>
      <w:r w:rsidRPr="00690BB0">
        <w:t>Bilaga I – tabell 2</w:t>
      </w:r>
    </w:p>
    <w:tbl>
      <w:tblPr>
        <w:tblStyle w:val="TableGrid"/>
        <w:tblW w:w="5000" w:type="pct"/>
        <w:tblLook w:val="04A0" w:firstRow="1" w:lastRow="0" w:firstColumn="1" w:lastColumn="0" w:noHBand="0" w:noVBand="1"/>
      </w:tblPr>
      <w:tblGrid>
        <w:gridCol w:w="1550"/>
        <w:gridCol w:w="1689"/>
        <w:gridCol w:w="1939"/>
        <w:gridCol w:w="1939"/>
        <w:gridCol w:w="1943"/>
      </w:tblGrid>
      <w:tr w:rsidR="00D624B1" w:rsidRPr="00690BB0" w:rsidTr="003F2A5D">
        <w:tc>
          <w:tcPr>
            <w:tcW w:w="4998" w:type="pct"/>
            <w:gridSpan w:val="5"/>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jc w:val="center"/>
              <w:rPr>
                <w:i/>
                <w:noProof/>
              </w:rPr>
            </w:pPr>
            <w:r w:rsidRPr="00690BB0">
              <w:rPr>
                <w:i/>
              </w:rPr>
              <w:t>Kommissionens förslag</w:t>
            </w:r>
          </w:p>
        </w:tc>
      </w:tr>
      <w:tr w:rsidR="00D624B1" w:rsidRPr="00690BB0" w:rsidTr="003F2A5D">
        <w:tc>
          <w:tcPr>
            <w:tcW w:w="4998" w:type="pct"/>
            <w:gridSpan w:val="5"/>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Tabell 2: Gränsvärden för avgasutsläpp enligt Euro 7 för fordon av kategorierna M</w:t>
            </w:r>
            <w:r w:rsidRPr="00690BB0">
              <w:rPr>
                <w:vertAlign w:val="subscript"/>
              </w:rPr>
              <w:t>2</w:t>
            </w:r>
            <w:r w:rsidRPr="00690BB0">
              <w:t>, M</w:t>
            </w:r>
            <w:r w:rsidRPr="00690BB0">
              <w:rPr>
                <w:vertAlign w:val="subscript"/>
              </w:rPr>
              <w:t>3</w:t>
            </w:r>
            <w:r w:rsidRPr="00690BB0">
              <w:t>, N</w:t>
            </w:r>
            <w:r w:rsidRPr="00690BB0">
              <w:rPr>
                <w:vertAlign w:val="subscript"/>
              </w:rPr>
              <w:t>2</w:t>
            </w:r>
            <w:r w:rsidRPr="00690BB0">
              <w:t xml:space="preserve"> och N</w:t>
            </w:r>
            <w:r w:rsidRPr="00690BB0">
              <w:rPr>
                <w:vertAlign w:val="subscript"/>
              </w:rPr>
              <w:t>3</w:t>
            </w:r>
            <w:r w:rsidRPr="00690BB0">
              <w:t xml:space="preserve"> med förbränningsmotor och förbränningsmotorer som används i dessa fordon</w:t>
            </w:r>
          </w:p>
        </w:tc>
      </w:tr>
      <w:tr w:rsidR="00D624B1" w:rsidRPr="00690BB0" w:rsidTr="003F2A5D">
        <w:tc>
          <w:tcPr>
            <w:tcW w:w="806" w:type="pct"/>
            <w:vMerge w:val="restar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rPr>
                <w:noProof/>
              </w:rPr>
            </w:pPr>
            <w:r w:rsidRPr="00690BB0">
              <w:t>Utsläpp av föroreningar</w:t>
            </w:r>
          </w:p>
        </w:tc>
        <w:tc>
          <w:tcPr>
            <w:tcW w:w="944"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b/>
                <w:i/>
                <w:noProof/>
              </w:rPr>
            </w:pPr>
            <w:r w:rsidRPr="00690BB0">
              <w:rPr>
                <w:b/>
                <w:i/>
              </w:rPr>
              <w:t>Kalla utsläpp</w:t>
            </w:r>
            <w:r w:rsidRPr="00690BB0">
              <w:rPr>
                <w:b/>
                <w:i/>
                <w:vertAlign w:val="superscript"/>
              </w:rPr>
              <w:t>1</w:t>
            </w:r>
          </w:p>
        </w:tc>
        <w:tc>
          <w:tcPr>
            <w:tcW w:w="1082"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
                <w:i/>
                <w:noProof/>
              </w:rPr>
            </w:pPr>
            <w:r w:rsidRPr="00690BB0">
              <w:rPr>
                <w:b/>
                <w:i/>
              </w:rPr>
              <w:t>Varma utsläpp</w:t>
            </w:r>
            <w:r w:rsidRPr="00690BB0">
              <w:rPr>
                <w:b/>
                <w:i/>
                <w:vertAlign w:val="superscript"/>
              </w:rPr>
              <w:t>2</w:t>
            </w:r>
          </w:p>
        </w:tc>
        <w:tc>
          <w:tcPr>
            <w:tcW w:w="1082"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
                <w:i/>
                <w:noProof/>
              </w:rPr>
            </w:pPr>
            <w:r w:rsidRPr="00690BB0">
              <w:rPr>
                <w:b/>
                <w:i/>
              </w:rPr>
              <w:t>Utsläppsbudget för alla trippar som är kortare än 3*WHTC</w:t>
            </w:r>
          </w:p>
        </w:tc>
        <w:tc>
          <w:tcPr>
            <w:tcW w:w="1083"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
                <w:i/>
                <w:noProof/>
              </w:rPr>
            </w:pPr>
            <w:r w:rsidRPr="00690BB0">
              <w:rPr>
                <w:b/>
                <w:i/>
              </w:rPr>
              <w:t>Valfria gränsvärden för utsläpp vid tomgång</w:t>
            </w:r>
            <w:r w:rsidRPr="00690BB0">
              <w:rPr>
                <w:b/>
                <w:i/>
                <w:vertAlign w:val="superscript"/>
              </w:rPr>
              <w:t>3</w:t>
            </w:r>
          </w:p>
        </w:tc>
      </w:tr>
      <w:tr w:rsidR="00D624B1" w:rsidRPr="00690BB0" w:rsidTr="003F2A5D">
        <w:tc>
          <w:tcPr>
            <w:tcW w:w="0" w:type="auto"/>
            <w:vMerge/>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rPr>
                <w:noProof/>
                <w:szCs w:val="22"/>
                <w:lang w:eastAsia="en-US"/>
              </w:rPr>
            </w:pPr>
          </w:p>
        </w:tc>
        <w:tc>
          <w:tcPr>
            <w:tcW w:w="944"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i/>
                <w:noProof/>
              </w:rPr>
            </w:pPr>
            <w:r w:rsidRPr="00690BB0">
              <w:rPr>
                <w:i/>
              </w:rPr>
              <w:t>per kWh</w:t>
            </w:r>
          </w:p>
        </w:tc>
        <w:tc>
          <w:tcPr>
            <w:tcW w:w="1082"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i/>
                <w:noProof/>
                <w:szCs w:val="24"/>
              </w:rPr>
            </w:pPr>
            <w:r w:rsidRPr="00690BB0">
              <w:rPr>
                <w:i/>
              </w:rPr>
              <w:t>per kWh</w:t>
            </w:r>
          </w:p>
        </w:tc>
        <w:tc>
          <w:tcPr>
            <w:tcW w:w="1082"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
                <w:i/>
                <w:noProof/>
                <w:szCs w:val="22"/>
              </w:rPr>
            </w:pPr>
            <w:r w:rsidRPr="00690BB0">
              <w:rPr>
                <w:b/>
                <w:i/>
              </w:rPr>
              <w:t>per kWh</w:t>
            </w:r>
          </w:p>
        </w:tc>
        <w:tc>
          <w:tcPr>
            <w:tcW w:w="1083"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
                <w:i/>
                <w:noProof/>
              </w:rPr>
            </w:pPr>
            <w:r w:rsidRPr="00690BB0">
              <w:rPr>
                <w:b/>
                <w:i/>
              </w:rPr>
              <w:t>per timme</w:t>
            </w:r>
          </w:p>
        </w:tc>
      </w:tr>
      <w:tr w:rsidR="00D624B1" w:rsidRPr="00690BB0" w:rsidTr="003F2A5D">
        <w:tc>
          <w:tcPr>
            <w:tcW w:w="806"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spacing w:line="276" w:lineRule="auto"/>
              <w:rPr>
                <w:noProof/>
              </w:rPr>
            </w:pPr>
            <w:r w:rsidRPr="00690BB0">
              <w:t>Kväveoxider i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spacing w:line="276" w:lineRule="auto"/>
              <w:jc w:val="center"/>
              <w:rPr>
                <w:b/>
                <w:i/>
                <w:noProof/>
              </w:rPr>
            </w:pPr>
            <w:r w:rsidRPr="00690BB0">
              <w:rPr>
                <w:b/>
                <w:i/>
              </w:rPr>
              <w:t>350</w:t>
            </w:r>
          </w:p>
        </w:tc>
        <w:tc>
          <w:tcPr>
            <w:tcW w:w="1082"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
                <w:i/>
                <w:noProof/>
              </w:rPr>
            </w:pPr>
            <w:r w:rsidRPr="00690BB0">
              <w:rPr>
                <w:b/>
                <w:i/>
              </w:rPr>
              <w:t>90</w:t>
            </w:r>
          </w:p>
        </w:tc>
        <w:tc>
          <w:tcPr>
            <w:tcW w:w="1082"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
                <w:i/>
                <w:noProof/>
              </w:rPr>
            </w:pPr>
            <w:r w:rsidRPr="00690BB0">
              <w:rPr>
                <w:b/>
                <w:i/>
              </w:rPr>
              <w:t>150</w:t>
            </w:r>
          </w:p>
        </w:tc>
        <w:tc>
          <w:tcPr>
            <w:tcW w:w="1083"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
                <w:i/>
                <w:noProof/>
              </w:rPr>
            </w:pPr>
            <w:r w:rsidRPr="00690BB0">
              <w:rPr>
                <w:b/>
                <w:i/>
              </w:rPr>
              <w:t>5000</w:t>
            </w:r>
          </w:p>
        </w:tc>
      </w:tr>
      <w:tr w:rsidR="00D624B1" w:rsidRPr="00690BB0" w:rsidTr="003F2A5D">
        <w:trPr>
          <w:trHeight w:val="50"/>
        </w:trPr>
        <w:tc>
          <w:tcPr>
            <w:tcW w:w="806"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spacing w:line="276" w:lineRule="auto"/>
              <w:rPr>
                <w:noProof/>
              </w:rPr>
            </w:pPr>
            <w:r w:rsidRPr="00690BB0">
              <w:t>Partikelmassa i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spacing w:line="276" w:lineRule="auto"/>
              <w:jc w:val="center"/>
              <w:rPr>
                <w:b/>
                <w:i/>
                <w:noProof/>
              </w:rPr>
            </w:pPr>
            <w:r w:rsidRPr="00690BB0">
              <w:rPr>
                <w:b/>
                <w:i/>
              </w:rPr>
              <w:t>12</w:t>
            </w:r>
          </w:p>
        </w:tc>
        <w:tc>
          <w:tcPr>
            <w:tcW w:w="1082"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
                <w:i/>
                <w:noProof/>
              </w:rPr>
            </w:pPr>
            <w:r w:rsidRPr="00690BB0">
              <w:rPr>
                <w:b/>
                <w:i/>
              </w:rPr>
              <w:t>8</w:t>
            </w:r>
          </w:p>
        </w:tc>
        <w:tc>
          <w:tcPr>
            <w:tcW w:w="1082"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
                <w:i/>
                <w:noProof/>
              </w:rPr>
            </w:pPr>
            <w:r w:rsidRPr="00690BB0">
              <w:rPr>
                <w:b/>
                <w:i/>
              </w:rPr>
              <w:t>10</w:t>
            </w:r>
          </w:p>
        </w:tc>
        <w:tc>
          <w:tcPr>
            <w:tcW w:w="1083"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
                <w:i/>
                <w:noProof/>
              </w:rPr>
            </w:pPr>
            <w:r w:rsidRPr="00690BB0">
              <w:rPr>
                <w:b/>
                <w:i/>
              </w:rPr>
              <w:t xml:space="preserve"> </w:t>
            </w:r>
          </w:p>
        </w:tc>
      </w:tr>
      <w:tr w:rsidR="00D624B1" w:rsidRPr="00690BB0" w:rsidTr="003F2A5D">
        <w:tc>
          <w:tcPr>
            <w:tcW w:w="806"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spacing w:line="276" w:lineRule="auto"/>
              <w:rPr>
                <w:noProof/>
              </w:rPr>
            </w:pPr>
            <w:r w:rsidRPr="00690BB0">
              <w:t>PN</w:t>
            </w:r>
            <w:r w:rsidRPr="00690BB0">
              <w:rPr>
                <w:vertAlign w:val="subscript"/>
              </w:rPr>
              <w:t>10</w:t>
            </w:r>
            <w:r w:rsidRPr="00690BB0">
              <w:t xml:space="preserve"> i antal</w:t>
            </w:r>
          </w:p>
        </w:tc>
        <w:tc>
          <w:tcPr>
            <w:tcW w:w="944"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spacing w:line="276" w:lineRule="auto"/>
              <w:jc w:val="center"/>
              <w:rPr>
                <w:b/>
                <w:i/>
                <w:noProof/>
              </w:rPr>
            </w:pPr>
            <w:r w:rsidRPr="00690BB0">
              <w:rPr>
                <w:b/>
                <w:i/>
              </w:rPr>
              <w:t>5x10</w:t>
            </w:r>
            <w:r w:rsidRPr="00690BB0">
              <w:rPr>
                <w:b/>
                <w:i/>
                <w:vertAlign w:val="superscript"/>
              </w:rPr>
              <w:t>11</w:t>
            </w:r>
          </w:p>
        </w:tc>
        <w:tc>
          <w:tcPr>
            <w:tcW w:w="1082"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
                <w:i/>
                <w:noProof/>
              </w:rPr>
            </w:pPr>
            <w:r w:rsidRPr="00690BB0">
              <w:rPr>
                <w:b/>
                <w:i/>
              </w:rPr>
              <w:t>2x10</w:t>
            </w:r>
            <w:r w:rsidRPr="00690BB0">
              <w:rPr>
                <w:b/>
                <w:i/>
                <w:vertAlign w:val="superscript"/>
              </w:rPr>
              <w:t>11</w:t>
            </w:r>
          </w:p>
        </w:tc>
        <w:tc>
          <w:tcPr>
            <w:tcW w:w="1082"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
                <w:i/>
                <w:noProof/>
              </w:rPr>
            </w:pPr>
            <w:r w:rsidRPr="00690BB0">
              <w:rPr>
                <w:b/>
                <w:i/>
              </w:rPr>
              <w:t>3x10</w:t>
            </w:r>
            <w:r w:rsidRPr="00690BB0">
              <w:rPr>
                <w:b/>
                <w:i/>
                <w:vertAlign w:val="superscript"/>
              </w:rPr>
              <w:t>11</w:t>
            </w:r>
          </w:p>
        </w:tc>
        <w:tc>
          <w:tcPr>
            <w:tcW w:w="1083"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
                <w:i/>
                <w:noProof/>
              </w:rPr>
            </w:pPr>
            <w:r w:rsidRPr="00690BB0">
              <w:rPr>
                <w:b/>
                <w:i/>
              </w:rPr>
              <w:t xml:space="preserve"> </w:t>
            </w:r>
          </w:p>
        </w:tc>
      </w:tr>
      <w:tr w:rsidR="00D624B1" w:rsidRPr="00690BB0" w:rsidTr="003F2A5D">
        <w:tc>
          <w:tcPr>
            <w:tcW w:w="806"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spacing w:line="276" w:lineRule="auto"/>
              <w:rPr>
                <w:noProof/>
              </w:rPr>
            </w:pPr>
            <w:r w:rsidRPr="00690BB0">
              <w:t>Kolmonoxid i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spacing w:line="276" w:lineRule="auto"/>
              <w:jc w:val="center"/>
              <w:rPr>
                <w:b/>
                <w:i/>
                <w:noProof/>
              </w:rPr>
            </w:pPr>
            <w:r w:rsidRPr="00690BB0">
              <w:rPr>
                <w:b/>
                <w:i/>
              </w:rPr>
              <w:t>3500</w:t>
            </w:r>
          </w:p>
        </w:tc>
        <w:tc>
          <w:tcPr>
            <w:tcW w:w="1082"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
                <w:i/>
                <w:noProof/>
              </w:rPr>
            </w:pPr>
            <w:r w:rsidRPr="00690BB0">
              <w:rPr>
                <w:b/>
                <w:i/>
              </w:rPr>
              <w:t>200</w:t>
            </w:r>
          </w:p>
        </w:tc>
        <w:tc>
          <w:tcPr>
            <w:tcW w:w="1082"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
                <w:i/>
                <w:noProof/>
              </w:rPr>
            </w:pPr>
            <w:r w:rsidRPr="00690BB0">
              <w:rPr>
                <w:b/>
                <w:i/>
              </w:rPr>
              <w:t>2700</w:t>
            </w:r>
          </w:p>
        </w:tc>
        <w:tc>
          <w:tcPr>
            <w:tcW w:w="1083"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
                <w:i/>
                <w:noProof/>
              </w:rPr>
            </w:pPr>
            <w:r w:rsidRPr="00690BB0">
              <w:rPr>
                <w:b/>
                <w:i/>
              </w:rPr>
              <w:t xml:space="preserve"> </w:t>
            </w:r>
          </w:p>
        </w:tc>
      </w:tr>
      <w:tr w:rsidR="00D624B1" w:rsidRPr="00690BB0" w:rsidTr="003F2A5D">
        <w:tc>
          <w:tcPr>
            <w:tcW w:w="806"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spacing w:line="276" w:lineRule="auto"/>
              <w:rPr>
                <w:noProof/>
              </w:rPr>
            </w:pPr>
            <w:r w:rsidRPr="00690BB0">
              <w:t>Andra organiska gaser än metan i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spacing w:line="276" w:lineRule="auto"/>
              <w:jc w:val="center"/>
              <w:rPr>
                <w:b/>
                <w:i/>
                <w:noProof/>
              </w:rPr>
            </w:pPr>
            <w:r w:rsidRPr="00690BB0">
              <w:rPr>
                <w:b/>
                <w:i/>
              </w:rPr>
              <w:t>200</w:t>
            </w:r>
          </w:p>
        </w:tc>
        <w:tc>
          <w:tcPr>
            <w:tcW w:w="1082"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
                <w:i/>
                <w:noProof/>
              </w:rPr>
            </w:pPr>
            <w:r w:rsidRPr="00690BB0">
              <w:rPr>
                <w:b/>
                <w:i/>
              </w:rPr>
              <w:t>50</w:t>
            </w:r>
          </w:p>
        </w:tc>
        <w:tc>
          <w:tcPr>
            <w:tcW w:w="1082"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
                <w:i/>
                <w:noProof/>
              </w:rPr>
            </w:pPr>
            <w:r w:rsidRPr="00690BB0">
              <w:rPr>
                <w:b/>
                <w:i/>
              </w:rPr>
              <w:t>75</w:t>
            </w:r>
          </w:p>
        </w:tc>
        <w:tc>
          <w:tcPr>
            <w:tcW w:w="1083"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
                <w:i/>
                <w:noProof/>
              </w:rPr>
            </w:pPr>
            <w:r w:rsidRPr="00690BB0">
              <w:rPr>
                <w:b/>
                <w:i/>
              </w:rPr>
              <w:t xml:space="preserve"> </w:t>
            </w:r>
          </w:p>
        </w:tc>
      </w:tr>
      <w:tr w:rsidR="00D624B1" w:rsidRPr="00690BB0" w:rsidTr="003F2A5D">
        <w:tc>
          <w:tcPr>
            <w:tcW w:w="806"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spacing w:line="276" w:lineRule="auto"/>
              <w:rPr>
                <w:noProof/>
              </w:rPr>
            </w:pPr>
            <w:r w:rsidRPr="00690BB0">
              <w:t>Ammoniak i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spacing w:line="276" w:lineRule="auto"/>
              <w:jc w:val="center"/>
              <w:rPr>
                <w:b/>
                <w:i/>
                <w:noProof/>
              </w:rPr>
            </w:pPr>
            <w:r w:rsidRPr="00690BB0">
              <w:rPr>
                <w:b/>
                <w:i/>
              </w:rPr>
              <w:t>65</w:t>
            </w:r>
          </w:p>
        </w:tc>
        <w:tc>
          <w:tcPr>
            <w:tcW w:w="1082"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
                <w:i/>
                <w:noProof/>
              </w:rPr>
            </w:pPr>
            <w:r w:rsidRPr="00690BB0">
              <w:rPr>
                <w:b/>
                <w:i/>
              </w:rPr>
              <w:t>65</w:t>
            </w:r>
          </w:p>
        </w:tc>
        <w:tc>
          <w:tcPr>
            <w:tcW w:w="1082"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
                <w:i/>
                <w:noProof/>
              </w:rPr>
            </w:pPr>
            <w:r w:rsidRPr="00690BB0">
              <w:rPr>
                <w:b/>
                <w:i/>
              </w:rPr>
              <w:t>70</w:t>
            </w:r>
          </w:p>
        </w:tc>
        <w:tc>
          <w:tcPr>
            <w:tcW w:w="1083"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
                <w:i/>
                <w:noProof/>
              </w:rPr>
            </w:pPr>
            <w:r w:rsidRPr="00690BB0">
              <w:rPr>
                <w:b/>
                <w:i/>
              </w:rPr>
              <w:t xml:space="preserve"> </w:t>
            </w:r>
          </w:p>
        </w:tc>
      </w:tr>
      <w:tr w:rsidR="00D624B1" w:rsidRPr="00690BB0" w:rsidTr="003F2A5D">
        <w:tc>
          <w:tcPr>
            <w:tcW w:w="806"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spacing w:line="276" w:lineRule="auto"/>
              <w:rPr>
                <w:noProof/>
              </w:rPr>
            </w:pPr>
            <w:r w:rsidRPr="00690BB0">
              <w:t>Metan i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spacing w:line="276" w:lineRule="auto"/>
              <w:jc w:val="center"/>
              <w:rPr>
                <w:noProof/>
              </w:rPr>
            </w:pPr>
            <w:r w:rsidRPr="00690BB0">
              <w:t>500</w:t>
            </w:r>
          </w:p>
        </w:tc>
        <w:tc>
          <w:tcPr>
            <w:tcW w:w="1082"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
                <w:i/>
                <w:noProof/>
              </w:rPr>
            </w:pPr>
            <w:r w:rsidRPr="00690BB0">
              <w:rPr>
                <w:b/>
                <w:i/>
              </w:rPr>
              <w:t>350</w:t>
            </w:r>
          </w:p>
        </w:tc>
        <w:tc>
          <w:tcPr>
            <w:tcW w:w="1082"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
                <w:i/>
                <w:noProof/>
              </w:rPr>
            </w:pPr>
            <w:r w:rsidRPr="00690BB0">
              <w:rPr>
                <w:b/>
                <w:i/>
              </w:rPr>
              <w:t>500</w:t>
            </w:r>
          </w:p>
        </w:tc>
        <w:tc>
          <w:tcPr>
            <w:tcW w:w="1083"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
                <w:i/>
                <w:noProof/>
              </w:rPr>
            </w:pPr>
            <w:r w:rsidRPr="00690BB0">
              <w:rPr>
                <w:b/>
                <w:i/>
              </w:rPr>
              <w:t xml:space="preserve"> </w:t>
            </w:r>
          </w:p>
        </w:tc>
      </w:tr>
      <w:tr w:rsidR="00D624B1" w:rsidRPr="00690BB0" w:rsidTr="003F2A5D">
        <w:tc>
          <w:tcPr>
            <w:tcW w:w="806"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spacing w:line="276" w:lineRule="auto"/>
              <w:rPr>
                <w:noProof/>
              </w:rPr>
            </w:pPr>
            <w:r w:rsidRPr="00690BB0">
              <w:t>Dikväveoxid i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spacing w:line="276" w:lineRule="auto"/>
              <w:jc w:val="center"/>
              <w:rPr>
                <w:noProof/>
              </w:rPr>
            </w:pPr>
            <w:r w:rsidRPr="00690BB0">
              <w:t>160</w:t>
            </w:r>
          </w:p>
        </w:tc>
        <w:tc>
          <w:tcPr>
            <w:tcW w:w="1082"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
                <w:i/>
                <w:noProof/>
              </w:rPr>
            </w:pPr>
            <w:r w:rsidRPr="00690BB0">
              <w:rPr>
                <w:b/>
                <w:i/>
              </w:rPr>
              <w:t>100</w:t>
            </w:r>
          </w:p>
        </w:tc>
        <w:tc>
          <w:tcPr>
            <w:tcW w:w="1082"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
                <w:i/>
                <w:noProof/>
              </w:rPr>
            </w:pPr>
            <w:r w:rsidRPr="00690BB0">
              <w:rPr>
                <w:b/>
                <w:i/>
              </w:rPr>
              <w:t>140</w:t>
            </w:r>
          </w:p>
        </w:tc>
        <w:tc>
          <w:tcPr>
            <w:tcW w:w="1083"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jc w:val="center"/>
              <w:rPr>
                <w:b/>
                <w:i/>
                <w:noProof/>
              </w:rPr>
            </w:pPr>
          </w:p>
        </w:tc>
      </w:tr>
      <w:tr w:rsidR="00D624B1" w:rsidRPr="00690BB0" w:rsidTr="003F2A5D">
        <w:tc>
          <w:tcPr>
            <w:tcW w:w="806"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rPr>
                <w:noProof/>
              </w:rPr>
            </w:pPr>
            <w:r w:rsidRPr="00690BB0">
              <w:t>Formaldehyd i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noProof/>
              </w:rPr>
            </w:pPr>
            <w:r w:rsidRPr="00690BB0">
              <w:t>30</w:t>
            </w:r>
          </w:p>
        </w:tc>
        <w:tc>
          <w:tcPr>
            <w:tcW w:w="1082"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
                <w:i/>
                <w:noProof/>
              </w:rPr>
            </w:pPr>
            <w:r w:rsidRPr="00690BB0">
              <w:rPr>
                <w:b/>
                <w:i/>
              </w:rPr>
              <w:t>30</w:t>
            </w:r>
          </w:p>
        </w:tc>
        <w:tc>
          <w:tcPr>
            <w:tcW w:w="1082"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
                <w:i/>
                <w:noProof/>
              </w:rPr>
            </w:pPr>
            <w:r w:rsidRPr="00690BB0">
              <w:rPr>
                <w:b/>
                <w:i/>
              </w:rPr>
              <w:t xml:space="preserve"> </w:t>
            </w:r>
          </w:p>
        </w:tc>
        <w:tc>
          <w:tcPr>
            <w:tcW w:w="1083"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
                <w:i/>
                <w:noProof/>
              </w:rPr>
            </w:pPr>
            <w:r w:rsidRPr="00690BB0">
              <w:rPr>
                <w:b/>
                <w:i/>
              </w:rPr>
              <w:t xml:space="preserve"> </w:t>
            </w:r>
          </w:p>
        </w:tc>
      </w:tr>
      <w:tr w:rsidR="00D624B1" w:rsidRPr="00690BB0" w:rsidTr="003F2A5D">
        <w:tc>
          <w:tcPr>
            <w:tcW w:w="4998" w:type="pct"/>
            <w:gridSpan w:val="5"/>
            <w:tcBorders>
              <w:top w:val="single" w:sz="4" w:space="0" w:color="auto"/>
              <w:left w:val="single" w:sz="4" w:space="0" w:color="auto"/>
              <w:bottom w:val="single" w:sz="4" w:space="0" w:color="auto"/>
              <w:right w:val="single" w:sz="4" w:space="0" w:color="auto"/>
            </w:tcBorders>
          </w:tcPr>
          <w:p w:rsidR="00D624B1" w:rsidRPr="00690BB0" w:rsidRDefault="00D624B1" w:rsidP="003F2A5D">
            <w:pPr>
              <w:pStyle w:val="FootnoteText"/>
              <w:rPr>
                <w:b/>
                <w:i/>
                <w:lang w:val="sv-SE"/>
              </w:rPr>
            </w:pPr>
            <w:r w:rsidRPr="00690BB0">
              <w:rPr>
                <w:b/>
                <w:i/>
                <w:vertAlign w:val="superscript"/>
                <w:lang w:val="sv-SE"/>
              </w:rPr>
              <w:t>1</w:t>
            </w:r>
            <w:r w:rsidRPr="00690BB0">
              <w:rPr>
                <w:b/>
                <w:i/>
                <w:lang w:val="sv-SE"/>
              </w:rPr>
              <w:t xml:space="preserve"> Med kalla utsläpp avses den 100:e percentilen av rörliga fönster på 1 WHTC för fordon eller WHTC</w:t>
            </w:r>
            <w:r w:rsidRPr="00690BB0">
              <w:rPr>
                <w:b/>
                <w:i/>
                <w:vertAlign w:val="subscript"/>
                <w:lang w:val="sv-SE"/>
              </w:rPr>
              <w:t>cold</w:t>
            </w:r>
            <w:r w:rsidRPr="00690BB0">
              <w:rPr>
                <w:b/>
                <w:i/>
                <w:lang w:val="sv-SE"/>
              </w:rPr>
              <w:t xml:space="preserve"> för motorer.</w:t>
            </w:r>
          </w:p>
          <w:p w:rsidR="00D624B1" w:rsidRPr="00690BB0" w:rsidRDefault="00D624B1" w:rsidP="003F2A5D">
            <w:pPr>
              <w:pStyle w:val="FootnoteText"/>
              <w:rPr>
                <w:b/>
                <w:i/>
                <w:lang w:val="sv-SE"/>
              </w:rPr>
            </w:pPr>
            <w:r w:rsidRPr="00690BB0">
              <w:rPr>
                <w:b/>
                <w:i/>
                <w:vertAlign w:val="superscript"/>
                <w:lang w:val="sv-SE"/>
              </w:rPr>
              <w:t>2</w:t>
            </w:r>
            <w:r w:rsidRPr="00690BB0">
              <w:rPr>
                <w:b/>
                <w:i/>
                <w:lang w:val="sv-SE"/>
              </w:rPr>
              <w:t xml:space="preserve"> Med varma utsläpp avses den 90:e percentilen av rörliga fönster på 1 WHTC för fordon eller WHTC</w:t>
            </w:r>
            <w:r w:rsidRPr="00690BB0">
              <w:rPr>
                <w:b/>
                <w:i/>
                <w:vertAlign w:val="subscript"/>
                <w:lang w:val="sv-SE"/>
              </w:rPr>
              <w:t>hot</w:t>
            </w:r>
            <w:r w:rsidRPr="00690BB0">
              <w:rPr>
                <w:b/>
                <w:i/>
                <w:lang w:val="sv-SE"/>
              </w:rPr>
              <w:t xml:space="preserve"> för motorer.</w:t>
            </w:r>
          </w:p>
          <w:p w:rsidR="00D624B1" w:rsidRPr="00690BB0" w:rsidRDefault="00D624B1" w:rsidP="003F2A5D">
            <w:pPr>
              <w:widowControl/>
              <w:rPr>
                <w:b/>
                <w:i/>
                <w:noProof/>
                <w:sz w:val="20"/>
              </w:rPr>
            </w:pPr>
            <w:r w:rsidRPr="00690BB0">
              <w:rPr>
                <w:b/>
                <w:i/>
                <w:sz w:val="20"/>
                <w:vertAlign w:val="superscript"/>
              </w:rPr>
              <w:t>3</w:t>
            </w:r>
            <w:r w:rsidRPr="00690BB0">
              <w:rPr>
                <w:b/>
                <w:i/>
                <w:sz w:val="20"/>
              </w:rPr>
              <w:t xml:space="preserve"> Endast tillämpligt om det inte finns ett system som automatiskt stänger av motorn efter 300 sekunders kontinuerlig tomgångsdrift (när fordonet stannat och bromsarna ansatts).</w:t>
            </w:r>
          </w:p>
        </w:tc>
      </w:tr>
    </w:tbl>
    <w:p w:rsidR="00D624B1" w:rsidRPr="00690BB0" w:rsidRDefault="00D624B1" w:rsidP="00D624B1">
      <w:pPr>
        <w:pStyle w:val="AmOrLang"/>
        <w:widowControl/>
      </w:pPr>
    </w:p>
    <w:tbl>
      <w:tblPr>
        <w:tblStyle w:val="TableGrid"/>
        <w:tblW w:w="5000" w:type="pct"/>
        <w:tblLook w:val="04A0" w:firstRow="1" w:lastRow="0" w:firstColumn="1" w:lastColumn="0" w:noHBand="0" w:noVBand="1"/>
      </w:tblPr>
      <w:tblGrid>
        <w:gridCol w:w="1796"/>
        <w:gridCol w:w="3419"/>
        <w:gridCol w:w="3845"/>
      </w:tblGrid>
      <w:tr w:rsidR="00D624B1" w:rsidRPr="00690BB0" w:rsidTr="003F2A5D">
        <w:tc>
          <w:tcPr>
            <w:tcW w:w="4998" w:type="pct"/>
            <w:gridSpan w:val="3"/>
            <w:tcBorders>
              <w:top w:val="single" w:sz="4" w:space="0" w:color="auto"/>
              <w:left w:val="single" w:sz="4" w:space="0" w:color="auto"/>
              <w:bottom w:val="single" w:sz="4" w:space="0" w:color="auto"/>
              <w:right w:val="single" w:sz="4" w:space="0" w:color="auto"/>
            </w:tcBorders>
          </w:tcPr>
          <w:p w:rsidR="00D624B1" w:rsidRPr="00690BB0" w:rsidRDefault="007B7831" w:rsidP="003F2A5D">
            <w:pPr>
              <w:widowControl/>
              <w:jc w:val="center"/>
              <w:rPr>
                <w:i/>
                <w:noProof/>
              </w:rPr>
            </w:pPr>
            <w:r w:rsidRPr="00690BB0">
              <w:rPr>
                <w:i/>
              </w:rPr>
              <w:t>Ändring</w:t>
            </w:r>
          </w:p>
        </w:tc>
      </w:tr>
      <w:tr w:rsidR="00D624B1" w:rsidRPr="00690BB0" w:rsidTr="003F2A5D">
        <w:tc>
          <w:tcPr>
            <w:tcW w:w="4998" w:type="pct"/>
            <w:gridSpan w:val="3"/>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Tabell 2: Gränsvärden för avgasutsläpp enligt Euro 7 för fordon av kategorierna M</w:t>
            </w:r>
            <w:r w:rsidRPr="00690BB0">
              <w:rPr>
                <w:vertAlign w:val="subscript"/>
              </w:rPr>
              <w:t>2</w:t>
            </w:r>
            <w:r w:rsidRPr="00690BB0">
              <w:t>, M</w:t>
            </w:r>
            <w:r w:rsidRPr="00690BB0">
              <w:rPr>
                <w:vertAlign w:val="subscript"/>
              </w:rPr>
              <w:t>3</w:t>
            </w:r>
            <w:r w:rsidRPr="00690BB0">
              <w:t>, N</w:t>
            </w:r>
            <w:r w:rsidRPr="00690BB0">
              <w:rPr>
                <w:vertAlign w:val="subscript"/>
              </w:rPr>
              <w:t>2</w:t>
            </w:r>
            <w:r w:rsidRPr="00690BB0">
              <w:t xml:space="preserve"> och N</w:t>
            </w:r>
            <w:r w:rsidRPr="00690BB0">
              <w:rPr>
                <w:vertAlign w:val="subscript"/>
              </w:rPr>
              <w:t>3</w:t>
            </w:r>
            <w:r w:rsidRPr="00690BB0">
              <w:t xml:space="preserve"> med förbränningsmotor och förbränningsmotorer som används i dessa fordon</w:t>
            </w:r>
          </w:p>
        </w:tc>
      </w:tr>
      <w:tr w:rsidR="00D624B1" w:rsidRPr="00690BB0" w:rsidTr="003F2A5D">
        <w:trPr>
          <w:trHeight w:val="433"/>
        </w:trPr>
        <w:tc>
          <w:tcPr>
            <w:tcW w:w="991" w:type="pct"/>
            <w:vMerge w:val="restar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rPr>
                <w:noProof/>
              </w:rPr>
            </w:pPr>
            <w:r w:rsidRPr="00690BB0">
              <w:t>Utsläpp av föroreningar</w:t>
            </w:r>
          </w:p>
        </w:tc>
        <w:tc>
          <w:tcPr>
            <w:tcW w:w="1886"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i/>
                <w:noProof/>
                <w:lang w:val="pl-PL"/>
              </w:rPr>
            </w:pPr>
            <w:r w:rsidRPr="00690BB0">
              <w:rPr>
                <w:b/>
                <w:i/>
                <w:lang w:val="pl-PL"/>
              </w:rPr>
              <w:t>WHSC (CI) och WHTC (CI och PI)</w:t>
            </w:r>
          </w:p>
        </w:tc>
        <w:tc>
          <w:tcPr>
            <w:tcW w:w="2121"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noProof/>
              </w:rPr>
            </w:pPr>
            <w:r w:rsidRPr="00690BB0">
              <w:rPr>
                <w:b/>
              </w:rPr>
              <w:t>Utsläpp vid verklig körning (RDE)</w:t>
            </w:r>
          </w:p>
        </w:tc>
      </w:tr>
      <w:tr w:rsidR="00D624B1" w:rsidRPr="00690BB0" w:rsidTr="003F2A5D">
        <w:trPr>
          <w:trHeight w:val="411"/>
        </w:trPr>
        <w:tc>
          <w:tcPr>
            <w:tcW w:w="991" w:type="pct"/>
            <w:vMerge/>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rPr>
                <w:noProof/>
                <w:szCs w:val="22"/>
                <w:lang w:eastAsia="en-US"/>
              </w:rPr>
            </w:pPr>
          </w:p>
        </w:tc>
        <w:tc>
          <w:tcPr>
            <w:tcW w:w="1886"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i/>
                <w:noProof/>
              </w:rPr>
            </w:pPr>
            <w:r w:rsidRPr="00690BB0">
              <w:rPr>
                <w:i/>
              </w:rPr>
              <w:t>per kWh</w:t>
            </w:r>
          </w:p>
        </w:tc>
        <w:tc>
          <w:tcPr>
            <w:tcW w:w="2121" w:type="pct"/>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i/>
                <w:noProof/>
                <w:szCs w:val="24"/>
              </w:rPr>
            </w:pPr>
            <w:r w:rsidRPr="00690BB0">
              <w:rPr>
                <w:i/>
              </w:rPr>
              <w:t>per kWh</w:t>
            </w:r>
          </w:p>
        </w:tc>
      </w:tr>
      <w:tr w:rsidR="00D624B1" w:rsidRPr="00690BB0" w:rsidTr="003F2A5D">
        <w:tc>
          <w:tcPr>
            <w:tcW w:w="991"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spacing w:line="276" w:lineRule="auto"/>
              <w:rPr>
                <w:noProof/>
              </w:rPr>
            </w:pPr>
            <w:r w:rsidRPr="00690BB0">
              <w:t>Kväveoxider i mg</w:t>
            </w:r>
          </w:p>
        </w:tc>
        <w:tc>
          <w:tcPr>
            <w:tcW w:w="1886" w:type="pct"/>
            <w:tcBorders>
              <w:top w:val="single" w:sz="4" w:space="0" w:color="auto"/>
              <w:left w:val="single" w:sz="4" w:space="0" w:color="auto"/>
              <w:bottom w:val="single" w:sz="4" w:space="0" w:color="auto"/>
              <w:right w:val="single" w:sz="4" w:space="0" w:color="auto"/>
            </w:tcBorders>
            <w:vAlign w:val="center"/>
          </w:tcPr>
          <w:p w:rsidR="00D624B1" w:rsidRPr="00690BB0" w:rsidRDefault="00D624B1" w:rsidP="003F2A5D">
            <w:pPr>
              <w:widowControl/>
              <w:spacing w:line="276" w:lineRule="auto"/>
              <w:jc w:val="center"/>
              <w:rPr>
                <w:b/>
                <w:i/>
                <w:noProof/>
              </w:rPr>
            </w:pPr>
            <w:r w:rsidRPr="00690BB0">
              <w:rPr>
                <w:b/>
                <w:i/>
              </w:rPr>
              <w:t>200</w:t>
            </w:r>
          </w:p>
        </w:tc>
        <w:tc>
          <w:tcPr>
            <w:tcW w:w="2121"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
                <w:i/>
                <w:noProof/>
              </w:rPr>
            </w:pPr>
            <w:r w:rsidRPr="00690BB0">
              <w:rPr>
                <w:b/>
                <w:i/>
              </w:rPr>
              <w:t>260</w:t>
            </w:r>
          </w:p>
        </w:tc>
      </w:tr>
      <w:tr w:rsidR="00D624B1" w:rsidRPr="00690BB0" w:rsidTr="003F2A5D">
        <w:trPr>
          <w:trHeight w:val="50"/>
        </w:trPr>
        <w:tc>
          <w:tcPr>
            <w:tcW w:w="991"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spacing w:line="276" w:lineRule="auto"/>
              <w:rPr>
                <w:noProof/>
              </w:rPr>
            </w:pPr>
            <w:r w:rsidRPr="00690BB0">
              <w:lastRenderedPageBreak/>
              <w:t>Partikelmassa i mg</w:t>
            </w:r>
          </w:p>
        </w:tc>
        <w:tc>
          <w:tcPr>
            <w:tcW w:w="1886" w:type="pct"/>
            <w:tcBorders>
              <w:top w:val="single" w:sz="4" w:space="0" w:color="auto"/>
              <w:left w:val="single" w:sz="4" w:space="0" w:color="auto"/>
              <w:bottom w:val="single" w:sz="4" w:space="0" w:color="auto"/>
              <w:right w:val="single" w:sz="4" w:space="0" w:color="auto"/>
            </w:tcBorders>
            <w:vAlign w:val="center"/>
          </w:tcPr>
          <w:p w:rsidR="00D624B1" w:rsidRPr="00690BB0" w:rsidRDefault="00D624B1" w:rsidP="003F2A5D">
            <w:pPr>
              <w:widowControl/>
              <w:spacing w:line="276" w:lineRule="auto"/>
              <w:jc w:val="center"/>
              <w:rPr>
                <w:b/>
                <w:i/>
                <w:noProof/>
              </w:rPr>
            </w:pPr>
            <w:r w:rsidRPr="00690BB0">
              <w:rPr>
                <w:b/>
                <w:i/>
              </w:rPr>
              <w:t>8</w:t>
            </w:r>
          </w:p>
        </w:tc>
        <w:tc>
          <w:tcPr>
            <w:tcW w:w="2121"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
                <w:i/>
                <w:noProof/>
              </w:rPr>
            </w:pPr>
            <w:r w:rsidRPr="00690BB0">
              <w:rPr>
                <w:b/>
                <w:i/>
              </w:rPr>
              <w:t>10</w:t>
            </w:r>
          </w:p>
        </w:tc>
      </w:tr>
      <w:tr w:rsidR="00D624B1" w:rsidRPr="00690BB0" w:rsidTr="003F2A5D">
        <w:tc>
          <w:tcPr>
            <w:tcW w:w="991"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spacing w:line="276" w:lineRule="auto"/>
              <w:rPr>
                <w:noProof/>
              </w:rPr>
            </w:pPr>
            <w:r w:rsidRPr="00690BB0">
              <w:t>PN</w:t>
            </w:r>
            <w:r w:rsidRPr="00690BB0">
              <w:rPr>
                <w:vertAlign w:val="subscript"/>
              </w:rPr>
              <w:t>10</w:t>
            </w:r>
            <w:r w:rsidRPr="00690BB0">
              <w:t xml:space="preserve"> i antal</w:t>
            </w:r>
          </w:p>
        </w:tc>
        <w:tc>
          <w:tcPr>
            <w:tcW w:w="1886" w:type="pct"/>
            <w:tcBorders>
              <w:top w:val="single" w:sz="4" w:space="0" w:color="auto"/>
              <w:left w:val="single" w:sz="4" w:space="0" w:color="auto"/>
              <w:bottom w:val="single" w:sz="4" w:space="0" w:color="auto"/>
              <w:right w:val="single" w:sz="4" w:space="0" w:color="auto"/>
            </w:tcBorders>
            <w:vAlign w:val="center"/>
          </w:tcPr>
          <w:p w:rsidR="00D624B1" w:rsidRPr="00690BB0" w:rsidRDefault="00D624B1" w:rsidP="003F2A5D">
            <w:pPr>
              <w:widowControl/>
              <w:spacing w:line="276" w:lineRule="auto"/>
              <w:jc w:val="center"/>
              <w:rPr>
                <w:b/>
                <w:i/>
                <w:noProof/>
              </w:rPr>
            </w:pPr>
            <w:r w:rsidRPr="00690BB0">
              <w:rPr>
                <w:b/>
                <w:i/>
              </w:rPr>
              <w:t>6x10</w:t>
            </w:r>
            <w:r w:rsidRPr="00690BB0">
              <w:rPr>
                <w:b/>
                <w:i/>
                <w:sz w:val="22"/>
                <w:vertAlign w:val="superscript"/>
              </w:rPr>
              <w:t>11</w:t>
            </w:r>
          </w:p>
        </w:tc>
        <w:tc>
          <w:tcPr>
            <w:tcW w:w="2121"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
                <w:i/>
                <w:noProof/>
              </w:rPr>
            </w:pPr>
            <w:r w:rsidRPr="00690BB0">
              <w:rPr>
                <w:b/>
                <w:i/>
              </w:rPr>
              <w:t>7,8x10</w:t>
            </w:r>
            <w:r w:rsidRPr="00690BB0">
              <w:rPr>
                <w:b/>
                <w:i/>
                <w:vertAlign w:val="superscript"/>
              </w:rPr>
              <w:t>11</w:t>
            </w:r>
          </w:p>
        </w:tc>
      </w:tr>
      <w:tr w:rsidR="00D624B1" w:rsidRPr="00690BB0" w:rsidTr="003F2A5D">
        <w:tc>
          <w:tcPr>
            <w:tcW w:w="991"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spacing w:line="276" w:lineRule="auto"/>
              <w:rPr>
                <w:noProof/>
              </w:rPr>
            </w:pPr>
            <w:r w:rsidRPr="00690BB0">
              <w:t>Kolmonoxid i mg</w:t>
            </w:r>
          </w:p>
        </w:tc>
        <w:tc>
          <w:tcPr>
            <w:tcW w:w="1886" w:type="pct"/>
            <w:tcBorders>
              <w:top w:val="single" w:sz="4" w:space="0" w:color="auto"/>
              <w:left w:val="single" w:sz="4" w:space="0" w:color="auto"/>
              <w:bottom w:val="single" w:sz="4" w:space="0" w:color="auto"/>
              <w:right w:val="single" w:sz="4" w:space="0" w:color="auto"/>
            </w:tcBorders>
            <w:vAlign w:val="center"/>
          </w:tcPr>
          <w:p w:rsidR="00D624B1" w:rsidRPr="00690BB0" w:rsidRDefault="00D624B1" w:rsidP="003F2A5D">
            <w:pPr>
              <w:widowControl/>
              <w:spacing w:line="276" w:lineRule="auto"/>
              <w:jc w:val="center"/>
              <w:rPr>
                <w:b/>
                <w:i/>
                <w:noProof/>
              </w:rPr>
            </w:pPr>
            <w:r w:rsidRPr="00690BB0">
              <w:rPr>
                <w:b/>
                <w:i/>
              </w:rPr>
              <w:t>1500</w:t>
            </w:r>
          </w:p>
        </w:tc>
        <w:tc>
          <w:tcPr>
            <w:tcW w:w="2121"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
                <w:i/>
                <w:noProof/>
              </w:rPr>
            </w:pPr>
            <w:r w:rsidRPr="00690BB0">
              <w:rPr>
                <w:b/>
                <w:i/>
              </w:rPr>
              <w:t>1950</w:t>
            </w:r>
          </w:p>
        </w:tc>
      </w:tr>
      <w:tr w:rsidR="00D624B1" w:rsidRPr="00690BB0" w:rsidTr="003F2A5D">
        <w:tc>
          <w:tcPr>
            <w:tcW w:w="991"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spacing w:line="276" w:lineRule="auto"/>
              <w:rPr>
                <w:noProof/>
              </w:rPr>
            </w:pPr>
            <w:r w:rsidRPr="00690BB0">
              <w:t>Andra organiska gaser än metan i mg</w:t>
            </w:r>
          </w:p>
        </w:tc>
        <w:tc>
          <w:tcPr>
            <w:tcW w:w="1886" w:type="pct"/>
            <w:tcBorders>
              <w:top w:val="single" w:sz="4" w:space="0" w:color="auto"/>
              <w:left w:val="single" w:sz="4" w:space="0" w:color="auto"/>
              <w:bottom w:val="single" w:sz="4" w:space="0" w:color="auto"/>
              <w:right w:val="single" w:sz="4" w:space="0" w:color="auto"/>
            </w:tcBorders>
            <w:vAlign w:val="center"/>
          </w:tcPr>
          <w:p w:rsidR="00D624B1" w:rsidRPr="00690BB0" w:rsidRDefault="00D624B1" w:rsidP="003F2A5D">
            <w:pPr>
              <w:widowControl/>
              <w:spacing w:line="276" w:lineRule="auto"/>
              <w:jc w:val="center"/>
              <w:rPr>
                <w:b/>
                <w:i/>
                <w:noProof/>
              </w:rPr>
            </w:pPr>
            <w:r w:rsidRPr="00690BB0">
              <w:rPr>
                <w:b/>
                <w:i/>
              </w:rPr>
              <w:t>75</w:t>
            </w:r>
          </w:p>
        </w:tc>
        <w:tc>
          <w:tcPr>
            <w:tcW w:w="2121"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
                <w:i/>
                <w:noProof/>
              </w:rPr>
            </w:pPr>
            <w:r w:rsidRPr="00690BB0">
              <w:rPr>
                <w:b/>
                <w:i/>
              </w:rPr>
              <w:t>98</w:t>
            </w:r>
          </w:p>
        </w:tc>
      </w:tr>
      <w:tr w:rsidR="00D624B1" w:rsidRPr="00690BB0" w:rsidTr="003F2A5D">
        <w:tc>
          <w:tcPr>
            <w:tcW w:w="991"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spacing w:line="276" w:lineRule="auto"/>
              <w:rPr>
                <w:noProof/>
              </w:rPr>
            </w:pPr>
            <w:r w:rsidRPr="00690BB0">
              <w:t>Ammoniak i mg</w:t>
            </w:r>
          </w:p>
        </w:tc>
        <w:tc>
          <w:tcPr>
            <w:tcW w:w="1886" w:type="pct"/>
            <w:tcBorders>
              <w:top w:val="single" w:sz="4" w:space="0" w:color="auto"/>
              <w:left w:val="single" w:sz="4" w:space="0" w:color="auto"/>
              <w:bottom w:val="single" w:sz="4" w:space="0" w:color="auto"/>
              <w:right w:val="single" w:sz="4" w:space="0" w:color="auto"/>
            </w:tcBorders>
            <w:vAlign w:val="center"/>
          </w:tcPr>
          <w:p w:rsidR="00D624B1" w:rsidRPr="00690BB0" w:rsidRDefault="00D624B1" w:rsidP="003F2A5D">
            <w:pPr>
              <w:widowControl/>
              <w:spacing w:line="276" w:lineRule="auto"/>
              <w:jc w:val="center"/>
              <w:rPr>
                <w:b/>
                <w:i/>
                <w:noProof/>
              </w:rPr>
            </w:pPr>
            <w:r w:rsidRPr="00690BB0">
              <w:rPr>
                <w:b/>
                <w:i/>
              </w:rPr>
              <w:t>60</w:t>
            </w:r>
          </w:p>
        </w:tc>
        <w:tc>
          <w:tcPr>
            <w:tcW w:w="2121"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
                <w:i/>
                <w:noProof/>
              </w:rPr>
            </w:pPr>
            <w:r w:rsidRPr="00690BB0">
              <w:rPr>
                <w:b/>
                <w:i/>
              </w:rPr>
              <w:t>78</w:t>
            </w:r>
          </w:p>
        </w:tc>
      </w:tr>
      <w:tr w:rsidR="00D624B1" w:rsidRPr="00690BB0" w:rsidTr="003F2A5D">
        <w:tc>
          <w:tcPr>
            <w:tcW w:w="991"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spacing w:line="276" w:lineRule="auto"/>
              <w:rPr>
                <w:noProof/>
              </w:rPr>
            </w:pPr>
            <w:r w:rsidRPr="00690BB0">
              <w:t>Metan i mg</w:t>
            </w:r>
          </w:p>
        </w:tc>
        <w:tc>
          <w:tcPr>
            <w:tcW w:w="1886" w:type="pct"/>
            <w:tcBorders>
              <w:top w:val="single" w:sz="4" w:space="0" w:color="auto"/>
              <w:left w:val="single" w:sz="4" w:space="0" w:color="auto"/>
              <w:bottom w:val="single" w:sz="4" w:space="0" w:color="auto"/>
              <w:right w:val="single" w:sz="4" w:space="0" w:color="auto"/>
            </w:tcBorders>
            <w:vAlign w:val="center"/>
          </w:tcPr>
          <w:p w:rsidR="00D624B1" w:rsidRPr="00690BB0" w:rsidRDefault="00D624B1" w:rsidP="003F2A5D">
            <w:pPr>
              <w:widowControl/>
              <w:spacing w:line="276" w:lineRule="auto"/>
              <w:jc w:val="center"/>
              <w:rPr>
                <w:noProof/>
              </w:rPr>
            </w:pPr>
            <w:r w:rsidRPr="00690BB0">
              <w:t>500</w:t>
            </w:r>
          </w:p>
        </w:tc>
        <w:tc>
          <w:tcPr>
            <w:tcW w:w="2121"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
                <w:i/>
                <w:noProof/>
              </w:rPr>
            </w:pPr>
            <w:r w:rsidRPr="00690BB0">
              <w:rPr>
                <w:b/>
                <w:i/>
              </w:rPr>
              <w:t>650</w:t>
            </w:r>
          </w:p>
        </w:tc>
      </w:tr>
      <w:tr w:rsidR="00D624B1" w:rsidRPr="00690BB0" w:rsidTr="003F2A5D">
        <w:tc>
          <w:tcPr>
            <w:tcW w:w="991"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spacing w:line="276" w:lineRule="auto"/>
              <w:rPr>
                <w:noProof/>
              </w:rPr>
            </w:pPr>
            <w:r w:rsidRPr="00690BB0">
              <w:t>Dikväveoxid i mg</w:t>
            </w:r>
          </w:p>
        </w:tc>
        <w:tc>
          <w:tcPr>
            <w:tcW w:w="1886" w:type="pct"/>
            <w:tcBorders>
              <w:top w:val="single" w:sz="4" w:space="0" w:color="auto"/>
              <w:left w:val="single" w:sz="4" w:space="0" w:color="auto"/>
              <w:bottom w:val="single" w:sz="4" w:space="0" w:color="auto"/>
              <w:right w:val="single" w:sz="4" w:space="0" w:color="auto"/>
            </w:tcBorders>
            <w:vAlign w:val="center"/>
          </w:tcPr>
          <w:p w:rsidR="00D624B1" w:rsidRPr="00690BB0" w:rsidRDefault="00D624B1" w:rsidP="003F2A5D">
            <w:pPr>
              <w:widowControl/>
              <w:spacing w:line="276" w:lineRule="auto"/>
              <w:jc w:val="center"/>
              <w:rPr>
                <w:noProof/>
              </w:rPr>
            </w:pPr>
            <w:r w:rsidRPr="00690BB0">
              <w:t>160</w:t>
            </w:r>
          </w:p>
        </w:tc>
        <w:tc>
          <w:tcPr>
            <w:tcW w:w="2121" w:type="pct"/>
            <w:tcBorders>
              <w:top w:val="single" w:sz="4" w:space="0" w:color="auto"/>
              <w:left w:val="single" w:sz="4" w:space="0" w:color="auto"/>
              <w:bottom w:val="single" w:sz="4" w:space="0" w:color="auto"/>
              <w:right w:val="single" w:sz="4" w:space="0" w:color="auto"/>
            </w:tcBorders>
            <w:hideMark/>
          </w:tcPr>
          <w:p w:rsidR="00D624B1" w:rsidRPr="00690BB0" w:rsidRDefault="00A014B6" w:rsidP="003F2A5D">
            <w:pPr>
              <w:widowControl/>
              <w:jc w:val="center"/>
              <w:rPr>
                <w:b/>
                <w:i/>
                <w:noProof/>
              </w:rPr>
            </w:pPr>
            <w:r w:rsidRPr="00690BB0">
              <w:rPr>
                <w:b/>
                <w:i/>
              </w:rPr>
              <w:t>208</w:t>
            </w:r>
          </w:p>
        </w:tc>
      </w:tr>
      <w:tr w:rsidR="00D624B1" w:rsidRPr="00690BB0" w:rsidTr="003F2A5D">
        <w:tc>
          <w:tcPr>
            <w:tcW w:w="991"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rPr>
                <w:noProof/>
              </w:rPr>
            </w:pPr>
            <w:r w:rsidRPr="00690BB0">
              <w:t>Formaldehyd i mg</w:t>
            </w:r>
          </w:p>
        </w:tc>
        <w:tc>
          <w:tcPr>
            <w:tcW w:w="1886" w:type="pct"/>
            <w:tcBorders>
              <w:top w:val="single" w:sz="4" w:space="0" w:color="auto"/>
              <w:left w:val="single" w:sz="4" w:space="0" w:color="auto"/>
              <w:bottom w:val="single" w:sz="4" w:space="0" w:color="auto"/>
              <w:right w:val="single" w:sz="4" w:space="0" w:color="auto"/>
            </w:tcBorders>
            <w:vAlign w:val="center"/>
          </w:tcPr>
          <w:p w:rsidR="00D624B1" w:rsidRPr="00690BB0" w:rsidRDefault="00D624B1" w:rsidP="003F2A5D">
            <w:pPr>
              <w:widowControl/>
              <w:jc w:val="center"/>
              <w:rPr>
                <w:noProof/>
              </w:rPr>
            </w:pPr>
            <w:r w:rsidRPr="00690BB0">
              <w:t>30</w:t>
            </w:r>
          </w:p>
        </w:tc>
        <w:tc>
          <w:tcPr>
            <w:tcW w:w="2121" w:type="pct"/>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
                <w:i/>
                <w:noProof/>
              </w:rPr>
            </w:pPr>
            <w:r w:rsidRPr="00690BB0">
              <w:rPr>
                <w:b/>
                <w:i/>
              </w:rPr>
              <w:t>39</w:t>
            </w:r>
          </w:p>
        </w:tc>
      </w:tr>
    </w:tbl>
    <w:p w:rsidR="00D624B1" w:rsidRPr="00690BB0" w:rsidRDefault="00D624B1" w:rsidP="00D624B1">
      <w:pPr>
        <w:widowControl/>
      </w:pPr>
    </w:p>
    <w:p w:rsidR="00D624B1" w:rsidRPr="00690BB0" w:rsidRDefault="007B7831" w:rsidP="00D624B1">
      <w:pPr>
        <w:pStyle w:val="AmNumberTabs"/>
        <w:keepNext/>
        <w:widowControl/>
      </w:pPr>
      <w:r w:rsidRPr="00690BB0">
        <w:t>Ändring</w:t>
      </w:r>
      <w:r w:rsidR="00D624B1" w:rsidRPr="00690BB0">
        <w:tab/>
      </w:r>
      <w:r w:rsidR="00D624B1" w:rsidRPr="00690BB0">
        <w:tab/>
        <w:t>152</w:t>
      </w:r>
    </w:p>
    <w:p w:rsidR="00D624B1" w:rsidRPr="00690BB0" w:rsidRDefault="00D624B1" w:rsidP="00D624B1">
      <w:pPr>
        <w:pStyle w:val="NormalBold12b"/>
        <w:widowControl/>
      </w:pPr>
      <w:r w:rsidRPr="00690BB0">
        <w:t>Förslag till förordning</w:t>
      </w:r>
    </w:p>
    <w:p w:rsidR="00D624B1" w:rsidRPr="00690BB0" w:rsidRDefault="00D624B1" w:rsidP="00D624B1">
      <w:pPr>
        <w:pStyle w:val="NormalBold"/>
        <w:keepNext/>
        <w:widowControl/>
      </w:pPr>
      <w:r w:rsidRPr="00690BB0">
        <w:t>Bilaga I – tabell 4 – rubriken</w:t>
      </w:r>
    </w:p>
    <w:tbl>
      <w:tblPr>
        <w:tblStyle w:val="TableGrid"/>
        <w:tblW w:w="0" w:type="auto"/>
        <w:tblLook w:val="04A0" w:firstRow="1" w:lastRow="0" w:firstColumn="1" w:lastColumn="0" w:noHBand="0" w:noVBand="1"/>
      </w:tblPr>
      <w:tblGrid>
        <w:gridCol w:w="4539"/>
        <w:gridCol w:w="4521"/>
      </w:tblGrid>
      <w:tr w:rsidR="00D624B1" w:rsidRPr="00690BB0" w:rsidTr="003F2A5D">
        <w:tc>
          <w:tcPr>
            <w:tcW w:w="4539" w:type="dxa"/>
          </w:tcPr>
          <w:p w:rsidR="00D624B1" w:rsidRPr="00690BB0" w:rsidRDefault="00D624B1" w:rsidP="003F2A5D">
            <w:pPr>
              <w:widowControl/>
              <w:jc w:val="center"/>
              <w:rPr>
                <w:i/>
                <w:noProof/>
              </w:rPr>
            </w:pPr>
            <w:r w:rsidRPr="00690BB0">
              <w:rPr>
                <w:i/>
              </w:rPr>
              <w:t>Kommissionens förslag</w:t>
            </w:r>
          </w:p>
        </w:tc>
        <w:tc>
          <w:tcPr>
            <w:tcW w:w="4521" w:type="dxa"/>
          </w:tcPr>
          <w:p w:rsidR="00D624B1" w:rsidRPr="00690BB0" w:rsidRDefault="007B7831" w:rsidP="003F2A5D">
            <w:pPr>
              <w:widowControl/>
              <w:jc w:val="center"/>
              <w:rPr>
                <w:i/>
                <w:noProof/>
              </w:rPr>
            </w:pPr>
            <w:r w:rsidRPr="00690BB0">
              <w:rPr>
                <w:i/>
              </w:rPr>
              <w:t>Ändring</w:t>
            </w:r>
          </w:p>
        </w:tc>
      </w:tr>
      <w:tr w:rsidR="00D624B1" w:rsidRPr="00690BB0" w:rsidTr="003F2A5D">
        <w:trPr>
          <w:trHeight w:val="888"/>
        </w:trPr>
        <w:tc>
          <w:tcPr>
            <w:tcW w:w="4539" w:type="dxa"/>
          </w:tcPr>
          <w:p w:rsidR="00D624B1" w:rsidRPr="00690BB0" w:rsidRDefault="00D624B1" w:rsidP="003F2A5D">
            <w:pPr>
              <w:widowControl/>
            </w:pPr>
            <w:r w:rsidRPr="00690BB0">
              <w:t>Gränsvärden för bromspartikelutsläpp enligt euro 7 i standardkörcykeln som gäller till och med den 31 december 2034</w:t>
            </w:r>
          </w:p>
        </w:tc>
        <w:tc>
          <w:tcPr>
            <w:tcW w:w="4521" w:type="dxa"/>
          </w:tcPr>
          <w:p w:rsidR="00D624B1" w:rsidRPr="00690BB0" w:rsidRDefault="00D624B1" w:rsidP="003F2A5D">
            <w:pPr>
              <w:widowControl/>
            </w:pPr>
            <w:r w:rsidRPr="00690BB0">
              <w:t xml:space="preserve">Gränsvärden för bromspartikelutsläpp enligt euro 7 i standardkörcykeln </w:t>
            </w:r>
            <w:r w:rsidRPr="00690BB0">
              <w:rPr>
                <w:b/>
                <w:bCs/>
                <w:i/>
                <w:iCs/>
              </w:rPr>
              <w:t>för fordon med förbränningsmotor</w:t>
            </w:r>
            <w:r w:rsidRPr="00690BB0">
              <w:t xml:space="preserve"> som gäller till och med den 31 december 2034</w:t>
            </w:r>
          </w:p>
        </w:tc>
      </w:tr>
    </w:tbl>
    <w:p w:rsidR="00D624B1" w:rsidRPr="00690BB0" w:rsidRDefault="00D624B1" w:rsidP="00D624B1">
      <w:pPr>
        <w:widowControl/>
      </w:pPr>
    </w:p>
    <w:p w:rsidR="00D624B1" w:rsidRPr="00690BB0" w:rsidRDefault="007B7831" w:rsidP="00D624B1">
      <w:pPr>
        <w:pStyle w:val="AmNumberTabs"/>
        <w:keepNext/>
        <w:widowControl/>
      </w:pPr>
      <w:r w:rsidRPr="00690BB0">
        <w:t>Ändring</w:t>
      </w:r>
      <w:r w:rsidR="00D624B1" w:rsidRPr="00690BB0">
        <w:tab/>
      </w:r>
      <w:r w:rsidR="00D624B1" w:rsidRPr="00690BB0">
        <w:tab/>
        <w:t>153</w:t>
      </w:r>
    </w:p>
    <w:p w:rsidR="00D624B1" w:rsidRPr="00690BB0" w:rsidRDefault="00D624B1" w:rsidP="00D624B1">
      <w:pPr>
        <w:pStyle w:val="NormalBold12b"/>
        <w:widowControl/>
      </w:pPr>
      <w:r w:rsidRPr="00690BB0">
        <w:t>Förslag till förordning</w:t>
      </w:r>
    </w:p>
    <w:p w:rsidR="00D624B1" w:rsidRPr="00690BB0" w:rsidRDefault="00D624B1" w:rsidP="00D624B1">
      <w:pPr>
        <w:pStyle w:val="NormalBold"/>
        <w:keepNext/>
        <w:widowControl/>
      </w:pPr>
      <w:r w:rsidRPr="00690BB0">
        <w:t>Bilaga I – tabell 4a (ny)</w:t>
      </w:r>
    </w:p>
    <w:tbl>
      <w:tblPr>
        <w:tblStyle w:val="TableGrid"/>
        <w:tblW w:w="5000" w:type="pct"/>
        <w:tblLook w:val="04A0" w:firstRow="1" w:lastRow="0" w:firstColumn="1" w:lastColumn="0" w:noHBand="0" w:noVBand="1"/>
      </w:tblPr>
      <w:tblGrid>
        <w:gridCol w:w="9060"/>
      </w:tblGrid>
      <w:tr w:rsidR="00D624B1" w:rsidRPr="00690BB0" w:rsidTr="003F2A5D">
        <w:tc>
          <w:tcPr>
            <w:tcW w:w="4998"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jc w:val="center"/>
              <w:rPr>
                <w:i/>
                <w:noProof/>
              </w:rPr>
            </w:pPr>
            <w:r w:rsidRPr="00690BB0">
              <w:rPr>
                <w:i/>
              </w:rPr>
              <w:t>Kommissionens förslag</w:t>
            </w:r>
          </w:p>
        </w:tc>
      </w:tr>
      <w:tr w:rsidR="00D624B1" w:rsidRPr="00690BB0" w:rsidTr="003F2A5D">
        <w:tc>
          <w:tcPr>
            <w:tcW w:w="4998"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p>
        </w:tc>
      </w:tr>
    </w:tbl>
    <w:p w:rsidR="00D624B1" w:rsidRPr="00690BB0" w:rsidRDefault="00D624B1" w:rsidP="00D624B1">
      <w:pPr>
        <w:pStyle w:val="AmOrLang"/>
        <w:widowControl/>
      </w:pPr>
    </w:p>
    <w:tbl>
      <w:tblPr>
        <w:tblStyle w:val="TableGrid"/>
        <w:tblW w:w="5000" w:type="pct"/>
        <w:tblLook w:val="04A0" w:firstRow="1" w:lastRow="0" w:firstColumn="1" w:lastColumn="0" w:noHBand="0" w:noVBand="1"/>
      </w:tblPr>
      <w:tblGrid>
        <w:gridCol w:w="2417"/>
        <w:gridCol w:w="2212"/>
        <w:gridCol w:w="2212"/>
        <w:gridCol w:w="2219"/>
      </w:tblGrid>
      <w:tr w:rsidR="00D624B1" w:rsidRPr="00690BB0" w:rsidTr="003F2A5D">
        <w:tc>
          <w:tcPr>
            <w:tcW w:w="4998" w:type="pct"/>
            <w:gridSpan w:val="4"/>
            <w:tcBorders>
              <w:top w:val="single" w:sz="4" w:space="0" w:color="auto"/>
              <w:left w:val="single" w:sz="4" w:space="0" w:color="auto"/>
              <w:bottom w:val="single" w:sz="4" w:space="0" w:color="auto"/>
              <w:right w:val="single" w:sz="4" w:space="0" w:color="auto"/>
            </w:tcBorders>
          </w:tcPr>
          <w:p w:rsidR="00D624B1" w:rsidRPr="00690BB0" w:rsidRDefault="007B7831" w:rsidP="003F2A5D">
            <w:pPr>
              <w:widowControl/>
              <w:jc w:val="center"/>
              <w:rPr>
                <w:i/>
                <w:noProof/>
              </w:rPr>
            </w:pPr>
            <w:r w:rsidRPr="00690BB0">
              <w:rPr>
                <w:i/>
              </w:rPr>
              <w:t>Ändring</w:t>
            </w:r>
          </w:p>
        </w:tc>
      </w:tr>
      <w:tr w:rsidR="00D624B1" w:rsidRPr="00690BB0" w:rsidTr="003F2A5D">
        <w:tc>
          <w:tcPr>
            <w:tcW w:w="4998" w:type="pct"/>
            <w:gridSpan w:val="4"/>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rPr>
                <w:b/>
                <w:i/>
              </w:rPr>
              <w:t>Tabell 4a: Gränsvärden för bromspartikelutsläpp enligt Euro 7 i standardkörcykeln för fordon med endast eldrift, bränslecellsfordon och hybridelfordon som gäller till och med den 31 december 2029</w:t>
            </w:r>
            <w:r w:rsidRPr="00690BB0">
              <w:rPr>
                <w:i/>
              </w:rPr>
              <w:t xml:space="preserve"> </w:t>
            </w:r>
          </w:p>
        </w:tc>
      </w:tr>
      <w:tr w:rsidR="00D624B1" w:rsidRPr="00690BB0" w:rsidTr="003F2A5D">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pStyle w:val="TableParagraph"/>
              <w:widowControl/>
              <w:kinsoku w:val="0"/>
              <w:overflowPunct w:val="0"/>
              <w:spacing w:before="119"/>
              <w:ind w:left="107"/>
              <w:jc w:val="center"/>
              <w:rPr>
                <w:b/>
                <w:bCs/>
                <w:i/>
                <w:spacing w:val="-2"/>
                <w:sz w:val="24"/>
                <w:szCs w:val="24"/>
              </w:rPr>
            </w:pPr>
            <w:r w:rsidRPr="00690BB0">
              <w:rPr>
                <w:b/>
                <w:i/>
                <w:sz w:val="24"/>
              </w:rPr>
              <w:t>Utsläppsgränsvärden i mg/km per fordon</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pStyle w:val="TableParagraph"/>
              <w:widowControl/>
              <w:kinsoku w:val="0"/>
              <w:overflowPunct w:val="0"/>
              <w:spacing w:before="118"/>
              <w:ind w:left="108"/>
              <w:jc w:val="center"/>
              <w:rPr>
                <w:b/>
                <w:bCs/>
                <w:i/>
                <w:spacing w:val="-2"/>
                <w:position w:val="1"/>
                <w:sz w:val="24"/>
                <w:szCs w:val="24"/>
              </w:rPr>
            </w:pPr>
            <w:r w:rsidRPr="00690BB0">
              <w:rPr>
                <w:b/>
                <w:i/>
                <w:sz w:val="24"/>
              </w:rPr>
              <w:t>Fordon av kategorierna M</w:t>
            </w:r>
            <w:r w:rsidRPr="00690BB0">
              <w:rPr>
                <w:b/>
                <w:i/>
                <w:sz w:val="24"/>
                <w:vertAlign w:val="subscript"/>
              </w:rPr>
              <w:t>1</w:t>
            </w:r>
            <w:r w:rsidRPr="00690BB0">
              <w:rPr>
                <w:b/>
                <w:i/>
                <w:sz w:val="24"/>
              </w:rPr>
              <w:t xml:space="preserve"> och N</w:t>
            </w:r>
            <w:r w:rsidRPr="00690BB0">
              <w:rPr>
                <w:b/>
                <w:i/>
                <w:sz w:val="24"/>
                <w:vertAlign w:val="subscript"/>
              </w:rPr>
              <w:t>1</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pStyle w:val="TableParagraph"/>
              <w:widowControl/>
              <w:kinsoku w:val="0"/>
              <w:overflowPunct w:val="0"/>
              <w:spacing w:before="118"/>
              <w:jc w:val="center"/>
              <w:rPr>
                <w:b/>
                <w:bCs/>
                <w:i/>
                <w:spacing w:val="-2"/>
                <w:position w:val="1"/>
                <w:sz w:val="24"/>
                <w:szCs w:val="24"/>
              </w:rPr>
            </w:pPr>
            <w:r w:rsidRPr="00690BB0">
              <w:rPr>
                <w:b/>
                <w:i/>
                <w:sz w:val="24"/>
              </w:rPr>
              <w:t>Fordon av kategorierna M</w:t>
            </w:r>
            <w:r w:rsidRPr="00690BB0">
              <w:rPr>
                <w:b/>
                <w:i/>
                <w:sz w:val="24"/>
                <w:vertAlign w:val="subscript"/>
              </w:rPr>
              <w:t>2</w:t>
            </w:r>
            <w:r w:rsidRPr="00690BB0">
              <w:rPr>
                <w:b/>
                <w:i/>
                <w:sz w:val="24"/>
              </w:rPr>
              <w:t xml:space="preserve"> och M</w:t>
            </w:r>
            <w:r w:rsidRPr="00690BB0">
              <w:rPr>
                <w:b/>
                <w:i/>
                <w:sz w:val="24"/>
                <w:vertAlign w:val="subscript"/>
              </w:rPr>
              <w:t>3</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pStyle w:val="TableParagraph"/>
              <w:widowControl/>
              <w:kinsoku w:val="0"/>
              <w:overflowPunct w:val="0"/>
              <w:spacing w:before="118"/>
              <w:jc w:val="center"/>
              <w:rPr>
                <w:b/>
                <w:bCs/>
                <w:i/>
                <w:spacing w:val="-2"/>
                <w:position w:val="1"/>
                <w:sz w:val="24"/>
                <w:szCs w:val="24"/>
              </w:rPr>
            </w:pPr>
            <w:r w:rsidRPr="00690BB0">
              <w:rPr>
                <w:b/>
                <w:i/>
                <w:sz w:val="24"/>
              </w:rPr>
              <w:t>Fordon av kategorierna N</w:t>
            </w:r>
            <w:r w:rsidRPr="00690BB0">
              <w:rPr>
                <w:b/>
                <w:i/>
                <w:sz w:val="24"/>
                <w:vertAlign w:val="subscript"/>
              </w:rPr>
              <w:t>2</w:t>
            </w:r>
            <w:r w:rsidRPr="00690BB0">
              <w:rPr>
                <w:b/>
                <w:i/>
                <w:sz w:val="24"/>
              </w:rPr>
              <w:t xml:space="preserve"> och N</w:t>
            </w:r>
            <w:r w:rsidRPr="00690BB0">
              <w:rPr>
                <w:b/>
                <w:i/>
                <w:sz w:val="24"/>
                <w:vertAlign w:val="subscript"/>
              </w:rPr>
              <w:t>3</w:t>
            </w:r>
          </w:p>
        </w:tc>
      </w:tr>
      <w:tr w:rsidR="00D624B1" w:rsidRPr="00690BB0" w:rsidTr="003F2A5D">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jc w:val="center"/>
              <w:rPr>
                <w:b/>
                <w:i/>
                <w:szCs w:val="24"/>
              </w:rPr>
            </w:pPr>
            <w:r w:rsidRPr="00690BB0">
              <w:rPr>
                <w:b/>
                <w:i/>
              </w:rPr>
              <w:t>Bromspartikelutsläpp (PM</w:t>
            </w:r>
            <w:r w:rsidRPr="00690BB0">
              <w:rPr>
                <w:b/>
                <w:i/>
                <w:vertAlign w:val="subscript"/>
              </w:rPr>
              <w:t>10</w:t>
            </w:r>
            <w:r w:rsidRPr="00690BB0">
              <w:rPr>
                <w:b/>
                <w:i/>
              </w:rPr>
              <w:t>)</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jc w:val="center"/>
              <w:rPr>
                <w:b/>
                <w:i/>
                <w:szCs w:val="24"/>
              </w:rPr>
            </w:pPr>
            <w:r w:rsidRPr="00690BB0">
              <w:rPr>
                <w:b/>
                <w:i/>
              </w:rPr>
              <w:t>3</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jc w:val="center"/>
              <w:rPr>
                <w:b/>
                <w:i/>
                <w:szCs w:val="24"/>
              </w:rPr>
            </w:pPr>
          </w:p>
        </w:tc>
      </w:tr>
      <w:tr w:rsidR="00D624B1" w:rsidRPr="00690BB0" w:rsidTr="003F2A5D">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pStyle w:val="Default"/>
              <w:jc w:val="center"/>
              <w:rPr>
                <w:b/>
                <w:bCs/>
                <w:i/>
                <w:color w:val="auto"/>
              </w:rPr>
            </w:pPr>
            <w:r w:rsidRPr="00690BB0">
              <w:rPr>
                <w:b/>
                <w:i/>
                <w:color w:val="auto"/>
              </w:rPr>
              <w:t>Bromspartikelutsläpp (PN)</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pStyle w:val="Default"/>
              <w:jc w:val="center"/>
              <w:rPr>
                <w:b/>
                <w:bCs/>
                <w:i/>
                <w:color w:val="auto"/>
              </w:rPr>
            </w:pP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pStyle w:val="Default"/>
              <w:jc w:val="center"/>
              <w:rPr>
                <w:b/>
                <w:bCs/>
                <w:i/>
                <w:color w:val="auto"/>
              </w:rPr>
            </w:pP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pStyle w:val="Default"/>
              <w:jc w:val="center"/>
              <w:rPr>
                <w:b/>
                <w:bCs/>
                <w:i/>
                <w:color w:val="auto"/>
              </w:rPr>
            </w:pPr>
          </w:p>
        </w:tc>
      </w:tr>
    </w:tbl>
    <w:p w:rsidR="00D624B1" w:rsidRPr="00690BB0" w:rsidRDefault="00D624B1" w:rsidP="00D624B1">
      <w:pPr>
        <w:widowControl/>
      </w:pPr>
    </w:p>
    <w:p w:rsidR="00D624B1" w:rsidRPr="00690BB0" w:rsidRDefault="007B7831" w:rsidP="00D624B1">
      <w:pPr>
        <w:pStyle w:val="AmNumberTabs"/>
        <w:keepNext/>
        <w:widowControl/>
      </w:pPr>
      <w:r w:rsidRPr="00690BB0">
        <w:lastRenderedPageBreak/>
        <w:t>Ändring</w:t>
      </w:r>
      <w:r w:rsidR="00D624B1" w:rsidRPr="00690BB0">
        <w:tab/>
      </w:r>
      <w:r w:rsidR="00D624B1" w:rsidRPr="00690BB0">
        <w:tab/>
        <w:t>154</w:t>
      </w:r>
    </w:p>
    <w:p w:rsidR="00D624B1" w:rsidRPr="00690BB0" w:rsidRDefault="00D624B1" w:rsidP="00D624B1">
      <w:pPr>
        <w:pStyle w:val="NormalBold12b"/>
        <w:widowControl/>
      </w:pPr>
      <w:r w:rsidRPr="00690BB0">
        <w:t>Förslag till förordning</w:t>
      </w:r>
    </w:p>
    <w:p w:rsidR="00D624B1" w:rsidRPr="00690BB0" w:rsidRDefault="00D624B1" w:rsidP="00D624B1">
      <w:pPr>
        <w:pStyle w:val="NormalBold"/>
        <w:keepNext/>
        <w:widowControl/>
      </w:pPr>
      <w:r w:rsidRPr="00690BB0">
        <w:t>Bilaga I – tabell 4b (ny)</w:t>
      </w:r>
    </w:p>
    <w:tbl>
      <w:tblPr>
        <w:tblStyle w:val="TableGrid"/>
        <w:tblW w:w="5000" w:type="pct"/>
        <w:tblLook w:val="04A0" w:firstRow="1" w:lastRow="0" w:firstColumn="1" w:lastColumn="0" w:noHBand="0" w:noVBand="1"/>
      </w:tblPr>
      <w:tblGrid>
        <w:gridCol w:w="9060"/>
      </w:tblGrid>
      <w:tr w:rsidR="00D624B1" w:rsidRPr="00690BB0" w:rsidTr="003F2A5D">
        <w:tc>
          <w:tcPr>
            <w:tcW w:w="4998"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jc w:val="center"/>
              <w:rPr>
                <w:i/>
                <w:noProof/>
              </w:rPr>
            </w:pPr>
            <w:r w:rsidRPr="00690BB0">
              <w:rPr>
                <w:i/>
              </w:rPr>
              <w:t>Kommissionens förslag</w:t>
            </w:r>
          </w:p>
        </w:tc>
      </w:tr>
      <w:tr w:rsidR="00D624B1" w:rsidRPr="00690BB0" w:rsidTr="003F2A5D">
        <w:tc>
          <w:tcPr>
            <w:tcW w:w="4998"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p>
        </w:tc>
      </w:tr>
    </w:tbl>
    <w:p w:rsidR="00D624B1" w:rsidRPr="00690BB0" w:rsidRDefault="00D624B1" w:rsidP="00D624B1">
      <w:pPr>
        <w:pStyle w:val="AmOrLang"/>
        <w:widowControl/>
      </w:pPr>
    </w:p>
    <w:tbl>
      <w:tblPr>
        <w:tblStyle w:val="TableGrid"/>
        <w:tblW w:w="5000" w:type="pct"/>
        <w:tblLook w:val="04A0" w:firstRow="1" w:lastRow="0" w:firstColumn="1" w:lastColumn="0" w:noHBand="0" w:noVBand="1"/>
      </w:tblPr>
      <w:tblGrid>
        <w:gridCol w:w="2417"/>
        <w:gridCol w:w="2212"/>
        <w:gridCol w:w="2212"/>
        <w:gridCol w:w="2219"/>
      </w:tblGrid>
      <w:tr w:rsidR="00D624B1" w:rsidRPr="00690BB0" w:rsidTr="003F2A5D">
        <w:tc>
          <w:tcPr>
            <w:tcW w:w="4998" w:type="pct"/>
            <w:gridSpan w:val="4"/>
            <w:tcBorders>
              <w:top w:val="single" w:sz="4" w:space="0" w:color="auto"/>
              <w:left w:val="single" w:sz="4" w:space="0" w:color="auto"/>
              <w:bottom w:val="single" w:sz="4" w:space="0" w:color="auto"/>
              <w:right w:val="single" w:sz="4" w:space="0" w:color="auto"/>
            </w:tcBorders>
          </w:tcPr>
          <w:p w:rsidR="00D624B1" w:rsidRPr="00690BB0" w:rsidRDefault="007B7831" w:rsidP="003F2A5D">
            <w:pPr>
              <w:widowControl/>
              <w:jc w:val="center"/>
              <w:rPr>
                <w:i/>
                <w:noProof/>
              </w:rPr>
            </w:pPr>
            <w:r w:rsidRPr="00690BB0">
              <w:rPr>
                <w:i/>
              </w:rPr>
              <w:t>Ändring</w:t>
            </w:r>
          </w:p>
        </w:tc>
      </w:tr>
      <w:tr w:rsidR="00D624B1" w:rsidRPr="00690BB0" w:rsidTr="003F2A5D">
        <w:tc>
          <w:tcPr>
            <w:tcW w:w="4998" w:type="pct"/>
            <w:gridSpan w:val="4"/>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b/>
                <w:i/>
                <w:szCs w:val="24"/>
              </w:rPr>
            </w:pPr>
            <w:r w:rsidRPr="00690BB0">
              <w:rPr>
                <w:b/>
                <w:i/>
              </w:rPr>
              <w:t>Tabell 4b: Gränsvärden för bromspartikelutsläpp enligt Euro 7 i standardkörcykeln för fordon med endast eldrift, bränslecellsfordon och hybridelfordon som gäller från och med den 1 januari 2030</w:t>
            </w:r>
          </w:p>
          <w:p w:rsidR="00D624B1" w:rsidRPr="00690BB0" w:rsidRDefault="00D624B1" w:rsidP="003F2A5D">
            <w:pPr>
              <w:widowControl/>
              <w:rPr>
                <w:noProof/>
              </w:rPr>
            </w:pPr>
          </w:p>
        </w:tc>
      </w:tr>
      <w:tr w:rsidR="00D624B1" w:rsidRPr="00690BB0" w:rsidTr="003F2A5D">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pStyle w:val="TableParagraph"/>
              <w:widowControl/>
              <w:kinsoku w:val="0"/>
              <w:overflowPunct w:val="0"/>
              <w:spacing w:before="119"/>
              <w:ind w:left="107"/>
              <w:jc w:val="center"/>
              <w:rPr>
                <w:b/>
                <w:bCs/>
                <w:i/>
                <w:spacing w:val="-2"/>
                <w:sz w:val="24"/>
                <w:szCs w:val="24"/>
              </w:rPr>
            </w:pPr>
            <w:r w:rsidRPr="00690BB0">
              <w:rPr>
                <w:b/>
                <w:i/>
                <w:sz w:val="24"/>
              </w:rPr>
              <w:t>Utsläppsgränsvärden i mg/km per fordon</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pStyle w:val="TableParagraph"/>
              <w:widowControl/>
              <w:kinsoku w:val="0"/>
              <w:overflowPunct w:val="0"/>
              <w:spacing w:before="118"/>
              <w:ind w:left="108"/>
              <w:jc w:val="center"/>
              <w:rPr>
                <w:b/>
                <w:bCs/>
                <w:i/>
                <w:spacing w:val="-2"/>
                <w:position w:val="1"/>
                <w:sz w:val="24"/>
                <w:szCs w:val="24"/>
              </w:rPr>
            </w:pPr>
            <w:r w:rsidRPr="00690BB0">
              <w:rPr>
                <w:b/>
                <w:i/>
                <w:sz w:val="24"/>
              </w:rPr>
              <w:t>Fordon av kategorierna M</w:t>
            </w:r>
            <w:r w:rsidRPr="00690BB0">
              <w:rPr>
                <w:b/>
                <w:i/>
                <w:sz w:val="24"/>
                <w:vertAlign w:val="subscript"/>
              </w:rPr>
              <w:t>1</w:t>
            </w:r>
            <w:r w:rsidRPr="00690BB0">
              <w:rPr>
                <w:b/>
                <w:i/>
                <w:sz w:val="24"/>
              </w:rPr>
              <w:t xml:space="preserve"> och N</w:t>
            </w:r>
            <w:r w:rsidRPr="00690BB0">
              <w:rPr>
                <w:b/>
                <w:i/>
                <w:sz w:val="24"/>
                <w:vertAlign w:val="subscript"/>
              </w:rPr>
              <w:t>1</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pStyle w:val="TableParagraph"/>
              <w:widowControl/>
              <w:kinsoku w:val="0"/>
              <w:overflowPunct w:val="0"/>
              <w:spacing w:before="118"/>
              <w:jc w:val="center"/>
              <w:rPr>
                <w:b/>
                <w:bCs/>
                <w:i/>
                <w:spacing w:val="-2"/>
                <w:position w:val="1"/>
                <w:sz w:val="24"/>
                <w:szCs w:val="24"/>
              </w:rPr>
            </w:pPr>
            <w:r w:rsidRPr="00690BB0">
              <w:rPr>
                <w:b/>
                <w:i/>
                <w:sz w:val="24"/>
              </w:rPr>
              <w:t>Fordon av kategorierna M</w:t>
            </w:r>
            <w:r w:rsidRPr="00690BB0">
              <w:rPr>
                <w:b/>
                <w:i/>
                <w:sz w:val="24"/>
                <w:vertAlign w:val="subscript"/>
              </w:rPr>
              <w:t>2</w:t>
            </w:r>
            <w:r w:rsidRPr="00690BB0">
              <w:rPr>
                <w:b/>
                <w:i/>
                <w:sz w:val="24"/>
              </w:rPr>
              <w:t xml:space="preserve"> och M</w:t>
            </w:r>
            <w:r w:rsidRPr="00690BB0">
              <w:rPr>
                <w:b/>
                <w:i/>
                <w:sz w:val="24"/>
                <w:vertAlign w:val="subscript"/>
              </w:rPr>
              <w:t>3</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pStyle w:val="TableParagraph"/>
              <w:widowControl/>
              <w:kinsoku w:val="0"/>
              <w:overflowPunct w:val="0"/>
              <w:spacing w:before="118"/>
              <w:jc w:val="center"/>
              <w:rPr>
                <w:b/>
                <w:bCs/>
                <w:i/>
                <w:spacing w:val="-2"/>
                <w:position w:val="1"/>
                <w:sz w:val="24"/>
                <w:szCs w:val="24"/>
              </w:rPr>
            </w:pPr>
            <w:r w:rsidRPr="00690BB0">
              <w:rPr>
                <w:b/>
                <w:i/>
                <w:sz w:val="24"/>
              </w:rPr>
              <w:t>Fordon av kategorierna N</w:t>
            </w:r>
            <w:r w:rsidRPr="00690BB0">
              <w:rPr>
                <w:b/>
                <w:i/>
                <w:sz w:val="24"/>
                <w:vertAlign w:val="subscript"/>
              </w:rPr>
              <w:t>2</w:t>
            </w:r>
            <w:r w:rsidRPr="00690BB0">
              <w:rPr>
                <w:b/>
                <w:i/>
                <w:sz w:val="24"/>
              </w:rPr>
              <w:t xml:space="preserve"> och N</w:t>
            </w:r>
            <w:r w:rsidRPr="00690BB0">
              <w:rPr>
                <w:b/>
                <w:i/>
                <w:sz w:val="24"/>
                <w:vertAlign w:val="subscript"/>
              </w:rPr>
              <w:t>3</w:t>
            </w:r>
          </w:p>
        </w:tc>
      </w:tr>
      <w:tr w:rsidR="00D624B1" w:rsidRPr="00690BB0" w:rsidTr="003F2A5D">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jc w:val="center"/>
              <w:rPr>
                <w:b/>
                <w:i/>
                <w:szCs w:val="24"/>
              </w:rPr>
            </w:pPr>
            <w:r w:rsidRPr="00690BB0">
              <w:rPr>
                <w:b/>
                <w:i/>
              </w:rPr>
              <w:t>Bromspartikelutsläpp (PM</w:t>
            </w:r>
            <w:r w:rsidRPr="00690BB0">
              <w:rPr>
                <w:b/>
                <w:i/>
                <w:vertAlign w:val="subscript"/>
              </w:rPr>
              <w:t>10</w:t>
            </w:r>
            <w:r w:rsidRPr="00690BB0">
              <w:rPr>
                <w:b/>
                <w:i/>
              </w:rPr>
              <w:t>)</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jc w:val="center"/>
              <w:rPr>
                <w:b/>
                <w:i/>
                <w:szCs w:val="24"/>
              </w:rPr>
            </w:pPr>
          </w:p>
        </w:tc>
      </w:tr>
      <w:tr w:rsidR="00D624B1" w:rsidRPr="00690BB0" w:rsidTr="003F2A5D">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pStyle w:val="Default"/>
              <w:jc w:val="center"/>
              <w:rPr>
                <w:b/>
                <w:bCs/>
                <w:i/>
                <w:color w:val="auto"/>
              </w:rPr>
            </w:pPr>
            <w:r w:rsidRPr="00690BB0">
              <w:rPr>
                <w:b/>
                <w:i/>
                <w:color w:val="auto"/>
              </w:rPr>
              <w:t>Bromspartikelutsläpp (PN)</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pStyle w:val="Default"/>
              <w:jc w:val="center"/>
              <w:rPr>
                <w:b/>
                <w:bCs/>
                <w:i/>
                <w:color w:val="auto"/>
              </w:rPr>
            </w:pP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pStyle w:val="Default"/>
              <w:jc w:val="center"/>
              <w:rPr>
                <w:b/>
                <w:bCs/>
                <w:i/>
                <w:color w:val="auto"/>
              </w:rPr>
            </w:pP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pStyle w:val="Default"/>
              <w:jc w:val="center"/>
              <w:rPr>
                <w:b/>
                <w:bCs/>
                <w:i/>
                <w:color w:val="auto"/>
              </w:rPr>
            </w:pPr>
          </w:p>
        </w:tc>
      </w:tr>
    </w:tbl>
    <w:p w:rsidR="00D624B1" w:rsidRPr="00690BB0" w:rsidRDefault="00D624B1" w:rsidP="00D624B1">
      <w:pPr>
        <w:widowControl/>
      </w:pPr>
    </w:p>
    <w:p w:rsidR="00D624B1" w:rsidRPr="00690BB0" w:rsidRDefault="007B7831" w:rsidP="00D624B1">
      <w:pPr>
        <w:pStyle w:val="AmNumberTabs"/>
        <w:keepNext/>
        <w:widowControl/>
      </w:pPr>
      <w:r w:rsidRPr="00690BB0">
        <w:t>Ändring</w:t>
      </w:r>
      <w:r w:rsidR="00D624B1" w:rsidRPr="00690BB0">
        <w:tab/>
      </w:r>
      <w:r w:rsidR="00D624B1" w:rsidRPr="00690BB0">
        <w:tab/>
        <w:t>155</w:t>
      </w:r>
    </w:p>
    <w:p w:rsidR="00D624B1" w:rsidRPr="00690BB0" w:rsidRDefault="00D624B1" w:rsidP="00D624B1">
      <w:pPr>
        <w:pStyle w:val="NormalBold12b"/>
        <w:widowControl/>
      </w:pPr>
      <w:r w:rsidRPr="00690BB0">
        <w:t>Förslag till förordning</w:t>
      </w:r>
    </w:p>
    <w:p w:rsidR="00D624B1" w:rsidRPr="00690BB0" w:rsidRDefault="00D624B1" w:rsidP="00D624B1">
      <w:pPr>
        <w:pStyle w:val="NormalBold"/>
        <w:keepNext/>
        <w:widowControl/>
      </w:pPr>
      <w:r w:rsidRPr="00690BB0">
        <w:t>Bilaga I – tabell 5</w:t>
      </w:r>
    </w:p>
    <w:tbl>
      <w:tblPr>
        <w:tblStyle w:val="TableGrid"/>
        <w:tblW w:w="5000" w:type="pct"/>
        <w:tblLook w:val="04A0" w:firstRow="1" w:lastRow="0" w:firstColumn="1" w:lastColumn="0" w:noHBand="0" w:noVBand="1"/>
      </w:tblPr>
      <w:tblGrid>
        <w:gridCol w:w="2283"/>
        <w:gridCol w:w="2257"/>
        <w:gridCol w:w="2257"/>
        <w:gridCol w:w="2263"/>
      </w:tblGrid>
      <w:tr w:rsidR="00D624B1" w:rsidRPr="00690BB0" w:rsidTr="003F2A5D">
        <w:tc>
          <w:tcPr>
            <w:tcW w:w="4998" w:type="pct"/>
            <w:gridSpan w:val="4"/>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jc w:val="center"/>
              <w:rPr>
                <w:i/>
                <w:noProof/>
              </w:rPr>
            </w:pPr>
            <w:r w:rsidRPr="00690BB0">
              <w:rPr>
                <w:i/>
              </w:rPr>
              <w:t>Kommissionens förslag</w:t>
            </w:r>
          </w:p>
        </w:tc>
      </w:tr>
      <w:tr w:rsidR="00D624B1" w:rsidRPr="00690BB0" w:rsidTr="003F2A5D">
        <w:tc>
          <w:tcPr>
            <w:tcW w:w="4998" w:type="pct"/>
            <w:gridSpan w:val="4"/>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i/>
                <w:noProof/>
              </w:rPr>
            </w:pPr>
            <w:r w:rsidRPr="00690BB0">
              <w:t>Tabell 5: Gränsvärden för bromspartikelutsläpp enligt euro 7 som gäller från och med den 1 januari 2035</w:t>
            </w:r>
          </w:p>
        </w:tc>
      </w:tr>
      <w:tr w:rsidR="00D624B1" w:rsidRPr="00690BB0" w:rsidTr="003F2A5D">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Utsläppsgränsvärden i mg/km per fordon</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Fordon av kategorierna M</w:t>
            </w:r>
            <w:r w:rsidRPr="00690BB0">
              <w:rPr>
                <w:vertAlign w:val="subscript"/>
              </w:rPr>
              <w:t>1</w:t>
            </w:r>
            <w:r w:rsidRPr="00690BB0">
              <w:t xml:space="preserve"> och N</w:t>
            </w:r>
            <w:r w:rsidRPr="00690BB0">
              <w:rPr>
                <w:vertAlign w:val="subscript"/>
              </w:rPr>
              <w:t>1</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Fordon av kategorierna M</w:t>
            </w:r>
            <w:r w:rsidRPr="00690BB0">
              <w:rPr>
                <w:vertAlign w:val="subscript"/>
              </w:rPr>
              <w:t>2</w:t>
            </w:r>
            <w:r w:rsidRPr="00690BB0">
              <w:t xml:space="preserve"> och M</w:t>
            </w:r>
            <w:r w:rsidRPr="00690BB0">
              <w:rPr>
                <w:vertAlign w:val="subscript"/>
              </w:rPr>
              <w:t>3</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Fordon av kategorierna N</w:t>
            </w:r>
            <w:r w:rsidRPr="00690BB0">
              <w:rPr>
                <w:vertAlign w:val="subscript"/>
              </w:rPr>
              <w:t>2</w:t>
            </w:r>
            <w:r w:rsidRPr="00690BB0">
              <w:t xml:space="preserve"> och N</w:t>
            </w:r>
            <w:r w:rsidRPr="00690BB0">
              <w:rPr>
                <w:vertAlign w:val="subscript"/>
              </w:rPr>
              <w:t>3</w:t>
            </w:r>
          </w:p>
        </w:tc>
      </w:tr>
      <w:tr w:rsidR="00D624B1" w:rsidRPr="00690BB0" w:rsidTr="003F2A5D">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Bromspartikelutsläpp (PM</w:t>
            </w:r>
            <w:r w:rsidRPr="00690BB0">
              <w:rPr>
                <w:vertAlign w:val="subscript"/>
              </w:rPr>
              <w:t>10</w:t>
            </w:r>
            <w:r w:rsidRPr="00690BB0">
              <w:t>)</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b/>
                <w:i/>
                <w:noProof/>
              </w:rPr>
            </w:pPr>
            <w:r w:rsidRPr="00690BB0">
              <w:rPr>
                <w:b/>
                <w:i/>
              </w:rPr>
              <w:t>3</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p>
        </w:tc>
      </w:tr>
      <w:tr w:rsidR="00D624B1" w:rsidRPr="00690BB0" w:rsidTr="003F2A5D">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Bromspartikelutsläpp (PN)</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p>
        </w:tc>
      </w:tr>
    </w:tbl>
    <w:p w:rsidR="00D624B1" w:rsidRPr="00690BB0" w:rsidRDefault="00D624B1" w:rsidP="00D624B1">
      <w:pPr>
        <w:pStyle w:val="AmOrLang"/>
        <w:widowControl/>
      </w:pPr>
    </w:p>
    <w:tbl>
      <w:tblPr>
        <w:tblStyle w:val="TableGrid"/>
        <w:tblW w:w="5000" w:type="pct"/>
        <w:tblLook w:val="04A0" w:firstRow="1" w:lastRow="0" w:firstColumn="1" w:lastColumn="0" w:noHBand="0" w:noVBand="1"/>
      </w:tblPr>
      <w:tblGrid>
        <w:gridCol w:w="2283"/>
        <w:gridCol w:w="2257"/>
        <w:gridCol w:w="2257"/>
        <w:gridCol w:w="2263"/>
      </w:tblGrid>
      <w:tr w:rsidR="00D624B1" w:rsidRPr="00690BB0" w:rsidTr="003F2A5D">
        <w:tc>
          <w:tcPr>
            <w:tcW w:w="4998" w:type="pct"/>
            <w:gridSpan w:val="4"/>
            <w:tcBorders>
              <w:top w:val="single" w:sz="4" w:space="0" w:color="auto"/>
              <w:left w:val="single" w:sz="4" w:space="0" w:color="auto"/>
              <w:bottom w:val="single" w:sz="4" w:space="0" w:color="auto"/>
              <w:right w:val="single" w:sz="4" w:space="0" w:color="auto"/>
            </w:tcBorders>
          </w:tcPr>
          <w:p w:rsidR="00D624B1" w:rsidRPr="00690BB0" w:rsidRDefault="007B7831" w:rsidP="003F2A5D">
            <w:pPr>
              <w:widowControl/>
              <w:jc w:val="center"/>
              <w:rPr>
                <w:i/>
                <w:noProof/>
              </w:rPr>
            </w:pPr>
            <w:r w:rsidRPr="00690BB0">
              <w:rPr>
                <w:i/>
              </w:rPr>
              <w:t>Ändring</w:t>
            </w:r>
          </w:p>
        </w:tc>
      </w:tr>
      <w:tr w:rsidR="00D624B1" w:rsidRPr="00690BB0" w:rsidTr="003F2A5D">
        <w:tc>
          <w:tcPr>
            <w:tcW w:w="4998" w:type="pct"/>
            <w:gridSpan w:val="4"/>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i/>
                <w:noProof/>
              </w:rPr>
            </w:pPr>
            <w:r w:rsidRPr="00690BB0">
              <w:t xml:space="preserve">Tabell 5: Gränsvärden för bromspartikelutsläpp enligt euro 7 </w:t>
            </w:r>
            <w:r w:rsidRPr="00690BB0">
              <w:rPr>
                <w:b/>
                <w:bCs/>
                <w:i/>
                <w:iCs/>
              </w:rPr>
              <w:t>i standardkörcykeln för alla fordon</w:t>
            </w:r>
            <w:r w:rsidRPr="00690BB0">
              <w:t xml:space="preserve"> som gäller från och med den 1 januari 2035</w:t>
            </w:r>
          </w:p>
        </w:tc>
      </w:tr>
      <w:tr w:rsidR="00D624B1" w:rsidRPr="00690BB0" w:rsidTr="003F2A5D">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Utsläppsgränsvärden i mg/km per fordon</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Fordon av kategorierna M</w:t>
            </w:r>
            <w:r w:rsidRPr="00690BB0">
              <w:rPr>
                <w:vertAlign w:val="subscript"/>
              </w:rPr>
              <w:t>1</w:t>
            </w:r>
            <w:r w:rsidRPr="00690BB0">
              <w:t xml:space="preserve"> och N</w:t>
            </w:r>
            <w:r w:rsidRPr="00690BB0">
              <w:rPr>
                <w:vertAlign w:val="subscript"/>
              </w:rPr>
              <w:t>1</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Fordon av kategorierna M</w:t>
            </w:r>
            <w:r w:rsidRPr="00690BB0">
              <w:rPr>
                <w:vertAlign w:val="subscript"/>
              </w:rPr>
              <w:t>2</w:t>
            </w:r>
            <w:r w:rsidRPr="00690BB0">
              <w:t xml:space="preserve"> och M</w:t>
            </w:r>
            <w:r w:rsidRPr="00690BB0">
              <w:rPr>
                <w:vertAlign w:val="subscript"/>
              </w:rPr>
              <w:t>3</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Fordon av kategorierna N</w:t>
            </w:r>
            <w:r w:rsidRPr="00690BB0">
              <w:rPr>
                <w:vertAlign w:val="subscript"/>
              </w:rPr>
              <w:t>2</w:t>
            </w:r>
            <w:r w:rsidRPr="00690BB0">
              <w:t xml:space="preserve"> och N</w:t>
            </w:r>
            <w:r w:rsidRPr="00690BB0">
              <w:rPr>
                <w:vertAlign w:val="subscript"/>
              </w:rPr>
              <w:t>3</w:t>
            </w:r>
          </w:p>
        </w:tc>
      </w:tr>
      <w:tr w:rsidR="00D624B1" w:rsidRPr="00690BB0" w:rsidTr="003F2A5D">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Bromspartikelutsläpp (PM</w:t>
            </w:r>
            <w:r w:rsidRPr="00690BB0">
              <w:rPr>
                <w:vertAlign w:val="subscript"/>
              </w:rPr>
              <w:t>10</w:t>
            </w:r>
            <w:r w:rsidRPr="00690BB0">
              <w:t>)</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b/>
                <w:i/>
                <w:noProof/>
              </w:rPr>
            </w:pP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p>
        </w:tc>
      </w:tr>
      <w:tr w:rsidR="00D624B1" w:rsidRPr="00690BB0" w:rsidTr="003F2A5D">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Bromspartikelutsläpp (PN)</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p>
        </w:tc>
      </w:tr>
    </w:tbl>
    <w:p w:rsidR="00D624B1" w:rsidRPr="00690BB0" w:rsidRDefault="00D624B1" w:rsidP="00D624B1">
      <w:pPr>
        <w:widowControl/>
      </w:pPr>
    </w:p>
    <w:p w:rsidR="00D624B1" w:rsidRPr="00690BB0" w:rsidRDefault="007B7831" w:rsidP="00D624B1">
      <w:pPr>
        <w:pStyle w:val="AmNumberTabs"/>
        <w:keepNext/>
        <w:widowControl/>
      </w:pPr>
      <w:r w:rsidRPr="00690BB0">
        <w:t>Ändring</w:t>
      </w:r>
      <w:r w:rsidR="00D624B1" w:rsidRPr="00690BB0">
        <w:tab/>
      </w:r>
      <w:r w:rsidR="00D624B1" w:rsidRPr="00690BB0">
        <w:tab/>
        <w:t>156</w:t>
      </w:r>
    </w:p>
    <w:p w:rsidR="00D624B1" w:rsidRPr="00690BB0" w:rsidRDefault="00D624B1" w:rsidP="00D624B1">
      <w:pPr>
        <w:pStyle w:val="NormalBold12b"/>
        <w:widowControl/>
      </w:pPr>
      <w:r w:rsidRPr="00690BB0">
        <w:t>Förslag till förordning</w:t>
      </w:r>
    </w:p>
    <w:p w:rsidR="00D624B1" w:rsidRPr="00690BB0" w:rsidRDefault="00D624B1" w:rsidP="00D624B1">
      <w:pPr>
        <w:pStyle w:val="NormalBold"/>
        <w:keepNext/>
        <w:widowControl/>
      </w:pPr>
      <w:r w:rsidRPr="00690BB0">
        <w:t>Bilaga I – tabell 6</w:t>
      </w:r>
    </w:p>
    <w:tbl>
      <w:tblPr>
        <w:tblStyle w:val="TableGrid"/>
        <w:tblW w:w="5000" w:type="pct"/>
        <w:tblLook w:val="04A0" w:firstRow="1" w:lastRow="0" w:firstColumn="1" w:lastColumn="0" w:noHBand="0" w:noVBand="1"/>
      </w:tblPr>
      <w:tblGrid>
        <w:gridCol w:w="2264"/>
        <w:gridCol w:w="2264"/>
        <w:gridCol w:w="2263"/>
        <w:gridCol w:w="2269"/>
      </w:tblGrid>
      <w:tr w:rsidR="00D624B1" w:rsidRPr="00690BB0" w:rsidTr="003F2A5D">
        <w:tc>
          <w:tcPr>
            <w:tcW w:w="4998" w:type="pct"/>
            <w:gridSpan w:val="4"/>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jc w:val="center"/>
              <w:rPr>
                <w:i/>
                <w:noProof/>
              </w:rPr>
            </w:pPr>
            <w:r w:rsidRPr="00690BB0">
              <w:rPr>
                <w:i/>
              </w:rPr>
              <w:t>Kommissionens förslag</w:t>
            </w:r>
          </w:p>
        </w:tc>
      </w:tr>
      <w:tr w:rsidR="00D624B1" w:rsidRPr="00690BB0" w:rsidTr="003F2A5D">
        <w:tc>
          <w:tcPr>
            <w:tcW w:w="4998" w:type="pct"/>
            <w:gridSpan w:val="4"/>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 xml:space="preserve">Tabell 6: Gränsvärden för däckens nötningsgrad enligt Euro 7 </w:t>
            </w:r>
          </w:p>
        </w:tc>
      </w:tr>
      <w:tr w:rsidR="00D624B1" w:rsidRPr="00690BB0" w:rsidTr="003F2A5D">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b/>
                <w:i/>
                <w:noProof/>
              </w:rPr>
            </w:pPr>
            <w:r w:rsidRPr="00690BB0">
              <w:rPr>
                <w:b/>
                <w:i/>
              </w:rPr>
              <w:t>Förlorad däckvikt i g/1 000 km</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b/>
                <w:i/>
                <w:noProof/>
              </w:rPr>
            </w:pPr>
            <w:r w:rsidRPr="00690BB0">
              <w:rPr>
                <w:b/>
                <w:i/>
              </w:rPr>
              <w:t xml:space="preserve">C1-däck </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b/>
                <w:i/>
                <w:noProof/>
              </w:rPr>
            </w:pPr>
            <w:r w:rsidRPr="00690BB0">
              <w:rPr>
                <w:b/>
                <w:i/>
              </w:rPr>
              <w:t xml:space="preserve">C2-däck </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b/>
                <w:i/>
                <w:noProof/>
              </w:rPr>
            </w:pPr>
            <w:r w:rsidRPr="00690BB0">
              <w:rPr>
                <w:b/>
                <w:i/>
              </w:rPr>
              <w:t>C3-däck</w:t>
            </w:r>
          </w:p>
        </w:tc>
      </w:tr>
      <w:tr w:rsidR="00D624B1" w:rsidRPr="00690BB0" w:rsidTr="003F2A5D">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b/>
                <w:i/>
                <w:noProof/>
              </w:rPr>
            </w:pPr>
            <w:r w:rsidRPr="00690BB0">
              <w:rPr>
                <w:b/>
                <w:i/>
              </w:rPr>
              <w:t>Normala däck</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b/>
                <w:i/>
                <w:noProof/>
              </w:rPr>
            </w:pP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b/>
                <w:i/>
                <w:noProof/>
              </w:rPr>
            </w:pP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b/>
                <w:i/>
                <w:noProof/>
              </w:rPr>
            </w:pPr>
          </w:p>
        </w:tc>
      </w:tr>
      <w:tr w:rsidR="00D624B1" w:rsidRPr="00690BB0" w:rsidTr="003F2A5D">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b/>
                <w:i/>
                <w:noProof/>
              </w:rPr>
            </w:pPr>
            <w:r w:rsidRPr="00690BB0">
              <w:rPr>
                <w:b/>
                <w:i/>
              </w:rPr>
              <w:t>Vinterdäck</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b/>
                <w:i/>
                <w:noProof/>
              </w:rPr>
            </w:pP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b/>
                <w:i/>
                <w:noProof/>
              </w:rPr>
            </w:pP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b/>
                <w:i/>
                <w:noProof/>
              </w:rPr>
            </w:pPr>
          </w:p>
        </w:tc>
      </w:tr>
      <w:tr w:rsidR="00D624B1" w:rsidRPr="00690BB0" w:rsidTr="003F2A5D">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b/>
                <w:i/>
                <w:noProof/>
              </w:rPr>
            </w:pPr>
            <w:r w:rsidRPr="00690BB0">
              <w:rPr>
                <w:b/>
                <w:i/>
              </w:rPr>
              <w:t>Däck för särskilt bruk</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b/>
                <w:i/>
                <w:noProof/>
              </w:rPr>
            </w:pP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b/>
                <w:i/>
                <w:noProof/>
              </w:rPr>
            </w:pP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b/>
                <w:i/>
                <w:noProof/>
              </w:rPr>
            </w:pPr>
          </w:p>
        </w:tc>
      </w:tr>
    </w:tbl>
    <w:p w:rsidR="00D624B1" w:rsidRPr="00690BB0" w:rsidRDefault="00D624B1" w:rsidP="00D624B1">
      <w:pPr>
        <w:pStyle w:val="AmOrLang"/>
        <w:widowControl/>
      </w:pPr>
    </w:p>
    <w:tbl>
      <w:tblPr>
        <w:tblStyle w:val="TableGrid"/>
        <w:tblW w:w="5000" w:type="pct"/>
        <w:tblLook w:val="04A0" w:firstRow="1" w:lastRow="0" w:firstColumn="1" w:lastColumn="0" w:noHBand="0" w:noVBand="1"/>
      </w:tblPr>
      <w:tblGrid>
        <w:gridCol w:w="1694"/>
        <w:gridCol w:w="1694"/>
        <w:gridCol w:w="1694"/>
        <w:gridCol w:w="1695"/>
        <w:gridCol w:w="2283"/>
      </w:tblGrid>
      <w:tr w:rsidR="00D624B1" w:rsidRPr="00690BB0" w:rsidTr="003F2A5D">
        <w:tc>
          <w:tcPr>
            <w:tcW w:w="4998" w:type="pct"/>
            <w:gridSpan w:val="5"/>
            <w:tcBorders>
              <w:top w:val="single" w:sz="4" w:space="0" w:color="auto"/>
              <w:left w:val="single" w:sz="4" w:space="0" w:color="auto"/>
              <w:bottom w:val="single" w:sz="4" w:space="0" w:color="auto"/>
              <w:right w:val="single" w:sz="4" w:space="0" w:color="auto"/>
            </w:tcBorders>
          </w:tcPr>
          <w:p w:rsidR="00D624B1" w:rsidRPr="00690BB0" w:rsidRDefault="007B7831" w:rsidP="003F2A5D">
            <w:pPr>
              <w:widowControl/>
              <w:jc w:val="center"/>
              <w:rPr>
                <w:i/>
                <w:noProof/>
              </w:rPr>
            </w:pPr>
            <w:r w:rsidRPr="00690BB0">
              <w:rPr>
                <w:i/>
              </w:rPr>
              <w:t>Ändring</w:t>
            </w:r>
          </w:p>
        </w:tc>
      </w:tr>
      <w:tr w:rsidR="00D624B1" w:rsidRPr="00690BB0" w:rsidTr="003F2A5D">
        <w:tc>
          <w:tcPr>
            <w:tcW w:w="4998" w:type="pct"/>
            <w:gridSpan w:val="5"/>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 xml:space="preserve">Tabell 6: </w:t>
            </w:r>
            <w:r w:rsidRPr="00690BB0">
              <w:rPr>
                <w:b/>
                <w:bCs/>
                <w:i/>
                <w:iCs/>
              </w:rPr>
              <w:t xml:space="preserve">Provningsmetod och </w:t>
            </w:r>
            <w:r w:rsidRPr="00690BB0">
              <w:t>gränsvärden för däckens nötningsgrad enligt Euro 7</w:t>
            </w:r>
            <w:r w:rsidRPr="00690BB0">
              <w:rPr>
                <w:b/>
                <w:bCs/>
                <w:i/>
                <w:iCs/>
              </w:rPr>
              <w:t xml:space="preserve"> och tidsplan för genomförandet</w:t>
            </w:r>
            <w:r w:rsidRPr="00690BB0">
              <w:t xml:space="preserve"> </w:t>
            </w:r>
          </w:p>
        </w:tc>
      </w:tr>
      <w:tr w:rsidR="00D624B1" w:rsidRPr="00690BB0" w:rsidTr="003F2A5D">
        <w:tc>
          <w:tcPr>
            <w:tcW w:w="1000"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rPr>
                <w:b/>
                <w:i/>
              </w:rPr>
              <w:t>FN-föreskrift nummer</w:t>
            </w:r>
          </w:p>
        </w:tc>
        <w:tc>
          <w:tcPr>
            <w:tcW w:w="1000" w:type="pct"/>
            <w:tcBorders>
              <w:top w:val="single" w:sz="4" w:space="0" w:color="auto"/>
              <w:left w:val="single" w:sz="4" w:space="0" w:color="auto"/>
              <w:bottom w:val="single" w:sz="4" w:space="0" w:color="auto"/>
              <w:right w:val="single" w:sz="4" w:space="0" w:color="auto"/>
            </w:tcBorders>
            <w:vAlign w:val="center"/>
          </w:tcPr>
          <w:p w:rsidR="00D624B1" w:rsidRPr="00690BB0" w:rsidRDefault="00D624B1" w:rsidP="003F2A5D">
            <w:pPr>
              <w:widowControl/>
              <w:spacing w:after="160"/>
              <w:rPr>
                <w:b/>
                <w:i/>
              </w:rPr>
            </w:pPr>
            <w:r w:rsidRPr="00690BB0">
              <w:rPr>
                <w:b/>
                <w:i/>
              </w:rPr>
              <w:t>Föremål</w:t>
            </w:r>
          </w:p>
        </w:tc>
        <w:tc>
          <w:tcPr>
            <w:tcW w:w="1000" w:type="pct"/>
            <w:tcBorders>
              <w:top w:val="single" w:sz="4" w:space="0" w:color="auto"/>
              <w:left w:val="single" w:sz="4" w:space="0" w:color="auto"/>
              <w:bottom w:val="single" w:sz="4" w:space="0" w:color="auto"/>
              <w:right w:val="single" w:sz="4" w:space="0" w:color="auto"/>
            </w:tcBorders>
            <w:vAlign w:val="center"/>
          </w:tcPr>
          <w:p w:rsidR="00D624B1" w:rsidRPr="00690BB0" w:rsidRDefault="00D624B1" w:rsidP="003F2A5D">
            <w:pPr>
              <w:widowControl/>
              <w:spacing w:after="160"/>
              <w:rPr>
                <w:b/>
                <w:i/>
              </w:rPr>
            </w:pPr>
            <w:r w:rsidRPr="00690BB0">
              <w:rPr>
                <w:b/>
                <w:i/>
              </w:rPr>
              <w:t>Ändringsserie som offentliggjorts i EUT</w:t>
            </w:r>
          </w:p>
        </w:tc>
        <w:tc>
          <w:tcPr>
            <w:tcW w:w="1000" w:type="pct"/>
            <w:tcBorders>
              <w:top w:val="single" w:sz="4" w:space="0" w:color="auto"/>
              <w:left w:val="single" w:sz="4" w:space="0" w:color="auto"/>
              <w:bottom w:val="single" w:sz="4" w:space="0" w:color="auto"/>
              <w:right w:val="single" w:sz="4" w:space="0" w:color="auto"/>
            </w:tcBorders>
            <w:vAlign w:val="center"/>
          </w:tcPr>
          <w:p w:rsidR="00D624B1" w:rsidRPr="00690BB0" w:rsidRDefault="00D624B1" w:rsidP="003F2A5D">
            <w:pPr>
              <w:widowControl/>
              <w:spacing w:after="160" w:line="252" w:lineRule="auto"/>
              <w:rPr>
                <w:i/>
              </w:rPr>
            </w:pPr>
            <w:r w:rsidRPr="00690BB0">
              <w:rPr>
                <w:b/>
                <w:i/>
              </w:rPr>
              <w:t>EUT-hänvisning</w:t>
            </w:r>
            <w:r w:rsidRPr="00690BB0">
              <w:rPr>
                <w:i/>
              </w:rPr>
              <w:t> </w:t>
            </w:r>
          </w:p>
        </w:tc>
        <w:tc>
          <w:tcPr>
            <w:tcW w:w="1000"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spacing w:after="160" w:line="252" w:lineRule="auto"/>
              <w:rPr>
                <w:b/>
                <w:bCs/>
                <w:i/>
              </w:rPr>
            </w:pPr>
            <w:r w:rsidRPr="00690BB0">
              <w:rPr>
                <w:b/>
                <w:i/>
              </w:rPr>
              <w:t>Tillämpningsområde som omfattas av nuvarande och framtida FN WP29-föreskrifter</w:t>
            </w:r>
            <w:r w:rsidRPr="00690BB0">
              <w:rPr>
                <w:i/>
              </w:rPr>
              <w:t> </w:t>
            </w:r>
          </w:p>
        </w:tc>
      </w:tr>
      <w:tr w:rsidR="00D624B1" w:rsidRPr="00690BB0" w:rsidTr="003F2A5D">
        <w:tc>
          <w:tcPr>
            <w:tcW w:w="1000" w:type="pct"/>
            <w:tcBorders>
              <w:top w:val="single" w:sz="4" w:space="0" w:color="auto"/>
              <w:left w:val="single" w:sz="4" w:space="0" w:color="auto"/>
              <w:bottom w:val="single" w:sz="4" w:space="0" w:color="auto"/>
              <w:right w:val="single" w:sz="4" w:space="0" w:color="auto"/>
            </w:tcBorders>
            <w:vAlign w:val="center"/>
          </w:tcPr>
          <w:p w:rsidR="00D624B1" w:rsidRPr="00690BB0" w:rsidRDefault="00D624B1" w:rsidP="003F2A5D">
            <w:pPr>
              <w:widowControl/>
              <w:spacing w:after="160"/>
              <w:rPr>
                <w:b/>
                <w:i/>
              </w:rPr>
            </w:pPr>
            <w:r w:rsidRPr="00690BB0">
              <w:rPr>
                <w:b/>
                <w:i/>
              </w:rPr>
              <w:t>[1xx] </w:t>
            </w:r>
          </w:p>
        </w:tc>
        <w:tc>
          <w:tcPr>
            <w:tcW w:w="1000" w:type="pct"/>
            <w:tcBorders>
              <w:top w:val="single" w:sz="4" w:space="0" w:color="auto"/>
              <w:left w:val="single" w:sz="4" w:space="0" w:color="auto"/>
              <w:bottom w:val="single" w:sz="4" w:space="0" w:color="auto"/>
              <w:right w:val="single" w:sz="4" w:space="0" w:color="auto"/>
            </w:tcBorders>
            <w:vAlign w:val="center"/>
          </w:tcPr>
          <w:p w:rsidR="00D624B1" w:rsidRPr="00690BB0" w:rsidRDefault="00D624B1" w:rsidP="003F2A5D">
            <w:pPr>
              <w:widowControl/>
              <w:spacing w:after="160"/>
              <w:rPr>
                <w:b/>
                <w:i/>
              </w:rPr>
            </w:pPr>
            <w:r w:rsidRPr="00690BB0">
              <w:rPr>
                <w:b/>
                <w:i/>
              </w:rPr>
              <w:t>Däck med avseende på slitage </w:t>
            </w:r>
          </w:p>
        </w:tc>
        <w:tc>
          <w:tcPr>
            <w:tcW w:w="1000" w:type="pct"/>
            <w:tcBorders>
              <w:top w:val="single" w:sz="4" w:space="0" w:color="auto"/>
              <w:left w:val="single" w:sz="4" w:space="0" w:color="auto"/>
              <w:bottom w:val="single" w:sz="4" w:space="0" w:color="auto"/>
              <w:right w:val="single" w:sz="4" w:space="0" w:color="auto"/>
            </w:tcBorders>
            <w:vAlign w:val="center"/>
          </w:tcPr>
          <w:p w:rsidR="00D624B1" w:rsidRPr="00690BB0" w:rsidRDefault="00D624B1" w:rsidP="003F2A5D">
            <w:pPr>
              <w:widowControl/>
              <w:spacing w:after="160"/>
              <w:rPr>
                <w:b/>
                <w:i/>
              </w:rPr>
            </w:pPr>
            <w:r w:rsidRPr="00690BB0">
              <w:rPr>
                <w:b/>
                <w:i/>
              </w:rPr>
              <w:t>Ändringsserie 00 </w:t>
            </w:r>
          </w:p>
        </w:tc>
        <w:tc>
          <w:tcPr>
            <w:tcW w:w="1000" w:type="pct"/>
            <w:tcBorders>
              <w:top w:val="single" w:sz="4" w:space="0" w:color="auto"/>
              <w:left w:val="single" w:sz="4" w:space="0" w:color="auto"/>
              <w:bottom w:val="single" w:sz="4" w:space="0" w:color="auto"/>
              <w:right w:val="single" w:sz="4" w:space="0" w:color="auto"/>
            </w:tcBorders>
            <w:vAlign w:val="center"/>
          </w:tcPr>
          <w:p w:rsidR="00D624B1" w:rsidRPr="00690BB0" w:rsidRDefault="00D624B1" w:rsidP="003F2A5D">
            <w:pPr>
              <w:widowControl/>
              <w:spacing w:after="160"/>
              <w:rPr>
                <w:b/>
                <w:i/>
                <w:lang w:val="fr-FR"/>
              </w:rPr>
            </w:pPr>
            <w:r w:rsidRPr="00690BB0">
              <w:rPr>
                <w:rStyle w:val="contentpasted0"/>
                <w:i/>
                <w:lang w:val="fr-FR"/>
              </w:rPr>
              <w:t>EUT L xxx, xx.x.20XX, s. x.</w:t>
            </w:r>
            <w:r w:rsidRPr="00690BB0">
              <w:rPr>
                <w:b/>
                <w:i/>
                <w:lang w:val="fr-FR"/>
              </w:rPr>
              <w:t> </w:t>
            </w:r>
          </w:p>
        </w:tc>
        <w:tc>
          <w:tcPr>
            <w:tcW w:w="1000"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spacing w:after="160"/>
              <w:rPr>
                <w:rStyle w:val="contentpasted0"/>
              </w:rPr>
            </w:pPr>
            <w:r w:rsidRPr="00690BB0">
              <w:rPr>
                <w:b/>
                <w:i/>
              </w:rPr>
              <w:t>C1, C2*, C3*</w:t>
            </w:r>
          </w:p>
        </w:tc>
      </w:tr>
      <w:tr w:rsidR="00D624B1" w:rsidRPr="00690BB0" w:rsidTr="003F2A5D">
        <w:tc>
          <w:tcPr>
            <w:tcW w:w="4998" w:type="pct"/>
            <w:gridSpan w:val="5"/>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spacing w:after="160"/>
              <w:rPr>
                <w:rFonts w:ascii="Calibri" w:eastAsia="Calibri" w:hAnsi="Calibri" w:cs="Calibri"/>
                <w:b/>
                <w:i/>
                <w:sz w:val="22"/>
                <w:szCs w:val="22"/>
              </w:rPr>
            </w:pPr>
            <w:r w:rsidRPr="00690BB0">
              <w:rPr>
                <w:b/>
                <w:i/>
              </w:rPr>
              <w:t>* I framtiden kommer Förenta nationerna (FN) att utvidga utvecklingen av en lämplig provningsmetod och gränsvärden för att bedöma prestandan för slitage avseende däckklasserna C2 och C3.</w:t>
            </w:r>
          </w:p>
        </w:tc>
      </w:tr>
    </w:tbl>
    <w:p w:rsidR="00D624B1" w:rsidRPr="00690BB0" w:rsidRDefault="00D624B1" w:rsidP="00D624B1">
      <w:pPr>
        <w:widowControl/>
      </w:pPr>
    </w:p>
    <w:p w:rsidR="00D624B1" w:rsidRPr="00690BB0" w:rsidRDefault="007B7831" w:rsidP="00D624B1">
      <w:pPr>
        <w:pStyle w:val="AmNumberTabs"/>
        <w:keepNext/>
        <w:widowControl/>
      </w:pPr>
      <w:r w:rsidRPr="00690BB0">
        <w:t>Ändring</w:t>
      </w:r>
      <w:r w:rsidR="00D624B1" w:rsidRPr="00690BB0">
        <w:tab/>
      </w:r>
      <w:r w:rsidR="00D624B1" w:rsidRPr="00690BB0">
        <w:tab/>
        <w:t>157</w:t>
      </w:r>
    </w:p>
    <w:p w:rsidR="00D624B1" w:rsidRPr="00690BB0" w:rsidRDefault="00D624B1" w:rsidP="00D624B1">
      <w:pPr>
        <w:pStyle w:val="NormalBold12b"/>
        <w:widowControl/>
      </w:pPr>
      <w:r w:rsidRPr="00690BB0">
        <w:t>Förslag till förordning</w:t>
      </w:r>
    </w:p>
    <w:p w:rsidR="00D624B1" w:rsidRPr="00690BB0" w:rsidRDefault="00D624B1" w:rsidP="00D624B1">
      <w:pPr>
        <w:pStyle w:val="NormalBold"/>
        <w:keepNext/>
        <w:widowControl/>
      </w:pPr>
      <w:r w:rsidRPr="00690BB0">
        <w:t>Bilaga II – tabell 1</w:t>
      </w:r>
    </w:p>
    <w:tbl>
      <w:tblPr>
        <w:tblStyle w:val="TableGrid"/>
        <w:tblW w:w="5000" w:type="pct"/>
        <w:tblLook w:val="04A0" w:firstRow="1" w:lastRow="0" w:firstColumn="1" w:lastColumn="0" w:noHBand="0" w:noVBand="1"/>
      </w:tblPr>
      <w:tblGrid>
        <w:gridCol w:w="2264"/>
        <w:gridCol w:w="2264"/>
        <w:gridCol w:w="2263"/>
        <w:gridCol w:w="2269"/>
      </w:tblGrid>
      <w:tr w:rsidR="00D624B1" w:rsidRPr="00690BB0" w:rsidTr="003F2A5D">
        <w:tc>
          <w:tcPr>
            <w:tcW w:w="4998" w:type="pct"/>
            <w:gridSpan w:val="4"/>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jc w:val="center"/>
              <w:rPr>
                <w:i/>
                <w:noProof/>
              </w:rPr>
            </w:pPr>
            <w:r w:rsidRPr="00690BB0">
              <w:rPr>
                <w:i/>
              </w:rPr>
              <w:t>Kommissionens förslag</w:t>
            </w:r>
          </w:p>
        </w:tc>
      </w:tr>
      <w:tr w:rsidR="00D624B1" w:rsidRPr="00690BB0" w:rsidTr="003F2A5D">
        <w:tc>
          <w:tcPr>
            <w:tcW w:w="4998" w:type="pct"/>
            <w:gridSpan w:val="4"/>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Tabell 1: Minsta prestandakrav för batteriets hållbarhet enligt Euro 7 för fordon av kategori M</w:t>
            </w:r>
            <w:r w:rsidRPr="00690BB0">
              <w:rPr>
                <w:vertAlign w:val="subscript"/>
              </w:rPr>
              <w:t>1</w:t>
            </w:r>
            <w:r w:rsidRPr="00690BB0">
              <w:t xml:space="preserve"> </w:t>
            </w:r>
          </w:p>
        </w:tc>
      </w:tr>
      <w:tr w:rsidR="00D624B1" w:rsidRPr="00690BB0" w:rsidTr="003F2A5D">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Minsta prestandakrav baserade på batterienergi</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Start av livslängd till 5 år eller 100 000 km, beroende på vilket som inträffar först</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 xml:space="preserve">Fordon mer än 5 år eller 100 000 km och upp till </w:t>
            </w:r>
            <w:r w:rsidRPr="00690BB0">
              <w:rPr>
                <w:b/>
                <w:bCs/>
                <w:i/>
                <w:iCs/>
              </w:rPr>
              <w:t>8</w:t>
            </w:r>
            <w:r w:rsidRPr="00690BB0">
              <w:t xml:space="preserve"> år eller </w:t>
            </w:r>
            <w:r w:rsidRPr="00690BB0">
              <w:rPr>
                <w:b/>
                <w:bCs/>
                <w:i/>
                <w:iCs/>
              </w:rPr>
              <w:t>160 000</w:t>
            </w:r>
            <w:r w:rsidRPr="00690BB0">
              <w:t xml:space="preserve"> km, beroende på vad som inträffar först</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Fordon upp till ytterligare livslängd*</w:t>
            </w:r>
          </w:p>
        </w:tc>
      </w:tr>
      <w:tr w:rsidR="00D624B1" w:rsidRPr="00690BB0" w:rsidTr="003F2A5D">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Externt laddbart hybridelfordon</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b/>
                <w:i/>
                <w:noProof/>
              </w:rPr>
            </w:pPr>
            <w:r w:rsidRPr="00690BB0">
              <w:rPr>
                <w:b/>
                <w:i/>
              </w:rPr>
              <w:t>80 %</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b/>
                <w:i/>
                <w:noProof/>
              </w:rPr>
            </w:pPr>
            <w:r w:rsidRPr="00690BB0">
              <w:rPr>
                <w:b/>
                <w:i/>
              </w:rPr>
              <w:t xml:space="preserve">70 % </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p>
        </w:tc>
      </w:tr>
      <w:tr w:rsidR="00D624B1" w:rsidRPr="00690BB0" w:rsidTr="003F2A5D">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lastRenderedPageBreak/>
              <w:t>Fordon med endast eldrift</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b/>
                <w:i/>
                <w:noProof/>
              </w:rPr>
            </w:pPr>
            <w:r w:rsidRPr="00690BB0">
              <w:rPr>
                <w:b/>
                <w:i/>
              </w:rPr>
              <w:t>80 %</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b/>
                <w:i/>
                <w:noProof/>
              </w:rPr>
            </w:pPr>
            <w:r w:rsidRPr="00690BB0">
              <w:rPr>
                <w:b/>
                <w:i/>
              </w:rPr>
              <w:t>70 %</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p>
        </w:tc>
      </w:tr>
    </w:tbl>
    <w:p w:rsidR="00D624B1" w:rsidRPr="00690BB0" w:rsidRDefault="00D624B1" w:rsidP="00D624B1">
      <w:pPr>
        <w:widowControl/>
      </w:pPr>
    </w:p>
    <w:tbl>
      <w:tblPr>
        <w:tblStyle w:val="TableGrid"/>
        <w:tblW w:w="5000" w:type="pct"/>
        <w:tblLook w:val="04A0" w:firstRow="1" w:lastRow="0" w:firstColumn="1" w:lastColumn="0" w:noHBand="0" w:noVBand="1"/>
      </w:tblPr>
      <w:tblGrid>
        <w:gridCol w:w="2265"/>
        <w:gridCol w:w="2265"/>
        <w:gridCol w:w="2265"/>
        <w:gridCol w:w="2265"/>
      </w:tblGrid>
      <w:tr w:rsidR="00D624B1" w:rsidRPr="00690BB0" w:rsidTr="003F2A5D">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Minsta prestandakrav baserade på räckvidd</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Start av livslängd till 5 år eller 100 000 km, beroende på vilket som inträffar först</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 xml:space="preserve">Fordon mer än 5 år eller 100 000 km och upp till </w:t>
            </w:r>
            <w:r w:rsidRPr="00690BB0">
              <w:rPr>
                <w:b/>
                <w:bCs/>
                <w:i/>
                <w:iCs/>
              </w:rPr>
              <w:t>8</w:t>
            </w:r>
            <w:r w:rsidRPr="00690BB0">
              <w:t xml:space="preserve"> år eller </w:t>
            </w:r>
            <w:r w:rsidRPr="00690BB0">
              <w:rPr>
                <w:b/>
                <w:bCs/>
                <w:i/>
                <w:iCs/>
              </w:rPr>
              <w:t>160 000</w:t>
            </w:r>
            <w:r w:rsidRPr="00690BB0">
              <w:t xml:space="preserve"> km, beroende på vad som inträffar först</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Fordon upp till ytterligare livslängd*</w:t>
            </w:r>
          </w:p>
        </w:tc>
      </w:tr>
      <w:tr w:rsidR="00D624B1" w:rsidRPr="00690BB0" w:rsidTr="003F2A5D">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Externt laddbart hybridelfordon</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p>
        </w:tc>
      </w:tr>
      <w:tr w:rsidR="00D624B1" w:rsidRPr="00690BB0" w:rsidTr="003F2A5D">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Fordon med endast eldrift</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p>
        </w:tc>
      </w:tr>
    </w:tbl>
    <w:p w:rsidR="00D624B1" w:rsidRPr="00690BB0" w:rsidRDefault="00D624B1" w:rsidP="00D624B1">
      <w:pPr>
        <w:pStyle w:val="AmOrLang"/>
        <w:widowControl/>
      </w:pPr>
    </w:p>
    <w:tbl>
      <w:tblPr>
        <w:tblStyle w:val="TableGrid"/>
        <w:tblW w:w="5000" w:type="pct"/>
        <w:tblLook w:val="04A0" w:firstRow="1" w:lastRow="0" w:firstColumn="1" w:lastColumn="0" w:noHBand="0" w:noVBand="1"/>
      </w:tblPr>
      <w:tblGrid>
        <w:gridCol w:w="2264"/>
        <w:gridCol w:w="2264"/>
        <w:gridCol w:w="2263"/>
        <w:gridCol w:w="2269"/>
      </w:tblGrid>
      <w:tr w:rsidR="00D624B1" w:rsidRPr="00690BB0" w:rsidTr="003F2A5D">
        <w:tc>
          <w:tcPr>
            <w:tcW w:w="4998" w:type="pct"/>
            <w:gridSpan w:val="4"/>
            <w:tcBorders>
              <w:top w:val="single" w:sz="4" w:space="0" w:color="auto"/>
              <w:left w:val="single" w:sz="4" w:space="0" w:color="auto"/>
              <w:bottom w:val="single" w:sz="4" w:space="0" w:color="auto"/>
              <w:right w:val="single" w:sz="4" w:space="0" w:color="auto"/>
            </w:tcBorders>
          </w:tcPr>
          <w:p w:rsidR="00D624B1" w:rsidRPr="00690BB0" w:rsidRDefault="007B7831" w:rsidP="003F2A5D">
            <w:pPr>
              <w:widowControl/>
              <w:jc w:val="center"/>
              <w:rPr>
                <w:i/>
                <w:noProof/>
              </w:rPr>
            </w:pPr>
            <w:r w:rsidRPr="00690BB0">
              <w:rPr>
                <w:i/>
              </w:rPr>
              <w:t>Ändring</w:t>
            </w:r>
          </w:p>
        </w:tc>
      </w:tr>
      <w:tr w:rsidR="00D624B1" w:rsidRPr="00690BB0" w:rsidTr="003F2A5D">
        <w:tc>
          <w:tcPr>
            <w:tcW w:w="4998" w:type="pct"/>
            <w:gridSpan w:val="4"/>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Tabell 1: Minsta prestandakrav för batteriets hållbarhet enligt Euro 7 för fordon av kategori M</w:t>
            </w:r>
            <w:r w:rsidRPr="00690BB0">
              <w:rPr>
                <w:vertAlign w:val="subscript"/>
              </w:rPr>
              <w:t>1</w:t>
            </w:r>
            <w:r w:rsidRPr="00690BB0">
              <w:t xml:space="preserve"> </w:t>
            </w:r>
          </w:p>
        </w:tc>
      </w:tr>
      <w:tr w:rsidR="00D624B1" w:rsidRPr="00690BB0" w:rsidTr="003F2A5D">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Minsta prestandakrav baserade på batterienergi</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Start av livslängd till 5 år eller 100 000 km, beroende på vilket som inträffar först</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 xml:space="preserve">Fordon mer än 5 år eller 100 000 km och upp till </w:t>
            </w:r>
            <w:r w:rsidRPr="00690BB0">
              <w:rPr>
                <w:b/>
                <w:bCs/>
                <w:i/>
                <w:iCs/>
              </w:rPr>
              <w:t>10</w:t>
            </w:r>
            <w:r w:rsidRPr="00690BB0">
              <w:t xml:space="preserve"> år eller </w:t>
            </w:r>
            <w:r w:rsidRPr="00690BB0">
              <w:rPr>
                <w:b/>
                <w:bCs/>
                <w:i/>
                <w:iCs/>
              </w:rPr>
              <w:t>200 000</w:t>
            </w:r>
            <w:r w:rsidRPr="00690BB0">
              <w:t xml:space="preserve"> km, beroende på vad som inträffar först</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Fordon upp till ytterligare livslängd*</w:t>
            </w:r>
          </w:p>
        </w:tc>
      </w:tr>
      <w:tr w:rsidR="00D624B1" w:rsidRPr="00690BB0" w:rsidTr="003F2A5D">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Externt laddbart hybridelfordon</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b/>
                <w:i/>
                <w:noProof/>
              </w:rPr>
            </w:pPr>
            <w:r w:rsidRPr="00690BB0">
              <w:rPr>
                <w:b/>
                <w:i/>
              </w:rPr>
              <w:t>85 %</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b/>
                <w:i/>
                <w:noProof/>
              </w:rPr>
            </w:pPr>
            <w:r w:rsidRPr="00690BB0">
              <w:rPr>
                <w:b/>
                <w:i/>
              </w:rPr>
              <w:t xml:space="preserve">75 % </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p>
        </w:tc>
      </w:tr>
      <w:tr w:rsidR="00D624B1" w:rsidRPr="00690BB0" w:rsidTr="003F2A5D">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Fordon med endast eldrift</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b/>
                <w:i/>
                <w:noProof/>
              </w:rPr>
            </w:pPr>
            <w:r w:rsidRPr="00690BB0">
              <w:rPr>
                <w:b/>
                <w:i/>
              </w:rPr>
              <w:t>85 %</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b/>
                <w:i/>
                <w:noProof/>
              </w:rPr>
            </w:pPr>
            <w:r w:rsidRPr="00690BB0">
              <w:rPr>
                <w:b/>
                <w:i/>
              </w:rPr>
              <w:t>75 %</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p>
        </w:tc>
      </w:tr>
    </w:tbl>
    <w:p w:rsidR="00D624B1" w:rsidRPr="00690BB0" w:rsidRDefault="00D624B1" w:rsidP="00D624B1">
      <w:pPr>
        <w:widowControl/>
      </w:pPr>
    </w:p>
    <w:tbl>
      <w:tblPr>
        <w:tblStyle w:val="TableGrid"/>
        <w:tblW w:w="5000" w:type="pct"/>
        <w:tblLook w:val="04A0" w:firstRow="1" w:lastRow="0" w:firstColumn="1" w:lastColumn="0" w:noHBand="0" w:noVBand="1"/>
      </w:tblPr>
      <w:tblGrid>
        <w:gridCol w:w="2265"/>
        <w:gridCol w:w="2265"/>
        <w:gridCol w:w="2265"/>
        <w:gridCol w:w="2265"/>
      </w:tblGrid>
      <w:tr w:rsidR="00D624B1" w:rsidRPr="00690BB0" w:rsidTr="003F2A5D">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Minsta prestandakrav baserade på räckvidd</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Start av livslängd till 5 år eller 100 000 km, beroende på vilket som inträffar först</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 xml:space="preserve">Fordon mer än 5 år eller 100 000 km och upp till </w:t>
            </w:r>
            <w:r w:rsidRPr="00690BB0">
              <w:rPr>
                <w:b/>
                <w:bCs/>
                <w:i/>
                <w:iCs/>
              </w:rPr>
              <w:t>10</w:t>
            </w:r>
            <w:r w:rsidRPr="00690BB0">
              <w:t xml:space="preserve"> år eller </w:t>
            </w:r>
            <w:r w:rsidRPr="00690BB0">
              <w:rPr>
                <w:b/>
                <w:bCs/>
                <w:i/>
                <w:iCs/>
              </w:rPr>
              <w:t>200 000</w:t>
            </w:r>
            <w:r w:rsidRPr="00690BB0">
              <w:t xml:space="preserve"> km, beroende på vad som inträffar först</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Fordon upp till ytterligare livslängd*</w:t>
            </w:r>
          </w:p>
        </w:tc>
      </w:tr>
      <w:tr w:rsidR="00D624B1" w:rsidRPr="00690BB0" w:rsidTr="003F2A5D">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Externt laddbart hybridelfordon</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p>
        </w:tc>
      </w:tr>
      <w:tr w:rsidR="00D624B1" w:rsidRPr="00690BB0" w:rsidTr="003F2A5D">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Fordon med endast eldrift</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p>
        </w:tc>
      </w:tr>
    </w:tbl>
    <w:p w:rsidR="00D624B1" w:rsidRPr="00690BB0" w:rsidRDefault="00D624B1" w:rsidP="00D624B1">
      <w:pPr>
        <w:widowControl/>
      </w:pPr>
    </w:p>
    <w:p w:rsidR="00D624B1" w:rsidRPr="00690BB0" w:rsidRDefault="007B7831" w:rsidP="00D624B1">
      <w:pPr>
        <w:pStyle w:val="AmNumberTabs"/>
        <w:keepNext/>
        <w:widowControl/>
      </w:pPr>
      <w:r w:rsidRPr="00690BB0">
        <w:t>Ändring</w:t>
      </w:r>
      <w:r w:rsidR="00D624B1" w:rsidRPr="00690BB0">
        <w:tab/>
      </w:r>
      <w:r w:rsidR="00D624B1" w:rsidRPr="00690BB0">
        <w:tab/>
        <w:t>158</w:t>
      </w:r>
    </w:p>
    <w:p w:rsidR="00D624B1" w:rsidRPr="00690BB0" w:rsidRDefault="00D624B1" w:rsidP="00D624B1">
      <w:pPr>
        <w:pStyle w:val="NormalBold12b"/>
        <w:widowControl/>
      </w:pPr>
      <w:r w:rsidRPr="00690BB0">
        <w:t>Förslag till förordning</w:t>
      </w:r>
    </w:p>
    <w:p w:rsidR="00D624B1" w:rsidRPr="00690BB0" w:rsidRDefault="00D624B1" w:rsidP="00D624B1">
      <w:pPr>
        <w:pStyle w:val="NormalBold"/>
        <w:keepNext/>
        <w:widowControl/>
      </w:pPr>
      <w:r w:rsidRPr="00690BB0">
        <w:t>Bilaga II – tabell 2</w:t>
      </w:r>
    </w:p>
    <w:tbl>
      <w:tblPr>
        <w:tblStyle w:val="TableGrid"/>
        <w:tblW w:w="5001" w:type="pct"/>
        <w:tblLook w:val="04A0" w:firstRow="1" w:lastRow="0" w:firstColumn="1" w:lastColumn="0" w:noHBand="0" w:noVBand="1"/>
      </w:tblPr>
      <w:tblGrid>
        <w:gridCol w:w="2210"/>
        <w:gridCol w:w="2211"/>
        <w:gridCol w:w="2209"/>
        <w:gridCol w:w="2432"/>
      </w:tblGrid>
      <w:tr w:rsidR="00D624B1" w:rsidRPr="00690BB0" w:rsidTr="003F2A5D">
        <w:tc>
          <w:tcPr>
            <w:tcW w:w="4999" w:type="pct"/>
            <w:gridSpan w:val="4"/>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jc w:val="center"/>
              <w:rPr>
                <w:i/>
                <w:noProof/>
              </w:rPr>
            </w:pPr>
            <w:r w:rsidRPr="00690BB0">
              <w:rPr>
                <w:i/>
              </w:rPr>
              <w:t>Kommissionens förslag</w:t>
            </w:r>
          </w:p>
        </w:tc>
      </w:tr>
      <w:tr w:rsidR="00D624B1" w:rsidRPr="00690BB0" w:rsidTr="003F2A5D">
        <w:tc>
          <w:tcPr>
            <w:tcW w:w="4999" w:type="pct"/>
            <w:gridSpan w:val="4"/>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Tabell 2: Minsta prestandakrav för batteriets hållbarhet enligt Euro 7 för fordon av kategori N</w:t>
            </w:r>
            <w:r w:rsidRPr="00690BB0">
              <w:rPr>
                <w:vertAlign w:val="subscript"/>
              </w:rPr>
              <w:t>1</w:t>
            </w:r>
          </w:p>
        </w:tc>
      </w:tr>
      <w:tr w:rsidR="00D624B1" w:rsidRPr="00690BB0" w:rsidTr="003F2A5D">
        <w:tc>
          <w:tcPr>
            <w:tcW w:w="121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lastRenderedPageBreak/>
              <w:t>Minsta prestandakrav baserade på batterienergi</w:t>
            </w:r>
          </w:p>
        </w:tc>
        <w:tc>
          <w:tcPr>
            <w:tcW w:w="1220"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Start av livslängd till 5 år eller 100 000 km, beroende på vilket som inträffar först</w:t>
            </w:r>
          </w:p>
        </w:tc>
        <w:tc>
          <w:tcPr>
            <w:tcW w:w="121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 xml:space="preserve">Fordon mer än 5 år eller 100 000 km och upp till </w:t>
            </w:r>
            <w:r w:rsidRPr="00690BB0">
              <w:rPr>
                <w:b/>
                <w:bCs/>
                <w:i/>
                <w:iCs/>
              </w:rPr>
              <w:t>8</w:t>
            </w:r>
            <w:r w:rsidRPr="00690BB0">
              <w:t xml:space="preserve"> år eller </w:t>
            </w:r>
            <w:r w:rsidRPr="00690BB0">
              <w:rPr>
                <w:b/>
                <w:bCs/>
                <w:i/>
                <w:iCs/>
              </w:rPr>
              <w:t>160 000</w:t>
            </w:r>
            <w:r w:rsidRPr="00690BB0">
              <w:t xml:space="preserve"> km, beroende på vad som inträffar först</w:t>
            </w:r>
          </w:p>
        </w:tc>
        <w:tc>
          <w:tcPr>
            <w:tcW w:w="1342"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Fordon upp till ytterligare livslängd*</w:t>
            </w:r>
          </w:p>
        </w:tc>
      </w:tr>
      <w:tr w:rsidR="00D624B1" w:rsidRPr="00690BB0" w:rsidTr="003F2A5D">
        <w:tc>
          <w:tcPr>
            <w:tcW w:w="121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Externt laddbart hybridelfordon</w:t>
            </w:r>
          </w:p>
        </w:tc>
        <w:tc>
          <w:tcPr>
            <w:tcW w:w="1220"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b/>
                <w:i/>
                <w:noProof/>
              </w:rPr>
            </w:pPr>
            <w:r w:rsidRPr="00690BB0">
              <w:rPr>
                <w:b/>
                <w:i/>
              </w:rPr>
              <w:t>75 %</w:t>
            </w:r>
          </w:p>
        </w:tc>
        <w:tc>
          <w:tcPr>
            <w:tcW w:w="121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b/>
                <w:i/>
                <w:noProof/>
              </w:rPr>
            </w:pPr>
            <w:r w:rsidRPr="00690BB0">
              <w:rPr>
                <w:b/>
                <w:i/>
              </w:rPr>
              <w:t xml:space="preserve">65 % </w:t>
            </w:r>
          </w:p>
        </w:tc>
        <w:tc>
          <w:tcPr>
            <w:tcW w:w="1342"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p>
        </w:tc>
      </w:tr>
      <w:tr w:rsidR="00D624B1" w:rsidRPr="00690BB0" w:rsidTr="003F2A5D">
        <w:tc>
          <w:tcPr>
            <w:tcW w:w="121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Fordon med endast eldrift</w:t>
            </w:r>
          </w:p>
        </w:tc>
        <w:tc>
          <w:tcPr>
            <w:tcW w:w="1220"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b/>
                <w:i/>
                <w:noProof/>
              </w:rPr>
            </w:pPr>
            <w:r w:rsidRPr="00690BB0">
              <w:rPr>
                <w:b/>
                <w:i/>
              </w:rPr>
              <w:t>75 %</w:t>
            </w:r>
          </w:p>
        </w:tc>
        <w:tc>
          <w:tcPr>
            <w:tcW w:w="121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b/>
                <w:i/>
                <w:noProof/>
              </w:rPr>
            </w:pPr>
            <w:r w:rsidRPr="00690BB0">
              <w:rPr>
                <w:b/>
                <w:i/>
              </w:rPr>
              <w:t xml:space="preserve">65 % </w:t>
            </w:r>
          </w:p>
        </w:tc>
        <w:tc>
          <w:tcPr>
            <w:tcW w:w="1342"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p>
        </w:tc>
      </w:tr>
    </w:tbl>
    <w:p w:rsidR="00D624B1" w:rsidRPr="00690BB0" w:rsidRDefault="00D624B1" w:rsidP="00D624B1">
      <w:pPr>
        <w:widowControl/>
      </w:pPr>
    </w:p>
    <w:tbl>
      <w:tblPr>
        <w:tblStyle w:val="TableGrid"/>
        <w:tblW w:w="5000" w:type="pct"/>
        <w:tblLook w:val="04A0" w:firstRow="1" w:lastRow="0" w:firstColumn="1" w:lastColumn="0" w:noHBand="0" w:noVBand="1"/>
      </w:tblPr>
      <w:tblGrid>
        <w:gridCol w:w="2265"/>
        <w:gridCol w:w="2265"/>
        <w:gridCol w:w="2265"/>
        <w:gridCol w:w="2265"/>
      </w:tblGrid>
      <w:tr w:rsidR="00D624B1" w:rsidRPr="00690BB0" w:rsidTr="003F2A5D">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Minsta prestandakrav baserade på räckvidd</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Start av livslängd till 5 år eller 100 000 km, beroende på vilket som inträffar först</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Fordon mer än 5 år eller 100 000 km och upp till 8 år eller 160 000 km, beroende på vad som inträffar först</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Fordon upp till ytterligare livslängd*</w:t>
            </w:r>
          </w:p>
        </w:tc>
      </w:tr>
      <w:tr w:rsidR="00D624B1" w:rsidRPr="00690BB0" w:rsidTr="003F2A5D">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Externt laddbart hybridelfordon</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p>
        </w:tc>
      </w:tr>
      <w:tr w:rsidR="00D624B1" w:rsidRPr="00690BB0" w:rsidTr="003F2A5D">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Fordon med endast eldrift</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p>
        </w:tc>
      </w:tr>
    </w:tbl>
    <w:p w:rsidR="00D624B1" w:rsidRPr="00690BB0" w:rsidRDefault="00D624B1" w:rsidP="00D624B1">
      <w:pPr>
        <w:pStyle w:val="AmOrLang"/>
        <w:widowControl/>
      </w:pPr>
    </w:p>
    <w:tbl>
      <w:tblPr>
        <w:tblStyle w:val="TableGrid"/>
        <w:tblW w:w="5000" w:type="pct"/>
        <w:tblLook w:val="04A0" w:firstRow="1" w:lastRow="0" w:firstColumn="1" w:lastColumn="0" w:noHBand="0" w:noVBand="1"/>
      </w:tblPr>
      <w:tblGrid>
        <w:gridCol w:w="2264"/>
        <w:gridCol w:w="2264"/>
        <w:gridCol w:w="2263"/>
        <w:gridCol w:w="2269"/>
      </w:tblGrid>
      <w:tr w:rsidR="00D624B1" w:rsidRPr="00690BB0" w:rsidTr="003F2A5D">
        <w:trPr>
          <w:trHeight w:val="284"/>
        </w:trPr>
        <w:tc>
          <w:tcPr>
            <w:tcW w:w="4998" w:type="pct"/>
            <w:gridSpan w:val="4"/>
            <w:tcBorders>
              <w:top w:val="single" w:sz="4" w:space="0" w:color="auto"/>
              <w:left w:val="single" w:sz="4" w:space="0" w:color="auto"/>
              <w:bottom w:val="single" w:sz="4" w:space="0" w:color="auto"/>
              <w:right w:val="single" w:sz="4" w:space="0" w:color="auto"/>
            </w:tcBorders>
          </w:tcPr>
          <w:p w:rsidR="00D624B1" w:rsidRPr="00690BB0" w:rsidRDefault="007B7831" w:rsidP="003F2A5D">
            <w:pPr>
              <w:widowControl/>
              <w:jc w:val="center"/>
              <w:rPr>
                <w:i/>
                <w:noProof/>
              </w:rPr>
            </w:pPr>
            <w:r w:rsidRPr="00690BB0">
              <w:rPr>
                <w:i/>
              </w:rPr>
              <w:t>Ändring</w:t>
            </w:r>
          </w:p>
        </w:tc>
      </w:tr>
      <w:tr w:rsidR="00D624B1" w:rsidRPr="00690BB0" w:rsidTr="003F2A5D">
        <w:trPr>
          <w:trHeight w:val="568"/>
        </w:trPr>
        <w:tc>
          <w:tcPr>
            <w:tcW w:w="4998" w:type="pct"/>
            <w:gridSpan w:val="4"/>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Tabell 2: Minsta prestandakrav för batteriets hållbarhet enligt Euro 7 för fordon av kategori N</w:t>
            </w:r>
            <w:r w:rsidRPr="00690BB0">
              <w:rPr>
                <w:vertAlign w:val="subscript"/>
              </w:rPr>
              <w:t>1</w:t>
            </w:r>
          </w:p>
        </w:tc>
      </w:tr>
      <w:tr w:rsidR="00D624B1" w:rsidRPr="00690BB0" w:rsidTr="003F2A5D">
        <w:trPr>
          <w:trHeight w:val="1698"/>
        </w:trPr>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Minsta prestandakrav baserade på batterienergi</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Start av livslängd till 5 år eller 100 000 km, beroende på vilket som inträffar först</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 xml:space="preserve">Fordon mer än 5 år eller 100 000 km och upp till </w:t>
            </w:r>
            <w:r w:rsidRPr="00690BB0">
              <w:rPr>
                <w:b/>
                <w:bCs/>
                <w:i/>
                <w:iCs/>
              </w:rPr>
              <w:t>10</w:t>
            </w:r>
            <w:r w:rsidRPr="00690BB0">
              <w:t xml:space="preserve"> år eller </w:t>
            </w:r>
            <w:r w:rsidRPr="00690BB0">
              <w:rPr>
                <w:b/>
                <w:bCs/>
                <w:i/>
                <w:iCs/>
              </w:rPr>
              <w:t>200 000</w:t>
            </w:r>
            <w:r w:rsidRPr="00690BB0">
              <w:t xml:space="preserve"> km, beroende på vad som inträffar först</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Fordon upp till ytterligare livslängd*</w:t>
            </w:r>
          </w:p>
        </w:tc>
      </w:tr>
      <w:tr w:rsidR="00D624B1" w:rsidRPr="00690BB0" w:rsidTr="003F2A5D">
        <w:trPr>
          <w:trHeight w:val="284"/>
        </w:trPr>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Externt laddbart hybridelfordon</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b/>
                <w:i/>
                <w:noProof/>
              </w:rPr>
            </w:pPr>
            <w:r w:rsidRPr="00690BB0">
              <w:rPr>
                <w:b/>
                <w:i/>
              </w:rPr>
              <w:t>80 %</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b/>
                <w:i/>
                <w:noProof/>
              </w:rPr>
            </w:pPr>
            <w:r w:rsidRPr="00690BB0">
              <w:rPr>
                <w:b/>
                <w:i/>
              </w:rPr>
              <w:t xml:space="preserve">70 % </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p>
        </w:tc>
      </w:tr>
      <w:tr w:rsidR="00D624B1" w:rsidRPr="00690BB0" w:rsidTr="003F2A5D">
        <w:trPr>
          <w:trHeight w:val="291"/>
        </w:trPr>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Fordon med endast eldrift</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b/>
                <w:i/>
                <w:noProof/>
              </w:rPr>
            </w:pPr>
            <w:r w:rsidRPr="00690BB0">
              <w:rPr>
                <w:b/>
                <w:i/>
              </w:rPr>
              <w:t>80 %</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b/>
                <w:i/>
                <w:noProof/>
              </w:rPr>
            </w:pPr>
            <w:r w:rsidRPr="00690BB0">
              <w:rPr>
                <w:b/>
                <w:i/>
              </w:rPr>
              <w:t xml:space="preserve">70 % </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p>
        </w:tc>
      </w:tr>
    </w:tbl>
    <w:p w:rsidR="00D624B1" w:rsidRPr="00690BB0" w:rsidRDefault="00D624B1" w:rsidP="00D624B1">
      <w:pPr>
        <w:widowControl/>
      </w:pPr>
    </w:p>
    <w:tbl>
      <w:tblPr>
        <w:tblStyle w:val="TableGrid"/>
        <w:tblW w:w="5000" w:type="pct"/>
        <w:tblLook w:val="04A0" w:firstRow="1" w:lastRow="0" w:firstColumn="1" w:lastColumn="0" w:noHBand="0" w:noVBand="1"/>
      </w:tblPr>
      <w:tblGrid>
        <w:gridCol w:w="2265"/>
        <w:gridCol w:w="2265"/>
        <w:gridCol w:w="2265"/>
        <w:gridCol w:w="2265"/>
      </w:tblGrid>
      <w:tr w:rsidR="00D624B1" w:rsidRPr="00690BB0" w:rsidTr="003F2A5D">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Minsta prestandakrav baserade på räckvidd</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Start av livslängd till 5 år eller 100 000 km, beroende på vilket som inträffar först</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 xml:space="preserve">Fordon mer än 5 år eller 100 000 km och upp till </w:t>
            </w:r>
            <w:r w:rsidRPr="00690BB0">
              <w:rPr>
                <w:b/>
                <w:bCs/>
                <w:i/>
                <w:iCs/>
              </w:rPr>
              <w:t>10</w:t>
            </w:r>
            <w:r w:rsidRPr="00690BB0">
              <w:t xml:space="preserve"> år eller </w:t>
            </w:r>
            <w:r w:rsidRPr="00690BB0">
              <w:rPr>
                <w:b/>
                <w:bCs/>
                <w:i/>
                <w:iCs/>
              </w:rPr>
              <w:t>200 000</w:t>
            </w:r>
            <w:r w:rsidRPr="00690BB0">
              <w:t xml:space="preserve"> km, beroende på vad som inträffar först</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Fordon upp till ytterligare livslängd*</w:t>
            </w:r>
          </w:p>
        </w:tc>
      </w:tr>
      <w:tr w:rsidR="00D624B1" w:rsidRPr="00690BB0" w:rsidTr="003F2A5D">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Externt laddbart hybridelfordon</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p>
        </w:tc>
      </w:tr>
      <w:tr w:rsidR="00D624B1" w:rsidRPr="00690BB0" w:rsidTr="003F2A5D">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Fordon med endast eldrift</w:t>
            </w: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p>
        </w:tc>
        <w:tc>
          <w:tcPr>
            <w:tcW w:w="1249"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p>
        </w:tc>
      </w:tr>
    </w:tbl>
    <w:p w:rsidR="00D624B1" w:rsidRPr="00690BB0" w:rsidRDefault="00D624B1" w:rsidP="00D624B1">
      <w:pPr>
        <w:widowControl/>
      </w:pPr>
    </w:p>
    <w:p w:rsidR="00D624B1" w:rsidRPr="00690BB0" w:rsidRDefault="007B7831" w:rsidP="00D624B1">
      <w:pPr>
        <w:pStyle w:val="AmNumberTabs"/>
        <w:keepNext/>
        <w:widowControl/>
      </w:pPr>
      <w:r w:rsidRPr="00690BB0">
        <w:lastRenderedPageBreak/>
        <w:t>Ändring</w:t>
      </w:r>
      <w:r w:rsidR="00D624B1" w:rsidRPr="00690BB0">
        <w:tab/>
      </w:r>
      <w:r w:rsidR="00D624B1" w:rsidRPr="00690BB0">
        <w:tab/>
        <w:t>159</w:t>
      </w:r>
    </w:p>
    <w:p w:rsidR="00D624B1" w:rsidRPr="00690BB0" w:rsidRDefault="00D624B1" w:rsidP="00D624B1">
      <w:pPr>
        <w:pStyle w:val="NormalBold12b"/>
        <w:widowControl/>
      </w:pPr>
      <w:r w:rsidRPr="00690BB0">
        <w:t>Förslag till förordning</w:t>
      </w:r>
    </w:p>
    <w:p w:rsidR="00D624B1" w:rsidRPr="00690BB0" w:rsidRDefault="00D624B1" w:rsidP="00D624B1">
      <w:pPr>
        <w:pStyle w:val="NormalBold"/>
        <w:keepNext/>
        <w:widowControl/>
      </w:pPr>
      <w:r w:rsidRPr="00690BB0">
        <w:t>Bilaga III – tabell 1</w:t>
      </w:r>
    </w:p>
    <w:tbl>
      <w:tblPr>
        <w:tblStyle w:val="CV11"/>
        <w:tblW w:w="0" w:type="auto"/>
        <w:tblLook w:val="04A0" w:firstRow="1" w:lastRow="0" w:firstColumn="1" w:lastColumn="0" w:noHBand="0" w:noVBand="1"/>
      </w:tblPr>
      <w:tblGrid>
        <w:gridCol w:w="2768"/>
        <w:gridCol w:w="2811"/>
        <w:gridCol w:w="3481"/>
      </w:tblGrid>
      <w:tr w:rsidR="00D624B1" w:rsidRPr="00690BB0" w:rsidTr="003F2A5D">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rsidR="00D624B1" w:rsidRPr="00690BB0" w:rsidRDefault="00D624B1" w:rsidP="003F2A5D">
            <w:pPr>
              <w:keepNext/>
              <w:keepLines/>
              <w:widowControl/>
              <w:ind w:left="357"/>
              <w:jc w:val="center"/>
              <w:rPr>
                <w:i/>
                <w:noProof/>
              </w:rPr>
            </w:pPr>
            <w:r w:rsidRPr="00690BB0">
              <w:rPr>
                <w:i/>
              </w:rPr>
              <w:t>Kommissionens förslag</w:t>
            </w:r>
          </w:p>
        </w:tc>
      </w:tr>
      <w:tr w:rsidR="00D624B1" w:rsidRPr="00690BB0" w:rsidTr="003F2A5D">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szCs w:val="24"/>
              </w:rPr>
            </w:pPr>
            <w:r w:rsidRPr="00690BB0">
              <w:t>Tabell 1: Villkor för provning av huruvida fordon av kategorierna M</w:t>
            </w:r>
            <w:r w:rsidRPr="00690BB0">
              <w:rPr>
                <w:vertAlign w:val="subscript"/>
              </w:rPr>
              <w:t>1</w:t>
            </w:r>
            <w:r w:rsidRPr="00690BB0">
              <w:t xml:space="preserve"> och N</w:t>
            </w:r>
            <w:r w:rsidRPr="00690BB0">
              <w:rPr>
                <w:vertAlign w:val="subscript"/>
              </w:rPr>
              <w:t>1</w:t>
            </w:r>
            <w:r w:rsidRPr="00690BB0">
              <w:t xml:space="preserve"> uppfyller gränsvärdena för avgasutsläpp med alla bränslen och smörjmedel på marknaden enligt de specifikationer som utfärdats av fordonstillverkaren</w:t>
            </w:r>
          </w:p>
        </w:tc>
      </w:tr>
      <w:tr w:rsidR="00D624B1" w:rsidRPr="00690BB0" w:rsidTr="003F2A5D">
        <w:trPr>
          <w:trHeight w:val="312"/>
        </w:trPr>
        <w:tc>
          <w:tcPr>
            <w:tcW w:w="2768"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noProof/>
                <w:kern w:val="24"/>
                <w:szCs w:val="24"/>
              </w:rPr>
            </w:pPr>
            <w:r w:rsidRPr="00690BB0">
              <w:t>Parameter</w:t>
            </w:r>
          </w:p>
        </w:tc>
        <w:tc>
          <w:tcPr>
            <w:tcW w:w="2811"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ind w:left="360"/>
              <w:jc w:val="center"/>
              <w:rPr>
                <w:noProof/>
                <w:kern w:val="24"/>
              </w:rPr>
            </w:pPr>
            <w:r w:rsidRPr="00690BB0">
              <w:t xml:space="preserve">Normala körförhållanden </w:t>
            </w:r>
          </w:p>
        </w:tc>
        <w:tc>
          <w:tcPr>
            <w:tcW w:w="3481"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ind w:left="360"/>
              <w:jc w:val="center"/>
              <w:rPr>
                <w:noProof/>
                <w:kern w:val="24"/>
              </w:rPr>
            </w:pPr>
            <w:r w:rsidRPr="00690BB0">
              <w:t>Utökade körförhållanden*</w:t>
            </w:r>
          </w:p>
        </w:tc>
      </w:tr>
      <w:tr w:rsidR="00D624B1" w:rsidRPr="00690BB0" w:rsidTr="003F2A5D">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b/>
                <w:noProof/>
                <w:szCs w:val="24"/>
              </w:rPr>
            </w:pPr>
            <w:r w:rsidRPr="00690BB0">
              <w:t xml:space="preserve">Delare för utökad körning </w:t>
            </w:r>
          </w:p>
        </w:tc>
        <w:tc>
          <w:tcPr>
            <w:tcW w:w="2811"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ind w:left="360"/>
              <w:jc w:val="center"/>
              <w:rPr>
                <w:b/>
                <w:bCs/>
                <w:noProof/>
              </w:rPr>
            </w:pPr>
            <w:r w:rsidRPr="00690BB0">
              <w:t>–</w:t>
            </w:r>
          </w:p>
        </w:tc>
        <w:tc>
          <w:tcPr>
            <w:tcW w:w="3481"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ind w:left="360"/>
              <w:jc w:val="center"/>
              <w:rPr>
                <w:b/>
                <w:bCs/>
                <w:noProof/>
              </w:rPr>
            </w:pPr>
            <w:r w:rsidRPr="00690BB0">
              <w:t>1,6 (gäller för uppmätta utsläpp endast under den tid då ett av villkoren i denna kolumn gäller)</w:t>
            </w:r>
          </w:p>
        </w:tc>
      </w:tr>
      <w:tr w:rsidR="00D624B1" w:rsidRPr="00690BB0" w:rsidTr="003F2A5D">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b/>
                <w:noProof/>
                <w:szCs w:val="24"/>
              </w:rPr>
            </w:pPr>
            <w:r w:rsidRPr="00690BB0">
              <w:t>Omgivningstemperatur</w:t>
            </w:r>
          </w:p>
        </w:tc>
        <w:tc>
          <w:tcPr>
            <w:tcW w:w="2811"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ind w:left="360"/>
              <w:jc w:val="center"/>
              <w:rPr>
                <w:b/>
                <w:bCs/>
                <w:noProof/>
              </w:rPr>
            </w:pPr>
            <w:r w:rsidRPr="00690BB0">
              <w:t xml:space="preserve">0 °C till 35 °C </w:t>
            </w:r>
          </w:p>
        </w:tc>
        <w:tc>
          <w:tcPr>
            <w:tcW w:w="3481"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ind w:left="360"/>
              <w:jc w:val="center"/>
              <w:rPr>
                <w:b/>
                <w:bCs/>
                <w:noProof/>
              </w:rPr>
            </w:pPr>
            <w:r w:rsidRPr="00690BB0">
              <w:rPr>
                <w:b/>
                <w:bCs/>
                <w:i/>
                <w:iCs/>
              </w:rPr>
              <w:t>–10 °C</w:t>
            </w:r>
            <w:r w:rsidRPr="00690BB0">
              <w:t xml:space="preserve"> till 0 °C eller 35 °C till </w:t>
            </w:r>
            <w:r w:rsidRPr="00690BB0">
              <w:rPr>
                <w:b/>
                <w:bCs/>
                <w:i/>
                <w:iCs/>
              </w:rPr>
              <w:t>45 °C</w:t>
            </w:r>
          </w:p>
        </w:tc>
      </w:tr>
      <w:tr w:rsidR="00D624B1" w:rsidRPr="00690BB0" w:rsidTr="003F2A5D">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noProof/>
                <w:kern w:val="24"/>
                <w:szCs w:val="24"/>
              </w:rPr>
            </w:pPr>
            <w:r w:rsidRPr="00690BB0">
              <w:t>Högsta höjd</w:t>
            </w:r>
          </w:p>
        </w:tc>
        <w:tc>
          <w:tcPr>
            <w:tcW w:w="2811"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ind w:left="360"/>
              <w:jc w:val="center"/>
              <w:rPr>
                <w:noProof/>
                <w:kern w:val="24"/>
              </w:rPr>
            </w:pPr>
            <w:r w:rsidRPr="00690BB0">
              <w:t>700 m</w:t>
            </w:r>
          </w:p>
        </w:tc>
        <w:tc>
          <w:tcPr>
            <w:tcW w:w="3481"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ind w:left="360"/>
              <w:jc w:val="center"/>
              <w:rPr>
                <w:noProof/>
                <w:kern w:val="24"/>
              </w:rPr>
            </w:pPr>
            <w:r w:rsidRPr="00690BB0">
              <w:t xml:space="preserve">Över 700 m och under </w:t>
            </w:r>
            <w:r w:rsidRPr="00690BB0">
              <w:rPr>
                <w:b/>
                <w:bCs/>
                <w:i/>
                <w:iCs/>
              </w:rPr>
              <w:t>1 800</w:t>
            </w:r>
            <w:r w:rsidRPr="00690BB0">
              <w:t xml:space="preserve"> m</w:t>
            </w:r>
          </w:p>
        </w:tc>
      </w:tr>
      <w:tr w:rsidR="00D624B1" w:rsidRPr="00690BB0" w:rsidTr="003F2A5D">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b/>
                <w:noProof/>
                <w:szCs w:val="24"/>
              </w:rPr>
            </w:pPr>
            <w:r w:rsidRPr="00690BB0">
              <w:t>Högsta hastighet</w:t>
            </w:r>
          </w:p>
        </w:tc>
        <w:tc>
          <w:tcPr>
            <w:tcW w:w="2811"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ind w:left="360"/>
              <w:jc w:val="center"/>
              <w:rPr>
                <w:b/>
                <w:bCs/>
                <w:noProof/>
              </w:rPr>
            </w:pPr>
            <w:r w:rsidRPr="00690BB0">
              <w:t xml:space="preserve">Upp till 145 km/h </w:t>
            </w:r>
          </w:p>
        </w:tc>
        <w:tc>
          <w:tcPr>
            <w:tcW w:w="3481"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ind w:left="360"/>
              <w:jc w:val="center"/>
              <w:rPr>
                <w:b/>
                <w:bCs/>
                <w:noProof/>
              </w:rPr>
            </w:pPr>
            <w:r w:rsidRPr="00690BB0">
              <w:t>Mellan 145 och 160 km/h</w:t>
            </w:r>
          </w:p>
        </w:tc>
      </w:tr>
      <w:tr w:rsidR="00D624B1" w:rsidRPr="00690BB0" w:rsidTr="003F2A5D">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b/>
                <w:noProof/>
                <w:szCs w:val="24"/>
              </w:rPr>
            </w:pPr>
            <w:r w:rsidRPr="00690BB0">
              <w:t>Bogsering/aerodynamiska ändringar</w:t>
            </w:r>
          </w:p>
        </w:tc>
        <w:tc>
          <w:tcPr>
            <w:tcW w:w="2811"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ind w:left="357"/>
              <w:jc w:val="center"/>
              <w:rPr>
                <w:b/>
                <w:bCs/>
                <w:noProof/>
              </w:rPr>
            </w:pPr>
            <w:r w:rsidRPr="00690BB0">
              <w:t>Ej tillåtet</w:t>
            </w:r>
          </w:p>
        </w:tc>
        <w:tc>
          <w:tcPr>
            <w:tcW w:w="3481"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ind w:left="357"/>
              <w:jc w:val="center"/>
              <w:rPr>
                <w:b/>
                <w:bCs/>
                <w:noProof/>
              </w:rPr>
            </w:pPr>
            <w:r w:rsidRPr="00690BB0">
              <w:t>Tillåtet enligt tillverkarens specifikationer och upp till den reglerade hastigheten</w:t>
            </w:r>
          </w:p>
        </w:tc>
      </w:tr>
      <w:tr w:rsidR="00D624B1" w:rsidRPr="00690BB0" w:rsidTr="003F2A5D">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noProof/>
                <w:kern w:val="24"/>
                <w:szCs w:val="24"/>
              </w:rPr>
            </w:pPr>
            <w:r w:rsidRPr="00690BB0">
              <w:t>Hjälputrustning</w:t>
            </w:r>
          </w:p>
        </w:tc>
        <w:tc>
          <w:tcPr>
            <w:tcW w:w="2811"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ind w:left="360"/>
              <w:jc w:val="center"/>
              <w:rPr>
                <w:rFonts w:eastAsiaTheme="minorEastAsia"/>
                <w:noProof/>
                <w:kern w:val="24"/>
              </w:rPr>
            </w:pPr>
            <w:r w:rsidRPr="00690BB0">
              <w:t>Möjligt vid normal användning</w:t>
            </w:r>
          </w:p>
        </w:tc>
        <w:tc>
          <w:tcPr>
            <w:tcW w:w="3481"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ind w:left="360"/>
              <w:jc w:val="center"/>
              <w:rPr>
                <w:rFonts w:eastAsiaTheme="minorEastAsia"/>
                <w:noProof/>
                <w:kern w:val="24"/>
              </w:rPr>
            </w:pPr>
            <w:r w:rsidRPr="00690BB0">
              <w:t>–</w:t>
            </w:r>
          </w:p>
        </w:tc>
      </w:tr>
      <w:tr w:rsidR="00D624B1" w:rsidRPr="00690BB0" w:rsidTr="003F2A5D">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b/>
                <w:noProof/>
                <w:szCs w:val="24"/>
              </w:rPr>
            </w:pPr>
            <w:r w:rsidRPr="00690BB0">
              <w:t>Högsta genomsnittliga hjuleffekt under de första 2 km efter kallstart</w:t>
            </w:r>
          </w:p>
        </w:tc>
        <w:tc>
          <w:tcPr>
            <w:tcW w:w="2811"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noProof/>
                <w:kern w:val="24"/>
                <w:szCs w:val="24"/>
              </w:rPr>
            </w:pPr>
            <w:r w:rsidRPr="00690BB0">
              <w:t>Lägre än 20 % av maximal hjuleffekt</w:t>
            </w:r>
          </w:p>
        </w:tc>
        <w:tc>
          <w:tcPr>
            <w:tcW w:w="3481"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noProof/>
                <w:kern w:val="24"/>
                <w:szCs w:val="24"/>
              </w:rPr>
            </w:pPr>
            <w:r w:rsidRPr="00690BB0">
              <w:rPr>
                <w:b/>
                <w:bCs/>
                <w:i/>
                <w:iCs/>
              </w:rPr>
              <w:t>Högre än</w:t>
            </w:r>
            <w:r w:rsidRPr="00690BB0">
              <w:t xml:space="preserve"> 20 % av maximal hjuleffekt</w:t>
            </w:r>
          </w:p>
        </w:tc>
      </w:tr>
      <w:tr w:rsidR="00D624B1" w:rsidRPr="00690BB0" w:rsidTr="003F2A5D">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noProof/>
                <w:szCs w:val="24"/>
              </w:rPr>
            </w:pPr>
            <w:r w:rsidRPr="00690BB0">
              <w:t>Trippens sammansättning</w:t>
            </w:r>
          </w:p>
        </w:tc>
        <w:tc>
          <w:tcPr>
            <w:tcW w:w="2811"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ind w:left="360"/>
              <w:jc w:val="center"/>
              <w:rPr>
                <w:bCs/>
                <w:noProof/>
              </w:rPr>
            </w:pPr>
            <w:r w:rsidRPr="00690BB0">
              <w:t>Vilken som helst</w:t>
            </w:r>
          </w:p>
        </w:tc>
        <w:tc>
          <w:tcPr>
            <w:tcW w:w="3481"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ind w:left="360"/>
              <w:jc w:val="center"/>
              <w:rPr>
                <w:b/>
                <w:bCs/>
                <w:i/>
                <w:noProof/>
              </w:rPr>
            </w:pPr>
            <w:r w:rsidRPr="00690BB0">
              <w:rPr>
                <w:b/>
                <w:i/>
              </w:rPr>
              <w:t>–</w:t>
            </w:r>
          </w:p>
        </w:tc>
      </w:tr>
      <w:tr w:rsidR="00D624B1" w:rsidRPr="00690BB0" w:rsidTr="003F2A5D">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noProof/>
                <w:kern w:val="24"/>
                <w:szCs w:val="24"/>
              </w:rPr>
            </w:pPr>
            <w:r w:rsidRPr="00690BB0">
              <w:t>Minsta körsträcka</w:t>
            </w:r>
          </w:p>
        </w:tc>
        <w:tc>
          <w:tcPr>
            <w:tcW w:w="2811"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ind w:left="360"/>
              <w:jc w:val="center"/>
              <w:rPr>
                <w:noProof/>
                <w:kern w:val="24"/>
              </w:rPr>
            </w:pPr>
            <w:r w:rsidRPr="00690BB0">
              <w:t>10 000 km</w:t>
            </w:r>
          </w:p>
        </w:tc>
        <w:tc>
          <w:tcPr>
            <w:tcW w:w="3481"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ind w:left="360"/>
              <w:jc w:val="center"/>
              <w:rPr>
                <w:noProof/>
                <w:kern w:val="24"/>
              </w:rPr>
            </w:pPr>
            <w:r w:rsidRPr="00690BB0">
              <w:t>Mellan 3 000 och 10 000 km</w:t>
            </w:r>
          </w:p>
        </w:tc>
      </w:tr>
      <w:tr w:rsidR="00D624B1" w:rsidRPr="00690BB0" w:rsidTr="003F2A5D">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rsidR="00D624B1" w:rsidRPr="00690BB0" w:rsidRDefault="00D624B1" w:rsidP="003F2A5D">
            <w:pPr>
              <w:widowControl/>
              <w:rPr>
                <w:b/>
                <w:i/>
                <w:noProof/>
                <w:sz w:val="20"/>
              </w:rPr>
            </w:pPr>
            <w:r w:rsidRPr="00690BB0">
              <w:rPr>
                <w:b/>
                <w:i/>
                <w:sz w:val="20"/>
              </w:rPr>
              <w:t>* Samma utsläppsstrategi ska användas när fordonet körs utanför dessa villkor, om det inte finns ett tekniskt skäl som godkänts av typgodkännandemyndigheten.</w:t>
            </w:r>
          </w:p>
        </w:tc>
      </w:tr>
    </w:tbl>
    <w:p w:rsidR="00D624B1" w:rsidRPr="00690BB0" w:rsidRDefault="00D624B1" w:rsidP="00D624B1">
      <w:pPr>
        <w:pStyle w:val="AmOrLang"/>
        <w:widowControl/>
      </w:pPr>
    </w:p>
    <w:tbl>
      <w:tblPr>
        <w:tblStyle w:val="CV11"/>
        <w:tblW w:w="0" w:type="auto"/>
        <w:tblLook w:val="04A0" w:firstRow="1" w:lastRow="0" w:firstColumn="1" w:lastColumn="0" w:noHBand="0" w:noVBand="1"/>
      </w:tblPr>
      <w:tblGrid>
        <w:gridCol w:w="2763"/>
        <w:gridCol w:w="2832"/>
        <w:gridCol w:w="3465"/>
      </w:tblGrid>
      <w:tr w:rsidR="00D624B1" w:rsidRPr="00690BB0" w:rsidTr="003F2A5D">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rsidR="00D624B1" w:rsidRPr="00690BB0" w:rsidRDefault="007B7831" w:rsidP="003F2A5D">
            <w:pPr>
              <w:widowControl/>
              <w:ind w:left="360"/>
              <w:jc w:val="center"/>
              <w:rPr>
                <w:i/>
                <w:noProof/>
              </w:rPr>
            </w:pPr>
            <w:r w:rsidRPr="00690BB0">
              <w:rPr>
                <w:i/>
              </w:rPr>
              <w:t>Ändring</w:t>
            </w:r>
          </w:p>
        </w:tc>
      </w:tr>
      <w:tr w:rsidR="00D624B1" w:rsidRPr="00690BB0" w:rsidTr="003F2A5D">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szCs w:val="24"/>
              </w:rPr>
            </w:pPr>
            <w:r w:rsidRPr="00690BB0">
              <w:t>Tabell 1: Villkor för provning av huruvida fordon av kategorierna M</w:t>
            </w:r>
            <w:r w:rsidRPr="00690BB0">
              <w:rPr>
                <w:vertAlign w:val="subscript"/>
              </w:rPr>
              <w:t>1</w:t>
            </w:r>
            <w:r w:rsidRPr="00690BB0">
              <w:t xml:space="preserve"> och N</w:t>
            </w:r>
            <w:r w:rsidRPr="00690BB0">
              <w:rPr>
                <w:vertAlign w:val="subscript"/>
              </w:rPr>
              <w:t>1</w:t>
            </w:r>
            <w:r w:rsidRPr="00690BB0">
              <w:t xml:space="preserve"> uppfyller gränsvärdena för avgasutsläpp med alla bränslen och smörjmedel på marknaden enligt de specifikationer som utfärdats av fordonstillverkaren</w:t>
            </w:r>
          </w:p>
        </w:tc>
      </w:tr>
      <w:tr w:rsidR="00D624B1" w:rsidRPr="00690BB0" w:rsidTr="003F2A5D">
        <w:trPr>
          <w:trHeight w:val="312"/>
        </w:trPr>
        <w:tc>
          <w:tcPr>
            <w:tcW w:w="2763"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
                <w:noProof/>
                <w:kern w:val="24"/>
                <w:szCs w:val="24"/>
              </w:rPr>
            </w:pPr>
            <w:r w:rsidRPr="00690BB0">
              <w:rPr>
                <w:b/>
              </w:rPr>
              <w:t>Parameter</w:t>
            </w:r>
          </w:p>
        </w:tc>
        <w:tc>
          <w:tcPr>
            <w:tcW w:w="2832"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ind w:left="360"/>
              <w:jc w:val="center"/>
              <w:rPr>
                <w:noProof/>
                <w:kern w:val="24"/>
              </w:rPr>
            </w:pPr>
            <w:r w:rsidRPr="00690BB0">
              <w:rPr>
                <w:b/>
              </w:rPr>
              <w:t xml:space="preserve">Normala körförhållanden </w:t>
            </w:r>
          </w:p>
        </w:tc>
        <w:tc>
          <w:tcPr>
            <w:tcW w:w="3465"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ind w:left="360"/>
              <w:jc w:val="center"/>
              <w:rPr>
                <w:noProof/>
                <w:kern w:val="24"/>
              </w:rPr>
            </w:pPr>
            <w:r w:rsidRPr="00690BB0">
              <w:t>Utökade körförhållanden</w:t>
            </w:r>
            <w:r w:rsidRPr="00690BB0">
              <w:rPr>
                <w:b/>
                <w:i/>
                <w:vertAlign w:val="superscript"/>
              </w:rPr>
              <w:t>1</w:t>
            </w:r>
          </w:p>
        </w:tc>
      </w:tr>
      <w:tr w:rsidR="00D624B1" w:rsidRPr="00690BB0" w:rsidTr="003F2A5D">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b/>
                <w:noProof/>
                <w:szCs w:val="24"/>
              </w:rPr>
            </w:pPr>
            <w:r w:rsidRPr="00690BB0">
              <w:t xml:space="preserve">Delare för utökad körning </w:t>
            </w:r>
          </w:p>
        </w:tc>
        <w:tc>
          <w:tcPr>
            <w:tcW w:w="2832"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ind w:left="360"/>
              <w:jc w:val="center"/>
              <w:rPr>
                <w:b/>
                <w:bCs/>
                <w:noProof/>
              </w:rPr>
            </w:pPr>
            <w:r w:rsidRPr="00690BB0">
              <w:t>–</w:t>
            </w:r>
          </w:p>
        </w:tc>
        <w:tc>
          <w:tcPr>
            <w:tcW w:w="3465" w:type="dxa"/>
            <w:tcBorders>
              <w:top w:val="single" w:sz="4" w:space="0" w:color="auto"/>
              <w:left w:val="single" w:sz="4" w:space="0" w:color="auto"/>
              <w:bottom w:val="single" w:sz="4" w:space="0" w:color="auto"/>
              <w:right w:val="single" w:sz="4" w:space="0" w:color="auto"/>
            </w:tcBorders>
            <w:hideMark/>
          </w:tcPr>
          <w:p w:rsidR="00D624B1" w:rsidRPr="00690BB0" w:rsidRDefault="00D624B1" w:rsidP="004C6CBD">
            <w:pPr>
              <w:widowControl/>
              <w:rPr>
                <w:b/>
                <w:bCs/>
                <w:noProof/>
                <w:szCs w:val="24"/>
              </w:rPr>
            </w:pPr>
            <w:r w:rsidRPr="00690BB0">
              <w:t>1,6 (gäller för uppmätta utsläpp endast under den tid då ett av villkoren i denna kolumn gäller</w:t>
            </w:r>
            <w:r w:rsidRPr="00690BB0">
              <w:rPr>
                <w:b/>
                <w:bCs/>
                <w:i/>
                <w:iCs/>
              </w:rPr>
              <w:t>; data som erhållits när mer än ett av villkoren i denna kolumn gäller ska uteslutas från provningen</w:t>
            </w:r>
            <w:r w:rsidRPr="00690BB0">
              <w:t>)</w:t>
            </w:r>
            <w:bookmarkStart w:id="8" w:name="_GoBack"/>
            <w:bookmarkEnd w:id="8"/>
            <w:r w:rsidRPr="00690BB0">
              <w:rPr>
                <w:b/>
                <w:i/>
              </w:rPr>
              <w:t xml:space="preserve"> </w:t>
            </w:r>
          </w:p>
        </w:tc>
      </w:tr>
      <w:tr w:rsidR="00D624B1" w:rsidRPr="00690BB0" w:rsidTr="003F2A5D">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b/>
                <w:noProof/>
                <w:szCs w:val="24"/>
              </w:rPr>
            </w:pPr>
            <w:r w:rsidRPr="00690BB0">
              <w:t>Omgivningstemperatur</w:t>
            </w:r>
          </w:p>
        </w:tc>
        <w:tc>
          <w:tcPr>
            <w:tcW w:w="2832"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ind w:left="360"/>
              <w:jc w:val="center"/>
              <w:rPr>
                <w:b/>
                <w:bCs/>
                <w:noProof/>
              </w:rPr>
            </w:pPr>
            <w:r w:rsidRPr="00690BB0">
              <w:t xml:space="preserve">0 °C till 35 °C </w:t>
            </w:r>
          </w:p>
        </w:tc>
        <w:tc>
          <w:tcPr>
            <w:tcW w:w="3465"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ind w:left="360"/>
              <w:jc w:val="center"/>
              <w:rPr>
                <w:b/>
                <w:bCs/>
                <w:noProof/>
              </w:rPr>
            </w:pPr>
            <w:r w:rsidRPr="00690BB0">
              <w:rPr>
                <w:b/>
                <w:bCs/>
                <w:i/>
                <w:iCs/>
              </w:rPr>
              <w:t>–7 °C</w:t>
            </w:r>
            <w:r w:rsidRPr="00690BB0">
              <w:t xml:space="preserve"> till 0 °C eller 35 °C till </w:t>
            </w:r>
            <w:r w:rsidRPr="00690BB0">
              <w:rPr>
                <w:b/>
                <w:bCs/>
                <w:i/>
                <w:iCs/>
              </w:rPr>
              <w:t>38 °C</w:t>
            </w:r>
          </w:p>
        </w:tc>
      </w:tr>
      <w:tr w:rsidR="00D624B1" w:rsidRPr="00690BB0" w:rsidTr="003F2A5D">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noProof/>
                <w:kern w:val="24"/>
                <w:szCs w:val="24"/>
              </w:rPr>
            </w:pPr>
            <w:r w:rsidRPr="00690BB0">
              <w:lastRenderedPageBreak/>
              <w:t>Högsta höjd</w:t>
            </w:r>
          </w:p>
        </w:tc>
        <w:tc>
          <w:tcPr>
            <w:tcW w:w="2832"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ind w:left="360"/>
              <w:jc w:val="center"/>
              <w:rPr>
                <w:noProof/>
                <w:kern w:val="24"/>
              </w:rPr>
            </w:pPr>
            <w:r w:rsidRPr="00690BB0">
              <w:t>700 m</w:t>
            </w:r>
          </w:p>
        </w:tc>
        <w:tc>
          <w:tcPr>
            <w:tcW w:w="3465"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ind w:left="360"/>
              <w:jc w:val="center"/>
              <w:rPr>
                <w:noProof/>
                <w:kern w:val="24"/>
              </w:rPr>
            </w:pPr>
            <w:r w:rsidRPr="00690BB0">
              <w:t xml:space="preserve">Över 700 m och under </w:t>
            </w:r>
            <w:r w:rsidRPr="00690BB0">
              <w:rPr>
                <w:b/>
                <w:bCs/>
                <w:i/>
                <w:iCs/>
              </w:rPr>
              <w:t>1 300</w:t>
            </w:r>
            <w:r w:rsidRPr="00690BB0">
              <w:t xml:space="preserve"> m</w:t>
            </w:r>
          </w:p>
        </w:tc>
      </w:tr>
      <w:tr w:rsidR="00D624B1" w:rsidRPr="00690BB0" w:rsidTr="003F2A5D">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b/>
                <w:noProof/>
                <w:szCs w:val="24"/>
              </w:rPr>
            </w:pPr>
            <w:r w:rsidRPr="00690BB0">
              <w:t>Högsta hastighet</w:t>
            </w:r>
          </w:p>
        </w:tc>
        <w:tc>
          <w:tcPr>
            <w:tcW w:w="2832"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ind w:left="360"/>
              <w:jc w:val="center"/>
              <w:rPr>
                <w:b/>
                <w:bCs/>
                <w:noProof/>
              </w:rPr>
            </w:pPr>
            <w:r w:rsidRPr="00690BB0">
              <w:t xml:space="preserve">Upp till 145 km/h </w:t>
            </w:r>
          </w:p>
        </w:tc>
        <w:tc>
          <w:tcPr>
            <w:tcW w:w="3465"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ind w:left="360"/>
              <w:jc w:val="center"/>
              <w:rPr>
                <w:b/>
                <w:bCs/>
                <w:noProof/>
              </w:rPr>
            </w:pPr>
            <w:r w:rsidRPr="00690BB0">
              <w:t>Mellan 145 och 160 km/h</w:t>
            </w:r>
          </w:p>
        </w:tc>
      </w:tr>
      <w:tr w:rsidR="00D624B1" w:rsidRPr="00690BB0" w:rsidTr="003F2A5D">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b/>
                <w:noProof/>
                <w:szCs w:val="24"/>
              </w:rPr>
            </w:pPr>
            <w:r w:rsidRPr="00690BB0">
              <w:t>Bogsering/aerodynamiska ändringar</w:t>
            </w:r>
          </w:p>
        </w:tc>
        <w:tc>
          <w:tcPr>
            <w:tcW w:w="2832"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ind w:left="357"/>
              <w:jc w:val="center"/>
              <w:rPr>
                <w:b/>
                <w:bCs/>
                <w:noProof/>
              </w:rPr>
            </w:pPr>
            <w:r w:rsidRPr="00690BB0">
              <w:t>Ej tillåtet</w:t>
            </w:r>
          </w:p>
        </w:tc>
        <w:tc>
          <w:tcPr>
            <w:tcW w:w="3465"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ind w:left="357"/>
              <w:jc w:val="center"/>
              <w:rPr>
                <w:b/>
                <w:bCs/>
                <w:noProof/>
              </w:rPr>
            </w:pPr>
            <w:r w:rsidRPr="00690BB0">
              <w:t>Tillåtet enligt tillverkarens specifikationer och upp till den reglerade hastigheten</w:t>
            </w:r>
          </w:p>
        </w:tc>
      </w:tr>
      <w:tr w:rsidR="00D624B1" w:rsidRPr="00690BB0" w:rsidTr="003F2A5D">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noProof/>
                <w:kern w:val="24"/>
                <w:szCs w:val="24"/>
              </w:rPr>
            </w:pPr>
            <w:r w:rsidRPr="00690BB0">
              <w:t>Hjälputrustning</w:t>
            </w:r>
          </w:p>
        </w:tc>
        <w:tc>
          <w:tcPr>
            <w:tcW w:w="2832"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ind w:left="360"/>
              <w:jc w:val="center"/>
              <w:rPr>
                <w:rFonts w:eastAsiaTheme="minorEastAsia"/>
                <w:noProof/>
                <w:kern w:val="24"/>
              </w:rPr>
            </w:pPr>
            <w:r w:rsidRPr="00690BB0">
              <w:t>Möjligt vid normal användning</w:t>
            </w:r>
          </w:p>
        </w:tc>
        <w:tc>
          <w:tcPr>
            <w:tcW w:w="3465"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ind w:left="360"/>
              <w:jc w:val="center"/>
              <w:rPr>
                <w:rFonts w:eastAsiaTheme="minorEastAsia"/>
                <w:noProof/>
                <w:kern w:val="24"/>
              </w:rPr>
            </w:pPr>
            <w:r w:rsidRPr="00690BB0">
              <w:t>–</w:t>
            </w:r>
          </w:p>
        </w:tc>
      </w:tr>
      <w:tr w:rsidR="00D624B1" w:rsidRPr="00690BB0" w:rsidTr="003F2A5D">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b/>
                <w:noProof/>
                <w:szCs w:val="24"/>
              </w:rPr>
            </w:pPr>
            <w:r w:rsidRPr="00690BB0">
              <w:t>Högsta genomsnittliga hjuleffekt under de första 2 km efter kallstart</w:t>
            </w:r>
          </w:p>
        </w:tc>
        <w:tc>
          <w:tcPr>
            <w:tcW w:w="2832"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noProof/>
                <w:kern w:val="24"/>
                <w:szCs w:val="24"/>
              </w:rPr>
            </w:pPr>
            <w:r w:rsidRPr="00690BB0">
              <w:t>Lägre än 20 % av maximal hjuleffekt</w:t>
            </w:r>
          </w:p>
        </w:tc>
        <w:tc>
          <w:tcPr>
            <w:tcW w:w="3465"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noProof/>
                <w:kern w:val="24"/>
                <w:szCs w:val="24"/>
              </w:rPr>
            </w:pPr>
            <w:r w:rsidRPr="00690BB0">
              <w:rPr>
                <w:b/>
                <w:bCs/>
                <w:i/>
                <w:iCs/>
              </w:rPr>
              <w:t>Mellan</w:t>
            </w:r>
            <w:r w:rsidRPr="00690BB0">
              <w:t xml:space="preserve"> 20 % </w:t>
            </w:r>
            <w:r w:rsidRPr="00690BB0">
              <w:rPr>
                <w:b/>
                <w:bCs/>
                <w:i/>
                <w:iCs/>
              </w:rPr>
              <w:t>och 30 %</w:t>
            </w:r>
            <w:r w:rsidRPr="00690BB0">
              <w:t xml:space="preserve"> av maximal hjuleffekt </w:t>
            </w:r>
          </w:p>
        </w:tc>
      </w:tr>
      <w:tr w:rsidR="00D624B1" w:rsidRPr="00690BB0" w:rsidTr="003F2A5D">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noProof/>
                <w:szCs w:val="24"/>
              </w:rPr>
            </w:pPr>
            <w:r w:rsidRPr="00690BB0">
              <w:t>Trippens sammansättning</w:t>
            </w:r>
          </w:p>
        </w:tc>
        <w:tc>
          <w:tcPr>
            <w:tcW w:w="2832"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Cs/>
                <w:noProof/>
                <w:szCs w:val="24"/>
              </w:rPr>
            </w:pPr>
            <w:r w:rsidRPr="00690BB0">
              <w:t>Vilken som helst</w:t>
            </w:r>
            <w:r w:rsidRPr="00690BB0">
              <w:rPr>
                <w:b/>
                <w:bCs/>
                <w:i/>
                <w:iCs/>
              </w:rPr>
              <w:t>, vid normal användning</w:t>
            </w:r>
            <w:r w:rsidRPr="00690BB0">
              <w:rPr>
                <w:b/>
                <w:bCs/>
                <w:i/>
                <w:iCs/>
                <w:vertAlign w:val="superscript"/>
              </w:rPr>
              <w:t>2</w:t>
            </w:r>
            <w:r w:rsidRPr="00690BB0">
              <w:rPr>
                <w:b/>
                <w:bCs/>
                <w:i/>
                <w:iCs/>
              </w:rPr>
              <w:t xml:space="preserve"> och utom partisk körning</w:t>
            </w:r>
          </w:p>
        </w:tc>
        <w:tc>
          <w:tcPr>
            <w:tcW w:w="3465"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
                <w:i/>
                <w:szCs w:val="24"/>
              </w:rPr>
            </w:pPr>
            <w:r w:rsidRPr="00690BB0">
              <w:rPr>
                <w:b/>
                <w:i/>
              </w:rPr>
              <w:t>Vilken som helst</w:t>
            </w:r>
            <w:r w:rsidRPr="00690BB0">
              <w:rPr>
                <w:b/>
                <w:bCs/>
                <w:i/>
                <w:iCs/>
              </w:rPr>
              <w:t>, vid normal användning</w:t>
            </w:r>
            <w:r w:rsidRPr="00690BB0">
              <w:rPr>
                <w:b/>
                <w:bCs/>
                <w:i/>
                <w:iCs/>
                <w:vertAlign w:val="superscript"/>
              </w:rPr>
              <w:t>2</w:t>
            </w:r>
            <w:r w:rsidRPr="00690BB0">
              <w:rPr>
                <w:b/>
                <w:bCs/>
                <w:i/>
                <w:iCs/>
              </w:rPr>
              <w:t xml:space="preserve"> och utom partisk körning</w:t>
            </w:r>
          </w:p>
        </w:tc>
      </w:tr>
      <w:tr w:rsidR="00D624B1" w:rsidRPr="00690BB0" w:rsidTr="003F2A5D">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noProof/>
                <w:kern w:val="24"/>
                <w:szCs w:val="24"/>
              </w:rPr>
            </w:pPr>
            <w:r w:rsidRPr="00690BB0">
              <w:t>Minsta körsträcka</w:t>
            </w:r>
          </w:p>
        </w:tc>
        <w:tc>
          <w:tcPr>
            <w:tcW w:w="2832"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ind w:left="360"/>
              <w:jc w:val="center"/>
              <w:rPr>
                <w:noProof/>
                <w:kern w:val="24"/>
              </w:rPr>
            </w:pPr>
            <w:r w:rsidRPr="00690BB0">
              <w:t>10 000 km</w:t>
            </w:r>
          </w:p>
        </w:tc>
        <w:tc>
          <w:tcPr>
            <w:tcW w:w="3465"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ind w:left="360"/>
              <w:jc w:val="center"/>
              <w:rPr>
                <w:noProof/>
                <w:kern w:val="24"/>
              </w:rPr>
            </w:pPr>
            <w:r w:rsidRPr="00690BB0">
              <w:t>Mellan 3 000 och 10 000 km</w:t>
            </w:r>
          </w:p>
        </w:tc>
      </w:tr>
      <w:tr w:rsidR="00D624B1" w:rsidRPr="00690BB0" w:rsidTr="003F2A5D">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b/>
                <w:bCs/>
                <w:i/>
                <w:noProof/>
                <w:sz w:val="20"/>
              </w:rPr>
            </w:pPr>
            <w:r w:rsidRPr="00690BB0">
              <w:rPr>
                <w:b/>
                <w:i/>
                <w:sz w:val="20"/>
                <w:vertAlign w:val="superscript"/>
              </w:rPr>
              <w:t>1</w:t>
            </w:r>
            <w:r w:rsidRPr="00690BB0">
              <w:rPr>
                <w:b/>
                <w:i/>
                <w:sz w:val="20"/>
              </w:rPr>
              <w:t xml:space="preserve"> Endast en kombination av två utökade temperatur- och höjdförhållanden ska tillåtas.</w:t>
            </w:r>
          </w:p>
          <w:p w:rsidR="00D624B1" w:rsidRPr="00690BB0" w:rsidRDefault="00D624B1" w:rsidP="003F2A5D">
            <w:pPr>
              <w:widowControl/>
              <w:jc w:val="both"/>
              <w:rPr>
                <w:b/>
                <w:bCs/>
                <w:i/>
                <w:noProof/>
              </w:rPr>
            </w:pPr>
            <w:r w:rsidRPr="00690BB0">
              <w:rPr>
                <w:b/>
                <w:i/>
                <w:sz w:val="20"/>
                <w:vertAlign w:val="superscript"/>
              </w:rPr>
              <w:t>2</w:t>
            </w:r>
            <w:r w:rsidRPr="00690BB0">
              <w:rPr>
                <w:b/>
                <w:i/>
                <w:sz w:val="20"/>
              </w:rPr>
              <w:t xml:space="preserve"> Vid normal användning avser trippdynamiken i bilaga 9 till FN-föreskrift nr 168.</w:t>
            </w:r>
          </w:p>
        </w:tc>
      </w:tr>
    </w:tbl>
    <w:p w:rsidR="00D624B1" w:rsidRPr="00690BB0" w:rsidRDefault="00D624B1" w:rsidP="00D624B1">
      <w:pPr>
        <w:widowControl/>
      </w:pPr>
    </w:p>
    <w:p w:rsidR="00D624B1" w:rsidRPr="00690BB0" w:rsidRDefault="007B7831" w:rsidP="00D624B1">
      <w:pPr>
        <w:pStyle w:val="AmNumberTabs"/>
        <w:keepNext/>
        <w:widowControl/>
      </w:pPr>
      <w:r w:rsidRPr="00690BB0">
        <w:t>Ändring</w:t>
      </w:r>
      <w:r w:rsidR="00D624B1" w:rsidRPr="00690BB0">
        <w:tab/>
      </w:r>
      <w:r w:rsidR="00D624B1" w:rsidRPr="00690BB0">
        <w:tab/>
        <w:t>160</w:t>
      </w:r>
    </w:p>
    <w:p w:rsidR="00D624B1" w:rsidRPr="00690BB0" w:rsidRDefault="00D624B1" w:rsidP="00D624B1">
      <w:pPr>
        <w:pStyle w:val="NormalBold12b"/>
        <w:widowControl/>
      </w:pPr>
      <w:r w:rsidRPr="00690BB0">
        <w:t>Förslag till förordning</w:t>
      </w:r>
    </w:p>
    <w:p w:rsidR="00D624B1" w:rsidRPr="00690BB0" w:rsidRDefault="00D624B1" w:rsidP="00D624B1">
      <w:pPr>
        <w:pStyle w:val="NormalBold"/>
        <w:keepNext/>
        <w:widowControl/>
      </w:pPr>
      <w:r w:rsidRPr="00690BB0">
        <w:t>Bilaga III – tabell 2</w:t>
      </w:r>
    </w:p>
    <w:tbl>
      <w:tblPr>
        <w:tblStyle w:val="CV11"/>
        <w:tblW w:w="0" w:type="auto"/>
        <w:tblLook w:val="04A0" w:firstRow="1" w:lastRow="0" w:firstColumn="1" w:lastColumn="0" w:noHBand="0" w:noVBand="1"/>
      </w:tblPr>
      <w:tblGrid>
        <w:gridCol w:w="2803"/>
        <w:gridCol w:w="3086"/>
        <w:gridCol w:w="3171"/>
      </w:tblGrid>
      <w:tr w:rsidR="00D624B1" w:rsidRPr="00690BB0" w:rsidTr="003F2A5D">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ind w:left="360"/>
              <w:jc w:val="center"/>
              <w:rPr>
                <w:i/>
                <w:noProof/>
              </w:rPr>
            </w:pPr>
            <w:r w:rsidRPr="00690BB0">
              <w:rPr>
                <w:i/>
              </w:rPr>
              <w:t>Kommissionens förslag</w:t>
            </w:r>
          </w:p>
        </w:tc>
      </w:tr>
      <w:tr w:rsidR="00D624B1" w:rsidRPr="00690BB0" w:rsidTr="003F2A5D">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rFonts w:eastAsiaTheme="minorEastAsia"/>
                <w:noProof/>
                <w:kern w:val="24"/>
                <w:szCs w:val="24"/>
              </w:rPr>
            </w:pPr>
            <w:r w:rsidRPr="00690BB0">
              <w:t>Tabell 2: Villkor för provning av huruvida fordon av kategorierna M</w:t>
            </w:r>
            <w:r w:rsidRPr="00690BB0">
              <w:rPr>
                <w:vertAlign w:val="subscript"/>
              </w:rPr>
              <w:t>2</w:t>
            </w:r>
            <w:r w:rsidRPr="00690BB0">
              <w:t>, M</w:t>
            </w:r>
            <w:r w:rsidRPr="00690BB0">
              <w:rPr>
                <w:vertAlign w:val="subscript"/>
              </w:rPr>
              <w:t>3</w:t>
            </w:r>
            <w:r w:rsidRPr="00690BB0">
              <w:t>, N</w:t>
            </w:r>
            <w:r w:rsidRPr="00690BB0">
              <w:rPr>
                <w:vertAlign w:val="subscript"/>
              </w:rPr>
              <w:t>2</w:t>
            </w:r>
            <w:r w:rsidRPr="00690BB0">
              <w:t xml:space="preserve"> och N</w:t>
            </w:r>
            <w:r w:rsidRPr="00690BB0">
              <w:rPr>
                <w:vertAlign w:val="subscript"/>
              </w:rPr>
              <w:t>3</w:t>
            </w:r>
            <w:r w:rsidRPr="00690BB0">
              <w:t xml:space="preserve"> uppfyller gränsvärdena för avgasutsläpp med alla bränslen och smörjmedel på marknaden enligt de specifikationer som utfärdats av fordonstillverkaren</w:t>
            </w:r>
          </w:p>
        </w:tc>
      </w:tr>
      <w:tr w:rsidR="00D624B1" w:rsidRPr="00690BB0" w:rsidTr="003F2A5D">
        <w:trPr>
          <w:trHeight w:val="312"/>
        </w:trPr>
        <w:tc>
          <w:tcPr>
            <w:tcW w:w="2319"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
                <w:i/>
                <w:noProof/>
                <w:kern w:val="24"/>
                <w:szCs w:val="24"/>
              </w:rPr>
            </w:pPr>
            <w:r w:rsidRPr="00690BB0">
              <w:rPr>
                <w:b/>
                <w:i/>
              </w:rPr>
              <w:t>Parameter</w:t>
            </w:r>
          </w:p>
        </w:tc>
        <w:tc>
          <w:tcPr>
            <w:tcW w:w="3333"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ind w:left="360"/>
              <w:jc w:val="center"/>
              <w:rPr>
                <w:b/>
                <w:i/>
                <w:noProof/>
                <w:kern w:val="24"/>
              </w:rPr>
            </w:pPr>
            <w:r w:rsidRPr="00690BB0">
              <w:rPr>
                <w:b/>
                <w:i/>
              </w:rPr>
              <w:t xml:space="preserve">Normala körförhållanden </w:t>
            </w:r>
          </w:p>
        </w:tc>
        <w:tc>
          <w:tcPr>
            <w:tcW w:w="3408"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ind w:left="360"/>
              <w:jc w:val="center"/>
              <w:rPr>
                <w:b/>
                <w:i/>
                <w:noProof/>
                <w:kern w:val="24"/>
              </w:rPr>
            </w:pPr>
            <w:r w:rsidRPr="00690BB0">
              <w:rPr>
                <w:b/>
                <w:i/>
              </w:rPr>
              <w:t>Utökade körförhållanden*</w:t>
            </w:r>
          </w:p>
        </w:tc>
      </w:tr>
      <w:tr w:rsidR="00D624B1" w:rsidRPr="00690BB0" w:rsidTr="003F2A5D">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b/>
                <w:i/>
                <w:noProof/>
                <w:szCs w:val="24"/>
              </w:rPr>
            </w:pPr>
            <w:r w:rsidRPr="00690BB0">
              <w:rPr>
                <w:b/>
                <w:i/>
              </w:rPr>
              <w:t>Delare för utökad körning</w:t>
            </w:r>
          </w:p>
        </w:tc>
        <w:tc>
          <w:tcPr>
            <w:tcW w:w="3333"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
                <w:i/>
                <w:noProof/>
                <w:szCs w:val="24"/>
              </w:rPr>
            </w:pPr>
            <w:r w:rsidRPr="00690BB0">
              <w:rPr>
                <w:b/>
                <w:i/>
              </w:rPr>
              <w:t>–</w:t>
            </w:r>
          </w:p>
        </w:tc>
        <w:tc>
          <w:tcPr>
            <w:tcW w:w="3408"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
                <w:i/>
                <w:noProof/>
                <w:szCs w:val="24"/>
              </w:rPr>
            </w:pPr>
            <w:r w:rsidRPr="00690BB0">
              <w:rPr>
                <w:b/>
                <w:i/>
              </w:rPr>
              <w:t>2 (gäller för uppmätta utsläpp endast under den tid då ett av villkoren i denna kolumn gäller)</w:t>
            </w:r>
          </w:p>
        </w:tc>
      </w:tr>
      <w:tr w:rsidR="00D624B1" w:rsidRPr="00690BB0" w:rsidTr="003F2A5D">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rFonts w:eastAsiaTheme="minorEastAsia"/>
                <w:b/>
                <w:i/>
                <w:noProof/>
                <w:kern w:val="24"/>
                <w:szCs w:val="24"/>
              </w:rPr>
            </w:pPr>
            <w:r w:rsidRPr="00690BB0">
              <w:rPr>
                <w:b/>
                <w:i/>
              </w:rPr>
              <w:t>Omgivningstemperatur</w:t>
            </w:r>
          </w:p>
        </w:tc>
        <w:tc>
          <w:tcPr>
            <w:tcW w:w="3333"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
                <w:i/>
                <w:noProof/>
                <w:kern w:val="24"/>
                <w:szCs w:val="24"/>
              </w:rPr>
            </w:pPr>
            <w:r w:rsidRPr="00690BB0">
              <w:rPr>
                <w:b/>
                <w:i/>
              </w:rPr>
              <w:t>-7 °C till 35 °C</w:t>
            </w:r>
          </w:p>
        </w:tc>
        <w:tc>
          <w:tcPr>
            <w:tcW w:w="3408"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
                <w:i/>
                <w:noProof/>
                <w:kern w:val="24"/>
                <w:szCs w:val="24"/>
              </w:rPr>
            </w:pPr>
            <w:r w:rsidRPr="00690BB0">
              <w:rPr>
                <w:b/>
                <w:i/>
              </w:rPr>
              <w:t>–10 °C till -7 °C eller 35 °C till 45 °C</w:t>
            </w:r>
          </w:p>
        </w:tc>
      </w:tr>
      <w:tr w:rsidR="00D624B1" w:rsidRPr="00690BB0" w:rsidTr="003F2A5D">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b/>
                <w:i/>
                <w:noProof/>
                <w:szCs w:val="24"/>
              </w:rPr>
            </w:pPr>
            <w:r w:rsidRPr="00690BB0">
              <w:rPr>
                <w:b/>
                <w:i/>
              </w:rPr>
              <w:t>Högsta höjd</w:t>
            </w:r>
          </w:p>
        </w:tc>
        <w:tc>
          <w:tcPr>
            <w:tcW w:w="3333"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
                <w:i/>
                <w:noProof/>
                <w:szCs w:val="24"/>
              </w:rPr>
            </w:pPr>
            <w:r w:rsidRPr="00690BB0">
              <w:rPr>
                <w:b/>
                <w:i/>
              </w:rPr>
              <w:t>1 600 m</w:t>
            </w:r>
          </w:p>
        </w:tc>
        <w:tc>
          <w:tcPr>
            <w:tcW w:w="3408"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
                <w:i/>
                <w:noProof/>
                <w:szCs w:val="24"/>
              </w:rPr>
            </w:pPr>
            <w:r w:rsidRPr="00690BB0">
              <w:rPr>
                <w:b/>
                <w:i/>
              </w:rPr>
              <w:t>Från 1 600 till 1 800 m</w:t>
            </w:r>
          </w:p>
        </w:tc>
      </w:tr>
      <w:tr w:rsidR="00D624B1" w:rsidRPr="00690BB0" w:rsidTr="003F2A5D">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rFonts w:eastAsiaTheme="minorEastAsia"/>
                <w:b/>
                <w:i/>
                <w:noProof/>
                <w:kern w:val="24"/>
                <w:szCs w:val="24"/>
              </w:rPr>
            </w:pPr>
            <w:r w:rsidRPr="00690BB0">
              <w:rPr>
                <w:b/>
                <w:i/>
              </w:rPr>
              <w:t>Bogsering/aerodynamiska ändringar</w:t>
            </w:r>
          </w:p>
        </w:tc>
        <w:tc>
          <w:tcPr>
            <w:tcW w:w="3333"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
                <w:i/>
                <w:noProof/>
                <w:kern w:val="24"/>
                <w:szCs w:val="24"/>
              </w:rPr>
            </w:pPr>
            <w:r w:rsidRPr="00690BB0">
              <w:rPr>
                <w:b/>
                <w:i/>
              </w:rPr>
              <w:t>Ej tillåtet</w:t>
            </w:r>
          </w:p>
        </w:tc>
        <w:tc>
          <w:tcPr>
            <w:tcW w:w="3408"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
                <w:i/>
                <w:noProof/>
                <w:kern w:val="24"/>
                <w:szCs w:val="24"/>
              </w:rPr>
            </w:pPr>
            <w:r w:rsidRPr="00690BB0">
              <w:rPr>
                <w:b/>
                <w:i/>
              </w:rPr>
              <w:t xml:space="preserve">Tillåtet enligt tillverkarens specifikationer och upp till den reglerade hastigheten </w:t>
            </w:r>
          </w:p>
        </w:tc>
      </w:tr>
      <w:tr w:rsidR="00D624B1" w:rsidRPr="00690BB0" w:rsidTr="003F2A5D">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rFonts w:eastAsiaTheme="minorEastAsia"/>
                <w:b/>
                <w:i/>
                <w:noProof/>
                <w:kern w:val="24"/>
                <w:szCs w:val="24"/>
              </w:rPr>
            </w:pPr>
            <w:r w:rsidRPr="00690BB0">
              <w:rPr>
                <w:b/>
                <w:i/>
              </w:rPr>
              <w:t>Fordonets nyttolast</w:t>
            </w:r>
          </w:p>
        </w:tc>
        <w:tc>
          <w:tcPr>
            <w:tcW w:w="3333"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
                <w:i/>
                <w:noProof/>
                <w:kern w:val="24"/>
                <w:szCs w:val="24"/>
              </w:rPr>
            </w:pPr>
            <w:r w:rsidRPr="00690BB0">
              <w:rPr>
                <w:b/>
                <w:i/>
              </w:rPr>
              <w:t>Högre än eller lika med 10 %</w:t>
            </w:r>
          </w:p>
        </w:tc>
        <w:tc>
          <w:tcPr>
            <w:tcW w:w="3408"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
                <w:i/>
                <w:noProof/>
                <w:kern w:val="24"/>
                <w:szCs w:val="24"/>
              </w:rPr>
            </w:pPr>
            <w:r w:rsidRPr="00690BB0">
              <w:rPr>
                <w:b/>
                <w:i/>
              </w:rPr>
              <w:t>Mindre än 10 %</w:t>
            </w:r>
          </w:p>
        </w:tc>
      </w:tr>
      <w:tr w:rsidR="00D624B1" w:rsidRPr="00690BB0" w:rsidTr="003F2A5D">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rFonts w:eastAsiaTheme="minorEastAsia"/>
                <w:b/>
                <w:i/>
                <w:noProof/>
                <w:kern w:val="24"/>
                <w:szCs w:val="24"/>
              </w:rPr>
            </w:pPr>
            <w:r w:rsidRPr="00690BB0">
              <w:rPr>
                <w:b/>
                <w:i/>
              </w:rPr>
              <w:t>Hjälputrustning</w:t>
            </w:r>
          </w:p>
        </w:tc>
        <w:tc>
          <w:tcPr>
            <w:tcW w:w="3333"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
                <w:i/>
                <w:noProof/>
                <w:kern w:val="24"/>
                <w:szCs w:val="24"/>
              </w:rPr>
            </w:pPr>
            <w:r w:rsidRPr="00690BB0">
              <w:rPr>
                <w:b/>
                <w:i/>
              </w:rPr>
              <w:t>Möjligt vid normal användning</w:t>
            </w:r>
          </w:p>
        </w:tc>
        <w:tc>
          <w:tcPr>
            <w:tcW w:w="3408"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
                <w:i/>
                <w:noProof/>
                <w:kern w:val="24"/>
                <w:szCs w:val="24"/>
              </w:rPr>
            </w:pPr>
            <w:r w:rsidRPr="00690BB0">
              <w:rPr>
                <w:b/>
                <w:i/>
              </w:rPr>
              <w:t>–</w:t>
            </w:r>
          </w:p>
        </w:tc>
      </w:tr>
      <w:tr w:rsidR="00D624B1" w:rsidRPr="00690BB0" w:rsidTr="003F2A5D">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b/>
                <w:i/>
                <w:noProof/>
                <w:szCs w:val="24"/>
              </w:rPr>
            </w:pPr>
            <w:r w:rsidRPr="00690BB0">
              <w:rPr>
                <w:b/>
                <w:i/>
              </w:rPr>
              <w:t>Förbränningsmotorns last vid kallstart</w:t>
            </w:r>
          </w:p>
        </w:tc>
        <w:tc>
          <w:tcPr>
            <w:tcW w:w="3333"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
                <w:i/>
                <w:noProof/>
                <w:szCs w:val="24"/>
              </w:rPr>
            </w:pPr>
            <w:r w:rsidRPr="00690BB0">
              <w:rPr>
                <w:b/>
                <w:i/>
              </w:rPr>
              <w:t>Vilken som helst</w:t>
            </w:r>
          </w:p>
        </w:tc>
        <w:tc>
          <w:tcPr>
            <w:tcW w:w="3408"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
                <w:i/>
                <w:noProof/>
                <w:szCs w:val="24"/>
              </w:rPr>
            </w:pPr>
            <w:r w:rsidRPr="00690BB0">
              <w:rPr>
                <w:b/>
                <w:i/>
              </w:rPr>
              <w:t>–</w:t>
            </w:r>
          </w:p>
        </w:tc>
      </w:tr>
      <w:tr w:rsidR="00D624B1" w:rsidRPr="00690BB0" w:rsidTr="003F2A5D">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b/>
                <w:i/>
                <w:noProof/>
                <w:szCs w:val="24"/>
              </w:rPr>
            </w:pPr>
            <w:r w:rsidRPr="00690BB0">
              <w:rPr>
                <w:b/>
                <w:i/>
              </w:rPr>
              <w:t>Trippens sammansättning</w:t>
            </w:r>
          </w:p>
        </w:tc>
        <w:tc>
          <w:tcPr>
            <w:tcW w:w="3333"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
                <w:i/>
                <w:noProof/>
                <w:szCs w:val="24"/>
              </w:rPr>
            </w:pPr>
            <w:r w:rsidRPr="00690BB0">
              <w:rPr>
                <w:b/>
                <w:i/>
              </w:rPr>
              <w:t xml:space="preserve">Som vid normal användning </w:t>
            </w:r>
          </w:p>
        </w:tc>
        <w:tc>
          <w:tcPr>
            <w:tcW w:w="3408"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
                <w:i/>
                <w:noProof/>
                <w:szCs w:val="24"/>
              </w:rPr>
            </w:pPr>
            <w:r w:rsidRPr="00690BB0">
              <w:rPr>
                <w:b/>
                <w:i/>
              </w:rPr>
              <w:t>–</w:t>
            </w:r>
          </w:p>
        </w:tc>
      </w:tr>
      <w:tr w:rsidR="00D624B1" w:rsidRPr="00690BB0" w:rsidTr="003F2A5D">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D624B1" w:rsidRPr="00690BB0" w:rsidRDefault="00D624B1" w:rsidP="003F2A5D">
            <w:pPr>
              <w:widowControl/>
              <w:jc w:val="center"/>
              <w:rPr>
                <w:rFonts w:eastAsiaTheme="minorEastAsia"/>
                <w:b/>
                <w:i/>
                <w:noProof/>
                <w:kern w:val="24"/>
                <w:szCs w:val="24"/>
              </w:rPr>
            </w:pPr>
            <w:r w:rsidRPr="00690BB0">
              <w:rPr>
                <w:b/>
                <w:i/>
              </w:rPr>
              <w:t>Minsta körsträcka</w:t>
            </w:r>
          </w:p>
        </w:tc>
        <w:tc>
          <w:tcPr>
            <w:tcW w:w="3333"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
                <w:i/>
                <w:noProof/>
                <w:kern w:val="24"/>
                <w:szCs w:val="24"/>
              </w:rPr>
            </w:pPr>
            <w:r w:rsidRPr="00690BB0">
              <w:rPr>
                <w:b/>
                <w:i/>
              </w:rPr>
              <w:t>5 000 km för &lt; 16 ton TPMLM 10 000 km för &gt; 16 ton TPMLM</w:t>
            </w:r>
          </w:p>
        </w:tc>
        <w:tc>
          <w:tcPr>
            <w:tcW w:w="3408"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jc w:val="center"/>
              <w:rPr>
                <w:b/>
                <w:i/>
              </w:rPr>
            </w:pPr>
            <w:r w:rsidRPr="00690BB0">
              <w:rPr>
                <w:b/>
                <w:i/>
              </w:rPr>
              <w:t xml:space="preserve">Mellan 3 000 km och 5 000 km för &lt; 16 ton TPMLM </w:t>
            </w:r>
            <w:r w:rsidRPr="00690BB0">
              <w:rPr>
                <w:b/>
                <w:i/>
              </w:rPr>
              <w:lastRenderedPageBreak/>
              <w:t>Mellan 3 000 km och 10 000 km för &gt; 16 ton TPMLM</w:t>
            </w:r>
          </w:p>
        </w:tc>
      </w:tr>
    </w:tbl>
    <w:p w:rsidR="00D624B1" w:rsidRPr="00690BB0" w:rsidRDefault="00D624B1" w:rsidP="00D624B1">
      <w:pPr>
        <w:pStyle w:val="AmOrLang"/>
        <w:widowControl/>
      </w:pPr>
    </w:p>
    <w:p w:rsidR="00D624B1" w:rsidRPr="00690BB0" w:rsidRDefault="00D624B1" w:rsidP="00D624B1">
      <w:pPr>
        <w:pStyle w:val="AmOrLang"/>
        <w:widowControl/>
      </w:pPr>
    </w:p>
    <w:tbl>
      <w:tblPr>
        <w:tblStyle w:val="CV11"/>
        <w:tblW w:w="0" w:type="auto"/>
        <w:tblLook w:val="04A0" w:firstRow="1" w:lastRow="0" w:firstColumn="1" w:lastColumn="0" w:noHBand="0" w:noVBand="1"/>
      </w:tblPr>
      <w:tblGrid>
        <w:gridCol w:w="4376"/>
        <w:gridCol w:w="4684"/>
      </w:tblGrid>
      <w:tr w:rsidR="00D624B1" w:rsidRPr="00690BB0" w:rsidTr="003F2A5D">
        <w:trPr>
          <w:trHeight w:val="312"/>
        </w:trPr>
        <w:tc>
          <w:tcPr>
            <w:tcW w:w="9060" w:type="dxa"/>
            <w:gridSpan w:val="2"/>
            <w:tcBorders>
              <w:top w:val="single" w:sz="4" w:space="0" w:color="auto"/>
              <w:left w:val="single" w:sz="4" w:space="0" w:color="auto"/>
              <w:bottom w:val="single" w:sz="4" w:space="0" w:color="auto"/>
              <w:right w:val="single" w:sz="4" w:space="0" w:color="auto"/>
            </w:tcBorders>
          </w:tcPr>
          <w:p w:rsidR="00D624B1" w:rsidRPr="00690BB0" w:rsidRDefault="007B7831" w:rsidP="003F2A5D">
            <w:pPr>
              <w:widowControl/>
              <w:ind w:left="360"/>
              <w:jc w:val="center"/>
              <w:rPr>
                <w:i/>
                <w:noProof/>
              </w:rPr>
            </w:pPr>
            <w:r w:rsidRPr="00690BB0">
              <w:rPr>
                <w:i/>
              </w:rPr>
              <w:t>Ändring</w:t>
            </w:r>
          </w:p>
        </w:tc>
      </w:tr>
      <w:tr w:rsidR="00D624B1" w:rsidRPr="00690BB0" w:rsidTr="003F2A5D">
        <w:trPr>
          <w:trHeight w:val="312"/>
        </w:trPr>
        <w:tc>
          <w:tcPr>
            <w:tcW w:w="9060" w:type="dxa"/>
            <w:gridSpan w:val="2"/>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rFonts w:eastAsiaTheme="minorEastAsia"/>
                <w:noProof/>
                <w:kern w:val="24"/>
                <w:szCs w:val="24"/>
              </w:rPr>
            </w:pPr>
            <w:r w:rsidRPr="00690BB0">
              <w:t>Tabell 2: Villkor för provning av huruvida fordon av kategorierna M</w:t>
            </w:r>
            <w:r w:rsidRPr="00690BB0">
              <w:rPr>
                <w:vertAlign w:val="subscript"/>
              </w:rPr>
              <w:t>2</w:t>
            </w:r>
            <w:r w:rsidRPr="00690BB0">
              <w:t>, M</w:t>
            </w:r>
            <w:r w:rsidRPr="00690BB0">
              <w:rPr>
                <w:vertAlign w:val="subscript"/>
              </w:rPr>
              <w:t>3</w:t>
            </w:r>
            <w:r w:rsidRPr="00690BB0">
              <w:t>, N</w:t>
            </w:r>
            <w:r w:rsidRPr="00690BB0">
              <w:rPr>
                <w:vertAlign w:val="subscript"/>
              </w:rPr>
              <w:t>2</w:t>
            </w:r>
            <w:r w:rsidRPr="00690BB0">
              <w:t xml:space="preserve"> och N</w:t>
            </w:r>
            <w:r w:rsidRPr="00690BB0">
              <w:rPr>
                <w:vertAlign w:val="subscript"/>
              </w:rPr>
              <w:t>3</w:t>
            </w:r>
            <w:r w:rsidRPr="00690BB0">
              <w:t xml:space="preserve"> uppfyller gränsvärdena för avgasutsläpp med alla bränslen och smörjmedel på marknaden enligt de specifikationer som utfärdats av fordonstillverkaren</w:t>
            </w:r>
          </w:p>
        </w:tc>
      </w:tr>
      <w:tr w:rsidR="00D624B1" w:rsidRPr="00690BB0" w:rsidTr="003F2A5D">
        <w:trPr>
          <w:trHeight w:val="312"/>
        </w:trPr>
        <w:tc>
          <w:tcPr>
            <w:tcW w:w="4376" w:type="dxa"/>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spacing w:before="60" w:after="60"/>
              <w:jc w:val="center"/>
              <w:rPr>
                <w:b/>
                <w:bCs/>
                <w:i/>
                <w:sz w:val="22"/>
                <w:szCs w:val="22"/>
              </w:rPr>
            </w:pPr>
            <w:r w:rsidRPr="00690BB0">
              <w:rPr>
                <w:b/>
                <w:i/>
                <w:sz w:val="22"/>
              </w:rPr>
              <w:t>Mätning av avgasutsläpp i laboratorium</w:t>
            </w:r>
          </w:p>
        </w:tc>
        <w:tc>
          <w:tcPr>
            <w:tcW w:w="4684" w:type="dxa"/>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spacing w:before="60" w:after="60"/>
              <w:jc w:val="center"/>
              <w:rPr>
                <w:rFonts w:ascii="Calibri" w:hAnsi="Calibri" w:cs="Calibri"/>
                <w:b/>
                <w:bCs/>
                <w:i/>
                <w:sz w:val="22"/>
                <w:szCs w:val="22"/>
              </w:rPr>
            </w:pPr>
            <w:r w:rsidRPr="00690BB0">
              <w:rPr>
                <w:b/>
                <w:i/>
                <w:sz w:val="22"/>
              </w:rPr>
              <w:t>Mätning av utsläpp vid verklig körning (RDE)</w:t>
            </w:r>
          </w:p>
        </w:tc>
      </w:tr>
      <w:tr w:rsidR="00D624B1" w:rsidRPr="00690BB0" w:rsidTr="003F2A5D">
        <w:trPr>
          <w:trHeight w:val="312"/>
        </w:trPr>
        <w:tc>
          <w:tcPr>
            <w:tcW w:w="4376" w:type="dxa"/>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spacing w:before="60" w:after="60"/>
              <w:rPr>
                <w:b/>
                <w:bCs/>
                <w:i/>
                <w:sz w:val="22"/>
                <w:szCs w:val="22"/>
              </w:rPr>
            </w:pPr>
            <w:r w:rsidRPr="00690BB0">
              <w:rPr>
                <w:b/>
                <w:i/>
                <w:sz w:val="22"/>
              </w:rPr>
              <w:t>För alla provningar av avgasutsläpp som genomförs med WHTC/WHSC-provningscykeln för motorprovningsbänk ska bestämmelserna i FN-föreskrift nr 49</w:t>
            </w:r>
            <w:r w:rsidRPr="00690BB0">
              <w:rPr>
                <w:b/>
                <w:i/>
                <w:sz w:val="22"/>
                <w:vertAlign w:val="superscript"/>
              </w:rPr>
              <w:t>1</w:t>
            </w:r>
            <w:r w:rsidRPr="00690BB0">
              <w:rPr>
                <w:b/>
                <w:i/>
                <w:sz w:val="22"/>
              </w:rPr>
              <w:t>, bilaga 4 gälla.</w:t>
            </w:r>
          </w:p>
        </w:tc>
        <w:tc>
          <w:tcPr>
            <w:tcW w:w="4684" w:type="dxa"/>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spacing w:before="60" w:after="60"/>
              <w:rPr>
                <w:b/>
                <w:bCs/>
                <w:i/>
                <w:sz w:val="22"/>
                <w:szCs w:val="22"/>
              </w:rPr>
            </w:pPr>
            <w:r w:rsidRPr="00690BB0">
              <w:rPr>
                <w:b/>
                <w:i/>
                <w:sz w:val="22"/>
              </w:rPr>
              <w:t>Bestämmelserna i FN-föreskrift nr 49</w:t>
            </w:r>
            <w:r w:rsidRPr="00690BB0">
              <w:rPr>
                <w:b/>
                <w:i/>
                <w:sz w:val="22"/>
                <w:vertAlign w:val="superscript"/>
              </w:rPr>
              <w:t>2</w:t>
            </w:r>
            <w:r w:rsidRPr="00690BB0">
              <w:rPr>
                <w:b/>
                <w:i/>
                <w:sz w:val="22"/>
              </w:rPr>
              <w:t xml:space="preserve">, bilaga 8 ska gälla, </w:t>
            </w:r>
            <w:r w:rsidRPr="00690BB0">
              <w:rPr>
                <w:b/>
                <w:i/>
                <w:sz w:val="22"/>
                <w:u w:val="single"/>
              </w:rPr>
              <w:t>förutom vad gäller följande</w:t>
            </w:r>
            <w:r w:rsidRPr="00690BB0">
              <w:rPr>
                <w:b/>
                <w:i/>
                <w:sz w:val="22"/>
              </w:rPr>
              <w:t>:</w:t>
            </w:r>
          </w:p>
          <w:p w:rsidR="00D624B1" w:rsidRPr="00690BB0" w:rsidRDefault="00D624B1" w:rsidP="003F2A5D">
            <w:pPr>
              <w:widowControl/>
              <w:spacing w:before="60" w:after="60"/>
              <w:rPr>
                <w:b/>
                <w:bCs/>
                <w:i/>
                <w:sz w:val="22"/>
                <w:szCs w:val="22"/>
              </w:rPr>
            </w:pPr>
            <w:r w:rsidRPr="00690BB0">
              <w:rPr>
                <w:b/>
                <w:i/>
                <w:sz w:val="22"/>
              </w:rPr>
              <w:t>• Effektgränsen i tabell 1 i bilaga III är 0 %. För fönster där effekten är under 6 % används 6 % för beräkningar.</w:t>
            </w:r>
          </w:p>
          <w:p w:rsidR="00D624B1" w:rsidRPr="00690BB0" w:rsidRDefault="00D624B1" w:rsidP="003F2A5D">
            <w:pPr>
              <w:widowControl/>
              <w:spacing w:before="60" w:after="60"/>
              <w:rPr>
                <w:b/>
                <w:bCs/>
                <w:i/>
                <w:sz w:val="22"/>
                <w:szCs w:val="22"/>
              </w:rPr>
            </w:pPr>
            <w:r w:rsidRPr="00690BB0">
              <w:rPr>
                <w:b/>
                <w:i/>
                <w:sz w:val="22"/>
              </w:rPr>
              <w:t xml:space="preserve">• Faktorn för överensstämmelse i tabell 2 i punkt 6.3, när värdet = 1,0 används för alla föroreningar. De tillämpliga gränsvärdena är de verkliga RDE-gränsvärdena i tabell 2 i bilaga I. </w:t>
            </w:r>
          </w:p>
        </w:tc>
      </w:tr>
      <w:tr w:rsidR="00D624B1" w:rsidRPr="00690BB0" w:rsidTr="003F2A5D">
        <w:trPr>
          <w:trHeight w:val="312"/>
        </w:trPr>
        <w:tc>
          <w:tcPr>
            <w:tcW w:w="9060" w:type="dxa"/>
            <w:gridSpan w:val="2"/>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spacing w:before="60" w:after="60"/>
              <w:rPr>
                <w:b/>
                <w:bCs/>
                <w:i/>
                <w:sz w:val="20"/>
                <w:u w:val="single"/>
              </w:rPr>
            </w:pPr>
            <w:r w:rsidRPr="00690BB0">
              <w:rPr>
                <w:b/>
                <w:i/>
                <w:sz w:val="20"/>
                <w:u w:val="single"/>
                <w:vertAlign w:val="superscript"/>
              </w:rPr>
              <w:t>1</w:t>
            </w:r>
            <w:r w:rsidRPr="00690BB0">
              <w:rPr>
                <w:b/>
                <w:i/>
                <w:sz w:val="20"/>
                <w:u w:val="single"/>
              </w:rPr>
              <w:t xml:space="preserve"> Ändringsserie 07 (EUT L 14, 16.1.2023, s. 1).</w:t>
            </w:r>
          </w:p>
          <w:p w:rsidR="00D624B1" w:rsidRPr="00690BB0" w:rsidRDefault="00D624B1" w:rsidP="003F2A5D">
            <w:pPr>
              <w:widowControl/>
              <w:spacing w:before="60" w:after="60"/>
              <w:rPr>
                <w:b/>
                <w:bCs/>
                <w:i/>
                <w:sz w:val="22"/>
                <w:szCs w:val="22"/>
              </w:rPr>
            </w:pPr>
            <w:r w:rsidRPr="00690BB0">
              <w:rPr>
                <w:b/>
                <w:i/>
                <w:sz w:val="20"/>
                <w:u w:val="single"/>
                <w:vertAlign w:val="superscript"/>
              </w:rPr>
              <w:t>2</w:t>
            </w:r>
            <w:r w:rsidRPr="00690BB0">
              <w:rPr>
                <w:b/>
                <w:i/>
                <w:sz w:val="20"/>
                <w:u w:val="single"/>
              </w:rPr>
              <w:t xml:space="preserve"> Ändringsserie 07 (EUT L 14, 16.1.2023, s. 1).</w:t>
            </w:r>
          </w:p>
        </w:tc>
      </w:tr>
    </w:tbl>
    <w:p w:rsidR="00D624B1" w:rsidRPr="00690BB0" w:rsidRDefault="00D624B1" w:rsidP="00D624B1">
      <w:pPr>
        <w:widowControl/>
      </w:pPr>
    </w:p>
    <w:p w:rsidR="00D624B1" w:rsidRPr="00690BB0" w:rsidRDefault="007B7831" w:rsidP="00D624B1">
      <w:pPr>
        <w:pStyle w:val="AmNumberTabs"/>
        <w:keepNext/>
        <w:widowControl/>
      </w:pPr>
      <w:r w:rsidRPr="00690BB0">
        <w:t>Ändring</w:t>
      </w:r>
      <w:r w:rsidR="00D624B1" w:rsidRPr="00690BB0">
        <w:tab/>
      </w:r>
      <w:r w:rsidR="00D624B1" w:rsidRPr="00690BB0">
        <w:tab/>
        <w:t>161</w:t>
      </w:r>
    </w:p>
    <w:p w:rsidR="00D624B1" w:rsidRPr="00690BB0" w:rsidRDefault="00D624B1" w:rsidP="00D624B1">
      <w:pPr>
        <w:pStyle w:val="NormalBold12b"/>
        <w:widowControl/>
      </w:pPr>
      <w:r w:rsidRPr="00690BB0">
        <w:t>Förslag till förordning</w:t>
      </w:r>
    </w:p>
    <w:p w:rsidR="00D624B1" w:rsidRPr="00690BB0" w:rsidRDefault="00D624B1" w:rsidP="00D624B1">
      <w:pPr>
        <w:pStyle w:val="NormalBold"/>
        <w:keepNext/>
        <w:widowControl/>
      </w:pPr>
      <w:r w:rsidRPr="00690BB0">
        <w:t>Bilaga III – tabell 5</w:t>
      </w:r>
    </w:p>
    <w:tbl>
      <w:tblPr>
        <w:tblStyle w:val="TableGrid"/>
        <w:tblW w:w="5000" w:type="pct"/>
        <w:tblLook w:val="04A0" w:firstRow="1" w:lastRow="0" w:firstColumn="1" w:lastColumn="0" w:noHBand="0" w:noVBand="1"/>
      </w:tblPr>
      <w:tblGrid>
        <w:gridCol w:w="3018"/>
        <w:gridCol w:w="3020"/>
        <w:gridCol w:w="3022"/>
      </w:tblGrid>
      <w:tr w:rsidR="00D624B1" w:rsidRPr="00690BB0" w:rsidTr="003F2A5D">
        <w:tc>
          <w:tcPr>
            <w:tcW w:w="4998" w:type="pct"/>
            <w:gridSpan w:val="3"/>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jc w:val="center"/>
              <w:rPr>
                <w:i/>
                <w:noProof/>
              </w:rPr>
            </w:pPr>
            <w:r w:rsidRPr="00690BB0">
              <w:rPr>
                <w:i/>
              </w:rPr>
              <w:t>Kommissionens förslag</w:t>
            </w:r>
          </w:p>
        </w:tc>
      </w:tr>
      <w:tr w:rsidR="00D624B1" w:rsidRPr="00690BB0" w:rsidTr="003F2A5D">
        <w:tc>
          <w:tcPr>
            <w:tcW w:w="4998" w:type="pct"/>
            <w:gridSpan w:val="3"/>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Tabell 5: Villkor för provning av överensstämmelse med gränsvärdena för däckslitage</w:t>
            </w:r>
          </w:p>
        </w:tc>
      </w:tr>
      <w:tr w:rsidR="00D624B1" w:rsidRPr="00690BB0" w:rsidTr="003F2A5D">
        <w:tc>
          <w:tcPr>
            <w:tcW w:w="1665"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p>
        </w:tc>
        <w:tc>
          <w:tcPr>
            <w:tcW w:w="1666"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Fordon av kategorierna M</w:t>
            </w:r>
            <w:r w:rsidRPr="00690BB0">
              <w:rPr>
                <w:vertAlign w:val="subscript"/>
              </w:rPr>
              <w:t>1</w:t>
            </w:r>
            <w:r w:rsidRPr="00690BB0">
              <w:t xml:space="preserve"> och N</w:t>
            </w:r>
            <w:r w:rsidRPr="00690BB0">
              <w:rPr>
                <w:vertAlign w:val="subscript"/>
              </w:rPr>
              <w:t>1</w:t>
            </w:r>
          </w:p>
        </w:tc>
        <w:tc>
          <w:tcPr>
            <w:tcW w:w="1666"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Fordon av kategorierna M</w:t>
            </w:r>
            <w:r w:rsidRPr="00690BB0">
              <w:rPr>
                <w:vertAlign w:val="subscript"/>
              </w:rPr>
              <w:t>2</w:t>
            </w:r>
            <w:r w:rsidRPr="00690BB0">
              <w:t>, M</w:t>
            </w:r>
            <w:r w:rsidRPr="00690BB0">
              <w:rPr>
                <w:vertAlign w:val="subscript"/>
              </w:rPr>
              <w:t>3</w:t>
            </w:r>
            <w:r w:rsidRPr="00690BB0">
              <w:t>, N</w:t>
            </w:r>
            <w:r w:rsidRPr="00690BB0">
              <w:rPr>
                <w:vertAlign w:val="subscript"/>
              </w:rPr>
              <w:t>2</w:t>
            </w:r>
            <w:r w:rsidRPr="00690BB0">
              <w:t xml:space="preserve"> och N</w:t>
            </w:r>
            <w:r w:rsidRPr="00690BB0">
              <w:rPr>
                <w:vertAlign w:val="subscript"/>
              </w:rPr>
              <w:t>3</w:t>
            </w:r>
          </w:p>
        </w:tc>
      </w:tr>
      <w:tr w:rsidR="00D624B1" w:rsidRPr="00690BB0" w:rsidTr="003F2A5D">
        <w:tc>
          <w:tcPr>
            <w:tcW w:w="1665"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Provning av däckets slitagegränser</w:t>
            </w:r>
          </w:p>
        </w:tc>
        <w:tc>
          <w:tcPr>
            <w:tcW w:w="1666"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Baserad på de testmetoder som utvecklats inom FN för provning av däckslitage vid verklig körning</w:t>
            </w:r>
          </w:p>
        </w:tc>
        <w:tc>
          <w:tcPr>
            <w:tcW w:w="1666"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Baserad på de testmetoder som utvecklats inom FN för provning av däckslitage vid verklig körning</w:t>
            </w:r>
          </w:p>
        </w:tc>
      </w:tr>
    </w:tbl>
    <w:p w:rsidR="00D624B1" w:rsidRPr="00690BB0" w:rsidRDefault="00D624B1" w:rsidP="00D624B1">
      <w:pPr>
        <w:widowControl/>
      </w:pPr>
    </w:p>
    <w:p w:rsidR="00D624B1" w:rsidRPr="00690BB0" w:rsidRDefault="00D624B1" w:rsidP="00D624B1">
      <w:pPr>
        <w:pStyle w:val="AmOrLang"/>
        <w:widowControl/>
      </w:pPr>
    </w:p>
    <w:tbl>
      <w:tblPr>
        <w:tblStyle w:val="TableGrid"/>
        <w:tblW w:w="5000" w:type="pct"/>
        <w:tblLook w:val="04A0" w:firstRow="1" w:lastRow="0" w:firstColumn="1" w:lastColumn="0" w:noHBand="0" w:noVBand="1"/>
      </w:tblPr>
      <w:tblGrid>
        <w:gridCol w:w="3018"/>
        <w:gridCol w:w="3020"/>
        <w:gridCol w:w="3022"/>
      </w:tblGrid>
      <w:tr w:rsidR="00D624B1" w:rsidRPr="00690BB0" w:rsidTr="003F2A5D">
        <w:tc>
          <w:tcPr>
            <w:tcW w:w="4998" w:type="pct"/>
            <w:gridSpan w:val="3"/>
            <w:tcBorders>
              <w:top w:val="single" w:sz="4" w:space="0" w:color="auto"/>
              <w:left w:val="single" w:sz="4" w:space="0" w:color="auto"/>
              <w:bottom w:val="single" w:sz="4" w:space="0" w:color="auto"/>
              <w:right w:val="single" w:sz="4" w:space="0" w:color="auto"/>
            </w:tcBorders>
          </w:tcPr>
          <w:p w:rsidR="00D624B1" w:rsidRPr="00690BB0" w:rsidRDefault="007B7831" w:rsidP="003F2A5D">
            <w:pPr>
              <w:widowControl/>
              <w:jc w:val="center"/>
              <w:rPr>
                <w:i/>
                <w:noProof/>
              </w:rPr>
            </w:pPr>
            <w:r w:rsidRPr="00690BB0">
              <w:rPr>
                <w:i/>
              </w:rPr>
              <w:t>Ändring</w:t>
            </w:r>
          </w:p>
        </w:tc>
      </w:tr>
      <w:tr w:rsidR="00D624B1" w:rsidRPr="00690BB0" w:rsidTr="003F2A5D">
        <w:tc>
          <w:tcPr>
            <w:tcW w:w="4998" w:type="pct"/>
            <w:gridSpan w:val="3"/>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Tabell 5: Villkor för provning av överensstämmelse med gränsvärdena för däckslitage</w:t>
            </w:r>
          </w:p>
        </w:tc>
      </w:tr>
      <w:tr w:rsidR="00D624B1" w:rsidRPr="00690BB0" w:rsidTr="003F2A5D">
        <w:tc>
          <w:tcPr>
            <w:tcW w:w="1665"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p>
        </w:tc>
        <w:tc>
          <w:tcPr>
            <w:tcW w:w="1666"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Fordon av kategorierna M</w:t>
            </w:r>
            <w:r w:rsidRPr="00690BB0">
              <w:rPr>
                <w:vertAlign w:val="subscript"/>
              </w:rPr>
              <w:t>1</w:t>
            </w:r>
            <w:r w:rsidRPr="00690BB0">
              <w:t xml:space="preserve"> och N</w:t>
            </w:r>
            <w:r w:rsidRPr="00690BB0">
              <w:rPr>
                <w:vertAlign w:val="subscript"/>
              </w:rPr>
              <w:t>1</w:t>
            </w:r>
          </w:p>
        </w:tc>
        <w:tc>
          <w:tcPr>
            <w:tcW w:w="1666"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Fordon av kategorierna M</w:t>
            </w:r>
            <w:r w:rsidRPr="00690BB0">
              <w:rPr>
                <w:vertAlign w:val="subscript"/>
              </w:rPr>
              <w:t>2</w:t>
            </w:r>
            <w:r w:rsidRPr="00690BB0">
              <w:t>, M</w:t>
            </w:r>
            <w:r w:rsidRPr="00690BB0">
              <w:rPr>
                <w:vertAlign w:val="subscript"/>
              </w:rPr>
              <w:t>3</w:t>
            </w:r>
            <w:r w:rsidRPr="00690BB0">
              <w:t>, N</w:t>
            </w:r>
            <w:r w:rsidRPr="00690BB0">
              <w:rPr>
                <w:vertAlign w:val="subscript"/>
              </w:rPr>
              <w:t>2</w:t>
            </w:r>
            <w:r w:rsidRPr="00690BB0">
              <w:t xml:space="preserve"> och N</w:t>
            </w:r>
            <w:r w:rsidRPr="00690BB0">
              <w:rPr>
                <w:vertAlign w:val="subscript"/>
              </w:rPr>
              <w:t>3</w:t>
            </w:r>
          </w:p>
        </w:tc>
      </w:tr>
      <w:tr w:rsidR="00D624B1" w:rsidRPr="00690BB0" w:rsidTr="003F2A5D">
        <w:tc>
          <w:tcPr>
            <w:tcW w:w="1665"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Provning av däckets slitagegränser</w:t>
            </w:r>
          </w:p>
        </w:tc>
        <w:tc>
          <w:tcPr>
            <w:tcW w:w="1666"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 xml:space="preserve">Baserad på de testmetoder som utvecklats inom FN för provning av däckslitage vid verklig körning </w:t>
            </w:r>
            <w:r w:rsidRPr="00690BB0">
              <w:rPr>
                <w:b/>
                <w:bCs/>
                <w:i/>
                <w:iCs/>
              </w:rPr>
              <w:t>i enlighet med artikel 7a (ny)</w:t>
            </w:r>
          </w:p>
        </w:tc>
        <w:tc>
          <w:tcPr>
            <w:tcW w:w="1666" w:type="pct"/>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 xml:space="preserve">Baserad på de testmetoder som utvecklats inom FN för provning av däckslitage vid verklig körning </w:t>
            </w:r>
            <w:r w:rsidRPr="00690BB0">
              <w:rPr>
                <w:b/>
                <w:bCs/>
                <w:i/>
                <w:iCs/>
              </w:rPr>
              <w:t>i enlighet med artikel 7a (ny)</w:t>
            </w:r>
          </w:p>
        </w:tc>
      </w:tr>
    </w:tbl>
    <w:p w:rsidR="00D624B1" w:rsidRPr="00690BB0" w:rsidRDefault="00D624B1" w:rsidP="00D624B1">
      <w:pPr>
        <w:widowControl/>
      </w:pPr>
    </w:p>
    <w:p w:rsidR="00D624B1" w:rsidRPr="00690BB0" w:rsidRDefault="007B7831" w:rsidP="00D624B1">
      <w:pPr>
        <w:pStyle w:val="AmNumberTabs"/>
        <w:keepNext/>
        <w:widowControl/>
      </w:pPr>
      <w:r w:rsidRPr="00690BB0">
        <w:t>Ändring</w:t>
      </w:r>
      <w:r w:rsidR="00D624B1" w:rsidRPr="00690BB0">
        <w:tab/>
      </w:r>
      <w:r w:rsidR="00D624B1" w:rsidRPr="00690BB0">
        <w:tab/>
        <w:t>162</w:t>
      </w:r>
    </w:p>
    <w:p w:rsidR="00D624B1" w:rsidRPr="00690BB0" w:rsidRDefault="00D624B1" w:rsidP="00D624B1">
      <w:pPr>
        <w:pStyle w:val="NormalBold12b"/>
        <w:widowControl/>
      </w:pPr>
      <w:r w:rsidRPr="00690BB0">
        <w:t>Förslag till förordning</w:t>
      </w:r>
    </w:p>
    <w:p w:rsidR="00D624B1" w:rsidRPr="00690BB0" w:rsidRDefault="00D624B1" w:rsidP="00D624B1">
      <w:pPr>
        <w:pStyle w:val="NormalBold"/>
        <w:keepNext/>
        <w:widowControl/>
      </w:pPr>
      <w:r w:rsidRPr="00690BB0">
        <w:t>Bilaga IV – tabell 1</w:t>
      </w:r>
    </w:p>
    <w:tbl>
      <w:tblPr>
        <w:tblStyle w:val="TableGrid"/>
        <w:tblW w:w="9172" w:type="dxa"/>
        <w:tblLook w:val="04A0" w:firstRow="1" w:lastRow="0" w:firstColumn="1" w:lastColumn="0" w:noHBand="0" w:noVBand="1"/>
      </w:tblPr>
      <w:tblGrid>
        <w:gridCol w:w="2203"/>
        <w:gridCol w:w="2222"/>
        <w:gridCol w:w="2416"/>
        <w:gridCol w:w="2331"/>
      </w:tblGrid>
      <w:tr w:rsidR="00D624B1" w:rsidRPr="00690BB0" w:rsidTr="003F2A5D">
        <w:trPr>
          <w:trHeight w:val="188"/>
        </w:trPr>
        <w:tc>
          <w:tcPr>
            <w:tcW w:w="9172" w:type="dxa"/>
            <w:gridSpan w:val="4"/>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jc w:val="center"/>
              <w:rPr>
                <w:i/>
                <w:noProof/>
              </w:rPr>
            </w:pPr>
            <w:r w:rsidRPr="00690BB0">
              <w:rPr>
                <w:i/>
              </w:rPr>
              <w:t>Kommissionens förslag</w:t>
            </w:r>
          </w:p>
        </w:tc>
      </w:tr>
      <w:tr w:rsidR="00D624B1" w:rsidRPr="00690BB0" w:rsidTr="003F2A5D">
        <w:trPr>
          <w:trHeight w:val="188"/>
        </w:trPr>
        <w:tc>
          <w:tcPr>
            <w:tcW w:w="9172" w:type="dxa"/>
            <w:gridSpan w:val="4"/>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Tabell 1: Livslängd för fordon, motorer och utsläppsbegränsande system</w:t>
            </w:r>
          </w:p>
        </w:tc>
      </w:tr>
      <w:tr w:rsidR="00D624B1" w:rsidRPr="00690BB0" w:rsidTr="003F2A5D">
        <w:trPr>
          <w:trHeight w:val="564"/>
        </w:trPr>
        <w:tc>
          <w:tcPr>
            <w:tcW w:w="1730"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rPr>
                <w:noProof/>
              </w:rPr>
            </w:pPr>
            <w:r w:rsidRPr="00690BB0">
              <w:t>Livslängd för fordon, motorer och ersättande utsläppsbegränsande anordningar</w:t>
            </w:r>
          </w:p>
        </w:tc>
        <w:tc>
          <w:tcPr>
            <w:tcW w:w="2363"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rPr>
                <w:noProof/>
              </w:rPr>
            </w:pPr>
            <w:r w:rsidRPr="00690BB0">
              <w:t>M</w:t>
            </w:r>
            <w:r w:rsidRPr="00690BB0">
              <w:rPr>
                <w:vertAlign w:val="subscript"/>
              </w:rPr>
              <w:t xml:space="preserve">1, </w:t>
            </w:r>
            <w:r w:rsidRPr="00690BB0">
              <w:t>N</w:t>
            </w:r>
            <w:r w:rsidRPr="00690BB0">
              <w:rPr>
                <w:vertAlign w:val="subscript"/>
              </w:rPr>
              <w:t xml:space="preserve">1 </w:t>
            </w:r>
            <w:r w:rsidRPr="00690BB0">
              <w:t>och M</w:t>
            </w:r>
            <w:r w:rsidRPr="00690BB0">
              <w:rPr>
                <w:vertAlign w:val="subscript"/>
              </w:rPr>
              <w:t>2</w:t>
            </w:r>
          </w:p>
        </w:tc>
        <w:tc>
          <w:tcPr>
            <w:tcW w:w="2589"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rPr>
                <w:noProof/>
              </w:rPr>
            </w:pPr>
            <w:r w:rsidRPr="00690BB0">
              <w:t>N</w:t>
            </w:r>
            <w:r w:rsidRPr="00690BB0">
              <w:rPr>
                <w:vertAlign w:val="subscript"/>
              </w:rPr>
              <w:t>2</w:t>
            </w:r>
            <w:r w:rsidRPr="00690BB0">
              <w:t xml:space="preserve">, </w:t>
            </w:r>
            <w:r w:rsidRPr="00690BB0">
              <w:rPr>
                <w:b/>
                <w:bCs/>
                <w:i/>
                <w:iCs/>
              </w:rPr>
              <w:t>N</w:t>
            </w:r>
            <w:r w:rsidRPr="00690BB0">
              <w:rPr>
                <w:b/>
                <w:bCs/>
                <w:i/>
                <w:iCs/>
                <w:vertAlign w:val="subscript"/>
              </w:rPr>
              <w:t>3</w:t>
            </w:r>
            <w:r w:rsidRPr="00690BB0">
              <w:rPr>
                <w:b/>
                <w:bCs/>
                <w:i/>
                <w:iCs/>
              </w:rPr>
              <w:t xml:space="preserve"> &lt; 16 ton</w:t>
            </w:r>
            <w:r w:rsidRPr="00690BB0">
              <w:t xml:space="preserve">, </w:t>
            </w:r>
            <w:r w:rsidRPr="00690BB0">
              <w:rPr>
                <w:b/>
                <w:bCs/>
                <w:i/>
                <w:iCs/>
              </w:rPr>
              <w:t>M</w:t>
            </w:r>
            <w:r w:rsidRPr="00690BB0">
              <w:rPr>
                <w:b/>
                <w:bCs/>
                <w:i/>
                <w:iCs/>
                <w:vertAlign w:val="subscript"/>
              </w:rPr>
              <w:t>3</w:t>
            </w:r>
            <w:r w:rsidRPr="00690BB0">
              <w:rPr>
                <w:b/>
                <w:bCs/>
                <w:i/>
                <w:iCs/>
              </w:rPr>
              <w:t xml:space="preserve"> &lt; 7,5 ton</w:t>
            </w:r>
            <w:r w:rsidRPr="00690BB0">
              <w:t>:</w:t>
            </w:r>
          </w:p>
        </w:tc>
        <w:tc>
          <w:tcPr>
            <w:tcW w:w="2490"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rPr>
                <w:noProof/>
              </w:rPr>
            </w:pPr>
            <w:r w:rsidRPr="00690BB0">
              <w:t>N</w:t>
            </w:r>
            <w:r w:rsidRPr="00690BB0">
              <w:rPr>
                <w:vertAlign w:val="subscript"/>
              </w:rPr>
              <w:t>3</w:t>
            </w:r>
            <w:r w:rsidRPr="00690BB0">
              <w:t xml:space="preserve"> &gt; 16 ton, M</w:t>
            </w:r>
            <w:r w:rsidRPr="00690BB0">
              <w:rPr>
                <w:vertAlign w:val="subscript"/>
              </w:rPr>
              <w:t>3</w:t>
            </w:r>
            <w:r w:rsidRPr="00690BB0">
              <w:t xml:space="preserve"> &gt; 7,5 ton</w:t>
            </w:r>
          </w:p>
        </w:tc>
      </w:tr>
      <w:tr w:rsidR="00D624B1" w:rsidRPr="00690BB0" w:rsidTr="003F2A5D">
        <w:trPr>
          <w:trHeight w:val="376"/>
        </w:trPr>
        <w:tc>
          <w:tcPr>
            <w:tcW w:w="1730"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rPr>
                <w:noProof/>
              </w:rPr>
            </w:pPr>
            <w:r w:rsidRPr="00690BB0">
              <w:t>Huvudsaklig livslängd</w:t>
            </w:r>
          </w:p>
        </w:tc>
        <w:tc>
          <w:tcPr>
            <w:tcW w:w="2363"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rPr>
                <w:noProof/>
              </w:rPr>
            </w:pPr>
            <w:r w:rsidRPr="00690BB0">
              <w:t xml:space="preserve">Upp till </w:t>
            </w:r>
            <w:r w:rsidRPr="00690BB0">
              <w:rPr>
                <w:b/>
                <w:bCs/>
                <w:i/>
                <w:iCs/>
              </w:rPr>
              <w:t>160 000</w:t>
            </w:r>
            <w:r w:rsidRPr="00690BB0">
              <w:t xml:space="preserve"> km eller </w:t>
            </w:r>
            <w:r w:rsidRPr="00690BB0">
              <w:rPr>
                <w:b/>
                <w:bCs/>
                <w:i/>
                <w:iCs/>
              </w:rPr>
              <w:t>8</w:t>
            </w:r>
            <w:r w:rsidRPr="00690BB0">
              <w:t xml:space="preserve"> år, beroende på vilket som inträffar först</w:t>
            </w:r>
          </w:p>
        </w:tc>
        <w:tc>
          <w:tcPr>
            <w:tcW w:w="2589"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rPr>
                <w:noProof/>
              </w:rPr>
            </w:pPr>
            <w:r w:rsidRPr="00690BB0">
              <w:rPr>
                <w:b/>
                <w:bCs/>
                <w:i/>
                <w:iCs/>
              </w:rPr>
              <w:t>300 000</w:t>
            </w:r>
            <w:r w:rsidRPr="00690BB0">
              <w:t xml:space="preserve"> km eller </w:t>
            </w:r>
            <w:r w:rsidRPr="00690BB0">
              <w:rPr>
                <w:b/>
                <w:bCs/>
                <w:i/>
                <w:iCs/>
              </w:rPr>
              <w:t>8</w:t>
            </w:r>
            <w:r w:rsidRPr="00690BB0">
              <w:t xml:space="preserve"> år, beroende på vilket som inträffar först</w:t>
            </w:r>
          </w:p>
        </w:tc>
        <w:tc>
          <w:tcPr>
            <w:tcW w:w="2490"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rPr>
                <w:noProof/>
              </w:rPr>
            </w:pPr>
            <w:r w:rsidRPr="00690BB0">
              <w:rPr>
                <w:b/>
                <w:bCs/>
                <w:i/>
                <w:iCs/>
              </w:rPr>
              <w:t>700 000</w:t>
            </w:r>
            <w:r w:rsidRPr="00690BB0">
              <w:t xml:space="preserve"> km eller 15 år, beroende på vilket som inträffar först</w:t>
            </w:r>
          </w:p>
        </w:tc>
      </w:tr>
      <w:tr w:rsidR="00D624B1" w:rsidRPr="00690BB0" w:rsidTr="003F2A5D">
        <w:trPr>
          <w:trHeight w:val="564"/>
        </w:trPr>
        <w:tc>
          <w:tcPr>
            <w:tcW w:w="1730"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rPr>
                <w:noProof/>
              </w:rPr>
            </w:pPr>
            <w:r w:rsidRPr="00690BB0">
              <w:t>Ytterligare livslängd</w:t>
            </w:r>
          </w:p>
        </w:tc>
        <w:tc>
          <w:tcPr>
            <w:tcW w:w="2363"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rPr>
                <w:noProof/>
              </w:rPr>
            </w:pPr>
            <w:r w:rsidRPr="00690BB0">
              <w:t xml:space="preserve">Efter huvudsaklig livslängd och upp till </w:t>
            </w:r>
            <w:r w:rsidRPr="00690BB0">
              <w:rPr>
                <w:b/>
                <w:bCs/>
                <w:i/>
                <w:iCs/>
              </w:rPr>
              <w:t>200 000</w:t>
            </w:r>
            <w:r w:rsidRPr="00690BB0">
              <w:t xml:space="preserve"> km eller </w:t>
            </w:r>
            <w:r w:rsidRPr="00690BB0">
              <w:rPr>
                <w:b/>
                <w:bCs/>
                <w:i/>
                <w:iCs/>
              </w:rPr>
              <w:t>10</w:t>
            </w:r>
            <w:r w:rsidRPr="00690BB0">
              <w:t xml:space="preserve"> år, beroende på vilket som inträffar först</w:t>
            </w:r>
          </w:p>
        </w:tc>
        <w:tc>
          <w:tcPr>
            <w:tcW w:w="2589"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rPr>
                <w:noProof/>
              </w:rPr>
            </w:pPr>
            <w:r w:rsidRPr="00690BB0">
              <w:t xml:space="preserve">Efter huvudsaklig livslängd och upp till </w:t>
            </w:r>
            <w:r w:rsidRPr="00690BB0">
              <w:rPr>
                <w:b/>
                <w:bCs/>
                <w:i/>
                <w:iCs/>
              </w:rPr>
              <w:t>375 000</w:t>
            </w:r>
            <w:r w:rsidRPr="00690BB0">
              <w:t xml:space="preserve"> km</w:t>
            </w:r>
          </w:p>
        </w:tc>
        <w:tc>
          <w:tcPr>
            <w:tcW w:w="2490"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rPr>
                <w:noProof/>
              </w:rPr>
            </w:pPr>
            <w:r w:rsidRPr="00690BB0">
              <w:t xml:space="preserve">Efter huvudsaklig livslängd och upp till </w:t>
            </w:r>
          </w:p>
          <w:p w:rsidR="00D624B1" w:rsidRPr="00690BB0" w:rsidRDefault="00D624B1" w:rsidP="003F2A5D">
            <w:pPr>
              <w:widowControl/>
              <w:rPr>
                <w:noProof/>
              </w:rPr>
            </w:pPr>
            <w:r w:rsidRPr="00690BB0">
              <w:rPr>
                <w:b/>
                <w:i/>
              </w:rPr>
              <w:t>875 000</w:t>
            </w:r>
            <w:r w:rsidRPr="00690BB0">
              <w:t xml:space="preserve"> km </w:t>
            </w:r>
          </w:p>
        </w:tc>
      </w:tr>
    </w:tbl>
    <w:p w:rsidR="00D624B1" w:rsidRPr="00690BB0" w:rsidRDefault="00D624B1" w:rsidP="00D624B1">
      <w:pPr>
        <w:pStyle w:val="AmOrLang"/>
        <w:widowControl/>
      </w:pPr>
    </w:p>
    <w:tbl>
      <w:tblPr>
        <w:tblStyle w:val="TableGrid"/>
        <w:tblW w:w="9165" w:type="dxa"/>
        <w:tblLook w:val="04A0" w:firstRow="1" w:lastRow="0" w:firstColumn="1" w:lastColumn="0" w:noHBand="0" w:noVBand="1"/>
      </w:tblPr>
      <w:tblGrid>
        <w:gridCol w:w="2203"/>
        <w:gridCol w:w="2220"/>
        <w:gridCol w:w="2413"/>
        <w:gridCol w:w="2329"/>
      </w:tblGrid>
      <w:tr w:rsidR="00D624B1" w:rsidRPr="00690BB0" w:rsidTr="003F2A5D">
        <w:trPr>
          <w:trHeight w:val="673"/>
        </w:trPr>
        <w:tc>
          <w:tcPr>
            <w:tcW w:w="9165" w:type="dxa"/>
            <w:gridSpan w:val="4"/>
            <w:tcBorders>
              <w:top w:val="single" w:sz="4" w:space="0" w:color="auto"/>
              <w:left w:val="single" w:sz="4" w:space="0" w:color="auto"/>
              <w:bottom w:val="single" w:sz="4" w:space="0" w:color="auto"/>
              <w:right w:val="single" w:sz="4" w:space="0" w:color="auto"/>
            </w:tcBorders>
          </w:tcPr>
          <w:p w:rsidR="00D624B1" w:rsidRPr="00690BB0" w:rsidRDefault="007B7831" w:rsidP="003F2A5D">
            <w:pPr>
              <w:widowControl/>
              <w:jc w:val="center"/>
              <w:rPr>
                <w:i/>
                <w:noProof/>
              </w:rPr>
            </w:pPr>
            <w:r w:rsidRPr="00690BB0">
              <w:rPr>
                <w:i/>
              </w:rPr>
              <w:t>Ändring</w:t>
            </w:r>
          </w:p>
        </w:tc>
      </w:tr>
      <w:tr w:rsidR="00D624B1" w:rsidRPr="00690BB0" w:rsidTr="003F2A5D">
        <w:trPr>
          <w:trHeight w:val="673"/>
        </w:trPr>
        <w:tc>
          <w:tcPr>
            <w:tcW w:w="9165" w:type="dxa"/>
            <w:gridSpan w:val="4"/>
            <w:tcBorders>
              <w:top w:val="single" w:sz="4" w:space="0" w:color="auto"/>
              <w:left w:val="single" w:sz="4" w:space="0" w:color="auto"/>
              <w:bottom w:val="single" w:sz="4" w:space="0" w:color="auto"/>
              <w:right w:val="single" w:sz="4" w:space="0" w:color="auto"/>
            </w:tcBorders>
          </w:tcPr>
          <w:p w:rsidR="00D624B1" w:rsidRPr="00690BB0" w:rsidRDefault="00D624B1" w:rsidP="003F2A5D">
            <w:pPr>
              <w:widowControl/>
              <w:rPr>
                <w:noProof/>
              </w:rPr>
            </w:pPr>
            <w:r w:rsidRPr="00690BB0">
              <w:t>Tabell 1: Livslängd för fordon, motorer och utsläppsbegränsande system</w:t>
            </w:r>
          </w:p>
        </w:tc>
      </w:tr>
      <w:tr w:rsidR="00D624B1" w:rsidRPr="00690BB0" w:rsidTr="003F2A5D">
        <w:trPr>
          <w:trHeight w:val="690"/>
        </w:trPr>
        <w:tc>
          <w:tcPr>
            <w:tcW w:w="1729"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rPr>
                <w:noProof/>
              </w:rPr>
            </w:pPr>
            <w:r w:rsidRPr="00690BB0">
              <w:t>Livslängd för fordon, motorer och ersättande utsläppsbegränsande anordningar</w:t>
            </w:r>
          </w:p>
        </w:tc>
        <w:tc>
          <w:tcPr>
            <w:tcW w:w="2361"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rPr>
                <w:noProof/>
              </w:rPr>
            </w:pPr>
            <w:r w:rsidRPr="00690BB0">
              <w:t>M</w:t>
            </w:r>
            <w:r w:rsidRPr="00690BB0">
              <w:rPr>
                <w:vertAlign w:val="subscript"/>
              </w:rPr>
              <w:t xml:space="preserve">1, </w:t>
            </w:r>
            <w:r w:rsidRPr="00690BB0">
              <w:t>N</w:t>
            </w:r>
            <w:r w:rsidRPr="00690BB0">
              <w:rPr>
                <w:vertAlign w:val="subscript"/>
              </w:rPr>
              <w:t xml:space="preserve">1 </w:t>
            </w:r>
            <w:r w:rsidRPr="00690BB0">
              <w:t>och M</w:t>
            </w:r>
            <w:r w:rsidRPr="00690BB0">
              <w:rPr>
                <w:vertAlign w:val="subscript"/>
              </w:rPr>
              <w:t>2</w:t>
            </w:r>
          </w:p>
        </w:tc>
        <w:tc>
          <w:tcPr>
            <w:tcW w:w="2587"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rPr>
                <w:noProof/>
              </w:rPr>
            </w:pPr>
            <w:r w:rsidRPr="00690BB0">
              <w:t>N</w:t>
            </w:r>
            <w:r w:rsidRPr="00690BB0">
              <w:rPr>
                <w:vertAlign w:val="subscript"/>
              </w:rPr>
              <w:t>2</w:t>
            </w:r>
            <w:r w:rsidRPr="00690BB0">
              <w:t xml:space="preserve">, </w:t>
            </w:r>
            <w:r w:rsidRPr="00690BB0">
              <w:rPr>
                <w:b/>
                <w:bCs/>
                <w:i/>
                <w:iCs/>
              </w:rPr>
              <w:t>N</w:t>
            </w:r>
            <w:r w:rsidRPr="00690BB0">
              <w:rPr>
                <w:b/>
                <w:bCs/>
                <w:i/>
                <w:iCs/>
                <w:vertAlign w:val="subscript"/>
              </w:rPr>
              <w:t>3</w:t>
            </w:r>
            <w:r w:rsidRPr="00690BB0">
              <w:rPr>
                <w:b/>
                <w:bCs/>
                <w:i/>
                <w:iCs/>
              </w:rPr>
              <w:t xml:space="preserve"> ≤ 16 ton</w:t>
            </w:r>
            <w:r w:rsidRPr="00690BB0">
              <w:t xml:space="preserve">, </w:t>
            </w:r>
            <w:r w:rsidRPr="00690BB0">
              <w:rPr>
                <w:b/>
                <w:bCs/>
                <w:i/>
                <w:iCs/>
              </w:rPr>
              <w:t>M</w:t>
            </w:r>
            <w:r w:rsidRPr="00690BB0">
              <w:rPr>
                <w:b/>
                <w:bCs/>
                <w:i/>
                <w:iCs/>
                <w:vertAlign w:val="subscript"/>
              </w:rPr>
              <w:t>3</w:t>
            </w:r>
            <w:r w:rsidRPr="00690BB0">
              <w:rPr>
                <w:b/>
                <w:bCs/>
                <w:i/>
                <w:iCs/>
              </w:rPr>
              <w:t xml:space="preserve"> ≤ 7,5 ton</w:t>
            </w:r>
            <w:r w:rsidRPr="00690BB0">
              <w:t>:</w:t>
            </w:r>
          </w:p>
        </w:tc>
        <w:tc>
          <w:tcPr>
            <w:tcW w:w="2488"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rPr>
                <w:noProof/>
              </w:rPr>
            </w:pPr>
            <w:r w:rsidRPr="00690BB0">
              <w:t>N</w:t>
            </w:r>
            <w:r w:rsidRPr="00690BB0">
              <w:rPr>
                <w:vertAlign w:val="subscript"/>
              </w:rPr>
              <w:t>3</w:t>
            </w:r>
            <w:r w:rsidRPr="00690BB0">
              <w:t xml:space="preserve"> &gt; 16 ton, M</w:t>
            </w:r>
            <w:r w:rsidRPr="00690BB0">
              <w:rPr>
                <w:vertAlign w:val="subscript"/>
              </w:rPr>
              <w:t>3</w:t>
            </w:r>
            <w:r w:rsidRPr="00690BB0">
              <w:t xml:space="preserve"> &gt; 7,5 ton</w:t>
            </w:r>
          </w:p>
        </w:tc>
      </w:tr>
      <w:tr w:rsidR="00D624B1" w:rsidRPr="00690BB0" w:rsidTr="003F2A5D">
        <w:trPr>
          <w:trHeight w:val="1344"/>
        </w:trPr>
        <w:tc>
          <w:tcPr>
            <w:tcW w:w="1729"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rPr>
                <w:noProof/>
              </w:rPr>
            </w:pPr>
            <w:r w:rsidRPr="00690BB0">
              <w:t>Huvudsaklig livslängd</w:t>
            </w:r>
          </w:p>
        </w:tc>
        <w:tc>
          <w:tcPr>
            <w:tcW w:w="2361"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rPr>
                <w:noProof/>
              </w:rPr>
            </w:pPr>
            <w:r w:rsidRPr="00690BB0">
              <w:t xml:space="preserve">Upp till </w:t>
            </w:r>
            <w:r w:rsidRPr="00690BB0">
              <w:rPr>
                <w:b/>
                <w:bCs/>
                <w:i/>
                <w:iCs/>
              </w:rPr>
              <w:t>200 000</w:t>
            </w:r>
            <w:r w:rsidRPr="00690BB0">
              <w:t xml:space="preserve"> km eller </w:t>
            </w:r>
            <w:r w:rsidRPr="00690BB0">
              <w:rPr>
                <w:b/>
                <w:bCs/>
                <w:i/>
                <w:iCs/>
              </w:rPr>
              <w:t>10</w:t>
            </w:r>
            <w:r w:rsidRPr="00690BB0">
              <w:t xml:space="preserve"> år, beroende på vilket som inträffar först</w:t>
            </w:r>
          </w:p>
        </w:tc>
        <w:tc>
          <w:tcPr>
            <w:tcW w:w="2587"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rPr>
                <w:noProof/>
              </w:rPr>
            </w:pPr>
            <w:r w:rsidRPr="00690BB0">
              <w:rPr>
                <w:b/>
                <w:bCs/>
                <w:i/>
                <w:iCs/>
              </w:rPr>
              <w:t>340 000</w:t>
            </w:r>
            <w:r w:rsidRPr="00690BB0">
              <w:t xml:space="preserve"> km eller </w:t>
            </w:r>
            <w:r w:rsidRPr="00690BB0">
              <w:rPr>
                <w:b/>
                <w:bCs/>
                <w:i/>
                <w:iCs/>
              </w:rPr>
              <w:t>10</w:t>
            </w:r>
            <w:r w:rsidRPr="00690BB0">
              <w:t xml:space="preserve"> år, beroende på vilket som inträffar först</w:t>
            </w:r>
          </w:p>
        </w:tc>
        <w:tc>
          <w:tcPr>
            <w:tcW w:w="2488"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rPr>
                <w:noProof/>
              </w:rPr>
            </w:pPr>
            <w:r w:rsidRPr="00690BB0">
              <w:rPr>
                <w:b/>
                <w:bCs/>
                <w:i/>
                <w:iCs/>
              </w:rPr>
              <w:t>750 000</w:t>
            </w:r>
            <w:r w:rsidRPr="00690BB0">
              <w:t xml:space="preserve"> km eller 15 år, beroende på vilket som inträffar först</w:t>
            </w:r>
          </w:p>
        </w:tc>
      </w:tr>
      <w:tr w:rsidR="00D624B1" w:rsidRPr="00690BB0" w:rsidTr="003F2A5D">
        <w:trPr>
          <w:trHeight w:val="2019"/>
        </w:trPr>
        <w:tc>
          <w:tcPr>
            <w:tcW w:w="1729"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rPr>
                <w:noProof/>
              </w:rPr>
            </w:pPr>
            <w:r w:rsidRPr="00690BB0">
              <w:t>Ytterligare livslängd</w:t>
            </w:r>
          </w:p>
        </w:tc>
        <w:tc>
          <w:tcPr>
            <w:tcW w:w="2361"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rPr>
                <w:noProof/>
              </w:rPr>
            </w:pPr>
            <w:r w:rsidRPr="00690BB0">
              <w:t xml:space="preserve">Efter huvudsaklig livslängd och upp till </w:t>
            </w:r>
            <w:r w:rsidRPr="00690BB0">
              <w:rPr>
                <w:b/>
                <w:bCs/>
                <w:i/>
                <w:iCs/>
              </w:rPr>
              <w:t>240 000</w:t>
            </w:r>
            <w:r w:rsidRPr="00690BB0">
              <w:t xml:space="preserve"> km eller </w:t>
            </w:r>
            <w:r w:rsidRPr="00690BB0">
              <w:rPr>
                <w:b/>
                <w:bCs/>
                <w:i/>
                <w:iCs/>
              </w:rPr>
              <w:t>12</w:t>
            </w:r>
            <w:r w:rsidRPr="00690BB0">
              <w:t xml:space="preserve"> år, beroende på vilket som inträffar först</w:t>
            </w:r>
          </w:p>
        </w:tc>
        <w:tc>
          <w:tcPr>
            <w:tcW w:w="2587"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rPr>
                <w:b/>
                <w:i/>
                <w:noProof/>
              </w:rPr>
            </w:pPr>
            <w:r w:rsidRPr="00690BB0">
              <w:t xml:space="preserve">Efter huvudsaklig livslängd och upp till </w:t>
            </w:r>
            <w:r w:rsidRPr="00690BB0">
              <w:rPr>
                <w:b/>
                <w:bCs/>
                <w:i/>
                <w:iCs/>
              </w:rPr>
              <w:t>400 000</w:t>
            </w:r>
            <w:r w:rsidRPr="00690BB0">
              <w:t xml:space="preserve"> km </w:t>
            </w:r>
            <w:r w:rsidRPr="00690BB0">
              <w:rPr>
                <w:b/>
                <w:bCs/>
                <w:i/>
                <w:iCs/>
              </w:rPr>
              <w:t>eller 12 år, beroende på vilket som inträffar först</w:t>
            </w:r>
          </w:p>
        </w:tc>
        <w:tc>
          <w:tcPr>
            <w:tcW w:w="2488" w:type="dxa"/>
            <w:tcBorders>
              <w:top w:val="single" w:sz="4" w:space="0" w:color="auto"/>
              <w:left w:val="single" w:sz="4" w:space="0" w:color="auto"/>
              <w:bottom w:val="single" w:sz="4" w:space="0" w:color="auto"/>
              <w:right w:val="single" w:sz="4" w:space="0" w:color="auto"/>
            </w:tcBorders>
            <w:hideMark/>
          </w:tcPr>
          <w:p w:rsidR="00D624B1" w:rsidRPr="00690BB0" w:rsidRDefault="00D624B1" w:rsidP="003F2A5D">
            <w:pPr>
              <w:widowControl/>
              <w:rPr>
                <w:noProof/>
              </w:rPr>
            </w:pPr>
            <w:r w:rsidRPr="00690BB0">
              <w:t xml:space="preserve">Efter huvudsaklig livslängd och upp till </w:t>
            </w:r>
          </w:p>
          <w:p w:rsidR="00D624B1" w:rsidRPr="00690BB0" w:rsidRDefault="00D624B1" w:rsidP="003F2A5D">
            <w:pPr>
              <w:widowControl/>
              <w:rPr>
                <w:noProof/>
              </w:rPr>
            </w:pPr>
            <w:r w:rsidRPr="00690BB0">
              <w:rPr>
                <w:b/>
                <w:bCs/>
                <w:i/>
                <w:iCs/>
              </w:rPr>
              <w:t>900 000</w:t>
            </w:r>
            <w:r w:rsidRPr="00690BB0">
              <w:t xml:space="preserve"> km </w:t>
            </w:r>
            <w:r w:rsidRPr="00690BB0">
              <w:rPr>
                <w:b/>
                <w:bCs/>
                <w:i/>
                <w:iCs/>
              </w:rPr>
              <w:t>eller 17 år, beroende på vilket som inträffar först</w:t>
            </w:r>
            <w:r w:rsidRPr="00690BB0">
              <w:t xml:space="preserve"> </w:t>
            </w:r>
          </w:p>
        </w:tc>
      </w:tr>
    </w:tbl>
    <w:p w:rsidR="00D624B1" w:rsidRPr="00690BB0" w:rsidRDefault="00D624B1" w:rsidP="00D624B1">
      <w:pPr>
        <w:widowControl/>
      </w:pPr>
    </w:p>
    <w:p w:rsidR="00D624B1" w:rsidRPr="00690BB0" w:rsidRDefault="007B7831" w:rsidP="00D624B1">
      <w:pPr>
        <w:pStyle w:val="AmNumberTabs"/>
        <w:keepNext/>
        <w:widowControl/>
      </w:pPr>
      <w:r w:rsidRPr="00690BB0">
        <w:t>Ändring</w:t>
      </w:r>
      <w:r w:rsidR="00D624B1" w:rsidRPr="00690BB0">
        <w:tab/>
      </w:r>
      <w:r w:rsidR="00D624B1" w:rsidRPr="00690BB0">
        <w:tab/>
        <w:t>163</w:t>
      </w:r>
    </w:p>
    <w:p w:rsidR="00D624B1" w:rsidRPr="00690BB0" w:rsidRDefault="00D624B1" w:rsidP="00D624B1">
      <w:pPr>
        <w:pStyle w:val="NormalBold12b"/>
        <w:widowControl/>
      </w:pPr>
      <w:r w:rsidRPr="00690BB0">
        <w:t>Förslag till förordning</w:t>
      </w:r>
    </w:p>
    <w:p w:rsidR="00D624B1" w:rsidRPr="00690BB0" w:rsidRDefault="00D624B1" w:rsidP="00D624B1">
      <w:pPr>
        <w:pStyle w:val="NormalBold"/>
        <w:keepNext/>
        <w:widowControl/>
      </w:pPr>
      <w:r w:rsidRPr="00690BB0">
        <w:t>Bilaga V – tabell 3</w:t>
      </w:r>
    </w:p>
    <w:tbl>
      <w:tblPr>
        <w:tblW w:w="9214" w:type="dxa"/>
        <w:tblInd w:w="-3" w:type="dxa"/>
        <w:tblLayout w:type="fixed"/>
        <w:tblLook w:val="04A0" w:firstRow="1" w:lastRow="0" w:firstColumn="1" w:lastColumn="0" w:noHBand="0" w:noVBand="1"/>
      </w:tblPr>
      <w:tblGrid>
        <w:gridCol w:w="2210"/>
        <w:gridCol w:w="2210"/>
        <w:gridCol w:w="2210"/>
        <w:gridCol w:w="2584"/>
      </w:tblGrid>
      <w:tr w:rsidR="00D624B1" w:rsidRPr="00690BB0" w:rsidTr="003F2A5D">
        <w:trPr>
          <w:trHeight w:val="222"/>
        </w:trPr>
        <w:tc>
          <w:tcPr>
            <w:tcW w:w="9214" w:type="dxa"/>
            <w:gridSpan w:val="4"/>
            <w:tcBorders>
              <w:top w:val="single" w:sz="2" w:space="0" w:color="auto"/>
              <w:left w:val="single" w:sz="2" w:space="0" w:color="auto"/>
              <w:bottom w:val="single" w:sz="2" w:space="0" w:color="auto"/>
              <w:right w:val="single" w:sz="2" w:space="0" w:color="auto"/>
            </w:tcBorders>
          </w:tcPr>
          <w:p w:rsidR="00D624B1" w:rsidRPr="00690BB0" w:rsidRDefault="00D624B1" w:rsidP="003F2A5D">
            <w:pPr>
              <w:widowControl/>
              <w:spacing w:line="276" w:lineRule="auto"/>
              <w:jc w:val="center"/>
              <w:rPr>
                <w:b/>
                <w:i/>
                <w:noProof/>
              </w:rPr>
            </w:pPr>
            <w:r w:rsidRPr="00690BB0">
              <w:rPr>
                <w:i/>
              </w:rPr>
              <w:t>Kommissionens förslag</w:t>
            </w:r>
          </w:p>
        </w:tc>
      </w:tr>
      <w:tr w:rsidR="00D624B1" w:rsidRPr="00690BB0" w:rsidTr="003F2A5D">
        <w:trPr>
          <w:trHeight w:val="222"/>
        </w:trPr>
        <w:tc>
          <w:tcPr>
            <w:tcW w:w="9214" w:type="dxa"/>
            <w:gridSpan w:val="4"/>
            <w:tcBorders>
              <w:top w:val="single" w:sz="2" w:space="0" w:color="auto"/>
              <w:left w:val="single" w:sz="2" w:space="0" w:color="auto"/>
              <w:bottom w:val="single" w:sz="2" w:space="0" w:color="auto"/>
              <w:right w:val="single" w:sz="2" w:space="0" w:color="auto"/>
            </w:tcBorders>
          </w:tcPr>
          <w:p w:rsidR="00D624B1" w:rsidRPr="00690BB0" w:rsidRDefault="00D624B1" w:rsidP="003F2A5D">
            <w:pPr>
              <w:widowControl/>
              <w:rPr>
                <w:noProof/>
              </w:rPr>
            </w:pPr>
            <w:r w:rsidRPr="00690BB0">
              <w:t>Tabell 3: Tillämpning av provningar, försäkringar och andra krav för typgodkännande och utökningar av fordon av kategorierna M</w:t>
            </w:r>
            <w:r w:rsidRPr="00690BB0">
              <w:rPr>
                <w:vertAlign w:val="subscript"/>
              </w:rPr>
              <w:t>2</w:t>
            </w:r>
            <w:r w:rsidRPr="00690BB0">
              <w:t>, M</w:t>
            </w:r>
            <w:r w:rsidRPr="00690BB0">
              <w:rPr>
                <w:vertAlign w:val="subscript"/>
              </w:rPr>
              <w:t>3</w:t>
            </w:r>
            <w:r w:rsidRPr="00690BB0">
              <w:t>, N</w:t>
            </w:r>
            <w:r w:rsidRPr="00690BB0">
              <w:rPr>
                <w:vertAlign w:val="subscript"/>
              </w:rPr>
              <w:t>2</w:t>
            </w:r>
            <w:r w:rsidRPr="00690BB0">
              <w:t xml:space="preserve"> och N</w:t>
            </w:r>
            <w:r w:rsidRPr="00690BB0">
              <w:rPr>
                <w:vertAlign w:val="subscript"/>
              </w:rPr>
              <w:t>3</w:t>
            </w:r>
            <w:r w:rsidRPr="00690BB0">
              <w:t xml:space="preserve"> för tillverkare</w:t>
            </w:r>
          </w:p>
        </w:tc>
      </w:tr>
      <w:tr w:rsidR="00D624B1" w:rsidRPr="00690BB0" w:rsidTr="003F2A5D">
        <w:trPr>
          <w:trHeight w:val="222"/>
        </w:trPr>
        <w:tc>
          <w:tcPr>
            <w:tcW w:w="2210"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jc w:val="center"/>
              <w:rPr>
                <w:noProof/>
              </w:rPr>
            </w:pPr>
            <w:r w:rsidRPr="00690BB0">
              <w:t>Provningskrav</w:t>
            </w:r>
          </w:p>
        </w:tc>
        <w:tc>
          <w:tcPr>
            <w:tcW w:w="2210"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jc w:val="center"/>
              <w:rPr>
                <w:noProof/>
              </w:rPr>
            </w:pPr>
            <w:r w:rsidRPr="00690BB0">
              <w:t xml:space="preserve">Provningar och krav </w:t>
            </w:r>
            <w:r w:rsidRPr="00690BB0">
              <w:rPr>
                <w:b/>
                <w:bCs/>
                <w:i/>
                <w:iCs/>
              </w:rPr>
              <w:t>vid ursprungligt</w:t>
            </w:r>
            <w:r w:rsidRPr="00690BB0">
              <w:t xml:space="preserve"> typgodkännande avseende utsläpp </w:t>
            </w:r>
          </w:p>
        </w:tc>
        <w:tc>
          <w:tcPr>
            <w:tcW w:w="2210"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jc w:val="center"/>
              <w:rPr>
                <w:noProof/>
              </w:rPr>
            </w:pPr>
            <w:r w:rsidRPr="00690BB0">
              <w:t xml:space="preserve">Provningar vid produktionsöverensstämmelse </w:t>
            </w:r>
          </w:p>
        </w:tc>
        <w:tc>
          <w:tcPr>
            <w:tcW w:w="2584"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jc w:val="center"/>
              <w:rPr>
                <w:noProof/>
              </w:rPr>
            </w:pPr>
            <w:r w:rsidRPr="00690BB0">
              <w:t>Provningar vid överensstämmelse hos fordon i drift</w:t>
            </w:r>
          </w:p>
        </w:tc>
      </w:tr>
      <w:tr w:rsidR="00D624B1" w:rsidRPr="00690BB0" w:rsidTr="003F2A5D">
        <w:trPr>
          <w:trHeight w:val="274"/>
        </w:trPr>
        <w:tc>
          <w:tcPr>
            <w:tcW w:w="2210"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b/>
                <w:noProof/>
              </w:rPr>
            </w:pPr>
            <w:r w:rsidRPr="00690BB0">
              <w:t xml:space="preserve">Gasformiga föroreningar, </w:t>
            </w:r>
            <w:r w:rsidRPr="00690BB0">
              <w:rPr>
                <w:b/>
                <w:bCs/>
                <w:i/>
                <w:iCs/>
              </w:rPr>
              <w:t>partikelmassa och</w:t>
            </w:r>
            <w:r w:rsidRPr="00690BB0">
              <w:t xml:space="preserve"> partikelantal vid provning på väg (RDE) för varje bränsle och för de tillämpliga fordonskategorierna (M</w:t>
            </w:r>
            <w:r w:rsidRPr="00690BB0">
              <w:rPr>
                <w:vertAlign w:val="subscript"/>
              </w:rPr>
              <w:t>2</w:t>
            </w:r>
            <w:r w:rsidRPr="00690BB0">
              <w:t>, M</w:t>
            </w:r>
            <w:r w:rsidRPr="00690BB0">
              <w:rPr>
                <w:vertAlign w:val="subscript"/>
              </w:rPr>
              <w:t>3</w:t>
            </w:r>
            <w:r w:rsidRPr="00690BB0">
              <w:t>, N</w:t>
            </w:r>
            <w:r w:rsidRPr="00690BB0">
              <w:rPr>
                <w:vertAlign w:val="subscript"/>
              </w:rPr>
              <w:t>2</w:t>
            </w:r>
            <w:r w:rsidRPr="00690BB0">
              <w:t xml:space="preserve"> och N</w:t>
            </w:r>
            <w:r w:rsidRPr="00690BB0">
              <w:rPr>
                <w:vertAlign w:val="subscript"/>
              </w:rPr>
              <w:t>3</w:t>
            </w:r>
            <w:r w:rsidRPr="00690BB0">
              <w:t xml:space="preserve">) </w:t>
            </w:r>
            <w:r w:rsidRPr="00690BB0">
              <w:rPr>
                <w:b/>
                <w:bCs/>
                <w:i/>
                <w:iCs/>
              </w:rPr>
              <w:t>och provning med låg belastning (i tillämpliga fall)</w:t>
            </w:r>
          </w:p>
        </w:tc>
        <w:tc>
          <w:tcPr>
            <w:tcW w:w="2210"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 xml:space="preserve">Obligatorisk demonstrationsprovning för alla bränslen för vilka typgodkännande beviljas per fordonstyp och försäkran om överensstämmelse för alla bränslen, alla nyttolaster och alla tillämpliga </w:t>
            </w:r>
            <w:r w:rsidRPr="00690BB0">
              <w:rPr>
                <w:b/>
                <w:bCs/>
                <w:i/>
                <w:iCs/>
              </w:rPr>
              <w:t>fordonstyper</w:t>
            </w:r>
          </w:p>
        </w:tc>
        <w:tc>
          <w:tcPr>
            <w:tcW w:w="2210" w:type="dxa"/>
            <w:tcBorders>
              <w:top w:val="single" w:sz="2" w:space="0" w:color="auto"/>
              <w:left w:val="single" w:sz="2" w:space="0" w:color="auto"/>
              <w:bottom w:val="single" w:sz="2" w:space="0" w:color="auto"/>
              <w:right w:val="single" w:sz="2" w:space="0" w:color="auto"/>
            </w:tcBorders>
          </w:tcPr>
          <w:p w:rsidR="00D624B1" w:rsidRPr="00690BB0" w:rsidRDefault="00D624B1" w:rsidP="003F2A5D">
            <w:pPr>
              <w:widowControl/>
              <w:spacing w:line="276" w:lineRule="auto"/>
              <w:rPr>
                <w:b/>
                <w:i/>
                <w:noProof/>
              </w:rPr>
            </w:pPr>
            <w:r w:rsidRPr="00690BB0">
              <w:rPr>
                <w:b/>
                <w:i/>
              </w:rPr>
              <w:t>Produktionsöverensstämmelse endast på motornivå</w:t>
            </w:r>
          </w:p>
        </w:tc>
        <w:tc>
          <w:tcPr>
            <w:tcW w:w="2584"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Obligatorisk provning på ett fordon med alla bränslen och på alla fordonskategorier och alla nyttolaster för alla motortyper vartannat år</w:t>
            </w:r>
          </w:p>
        </w:tc>
      </w:tr>
      <w:tr w:rsidR="00D624B1" w:rsidRPr="00690BB0" w:rsidTr="003F2A5D">
        <w:trPr>
          <w:trHeight w:val="215"/>
        </w:trPr>
        <w:tc>
          <w:tcPr>
            <w:tcW w:w="2210"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b/>
                <w:i/>
                <w:noProof/>
              </w:rPr>
            </w:pPr>
            <w:r w:rsidRPr="00690BB0">
              <w:rPr>
                <w:b/>
                <w:i/>
              </w:rPr>
              <w:t>Fastställande av ett fordons koldioxidutsläpp, bränsle- och energiförbrukning, utsläppsfri räckvidd/räckvidd vid eldrift</w:t>
            </w:r>
          </w:p>
        </w:tc>
        <w:tc>
          <w:tcPr>
            <w:tcW w:w="2210"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b/>
                <w:i/>
                <w:noProof/>
              </w:rPr>
            </w:pPr>
            <w:r w:rsidRPr="00690BB0">
              <w:rPr>
                <w:b/>
                <w:i/>
              </w:rPr>
              <w:t>Vecto-licens</w:t>
            </w:r>
          </w:p>
        </w:tc>
        <w:tc>
          <w:tcPr>
            <w:tcW w:w="2210"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b/>
                <w:i/>
                <w:noProof/>
              </w:rPr>
            </w:pPr>
            <w:r w:rsidRPr="00690BB0">
              <w:rPr>
                <w:b/>
                <w:i/>
              </w:rPr>
              <w:t>För komponenter</w:t>
            </w:r>
          </w:p>
        </w:tc>
        <w:tc>
          <w:tcPr>
            <w:tcW w:w="2584"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b/>
                <w:i/>
                <w:noProof/>
              </w:rPr>
            </w:pPr>
            <w:r w:rsidRPr="00690BB0">
              <w:rPr>
                <w:b/>
                <w:i/>
              </w:rPr>
              <w:t>Krävs ej</w:t>
            </w:r>
          </w:p>
        </w:tc>
      </w:tr>
      <w:tr w:rsidR="00D624B1" w:rsidRPr="00690BB0" w:rsidTr="003F2A5D">
        <w:trPr>
          <w:trHeight w:val="215"/>
        </w:trPr>
        <w:tc>
          <w:tcPr>
            <w:tcW w:w="2210"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Släpfordons energieffektivitet</w:t>
            </w:r>
          </w:p>
        </w:tc>
        <w:tc>
          <w:tcPr>
            <w:tcW w:w="2210"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Vecto-licens</w:t>
            </w:r>
          </w:p>
        </w:tc>
        <w:tc>
          <w:tcPr>
            <w:tcW w:w="2210"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För komponenter</w:t>
            </w:r>
          </w:p>
        </w:tc>
        <w:tc>
          <w:tcPr>
            <w:tcW w:w="2584"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 ej</w:t>
            </w:r>
          </w:p>
        </w:tc>
      </w:tr>
      <w:tr w:rsidR="00D624B1" w:rsidRPr="00690BB0" w:rsidTr="003F2A5D">
        <w:trPr>
          <w:trHeight w:val="215"/>
        </w:trPr>
        <w:tc>
          <w:tcPr>
            <w:tcW w:w="2210"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Provningsförfarande</w:t>
            </w:r>
          </w:p>
        </w:tc>
        <w:tc>
          <w:tcPr>
            <w:tcW w:w="2210"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 ej</w:t>
            </w:r>
          </w:p>
        </w:tc>
        <w:tc>
          <w:tcPr>
            <w:tcW w:w="2210"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w:t>
            </w:r>
          </w:p>
        </w:tc>
        <w:tc>
          <w:tcPr>
            <w:tcW w:w="2584"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 ej</w:t>
            </w:r>
          </w:p>
        </w:tc>
      </w:tr>
      <w:tr w:rsidR="00D624B1" w:rsidRPr="00690BB0" w:rsidTr="003F2A5D">
        <w:trPr>
          <w:trHeight w:val="215"/>
        </w:trPr>
        <w:tc>
          <w:tcPr>
            <w:tcW w:w="2210"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Vevhusutsläpp</w:t>
            </w:r>
          </w:p>
        </w:tc>
        <w:tc>
          <w:tcPr>
            <w:tcW w:w="2210"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Kontrollera att ett slutet vevhussystem eller en rörledning till avgasröret har installerats</w:t>
            </w:r>
          </w:p>
        </w:tc>
        <w:tc>
          <w:tcPr>
            <w:tcW w:w="2210"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 ej</w:t>
            </w:r>
          </w:p>
        </w:tc>
        <w:tc>
          <w:tcPr>
            <w:tcW w:w="2584"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Valfritt</w:t>
            </w:r>
            <w:r w:rsidRPr="00690BB0">
              <w:rPr>
                <w:vertAlign w:val="superscript"/>
              </w:rPr>
              <w:t>6</w:t>
            </w:r>
          </w:p>
        </w:tc>
      </w:tr>
      <w:tr w:rsidR="00D624B1" w:rsidRPr="00690BB0" w:rsidTr="003F2A5D">
        <w:trPr>
          <w:trHeight w:val="222"/>
        </w:trPr>
        <w:tc>
          <w:tcPr>
            <w:tcW w:w="2210"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Utsläppens beständighet</w:t>
            </w:r>
          </w:p>
        </w:tc>
        <w:tc>
          <w:tcPr>
            <w:tcW w:w="2210"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Försäkran</w:t>
            </w:r>
          </w:p>
        </w:tc>
        <w:tc>
          <w:tcPr>
            <w:tcW w:w="2210"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 ej</w:t>
            </w:r>
          </w:p>
        </w:tc>
        <w:tc>
          <w:tcPr>
            <w:tcW w:w="2584"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 ej</w:t>
            </w:r>
          </w:p>
        </w:tc>
      </w:tr>
      <w:tr w:rsidR="00D624B1" w:rsidRPr="00690BB0" w:rsidTr="003F2A5D">
        <w:trPr>
          <w:trHeight w:val="222"/>
        </w:trPr>
        <w:tc>
          <w:tcPr>
            <w:tcW w:w="2210"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Batteriets hållbarhet</w:t>
            </w:r>
          </w:p>
        </w:tc>
        <w:tc>
          <w:tcPr>
            <w:tcW w:w="2210"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Försäkran</w:t>
            </w:r>
          </w:p>
        </w:tc>
        <w:tc>
          <w:tcPr>
            <w:tcW w:w="2210"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 ej</w:t>
            </w:r>
          </w:p>
        </w:tc>
        <w:tc>
          <w:tcPr>
            <w:tcW w:w="2584"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 ej</w:t>
            </w:r>
          </w:p>
        </w:tc>
      </w:tr>
      <w:tr w:rsidR="00D624B1" w:rsidRPr="00690BB0" w:rsidTr="003F2A5D">
        <w:trPr>
          <w:trHeight w:val="222"/>
        </w:trPr>
        <w:tc>
          <w:tcPr>
            <w:tcW w:w="2210"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 xml:space="preserve">Omborddiagnos (OBD-familjenivå) </w:t>
            </w:r>
          </w:p>
        </w:tc>
        <w:tc>
          <w:tcPr>
            <w:tcW w:w="2210"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Försäkran</w:t>
            </w:r>
          </w:p>
        </w:tc>
        <w:tc>
          <w:tcPr>
            <w:tcW w:w="2210"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 ej</w:t>
            </w:r>
          </w:p>
        </w:tc>
        <w:tc>
          <w:tcPr>
            <w:tcW w:w="2584"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Valfritt</w:t>
            </w:r>
            <w:r w:rsidRPr="00690BB0">
              <w:rPr>
                <w:vertAlign w:val="superscript"/>
              </w:rPr>
              <w:t>6</w:t>
            </w:r>
          </w:p>
        </w:tc>
      </w:tr>
      <w:tr w:rsidR="00D624B1" w:rsidRPr="00690BB0" w:rsidTr="003F2A5D">
        <w:trPr>
          <w:trHeight w:val="365"/>
        </w:trPr>
        <w:tc>
          <w:tcPr>
            <w:tcW w:w="2210"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Ombordövervakning (OBD-familjenivå)</w:t>
            </w:r>
          </w:p>
        </w:tc>
        <w:tc>
          <w:tcPr>
            <w:tcW w:w="2210"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Demonstration och försäkran</w:t>
            </w:r>
          </w:p>
        </w:tc>
        <w:tc>
          <w:tcPr>
            <w:tcW w:w="2210"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 ej</w:t>
            </w:r>
          </w:p>
        </w:tc>
        <w:tc>
          <w:tcPr>
            <w:tcW w:w="2584"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w:t>
            </w:r>
          </w:p>
        </w:tc>
      </w:tr>
      <w:tr w:rsidR="00D624B1" w:rsidRPr="00690BB0" w:rsidTr="003F2A5D">
        <w:trPr>
          <w:trHeight w:val="222"/>
        </w:trPr>
        <w:tc>
          <w:tcPr>
            <w:tcW w:w="2210"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Manipuleringsskydd, säkerhet och cybersäkerhet</w:t>
            </w:r>
          </w:p>
        </w:tc>
        <w:tc>
          <w:tcPr>
            <w:tcW w:w="2210"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Försäkran och dokumentation</w:t>
            </w:r>
          </w:p>
        </w:tc>
        <w:tc>
          <w:tcPr>
            <w:tcW w:w="2210"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 ej</w:t>
            </w:r>
          </w:p>
        </w:tc>
        <w:tc>
          <w:tcPr>
            <w:tcW w:w="2584"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 ej</w:t>
            </w:r>
          </w:p>
        </w:tc>
      </w:tr>
      <w:tr w:rsidR="00D624B1" w:rsidRPr="00690BB0" w:rsidTr="003F2A5D">
        <w:trPr>
          <w:trHeight w:val="222"/>
        </w:trPr>
        <w:tc>
          <w:tcPr>
            <w:tcW w:w="2210"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b/>
                <w:i/>
                <w:noProof/>
              </w:rPr>
            </w:pPr>
            <w:r w:rsidRPr="00690BB0">
              <w:rPr>
                <w:b/>
                <w:i/>
              </w:rPr>
              <w:t>Dynamisk reglering (i tillämpliga fall)</w:t>
            </w:r>
          </w:p>
        </w:tc>
        <w:tc>
          <w:tcPr>
            <w:tcW w:w="2210"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b/>
                <w:i/>
                <w:noProof/>
              </w:rPr>
            </w:pPr>
            <w:r w:rsidRPr="00690BB0">
              <w:rPr>
                <w:b/>
                <w:i/>
              </w:rPr>
              <w:t>Försäkran</w:t>
            </w:r>
          </w:p>
        </w:tc>
        <w:tc>
          <w:tcPr>
            <w:tcW w:w="2210"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b/>
                <w:i/>
                <w:noProof/>
              </w:rPr>
            </w:pPr>
            <w:r w:rsidRPr="00690BB0">
              <w:rPr>
                <w:b/>
                <w:i/>
              </w:rPr>
              <w:t>Krävs ej</w:t>
            </w:r>
          </w:p>
        </w:tc>
        <w:tc>
          <w:tcPr>
            <w:tcW w:w="2584"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b/>
                <w:i/>
                <w:noProof/>
              </w:rPr>
            </w:pPr>
            <w:r w:rsidRPr="00690BB0">
              <w:rPr>
                <w:b/>
                <w:i/>
              </w:rPr>
              <w:t>Krävs ej</w:t>
            </w:r>
          </w:p>
        </w:tc>
      </w:tr>
      <w:tr w:rsidR="00D624B1" w:rsidRPr="00690BB0" w:rsidTr="003F2A5D">
        <w:trPr>
          <w:trHeight w:val="222"/>
        </w:trPr>
        <w:tc>
          <w:tcPr>
            <w:tcW w:w="2210"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b/>
                <w:i/>
                <w:noProof/>
              </w:rPr>
            </w:pPr>
            <w:r w:rsidRPr="00690BB0">
              <w:rPr>
                <w:b/>
                <w:i/>
              </w:rPr>
              <w:t>Geofencing-teknik (i tillämpliga fall)</w:t>
            </w:r>
          </w:p>
        </w:tc>
        <w:tc>
          <w:tcPr>
            <w:tcW w:w="2210"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b/>
                <w:i/>
                <w:noProof/>
              </w:rPr>
            </w:pPr>
            <w:r w:rsidRPr="00690BB0">
              <w:rPr>
                <w:b/>
                <w:i/>
              </w:rPr>
              <w:t>Försäkran och demonstration</w:t>
            </w:r>
          </w:p>
        </w:tc>
        <w:tc>
          <w:tcPr>
            <w:tcW w:w="2210"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b/>
                <w:i/>
                <w:noProof/>
              </w:rPr>
            </w:pPr>
            <w:r w:rsidRPr="00690BB0">
              <w:rPr>
                <w:b/>
                <w:i/>
              </w:rPr>
              <w:t>Krävs ej</w:t>
            </w:r>
          </w:p>
        </w:tc>
        <w:tc>
          <w:tcPr>
            <w:tcW w:w="2584"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b/>
                <w:i/>
                <w:noProof/>
              </w:rPr>
            </w:pPr>
            <w:r w:rsidRPr="00690BB0">
              <w:rPr>
                <w:b/>
                <w:i/>
              </w:rPr>
              <w:t>Krävs ej</w:t>
            </w:r>
          </w:p>
        </w:tc>
      </w:tr>
    </w:tbl>
    <w:p w:rsidR="00D624B1" w:rsidRPr="00690BB0" w:rsidRDefault="00D624B1" w:rsidP="00D624B1">
      <w:pPr>
        <w:widowControl/>
      </w:pPr>
    </w:p>
    <w:p w:rsidR="00D624B1" w:rsidRPr="00690BB0" w:rsidRDefault="00D624B1" w:rsidP="00D624B1">
      <w:pPr>
        <w:widowControl/>
      </w:pPr>
    </w:p>
    <w:tbl>
      <w:tblPr>
        <w:tblW w:w="8931" w:type="dxa"/>
        <w:tblInd w:w="-3" w:type="dxa"/>
        <w:tblLayout w:type="fixed"/>
        <w:tblLook w:val="04A0" w:firstRow="1" w:lastRow="0" w:firstColumn="1" w:lastColumn="0" w:noHBand="0" w:noVBand="1"/>
      </w:tblPr>
      <w:tblGrid>
        <w:gridCol w:w="2368"/>
        <w:gridCol w:w="2368"/>
        <w:gridCol w:w="2368"/>
        <w:gridCol w:w="1827"/>
      </w:tblGrid>
      <w:tr w:rsidR="00D624B1" w:rsidRPr="00690BB0" w:rsidTr="003F2A5D">
        <w:trPr>
          <w:trHeight w:val="228"/>
        </w:trPr>
        <w:tc>
          <w:tcPr>
            <w:tcW w:w="8931" w:type="dxa"/>
            <w:gridSpan w:val="4"/>
            <w:tcBorders>
              <w:top w:val="single" w:sz="2" w:space="0" w:color="auto"/>
              <w:left w:val="single" w:sz="2" w:space="0" w:color="auto"/>
              <w:bottom w:val="single" w:sz="2" w:space="0" w:color="auto"/>
              <w:right w:val="single" w:sz="2" w:space="0" w:color="auto"/>
            </w:tcBorders>
          </w:tcPr>
          <w:p w:rsidR="00D624B1" w:rsidRPr="00690BB0" w:rsidRDefault="007B7831" w:rsidP="003F2A5D">
            <w:pPr>
              <w:widowControl/>
              <w:spacing w:before="60" w:after="60"/>
              <w:jc w:val="center"/>
              <w:rPr>
                <w:i/>
                <w:noProof/>
                <w:szCs w:val="24"/>
              </w:rPr>
            </w:pPr>
            <w:r w:rsidRPr="00690BB0">
              <w:rPr>
                <w:i/>
              </w:rPr>
              <w:t>Ändring</w:t>
            </w:r>
          </w:p>
        </w:tc>
      </w:tr>
      <w:tr w:rsidR="00D624B1" w:rsidRPr="00690BB0" w:rsidTr="003F2A5D">
        <w:trPr>
          <w:trHeight w:val="228"/>
        </w:trPr>
        <w:tc>
          <w:tcPr>
            <w:tcW w:w="8931" w:type="dxa"/>
            <w:gridSpan w:val="4"/>
            <w:tcBorders>
              <w:top w:val="single" w:sz="2" w:space="0" w:color="auto"/>
              <w:left w:val="single" w:sz="2" w:space="0" w:color="auto"/>
              <w:bottom w:val="single" w:sz="2" w:space="0" w:color="auto"/>
              <w:right w:val="single" w:sz="2" w:space="0" w:color="auto"/>
            </w:tcBorders>
          </w:tcPr>
          <w:p w:rsidR="00D624B1" w:rsidRPr="00690BB0" w:rsidRDefault="00D624B1" w:rsidP="003F2A5D">
            <w:pPr>
              <w:widowControl/>
              <w:spacing w:after="200" w:line="276" w:lineRule="auto"/>
              <w:rPr>
                <w:noProof/>
                <w:szCs w:val="24"/>
              </w:rPr>
            </w:pPr>
            <w:r w:rsidRPr="00690BB0">
              <w:t xml:space="preserve">Tabell 3: Tillämpning av </w:t>
            </w:r>
            <w:r w:rsidRPr="00690BB0">
              <w:rPr>
                <w:b/>
                <w:bCs/>
                <w:i/>
                <w:iCs/>
              </w:rPr>
              <w:t>provningskrav</w:t>
            </w:r>
            <w:r w:rsidRPr="00690BB0">
              <w:t>, försäkringar och andra krav för typgodkännande och utökningar av fordon av kategorierna M</w:t>
            </w:r>
            <w:r w:rsidRPr="00690BB0">
              <w:rPr>
                <w:vertAlign w:val="subscript"/>
              </w:rPr>
              <w:t>2</w:t>
            </w:r>
            <w:r w:rsidRPr="00690BB0">
              <w:t>, M</w:t>
            </w:r>
            <w:r w:rsidRPr="00690BB0">
              <w:rPr>
                <w:vertAlign w:val="subscript"/>
              </w:rPr>
              <w:t>3</w:t>
            </w:r>
            <w:r w:rsidRPr="00690BB0">
              <w:t>, N</w:t>
            </w:r>
            <w:r w:rsidRPr="00690BB0">
              <w:rPr>
                <w:vertAlign w:val="subscript"/>
              </w:rPr>
              <w:t>2</w:t>
            </w:r>
            <w:r w:rsidRPr="00690BB0">
              <w:t xml:space="preserve"> och N</w:t>
            </w:r>
            <w:r w:rsidRPr="00690BB0">
              <w:rPr>
                <w:vertAlign w:val="subscript"/>
              </w:rPr>
              <w:t>3</w:t>
            </w:r>
            <w:r w:rsidRPr="00690BB0">
              <w:t xml:space="preserve"> för tillverkare</w:t>
            </w:r>
          </w:p>
        </w:tc>
      </w:tr>
      <w:tr w:rsidR="00D624B1" w:rsidRPr="00690BB0" w:rsidTr="003F2A5D">
        <w:trPr>
          <w:trHeight w:val="228"/>
        </w:trPr>
        <w:tc>
          <w:tcPr>
            <w:tcW w:w="2368"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before="60" w:after="60"/>
              <w:jc w:val="center"/>
              <w:rPr>
                <w:noProof/>
                <w:szCs w:val="24"/>
              </w:rPr>
            </w:pPr>
            <w:r w:rsidRPr="00690BB0">
              <w:t>Provningskrav</w:t>
            </w:r>
          </w:p>
        </w:tc>
        <w:tc>
          <w:tcPr>
            <w:tcW w:w="2368"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before="60" w:after="60"/>
              <w:jc w:val="center"/>
              <w:rPr>
                <w:noProof/>
                <w:szCs w:val="24"/>
              </w:rPr>
            </w:pPr>
            <w:r w:rsidRPr="00690BB0">
              <w:t xml:space="preserve">Provningar och krav </w:t>
            </w:r>
            <w:r w:rsidRPr="00690BB0">
              <w:rPr>
                <w:b/>
                <w:bCs/>
                <w:i/>
                <w:iCs/>
              </w:rPr>
              <w:t>för</w:t>
            </w:r>
            <w:r w:rsidRPr="00690BB0">
              <w:t xml:space="preserve"> typgodkännande avseende utsläpp </w:t>
            </w:r>
          </w:p>
        </w:tc>
        <w:tc>
          <w:tcPr>
            <w:tcW w:w="2368"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before="60" w:after="60"/>
              <w:jc w:val="center"/>
              <w:rPr>
                <w:noProof/>
                <w:szCs w:val="24"/>
              </w:rPr>
            </w:pPr>
            <w:r w:rsidRPr="00690BB0">
              <w:t xml:space="preserve">Provningar vid produktionsöverensstämmelse </w:t>
            </w:r>
          </w:p>
        </w:tc>
        <w:tc>
          <w:tcPr>
            <w:tcW w:w="1827"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before="60" w:after="60"/>
              <w:jc w:val="center"/>
              <w:rPr>
                <w:noProof/>
                <w:szCs w:val="24"/>
              </w:rPr>
            </w:pPr>
            <w:r w:rsidRPr="00690BB0">
              <w:t>Provningar vid överensstämmelse hos fordon i drift</w:t>
            </w:r>
          </w:p>
        </w:tc>
      </w:tr>
      <w:tr w:rsidR="00D624B1" w:rsidRPr="00690BB0" w:rsidTr="003F2A5D">
        <w:trPr>
          <w:trHeight w:val="282"/>
        </w:trPr>
        <w:tc>
          <w:tcPr>
            <w:tcW w:w="2368"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before="60" w:after="60"/>
              <w:rPr>
                <w:b/>
                <w:i/>
                <w:noProof/>
                <w:szCs w:val="24"/>
              </w:rPr>
            </w:pPr>
            <w:r w:rsidRPr="00690BB0">
              <w:rPr>
                <w:b/>
                <w:i/>
              </w:rPr>
              <w:t>Utsläpp av gasformiga föroreningar, partikelmassa och partikelantal och koldioxid, bränsleförbrukning under transient cykel (WHTC kall och varm)</w:t>
            </w:r>
          </w:p>
        </w:tc>
        <w:tc>
          <w:tcPr>
            <w:tcW w:w="2368"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before="60" w:after="60"/>
              <w:rPr>
                <w:b/>
                <w:bCs/>
                <w:i/>
                <w:noProof/>
                <w:szCs w:val="24"/>
              </w:rPr>
            </w:pPr>
            <w:r w:rsidRPr="00690BB0">
              <w:rPr>
                <w:b/>
                <w:i/>
              </w:rPr>
              <w:t>Krävs på den överordnade motorn i utsläppsfamiljen och försäkran för alla familjemedlemmar**</w:t>
            </w:r>
          </w:p>
          <w:p w:rsidR="00D624B1" w:rsidRPr="00690BB0" w:rsidRDefault="00D624B1" w:rsidP="003F2A5D">
            <w:pPr>
              <w:widowControl/>
              <w:spacing w:before="60" w:after="60"/>
              <w:rPr>
                <w:b/>
                <w:i/>
                <w:noProof/>
                <w:szCs w:val="24"/>
              </w:rPr>
            </w:pPr>
            <w:r w:rsidRPr="00690BB0">
              <w:rPr>
                <w:b/>
                <w:i/>
              </w:rPr>
              <w:t>**</w:t>
            </w:r>
          </w:p>
        </w:tc>
        <w:tc>
          <w:tcPr>
            <w:tcW w:w="2368"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before="60" w:after="60"/>
              <w:rPr>
                <w:b/>
                <w:i/>
                <w:noProof/>
                <w:szCs w:val="24"/>
              </w:rPr>
            </w:pPr>
            <w:r w:rsidRPr="00690BB0">
              <w:rPr>
                <w:b/>
                <w:i/>
              </w:rPr>
              <w:t>Krävs för en motor som inte tillhör familjen</w:t>
            </w:r>
          </w:p>
          <w:p w:rsidR="00D624B1" w:rsidRPr="00690BB0" w:rsidRDefault="00D624B1" w:rsidP="003F2A5D">
            <w:pPr>
              <w:widowControl/>
              <w:spacing w:before="60" w:after="60"/>
              <w:rPr>
                <w:b/>
                <w:i/>
                <w:noProof/>
                <w:szCs w:val="24"/>
              </w:rPr>
            </w:pPr>
            <w:r w:rsidRPr="00690BB0">
              <w:rPr>
                <w:b/>
                <w:i/>
              </w:rPr>
              <w:t>**</w:t>
            </w:r>
          </w:p>
        </w:tc>
        <w:tc>
          <w:tcPr>
            <w:tcW w:w="1827" w:type="dxa"/>
            <w:tcBorders>
              <w:top w:val="single" w:sz="2" w:space="0" w:color="auto"/>
              <w:left w:val="single" w:sz="2" w:space="0" w:color="auto"/>
              <w:bottom w:val="single" w:sz="2" w:space="0" w:color="auto"/>
              <w:right w:val="single" w:sz="2" w:space="0" w:color="auto"/>
            </w:tcBorders>
          </w:tcPr>
          <w:p w:rsidR="00D624B1" w:rsidRPr="00690BB0" w:rsidRDefault="00D624B1" w:rsidP="003F2A5D">
            <w:pPr>
              <w:widowControl/>
              <w:spacing w:before="60" w:after="60"/>
              <w:rPr>
                <w:b/>
                <w:i/>
                <w:noProof/>
                <w:szCs w:val="24"/>
              </w:rPr>
            </w:pPr>
          </w:p>
        </w:tc>
      </w:tr>
      <w:tr w:rsidR="00D624B1" w:rsidRPr="00690BB0" w:rsidTr="003F2A5D">
        <w:trPr>
          <w:trHeight w:val="221"/>
        </w:trPr>
        <w:tc>
          <w:tcPr>
            <w:tcW w:w="2368"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before="60" w:after="60"/>
              <w:rPr>
                <w:noProof/>
                <w:szCs w:val="24"/>
              </w:rPr>
            </w:pPr>
            <w:r w:rsidRPr="00690BB0">
              <w:t>Gasformiga föroreningar, partikelmassa och partikelantal vid provning på väg (RDE) för varje bränsle och för de tillämpliga fordonskategorierna (M</w:t>
            </w:r>
            <w:r w:rsidRPr="00690BB0">
              <w:rPr>
                <w:vertAlign w:val="subscript"/>
              </w:rPr>
              <w:t>2</w:t>
            </w:r>
            <w:r w:rsidRPr="00690BB0">
              <w:t>, M</w:t>
            </w:r>
            <w:r w:rsidRPr="00690BB0">
              <w:rPr>
                <w:vertAlign w:val="subscript"/>
              </w:rPr>
              <w:t>3</w:t>
            </w:r>
            <w:r w:rsidRPr="00690BB0">
              <w:t>, N</w:t>
            </w:r>
            <w:r w:rsidRPr="00690BB0">
              <w:rPr>
                <w:vertAlign w:val="subscript"/>
              </w:rPr>
              <w:t>2</w:t>
            </w:r>
            <w:r w:rsidRPr="00690BB0">
              <w:t xml:space="preserve"> och N</w:t>
            </w:r>
            <w:r w:rsidRPr="00690BB0">
              <w:rPr>
                <w:vertAlign w:val="subscript"/>
              </w:rPr>
              <w:t>3</w:t>
            </w:r>
            <w:r w:rsidRPr="00690BB0">
              <w:t>)</w:t>
            </w:r>
          </w:p>
        </w:tc>
        <w:tc>
          <w:tcPr>
            <w:tcW w:w="2368"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before="60" w:after="60"/>
              <w:rPr>
                <w:b/>
                <w:bCs/>
                <w:noProof/>
                <w:szCs w:val="24"/>
                <w:u w:val="single"/>
              </w:rPr>
            </w:pPr>
            <w:r w:rsidRPr="00690BB0">
              <w:t xml:space="preserve">Obligatorisk demonstrationsprovning för alla bränslen för vilka typgodkännande beviljas per fordonstyp och försäkran om överensstämmelse för alla bränslen, alla nyttolaster och alla tillämpliga </w:t>
            </w:r>
            <w:r w:rsidRPr="00690BB0">
              <w:rPr>
                <w:b/>
                <w:bCs/>
                <w:i/>
                <w:iCs/>
              </w:rPr>
              <w:t>fordonskategorier</w:t>
            </w:r>
          </w:p>
          <w:p w:rsidR="00D624B1" w:rsidRPr="00690BB0" w:rsidRDefault="00D624B1" w:rsidP="003F2A5D">
            <w:pPr>
              <w:widowControl/>
              <w:spacing w:before="60" w:after="60"/>
              <w:rPr>
                <w:b/>
                <w:i/>
                <w:noProof/>
                <w:szCs w:val="24"/>
              </w:rPr>
            </w:pPr>
            <w:r w:rsidRPr="00690BB0">
              <w:rPr>
                <w:b/>
                <w:i/>
              </w:rPr>
              <w:t>**</w:t>
            </w:r>
          </w:p>
        </w:tc>
        <w:tc>
          <w:tcPr>
            <w:tcW w:w="2368"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before="60" w:after="60"/>
              <w:rPr>
                <w:i/>
                <w:noProof/>
                <w:szCs w:val="24"/>
              </w:rPr>
            </w:pPr>
            <w:r w:rsidRPr="00690BB0">
              <w:rPr>
                <w:b/>
                <w:i/>
              </w:rPr>
              <w:t>Krävs ej</w:t>
            </w:r>
          </w:p>
        </w:tc>
        <w:tc>
          <w:tcPr>
            <w:tcW w:w="1827"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before="60" w:after="60"/>
              <w:rPr>
                <w:noProof/>
                <w:szCs w:val="24"/>
              </w:rPr>
            </w:pPr>
            <w:r w:rsidRPr="00690BB0">
              <w:t>Obligatorisk provning på ett fordon med alla bränslen och på alla fordonskategorier och alla nyttolaster för alla motortyper vartannat år</w:t>
            </w:r>
          </w:p>
          <w:p w:rsidR="00D624B1" w:rsidRPr="00690BB0" w:rsidRDefault="00D624B1" w:rsidP="003F2A5D">
            <w:pPr>
              <w:widowControl/>
              <w:spacing w:before="60" w:after="60"/>
              <w:rPr>
                <w:i/>
                <w:noProof/>
                <w:szCs w:val="24"/>
              </w:rPr>
            </w:pPr>
            <w:r w:rsidRPr="00690BB0">
              <w:rPr>
                <w:b/>
                <w:i/>
              </w:rPr>
              <w:t>**</w:t>
            </w:r>
          </w:p>
        </w:tc>
      </w:tr>
      <w:tr w:rsidR="00D624B1" w:rsidRPr="00690BB0" w:rsidTr="003F2A5D">
        <w:trPr>
          <w:trHeight w:val="221"/>
        </w:trPr>
        <w:tc>
          <w:tcPr>
            <w:tcW w:w="2368"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before="60" w:after="60"/>
              <w:rPr>
                <w:noProof/>
                <w:szCs w:val="24"/>
              </w:rPr>
            </w:pPr>
            <w:r w:rsidRPr="00690BB0">
              <w:t>Släpfordons energieffektivitet</w:t>
            </w:r>
          </w:p>
        </w:tc>
        <w:tc>
          <w:tcPr>
            <w:tcW w:w="2368"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before="60" w:after="60"/>
              <w:rPr>
                <w:noProof/>
                <w:szCs w:val="24"/>
              </w:rPr>
            </w:pPr>
            <w:r w:rsidRPr="00690BB0">
              <w:t>Vecto-licens</w:t>
            </w:r>
          </w:p>
        </w:tc>
        <w:tc>
          <w:tcPr>
            <w:tcW w:w="2368"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before="60" w:after="60"/>
              <w:rPr>
                <w:noProof/>
                <w:szCs w:val="24"/>
              </w:rPr>
            </w:pPr>
            <w:r w:rsidRPr="00690BB0">
              <w:t>För komponenter</w:t>
            </w:r>
          </w:p>
        </w:tc>
        <w:tc>
          <w:tcPr>
            <w:tcW w:w="1827"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before="60" w:after="60"/>
              <w:rPr>
                <w:noProof/>
                <w:szCs w:val="24"/>
              </w:rPr>
            </w:pPr>
            <w:r w:rsidRPr="00690BB0">
              <w:t>Krävs ej</w:t>
            </w:r>
          </w:p>
        </w:tc>
      </w:tr>
      <w:tr w:rsidR="00D624B1" w:rsidRPr="00690BB0" w:rsidTr="003F2A5D">
        <w:trPr>
          <w:trHeight w:val="221"/>
        </w:trPr>
        <w:tc>
          <w:tcPr>
            <w:tcW w:w="2368"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before="60" w:after="60"/>
              <w:rPr>
                <w:noProof/>
                <w:szCs w:val="24"/>
              </w:rPr>
            </w:pPr>
            <w:r w:rsidRPr="00690BB0">
              <w:t>Provningsförfarande</w:t>
            </w:r>
          </w:p>
        </w:tc>
        <w:tc>
          <w:tcPr>
            <w:tcW w:w="2368"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before="60" w:after="60"/>
              <w:rPr>
                <w:noProof/>
                <w:szCs w:val="24"/>
              </w:rPr>
            </w:pPr>
            <w:r w:rsidRPr="00690BB0">
              <w:t>Krävs ej</w:t>
            </w:r>
          </w:p>
        </w:tc>
        <w:tc>
          <w:tcPr>
            <w:tcW w:w="2368"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before="60" w:after="60"/>
              <w:rPr>
                <w:noProof/>
                <w:szCs w:val="24"/>
              </w:rPr>
            </w:pPr>
            <w:r w:rsidRPr="00690BB0">
              <w:t>Krävs</w:t>
            </w:r>
          </w:p>
        </w:tc>
        <w:tc>
          <w:tcPr>
            <w:tcW w:w="1827"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before="60" w:after="60"/>
              <w:rPr>
                <w:noProof/>
                <w:szCs w:val="24"/>
              </w:rPr>
            </w:pPr>
            <w:r w:rsidRPr="00690BB0">
              <w:t>Krävs ej</w:t>
            </w:r>
          </w:p>
        </w:tc>
      </w:tr>
      <w:tr w:rsidR="00D624B1" w:rsidRPr="00690BB0" w:rsidTr="003F2A5D">
        <w:trPr>
          <w:trHeight w:val="221"/>
        </w:trPr>
        <w:tc>
          <w:tcPr>
            <w:tcW w:w="2368"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before="60" w:after="60"/>
              <w:rPr>
                <w:noProof/>
                <w:szCs w:val="24"/>
              </w:rPr>
            </w:pPr>
            <w:r w:rsidRPr="00690BB0">
              <w:t>Vevhusutsläpp</w:t>
            </w:r>
          </w:p>
        </w:tc>
        <w:tc>
          <w:tcPr>
            <w:tcW w:w="2368"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before="60" w:after="60"/>
              <w:rPr>
                <w:noProof/>
                <w:szCs w:val="24"/>
              </w:rPr>
            </w:pPr>
            <w:r w:rsidRPr="00690BB0">
              <w:t>Kontrollera att ett slutet vevhussystem eller en rörledning till avgasröret har installerats</w:t>
            </w:r>
          </w:p>
          <w:p w:rsidR="00D624B1" w:rsidRPr="00690BB0" w:rsidRDefault="00D624B1" w:rsidP="003F2A5D">
            <w:pPr>
              <w:widowControl/>
              <w:spacing w:before="60" w:after="60"/>
              <w:rPr>
                <w:i/>
                <w:noProof/>
                <w:szCs w:val="24"/>
              </w:rPr>
            </w:pPr>
            <w:r w:rsidRPr="00690BB0">
              <w:rPr>
                <w:b/>
                <w:i/>
              </w:rPr>
              <w:t>**</w:t>
            </w:r>
          </w:p>
        </w:tc>
        <w:tc>
          <w:tcPr>
            <w:tcW w:w="2368"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before="60" w:after="60"/>
              <w:rPr>
                <w:noProof/>
                <w:szCs w:val="24"/>
              </w:rPr>
            </w:pPr>
            <w:r w:rsidRPr="00690BB0">
              <w:t>Krävs ej</w:t>
            </w:r>
          </w:p>
        </w:tc>
        <w:tc>
          <w:tcPr>
            <w:tcW w:w="1827"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before="60" w:after="60"/>
              <w:rPr>
                <w:noProof/>
                <w:szCs w:val="24"/>
              </w:rPr>
            </w:pPr>
            <w:r w:rsidRPr="00690BB0">
              <w:t>Valfritt</w:t>
            </w:r>
            <w:r w:rsidRPr="00690BB0">
              <w:rPr>
                <w:vertAlign w:val="superscript"/>
              </w:rPr>
              <w:t>28</w:t>
            </w:r>
          </w:p>
        </w:tc>
      </w:tr>
      <w:tr w:rsidR="00D624B1" w:rsidRPr="00690BB0" w:rsidTr="003F2A5D">
        <w:trPr>
          <w:trHeight w:val="228"/>
        </w:trPr>
        <w:tc>
          <w:tcPr>
            <w:tcW w:w="2368"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before="60" w:after="60"/>
              <w:rPr>
                <w:noProof/>
                <w:szCs w:val="24"/>
              </w:rPr>
            </w:pPr>
            <w:r w:rsidRPr="00690BB0">
              <w:t>Utsläppens beständighet</w:t>
            </w:r>
          </w:p>
        </w:tc>
        <w:tc>
          <w:tcPr>
            <w:tcW w:w="2368"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before="60" w:after="60"/>
              <w:rPr>
                <w:noProof/>
                <w:szCs w:val="24"/>
              </w:rPr>
            </w:pPr>
            <w:r w:rsidRPr="00690BB0">
              <w:t>Försäkran</w:t>
            </w:r>
          </w:p>
          <w:p w:rsidR="00D624B1" w:rsidRPr="00690BB0" w:rsidRDefault="00D624B1" w:rsidP="003F2A5D">
            <w:pPr>
              <w:widowControl/>
              <w:spacing w:before="60" w:after="60"/>
              <w:ind w:left="567" w:hanging="567"/>
              <w:rPr>
                <w:i/>
                <w:noProof/>
                <w:szCs w:val="24"/>
              </w:rPr>
            </w:pPr>
            <w:r w:rsidRPr="00690BB0">
              <w:rPr>
                <w:b/>
                <w:i/>
              </w:rPr>
              <w:t>**</w:t>
            </w:r>
          </w:p>
        </w:tc>
        <w:tc>
          <w:tcPr>
            <w:tcW w:w="2368"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before="60" w:after="60"/>
              <w:rPr>
                <w:noProof/>
                <w:szCs w:val="24"/>
              </w:rPr>
            </w:pPr>
            <w:r w:rsidRPr="00690BB0">
              <w:t>Krävs ej</w:t>
            </w:r>
          </w:p>
        </w:tc>
        <w:tc>
          <w:tcPr>
            <w:tcW w:w="1827"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before="60" w:after="60"/>
              <w:rPr>
                <w:noProof/>
                <w:szCs w:val="24"/>
              </w:rPr>
            </w:pPr>
            <w:r w:rsidRPr="00690BB0">
              <w:t>Krävs ej</w:t>
            </w:r>
          </w:p>
        </w:tc>
      </w:tr>
      <w:tr w:rsidR="00D624B1" w:rsidRPr="00690BB0" w:rsidTr="003F2A5D">
        <w:trPr>
          <w:trHeight w:val="228"/>
        </w:trPr>
        <w:tc>
          <w:tcPr>
            <w:tcW w:w="2368"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before="60" w:after="60"/>
              <w:rPr>
                <w:b/>
                <w:bCs/>
                <w:i/>
                <w:noProof/>
                <w:szCs w:val="24"/>
              </w:rPr>
            </w:pPr>
            <w:r w:rsidRPr="00690BB0">
              <w:rPr>
                <w:b/>
                <w:i/>
              </w:rPr>
              <w:t>Korrekt drift av system med förbrukningsbart reagens och av utsläppsbegränsande system</w:t>
            </w:r>
          </w:p>
        </w:tc>
        <w:tc>
          <w:tcPr>
            <w:tcW w:w="2368"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before="60" w:after="60"/>
              <w:rPr>
                <w:b/>
                <w:bCs/>
                <w:i/>
                <w:noProof/>
                <w:szCs w:val="24"/>
              </w:rPr>
            </w:pPr>
            <w:r w:rsidRPr="00690BB0">
              <w:rPr>
                <w:b/>
                <w:i/>
              </w:rPr>
              <w:t>Försäkran</w:t>
            </w:r>
          </w:p>
          <w:p w:rsidR="00D624B1" w:rsidRPr="00690BB0" w:rsidRDefault="00D624B1" w:rsidP="003F2A5D">
            <w:pPr>
              <w:widowControl/>
              <w:spacing w:before="60" w:after="60"/>
              <w:rPr>
                <w:b/>
                <w:bCs/>
                <w:i/>
                <w:noProof/>
                <w:szCs w:val="24"/>
              </w:rPr>
            </w:pPr>
            <w:r w:rsidRPr="00690BB0">
              <w:rPr>
                <w:b/>
                <w:i/>
              </w:rPr>
              <w:t>**</w:t>
            </w:r>
          </w:p>
        </w:tc>
        <w:tc>
          <w:tcPr>
            <w:tcW w:w="2368"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before="60" w:after="60"/>
              <w:rPr>
                <w:b/>
                <w:bCs/>
                <w:i/>
                <w:noProof/>
                <w:szCs w:val="24"/>
              </w:rPr>
            </w:pPr>
            <w:r w:rsidRPr="00690BB0">
              <w:rPr>
                <w:b/>
                <w:i/>
              </w:rPr>
              <w:t>Krävs ej</w:t>
            </w:r>
          </w:p>
          <w:p w:rsidR="00D624B1" w:rsidRPr="00690BB0" w:rsidRDefault="00D624B1" w:rsidP="003F2A5D">
            <w:pPr>
              <w:widowControl/>
              <w:spacing w:before="60" w:after="60"/>
              <w:rPr>
                <w:b/>
                <w:bCs/>
                <w:i/>
                <w:noProof/>
                <w:szCs w:val="24"/>
              </w:rPr>
            </w:pPr>
            <w:r w:rsidRPr="00690BB0">
              <w:rPr>
                <w:b/>
                <w:i/>
              </w:rPr>
              <w:t>**</w:t>
            </w:r>
          </w:p>
        </w:tc>
        <w:tc>
          <w:tcPr>
            <w:tcW w:w="1827" w:type="dxa"/>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before="60" w:after="60"/>
              <w:rPr>
                <w:b/>
                <w:bCs/>
                <w:i/>
                <w:noProof/>
                <w:szCs w:val="24"/>
              </w:rPr>
            </w:pPr>
            <w:r w:rsidRPr="00690BB0">
              <w:rPr>
                <w:b/>
                <w:i/>
              </w:rPr>
              <w:t>Valfritt</w:t>
            </w:r>
          </w:p>
          <w:p w:rsidR="00D624B1" w:rsidRPr="00690BB0" w:rsidRDefault="00D624B1" w:rsidP="003F2A5D">
            <w:pPr>
              <w:widowControl/>
              <w:spacing w:before="60" w:after="60"/>
              <w:rPr>
                <w:b/>
                <w:bCs/>
                <w:i/>
                <w:noProof/>
                <w:szCs w:val="24"/>
              </w:rPr>
            </w:pPr>
            <w:r w:rsidRPr="00690BB0">
              <w:rPr>
                <w:b/>
                <w:i/>
              </w:rPr>
              <w:t>**</w:t>
            </w:r>
          </w:p>
        </w:tc>
      </w:tr>
      <w:tr w:rsidR="00D624B1" w:rsidRPr="00690BB0" w:rsidTr="003F2A5D">
        <w:trPr>
          <w:trHeight w:val="228"/>
        </w:trPr>
        <w:tc>
          <w:tcPr>
            <w:tcW w:w="2368" w:type="dxa"/>
            <w:tcBorders>
              <w:top w:val="single" w:sz="2" w:space="0" w:color="auto"/>
              <w:left w:val="single" w:sz="2" w:space="0" w:color="auto"/>
              <w:bottom w:val="single" w:sz="2" w:space="0" w:color="auto"/>
              <w:right w:val="single" w:sz="2" w:space="0" w:color="auto"/>
            </w:tcBorders>
          </w:tcPr>
          <w:p w:rsidR="00D624B1" w:rsidRPr="00690BB0" w:rsidRDefault="00D624B1" w:rsidP="003F2A5D">
            <w:pPr>
              <w:widowControl/>
              <w:spacing w:before="60" w:after="60"/>
              <w:rPr>
                <w:noProof/>
                <w:szCs w:val="24"/>
              </w:rPr>
            </w:pPr>
            <w:r w:rsidRPr="00690BB0">
              <w:t>Batteriets hållbarhet</w:t>
            </w:r>
          </w:p>
        </w:tc>
        <w:tc>
          <w:tcPr>
            <w:tcW w:w="2368" w:type="dxa"/>
            <w:tcBorders>
              <w:top w:val="single" w:sz="2" w:space="0" w:color="auto"/>
              <w:left w:val="single" w:sz="2" w:space="0" w:color="auto"/>
              <w:bottom w:val="single" w:sz="2" w:space="0" w:color="auto"/>
              <w:right w:val="single" w:sz="2" w:space="0" w:color="auto"/>
            </w:tcBorders>
          </w:tcPr>
          <w:p w:rsidR="00D624B1" w:rsidRPr="00690BB0" w:rsidRDefault="00D624B1" w:rsidP="003F2A5D">
            <w:pPr>
              <w:widowControl/>
              <w:spacing w:before="60" w:after="60"/>
              <w:rPr>
                <w:noProof/>
                <w:szCs w:val="24"/>
              </w:rPr>
            </w:pPr>
            <w:r w:rsidRPr="00690BB0">
              <w:t>Försäkran</w:t>
            </w:r>
          </w:p>
        </w:tc>
        <w:tc>
          <w:tcPr>
            <w:tcW w:w="2368" w:type="dxa"/>
            <w:tcBorders>
              <w:top w:val="single" w:sz="2" w:space="0" w:color="auto"/>
              <w:left w:val="single" w:sz="2" w:space="0" w:color="auto"/>
              <w:bottom w:val="single" w:sz="2" w:space="0" w:color="auto"/>
              <w:right w:val="single" w:sz="2" w:space="0" w:color="auto"/>
            </w:tcBorders>
          </w:tcPr>
          <w:p w:rsidR="00D624B1" w:rsidRPr="00690BB0" w:rsidRDefault="00D624B1" w:rsidP="003F2A5D">
            <w:pPr>
              <w:widowControl/>
              <w:spacing w:before="60" w:after="60"/>
              <w:rPr>
                <w:noProof/>
                <w:szCs w:val="24"/>
              </w:rPr>
            </w:pPr>
            <w:r w:rsidRPr="00690BB0">
              <w:t>Krävs ej</w:t>
            </w:r>
          </w:p>
        </w:tc>
        <w:tc>
          <w:tcPr>
            <w:tcW w:w="1827" w:type="dxa"/>
            <w:tcBorders>
              <w:top w:val="single" w:sz="2" w:space="0" w:color="auto"/>
              <w:left w:val="single" w:sz="2" w:space="0" w:color="auto"/>
              <w:bottom w:val="single" w:sz="2" w:space="0" w:color="auto"/>
              <w:right w:val="single" w:sz="2" w:space="0" w:color="auto"/>
            </w:tcBorders>
          </w:tcPr>
          <w:p w:rsidR="00D624B1" w:rsidRPr="00690BB0" w:rsidRDefault="00D624B1" w:rsidP="003F2A5D">
            <w:pPr>
              <w:widowControl/>
              <w:spacing w:before="60" w:after="60"/>
              <w:rPr>
                <w:noProof/>
                <w:szCs w:val="24"/>
              </w:rPr>
            </w:pPr>
            <w:r w:rsidRPr="00690BB0">
              <w:t>Krävs ej</w:t>
            </w:r>
          </w:p>
        </w:tc>
      </w:tr>
      <w:tr w:rsidR="00D624B1" w:rsidRPr="00690BB0" w:rsidTr="003F2A5D">
        <w:trPr>
          <w:trHeight w:val="228"/>
        </w:trPr>
        <w:tc>
          <w:tcPr>
            <w:tcW w:w="2368" w:type="dxa"/>
            <w:tcBorders>
              <w:top w:val="single" w:sz="2" w:space="0" w:color="auto"/>
              <w:left w:val="single" w:sz="2" w:space="0" w:color="auto"/>
              <w:bottom w:val="single" w:sz="2" w:space="0" w:color="auto"/>
              <w:right w:val="single" w:sz="2" w:space="0" w:color="auto"/>
            </w:tcBorders>
          </w:tcPr>
          <w:p w:rsidR="00D624B1" w:rsidRPr="00690BB0" w:rsidRDefault="00D624B1" w:rsidP="003F2A5D">
            <w:pPr>
              <w:widowControl/>
              <w:spacing w:before="60" w:after="60"/>
              <w:rPr>
                <w:b/>
                <w:bCs/>
                <w:i/>
                <w:noProof/>
                <w:szCs w:val="24"/>
              </w:rPr>
            </w:pPr>
            <w:r w:rsidRPr="00690BB0">
              <w:rPr>
                <w:b/>
                <w:i/>
              </w:rPr>
              <w:t>Bestämning av effekt</w:t>
            </w:r>
          </w:p>
        </w:tc>
        <w:tc>
          <w:tcPr>
            <w:tcW w:w="2368" w:type="dxa"/>
            <w:tcBorders>
              <w:top w:val="single" w:sz="2" w:space="0" w:color="auto"/>
              <w:left w:val="single" w:sz="2" w:space="0" w:color="auto"/>
              <w:bottom w:val="single" w:sz="2" w:space="0" w:color="auto"/>
              <w:right w:val="single" w:sz="2" w:space="0" w:color="auto"/>
            </w:tcBorders>
          </w:tcPr>
          <w:p w:rsidR="00D624B1" w:rsidRPr="00690BB0" w:rsidRDefault="00D624B1" w:rsidP="003F2A5D">
            <w:pPr>
              <w:widowControl/>
              <w:spacing w:before="60" w:after="60"/>
              <w:rPr>
                <w:b/>
                <w:bCs/>
                <w:i/>
                <w:noProof/>
                <w:szCs w:val="24"/>
              </w:rPr>
            </w:pPr>
            <w:r w:rsidRPr="00690BB0">
              <w:rPr>
                <w:b/>
                <w:i/>
              </w:rPr>
              <w:t>Krävs</w:t>
            </w:r>
          </w:p>
          <w:p w:rsidR="00D624B1" w:rsidRPr="00690BB0" w:rsidRDefault="00D624B1" w:rsidP="003F2A5D">
            <w:pPr>
              <w:widowControl/>
              <w:spacing w:before="60" w:after="60"/>
              <w:rPr>
                <w:b/>
                <w:bCs/>
                <w:i/>
                <w:noProof/>
                <w:szCs w:val="24"/>
              </w:rPr>
            </w:pPr>
            <w:r w:rsidRPr="00690BB0">
              <w:rPr>
                <w:b/>
                <w:i/>
              </w:rPr>
              <w:t>**</w:t>
            </w:r>
          </w:p>
        </w:tc>
        <w:tc>
          <w:tcPr>
            <w:tcW w:w="2368" w:type="dxa"/>
            <w:tcBorders>
              <w:top w:val="single" w:sz="2" w:space="0" w:color="auto"/>
              <w:left w:val="single" w:sz="2" w:space="0" w:color="auto"/>
              <w:bottom w:val="single" w:sz="2" w:space="0" w:color="auto"/>
              <w:right w:val="single" w:sz="2" w:space="0" w:color="auto"/>
            </w:tcBorders>
          </w:tcPr>
          <w:p w:rsidR="00D624B1" w:rsidRPr="00690BB0" w:rsidRDefault="00D624B1" w:rsidP="003F2A5D">
            <w:pPr>
              <w:widowControl/>
              <w:spacing w:before="60" w:after="60"/>
              <w:rPr>
                <w:b/>
                <w:bCs/>
                <w:i/>
                <w:noProof/>
                <w:szCs w:val="24"/>
              </w:rPr>
            </w:pPr>
            <w:r w:rsidRPr="00690BB0">
              <w:rPr>
                <w:b/>
                <w:i/>
              </w:rPr>
              <w:t xml:space="preserve">Krävs ej </w:t>
            </w:r>
          </w:p>
        </w:tc>
        <w:tc>
          <w:tcPr>
            <w:tcW w:w="1827" w:type="dxa"/>
            <w:tcBorders>
              <w:top w:val="single" w:sz="2" w:space="0" w:color="auto"/>
              <w:left w:val="single" w:sz="2" w:space="0" w:color="auto"/>
              <w:bottom w:val="single" w:sz="2" w:space="0" w:color="auto"/>
              <w:right w:val="single" w:sz="2" w:space="0" w:color="auto"/>
            </w:tcBorders>
          </w:tcPr>
          <w:p w:rsidR="00D624B1" w:rsidRPr="00690BB0" w:rsidRDefault="00D624B1" w:rsidP="003F2A5D">
            <w:pPr>
              <w:widowControl/>
              <w:spacing w:before="60" w:after="60"/>
              <w:rPr>
                <w:b/>
                <w:bCs/>
                <w:i/>
                <w:noProof/>
                <w:szCs w:val="24"/>
              </w:rPr>
            </w:pPr>
            <w:r w:rsidRPr="00690BB0">
              <w:rPr>
                <w:b/>
                <w:i/>
              </w:rPr>
              <w:t>Krävs ej</w:t>
            </w:r>
          </w:p>
        </w:tc>
      </w:tr>
      <w:tr w:rsidR="00D624B1" w:rsidRPr="00690BB0" w:rsidTr="003F2A5D">
        <w:trPr>
          <w:trHeight w:val="228"/>
        </w:trPr>
        <w:tc>
          <w:tcPr>
            <w:tcW w:w="2368" w:type="dxa"/>
            <w:tcBorders>
              <w:top w:val="single" w:sz="2" w:space="0" w:color="auto"/>
              <w:left w:val="single" w:sz="2" w:space="0" w:color="auto"/>
              <w:bottom w:val="single" w:sz="2" w:space="0" w:color="auto"/>
              <w:right w:val="single" w:sz="2" w:space="0" w:color="auto"/>
            </w:tcBorders>
          </w:tcPr>
          <w:p w:rsidR="00D624B1" w:rsidRPr="00690BB0" w:rsidRDefault="00D624B1" w:rsidP="003F2A5D">
            <w:pPr>
              <w:widowControl/>
              <w:spacing w:before="60" w:after="60"/>
              <w:rPr>
                <w:noProof/>
                <w:szCs w:val="24"/>
              </w:rPr>
            </w:pPr>
            <w:r w:rsidRPr="00690BB0">
              <w:t xml:space="preserve">Omborddiagnos (OBD-familjenivå) </w:t>
            </w:r>
          </w:p>
        </w:tc>
        <w:tc>
          <w:tcPr>
            <w:tcW w:w="2368" w:type="dxa"/>
            <w:tcBorders>
              <w:top w:val="single" w:sz="2" w:space="0" w:color="auto"/>
              <w:left w:val="single" w:sz="2" w:space="0" w:color="auto"/>
              <w:bottom w:val="single" w:sz="2" w:space="0" w:color="auto"/>
              <w:right w:val="single" w:sz="2" w:space="0" w:color="auto"/>
            </w:tcBorders>
          </w:tcPr>
          <w:p w:rsidR="00D624B1" w:rsidRPr="00690BB0" w:rsidRDefault="00D624B1" w:rsidP="003F2A5D">
            <w:pPr>
              <w:widowControl/>
              <w:spacing w:before="60" w:after="60"/>
              <w:rPr>
                <w:noProof/>
                <w:szCs w:val="24"/>
              </w:rPr>
            </w:pPr>
            <w:r w:rsidRPr="00690BB0">
              <w:t>Försäkran</w:t>
            </w:r>
          </w:p>
        </w:tc>
        <w:tc>
          <w:tcPr>
            <w:tcW w:w="2368" w:type="dxa"/>
            <w:tcBorders>
              <w:top w:val="single" w:sz="2" w:space="0" w:color="auto"/>
              <w:left w:val="single" w:sz="2" w:space="0" w:color="auto"/>
              <w:bottom w:val="single" w:sz="2" w:space="0" w:color="auto"/>
              <w:right w:val="single" w:sz="2" w:space="0" w:color="auto"/>
            </w:tcBorders>
          </w:tcPr>
          <w:p w:rsidR="00D624B1" w:rsidRPr="00690BB0" w:rsidRDefault="00D624B1" w:rsidP="003F2A5D">
            <w:pPr>
              <w:widowControl/>
              <w:spacing w:before="60" w:after="60"/>
              <w:rPr>
                <w:noProof/>
                <w:szCs w:val="24"/>
              </w:rPr>
            </w:pPr>
            <w:r w:rsidRPr="00690BB0">
              <w:t>Krävs ej</w:t>
            </w:r>
          </w:p>
        </w:tc>
        <w:tc>
          <w:tcPr>
            <w:tcW w:w="1827" w:type="dxa"/>
            <w:tcBorders>
              <w:top w:val="single" w:sz="2" w:space="0" w:color="auto"/>
              <w:left w:val="single" w:sz="2" w:space="0" w:color="auto"/>
              <w:bottom w:val="single" w:sz="2" w:space="0" w:color="auto"/>
              <w:right w:val="single" w:sz="2" w:space="0" w:color="auto"/>
            </w:tcBorders>
          </w:tcPr>
          <w:p w:rsidR="00D624B1" w:rsidRPr="00690BB0" w:rsidRDefault="00D624B1" w:rsidP="003F2A5D">
            <w:pPr>
              <w:widowControl/>
              <w:spacing w:before="60" w:after="60"/>
              <w:rPr>
                <w:noProof/>
                <w:szCs w:val="24"/>
              </w:rPr>
            </w:pPr>
            <w:r w:rsidRPr="00690BB0">
              <w:t>Valfritt</w:t>
            </w:r>
            <w:r w:rsidRPr="00690BB0">
              <w:rPr>
                <w:vertAlign w:val="superscript"/>
              </w:rPr>
              <w:t>28</w:t>
            </w:r>
          </w:p>
        </w:tc>
      </w:tr>
      <w:tr w:rsidR="00D624B1" w:rsidRPr="00690BB0" w:rsidTr="003F2A5D">
        <w:trPr>
          <w:trHeight w:val="228"/>
        </w:trPr>
        <w:tc>
          <w:tcPr>
            <w:tcW w:w="2368" w:type="dxa"/>
            <w:tcBorders>
              <w:top w:val="single" w:sz="2" w:space="0" w:color="auto"/>
              <w:left w:val="single" w:sz="2" w:space="0" w:color="auto"/>
              <w:bottom w:val="single" w:sz="2" w:space="0" w:color="auto"/>
              <w:right w:val="single" w:sz="2" w:space="0" w:color="auto"/>
            </w:tcBorders>
          </w:tcPr>
          <w:p w:rsidR="00D624B1" w:rsidRPr="00690BB0" w:rsidRDefault="00D624B1" w:rsidP="003F2A5D">
            <w:pPr>
              <w:widowControl/>
              <w:spacing w:before="60" w:after="60"/>
              <w:rPr>
                <w:noProof/>
                <w:szCs w:val="24"/>
              </w:rPr>
            </w:pPr>
            <w:r w:rsidRPr="00690BB0">
              <w:t>Ombordövervakning (OBD-familjenivå)</w:t>
            </w:r>
          </w:p>
        </w:tc>
        <w:tc>
          <w:tcPr>
            <w:tcW w:w="2368" w:type="dxa"/>
            <w:tcBorders>
              <w:top w:val="single" w:sz="2" w:space="0" w:color="auto"/>
              <w:left w:val="single" w:sz="2" w:space="0" w:color="auto"/>
              <w:bottom w:val="single" w:sz="2" w:space="0" w:color="auto"/>
              <w:right w:val="single" w:sz="2" w:space="0" w:color="auto"/>
            </w:tcBorders>
          </w:tcPr>
          <w:p w:rsidR="00D624B1" w:rsidRPr="00690BB0" w:rsidRDefault="00D624B1" w:rsidP="003F2A5D">
            <w:pPr>
              <w:widowControl/>
              <w:spacing w:before="60" w:after="60"/>
              <w:rPr>
                <w:noProof/>
                <w:szCs w:val="24"/>
              </w:rPr>
            </w:pPr>
            <w:r w:rsidRPr="00690BB0">
              <w:t>Demonstration och försäkran</w:t>
            </w:r>
          </w:p>
        </w:tc>
        <w:tc>
          <w:tcPr>
            <w:tcW w:w="2368" w:type="dxa"/>
            <w:tcBorders>
              <w:top w:val="single" w:sz="2" w:space="0" w:color="auto"/>
              <w:left w:val="single" w:sz="2" w:space="0" w:color="auto"/>
              <w:bottom w:val="single" w:sz="2" w:space="0" w:color="auto"/>
              <w:right w:val="single" w:sz="2" w:space="0" w:color="auto"/>
            </w:tcBorders>
          </w:tcPr>
          <w:p w:rsidR="00D624B1" w:rsidRPr="00690BB0" w:rsidRDefault="00D624B1" w:rsidP="003F2A5D">
            <w:pPr>
              <w:widowControl/>
              <w:spacing w:before="60" w:after="60"/>
              <w:rPr>
                <w:noProof/>
                <w:szCs w:val="24"/>
              </w:rPr>
            </w:pPr>
            <w:r w:rsidRPr="00690BB0">
              <w:t>Krävs ej</w:t>
            </w:r>
          </w:p>
        </w:tc>
        <w:tc>
          <w:tcPr>
            <w:tcW w:w="1827" w:type="dxa"/>
            <w:tcBorders>
              <w:top w:val="single" w:sz="2" w:space="0" w:color="auto"/>
              <w:left w:val="single" w:sz="2" w:space="0" w:color="auto"/>
              <w:bottom w:val="single" w:sz="2" w:space="0" w:color="auto"/>
              <w:right w:val="single" w:sz="2" w:space="0" w:color="auto"/>
            </w:tcBorders>
          </w:tcPr>
          <w:p w:rsidR="00D624B1" w:rsidRPr="00690BB0" w:rsidRDefault="00D624B1" w:rsidP="003F2A5D">
            <w:pPr>
              <w:widowControl/>
              <w:spacing w:before="60" w:after="60"/>
              <w:rPr>
                <w:noProof/>
                <w:szCs w:val="24"/>
              </w:rPr>
            </w:pPr>
            <w:r w:rsidRPr="00690BB0">
              <w:t>Krävs</w:t>
            </w:r>
          </w:p>
        </w:tc>
      </w:tr>
      <w:tr w:rsidR="00D624B1" w:rsidRPr="00690BB0" w:rsidTr="003F2A5D">
        <w:trPr>
          <w:trHeight w:val="228"/>
        </w:trPr>
        <w:tc>
          <w:tcPr>
            <w:tcW w:w="2368" w:type="dxa"/>
            <w:tcBorders>
              <w:top w:val="single" w:sz="2" w:space="0" w:color="auto"/>
              <w:left w:val="single" w:sz="2" w:space="0" w:color="auto"/>
              <w:bottom w:val="single" w:sz="2" w:space="0" w:color="auto"/>
              <w:right w:val="single" w:sz="2" w:space="0" w:color="auto"/>
            </w:tcBorders>
          </w:tcPr>
          <w:p w:rsidR="00D624B1" w:rsidRPr="00690BB0" w:rsidRDefault="00D624B1" w:rsidP="003F2A5D">
            <w:pPr>
              <w:widowControl/>
              <w:spacing w:before="60" w:after="60"/>
              <w:rPr>
                <w:noProof/>
                <w:szCs w:val="24"/>
              </w:rPr>
            </w:pPr>
            <w:r w:rsidRPr="00690BB0">
              <w:t>Manipuleringsskydd, säkerhet och cybersäkerhet</w:t>
            </w:r>
          </w:p>
        </w:tc>
        <w:tc>
          <w:tcPr>
            <w:tcW w:w="2368" w:type="dxa"/>
            <w:tcBorders>
              <w:top w:val="single" w:sz="2" w:space="0" w:color="auto"/>
              <w:left w:val="single" w:sz="2" w:space="0" w:color="auto"/>
              <w:bottom w:val="single" w:sz="2" w:space="0" w:color="auto"/>
              <w:right w:val="single" w:sz="2" w:space="0" w:color="auto"/>
            </w:tcBorders>
          </w:tcPr>
          <w:p w:rsidR="00D624B1" w:rsidRPr="00690BB0" w:rsidRDefault="00D624B1" w:rsidP="003F2A5D">
            <w:pPr>
              <w:widowControl/>
              <w:spacing w:before="60" w:after="60"/>
              <w:rPr>
                <w:noProof/>
                <w:szCs w:val="24"/>
              </w:rPr>
            </w:pPr>
            <w:r w:rsidRPr="00690BB0">
              <w:t>Försäkran och dokumentation</w:t>
            </w:r>
          </w:p>
        </w:tc>
        <w:tc>
          <w:tcPr>
            <w:tcW w:w="2368" w:type="dxa"/>
            <w:tcBorders>
              <w:top w:val="single" w:sz="2" w:space="0" w:color="auto"/>
              <w:left w:val="single" w:sz="2" w:space="0" w:color="auto"/>
              <w:bottom w:val="single" w:sz="2" w:space="0" w:color="auto"/>
              <w:right w:val="single" w:sz="2" w:space="0" w:color="auto"/>
            </w:tcBorders>
          </w:tcPr>
          <w:p w:rsidR="00D624B1" w:rsidRPr="00690BB0" w:rsidRDefault="00D624B1" w:rsidP="003F2A5D">
            <w:pPr>
              <w:widowControl/>
              <w:spacing w:before="60" w:after="60"/>
              <w:rPr>
                <w:noProof/>
                <w:szCs w:val="24"/>
              </w:rPr>
            </w:pPr>
            <w:r w:rsidRPr="00690BB0">
              <w:t>Krävs ej</w:t>
            </w:r>
          </w:p>
        </w:tc>
        <w:tc>
          <w:tcPr>
            <w:tcW w:w="1827" w:type="dxa"/>
            <w:tcBorders>
              <w:top w:val="single" w:sz="2" w:space="0" w:color="auto"/>
              <w:left w:val="single" w:sz="2" w:space="0" w:color="auto"/>
              <w:bottom w:val="single" w:sz="2" w:space="0" w:color="auto"/>
              <w:right w:val="single" w:sz="2" w:space="0" w:color="auto"/>
            </w:tcBorders>
          </w:tcPr>
          <w:p w:rsidR="00D624B1" w:rsidRPr="00690BB0" w:rsidRDefault="00D624B1" w:rsidP="003F2A5D">
            <w:pPr>
              <w:widowControl/>
              <w:spacing w:before="60" w:after="60"/>
              <w:rPr>
                <w:noProof/>
                <w:szCs w:val="24"/>
              </w:rPr>
            </w:pPr>
            <w:r w:rsidRPr="00690BB0">
              <w:t>Krävs ej</w:t>
            </w:r>
          </w:p>
        </w:tc>
      </w:tr>
      <w:tr w:rsidR="00D624B1" w:rsidRPr="00690BB0" w:rsidTr="003F2A5D">
        <w:trPr>
          <w:trHeight w:val="228"/>
        </w:trPr>
        <w:tc>
          <w:tcPr>
            <w:tcW w:w="8931" w:type="dxa"/>
            <w:gridSpan w:val="4"/>
            <w:tcBorders>
              <w:top w:val="single" w:sz="2" w:space="0" w:color="auto"/>
              <w:left w:val="single" w:sz="2" w:space="0" w:color="auto"/>
              <w:bottom w:val="single" w:sz="2" w:space="0" w:color="auto"/>
              <w:right w:val="single" w:sz="2" w:space="0" w:color="auto"/>
            </w:tcBorders>
          </w:tcPr>
          <w:p w:rsidR="00D624B1" w:rsidRPr="00690BB0" w:rsidRDefault="00D624B1" w:rsidP="003F2A5D">
            <w:pPr>
              <w:widowControl/>
              <w:rPr>
                <w:b/>
                <w:bCs/>
                <w:i/>
                <w:noProof/>
              </w:rPr>
            </w:pPr>
            <w:r w:rsidRPr="00690BB0">
              <w:rPr>
                <w:b/>
                <w:i/>
              </w:rPr>
              <w:t xml:space="preserve">* </w:t>
            </w:r>
            <w:r w:rsidRPr="00690BB0">
              <w:rPr>
                <w:b/>
                <w:i/>
              </w:rPr>
              <w:tab/>
              <w:t>Stöds av data från motortestning av alla effektklassningar.</w:t>
            </w:r>
          </w:p>
          <w:p w:rsidR="00D624B1" w:rsidRPr="00690BB0" w:rsidRDefault="00D624B1" w:rsidP="003F2A5D">
            <w:pPr>
              <w:widowControl/>
              <w:rPr>
                <w:noProof/>
              </w:rPr>
            </w:pPr>
            <w:r w:rsidRPr="00690BB0">
              <w:rPr>
                <w:b/>
                <w:i/>
              </w:rPr>
              <w:t>**</w:t>
            </w:r>
            <w:r w:rsidRPr="00690BB0">
              <w:rPr>
                <w:b/>
                <w:i/>
              </w:rPr>
              <w:tab/>
              <w:t>När det gäller ett fordon med ett godkänt motorsystem med avseende på utsläpp har motortillverkaren ansvaret för att utföra denna provning.</w:t>
            </w:r>
          </w:p>
        </w:tc>
      </w:tr>
    </w:tbl>
    <w:p w:rsidR="00D624B1" w:rsidRPr="00690BB0" w:rsidRDefault="00D624B1" w:rsidP="00D624B1">
      <w:pPr>
        <w:widowControl/>
      </w:pPr>
    </w:p>
    <w:p w:rsidR="00D624B1" w:rsidRPr="00690BB0" w:rsidRDefault="007B7831" w:rsidP="00D624B1">
      <w:pPr>
        <w:pStyle w:val="AmNumberTabs"/>
        <w:keepNext/>
        <w:widowControl/>
      </w:pPr>
      <w:r w:rsidRPr="00690BB0">
        <w:t>Ändring</w:t>
      </w:r>
      <w:r w:rsidR="00D624B1" w:rsidRPr="00690BB0">
        <w:tab/>
      </w:r>
      <w:r w:rsidR="00D624B1" w:rsidRPr="00690BB0">
        <w:tab/>
        <w:t>164</w:t>
      </w:r>
    </w:p>
    <w:p w:rsidR="00D624B1" w:rsidRPr="00690BB0" w:rsidRDefault="00D624B1" w:rsidP="00D624B1">
      <w:pPr>
        <w:pStyle w:val="NormalBold12b"/>
        <w:widowControl/>
      </w:pPr>
      <w:r w:rsidRPr="00690BB0">
        <w:t>Förslag till förordning</w:t>
      </w:r>
    </w:p>
    <w:p w:rsidR="00D624B1" w:rsidRPr="00690BB0" w:rsidRDefault="00D624B1" w:rsidP="00D624B1">
      <w:pPr>
        <w:pStyle w:val="NormalBold"/>
        <w:keepNext/>
        <w:widowControl/>
      </w:pPr>
      <w:r w:rsidRPr="00690BB0">
        <w:t>Bilaga V – tabell 4</w:t>
      </w:r>
    </w:p>
    <w:tbl>
      <w:tblPr>
        <w:tblW w:w="5000" w:type="pct"/>
        <w:tblLook w:val="04A0" w:firstRow="1" w:lastRow="0" w:firstColumn="1" w:lastColumn="0" w:noHBand="0" w:noVBand="1"/>
      </w:tblPr>
      <w:tblGrid>
        <w:gridCol w:w="1165"/>
        <w:gridCol w:w="1504"/>
        <w:gridCol w:w="1571"/>
        <w:gridCol w:w="1503"/>
        <w:gridCol w:w="869"/>
        <w:gridCol w:w="1583"/>
        <w:gridCol w:w="869"/>
      </w:tblGrid>
      <w:tr w:rsidR="00D624B1" w:rsidRPr="00690BB0" w:rsidTr="003F2A5D">
        <w:tc>
          <w:tcPr>
            <w:tcW w:w="5000" w:type="pct"/>
            <w:gridSpan w:val="7"/>
            <w:tcBorders>
              <w:top w:val="single" w:sz="2" w:space="0" w:color="auto"/>
              <w:left w:val="single" w:sz="2" w:space="0" w:color="auto"/>
              <w:bottom w:val="single" w:sz="2" w:space="0" w:color="auto"/>
              <w:right w:val="single" w:sz="2" w:space="0" w:color="auto"/>
            </w:tcBorders>
          </w:tcPr>
          <w:p w:rsidR="00D624B1" w:rsidRPr="00690BB0" w:rsidRDefault="00D624B1" w:rsidP="003F2A5D">
            <w:pPr>
              <w:widowControl/>
              <w:spacing w:line="276" w:lineRule="auto"/>
              <w:jc w:val="center"/>
              <w:rPr>
                <w:b/>
                <w:noProof/>
              </w:rPr>
            </w:pPr>
            <w:r w:rsidRPr="00690BB0">
              <w:t>Kommissionens förslag</w:t>
            </w:r>
          </w:p>
        </w:tc>
      </w:tr>
      <w:tr w:rsidR="00D624B1" w:rsidRPr="00690BB0" w:rsidTr="003F2A5D">
        <w:tc>
          <w:tcPr>
            <w:tcW w:w="5000" w:type="pct"/>
            <w:gridSpan w:val="7"/>
            <w:tcBorders>
              <w:top w:val="single" w:sz="2" w:space="0" w:color="auto"/>
              <w:left w:val="single" w:sz="2" w:space="0" w:color="auto"/>
              <w:bottom w:val="single" w:sz="2" w:space="0" w:color="auto"/>
              <w:right w:val="single" w:sz="2" w:space="0" w:color="auto"/>
            </w:tcBorders>
          </w:tcPr>
          <w:p w:rsidR="00D624B1" w:rsidRPr="00690BB0" w:rsidRDefault="00D624B1" w:rsidP="003F2A5D">
            <w:pPr>
              <w:widowControl/>
              <w:rPr>
                <w:noProof/>
              </w:rPr>
            </w:pPr>
            <w:r w:rsidRPr="00690BB0">
              <w:t>Tabell 4: Tillämpning av provningskrav och försäkringar för typgodkännande och utökningar av fordon av kategorierna M</w:t>
            </w:r>
            <w:r w:rsidRPr="00690BB0">
              <w:rPr>
                <w:vertAlign w:val="subscript"/>
              </w:rPr>
              <w:t>2</w:t>
            </w:r>
            <w:r w:rsidRPr="00690BB0">
              <w:t>, M</w:t>
            </w:r>
            <w:r w:rsidRPr="00690BB0">
              <w:rPr>
                <w:vertAlign w:val="subscript"/>
              </w:rPr>
              <w:t>3</w:t>
            </w:r>
            <w:r w:rsidRPr="00690BB0">
              <w:t>, N</w:t>
            </w:r>
            <w:r w:rsidRPr="00690BB0">
              <w:rPr>
                <w:vertAlign w:val="subscript"/>
              </w:rPr>
              <w:t>2</w:t>
            </w:r>
            <w:r w:rsidRPr="00690BB0">
              <w:t xml:space="preserve"> och N</w:t>
            </w:r>
            <w:r w:rsidRPr="00690BB0">
              <w:rPr>
                <w:vertAlign w:val="subscript"/>
              </w:rPr>
              <w:t>3</w:t>
            </w:r>
            <w:r w:rsidRPr="00690BB0">
              <w:t xml:space="preserve"> för medlemsstater och erkända tredje parter/kommissionen</w:t>
            </w:r>
          </w:p>
        </w:tc>
      </w:tr>
      <w:tr w:rsidR="00D624B1" w:rsidRPr="00690BB0" w:rsidTr="003F2A5D">
        <w:tc>
          <w:tcPr>
            <w:tcW w:w="859"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keepNext/>
              <w:keepLines/>
              <w:widowControl/>
              <w:spacing w:line="276" w:lineRule="auto"/>
              <w:jc w:val="center"/>
              <w:rPr>
                <w:noProof/>
              </w:rPr>
            </w:pPr>
            <w:r w:rsidRPr="00690BB0">
              <w:t>Provningskrav</w:t>
            </w:r>
          </w:p>
        </w:tc>
        <w:tc>
          <w:tcPr>
            <w:tcW w:w="733"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keepNext/>
              <w:keepLines/>
              <w:widowControl/>
              <w:spacing w:line="276" w:lineRule="auto"/>
              <w:jc w:val="center"/>
              <w:rPr>
                <w:noProof/>
              </w:rPr>
            </w:pPr>
            <w:r w:rsidRPr="00690BB0">
              <w:t xml:space="preserve">Provningar och krav </w:t>
            </w:r>
            <w:r w:rsidRPr="00690BB0">
              <w:rPr>
                <w:b/>
                <w:bCs/>
                <w:i/>
                <w:iCs/>
              </w:rPr>
              <w:t>vid ursprungligt</w:t>
            </w:r>
            <w:r w:rsidRPr="00690BB0">
              <w:t xml:space="preserve"> typgodkännande avseende utsläpp </w:t>
            </w:r>
          </w:p>
        </w:tc>
        <w:tc>
          <w:tcPr>
            <w:tcW w:w="74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keepNext/>
              <w:keepLines/>
              <w:widowControl/>
              <w:spacing w:line="276" w:lineRule="auto"/>
              <w:jc w:val="center"/>
              <w:rPr>
                <w:noProof/>
              </w:rPr>
            </w:pPr>
            <w:r w:rsidRPr="00690BB0">
              <w:t xml:space="preserve">Provningar vid produktionsöverensstämmelse </w:t>
            </w:r>
          </w:p>
        </w:tc>
        <w:tc>
          <w:tcPr>
            <w:tcW w:w="1139" w:type="pct"/>
            <w:gridSpan w:val="2"/>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keepNext/>
              <w:keepLines/>
              <w:widowControl/>
              <w:spacing w:line="276" w:lineRule="auto"/>
              <w:jc w:val="center"/>
              <w:rPr>
                <w:noProof/>
              </w:rPr>
            </w:pPr>
            <w:r w:rsidRPr="00690BB0">
              <w:t>Provningar vid överensstämmelse hos fordon i drift</w:t>
            </w:r>
          </w:p>
        </w:tc>
        <w:tc>
          <w:tcPr>
            <w:tcW w:w="1529" w:type="pct"/>
            <w:gridSpan w:val="2"/>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keepNext/>
              <w:keepLines/>
              <w:widowControl/>
              <w:spacing w:line="276" w:lineRule="auto"/>
              <w:jc w:val="center"/>
              <w:rPr>
                <w:noProof/>
              </w:rPr>
            </w:pPr>
            <w:r w:rsidRPr="00690BB0">
              <w:t>Provningar vid marknadskontroll</w:t>
            </w:r>
          </w:p>
        </w:tc>
      </w:tr>
      <w:tr w:rsidR="00D624B1" w:rsidRPr="00690BB0" w:rsidTr="003F2A5D">
        <w:tc>
          <w:tcPr>
            <w:tcW w:w="859"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jc w:val="center"/>
              <w:rPr>
                <w:noProof/>
              </w:rPr>
            </w:pPr>
            <w:r w:rsidRPr="00690BB0">
              <w:t>Relevant aktör</w:t>
            </w:r>
          </w:p>
        </w:tc>
        <w:tc>
          <w:tcPr>
            <w:tcW w:w="733"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jc w:val="center"/>
              <w:rPr>
                <w:noProof/>
              </w:rPr>
            </w:pPr>
            <w:r w:rsidRPr="00690BB0">
              <w:rPr>
                <w:b/>
                <w:bCs/>
                <w:i/>
                <w:iCs/>
              </w:rPr>
              <w:t>Typgodkännandemyndighet för utfärdande av</w:t>
            </w:r>
            <w:r w:rsidRPr="00690BB0">
              <w:t xml:space="preserve"> typgodkännande</w:t>
            </w:r>
          </w:p>
        </w:tc>
        <w:tc>
          <w:tcPr>
            <w:tcW w:w="74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jc w:val="center"/>
              <w:rPr>
                <w:noProof/>
              </w:rPr>
            </w:pPr>
            <w:r w:rsidRPr="00690BB0">
              <w:rPr>
                <w:b/>
                <w:bCs/>
                <w:i/>
                <w:iCs/>
              </w:rPr>
              <w:t>Typgodkännandemyndighet</w:t>
            </w:r>
          </w:p>
        </w:tc>
        <w:tc>
          <w:tcPr>
            <w:tcW w:w="498"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jc w:val="center"/>
              <w:rPr>
                <w:b/>
                <w:i/>
                <w:noProof/>
              </w:rPr>
            </w:pPr>
            <w:r w:rsidRPr="00690BB0">
              <w:rPr>
                <w:b/>
                <w:bCs/>
                <w:i/>
                <w:iCs/>
              </w:rPr>
              <w:t>Typgodkännandemyndighet</w:t>
            </w:r>
            <w:r w:rsidRPr="00690BB0">
              <w:rPr>
                <w:b/>
                <w:i/>
              </w:rPr>
              <w:t xml:space="preserve"> </w:t>
            </w:r>
          </w:p>
        </w:tc>
        <w:tc>
          <w:tcPr>
            <w:tcW w:w="64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jc w:val="center"/>
              <w:rPr>
                <w:noProof/>
              </w:rPr>
            </w:pPr>
            <w:r w:rsidRPr="00690BB0">
              <w:t>Tredje parter och kommissionen</w:t>
            </w:r>
          </w:p>
        </w:tc>
        <w:tc>
          <w:tcPr>
            <w:tcW w:w="888"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jc w:val="center"/>
              <w:rPr>
                <w:noProof/>
              </w:rPr>
            </w:pPr>
            <w:r w:rsidRPr="00690BB0">
              <w:t xml:space="preserve">Marknadskontrollmyndigheter </w:t>
            </w:r>
          </w:p>
        </w:tc>
        <w:tc>
          <w:tcPr>
            <w:tcW w:w="64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jc w:val="center"/>
              <w:rPr>
                <w:noProof/>
              </w:rPr>
            </w:pPr>
            <w:r w:rsidRPr="00690BB0">
              <w:t>Tredje parter och kommissionen</w:t>
            </w:r>
          </w:p>
        </w:tc>
      </w:tr>
      <w:tr w:rsidR="00D624B1" w:rsidRPr="00690BB0" w:rsidTr="003F2A5D">
        <w:trPr>
          <w:trHeight w:val="469"/>
        </w:trPr>
        <w:tc>
          <w:tcPr>
            <w:tcW w:w="859"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 xml:space="preserve">Gasformiga föroreningar, </w:t>
            </w:r>
            <w:r w:rsidRPr="00690BB0">
              <w:rPr>
                <w:b/>
                <w:bCs/>
                <w:i/>
                <w:iCs/>
              </w:rPr>
              <w:t>partikelmassa och partikelantal</w:t>
            </w:r>
            <w:r w:rsidRPr="00690BB0">
              <w:t xml:space="preserve"> vid provning på väg (RDE) för varje bränsle och för de tillämpliga fordonskategorierna (M</w:t>
            </w:r>
            <w:r w:rsidRPr="00690BB0">
              <w:rPr>
                <w:vertAlign w:val="subscript"/>
              </w:rPr>
              <w:t>2</w:t>
            </w:r>
            <w:r w:rsidRPr="00690BB0">
              <w:t>, M</w:t>
            </w:r>
            <w:r w:rsidRPr="00690BB0">
              <w:rPr>
                <w:vertAlign w:val="subscript"/>
              </w:rPr>
              <w:t>3</w:t>
            </w:r>
            <w:r w:rsidRPr="00690BB0">
              <w:t>, N</w:t>
            </w:r>
            <w:r w:rsidRPr="00690BB0">
              <w:rPr>
                <w:vertAlign w:val="subscript"/>
              </w:rPr>
              <w:t>2</w:t>
            </w:r>
            <w:r w:rsidRPr="00690BB0">
              <w:t xml:space="preserve"> och N</w:t>
            </w:r>
            <w:r w:rsidRPr="00690BB0">
              <w:rPr>
                <w:vertAlign w:val="subscript"/>
              </w:rPr>
              <w:t>3</w:t>
            </w:r>
            <w:r w:rsidRPr="00690BB0">
              <w:t xml:space="preserve">) </w:t>
            </w:r>
            <w:r w:rsidRPr="00690BB0">
              <w:rPr>
                <w:b/>
                <w:bCs/>
                <w:i/>
                <w:iCs/>
              </w:rPr>
              <w:t>och provning med låg belastning (i tillämpliga fall)</w:t>
            </w:r>
          </w:p>
        </w:tc>
        <w:tc>
          <w:tcPr>
            <w:tcW w:w="733"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 xml:space="preserve">Obligatorisk demonstrationsprovning för alla bränslen för vilka typgodkännande beviljas per fordonstyp och försäkran om överensstämmelse för alla bränslen, alla nyttolaster och alla tillämpliga </w:t>
            </w:r>
            <w:r w:rsidRPr="00690BB0">
              <w:rPr>
                <w:b/>
                <w:bCs/>
                <w:i/>
                <w:iCs/>
              </w:rPr>
              <w:t>fordonstyper</w:t>
            </w:r>
          </w:p>
        </w:tc>
        <w:tc>
          <w:tcPr>
            <w:tcW w:w="74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after="120"/>
              <w:ind w:left="112"/>
              <w:rPr>
                <w:noProof/>
              </w:rPr>
            </w:pPr>
            <w:r w:rsidRPr="00690BB0">
              <w:t>(se motorkrav)</w:t>
            </w:r>
          </w:p>
        </w:tc>
        <w:tc>
          <w:tcPr>
            <w:tcW w:w="498" w:type="pct"/>
            <w:tcBorders>
              <w:top w:val="single" w:sz="2" w:space="0" w:color="auto"/>
              <w:left w:val="single" w:sz="2" w:space="0" w:color="auto"/>
              <w:bottom w:val="single" w:sz="2" w:space="0" w:color="auto"/>
              <w:right w:val="single" w:sz="2" w:space="0" w:color="auto"/>
            </w:tcBorders>
          </w:tcPr>
          <w:p w:rsidR="00D624B1" w:rsidRPr="00690BB0" w:rsidRDefault="00D624B1" w:rsidP="003F2A5D">
            <w:pPr>
              <w:widowControl/>
              <w:spacing w:line="276" w:lineRule="auto"/>
              <w:rPr>
                <w:noProof/>
              </w:rPr>
            </w:pPr>
            <w:r w:rsidRPr="00690BB0">
              <w:t xml:space="preserve">Krävs årligen för ett tillräckligt antal fordonstyper på alla bränslen och för alla fordonskategorier som omfattas av typgodkännandet avseende utsläpp </w:t>
            </w:r>
          </w:p>
        </w:tc>
        <w:tc>
          <w:tcPr>
            <w:tcW w:w="64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Valfritt</w:t>
            </w:r>
          </w:p>
        </w:tc>
        <w:tc>
          <w:tcPr>
            <w:tcW w:w="888"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Krävs/valfritt</w:t>
            </w:r>
          </w:p>
        </w:tc>
        <w:tc>
          <w:tcPr>
            <w:tcW w:w="64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Valfritt</w:t>
            </w:r>
          </w:p>
        </w:tc>
      </w:tr>
      <w:tr w:rsidR="00D624B1" w:rsidRPr="00690BB0" w:rsidTr="003F2A5D">
        <w:trPr>
          <w:trHeight w:val="469"/>
        </w:trPr>
        <w:tc>
          <w:tcPr>
            <w:tcW w:w="859"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Fastställande av ett fordons koldioxidutsläpp, bränsle- och energiförbrukning, utsläppsfri räckvidd/räckvidd vid eldrift</w:t>
            </w:r>
          </w:p>
        </w:tc>
        <w:tc>
          <w:tcPr>
            <w:tcW w:w="733"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Utfärdande av Vecto-licens</w:t>
            </w:r>
          </w:p>
        </w:tc>
        <w:tc>
          <w:tcPr>
            <w:tcW w:w="74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För komponenter</w:t>
            </w:r>
          </w:p>
        </w:tc>
        <w:tc>
          <w:tcPr>
            <w:tcW w:w="498"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 ej</w:t>
            </w:r>
          </w:p>
        </w:tc>
        <w:tc>
          <w:tcPr>
            <w:tcW w:w="64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 ej</w:t>
            </w:r>
          </w:p>
        </w:tc>
        <w:tc>
          <w:tcPr>
            <w:tcW w:w="888"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Valfritt</w:t>
            </w:r>
          </w:p>
        </w:tc>
        <w:tc>
          <w:tcPr>
            <w:tcW w:w="64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Valfritt</w:t>
            </w:r>
          </w:p>
        </w:tc>
      </w:tr>
      <w:tr w:rsidR="00D624B1" w:rsidRPr="00690BB0" w:rsidTr="003F2A5D">
        <w:trPr>
          <w:trHeight w:val="469"/>
        </w:trPr>
        <w:tc>
          <w:tcPr>
            <w:tcW w:w="859"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Släpfordons energieffektivitet</w:t>
            </w:r>
          </w:p>
        </w:tc>
        <w:tc>
          <w:tcPr>
            <w:tcW w:w="733"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Utfärdande av Vecto-licens</w:t>
            </w:r>
          </w:p>
        </w:tc>
        <w:tc>
          <w:tcPr>
            <w:tcW w:w="74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För komponenter</w:t>
            </w:r>
          </w:p>
        </w:tc>
        <w:tc>
          <w:tcPr>
            <w:tcW w:w="498"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 ej</w:t>
            </w:r>
          </w:p>
        </w:tc>
        <w:tc>
          <w:tcPr>
            <w:tcW w:w="64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 ej</w:t>
            </w:r>
          </w:p>
        </w:tc>
        <w:tc>
          <w:tcPr>
            <w:tcW w:w="888"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Valfritt</w:t>
            </w:r>
          </w:p>
        </w:tc>
        <w:tc>
          <w:tcPr>
            <w:tcW w:w="64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Valfritt</w:t>
            </w:r>
          </w:p>
        </w:tc>
      </w:tr>
      <w:tr w:rsidR="00D624B1" w:rsidRPr="00690BB0" w:rsidTr="003F2A5D">
        <w:trPr>
          <w:trHeight w:val="469"/>
        </w:trPr>
        <w:tc>
          <w:tcPr>
            <w:tcW w:w="859"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Provningsförfarande</w:t>
            </w:r>
          </w:p>
        </w:tc>
        <w:tc>
          <w:tcPr>
            <w:tcW w:w="733"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 ej</w:t>
            </w:r>
          </w:p>
        </w:tc>
        <w:tc>
          <w:tcPr>
            <w:tcW w:w="74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w:t>
            </w:r>
          </w:p>
        </w:tc>
        <w:tc>
          <w:tcPr>
            <w:tcW w:w="498"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Valfritt</w:t>
            </w:r>
          </w:p>
        </w:tc>
        <w:tc>
          <w:tcPr>
            <w:tcW w:w="64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Valfritt</w:t>
            </w:r>
          </w:p>
        </w:tc>
        <w:tc>
          <w:tcPr>
            <w:tcW w:w="888"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Valfritt</w:t>
            </w:r>
          </w:p>
        </w:tc>
        <w:tc>
          <w:tcPr>
            <w:tcW w:w="64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Valfritt</w:t>
            </w:r>
          </w:p>
        </w:tc>
      </w:tr>
      <w:tr w:rsidR="00D624B1" w:rsidRPr="00690BB0" w:rsidTr="003F2A5D">
        <w:tc>
          <w:tcPr>
            <w:tcW w:w="859"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Vevhusutsläpp</w:t>
            </w:r>
          </w:p>
        </w:tc>
        <w:tc>
          <w:tcPr>
            <w:tcW w:w="733"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 xml:space="preserve">Kontrollera att ett slutet vevhussystem eller en rörledning till avgasröret har installerats </w:t>
            </w:r>
          </w:p>
        </w:tc>
        <w:tc>
          <w:tcPr>
            <w:tcW w:w="74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 ej</w:t>
            </w:r>
          </w:p>
        </w:tc>
        <w:tc>
          <w:tcPr>
            <w:tcW w:w="498"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Valfritt</w:t>
            </w:r>
          </w:p>
        </w:tc>
        <w:tc>
          <w:tcPr>
            <w:tcW w:w="64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Valfritt</w:t>
            </w:r>
          </w:p>
        </w:tc>
        <w:tc>
          <w:tcPr>
            <w:tcW w:w="888"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Valfritt</w:t>
            </w:r>
          </w:p>
        </w:tc>
        <w:tc>
          <w:tcPr>
            <w:tcW w:w="64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Valfritt</w:t>
            </w:r>
          </w:p>
        </w:tc>
      </w:tr>
      <w:tr w:rsidR="00D624B1" w:rsidRPr="00690BB0" w:rsidTr="003F2A5D">
        <w:tc>
          <w:tcPr>
            <w:tcW w:w="859"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Utsläppens beständighet</w:t>
            </w:r>
          </w:p>
        </w:tc>
        <w:tc>
          <w:tcPr>
            <w:tcW w:w="733"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Försäkran</w:t>
            </w:r>
          </w:p>
        </w:tc>
        <w:tc>
          <w:tcPr>
            <w:tcW w:w="74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 ej</w:t>
            </w:r>
          </w:p>
        </w:tc>
        <w:tc>
          <w:tcPr>
            <w:tcW w:w="498"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Valfritt</w:t>
            </w:r>
          </w:p>
        </w:tc>
        <w:tc>
          <w:tcPr>
            <w:tcW w:w="64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Valfritt</w:t>
            </w:r>
          </w:p>
        </w:tc>
        <w:tc>
          <w:tcPr>
            <w:tcW w:w="888"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w:t>
            </w:r>
          </w:p>
        </w:tc>
        <w:tc>
          <w:tcPr>
            <w:tcW w:w="64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Valfritt</w:t>
            </w:r>
          </w:p>
        </w:tc>
      </w:tr>
      <w:tr w:rsidR="00D624B1" w:rsidRPr="00690BB0" w:rsidTr="003F2A5D">
        <w:tc>
          <w:tcPr>
            <w:tcW w:w="859"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Batteriets hållbarhet</w:t>
            </w:r>
          </w:p>
        </w:tc>
        <w:tc>
          <w:tcPr>
            <w:tcW w:w="733"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Försäkran</w:t>
            </w:r>
          </w:p>
        </w:tc>
        <w:tc>
          <w:tcPr>
            <w:tcW w:w="74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 ej</w:t>
            </w:r>
          </w:p>
        </w:tc>
        <w:tc>
          <w:tcPr>
            <w:tcW w:w="498"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Valfritt</w:t>
            </w:r>
          </w:p>
        </w:tc>
        <w:tc>
          <w:tcPr>
            <w:tcW w:w="64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Valfritt</w:t>
            </w:r>
          </w:p>
        </w:tc>
        <w:tc>
          <w:tcPr>
            <w:tcW w:w="888"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Valfritt</w:t>
            </w:r>
          </w:p>
        </w:tc>
        <w:tc>
          <w:tcPr>
            <w:tcW w:w="64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Valfritt</w:t>
            </w:r>
          </w:p>
        </w:tc>
      </w:tr>
      <w:tr w:rsidR="00D624B1" w:rsidRPr="00690BB0" w:rsidTr="003F2A5D">
        <w:tc>
          <w:tcPr>
            <w:tcW w:w="859"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 xml:space="preserve">Omborddiagnos (OBD-familjenivå) </w:t>
            </w:r>
          </w:p>
        </w:tc>
        <w:tc>
          <w:tcPr>
            <w:tcW w:w="733"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Försäkran</w:t>
            </w:r>
          </w:p>
        </w:tc>
        <w:tc>
          <w:tcPr>
            <w:tcW w:w="74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 ej</w:t>
            </w:r>
          </w:p>
        </w:tc>
        <w:tc>
          <w:tcPr>
            <w:tcW w:w="498"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Valfritt</w:t>
            </w:r>
          </w:p>
        </w:tc>
        <w:tc>
          <w:tcPr>
            <w:tcW w:w="64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Valfritt</w:t>
            </w:r>
          </w:p>
        </w:tc>
        <w:tc>
          <w:tcPr>
            <w:tcW w:w="888"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w:t>
            </w:r>
          </w:p>
        </w:tc>
        <w:tc>
          <w:tcPr>
            <w:tcW w:w="64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Valfritt</w:t>
            </w:r>
          </w:p>
        </w:tc>
      </w:tr>
      <w:tr w:rsidR="00D624B1" w:rsidRPr="00690BB0" w:rsidTr="003F2A5D">
        <w:tc>
          <w:tcPr>
            <w:tcW w:w="859"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Ombordövervakning (OBD-familjenivå)</w:t>
            </w:r>
          </w:p>
        </w:tc>
        <w:tc>
          <w:tcPr>
            <w:tcW w:w="733"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Försäkran och demonstration</w:t>
            </w:r>
          </w:p>
        </w:tc>
        <w:tc>
          <w:tcPr>
            <w:tcW w:w="74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 ej</w:t>
            </w:r>
          </w:p>
        </w:tc>
        <w:tc>
          <w:tcPr>
            <w:tcW w:w="498"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b/>
                <w:i/>
                <w:noProof/>
              </w:rPr>
            </w:pPr>
            <w:r w:rsidRPr="00690BB0">
              <w:rPr>
                <w:b/>
                <w:i/>
              </w:rPr>
              <w:t>Krävs ej</w:t>
            </w:r>
          </w:p>
        </w:tc>
        <w:tc>
          <w:tcPr>
            <w:tcW w:w="64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 ej</w:t>
            </w:r>
          </w:p>
        </w:tc>
        <w:tc>
          <w:tcPr>
            <w:tcW w:w="888"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w:t>
            </w:r>
          </w:p>
        </w:tc>
        <w:tc>
          <w:tcPr>
            <w:tcW w:w="64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Valfritt</w:t>
            </w:r>
          </w:p>
        </w:tc>
      </w:tr>
      <w:tr w:rsidR="00D624B1" w:rsidRPr="00690BB0" w:rsidTr="003F2A5D">
        <w:tc>
          <w:tcPr>
            <w:tcW w:w="859"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Manipuleringsskydd, säkerhet och cybersäkerhet</w:t>
            </w:r>
          </w:p>
        </w:tc>
        <w:tc>
          <w:tcPr>
            <w:tcW w:w="733"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Försäkran och dokumentation</w:t>
            </w:r>
          </w:p>
        </w:tc>
        <w:tc>
          <w:tcPr>
            <w:tcW w:w="74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 ej</w:t>
            </w:r>
          </w:p>
        </w:tc>
        <w:tc>
          <w:tcPr>
            <w:tcW w:w="498"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 ej</w:t>
            </w:r>
          </w:p>
        </w:tc>
        <w:tc>
          <w:tcPr>
            <w:tcW w:w="64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 ej</w:t>
            </w:r>
          </w:p>
        </w:tc>
        <w:tc>
          <w:tcPr>
            <w:tcW w:w="888"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w:t>
            </w:r>
          </w:p>
        </w:tc>
        <w:tc>
          <w:tcPr>
            <w:tcW w:w="64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Valfritt</w:t>
            </w:r>
          </w:p>
        </w:tc>
      </w:tr>
      <w:tr w:rsidR="00D624B1" w:rsidRPr="00690BB0" w:rsidTr="003F2A5D">
        <w:tc>
          <w:tcPr>
            <w:tcW w:w="859"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b/>
                <w:i/>
                <w:noProof/>
              </w:rPr>
            </w:pPr>
            <w:r w:rsidRPr="00690BB0">
              <w:rPr>
                <w:b/>
                <w:i/>
              </w:rPr>
              <w:t>Dynamisk reglering (i tillämpliga fall)</w:t>
            </w:r>
          </w:p>
        </w:tc>
        <w:tc>
          <w:tcPr>
            <w:tcW w:w="733"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b/>
                <w:i/>
                <w:noProof/>
              </w:rPr>
            </w:pPr>
            <w:r w:rsidRPr="00690BB0">
              <w:rPr>
                <w:b/>
                <w:i/>
              </w:rPr>
              <w:t>Försäkran</w:t>
            </w:r>
          </w:p>
        </w:tc>
        <w:tc>
          <w:tcPr>
            <w:tcW w:w="74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b/>
                <w:i/>
                <w:noProof/>
              </w:rPr>
            </w:pPr>
            <w:r w:rsidRPr="00690BB0">
              <w:rPr>
                <w:b/>
                <w:i/>
              </w:rPr>
              <w:t xml:space="preserve">Krävs ej </w:t>
            </w:r>
          </w:p>
        </w:tc>
        <w:tc>
          <w:tcPr>
            <w:tcW w:w="498"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b/>
                <w:i/>
                <w:noProof/>
              </w:rPr>
            </w:pPr>
            <w:r w:rsidRPr="00690BB0">
              <w:rPr>
                <w:b/>
                <w:i/>
              </w:rPr>
              <w:t xml:space="preserve">Krävs ej </w:t>
            </w:r>
          </w:p>
        </w:tc>
        <w:tc>
          <w:tcPr>
            <w:tcW w:w="64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b/>
                <w:i/>
                <w:noProof/>
              </w:rPr>
            </w:pPr>
            <w:r w:rsidRPr="00690BB0">
              <w:rPr>
                <w:b/>
                <w:i/>
              </w:rPr>
              <w:t xml:space="preserve">Krävs ej </w:t>
            </w:r>
          </w:p>
        </w:tc>
        <w:tc>
          <w:tcPr>
            <w:tcW w:w="888"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b/>
                <w:i/>
                <w:noProof/>
              </w:rPr>
            </w:pPr>
            <w:r w:rsidRPr="00690BB0">
              <w:rPr>
                <w:b/>
                <w:i/>
              </w:rPr>
              <w:t>Valfritt</w:t>
            </w:r>
          </w:p>
        </w:tc>
        <w:tc>
          <w:tcPr>
            <w:tcW w:w="64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b/>
                <w:i/>
                <w:noProof/>
              </w:rPr>
            </w:pPr>
            <w:r w:rsidRPr="00690BB0">
              <w:rPr>
                <w:b/>
                <w:i/>
              </w:rPr>
              <w:t>Valfritt</w:t>
            </w:r>
          </w:p>
        </w:tc>
      </w:tr>
      <w:tr w:rsidR="00D624B1" w:rsidRPr="00690BB0" w:rsidTr="003F2A5D">
        <w:tc>
          <w:tcPr>
            <w:tcW w:w="859"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b/>
                <w:i/>
                <w:noProof/>
              </w:rPr>
            </w:pPr>
            <w:r w:rsidRPr="00690BB0">
              <w:rPr>
                <w:b/>
                <w:i/>
              </w:rPr>
              <w:t>Geofencing-teknik (i tillämpliga fall)</w:t>
            </w:r>
          </w:p>
        </w:tc>
        <w:tc>
          <w:tcPr>
            <w:tcW w:w="733"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b/>
                <w:i/>
                <w:noProof/>
              </w:rPr>
            </w:pPr>
            <w:r w:rsidRPr="00690BB0">
              <w:rPr>
                <w:b/>
                <w:i/>
              </w:rPr>
              <w:t>Försäkran och demonstration</w:t>
            </w:r>
          </w:p>
        </w:tc>
        <w:tc>
          <w:tcPr>
            <w:tcW w:w="74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b/>
                <w:i/>
                <w:noProof/>
              </w:rPr>
            </w:pPr>
            <w:r w:rsidRPr="00690BB0">
              <w:rPr>
                <w:b/>
                <w:i/>
              </w:rPr>
              <w:t>Krävs ej</w:t>
            </w:r>
          </w:p>
        </w:tc>
        <w:tc>
          <w:tcPr>
            <w:tcW w:w="498"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b/>
                <w:i/>
                <w:noProof/>
              </w:rPr>
            </w:pPr>
            <w:r w:rsidRPr="00690BB0">
              <w:rPr>
                <w:b/>
                <w:i/>
              </w:rPr>
              <w:t>Krävs ej</w:t>
            </w:r>
          </w:p>
        </w:tc>
        <w:tc>
          <w:tcPr>
            <w:tcW w:w="64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b/>
                <w:i/>
                <w:noProof/>
              </w:rPr>
            </w:pPr>
            <w:r w:rsidRPr="00690BB0">
              <w:rPr>
                <w:b/>
                <w:i/>
              </w:rPr>
              <w:t>Krävs ej</w:t>
            </w:r>
          </w:p>
        </w:tc>
        <w:tc>
          <w:tcPr>
            <w:tcW w:w="888"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b/>
                <w:i/>
                <w:noProof/>
              </w:rPr>
            </w:pPr>
            <w:r w:rsidRPr="00690BB0">
              <w:rPr>
                <w:b/>
                <w:i/>
              </w:rPr>
              <w:t>Krävs</w:t>
            </w:r>
          </w:p>
        </w:tc>
        <w:tc>
          <w:tcPr>
            <w:tcW w:w="64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b/>
                <w:i/>
                <w:noProof/>
              </w:rPr>
            </w:pPr>
            <w:r w:rsidRPr="00690BB0">
              <w:rPr>
                <w:b/>
                <w:i/>
              </w:rPr>
              <w:t>Valfritt</w:t>
            </w:r>
          </w:p>
        </w:tc>
      </w:tr>
    </w:tbl>
    <w:p w:rsidR="00D624B1" w:rsidRPr="00690BB0" w:rsidRDefault="00D624B1" w:rsidP="00D624B1">
      <w:pPr>
        <w:pStyle w:val="AmOrLang"/>
        <w:widowControl/>
      </w:pPr>
    </w:p>
    <w:tbl>
      <w:tblPr>
        <w:tblW w:w="5000" w:type="pct"/>
        <w:tblLook w:val="04A0" w:firstRow="1" w:lastRow="0" w:firstColumn="1" w:lastColumn="0" w:noHBand="0" w:noVBand="1"/>
      </w:tblPr>
      <w:tblGrid>
        <w:gridCol w:w="1233"/>
        <w:gridCol w:w="1357"/>
        <w:gridCol w:w="1638"/>
        <w:gridCol w:w="1051"/>
        <w:gridCol w:w="901"/>
        <w:gridCol w:w="1650"/>
        <w:gridCol w:w="1234"/>
      </w:tblGrid>
      <w:tr w:rsidR="00D624B1" w:rsidRPr="00690BB0" w:rsidTr="003F2A5D">
        <w:tc>
          <w:tcPr>
            <w:tcW w:w="5000" w:type="pct"/>
            <w:gridSpan w:val="7"/>
            <w:tcBorders>
              <w:top w:val="single" w:sz="2" w:space="0" w:color="auto"/>
              <w:left w:val="single" w:sz="2" w:space="0" w:color="auto"/>
              <w:bottom w:val="single" w:sz="2" w:space="0" w:color="auto"/>
              <w:right w:val="single" w:sz="2" w:space="0" w:color="auto"/>
            </w:tcBorders>
          </w:tcPr>
          <w:p w:rsidR="00D624B1" w:rsidRPr="00690BB0" w:rsidRDefault="007B7831" w:rsidP="003F2A5D">
            <w:pPr>
              <w:widowControl/>
              <w:spacing w:line="276" w:lineRule="auto"/>
              <w:jc w:val="center"/>
              <w:rPr>
                <w:b/>
                <w:i/>
                <w:noProof/>
              </w:rPr>
            </w:pPr>
            <w:r w:rsidRPr="00690BB0">
              <w:rPr>
                <w:i/>
              </w:rPr>
              <w:t>Ändring</w:t>
            </w:r>
          </w:p>
        </w:tc>
      </w:tr>
      <w:tr w:rsidR="00D624B1" w:rsidRPr="00690BB0" w:rsidTr="003F2A5D">
        <w:tc>
          <w:tcPr>
            <w:tcW w:w="5000" w:type="pct"/>
            <w:gridSpan w:val="7"/>
            <w:tcBorders>
              <w:top w:val="single" w:sz="2" w:space="0" w:color="auto"/>
              <w:left w:val="single" w:sz="2" w:space="0" w:color="auto"/>
              <w:bottom w:val="single" w:sz="2" w:space="0" w:color="auto"/>
              <w:right w:val="single" w:sz="2" w:space="0" w:color="auto"/>
            </w:tcBorders>
          </w:tcPr>
          <w:p w:rsidR="00D624B1" w:rsidRPr="00690BB0" w:rsidRDefault="00D624B1" w:rsidP="003F2A5D">
            <w:pPr>
              <w:widowControl/>
              <w:rPr>
                <w:noProof/>
              </w:rPr>
            </w:pPr>
            <w:r w:rsidRPr="00690BB0">
              <w:t>Tabell 4: Tillämpning av provningskrav och försäkringar för typgodkännande och utökningar av fordon av kategorierna M</w:t>
            </w:r>
            <w:r w:rsidRPr="00690BB0">
              <w:rPr>
                <w:vertAlign w:val="subscript"/>
              </w:rPr>
              <w:t>2</w:t>
            </w:r>
            <w:r w:rsidRPr="00690BB0">
              <w:t>, M</w:t>
            </w:r>
            <w:r w:rsidRPr="00690BB0">
              <w:rPr>
                <w:vertAlign w:val="subscript"/>
              </w:rPr>
              <w:t>3</w:t>
            </w:r>
            <w:r w:rsidRPr="00690BB0">
              <w:t>, N</w:t>
            </w:r>
            <w:r w:rsidRPr="00690BB0">
              <w:rPr>
                <w:vertAlign w:val="subscript"/>
              </w:rPr>
              <w:t>2</w:t>
            </w:r>
            <w:r w:rsidRPr="00690BB0">
              <w:t xml:space="preserve"> och N</w:t>
            </w:r>
            <w:r w:rsidRPr="00690BB0">
              <w:rPr>
                <w:vertAlign w:val="subscript"/>
              </w:rPr>
              <w:t>3</w:t>
            </w:r>
            <w:r w:rsidRPr="00690BB0">
              <w:t xml:space="preserve"> för medlemsstater och erkända tredje parter/kommissionen</w:t>
            </w:r>
          </w:p>
        </w:tc>
      </w:tr>
      <w:tr w:rsidR="00D624B1" w:rsidRPr="00690BB0" w:rsidTr="003F2A5D">
        <w:tc>
          <w:tcPr>
            <w:tcW w:w="857"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jc w:val="center"/>
              <w:rPr>
                <w:noProof/>
              </w:rPr>
            </w:pPr>
            <w:r w:rsidRPr="00690BB0">
              <w:t>Provningskrav</w:t>
            </w:r>
          </w:p>
        </w:tc>
        <w:tc>
          <w:tcPr>
            <w:tcW w:w="73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jc w:val="center"/>
              <w:rPr>
                <w:noProof/>
              </w:rPr>
            </w:pPr>
            <w:r w:rsidRPr="00690BB0">
              <w:t xml:space="preserve">Provningar och krav </w:t>
            </w:r>
            <w:r w:rsidRPr="00690BB0">
              <w:rPr>
                <w:b/>
                <w:bCs/>
                <w:i/>
                <w:iCs/>
              </w:rPr>
              <w:t>för</w:t>
            </w:r>
            <w:r w:rsidRPr="00690BB0">
              <w:t xml:space="preserve"> typgodkännande avseende utsläpp </w:t>
            </w:r>
          </w:p>
        </w:tc>
        <w:tc>
          <w:tcPr>
            <w:tcW w:w="739"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jc w:val="center"/>
              <w:rPr>
                <w:noProof/>
              </w:rPr>
            </w:pPr>
            <w:r w:rsidRPr="00690BB0">
              <w:t xml:space="preserve">Provningar vid produktionsöverensstämmelse </w:t>
            </w:r>
          </w:p>
        </w:tc>
        <w:tc>
          <w:tcPr>
            <w:tcW w:w="1148" w:type="pct"/>
            <w:gridSpan w:val="2"/>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jc w:val="center"/>
              <w:rPr>
                <w:noProof/>
              </w:rPr>
            </w:pPr>
            <w:r w:rsidRPr="00690BB0">
              <w:t>Provningar vid överensstämmelse hos fordon i drift</w:t>
            </w:r>
          </w:p>
        </w:tc>
        <w:tc>
          <w:tcPr>
            <w:tcW w:w="1525" w:type="pct"/>
            <w:gridSpan w:val="2"/>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jc w:val="center"/>
              <w:rPr>
                <w:noProof/>
              </w:rPr>
            </w:pPr>
            <w:r w:rsidRPr="00690BB0">
              <w:t>Provningar vid marknadskontroll</w:t>
            </w:r>
          </w:p>
        </w:tc>
      </w:tr>
      <w:tr w:rsidR="00D624B1" w:rsidRPr="00690BB0" w:rsidTr="003F2A5D">
        <w:tc>
          <w:tcPr>
            <w:tcW w:w="857"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jc w:val="center"/>
              <w:rPr>
                <w:noProof/>
              </w:rPr>
            </w:pPr>
            <w:r w:rsidRPr="00690BB0">
              <w:t>Relevant aktör</w:t>
            </w:r>
          </w:p>
        </w:tc>
        <w:tc>
          <w:tcPr>
            <w:tcW w:w="73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jc w:val="center"/>
              <w:rPr>
                <w:b/>
                <w:i/>
                <w:noProof/>
              </w:rPr>
            </w:pPr>
            <w:r w:rsidRPr="00690BB0">
              <w:rPr>
                <w:b/>
                <w:bCs/>
                <w:i/>
                <w:iCs/>
              </w:rPr>
              <w:t>Myndighet som beviljar</w:t>
            </w:r>
            <w:r w:rsidRPr="00690BB0">
              <w:t xml:space="preserve"> typgodkännande</w:t>
            </w:r>
          </w:p>
        </w:tc>
        <w:tc>
          <w:tcPr>
            <w:tcW w:w="739"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jc w:val="center"/>
              <w:rPr>
                <w:b/>
                <w:i/>
                <w:noProof/>
              </w:rPr>
            </w:pPr>
            <w:r w:rsidRPr="00690BB0">
              <w:rPr>
                <w:b/>
                <w:bCs/>
                <w:i/>
                <w:iCs/>
              </w:rPr>
              <w:t>Myndighet som beviljar</w:t>
            </w:r>
            <w:r w:rsidRPr="00690BB0">
              <w:t xml:space="preserve"> </w:t>
            </w:r>
            <w:r w:rsidRPr="00690BB0">
              <w:rPr>
                <w:b/>
                <w:bCs/>
                <w:i/>
                <w:iCs/>
              </w:rPr>
              <w:t>typgodkännande</w:t>
            </w:r>
          </w:p>
        </w:tc>
        <w:tc>
          <w:tcPr>
            <w:tcW w:w="509"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jc w:val="center"/>
              <w:rPr>
                <w:b/>
                <w:i/>
                <w:noProof/>
              </w:rPr>
            </w:pPr>
            <w:r w:rsidRPr="00690BB0">
              <w:rPr>
                <w:b/>
                <w:bCs/>
                <w:i/>
                <w:iCs/>
              </w:rPr>
              <w:t>Myndighet som beviljar</w:t>
            </w:r>
            <w:r w:rsidRPr="00690BB0">
              <w:t xml:space="preserve"> </w:t>
            </w:r>
            <w:r w:rsidRPr="00690BB0">
              <w:rPr>
                <w:b/>
                <w:bCs/>
                <w:i/>
                <w:iCs/>
              </w:rPr>
              <w:t>typgodkännande</w:t>
            </w:r>
            <w:r w:rsidRPr="00690BB0">
              <w:rPr>
                <w:b/>
                <w:i/>
              </w:rPr>
              <w:t xml:space="preserve"> </w:t>
            </w:r>
          </w:p>
        </w:tc>
        <w:tc>
          <w:tcPr>
            <w:tcW w:w="640"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jc w:val="center"/>
              <w:rPr>
                <w:noProof/>
              </w:rPr>
            </w:pPr>
            <w:r w:rsidRPr="00690BB0">
              <w:t>Tredje parter och kommissionen</w:t>
            </w:r>
          </w:p>
        </w:tc>
        <w:tc>
          <w:tcPr>
            <w:tcW w:w="885"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jc w:val="center"/>
              <w:rPr>
                <w:noProof/>
              </w:rPr>
            </w:pPr>
            <w:r w:rsidRPr="00690BB0">
              <w:t xml:space="preserve">Marknadskontrollmyndigheter </w:t>
            </w:r>
          </w:p>
        </w:tc>
        <w:tc>
          <w:tcPr>
            <w:tcW w:w="640"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jc w:val="center"/>
              <w:rPr>
                <w:noProof/>
              </w:rPr>
            </w:pPr>
            <w:r w:rsidRPr="00690BB0">
              <w:t>Tredje parter och kommissionen</w:t>
            </w:r>
          </w:p>
        </w:tc>
      </w:tr>
      <w:tr w:rsidR="00D624B1" w:rsidRPr="00690BB0" w:rsidTr="003F2A5D">
        <w:trPr>
          <w:trHeight w:val="469"/>
        </w:trPr>
        <w:tc>
          <w:tcPr>
            <w:tcW w:w="857"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Gasformiga föroreningar, partikelmassa och partikelantal vid provning på väg (RDE) för varje bränsle och för de tillämpliga fordonskategorierna (M</w:t>
            </w:r>
            <w:r w:rsidRPr="00690BB0">
              <w:rPr>
                <w:vertAlign w:val="subscript"/>
              </w:rPr>
              <w:t>2</w:t>
            </w:r>
            <w:r w:rsidRPr="00690BB0">
              <w:t>, M</w:t>
            </w:r>
            <w:r w:rsidRPr="00690BB0">
              <w:rPr>
                <w:vertAlign w:val="subscript"/>
              </w:rPr>
              <w:t>3</w:t>
            </w:r>
            <w:r w:rsidRPr="00690BB0">
              <w:t>, N</w:t>
            </w:r>
            <w:r w:rsidRPr="00690BB0">
              <w:rPr>
                <w:vertAlign w:val="subscript"/>
              </w:rPr>
              <w:t>2</w:t>
            </w:r>
            <w:r w:rsidRPr="00690BB0">
              <w:t xml:space="preserve"> och N</w:t>
            </w:r>
            <w:r w:rsidRPr="00690BB0">
              <w:rPr>
                <w:vertAlign w:val="subscript"/>
              </w:rPr>
              <w:t>3</w:t>
            </w:r>
            <w:r w:rsidRPr="00690BB0">
              <w:t>)</w:t>
            </w:r>
          </w:p>
        </w:tc>
        <w:tc>
          <w:tcPr>
            <w:tcW w:w="73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b/>
                <w:i/>
                <w:noProof/>
              </w:rPr>
            </w:pPr>
            <w:r w:rsidRPr="00690BB0">
              <w:t xml:space="preserve">Obligatorisk demonstrationsprovning för alla bränslen för vilka typgodkännande beviljas per fordonstyp och försäkran om överensstämmelse för alla bränslen, alla nyttolaster och alla tillämpliga </w:t>
            </w:r>
            <w:r w:rsidRPr="00690BB0">
              <w:rPr>
                <w:b/>
                <w:bCs/>
                <w:i/>
                <w:iCs/>
              </w:rPr>
              <w:t>fordonskategorier</w:t>
            </w:r>
          </w:p>
          <w:p w:rsidR="00D624B1" w:rsidRPr="00690BB0" w:rsidRDefault="00D624B1" w:rsidP="003F2A5D">
            <w:pPr>
              <w:widowControl/>
              <w:spacing w:line="276" w:lineRule="auto"/>
              <w:rPr>
                <w:noProof/>
              </w:rPr>
            </w:pPr>
            <w:r w:rsidRPr="00690BB0">
              <w:t>**</w:t>
            </w:r>
          </w:p>
        </w:tc>
        <w:tc>
          <w:tcPr>
            <w:tcW w:w="739"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after="120"/>
              <w:ind w:left="112"/>
              <w:rPr>
                <w:noProof/>
              </w:rPr>
            </w:pPr>
            <w:r w:rsidRPr="00690BB0">
              <w:t>(se motorkrav)</w:t>
            </w:r>
          </w:p>
        </w:tc>
        <w:tc>
          <w:tcPr>
            <w:tcW w:w="509" w:type="pct"/>
            <w:tcBorders>
              <w:top w:val="single" w:sz="2" w:space="0" w:color="auto"/>
              <w:left w:val="single" w:sz="2" w:space="0" w:color="auto"/>
              <w:bottom w:val="single" w:sz="2" w:space="0" w:color="auto"/>
              <w:right w:val="single" w:sz="2" w:space="0" w:color="auto"/>
            </w:tcBorders>
          </w:tcPr>
          <w:p w:rsidR="00D624B1" w:rsidRPr="00690BB0" w:rsidRDefault="00D624B1" w:rsidP="003F2A5D">
            <w:pPr>
              <w:widowControl/>
              <w:spacing w:line="276" w:lineRule="auto"/>
              <w:rPr>
                <w:noProof/>
              </w:rPr>
            </w:pPr>
            <w:r w:rsidRPr="00690BB0">
              <w:t xml:space="preserve">Krävs årligen för ett tillräckligt antal fordonstyper på alla bränslen och för alla fordonskategorier som omfattas av typgodkännandet avseende utsläpp </w:t>
            </w:r>
          </w:p>
          <w:p w:rsidR="00D624B1" w:rsidRPr="00690BB0" w:rsidRDefault="00D624B1" w:rsidP="003F2A5D">
            <w:pPr>
              <w:widowControl/>
              <w:spacing w:line="276" w:lineRule="auto"/>
              <w:rPr>
                <w:b/>
                <w:i/>
                <w:noProof/>
              </w:rPr>
            </w:pPr>
            <w:r w:rsidRPr="00690BB0">
              <w:rPr>
                <w:b/>
                <w:i/>
              </w:rPr>
              <w:t>**</w:t>
            </w:r>
          </w:p>
        </w:tc>
        <w:tc>
          <w:tcPr>
            <w:tcW w:w="640"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Valfritt</w:t>
            </w:r>
          </w:p>
        </w:tc>
        <w:tc>
          <w:tcPr>
            <w:tcW w:w="885"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Krävs/valfritt</w:t>
            </w:r>
          </w:p>
        </w:tc>
        <w:tc>
          <w:tcPr>
            <w:tcW w:w="640"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Valfritt</w:t>
            </w:r>
          </w:p>
        </w:tc>
      </w:tr>
      <w:tr w:rsidR="00D624B1" w:rsidRPr="00690BB0" w:rsidTr="003F2A5D">
        <w:trPr>
          <w:trHeight w:val="469"/>
        </w:trPr>
        <w:tc>
          <w:tcPr>
            <w:tcW w:w="857"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Fastställande av ett fordons koldioxidutsläpp, bränsle- och energiförbrukning, utsläppsfri räckvidd/räckvidd vid eldrift</w:t>
            </w:r>
          </w:p>
        </w:tc>
        <w:tc>
          <w:tcPr>
            <w:tcW w:w="73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Utfärdande av Vecto-licens</w:t>
            </w:r>
          </w:p>
        </w:tc>
        <w:tc>
          <w:tcPr>
            <w:tcW w:w="739"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För komponenter</w:t>
            </w:r>
          </w:p>
        </w:tc>
        <w:tc>
          <w:tcPr>
            <w:tcW w:w="509"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 ej</w:t>
            </w:r>
          </w:p>
        </w:tc>
        <w:tc>
          <w:tcPr>
            <w:tcW w:w="640"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 ej</w:t>
            </w:r>
          </w:p>
        </w:tc>
        <w:tc>
          <w:tcPr>
            <w:tcW w:w="885"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Valfritt</w:t>
            </w:r>
          </w:p>
        </w:tc>
        <w:tc>
          <w:tcPr>
            <w:tcW w:w="640"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Valfritt</w:t>
            </w:r>
          </w:p>
        </w:tc>
      </w:tr>
      <w:tr w:rsidR="00D624B1" w:rsidRPr="00690BB0" w:rsidTr="003F2A5D">
        <w:trPr>
          <w:trHeight w:val="469"/>
        </w:trPr>
        <w:tc>
          <w:tcPr>
            <w:tcW w:w="857"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Släpfordons energieffektivitet</w:t>
            </w:r>
          </w:p>
        </w:tc>
        <w:tc>
          <w:tcPr>
            <w:tcW w:w="73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Utfärdande av Vecto-licens</w:t>
            </w:r>
          </w:p>
        </w:tc>
        <w:tc>
          <w:tcPr>
            <w:tcW w:w="739"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För komponenter</w:t>
            </w:r>
          </w:p>
        </w:tc>
        <w:tc>
          <w:tcPr>
            <w:tcW w:w="509"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 ej</w:t>
            </w:r>
          </w:p>
        </w:tc>
        <w:tc>
          <w:tcPr>
            <w:tcW w:w="640"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 ej</w:t>
            </w:r>
          </w:p>
        </w:tc>
        <w:tc>
          <w:tcPr>
            <w:tcW w:w="885"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Valfritt</w:t>
            </w:r>
          </w:p>
        </w:tc>
        <w:tc>
          <w:tcPr>
            <w:tcW w:w="640"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Valfritt</w:t>
            </w:r>
          </w:p>
        </w:tc>
      </w:tr>
      <w:tr w:rsidR="00D624B1" w:rsidRPr="00690BB0" w:rsidTr="003F2A5D">
        <w:trPr>
          <w:trHeight w:val="469"/>
        </w:trPr>
        <w:tc>
          <w:tcPr>
            <w:tcW w:w="857"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Provningsförfarande</w:t>
            </w:r>
          </w:p>
        </w:tc>
        <w:tc>
          <w:tcPr>
            <w:tcW w:w="73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 ej</w:t>
            </w:r>
          </w:p>
        </w:tc>
        <w:tc>
          <w:tcPr>
            <w:tcW w:w="739"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w:t>
            </w:r>
          </w:p>
        </w:tc>
        <w:tc>
          <w:tcPr>
            <w:tcW w:w="509"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Valfritt</w:t>
            </w:r>
          </w:p>
        </w:tc>
        <w:tc>
          <w:tcPr>
            <w:tcW w:w="640"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Valfritt</w:t>
            </w:r>
          </w:p>
        </w:tc>
        <w:tc>
          <w:tcPr>
            <w:tcW w:w="885"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Valfritt</w:t>
            </w:r>
          </w:p>
        </w:tc>
        <w:tc>
          <w:tcPr>
            <w:tcW w:w="640"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Valfritt</w:t>
            </w:r>
          </w:p>
        </w:tc>
      </w:tr>
      <w:tr w:rsidR="00D624B1" w:rsidRPr="00690BB0" w:rsidTr="003F2A5D">
        <w:tc>
          <w:tcPr>
            <w:tcW w:w="857"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Vevhusutsläpp</w:t>
            </w:r>
          </w:p>
        </w:tc>
        <w:tc>
          <w:tcPr>
            <w:tcW w:w="73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 xml:space="preserve">Kontrollera att ett slutet vevhussystem eller en rörledning till avgasröret har installerats </w:t>
            </w:r>
          </w:p>
        </w:tc>
        <w:tc>
          <w:tcPr>
            <w:tcW w:w="739"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 ej</w:t>
            </w:r>
          </w:p>
        </w:tc>
        <w:tc>
          <w:tcPr>
            <w:tcW w:w="509"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Valfritt</w:t>
            </w:r>
          </w:p>
        </w:tc>
        <w:tc>
          <w:tcPr>
            <w:tcW w:w="640"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Valfritt</w:t>
            </w:r>
          </w:p>
        </w:tc>
        <w:tc>
          <w:tcPr>
            <w:tcW w:w="885"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Valfritt</w:t>
            </w:r>
          </w:p>
        </w:tc>
        <w:tc>
          <w:tcPr>
            <w:tcW w:w="640"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Valfritt</w:t>
            </w:r>
          </w:p>
        </w:tc>
      </w:tr>
      <w:tr w:rsidR="00D624B1" w:rsidRPr="00690BB0" w:rsidTr="003F2A5D">
        <w:tc>
          <w:tcPr>
            <w:tcW w:w="857"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Utsläppens beständighet</w:t>
            </w:r>
          </w:p>
        </w:tc>
        <w:tc>
          <w:tcPr>
            <w:tcW w:w="73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Försäkran</w:t>
            </w:r>
          </w:p>
        </w:tc>
        <w:tc>
          <w:tcPr>
            <w:tcW w:w="739"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 ej</w:t>
            </w:r>
          </w:p>
        </w:tc>
        <w:tc>
          <w:tcPr>
            <w:tcW w:w="509"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Valfritt</w:t>
            </w:r>
          </w:p>
        </w:tc>
        <w:tc>
          <w:tcPr>
            <w:tcW w:w="640"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Valfritt</w:t>
            </w:r>
          </w:p>
        </w:tc>
        <w:tc>
          <w:tcPr>
            <w:tcW w:w="885"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w:t>
            </w:r>
          </w:p>
        </w:tc>
        <w:tc>
          <w:tcPr>
            <w:tcW w:w="640"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Valfritt</w:t>
            </w:r>
          </w:p>
        </w:tc>
      </w:tr>
      <w:tr w:rsidR="00D624B1" w:rsidRPr="00690BB0" w:rsidTr="003F2A5D">
        <w:tc>
          <w:tcPr>
            <w:tcW w:w="857" w:type="pct"/>
            <w:tcBorders>
              <w:top w:val="single" w:sz="2" w:space="0" w:color="auto"/>
              <w:left w:val="single" w:sz="2" w:space="0" w:color="auto"/>
              <w:bottom w:val="single" w:sz="2" w:space="0" w:color="auto"/>
              <w:right w:val="single" w:sz="2" w:space="0" w:color="auto"/>
            </w:tcBorders>
          </w:tcPr>
          <w:p w:rsidR="00D624B1" w:rsidRPr="00690BB0" w:rsidRDefault="00D624B1" w:rsidP="003F2A5D">
            <w:pPr>
              <w:widowControl/>
              <w:spacing w:before="60" w:after="60"/>
              <w:rPr>
                <w:b/>
                <w:i/>
                <w:szCs w:val="24"/>
              </w:rPr>
            </w:pPr>
            <w:r w:rsidRPr="00690BB0">
              <w:rPr>
                <w:b/>
                <w:i/>
              </w:rPr>
              <w:t>Korrekt drift av system med förbrukningsbart reagens och av utsläppsbegränsande system</w:t>
            </w:r>
          </w:p>
        </w:tc>
        <w:tc>
          <w:tcPr>
            <w:tcW w:w="731" w:type="pct"/>
            <w:tcBorders>
              <w:top w:val="single" w:sz="2" w:space="0" w:color="auto"/>
              <w:left w:val="single" w:sz="2" w:space="0" w:color="auto"/>
              <w:bottom w:val="single" w:sz="2" w:space="0" w:color="auto"/>
              <w:right w:val="single" w:sz="2" w:space="0" w:color="auto"/>
            </w:tcBorders>
          </w:tcPr>
          <w:p w:rsidR="00D624B1" w:rsidRPr="00690BB0" w:rsidRDefault="00D624B1" w:rsidP="003F2A5D">
            <w:pPr>
              <w:widowControl/>
              <w:spacing w:before="60" w:after="60"/>
              <w:rPr>
                <w:b/>
                <w:i/>
                <w:szCs w:val="24"/>
              </w:rPr>
            </w:pPr>
            <w:r w:rsidRPr="00690BB0">
              <w:rPr>
                <w:b/>
                <w:i/>
              </w:rPr>
              <w:t>Krävs ej</w:t>
            </w:r>
          </w:p>
        </w:tc>
        <w:tc>
          <w:tcPr>
            <w:tcW w:w="739" w:type="pct"/>
            <w:tcBorders>
              <w:top w:val="single" w:sz="2" w:space="0" w:color="auto"/>
              <w:left w:val="single" w:sz="2" w:space="0" w:color="auto"/>
              <w:bottom w:val="single" w:sz="2" w:space="0" w:color="auto"/>
              <w:right w:val="single" w:sz="2" w:space="0" w:color="auto"/>
            </w:tcBorders>
          </w:tcPr>
          <w:p w:rsidR="00D624B1" w:rsidRPr="00690BB0" w:rsidRDefault="00D624B1" w:rsidP="003F2A5D">
            <w:pPr>
              <w:widowControl/>
              <w:spacing w:before="60" w:after="60"/>
              <w:rPr>
                <w:b/>
                <w:i/>
                <w:szCs w:val="24"/>
              </w:rPr>
            </w:pPr>
            <w:r w:rsidRPr="00690BB0">
              <w:rPr>
                <w:b/>
                <w:i/>
              </w:rPr>
              <w:t>Krävs ej</w:t>
            </w:r>
          </w:p>
        </w:tc>
        <w:tc>
          <w:tcPr>
            <w:tcW w:w="509" w:type="pct"/>
            <w:tcBorders>
              <w:top w:val="single" w:sz="2" w:space="0" w:color="auto"/>
              <w:left w:val="single" w:sz="2" w:space="0" w:color="auto"/>
              <w:bottom w:val="single" w:sz="2" w:space="0" w:color="auto"/>
              <w:right w:val="single" w:sz="2" w:space="0" w:color="auto"/>
            </w:tcBorders>
          </w:tcPr>
          <w:p w:rsidR="00D624B1" w:rsidRPr="00690BB0" w:rsidRDefault="00D624B1" w:rsidP="003F2A5D">
            <w:pPr>
              <w:widowControl/>
              <w:spacing w:before="60" w:after="60"/>
              <w:rPr>
                <w:b/>
                <w:i/>
                <w:szCs w:val="24"/>
              </w:rPr>
            </w:pPr>
            <w:r w:rsidRPr="00690BB0">
              <w:rPr>
                <w:b/>
                <w:i/>
              </w:rPr>
              <w:t>Krävs</w:t>
            </w:r>
          </w:p>
        </w:tc>
        <w:tc>
          <w:tcPr>
            <w:tcW w:w="640" w:type="pct"/>
            <w:tcBorders>
              <w:top w:val="single" w:sz="2" w:space="0" w:color="auto"/>
              <w:left w:val="single" w:sz="2" w:space="0" w:color="auto"/>
              <w:bottom w:val="single" w:sz="2" w:space="0" w:color="auto"/>
              <w:right w:val="single" w:sz="2" w:space="0" w:color="auto"/>
            </w:tcBorders>
          </w:tcPr>
          <w:p w:rsidR="00D624B1" w:rsidRPr="00690BB0" w:rsidRDefault="00D624B1" w:rsidP="003F2A5D">
            <w:pPr>
              <w:widowControl/>
              <w:spacing w:before="60" w:after="60"/>
              <w:rPr>
                <w:b/>
                <w:i/>
                <w:szCs w:val="24"/>
              </w:rPr>
            </w:pPr>
            <w:r w:rsidRPr="00690BB0">
              <w:rPr>
                <w:b/>
                <w:i/>
              </w:rPr>
              <w:t>Valfritt</w:t>
            </w:r>
          </w:p>
        </w:tc>
        <w:tc>
          <w:tcPr>
            <w:tcW w:w="885" w:type="pct"/>
            <w:tcBorders>
              <w:top w:val="single" w:sz="2" w:space="0" w:color="auto"/>
              <w:left w:val="single" w:sz="2" w:space="0" w:color="auto"/>
              <w:bottom w:val="single" w:sz="2" w:space="0" w:color="auto"/>
              <w:right w:val="single" w:sz="2" w:space="0" w:color="auto"/>
            </w:tcBorders>
          </w:tcPr>
          <w:p w:rsidR="00D624B1" w:rsidRPr="00690BB0" w:rsidRDefault="00D624B1" w:rsidP="003F2A5D">
            <w:pPr>
              <w:widowControl/>
              <w:spacing w:before="60" w:after="60"/>
              <w:rPr>
                <w:b/>
                <w:i/>
                <w:szCs w:val="24"/>
              </w:rPr>
            </w:pPr>
            <w:r w:rsidRPr="00690BB0">
              <w:rPr>
                <w:b/>
                <w:i/>
              </w:rPr>
              <w:t>Krävs</w:t>
            </w:r>
          </w:p>
        </w:tc>
        <w:tc>
          <w:tcPr>
            <w:tcW w:w="640" w:type="pct"/>
            <w:tcBorders>
              <w:top w:val="single" w:sz="2" w:space="0" w:color="auto"/>
              <w:left w:val="single" w:sz="2" w:space="0" w:color="auto"/>
              <w:bottom w:val="single" w:sz="2" w:space="0" w:color="auto"/>
              <w:right w:val="single" w:sz="2" w:space="0" w:color="auto"/>
            </w:tcBorders>
          </w:tcPr>
          <w:p w:rsidR="00D624B1" w:rsidRPr="00690BB0" w:rsidRDefault="00D624B1" w:rsidP="003F2A5D">
            <w:pPr>
              <w:widowControl/>
              <w:spacing w:before="60" w:after="60"/>
              <w:rPr>
                <w:b/>
                <w:i/>
                <w:szCs w:val="24"/>
              </w:rPr>
            </w:pPr>
            <w:r w:rsidRPr="00690BB0">
              <w:rPr>
                <w:b/>
                <w:i/>
              </w:rPr>
              <w:t>Korrekt drift av system med förbrukningsbart reagens och av utsläppsbegränsande system</w:t>
            </w:r>
          </w:p>
        </w:tc>
      </w:tr>
      <w:tr w:rsidR="00D624B1" w:rsidRPr="00690BB0" w:rsidTr="003F2A5D">
        <w:tc>
          <w:tcPr>
            <w:tcW w:w="857"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Batteriets hållbarhet</w:t>
            </w:r>
          </w:p>
        </w:tc>
        <w:tc>
          <w:tcPr>
            <w:tcW w:w="73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Försäkran</w:t>
            </w:r>
          </w:p>
        </w:tc>
        <w:tc>
          <w:tcPr>
            <w:tcW w:w="739"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 ej</w:t>
            </w:r>
          </w:p>
        </w:tc>
        <w:tc>
          <w:tcPr>
            <w:tcW w:w="509"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Valfritt</w:t>
            </w:r>
          </w:p>
        </w:tc>
        <w:tc>
          <w:tcPr>
            <w:tcW w:w="640"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Valfritt</w:t>
            </w:r>
          </w:p>
        </w:tc>
        <w:tc>
          <w:tcPr>
            <w:tcW w:w="885"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Valfritt</w:t>
            </w:r>
          </w:p>
        </w:tc>
        <w:tc>
          <w:tcPr>
            <w:tcW w:w="640"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Valfritt</w:t>
            </w:r>
          </w:p>
        </w:tc>
      </w:tr>
      <w:tr w:rsidR="00D624B1" w:rsidRPr="00690BB0" w:rsidTr="003F2A5D">
        <w:tc>
          <w:tcPr>
            <w:tcW w:w="857" w:type="pct"/>
            <w:tcBorders>
              <w:top w:val="single" w:sz="2" w:space="0" w:color="auto"/>
              <w:left w:val="single" w:sz="2" w:space="0" w:color="auto"/>
              <w:bottom w:val="single" w:sz="2" w:space="0" w:color="auto"/>
              <w:right w:val="single" w:sz="2" w:space="0" w:color="auto"/>
            </w:tcBorders>
          </w:tcPr>
          <w:p w:rsidR="00D624B1" w:rsidRPr="00690BB0" w:rsidRDefault="00D624B1" w:rsidP="003F2A5D">
            <w:pPr>
              <w:widowControl/>
              <w:spacing w:before="60" w:after="60"/>
              <w:rPr>
                <w:b/>
                <w:bCs/>
                <w:i/>
                <w:noProof/>
                <w:szCs w:val="24"/>
              </w:rPr>
            </w:pPr>
            <w:r w:rsidRPr="00690BB0">
              <w:rPr>
                <w:b/>
                <w:i/>
              </w:rPr>
              <w:t>Bestämning av effekt</w:t>
            </w:r>
          </w:p>
        </w:tc>
        <w:tc>
          <w:tcPr>
            <w:tcW w:w="731" w:type="pct"/>
            <w:tcBorders>
              <w:top w:val="single" w:sz="2" w:space="0" w:color="auto"/>
              <w:left w:val="single" w:sz="2" w:space="0" w:color="auto"/>
              <w:bottom w:val="single" w:sz="2" w:space="0" w:color="auto"/>
              <w:right w:val="single" w:sz="2" w:space="0" w:color="auto"/>
            </w:tcBorders>
          </w:tcPr>
          <w:p w:rsidR="00D624B1" w:rsidRPr="00690BB0" w:rsidRDefault="00D624B1" w:rsidP="003F2A5D">
            <w:pPr>
              <w:widowControl/>
              <w:spacing w:before="60" w:after="60"/>
              <w:rPr>
                <w:b/>
                <w:i/>
                <w:noProof/>
                <w:szCs w:val="24"/>
              </w:rPr>
            </w:pPr>
            <w:r w:rsidRPr="00690BB0">
              <w:rPr>
                <w:b/>
                <w:i/>
              </w:rPr>
              <w:t>Krävs</w:t>
            </w:r>
          </w:p>
          <w:p w:rsidR="00D624B1" w:rsidRPr="00690BB0" w:rsidRDefault="00D624B1" w:rsidP="003F2A5D">
            <w:pPr>
              <w:widowControl/>
              <w:spacing w:before="60" w:after="60"/>
              <w:rPr>
                <w:b/>
                <w:i/>
                <w:noProof/>
                <w:szCs w:val="24"/>
              </w:rPr>
            </w:pPr>
            <w:r w:rsidRPr="00690BB0">
              <w:rPr>
                <w:b/>
                <w:i/>
              </w:rPr>
              <w:t>**</w:t>
            </w:r>
          </w:p>
        </w:tc>
        <w:tc>
          <w:tcPr>
            <w:tcW w:w="739" w:type="pct"/>
            <w:tcBorders>
              <w:top w:val="single" w:sz="2" w:space="0" w:color="auto"/>
              <w:left w:val="single" w:sz="2" w:space="0" w:color="auto"/>
              <w:bottom w:val="single" w:sz="2" w:space="0" w:color="auto"/>
              <w:right w:val="single" w:sz="2" w:space="0" w:color="auto"/>
            </w:tcBorders>
          </w:tcPr>
          <w:p w:rsidR="00D624B1" w:rsidRPr="00690BB0" w:rsidRDefault="00D624B1" w:rsidP="003F2A5D">
            <w:pPr>
              <w:widowControl/>
              <w:spacing w:before="60" w:after="60"/>
              <w:rPr>
                <w:b/>
                <w:i/>
                <w:noProof/>
                <w:szCs w:val="24"/>
              </w:rPr>
            </w:pPr>
            <w:r w:rsidRPr="00690BB0">
              <w:rPr>
                <w:b/>
                <w:i/>
              </w:rPr>
              <w:t>Krävs ej</w:t>
            </w:r>
          </w:p>
        </w:tc>
        <w:tc>
          <w:tcPr>
            <w:tcW w:w="509" w:type="pct"/>
            <w:tcBorders>
              <w:top w:val="single" w:sz="2" w:space="0" w:color="auto"/>
              <w:left w:val="single" w:sz="2" w:space="0" w:color="auto"/>
              <w:bottom w:val="single" w:sz="2" w:space="0" w:color="auto"/>
              <w:right w:val="single" w:sz="2" w:space="0" w:color="auto"/>
            </w:tcBorders>
          </w:tcPr>
          <w:p w:rsidR="00D624B1" w:rsidRPr="00690BB0" w:rsidRDefault="00D624B1" w:rsidP="003F2A5D">
            <w:pPr>
              <w:widowControl/>
              <w:spacing w:before="60" w:after="60"/>
              <w:rPr>
                <w:b/>
                <w:i/>
                <w:noProof/>
                <w:szCs w:val="24"/>
              </w:rPr>
            </w:pPr>
            <w:r w:rsidRPr="00690BB0">
              <w:rPr>
                <w:b/>
                <w:i/>
              </w:rPr>
              <w:t>Valfritt</w:t>
            </w:r>
          </w:p>
        </w:tc>
        <w:tc>
          <w:tcPr>
            <w:tcW w:w="640" w:type="pct"/>
            <w:tcBorders>
              <w:top w:val="single" w:sz="2" w:space="0" w:color="auto"/>
              <w:left w:val="single" w:sz="2" w:space="0" w:color="auto"/>
              <w:bottom w:val="single" w:sz="2" w:space="0" w:color="auto"/>
              <w:right w:val="single" w:sz="2" w:space="0" w:color="auto"/>
            </w:tcBorders>
          </w:tcPr>
          <w:p w:rsidR="00D624B1" w:rsidRPr="00690BB0" w:rsidRDefault="00D624B1" w:rsidP="003F2A5D">
            <w:pPr>
              <w:widowControl/>
              <w:spacing w:before="60" w:after="60"/>
              <w:rPr>
                <w:b/>
                <w:i/>
                <w:noProof/>
                <w:szCs w:val="24"/>
              </w:rPr>
            </w:pPr>
            <w:r w:rsidRPr="00690BB0">
              <w:rPr>
                <w:b/>
                <w:i/>
              </w:rPr>
              <w:t>Valfritt</w:t>
            </w:r>
          </w:p>
        </w:tc>
        <w:tc>
          <w:tcPr>
            <w:tcW w:w="885" w:type="pct"/>
            <w:tcBorders>
              <w:top w:val="single" w:sz="2" w:space="0" w:color="auto"/>
              <w:left w:val="single" w:sz="2" w:space="0" w:color="auto"/>
              <w:bottom w:val="single" w:sz="2" w:space="0" w:color="auto"/>
              <w:right w:val="single" w:sz="2" w:space="0" w:color="auto"/>
            </w:tcBorders>
          </w:tcPr>
          <w:p w:rsidR="00D624B1" w:rsidRPr="00690BB0" w:rsidRDefault="00D624B1" w:rsidP="003F2A5D">
            <w:pPr>
              <w:widowControl/>
              <w:spacing w:before="60" w:after="60"/>
              <w:rPr>
                <w:b/>
                <w:i/>
                <w:noProof/>
                <w:szCs w:val="24"/>
              </w:rPr>
            </w:pPr>
            <w:r w:rsidRPr="00690BB0">
              <w:rPr>
                <w:b/>
                <w:i/>
              </w:rPr>
              <w:t>Valfritt</w:t>
            </w:r>
          </w:p>
        </w:tc>
        <w:tc>
          <w:tcPr>
            <w:tcW w:w="640" w:type="pct"/>
            <w:tcBorders>
              <w:top w:val="single" w:sz="2" w:space="0" w:color="auto"/>
              <w:left w:val="single" w:sz="2" w:space="0" w:color="auto"/>
              <w:bottom w:val="single" w:sz="2" w:space="0" w:color="auto"/>
              <w:right w:val="single" w:sz="2" w:space="0" w:color="auto"/>
            </w:tcBorders>
          </w:tcPr>
          <w:p w:rsidR="00D624B1" w:rsidRPr="00690BB0" w:rsidRDefault="00D624B1" w:rsidP="003F2A5D">
            <w:pPr>
              <w:widowControl/>
              <w:spacing w:before="60" w:after="60"/>
              <w:rPr>
                <w:b/>
                <w:i/>
                <w:noProof/>
                <w:szCs w:val="24"/>
              </w:rPr>
            </w:pPr>
            <w:r w:rsidRPr="00690BB0">
              <w:rPr>
                <w:b/>
                <w:i/>
              </w:rPr>
              <w:t>Valfritt</w:t>
            </w:r>
          </w:p>
        </w:tc>
      </w:tr>
      <w:tr w:rsidR="00D624B1" w:rsidRPr="00690BB0" w:rsidTr="003F2A5D">
        <w:tc>
          <w:tcPr>
            <w:tcW w:w="857"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 xml:space="preserve">Omborddiagnos (OBD-familjenivå) </w:t>
            </w:r>
          </w:p>
        </w:tc>
        <w:tc>
          <w:tcPr>
            <w:tcW w:w="73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Försäkran</w:t>
            </w:r>
          </w:p>
        </w:tc>
        <w:tc>
          <w:tcPr>
            <w:tcW w:w="739"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 ej</w:t>
            </w:r>
          </w:p>
        </w:tc>
        <w:tc>
          <w:tcPr>
            <w:tcW w:w="509"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Valfritt</w:t>
            </w:r>
          </w:p>
        </w:tc>
        <w:tc>
          <w:tcPr>
            <w:tcW w:w="640"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Valfritt</w:t>
            </w:r>
          </w:p>
        </w:tc>
        <w:tc>
          <w:tcPr>
            <w:tcW w:w="885"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w:t>
            </w:r>
          </w:p>
        </w:tc>
        <w:tc>
          <w:tcPr>
            <w:tcW w:w="640"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Valfritt</w:t>
            </w:r>
          </w:p>
        </w:tc>
      </w:tr>
      <w:tr w:rsidR="00D624B1" w:rsidRPr="00690BB0" w:rsidTr="003F2A5D">
        <w:tc>
          <w:tcPr>
            <w:tcW w:w="857"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Ombordövervakning (OBD-familjenivå)</w:t>
            </w:r>
          </w:p>
        </w:tc>
        <w:tc>
          <w:tcPr>
            <w:tcW w:w="73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Försäkran och demonstration</w:t>
            </w:r>
          </w:p>
        </w:tc>
        <w:tc>
          <w:tcPr>
            <w:tcW w:w="739"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 ej</w:t>
            </w:r>
          </w:p>
        </w:tc>
        <w:tc>
          <w:tcPr>
            <w:tcW w:w="509"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b/>
                <w:i/>
                <w:noProof/>
              </w:rPr>
            </w:pPr>
            <w:r w:rsidRPr="00690BB0">
              <w:rPr>
                <w:b/>
                <w:i/>
              </w:rPr>
              <w:t>Krävs</w:t>
            </w:r>
          </w:p>
        </w:tc>
        <w:tc>
          <w:tcPr>
            <w:tcW w:w="640"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 ej</w:t>
            </w:r>
          </w:p>
        </w:tc>
        <w:tc>
          <w:tcPr>
            <w:tcW w:w="885"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w:t>
            </w:r>
          </w:p>
        </w:tc>
        <w:tc>
          <w:tcPr>
            <w:tcW w:w="640"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Valfritt</w:t>
            </w:r>
          </w:p>
        </w:tc>
      </w:tr>
      <w:tr w:rsidR="00D624B1" w:rsidRPr="00690BB0" w:rsidTr="003F2A5D">
        <w:tc>
          <w:tcPr>
            <w:tcW w:w="857"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Manipuleringsskydd, säkerhet och cybersäkerhet</w:t>
            </w:r>
          </w:p>
        </w:tc>
        <w:tc>
          <w:tcPr>
            <w:tcW w:w="73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Försäkran och dokumentation</w:t>
            </w:r>
          </w:p>
        </w:tc>
        <w:tc>
          <w:tcPr>
            <w:tcW w:w="739"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 ej</w:t>
            </w:r>
          </w:p>
        </w:tc>
        <w:tc>
          <w:tcPr>
            <w:tcW w:w="509"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 ej</w:t>
            </w:r>
          </w:p>
        </w:tc>
        <w:tc>
          <w:tcPr>
            <w:tcW w:w="640"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 ej</w:t>
            </w:r>
          </w:p>
        </w:tc>
        <w:tc>
          <w:tcPr>
            <w:tcW w:w="885"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w:t>
            </w:r>
          </w:p>
        </w:tc>
        <w:tc>
          <w:tcPr>
            <w:tcW w:w="640"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Valfritt</w:t>
            </w:r>
          </w:p>
        </w:tc>
      </w:tr>
      <w:tr w:rsidR="00D624B1" w:rsidRPr="00690BB0" w:rsidTr="003F2A5D">
        <w:tc>
          <w:tcPr>
            <w:tcW w:w="5000" w:type="pct"/>
            <w:gridSpan w:val="7"/>
            <w:tcBorders>
              <w:top w:val="single" w:sz="2" w:space="0" w:color="auto"/>
              <w:left w:val="single" w:sz="2" w:space="0" w:color="auto"/>
              <w:bottom w:val="single" w:sz="2" w:space="0" w:color="auto"/>
              <w:right w:val="single" w:sz="2" w:space="0" w:color="auto"/>
            </w:tcBorders>
          </w:tcPr>
          <w:p w:rsidR="00D624B1" w:rsidRPr="00690BB0" w:rsidRDefault="00D624B1" w:rsidP="003F2A5D">
            <w:pPr>
              <w:widowControl/>
              <w:rPr>
                <w:b/>
                <w:noProof/>
                <w:sz w:val="20"/>
              </w:rPr>
            </w:pPr>
            <w:r w:rsidRPr="00690BB0">
              <w:rPr>
                <w:b/>
                <w:i/>
                <w:sz w:val="20"/>
              </w:rPr>
              <w:t>**</w:t>
            </w:r>
            <w:r w:rsidRPr="00690BB0">
              <w:rPr>
                <w:b/>
                <w:i/>
                <w:sz w:val="20"/>
              </w:rPr>
              <w:tab/>
              <w:t>När det gäller ett fordon med ett godkänt motorsystem med avseende på utsläpp har motortillverkaren ansvaret för att utföra denna provning.</w:t>
            </w:r>
          </w:p>
        </w:tc>
      </w:tr>
    </w:tbl>
    <w:p w:rsidR="00D624B1" w:rsidRPr="00690BB0" w:rsidRDefault="00D624B1" w:rsidP="00D624B1">
      <w:pPr>
        <w:pStyle w:val="AmOrLang"/>
        <w:widowControl/>
      </w:pPr>
    </w:p>
    <w:p w:rsidR="00D624B1" w:rsidRPr="00690BB0" w:rsidRDefault="00D624B1" w:rsidP="00D624B1">
      <w:pPr>
        <w:widowControl/>
      </w:pPr>
    </w:p>
    <w:p w:rsidR="00D624B1" w:rsidRPr="00690BB0" w:rsidRDefault="007B7831" w:rsidP="00D624B1">
      <w:pPr>
        <w:pStyle w:val="AmNumberTabs"/>
        <w:keepNext/>
        <w:widowControl/>
      </w:pPr>
      <w:r w:rsidRPr="00690BB0">
        <w:t>Ändring</w:t>
      </w:r>
      <w:r w:rsidR="00D624B1" w:rsidRPr="00690BB0">
        <w:tab/>
      </w:r>
      <w:r w:rsidR="00D624B1" w:rsidRPr="00690BB0">
        <w:tab/>
        <w:t>165</w:t>
      </w:r>
    </w:p>
    <w:p w:rsidR="00D624B1" w:rsidRPr="00690BB0" w:rsidRDefault="00D624B1" w:rsidP="00D624B1">
      <w:pPr>
        <w:pStyle w:val="NormalBold12b"/>
        <w:widowControl/>
      </w:pPr>
      <w:r w:rsidRPr="00690BB0">
        <w:t>Förslag till förordning</w:t>
      </w:r>
    </w:p>
    <w:p w:rsidR="00D624B1" w:rsidRPr="00690BB0" w:rsidRDefault="00D624B1" w:rsidP="00D624B1">
      <w:pPr>
        <w:pStyle w:val="NormalBold"/>
        <w:keepNext/>
        <w:widowControl/>
      </w:pPr>
      <w:r w:rsidRPr="00690BB0">
        <w:t>Bilaga V – tabell 5</w:t>
      </w:r>
    </w:p>
    <w:tbl>
      <w:tblPr>
        <w:tblW w:w="5000" w:type="pct"/>
        <w:tblLook w:val="04A0" w:firstRow="1" w:lastRow="0" w:firstColumn="1" w:lastColumn="0" w:noHBand="0" w:noVBand="1"/>
      </w:tblPr>
      <w:tblGrid>
        <w:gridCol w:w="2227"/>
        <w:gridCol w:w="2115"/>
        <w:gridCol w:w="2888"/>
        <w:gridCol w:w="1834"/>
      </w:tblGrid>
      <w:tr w:rsidR="00D624B1" w:rsidRPr="00690BB0" w:rsidTr="003F2A5D">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D624B1" w:rsidRPr="00690BB0" w:rsidRDefault="00D624B1" w:rsidP="003F2A5D">
            <w:pPr>
              <w:widowControl/>
              <w:spacing w:line="276" w:lineRule="auto"/>
              <w:jc w:val="center"/>
              <w:rPr>
                <w:i/>
                <w:noProof/>
              </w:rPr>
            </w:pPr>
            <w:r w:rsidRPr="00690BB0">
              <w:rPr>
                <w:i/>
              </w:rPr>
              <w:t>Kommissionens förslag</w:t>
            </w:r>
          </w:p>
        </w:tc>
      </w:tr>
      <w:tr w:rsidR="00D624B1" w:rsidRPr="00690BB0" w:rsidTr="003F2A5D">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D624B1" w:rsidRPr="00690BB0" w:rsidRDefault="00D624B1" w:rsidP="003F2A5D">
            <w:pPr>
              <w:widowControl/>
              <w:rPr>
                <w:noProof/>
              </w:rPr>
            </w:pPr>
            <w:r w:rsidRPr="00690BB0">
              <w:t>Tabell 5: Tillämpning av provningskrav och försäkringar för typgodkännande och utökningar av motorer avsedda för fordon av kategorierna M</w:t>
            </w:r>
            <w:r w:rsidRPr="00690BB0">
              <w:rPr>
                <w:vertAlign w:val="subscript"/>
              </w:rPr>
              <w:t>2</w:t>
            </w:r>
            <w:r w:rsidRPr="00690BB0">
              <w:t>, M</w:t>
            </w:r>
            <w:r w:rsidRPr="00690BB0">
              <w:rPr>
                <w:vertAlign w:val="subscript"/>
              </w:rPr>
              <w:t>3</w:t>
            </w:r>
            <w:r w:rsidRPr="00690BB0">
              <w:t>, N</w:t>
            </w:r>
            <w:r w:rsidRPr="00690BB0">
              <w:rPr>
                <w:vertAlign w:val="subscript"/>
              </w:rPr>
              <w:t>2</w:t>
            </w:r>
            <w:r w:rsidRPr="00690BB0">
              <w:t xml:space="preserve"> och N</w:t>
            </w:r>
            <w:r w:rsidRPr="00690BB0">
              <w:rPr>
                <w:vertAlign w:val="subscript"/>
              </w:rPr>
              <w:t>3</w:t>
            </w:r>
            <w:r w:rsidRPr="00690BB0">
              <w:t xml:space="preserve"> för tillverkare</w:t>
            </w:r>
          </w:p>
        </w:tc>
      </w:tr>
      <w:tr w:rsidR="00D624B1" w:rsidRPr="00690BB0" w:rsidTr="003F2A5D">
        <w:trPr>
          <w:trHeight w:val="294"/>
        </w:trPr>
        <w:tc>
          <w:tcPr>
            <w:tcW w:w="133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jc w:val="center"/>
              <w:rPr>
                <w:noProof/>
              </w:rPr>
            </w:pPr>
            <w:r w:rsidRPr="00690BB0">
              <w:t>Provningskrav för varje bränsle</w:t>
            </w:r>
          </w:p>
        </w:tc>
        <w:tc>
          <w:tcPr>
            <w:tcW w:w="1484"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jc w:val="center"/>
              <w:rPr>
                <w:noProof/>
              </w:rPr>
            </w:pPr>
            <w:r w:rsidRPr="00690BB0">
              <w:t xml:space="preserve">Provningar och krav </w:t>
            </w:r>
            <w:r w:rsidRPr="00690BB0">
              <w:rPr>
                <w:b/>
                <w:bCs/>
                <w:i/>
                <w:iCs/>
              </w:rPr>
              <w:t>vid ursprungligt</w:t>
            </w:r>
            <w:r w:rsidRPr="00690BB0">
              <w:t xml:space="preserve"> typgodkännande avseende utsläpp </w:t>
            </w:r>
          </w:p>
        </w:tc>
        <w:tc>
          <w:tcPr>
            <w:tcW w:w="1093"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jc w:val="center"/>
              <w:rPr>
                <w:noProof/>
              </w:rPr>
            </w:pPr>
            <w:r w:rsidRPr="00690BB0">
              <w:t xml:space="preserve">Provningar vid produktionsöverensstämmelse </w:t>
            </w:r>
          </w:p>
        </w:tc>
        <w:tc>
          <w:tcPr>
            <w:tcW w:w="1092"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jc w:val="center"/>
              <w:rPr>
                <w:noProof/>
              </w:rPr>
            </w:pPr>
            <w:r w:rsidRPr="00690BB0">
              <w:t>Provningar vid överensstämmelse hos fordon i drift</w:t>
            </w:r>
          </w:p>
        </w:tc>
      </w:tr>
      <w:tr w:rsidR="00D624B1" w:rsidRPr="00690BB0" w:rsidTr="003F2A5D">
        <w:trPr>
          <w:trHeight w:val="885"/>
        </w:trPr>
        <w:tc>
          <w:tcPr>
            <w:tcW w:w="133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Utsläpp av gasformiga föroreningar, partikelmassa och partikelantal och koldioxid, bränsleförbrukning under transient cykel (WHTC kall och varm)</w:t>
            </w:r>
          </w:p>
        </w:tc>
        <w:tc>
          <w:tcPr>
            <w:tcW w:w="1484"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 på den överordnade motorn i utsläppsfamiljen och försäkran för alla familjemedlemmar**</w:t>
            </w:r>
          </w:p>
        </w:tc>
        <w:tc>
          <w:tcPr>
            <w:tcW w:w="1093"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 för en motor som inte tillhör familjen</w:t>
            </w:r>
          </w:p>
        </w:tc>
        <w:tc>
          <w:tcPr>
            <w:tcW w:w="1092" w:type="pct"/>
            <w:vMerge w:val="restart"/>
            <w:tcBorders>
              <w:top w:val="single" w:sz="2" w:space="0" w:color="auto"/>
              <w:left w:val="single" w:sz="2" w:space="0" w:color="auto"/>
              <w:bottom w:val="single" w:sz="2" w:space="0" w:color="auto"/>
              <w:right w:val="single" w:sz="2" w:space="0" w:color="auto"/>
            </w:tcBorders>
            <w:vAlign w:val="center"/>
            <w:hideMark/>
          </w:tcPr>
          <w:p w:rsidR="00D624B1" w:rsidRPr="00690BB0" w:rsidRDefault="00D624B1" w:rsidP="003F2A5D">
            <w:pPr>
              <w:widowControl/>
              <w:spacing w:line="276" w:lineRule="auto"/>
              <w:jc w:val="center"/>
              <w:rPr>
                <w:noProof/>
              </w:rPr>
            </w:pPr>
            <w:r w:rsidRPr="00690BB0">
              <w:t>Utförs endast med det färdigbyggda fordonet enligt tabellerna 3 och 4</w:t>
            </w:r>
          </w:p>
        </w:tc>
      </w:tr>
      <w:tr w:rsidR="00D624B1" w:rsidRPr="00690BB0" w:rsidTr="003F2A5D">
        <w:trPr>
          <w:trHeight w:val="685"/>
        </w:trPr>
        <w:tc>
          <w:tcPr>
            <w:tcW w:w="133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 xml:space="preserve">Motorprovningar för kontroll av de uppgifter som krävs för fastställande av koldioxidutsläpp </w:t>
            </w:r>
          </w:p>
        </w:tc>
        <w:tc>
          <w:tcPr>
            <w:tcW w:w="1484" w:type="pct"/>
            <w:tcBorders>
              <w:top w:val="single" w:sz="2" w:space="0" w:color="auto"/>
              <w:left w:val="single" w:sz="2" w:space="0" w:color="auto"/>
              <w:bottom w:val="single" w:sz="2" w:space="0" w:color="auto"/>
              <w:right w:val="single" w:sz="2" w:space="0" w:color="auto"/>
            </w:tcBorders>
          </w:tcPr>
          <w:p w:rsidR="00D624B1" w:rsidRPr="00690BB0" w:rsidRDefault="00D624B1" w:rsidP="003F2A5D">
            <w:pPr>
              <w:widowControl/>
              <w:spacing w:line="276" w:lineRule="auto"/>
              <w:rPr>
                <w:noProof/>
              </w:rPr>
            </w:pPr>
            <w:r w:rsidRPr="00690BB0">
              <w:t xml:space="preserve">Krävs </w:t>
            </w:r>
          </w:p>
          <w:p w:rsidR="00D624B1" w:rsidRPr="00690BB0" w:rsidRDefault="00D624B1" w:rsidP="003F2A5D">
            <w:pPr>
              <w:widowControl/>
              <w:spacing w:line="276" w:lineRule="auto"/>
              <w:rPr>
                <w:noProof/>
              </w:rPr>
            </w:pPr>
          </w:p>
        </w:tc>
        <w:tc>
          <w:tcPr>
            <w:tcW w:w="1093"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 xml:space="preserve">Krävs </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D624B1" w:rsidRPr="00690BB0" w:rsidRDefault="00D624B1" w:rsidP="003F2A5D">
            <w:pPr>
              <w:widowControl/>
              <w:spacing w:line="276" w:lineRule="auto"/>
              <w:rPr>
                <w:noProof/>
                <w:szCs w:val="22"/>
                <w:lang w:eastAsia="en-US"/>
              </w:rPr>
            </w:pPr>
          </w:p>
        </w:tc>
      </w:tr>
      <w:tr w:rsidR="00D624B1" w:rsidRPr="00690BB0" w:rsidTr="003F2A5D">
        <w:trPr>
          <w:trHeight w:val="504"/>
        </w:trPr>
        <w:tc>
          <w:tcPr>
            <w:tcW w:w="133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Kontinuerlig/periodisk regenerering</w:t>
            </w:r>
          </w:p>
        </w:tc>
        <w:tc>
          <w:tcPr>
            <w:tcW w:w="1484"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Försäkran</w:t>
            </w:r>
          </w:p>
        </w:tc>
        <w:tc>
          <w:tcPr>
            <w:tcW w:w="1093"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 ej</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D624B1" w:rsidRPr="00690BB0" w:rsidRDefault="00D624B1" w:rsidP="003F2A5D">
            <w:pPr>
              <w:widowControl/>
              <w:spacing w:line="276" w:lineRule="auto"/>
              <w:rPr>
                <w:noProof/>
                <w:szCs w:val="22"/>
                <w:lang w:eastAsia="en-US"/>
              </w:rPr>
            </w:pPr>
          </w:p>
        </w:tc>
      </w:tr>
      <w:tr w:rsidR="00D624B1" w:rsidRPr="00690BB0" w:rsidTr="003F2A5D">
        <w:trPr>
          <w:trHeight w:val="494"/>
        </w:trPr>
        <w:tc>
          <w:tcPr>
            <w:tcW w:w="133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Vevhusutsläpp</w:t>
            </w:r>
          </w:p>
        </w:tc>
        <w:tc>
          <w:tcPr>
            <w:tcW w:w="1484"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Kontrollera att ett slutet vevhussystem eller en rörledning till avgasröret har installerats</w:t>
            </w:r>
          </w:p>
        </w:tc>
        <w:tc>
          <w:tcPr>
            <w:tcW w:w="1093"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 ej</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D624B1" w:rsidRPr="00690BB0" w:rsidRDefault="00D624B1" w:rsidP="003F2A5D">
            <w:pPr>
              <w:widowControl/>
              <w:spacing w:line="276" w:lineRule="auto"/>
              <w:rPr>
                <w:noProof/>
                <w:szCs w:val="22"/>
                <w:lang w:eastAsia="en-US"/>
              </w:rPr>
            </w:pPr>
          </w:p>
        </w:tc>
      </w:tr>
      <w:tr w:rsidR="00D624B1" w:rsidRPr="00690BB0" w:rsidTr="003F2A5D">
        <w:trPr>
          <w:trHeight w:val="484"/>
        </w:trPr>
        <w:tc>
          <w:tcPr>
            <w:tcW w:w="133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Utsläppens beständighet</w:t>
            </w:r>
          </w:p>
        </w:tc>
        <w:tc>
          <w:tcPr>
            <w:tcW w:w="1484"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Försäkran</w:t>
            </w:r>
          </w:p>
        </w:tc>
        <w:tc>
          <w:tcPr>
            <w:tcW w:w="1093"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 ej</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D624B1" w:rsidRPr="00690BB0" w:rsidRDefault="00D624B1" w:rsidP="003F2A5D">
            <w:pPr>
              <w:widowControl/>
              <w:spacing w:line="276" w:lineRule="auto"/>
              <w:rPr>
                <w:noProof/>
                <w:szCs w:val="22"/>
                <w:lang w:eastAsia="en-US"/>
              </w:rPr>
            </w:pPr>
          </w:p>
        </w:tc>
      </w:tr>
      <w:tr w:rsidR="00D624B1" w:rsidRPr="00690BB0" w:rsidTr="003F2A5D">
        <w:trPr>
          <w:trHeight w:val="294"/>
        </w:trPr>
        <w:tc>
          <w:tcPr>
            <w:tcW w:w="133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Omborddiagnos (OBD-familjenivå)</w:t>
            </w:r>
          </w:p>
        </w:tc>
        <w:tc>
          <w:tcPr>
            <w:tcW w:w="1484"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Försäkran</w:t>
            </w:r>
          </w:p>
        </w:tc>
        <w:tc>
          <w:tcPr>
            <w:tcW w:w="1093"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 ej</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D624B1" w:rsidRPr="00690BB0" w:rsidRDefault="00D624B1" w:rsidP="003F2A5D">
            <w:pPr>
              <w:widowControl/>
              <w:spacing w:line="276" w:lineRule="auto"/>
              <w:rPr>
                <w:noProof/>
                <w:szCs w:val="22"/>
                <w:lang w:eastAsia="en-US"/>
              </w:rPr>
            </w:pPr>
          </w:p>
        </w:tc>
      </w:tr>
      <w:tr w:rsidR="00D624B1" w:rsidRPr="00690BB0" w:rsidTr="003F2A5D">
        <w:trPr>
          <w:trHeight w:val="294"/>
        </w:trPr>
        <w:tc>
          <w:tcPr>
            <w:tcW w:w="133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Ombordövervakning (OBD-familjenivå)</w:t>
            </w:r>
          </w:p>
        </w:tc>
        <w:tc>
          <w:tcPr>
            <w:tcW w:w="1484" w:type="pct"/>
            <w:tcBorders>
              <w:top w:val="single" w:sz="2" w:space="0" w:color="auto"/>
              <w:left w:val="single" w:sz="2" w:space="0" w:color="auto"/>
              <w:bottom w:val="single" w:sz="2" w:space="0" w:color="auto"/>
              <w:right w:val="single" w:sz="2" w:space="0" w:color="auto"/>
            </w:tcBorders>
            <w:vAlign w:val="center"/>
            <w:hideMark/>
          </w:tcPr>
          <w:p w:rsidR="00D624B1" w:rsidRPr="00690BB0" w:rsidRDefault="00D624B1" w:rsidP="003F2A5D">
            <w:pPr>
              <w:widowControl/>
              <w:spacing w:line="276" w:lineRule="auto"/>
              <w:rPr>
                <w:noProof/>
              </w:rPr>
            </w:pPr>
            <w:r w:rsidRPr="00690BB0">
              <w:t>Utförs endast med det färdigbyggda fordonet enligt tabellerna 3 och 4</w:t>
            </w:r>
          </w:p>
        </w:tc>
        <w:tc>
          <w:tcPr>
            <w:tcW w:w="1093" w:type="pct"/>
            <w:tcBorders>
              <w:top w:val="nil"/>
              <w:left w:val="single" w:sz="2" w:space="0" w:color="auto"/>
              <w:bottom w:val="nil"/>
              <w:right w:val="single" w:sz="2" w:space="0" w:color="auto"/>
            </w:tcBorders>
            <w:hideMark/>
          </w:tcPr>
          <w:p w:rsidR="00D624B1" w:rsidRPr="00690BB0" w:rsidRDefault="00D624B1" w:rsidP="003F2A5D">
            <w:pPr>
              <w:widowControl/>
              <w:spacing w:line="276" w:lineRule="auto"/>
              <w:rPr>
                <w:noProof/>
              </w:rPr>
            </w:pPr>
            <w:r w:rsidRPr="00690BB0">
              <w:t>Krävs ej</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D624B1" w:rsidRPr="00690BB0" w:rsidRDefault="00D624B1" w:rsidP="003F2A5D">
            <w:pPr>
              <w:widowControl/>
              <w:spacing w:line="276" w:lineRule="auto"/>
              <w:rPr>
                <w:noProof/>
                <w:szCs w:val="22"/>
                <w:lang w:eastAsia="en-US"/>
              </w:rPr>
            </w:pPr>
          </w:p>
        </w:tc>
      </w:tr>
      <w:tr w:rsidR="00D624B1" w:rsidRPr="00690BB0" w:rsidTr="003F2A5D">
        <w:trPr>
          <w:trHeight w:val="294"/>
        </w:trPr>
        <w:tc>
          <w:tcPr>
            <w:tcW w:w="133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b/>
                <w:i/>
                <w:noProof/>
              </w:rPr>
            </w:pPr>
            <w:r w:rsidRPr="00690BB0">
              <w:rPr>
                <w:b/>
                <w:i/>
              </w:rPr>
              <w:t>Motoreffekt</w:t>
            </w:r>
          </w:p>
        </w:tc>
        <w:tc>
          <w:tcPr>
            <w:tcW w:w="2577" w:type="pct"/>
            <w:gridSpan w:val="2"/>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jc w:val="center"/>
              <w:rPr>
                <w:b/>
                <w:i/>
                <w:noProof/>
              </w:rPr>
            </w:pPr>
            <w:r w:rsidRPr="00690BB0">
              <w:rPr>
                <w:b/>
                <w:i/>
              </w:rPr>
              <w:t>Krävs</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D624B1" w:rsidRPr="00690BB0" w:rsidRDefault="00D624B1" w:rsidP="003F2A5D">
            <w:pPr>
              <w:widowControl/>
              <w:spacing w:line="276" w:lineRule="auto"/>
              <w:rPr>
                <w:b/>
                <w:i/>
                <w:noProof/>
                <w:szCs w:val="22"/>
                <w:lang w:eastAsia="en-US"/>
              </w:rPr>
            </w:pPr>
          </w:p>
        </w:tc>
      </w:tr>
      <w:tr w:rsidR="00D624B1" w:rsidRPr="00690BB0" w:rsidTr="003F2A5D">
        <w:trPr>
          <w:trHeight w:val="294"/>
        </w:trPr>
        <w:tc>
          <w:tcPr>
            <w:tcW w:w="1" w:type="pct"/>
            <w:gridSpan w:val="4"/>
            <w:tcBorders>
              <w:top w:val="single" w:sz="2" w:space="0" w:color="auto"/>
              <w:left w:val="single" w:sz="2" w:space="0" w:color="auto"/>
              <w:bottom w:val="single" w:sz="2" w:space="0" w:color="auto"/>
              <w:right w:val="single" w:sz="2" w:space="0" w:color="auto"/>
            </w:tcBorders>
          </w:tcPr>
          <w:p w:rsidR="00D624B1" w:rsidRPr="00690BB0" w:rsidRDefault="00D624B1" w:rsidP="003F2A5D">
            <w:pPr>
              <w:widowControl/>
              <w:rPr>
                <w:bCs/>
                <w:noProof/>
                <w:sz w:val="20"/>
                <w:szCs w:val="19"/>
              </w:rPr>
            </w:pPr>
            <w:r w:rsidRPr="00690BB0">
              <w:rPr>
                <w:sz w:val="20"/>
              </w:rPr>
              <w:t xml:space="preserve">* Typgodkännandemyndigheten kan begära att en provning utförs i samband med det ursprungliga typgodkännandet. </w:t>
            </w:r>
          </w:p>
          <w:p w:rsidR="00D624B1" w:rsidRPr="00690BB0" w:rsidRDefault="00D624B1" w:rsidP="003F2A5D">
            <w:pPr>
              <w:widowControl/>
              <w:rPr>
                <w:b/>
                <w:bCs/>
                <w:noProof/>
                <w:sz w:val="19"/>
                <w:szCs w:val="19"/>
              </w:rPr>
            </w:pPr>
            <w:r w:rsidRPr="00690BB0">
              <w:rPr>
                <w:sz w:val="20"/>
              </w:rPr>
              <w:t>** Stöds av data från motortestning av alla effektklassningar.</w:t>
            </w:r>
          </w:p>
        </w:tc>
      </w:tr>
    </w:tbl>
    <w:p w:rsidR="00D624B1" w:rsidRPr="00690BB0" w:rsidRDefault="00D624B1" w:rsidP="00D624B1">
      <w:pPr>
        <w:pStyle w:val="AmOrLang"/>
        <w:widowControl/>
      </w:pPr>
    </w:p>
    <w:tbl>
      <w:tblPr>
        <w:tblW w:w="5000" w:type="pct"/>
        <w:tblLook w:val="04A0" w:firstRow="1" w:lastRow="0" w:firstColumn="1" w:lastColumn="0" w:noHBand="0" w:noVBand="1"/>
      </w:tblPr>
      <w:tblGrid>
        <w:gridCol w:w="2151"/>
        <w:gridCol w:w="2352"/>
        <w:gridCol w:w="2788"/>
        <w:gridCol w:w="1773"/>
      </w:tblGrid>
      <w:tr w:rsidR="00D624B1" w:rsidRPr="00690BB0" w:rsidTr="003F2A5D">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D624B1" w:rsidRPr="00690BB0" w:rsidRDefault="007B7831" w:rsidP="003F2A5D">
            <w:pPr>
              <w:widowControl/>
              <w:spacing w:line="276" w:lineRule="auto"/>
              <w:jc w:val="center"/>
              <w:rPr>
                <w:i/>
                <w:noProof/>
              </w:rPr>
            </w:pPr>
            <w:r w:rsidRPr="00690BB0">
              <w:rPr>
                <w:i/>
              </w:rPr>
              <w:t>Ändring</w:t>
            </w:r>
          </w:p>
        </w:tc>
      </w:tr>
      <w:tr w:rsidR="00D624B1" w:rsidRPr="00690BB0" w:rsidTr="003F2A5D">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D624B1" w:rsidRPr="00690BB0" w:rsidRDefault="00D624B1" w:rsidP="003F2A5D">
            <w:pPr>
              <w:widowControl/>
              <w:spacing w:line="276" w:lineRule="auto"/>
              <w:rPr>
                <w:noProof/>
              </w:rPr>
            </w:pPr>
            <w:r w:rsidRPr="00690BB0">
              <w:t>Tabell 5: Tillämpning av provningskrav och försäkringar för typgodkännande och utökningar av motorer avsedda för fordon av kategorierna M</w:t>
            </w:r>
            <w:r w:rsidRPr="00690BB0">
              <w:rPr>
                <w:vertAlign w:val="subscript"/>
              </w:rPr>
              <w:t>2</w:t>
            </w:r>
            <w:r w:rsidRPr="00690BB0">
              <w:t>, M</w:t>
            </w:r>
            <w:r w:rsidRPr="00690BB0">
              <w:rPr>
                <w:vertAlign w:val="subscript"/>
              </w:rPr>
              <w:t>3</w:t>
            </w:r>
            <w:r w:rsidRPr="00690BB0">
              <w:t>, N</w:t>
            </w:r>
            <w:r w:rsidRPr="00690BB0">
              <w:rPr>
                <w:vertAlign w:val="subscript"/>
              </w:rPr>
              <w:t>2</w:t>
            </w:r>
            <w:r w:rsidRPr="00690BB0">
              <w:t xml:space="preserve"> och N</w:t>
            </w:r>
            <w:r w:rsidRPr="00690BB0">
              <w:rPr>
                <w:vertAlign w:val="subscript"/>
              </w:rPr>
              <w:t>3</w:t>
            </w:r>
            <w:r w:rsidRPr="00690BB0">
              <w:t xml:space="preserve"> för tillverkare</w:t>
            </w:r>
          </w:p>
        </w:tc>
      </w:tr>
      <w:tr w:rsidR="00D624B1" w:rsidRPr="00690BB0" w:rsidTr="003F2A5D">
        <w:trPr>
          <w:trHeight w:val="294"/>
        </w:trPr>
        <w:tc>
          <w:tcPr>
            <w:tcW w:w="133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jc w:val="center"/>
              <w:rPr>
                <w:noProof/>
              </w:rPr>
            </w:pPr>
            <w:r w:rsidRPr="00690BB0">
              <w:t>Provningskrav för varje bränsle</w:t>
            </w:r>
          </w:p>
        </w:tc>
        <w:tc>
          <w:tcPr>
            <w:tcW w:w="1484"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jc w:val="center"/>
              <w:rPr>
                <w:noProof/>
              </w:rPr>
            </w:pPr>
            <w:r w:rsidRPr="00690BB0">
              <w:t xml:space="preserve">Provningar och krav </w:t>
            </w:r>
            <w:r w:rsidRPr="00690BB0">
              <w:rPr>
                <w:b/>
                <w:bCs/>
                <w:i/>
                <w:iCs/>
              </w:rPr>
              <w:t>för</w:t>
            </w:r>
            <w:r w:rsidRPr="00690BB0">
              <w:t xml:space="preserve"> typgodkännande avseende utsläpp </w:t>
            </w:r>
          </w:p>
        </w:tc>
        <w:tc>
          <w:tcPr>
            <w:tcW w:w="1093"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jc w:val="center"/>
              <w:rPr>
                <w:noProof/>
              </w:rPr>
            </w:pPr>
            <w:r w:rsidRPr="00690BB0">
              <w:t xml:space="preserve">Provningar vid produktionsöverensstämmelse </w:t>
            </w:r>
          </w:p>
        </w:tc>
        <w:tc>
          <w:tcPr>
            <w:tcW w:w="1092"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jc w:val="center"/>
              <w:rPr>
                <w:noProof/>
              </w:rPr>
            </w:pPr>
            <w:r w:rsidRPr="00690BB0">
              <w:t>Provningar vid överensstämmelse hos fordon i drift</w:t>
            </w:r>
          </w:p>
        </w:tc>
      </w:tr>
      <w:tr w:rsidR="00D624B1" w:rsidRPr="00690BB0" w:rsidTr="003F2A5D">
        <w:trPr>
          <w:trHeight w:val="885"/>
        </w:trPr>
        <w:tc>
          <w:tcPr>
            <w:tcW w:w="133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Utsläpp av gasformiga föroreningar, partikelmassa och partikelantal och koldioxid, bränsleförbrukning under transient cykel (WHTC kall och varm)</w:t>
            </w:r>
          </w:p>
        </w:tc>
        <w:tc>
          <w:tcPr>
            <w:tcW w:w="1484"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 på den överordnade motorn i utsläppsfamiljen och försäkran för alla familjemedlemmar**</w:t>
            </w:r>
          </w:p>
        </w:tc>
        <w:tc>
          <w:tcPr>
            <w:tcW w:w="1093"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 för en motor som inte tillhör familjen</w:t>
            </w:r>
          </w:p>
        </w:tc>
        <w:tc>
          <w:tcPr>
            <w:tcW w:w="1092" w:type="pct"/>
            <w:vMerge w:val="restart"/>
            <w:tcBorders>
              <w:top w:val="single" w:sz="2" w:space="0" w:color="auto"/>
              <w:left w:val="single" w:sz="2" w:space="0" w:color="auto"/>
              <w:bottom w:val="single" w:sz="2" w:space="0" w:color="auto"/>
              <w:right w:val="single" w:sz="2" w:space="0" w:color="auto"/>
            </w:tcBorders>
            <w:vAlign w:val="center"/>
            <w:hideMark/>
          </w:tcPr>
          <w:p w:rsidR="00D624B1" w:rsidRPr="00690BB0" w:rsidRDefault="00D624B1" w:rsidP="003F2A5D">
            <w:pPr>
              <w:widowControl/>
              <w:spacing w:line="276" w:lineRule="auto"/>
              <w:jc w:val="center"/>
              <w:rPr>
                <w:noProof/>
              </w:rPr>
            </w:pPr>
            <w:r w:rsidRPr="00690BB0">
              <w:t>Utförs endast med det färdigbyggda fordonet enligt tabellerna 3 och 4</w:t>
            </w:r>
          </w:p>
        </w:tc>
      </w:tr>
      <w:tr w:rsidR="00D624B1" w:rsidRPr="00690BB0" w:rsidTr="003F2A5D">
        <w:trPr>
          <w:trHeight w:val="685"/>
        </w:trPr>
        <w:tc>
          <w:tcPr>
            <w:tcW w:w="1331" w:type="pct"/>
            <w:tcBorders>
              <w:top w:val="single" w:sz="2" w:space="0" w:color="auto"/>
              <w:left w:val="single" w:sz="2" w:space="0" w:color="auto"/>
              <w:bottom w:val="single" w:sz="2" w:space="0" w:color="auto"/>
              <w:right w:val="single" w:sz="2" w:space="0" w:color="auto"/>
            </w:tcBorders>
          </w:tcPr>
          <w:p w:rsidR="00D624B1" w:rsidRPr="00690BB0" w:rsidRDefault="00D624B1" w:rsidP="003F2A5D">
            <w:pPr>
              <w:widowControl/>
              <w:spacing w:before="60" w:after="60"/>
              <w:rPr>
                <w:b/>
                <w:i/>
                <w:noProof/>
                <w:szCs w:val="24"/>
              </w:rPr>
            </w:pPr>
            <w:r w:rsidRPr="00690BB0">
              <w:rPr>
                <w:b/>
                <w:i/>
              </w:rPr>
              <w:t>Gasformiga föroreningar, partikelmassa och partikelantal vid provning på väg (RDE) för varje bränsle och för de tillämpliga fordonskategorierna (M</w:t>
            </w:r>
            <w:r w:rsidRPr="00690BB0">
              <w:rPr>
                <w:b/>
                <w:i/>
                <w:vertAlign w:val="subscript"/>
              </w:rPr>
              <w:t>2</w:t>
            </w:r>
            <w:r w:rsidRPr="00690BB0">
              <w:rPr>
                <w:b/>
                <w:i/>
              </w:rPr>
              <w:t>, M</w:t>
            </w:r>
            <w:r w:rsidRPr="00690BB0">
              <w:rPr>
                <w:b/>
                <w:i/>
                <w:vertAlign w:val="subscript"/>
              </w:rPr>
              <w:t>3</w:t>
            </w:r>
            <w:r w:rsidRPr="00690BB0">
              <w:rPr>
                <w:b/>
                <w:i/>
              </w:rPr>
              <w:t>, N</w:t>
            </w:r>
            <w:r w:rsidRPr="00690BB0">
              <w:rPr>
                <w:b/>
                <w:i/>
                <w:vertAlign w:val="subscript"/>
              </w:rPr>
              <w:t>2</w:t>
            </w:r>
            <w:r w:rsidRPr="00690BB0">
              <w:rPr>
                <w:b/>
                <w:i/>
              </w:rPr>
              <w:t xml:space="preserve"> och N</w:t>
            </w:r>
            <w:r w:rsidRPr="00690BB0">
              <w:rPr>
                <w:b/>
                <w:i/>
                <w:vertAlign w:val="subscript"/>
              </w:rPr>
              <w:t>3</w:t>
            </w:r>
            <w:r w:rsidRPr="00690BB0">
              <w:rPr>
                <w:b/>
                <w:i/>
              </w:rPr>
              <w:t>)</w:t>
            </w:r>
          </w:p>
        </w:tc>
        <w:tc>
          <w:tcPr>
            <w:tcW w:w="1484" w:type="pct"/>
            <w:tcBorders>
              <w:top w:val="single" w:sz="2" w:space="0" w:color="auto"/>
              <w:left w:val="single" w:sz="2" w:space="0" w:color="auto"/>
              <w:bottom w:val="single" w:sz="2" w:space="0" w:color="auto"/>
              <w:right w:val="single" w:sz="2" w:space="0" w:color="auto"/>
            </w:tcBorders>
          </w:tcPr>
          <w:p w:rsidR="00D624B1" w:rsidRPr="00690BB0" w:rsidRDefault="00D624B1" w:rsidP="003F2A5D">
            <w:pPr>
              <w:widowControl/>
              <w:spacing w:before="60" w:after="60"/>
              <w:rPr>
                <w:b/>
                <w:i/>
                <w:noProof/>
                <w:szCs w:val="24"/>
              </w:rPr>
            </w:pPr>
            <w:r w:rsidRPr="00690BB0">
              <w:rPr>
                <w:b/>
                <w:i/>
              </w:rPr>
              <w:t xml:space="preserve">Obligatorisk demonstrationsprovning för alla bränslen för vilka typgodkännande beviljas per fordonstyp och försäkran om överensstämmelse för alla bränslen, alla nyttolaster och alla tillämpliga </w:t>
            </w:r>
            <w:r w:rsidRPr="00690BB0">
              <w:rPr>
                <w:b/>
                <w:bCs/>
                <w:i/>
                <w:iCs/>
              </w:rPr>
              <w:t>fordonskategorier</w:t>
            </w:r>
          </w:p>
        </w:tc>
        <w:tc>
          <w:tcPr>
            <w:tcW w:w="1093" w:type="pct"/>
            <w:tcBorders>
              <w:top w:val="single" w:sz="2" w:space="0" w:color="auto"/>
              <w:left w:val="single" w:sz="2" w:space="0" w:color="auto"/>
              <w:bottom w:val="single" w:sz="2" w:space="0" w:color="auto"/>
              <w:right w:val="single" w:sz="2" w:space="0" w:color="auto"/>
            </w:tcBorders>
          </w:tcPr>
          <w:p w:rsidR="00D624B1" w:rsidRPr="00690BB0" w:rsidRDefault="00D624B1" w:rsidP="003F2A5D">
            <w:pPr>
              <w:widowControl/>
              <w:spacing w:before="60" w:after="60"/>
              <w:rPr>
                <w:b/>
                <w:i/>
                <w:noProof/>
                <w:szCs w:val="24"/>
              </w:rPr>
            </w:pPr>
            <w:r w:rsidRPr="00690BB0">
              <w:rPr>
                <w:b/>
                <w:i/>
              </w:rPr>
              <w:t>Krävs ej</w:t>
            </w:r>
          </w:p>
        </w:tc>
        <w:tc>
          <w:tcPr>
            <w:tcW w:w="0" w:type="auto"/>
            <w:vMerge/>
            <w:tcBorders>
              <w:top w:val="single" w:sz="2" w:space="0" w:color="auto"/>
              <w:left w:val="single" w:sz="2" w:space="0" w:color="auto"/>
              <w:bottom w:val="single" w:sz="2" w:space="0" w:color="auto"/>
              <w:right w:val="single" w:sz="2" w:space="0" w:color="auto"/>
            </w:tcBorders>
            <w:vAlign w:val="center"/>
          </w:tcPr>
          <w:p w:rsidR="00D624B1" w:rsidRPr="00690BB0" w:rsidRDefault="00D624B1" w:rsidP="003F2A5D">
            <w:pPr>
              <w:widowControl/>
              <w:spacing w:line="276" w:lineRule="auto"/>
              <w:rPr>
                <w:noProof/>
                <w:szCs w:val="22"/>
                <w:lang w:eastAsia="en-US"/>
              </w:rPr>
            </w:pPr>
          </w:p>
        </w:tc>
      </w:tr>
      <w:tr w:rsidR="00D624B1" w:rsidRPr="00690BB0" w:rsidTr="003F2A5D">
        <w:trPr>
          <w:trHeight w:val="685"/>
        </w:trPr>
        <w:tc>
          <w:tcPr>
            <w:tcW w:w="133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 xml:space="preserve">Motorprovningar för kontroll av de uppgifter som krävs för fastställande av koldioxidutsläpp </w:t>
            </w:r>
          </w:p>
        </w:tc>
        <w:tc>
          <w:tcPr>
            <w:tcW w:w="1484" w:type="pct"/>
            <w:tcBorders>
              <w:top w:val="single" w:sz="2" w:space="0" w:color="auto"/>
              <w:left w:val="single" w:sz="2" w:space="0" w:color="auto"/>
              <w:bottom w:val="single" w:sz="2" w:space="0" w:color="auto"/>
              <w:right w:val="single" w:sz="2" w:space="0" w:color="auto"/>
            </w:tcBorders>
          </w:tcPr>
          <w:p w:rsidR="00D624B1" w:rsidRPr="00690BB0" w:rsidRDefault="00D624B1" w:rsidP="003F2A5D">
            <w:pPr>
              <w:widowControl/>
              <w:spacing w:line="276" w:lineRule="auto"/>
              <w:rPr>
                <w:noProof/>
              </w:rPr>
            </w:pPr>
            <w:r w:rsidRPr="00690BB0">
              <w:t xml:space="preserve">Krävs </w:t>
            </w:r>
          </w:p>
          <w:p w:rsidR="00D624B1" w:rsidRPr="00690BB0" w:rsidRDefault="00D624B1" w:rsidP="003F2A5D">
            <w:pPr>
              <w:widowControl/>
              <w:spacing w:line="276" w:lineRule="auto"/>
              <w:rPr>
                <w:noProof/>
              </w:rPr>
            </w:pPr>
          </w:p>
        </w:tc>
        <w:tc>
          <w:tcPr>
            <w:tcW w:w="1093"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 xml:space="preserve">Krävs </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D624B1" w:rsidRPr="00690BB0" w:rsidRDefault="00D624B1" w:rsidP="003F2A5D">
            <w:pPr>
              <w:widowControl/>
              <w:spacing w:line="276" w:lineRule="auto"/>
              <w:rPr>
                <w:noProof/>
                <w:szCs w:val="22"/>
                <w:lang w:eastAsia="en-US"/>
              </w:rPr>
            </w:pPr>
          </w:p>
        </w:tc>
      </w:tr>
      <w:tr w:rsidR="00D624B1" w:rsidRPr="00690BB0" w:rsidTr="003F2A5D">
        <w:trPr>
          <w:trHeight w:val="504"/>
        </w:trPr>
        <w:tc>
          <w:tcPr>
            <w:tcW w:w="133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Kontinuerlig/periodisk regenerering</w:t>
            </w:r>
          </w:p>
        </w:tc>
        <w:tc>
          <w:tcPr>
            <w:tcW w:w="1484"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Försäkran</w:t>
            </w:r>
          </w:p>
        </w:tc>
        <w:tc>
          <w:tcPr>
            <w:tcW w:w="1093"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 ej</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D624B1" w:rsidRPr="00690BB0" w:rsidRDefault="00D624B1" w:rsidP="003F2A5D">
            <w:pPr>
              <w:widowControl/>
              <w:spacing w:line="276" w:lineRule="auto"/>
              <w:rPr>
                <w:noProof/>
                <w:szCs w:val="22"/>
                <w:lang w:eastAsia="en-US"/>
              </w:rPr>
            </w:pPr>
          </w:p>
        </w:tc>
      </w:tr>
      <w:tr w:rsidR="00D624B1" w:rsidRPr="00690BB0" w:rsidTr="003F2A5D">
        <w:trPr>
          <w:trHeight w:val="494"/>
        </w:trPr>
        <w:tc>
          <w:tcPr>
            <w:tcW w:w="133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Vevhusutsläpp</w:t>
            </w:r>
          </w:p>
        </w:tc>
        <w:tc>
          <w:tcPr>
            <w:tcW w:w="1484"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Kontrollera att ett slutet vevhussystem eller en rörledning till avgasröret har installerats</w:t>
            </w:r>
          </w:p>
        </w:tc>
        <w:tc>
          <w:tcPr>
            <w:tcW w:w="1093"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 ej</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D624B1" w:rsidRPr="00690BB0" w:rsidRDefault="00D624B1" w:rsidP="003F2A5D">
            <w:pPr>
              <w:widowControl/>
              <w:spacing w:line="276" w:lineRule="auto"/>
              <w:rPr>
                <w:noProof/>
                <w:szCs w:val="22"/>
                <w:lang w:eastAsia="en-US"/>
              </w:rPr>
            </w:pPr>
          </w:p>
        </w:tc>
      </w:tr>
      <w:tr w:rsidR="00D624B1" w:rsidRPr="00690BB0" w:rsidTr="003F2A5D">
        <w:trPr>
          <w:trHeight w:val="484"/>
        </w:trPr>
        <w:tc>
          <w:tcPr>
            <w:tcW w:w="133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Utsläppens beständighet</w:t>
            </w:r>
          </w:p>
        </w:tc>
        <w:tc>
          <w:tcPr>
            <w:tcW w:w="1484"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Försäkran</w:t>
            </w:r>
          </w:p>
        </w:tc>
        <w:tc>
          <w:tcPr>
            <w:tcW w:w="1093"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 ej</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D624B1" w:rsidRPr="00690BB0" w:rsidRDefault="00D624B1" w:rsidP="003F2A5D">
            <w:pPr>
              <w:widowControl/>
              <w:spacing w:line="276" w:lineRule="auto"/>
              <w:rPr>
                <w:noProof/>
                <w:szCs w:val="22"/>
                <w:lang w:eastAsia="en-US"/>
              </w:rPr>
            </w:pPr>
          </w:p>
        </w:tc>
      </w:tr>
      <w:tr w:rsidR="00D624B1" w:rsidRPr="00690BB0" w:rsidTr="003F2A5D">
        <w:trPr>
          <w:trHeight w:val="294"/>
        </w:trPr>
        <w:tc>
          <w:tcPr>
            <w:tcW w:w="1331" w:type="pct"/>
            <w:tcBorders>
              <w:top w:val="single" w:sz="2" w:space="0" w:color="auto"/>
              <w:left w:val="single" w:sz="2" w:space="0" w:color="auto"/>
              <w:bottom w:val="single" w:sz="2" w:space="0" w:color="auto"/>
              <w:right w:val="single" w:sz="2" w:space="0" w:color="auto"/>
            </w:tcBorders>
          </w:tcPr>
          <w:p w:rsidR="00D624B1" w:rsidRPr="00690BB0" w:rsidRDefault="00D624B1" w:rsidP="003F2A5D">
            <w:pPr>
              <w:widowControl/>
              <w:spacing w:before="60" w:after="60"/>
              <w:rPr>
                <w:b/>
                <w:bCs/>
                <w:i/>
                <w:noProof/>
                <w:szCs w:val="24"/>
              </w:rPr>
            </w:pPr>
            <w:r w:rsidRPr="00690BB0">
              <w:rPr>
                <w:b/>
                <w:i/>
              </w:rPr>
              <w:t>Bestämning av effekt</w:t>
            </w:r>
          </w:p>
        </w:tc>
        <w:tc>
          <w:tcPr>
            <w:tcW w:w="1484" w:type="pct"/>
            <w:tcBorders>
              <w:top w:val="single" w:sz="2" w:space="0" w:color="auto"/>
              <w:left w:val="single" w:sz="2" w:space="0" w:color="auto"/>
              <w:bottom w:val="single" w:sz="2" w:space="0" w:color="auto"/>
              <w:right w:val="single" w:sz="2" w:space="0" w:color="auto"/>
            </w:tcBorders>
          </w:tcPr>
          <w:p w:rsidR="00D624B1" w:rsidRPr="00690BB0" w:rsidRDefault="00D624B1" w:rsidP="003F2A5D">
            <w:pPr>
              <w:widowControl/>
              <w:spacing w:before="60" w:after="60"/>
              <w:rPr>
                <w:i/>
                <w:noProof/>
                <w:szCs w:val="24"/>
              </w:rPr>
            </w:pPr>
            <w:r w:rsidRPr="00690BB0">
              <w:rPr>
                <w:b/>
                <w:i/>
              </w:rPr>
              <w:t>Krävs</w:t>
            </w:r>
          </w:p>
        </w:tc>
        <w:tc>
          <w:tcPr>
            <w:tcW w:w="1093" w:type="pct"/>
            <w:tcBorders>
              <w:top w:val="single" w:sz="2" w:space="0" w:color="auto"/>
              <w:left w:val="single" w:sz="2" w:space="0" w:color="auto"/>
              <w:bottom w:val="single" w:sz="2" w:space="0" w:color="auto"/>
              <w:right w:val="single" w:sz="2" w:space="0" w:color="auto"/>
            </w:tcBorders>
          </w:tcPr>
          <w:p w:rsidR="00D624B1" w:rsidRPr="00690BB0" w:rsidRDefault="00D624B1" w:rsidP="003F2A5D">
            <w:pPr>
              <w:widowControl/>
              <w:spacing w:before="60" w:after="60"/>
              <w:rPr>
                <w:i/>
                <w:noProof/>
                <w:szCs w:val="24"/>
              </w:rPr>
            </w:pPr>
            <w:r w:rsidRPr="00690BB0">
              <w:rPr>
                <w:b/>
                <w:i/>
              </w:rPr>
              <w:t>Krävs ej</w:t>
            </w:r>
          </w:p>
        </w:tc>
        <w:tc>
          <w:tcPr>
            <w:tcW w:w="0" w:type="auto"/>
            <w:vMerge/>
            <w:tcBorders>
              <w:top w:val="single" w:sz="2" w:space="0" w:color="auto"/>
              <w:left w:val="single" w:sz="2" w:space="0" w:color="auto"/>
              <w:bottom w:val="single" w:sz="2" w:space="0" w:color="auto"/>
              <w:right w:val="single" w:sz="2" w:space="0" w:color="auto"/>
            </w:tcBorders>
            <w:vAlign w:val="center"/>
          </w:tcPr>
          <w:p w:rsidR="00D624B1" w:rsidRPr="00690BB0" w:rsidRDefault="00D624B1" w:rsidP="003F2A5D">
            <w:pPr>
              <w:widowControl/>
              <w:spacing w:line="276" w:lineRule="auto"/>
              <w:rPr>
                <w:noProof/>
                <w:szCs w:val="22"/>
                <w:lang w:eastAsia="en-US"/>
              </w:rPr>
            </w:pPr>
          </w:p>
        </w:tc>
      </w:tr>
      <w:tr w:rsidR="00D624B1" w:rsidRPr="00690BB0" w:rsidTr="003F2A5D">
        <w:trPr>
          <w:trHeight w:val="294"/>
        </w:trPr>
        <w:tc>
          <w:tcPr>
            <w:tcW w:w="133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Omborddiagnos (OBD-familjenivå)</w:t>
            </w:r>
          </w:p>
        </w:tc>
        <w:tc>
          <w:tcPr>
            <w:tcW w:w="1484"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Försäkran</w:t>
            </w:r>
          </w:p>
        </w:tc>
        <w:tc>
          <w:tcPr>
            <w:tcW w:w="1093"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Krävs ej</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D624B1" w:rsidRPr="00690BB0" w:rsidRDefault="00D624B1" w:rsidP="003F2A5D">
            <w:pPr>
              <w:widowControl/>
              <w:spacing w:line="276" w:lineRule="auto"/>
              <w:rPr>
                <w:noProof/>
                <w:szCs w:val="22"/>
                <w:lang w:eastAsia="en-US"/>
              </w:rPr>
            </w:pPr>
          </w:p>
        </w:tc>
      </w:tr>
      <w:tr w:rsidR="00D624B1" w:rsidRPr="00690BB0" w:rsidTr="003F2A5D">
        <w:trPr>
          <w:trHeight w:val="294"/>
        </w:trPr>
        <w:tc>
          <w:tcPr>
            <w:tcW w:w="1331" w:type="pct"/>
            <w:tcBorders>
              <w:top w:val="single" w:sz="2" w:space="0" w:color="auto"/>
              <w:left w:val="single" w:sz="2" w:space="0" w:color="auto"/>
              <w:bottom w:val="single" w:sz="2" w:space="0" w:color="auto"/>
              <w:right w:val="single" w:sz="2" w:space="0" w:color="auto"/>
            </w:tcBorders>
            <w:hideMark/>
          </w:tcPr>
          <w:p w:rsidR="00D624B1" w:rsidRPr="00690BB0" w:rsidRDefault="00D624B1" w:rsidP="003F2A5D">
            <w:pPr>
              <w:widowControl/>
              <w:spacing w:line="276" w:lineRule="auto"/>
              <w:rPr>
                <w:noProof/>
              </w:rPr>
            </w:pPr>
            <w:r w:rsidRPr="00690BB0">
              <w:t>Ombordövervakning (OBD-familjenivå)</w:t>
            </w:r>
          </w:p>
        </w:tc>
        <w:tc>
          <w:tcPr>
            <w:tcW w:w="1484" w:type="pct"/>
            <w:tcBorders>
              <w:top w:val="single" w:sz="2" w:space="0" w:color="auto"/>
              <w:left w:val="single" w:sz="2" w:space="0" w:color="auto"/>
              <w:bottom w:val="single" w:sz="2" w:space="0" w:color="auto"/>
              <w:right w:val="single" w:sz="2" w:space="0" w:color="auto"/>
            </w:tcBorders>
            <w:vAlign w:val="center"/>
            <w:hideMark/>
          </w:tcPr>
          <w:p w:rsidR="00D624B1" w:rsidRPr="00690BB0" w:rsidRDefault="00D624B1" w:rsidP="003F2A5D">
            <w:pPr>
              <w:widowControl/>
              <w:spacing w:line="276" w:lineRule="auto"/>
              <w:rPr>
                <w:noProof/>
              </w:rPr>
            </w:pPr>
            <w:r w:rsidRPr="00690BB0">
              <w:t>Utförs endast med det färdigbyggda fordonet enligt tabellerna 3 och 4</w:t>
            </w:r>
          </w:p>
        </w:tc>
        <w:tc>
          <w:tcPr>
            <w:tcW w:w="1093" w:type="pct"/>
            <w:tcBorders>
              <w:top w:val="single" w:sz="2" w:space="0" w:color="auto"/>
              <w:left w:val="single" w:sz="2" w:space="0" w:color="auto"/>
              <w:bottom w:val="single" w:sz="4" w:space="0" w:color="auto"/>
              <w:right w:val="single" w:sz="2" w:space="0" w:color="auto"/>
            </w:tcBorders>
            <w:hideMark/>
          </w:tcPr>
          <w:p w:rsidR="00D624B1" w:rsidRPr="00690BB0" w:rsidRDefault="00D624B1" w:rsidP="003F2A5D">
            <w:pPr>
              <w:widowControl/>
              <w:spacing w:line="276" w:lineRule="auto"/>
              <w:rPr>
                <w:noProof/>
              </w:rPr>
            </w:pPr>
            <w:r w:rsidRPr="00690BB0">
              <w:t>Krävs ej</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D624B1" w:rsidRPr="00690BB0" w:rsidRDefault="00D624B1" w:rsidP="003F2A5D">
            <w:pPr>
              <w:widowControl/>
              <w:spacing w:line="276" w:lineRule="auto"/>
              <w:rPr>
                <w:noProof/>
                <w:szCs w:val="22"/>
                <w:lang w:eastAsia="en-US"/>
              </w:rPr>
            </w:pPr>
          </w:p>
        </w:tc>
      </w:tr>
      <w:tr w:rsidR="00D624B1" w:rsidRPr="005932BB" w:rsidTr="003F2A5D">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D624B1" w:rsidRPr="005932BB" w:rsidRDefault="00D624B1" w:rsidP="003F2A5D">
            <w:pPr>
              <w:widowControl/>
              <w:spacing w:line="276" w:lineRule="auto"/>
              <w:rPr>
                <w:noProof/>
                <w:szCs w:val="22"/>
              </w:rPr>
            </w:pPr>
            <w:r w:rsidRPr="00690BB0">
              <w:rPr>
                <w:b/>
                <w:i/>
              </w:rPr>
              <w:t>**</w:t>
            </w:r>
            <w:r w:rsidRPr="00690BB0">
              <w:rPr>
                <w:b/>
                <w:i/>
              </w:rPr>
              <w:tab/>
              <w:t>Stöds av data från motortestning av alla effektklassningar.</w:t>
            </w:r>
          </w:p>
        </w:tc>
      </w:tr>
    </w:tbl>
    <w:p w:rsidR="00D624B1" w:rsidRPr="005932BB" w:rsidRDefault="00D624B1" w:rsidP="00D624B1">
      <w:pPr>
        <w:pStyle w:val="AmOrLang"/>
        <w:widowControl/>
      </w:pPr>
    </w:p>
    <w:sectPr w:rsidR="00D624B1" w:rsidRPr="005932BB" w:rsidSect="005932B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2A5D" w:rsidRPr="005932BB" w:rsidRDefault="003F2A5D">
      <w:r w:rsidRPr="005932BB">
        <w:separator/>
      </w:r>
    </w:p>
  </w:endnote>
  <w:endnote w:type="continuationSeparator" w:id="0">
    <w:p w:rsidR="003F2A5D" w:rsidRPr="005932BB" w:rsidRDefault="003F2A5D">
      <w:r w:rsidRPr="005932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2A5D" w:rsidRPr="005932BB" w:rsidRDefault="003F2A5D"/>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2A5D" w:rsidRPr="005932BB" w:rsidRDefault="003F2A5D"/>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2A5D" w:rsidRPr="005932BB" w:rsidRDefault="003F2A5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2A5D" w:rsidRPr="005932BB" w:rsidRDefault="003F2A5D">
      <w:r w:rsidRPr="005932BB">
        <w:separator/>
      </w:r>
    </w:p>
  </w:footnote>
  <w:footnote w:type="continuationSeparator" w:id="0">
    <w:p w:rsidR="003F2A5D" w:rsidRPr="005932BB" w:rsidRDefault="003F2A5D">
      <w:r w:rsidRPr="005932BB">
        <w:continuationSeparator/>
      </w:r>
    </w:p>
  </w:footnote>
  <w:footnote w:id="1">
    <w:p w:rsidR="0054295A" w:rsidRPr="001F1F51" w:rsidRDefault="0054295A" w:rsidP="001F1F51">
      <w:pPr>
        <w:pStyle w:val="FootnoteText"/>
        <w:ind w:left="567" w:hanging="567"/>
        <w:rPr>
          <w:lang w:val="sv-SE"/>
        </w:rPr>
      </w:pPr>
      <w:r w:rsidRPr="00690BB0">
        <w:rPr>
          <w:rStyle w:val="FootnoteReference"/>
        </w:rPr>
        <w:footnoteRef/>
      </w:r>
      <w:r w:rsidRPr="00690BB0">
        <w:rPr>
          <w:lang w:val="sv-SE"/>
        </w:rPr>
        <w:t xml:space="preserve"> </w:t>
      </w:r>
      <w:r w:rsidRPr="00690BB0">
        <w:rPr>
          <w:lang w:val="sv-SE"/>
        </w:rPr>
        <w:tab/>
      </w:r>
      <w:r w:rsidRPr="00690BB0">
        <w:rPr>
          <w:sz w:val="24"/>
          <w:szCs w:val="24"/>
          <w:lang w:val="sv-SE"/>
        </w:rPr>
        <w:t>Ärendet återförvisades för interinstitutionella förhandlingar till det ansvariga utskottet, i enlighet med artikel 59.4 fjärde stycket i arbetsordningen (A9-0298/2023).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2A5D" w:rsidRPr="005932BB" w:rsidRDefault="003F2A5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2A5D" w:rsidRPr="005932BB" w:rsidRDefault="003F2A5D"/>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2A5D" w:rsidRPr="005932BB" w:rsidRDefault="003F2A5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0D32C33"/>
    <w:multiLevelType w:val="hybridMultilevel"/>
    <w:tmpl w:val="C694A34C"/>
    <w:lvl w:ilvl="0" w:tplc="F1BA1F88">
      <w:start w:val="1"/>
      <w:numFmt w:val="bullet"/>
      <w:lvlText w:val=""/>
      <w:lvlJc w:val="left"/>
      <w:pPr>
        <w:ind w:left="360" w:hanging="360"/>
      </w:pPr>
      <w:rPr>
        <w:rFonts w:ascii="Wingdings" w:hAnsi="Wingdings" w:hint="default"/>
      </w:rPr>
    </w:lvl>
    <w:lvl w:ilvl="1" w:tplc="024692DE">
      <w:start w:val="1"/>
      <w:numFmt w:val="bullet"/>
      <w:lvlText w:val="o"/>
      <w:lvlJc w:val="left"/>
      <w:pPr>
        <w:ind w:left="1080" w:hanging="360"/>
      </w:pPr>
      <w:rPr>
        <w:rFonts w:ascii="Courier New" w:hAnsi="Courier New" w:cs="Courier New" w:hint="default"/>
      </w:rPr>
    </w:lvl>
    <w:lvl w:ilvl="2" w:tplc="CE24E87C">
      <w:start w:val="1"/>
      <w:numFmt w:val="bullet"/>
      <w:lvlText w:val=""/>
      <w:lvlJc w:val="left"/>
      <w:pPr>
        <w:ind w:left="1800" w:hanging="360"/>
      </w:pPr>
      <w:rPr>
        <w:rFonts w:ascii="Wingdings" w:hAnsi="Wingdings" w:hint="default"/>
      </w:rPr>
    </w:lvl>
    <w:lvl w:ilvl="3" w:tplc="7108A23A">
      <w:start w:val="1"/>
      <w:numFmt w:val="bullet"/>
      <w:lvlText w:val=""/>
      <w:lvlJc w:val="left"/>
      <w:pPr>
        <w:ind w:left="2520" w:hanging="360"/>
      </w:pPr>
      <w:rPr>
        <w:rFonts w:ascii="Symbol" w:hAnsi="Symbol" w:hint="default"/>
      </w:rPr>
    </w:lvl>
    <w:lvl w:ilvl="4" w:tplc="F76EF3FA">
      <w:start w:val="1"/>
      <w:numFmt w:val="bullet"/>
      <w:lvlText w:val="o"/>
      <w:lvlJc w:val="left"/>
      <w:pPr>
        <w:ind w:left="3240" w:hanging="360"/>
      </w:pPr>
      <w:rPr>
        <w:rFonts w:ascii="Courier New" w:hAnsi="Courier New" w:cs="Courier New" w:hint="default"/>
      </w:rPr>
    </w:lvl>
    <w:lvl w:ilvl="5" w:tplc="73AE4BD8">
      <w:start w:val="1"/>
      <w:numFmt w:val="bullet"/>
      <w:lvlText w:val=""/>
      <w:lvlJc w:val="left"/>
      <w:pPr>
        <w:ind w:left="3960" w:hanging="360"/>
      </w:pPr>
      <w:rPr>
        <w:rFonts w:ascii="Wingdings" w:hAnsi="Wingdings" w:hint="default"/>
      </w:rPr>
    </w:lvl>
    <w:lvl w:ilvl="6" w:tplc="12ACA220">
      <w:start w:val="1"/>
      <w:numFmt w:val="bullet"/>
      <w:lvlText w:val=""/>
      <w:lvlJc w:val="left"/>
      <w:pPr>
        <w:ind w:left="4680" w:hanging="360"/>
      </w:pPr>
      <w:rPr>
        <w:rFonts w:ascii="Symbol" w:hAnsi="Symbol" w:hint="default"/>
      </w:rPr>
    </w:lvl>
    <w:lvl w:ilvl="7" w:tplc="28C209D8">
      <w:start w:val="1"/>
      <w:numFmt w:val="bullet"/>
      <w:lvlText w:val="o"/>
      <w:lvlJc w:val="left"/>
      <w:pPr>
        <w:ind w:left="5400" w:hanging="360"/>
      </w:pPr>
      <w:rPr>
        <w:rFonts w:ascii="Courier New" w:hAnsi="Courier New" w:cs="Courier New" w:hint="default"/>
      </w:rPr>
    </w:lvl>
    <w:lvl w:ilvl="8" w:tplc="0A583F4E">
      <w:start w:val="1"/>
      <w:numFmt w:val="bullet"/>
      <w:lvlText w:val=""/>
      <w:lvlJc w:val="left"/>
      <w:pPr>
        <w:ind w:left="6120" w:hanging="360"/>
      </w:pPr>
      <w:rPr>
        <w:rFonts w:ascii="Wingdings" w:hAnsi="Wingdings" w:hint="default"/>
      </w:rPr>
    </w:lvl>
  </w:abstractNum>
  <w:abstractNum w:abstractNumId="12" w15:restartNumberingAfterBreak="0">
    <w:nsid w:val="2BC71F35"/>
    <w:multiLevelType w:val="hybridMultilevel"/>
    <w:tmpl w:val="E9CCBF80"/>
    <w:lvl w:ilvl="0" w:tplc="219E05A2">
      <w:start w:val="48"/>
      <w:numFmt w:val="bullet"/>
      <w:lvlText w:val="•"/>
      <w:lvlJc w:val="left"/>
      <w:pPr>
        <w:ind w:left="720" w:hanging="360"/>
      </w:pPr>
      <w:rPr>
        <w:rFonts w:ascii="Verdana" w:eastAsia="Verdana" w:hAnsi="Verdana" w:cs="Times New Roman" w:hint="default"/>
      </w:rPr>
    </w:lvl>
    <w:lvl w:ilvl="1" w:tplc="510CD04E">
      <w:start w:val="1"/>
      <w:numFmt w:val="bullet"/>
      <w:lvlText w:val="o"/>
      <w:lvlJc w:val="left"/>
      <w:pPr>
        <w:ind w:left="1440" w:hanging="360"/>
      </w:pPr>
      <w:rPr>
        <w:rFonts w:ascii="Courier New" w:hAnsi="Courier New" w:cs="Courier New" w:hint="default"/>
      </w:rPr>
    </w:lvl>
    <w:lvl w:ilvl="2" w:tplc="E4EA6080">
      <w:start w:val="1"/>
      <w:numFmt w:val="bullet"/>
      <w:lvlText w:val=""/>
      <w:lvlJc w:val="left"/>
      <w:pPr>
        <w:ind w:left="2160" w:hanging="360"/>
      </w:pPr>
      <w:rPr>
        <w:rFonts w:ascii="Wingdings" w:hAnsi="Wingdings" w:hint="default"/>
      </w:rPr>
    </w:lvl>
    <w:lvl w:ilvl="3" w:tplc="74B4B2AA">
      <w:start w:val="1"/>
      <w:numFmt w:val="bullet"/>
      <w:lvlText w:val=""/>
      <w:lvlJc w:val="left"/>
      <w:pPr>
        <w:ind w:left="2880" w:hanging="360"/>
      </w:pPr>
      <w:rPr>
        <w:rFonts w:ascii="Symbol" w:hAnsi="Symbol" w:hint="default"/>
      </w:rPr>
    </w:lvl>
    <w:lvl w:ilvl="4" w:tplc="A802D03E">
      <w:start w:val="1"/>
      <w:numFmt w:val="bullet"/>
      <w:lvlText w:val="o"/>
      <w:lvlJc w:val="left"/>
      <w:pPr>
        <w:ind w:left="3600" w:hanging="360"/>
      </w:pPr>
      <w:rPr>
        <w:rFonts w:ascii="Courier New" w:hAnsi="Courier New" w:cs="Courier New" w:hint="default"/>
      </w:rPr>
    </w:lvl>
    <w:lvl w:ilvl="5" w:tplc="6A640128">
      <w:start w:val="1"/>
      <w:numFmt w:val="bullet"/>
      <w:lvlText w:val=""/>
      <w:lvlJc w:val="left"/>
      <w:pPr>
        <w:ind w:left="4320" w:hanging="360"/>
      </w:pPr>
      <w:rPr>
        <w:rFonts w:ascii="Wingdings" w:hAnsi="Wingdings" w:hint="default"/>
      </w:rPr>
    </w:lvl>
    <w:lvl w:ilvl="6" w:tplc="A106DDAC">
      <w:start w:val="1"/>
      <w:numFmt w:val="bullet"/>
      <w:lvlText w:val=""/>
      <w:lvlJc w:val="left"/>
      <w:pPr>
        <w:ind w:left="5040" w:hanging="360"/>
      </w:pPr>
      <w:rPr>
        <w:rFonts w:ascii="Symbol" w:hAnsi="Symbol" w:hint="default"/>
      </w:rPr>
    </w:lvl>
    <w:lvl w:ilvl="7" w:tplc="C15EAD26">
      <w:start w:val="1"/>
      <w:numFmt w:val="bullet"/>
      <w:lvlText w:val="o"/>
      <w:lvlJc w:val="left"/>
      <w:pPr>
        <w:ind w:left="5760" w:hanging="360"/>
      </w:pPr>
      <w:rPr>
        <w:rFonts w:ascii="Courier New" w:hAnsi="Courier New" w:cs="Courier New" w:hint="default"/>
      </w:rPr>
    </w:lvl>
    <w:lvl w:ilvl="8" w:tplc="FD8EBCDA">
      <w:start w:val="1"/>
      <w:numFmt w:val="bullet"/>
      <w:lvlText w:val=""/>
      <w:lvlJc w:val="left"/>
      <w:pPr>
        <w:ind w:left="6480" w:hanging="360"/>
      </w:pPr>
      <w:rPr>
        <w:rFonts w:ascii="Wingdings" w:hAnsi="Wingdings" w:hint="default"/>
      </w:rPr>
    </w:lvl>
  </w:abstractNum>
  <w:abstractNum w:abstractNumId="13" w15:restartNumberingAfterBreak="0">
    <w:nsid w:val="2EB808D1"/>
    <w:multiLevelType w:val="hybridMultilevel"/>
    <w:tmpl w:val="9E3C14CA"/>
    <w:lvl w:ilvl="0" w:tplc="79A8AC22">
      <w:start w:val="1"/>
      <w:numFmt w:val="bullet"/>
      <w:lvlText w:val=""/>
      <w:lvlJc w:val="left"/>
      <w:pPr>
        <w:ind w:left="360" w:hanging="360"/>
      </w:pPr>
      <w:rPr>
        <w:rFonts w:ascii="Wingdings" w:hAnsi="Wingdings" w:hint="default"/>
      </w:rPr>
    </w:lvl>
    <w:lvl w:ilvl="1" w:tplc="0CA0A6E4">
      <w:numFmt w:val="bullet"/>
      <w:lvlText w:val="-"/>
      <w:lvlJc w:val="left"/>
      <w:pPr>
        <w:ind w:left="1080" w:hanging="360"/>
      </w:pPr>
      <w:rPr>
        <w:rFonts w:ascii="Calibri" w:eastAsiaTheme="minorHAnsi" w:hAnsi="Calibri" w:cs="Calibri" w:hint="default"/>
      </w:rPr>
    </w:lvl>
    <w:lvl w:ilvl="2" w:tplc="01FC93D2">
      <w:start w:val="1"/>
      <w:numFmt w:val="bullet"/>
      <w:lvlText w:val=""/>
      <w:lvlJc w:val="left"/>
      <w:pPr>
        <w:ind w:left="1800" w:hanging="360"/>
      </w:pPr>
      <w:rPr>
        <w:rFonts w:ascii="Wingdings" w:hAnsi="Wingdings" w:hint="default"/>
      </w:rPr>
    </w:lvl>
    <w:lvl w:ilvl="3" w:tplc="6FF44C2A">
      <w:start w:val="1"/>
      <w:numFmt w:val="bullet"/>
      <w:lvlText w:val=""/>
      <w:lvlJc w:val="left"/>
      <w:pPr>
        <w:ind w:left="2520" w:hanging="360"/>
      </w:pPr>
      <w:rPr>
        <w:rFonts w:ascii="Symbol" w:hAnsi="Symbol" w:hint="default"/>
      </w:rPr>
    </w:lvl>
    <w:lvl w:ilvl="4" w:tplc="46742236">
      <w:start w:val="1"/>
      <w:numFmt w:val="bullet"/>
      <w:lvlText w:val="o"/>
      <w:lvlJc w:val="left"/>
      <w:pPr>
        <w:ind w:left="3240" w:hanging="360"/>
      </w:pPr>
      <w:rPr>
        <w:rFonts w:ascii="Courier New" w:hAnsi="Courier New" w:cs="Courier New" w:hint="default"/>
      </w:rPr>
    </w:lvl>
    <w:lvl w:ilvl="5" w:tplc="FDE278CE">
      <w:start w:val="1"/>
      <w:numFmt w:val="bullet"/>
      <w:lvlText w:val=""/>
      <w:lvlJc w:val="left"/>
      <w:pPr>
        <w:ind w:left="3960" w:hanging="360"/>
      </w:pPr>
      <w:rPr>
        <w:rFonts w:ascii="Wingdings" w:hAnsi="Wingdings" w:hint="default"/>
      </w:rPr>
    </w:lvl>
    <w:lvl w:ilvl="6" w:tplc="1C8EED38">
      <w:start w:val="1"/>
      <w:numFmt w:val="bullet"/>
      <w:lvlText w:val=""/>
      <w:lvlJc w:val="left"/>
      <w:pPr>
        <w:ind w:left="4680" w:hanging="360"/>
      </w:pPr>
      <w:rPr>
        <w:rFonts w:ascii="Symbol" w:hAnsi="Symbol" w:hint="default"/>
      </w:rPr>
    </w:lvl>
    <w:lvl w:ilvl="7" w:tplc="03E48554">
      <w:start w:val="1"/>
      <w:numFmt w:val="bullet"/>
      <w:lvlText w:val="o"/>
      <w:lvlJc w:val="left"/>
      <w:pPr>
        <w:ind w:left="5400" w:hanging="360"/>
      </w:pPr>
      <w:rPr>
        <w:rFonts w:ascii="Courier New" w:hAnsi="Courier New" w:cs="Courier New" w:hint="default"/>
      </w:rPr>
    </w:lvl>
    <w:lvl w:ilvl="8" w:tplc="563A5F46">
      <w:start w:val="1"/>
      <w:numFmt w:val="bullet"/>
      <w:lvlText w:val=""/>
      <w:lvlJc w:val="left"/>
      <w:pPr>
        <w:ind w:left="6120" w:hanging="360"/>
      </w:pPr>
      <w:rPr>
        <w:rFonts w:ascii="Wingdings" w:hAnsi="Wingdings" w:hint="default"/>
      </w:r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4"/>
  </w:num>
  <w:num w:numId="45">
    <w:abstractNumId w:val="11"/>
  </w:num>
  <w:num w:numId="46">
    <w:abstractNumId w:val="13"/>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98/2023"/>
    <w:docVar w:name="dvlangue" w:val="SV"/>
    <w:docVar w:name="dvnumam" w:val="528"/>
    <w:docVar w:name="dvpe" w:val="746.876"/>
    <w:docVar w:name="dvrapporteur" w:val="Föredragande: "/>
    <w:docVar w:name="dvstar" w:val="***I"/>
    <w:docVar w:name="dvtitre" w:val="Europaparlamentets lagstiftningsresolution av den xx xx 2023 om förslaget till Europaparlamentets och rådets förordning om typgodkännande av motorfordon och motorer samt av system, komponenter och separata tekniska enheter som är avsedda för sådana fordon med avseende på utsläpp och batteriers hållbarhet (Euro 7) och om upphävande av förordningarna (EG) nr 715/2007 och (EG) nr 595/2009(COM(2022)0586 – C9-0375/2022 – 2022/0365(COD))"/>
  </w:docVars>
  <w:rsids>
    <w:rsidRoot w:val="00555B43"/>
    <w:rsid w:val="00002272"/>
    <w:rsid w:val="00064002"/>
    <w:rsid w:val="000677B9"/>
    <w:rsid w:val="000831BA"/>
    <w:rsid w:val="000A42CC"/>
    <w:rsid w:val="000E7DD9"/>
    <w:rsid w:val="0010095E"/>
    <w:rsid w:val="00125B37"/>
    <w:rsid w:val="00187494"/>
    <w:rsid w:val="001F1F51"/>
    <w:rsid w:val="001F32AE"/>
    <w:rsid w:val="002767FF"/>
    <w:rsid w:val="002B18FE"/>
    <w:rsid w:val="002B5493"/>
    <w:rsid w:val="00343214"/>
    <w:rsid w:val="00350A54"/>
    <w:rsid w:val="00361C00"/>
    <w:rsid w:val="0038035C"/>
    <w:rsid w:val="00395FA1"/>
    <w:rsid w:val="003E15D4"/>
    <w:rsid w:val="003F2A5D"/>
    <w:rsid w:val="00411CCE"/>
    <w:rsid w:val="0041666E"/>
    <w:rsid w:val="00421060"/>
    <w:rsid w:val="00471C19"/>
    <w:rsid w:val="004867E3"/>
    <w:rsid w:val="00494A28"/>
    <w:rsid w:val="004C0004"/>
    <w:rsid w:val="004C5D52"/>
    <w:rsid w:val="004C6CBD"/>
    <w:rsid w:val="0050519A"/>
    <w:rsid w:val="005072A1"/>
    <w:rsid w:val="00514517"/>
    <w:rsid w:val="00531EC9"/>
    <w:rsid w:val="0054295A"/>
    <w:rsid w:val="00545827"/>
    <w:rsid w:val="00555B43"/>
    <w:rsid w:val="00560270"/>
    <w:rsid w:val="00585DF1"/>
    <w:rsid w:val="005932BB"/>
    <w:rsid w:val="005C2568"/>
    <w:rsid w:val="006037C0"/>
    <w:rsid w:val="006631B6"/>
    <w:rsid w:val="00680577"/>
    <w:rsid w:val="00690BB0"/>
    <w:rsid w:val="006F74FA"/>
    <w:rsid w:val="00731ADD"/>
    <w:rsid w:val="00734777"/>
    <w:rsid w:val="00747932"/>
    <w:rsid w:val="00751A4A"/>
    <w:rsid w:val="00756632"/>
    <w:rsid w:val="00762C74"/>
    <w:rsid w:val="00786EC0"/>
    <w:rsid w:val="007B7831"/>
    <w:rsid w:val="007D1690"/>
    <w:rsid w:val="007E22AD"/>
    <w:rsid w:val="00817416"/>
    <w:rsid w:val="00842779"/>
    <w:rsid w:val="00865F67"/>
    <w:rsid w:val="00881A7B"/>
    <w:rsid w:val="00881D73"/>
    <w:rsid w:val="008840E5"/>
    <w:rsid w:val="00887B3E"/>
    <w:rsid w:val="008C2AC6"/>
    <w:rsid w:val="00930C23"/>
    <w:rsid w:val="0093193B"/>
    <w:rsid w:val="009509D8"/>
    <w:rsid w:val="00950B64"/>
    <w:rsid w:val="00981893"/>
    <w:rsid w:val="00A014B6"/>
    <w:rsid w:val="00A1687D"/>
    <w:rsid w:val="00A43E52"/>
    <w:rsid w:val="00A4678D"/>
    <w:rsid w:val="00A778C7"/>
    <w:rsid w:val="00AB441E"/>
    <w:rsid w:val="00AB6293"/>
    <w:rsid w:val="00AD08AA"/>
    <w:rsid w:val="00AE0928"/>
    <w:rsid w:val="00AF3B82"/>
    <w:rsid w:val="00B12E95"/>
    <w:rsid w:val="00B22876"/>
    <w:rsid w:val="00B558F0"/>
    <w:rsid w:val="00BD48FE"/>
    <w:rsid w:val="00BD7BD8"/>
    <w:rsid w:val="00BE6ADC"/>
    <w:rsid w:val="00C05BFE"/>
    <w:rsid w:val="00C23CD4"/>
    <w:rsid w:val="00C476EF"/>
    <w:rsid w:val="00C61C0C"/>
    <w:rsid w:val="00C941CB"/>
    <w:rsid w:val="00CC2357"/>
    <w:rsid w:val="00CF071A"/>
    <w:rsid w:val="00D058B8"/>
    <w:rsid w:val="00D56C11"/>
    <w:rsid w:val="00D624B1"/>
    <w:rsid w:val="00D834A0"/>
    <w:rsid w:val="00D872DF"/>
    <w:rsid w:val="00D91E21"/>
    <w:rsid w:val="00DA7FCD"/>
    <w:rsid w:val="00E365E1"/>
    <w:rsid w:val="00E820A4"/>
    <w:rsid w:val="00EB006A"/>
    <w:rsid w:val="00EB4772"/>
    <w:rsid w:val="00ED169E"/>
    <w:rsid w:val="00ED4235"/>
    <w:rsid w:val="00F04346"/>
    <w:rsid w:val="00F075DC"/>
    <w:rsid w:val="00F1158E"/>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A9F11C"/>
  <w15:chartTrackingRefBased/>
  <w15:docId w15:val="{93AB0E47-25D2-4662-8620-CA1479843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aliases w:val="CV1,Deloitte,Document Table,Gena,HTG,Tabellengitternetz"/>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624B1"/>
    <w:rPr>
      <w:b/>
      <w:kern w:val="28"/>
      <w:sz w:val="28"/>
      <w:lang w:val="fr-FR" w:eastAsia="fr-FR"/>
    </w:rPr>
  </w:style>
  <w:style w:type="character" w:customStyle="1" w:styleId="Heading2Char">
    <w:name w:val="Heading 2 Char"/>
    <w:basedOn w:val="DefaultParagraphFont"/>
    <w:link w:val="Heading2"/>
    <w:semiHidden/>
    <w:rsid w:val="00D624B1"/>
    <w:rPr>
      <w:sz w:val="24"/>
      <w:lang w:val="fr-FR" w:eastAsia="fr-FR"/>
    </w:rPr>
  </w:style>
  <w:style w:type="character" w:customStyle="1" w:styleId="Heading3Char">
    <w:name w:val="Heading 3 Char"/>
    <w:basedOn w:val="DefaultParagraphFont"/>
    <w:link w:val="Heading3"/>
    <w:semiHidden/>
    <w:rsid w:val="00D624B1"/>
    <w:rPr>
      <w:rFonts w:ascii="Arial" w:hAnsi="Arial"/>
      <w:sz w:val="24"/>
      <w:lang w:val="fr-FR" w:eastAsia="fr-FR"/>
    </w:rPr>
  </w:style>
  <w:style w:type="character" w:customStyle="1" w:styleId="Heading4Char">
    <w:name w:val="Heading 4 Char"/>
    <w:basedOn w:val="DefaultParagraphFont"/>
    <w:link w:val="Heading4"/>
    <w:semiHidden/>
    <w:rsid w:val="00D624B1"/>
    <w:rPr>
      <w:sz w:val="24"/>
      <w:lang w:val="en-US" w:eastAsia="fr-FR"/>
    </w:rPr>
  </w:style>
  <w:style w:type="character" w:customStyle="1" w:styleId="Heading5Char">
    <w:name w:val="Heading 5 Char"/>
    <w:basedOn w:val="DefaultParagraphFont"/>
    <w:link w:val="Heading5"/>
    <w:semiHidden/>
    <w:rsid w:val="00D624B1"/>
    <w:rPr>
      <w:sz w:val="24"/>
      <w:lang w:val="en-US" w:eastAsia="fr-FR"/>
    </w:rPr>
  </w:style>
  <w:style w:type="character" w:customStyle="1" w:styleId="Heading6Char">
    <w:name w:val="Heading 6 Char"/>
    <w:basedOn w:val="DefaultParagraphFont"/>
    <w:link w:val="Heading6"/>
    <w:semiHidden/>
    <w:rsid w:val="00D624B1"/>
    <w:rPr>
      <w:i/>
      <w:sz w:val="22"/>
      <w:lang w:val="sv-SE"/>
    </w:rPr>
  </w:style>
  <w:style w:type="character" w:customStyle="1" w:styleId="Heading7Char">
    <w:name w:val="Heading 7 Char"/>
    <w:basedOn w:val="DefaultParagraphFont"/>
    <w:link w:val="Heading7"/>
    <w:semiHidden/>
    <w:rsid w:val="00D624B1"/>
    <w:rPr>
      <w:rFonts w:ascii="Arial" w:hAnsi="Arial"/>
      <w:sz w:val="24"/>
      <w:lang w:val="sv-SE"/>
    </w:rPr>
  </w:style>
  <w:style w:type="character" w:customStyle="1" w:styleId="Heading8Char">
    <w:name w:val="Heading 8 Char"/>
    <w:basedOn w:val="DefaultParagraphFont"/>
    <w:link w:val="Heading8"/>
    <w:semiHidden/>
    <w:rsid w:val="00D624B1"/>
    <w:rPr>
      <w:rFonts w:ascii="Arial" w:hAnsi="Arial"/>
      <w:i/>
      <w:sz w:val="24"/>
      <w:lang w:val="sv-SE"/>
    </w:rPr>
  </w:style>
  <w:style w:type="character" w:customStyle="1" w:styleId="Heading9Char">
    <w:name w:val="Heading 9 Char"/>
    <w:basedOn w:val="DefaultParagraphFont"/>
    <w:link w:val="Heading9"/>
    <w:semiHidden/>
    <w:rsid w:val="00D624B1"/>
    <w:rPr>
      <w:rFonts w:ascii="Arial" w:hAnsi="Arial"/>
      <w:b/>
      <w:i/>
      <w:sz w:val="18"/>
      <w:lang w:val="sv-SE"/>
    </w:rPr>
  </w:style>
  <w:style w:type="paragraph" w:styleId="TOCHeading">
    <w:name w:val="TOC Heading"/>
    <w:basedOn w:val="Normal"/>
    <w:next w:val="Normal"/>
    <w:unhideWhenUsed/>
    <w:qFormat/>
    <w:rsid w:val="00D624B1"/>
    <w:pPr>
      <w:widowControl/>
      <w:spacing w:after="240"/>
    </w:pPr>
    <w:rPr>
      <w:lang w:val="en-GB"/>
    </w:rPr>
  </w:style>
  <w:style w:type="paragraph" w:customStyle="1" w:styleId="EPFooter2">
    <w:name w:val="EPFooter2"/>
    <w:basedOn w:val="Normal"/>
    <w:next w:val="Normal"/>
    <w:rsid w:val="00D624B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624B1"/>
    <w:pPr>
      <w:keepNext/>
      <w:spacing w:after="240"/>
      <w:jc w:val="right"/>
    </w:pPr>
    <w:rPr>
      <w:rFonts w:ascii="Arial" w:hAnsi="Arial"/>
      <w:b/>
    </w:rPr>
  </w:style>
  <w:style w:type="paragraph" w:customStyle="1" w:styleId="Normal6a">
    <w:name w:val="Normal6a"/>
    <w:basedOn w:val="Normal"/>
    <w:rsid w:val="00D624B1"/>
    <w:pPr>
      <w:spacing w:after="120"/>
    </w:pPr>
  </w:style>
  <w:style w:type="paragraph" w:customStyle="1" w:styleId="PageHeading">
    <w:name w:val="PageHeading"/>
    <w:basedOn w:val="Normal"/>
    <w:rsid w:val="00D624B1"/>
    <w:pPr>
      <w:keepNext/>
      <w:spacing w:after="480"/>
      <w:jc w:val="center"/>
    </w:pPr>
    <w:rPr>
      <w:rFonts w:ascii="Arial" w:hAnsi="Arial" w:cs="Arial"/>
      <w:b/>
    </w:rPr>
  </w:style>
  <w:style w:type="paragraph" w:customStyle="1" w:styleId="NormalBold">
    <w:name w:val="NormalBold"/>
    <w:basedOn w:val="Normal"/>
    <w:link w:val="NormalBoldChar"/>
    <w:rsid w:val="00D624B1"/>
    <w:rPr>
      <w:b/>
    </w:rPr>
  </w:style>
  <w:style w:type="paragraph" w:customStyle="1" w:styleId="NormalBold12a">
    <w:name w:val="NormalBold12a"/>
    <w:basedOn w:val="Normal"/>
    <w:rsid w:val="00D624B1"/>
    <w:pPr>
      <w:spacing w:after="240"/>
    </w:pPr>
    <w:rPr>
      <w:b/>
    </w:rPr>
  </w:style>
  <w:style w:type="paragraph" w:customStyle="1" w:styleId="AmJustText">
    <w:name w:val="AmJustText"/>
    <w:basedOn w:val="Normal"/>
    <w:rsid w:val="00D624B1"/>
    <w:pPr>
      <w:spacing w:after="240"/>
    </w:pPr>
    <w:rPr>
      <w:i/>
    </w:rPr>
  </w:style>
  <w:style w:type="paragraph" w:customStyle="1" w:styleId="NormalHanging12a">
    <w:name w:val="NormalHanging12a"/>
    <w:basedOn w:val="Normal"/>
    <w:rsid w:val="00D624B1"/>
    <w:pPr>
      <w:spacing w:after="240"/>
      <w:ind w:left="567" w:hanging="567"/>
    </w:pPr>
  </w:style>
  <w:style w:type="paragraph" w:customStyle="1" w:styleId="CoverNormal24a">
    <w:name w:val="CoverNormal24a"/>
    <w:basedOn w:val="Normal"/>
    <w:rsid w:val="00D624B1"/>
    <w:pPr>
      <w:spacing w:after="480"/>
      <w:ind w:left="1417"/>
    </w:pPr>
  </w:style>
  <w:style w:type="paragraph" w:customStyle="1" w:styleId="CoverNormal">
    <w:name w:val="CoverNormal"/>
    <w:basedOn w:val="Normal"/>
    <w:rsid w:val="00D624B1"/>
    <w:pPr>
      <w:ind w:left="1418"/>
    </w:pPr>
  </w:style>
  <w:style w:type="paragraph" w:customStyle="1" w:styleId="AmCrossRef">
    <w:name w:val="AmCrossRef"/>
    <w:basedOn w:val="Normal"/>
    <w:rsid w:val="00D624B1"/>
    <w:pPr>
      <w:spacing w:before="240" w:after="240"/>
      <w:jc w:val="center"/>
    </w:pPr>
    <w:rPr>
      <w:i/>
    </w:rPr>
  </w:style>
  <w:style w:type="paragraph" w:customStyle="1" w:styleId="AmJustTitle">
    <w:name w:val="AmJustTitle"/>
    <w:basedOn w:val="Normal"/>
    <w:next w:val="AmJustText"/>
    <w:rsid w:val="00D624B1"/>
    <w:pPr>
      <w:keepNext/>
      <w:spacing w:before="240" w:after="240"/>
      <w:jc w:val="center"/>
    </w:pPr>
    <w:rPr>
      <w:i/>
    </w:rPr>
  </w:style>
  <w:style w:type="paragraph" w:customStyle="1" w:styleId="CoverReference">
    <w:name w:val="CoverReference"/>
    <w:basedOn w:val="Normal"/>
    <w:rsid w:val="00D624B1"/>
    <w:pPr>
      <w:spacing w:before="1080"/>
      <w:jc w:val="right"/>
    </w:pPr>
    <w:rPr>
      <w:rFonts w:ascii="Arial" w:hAnsi="Arial" w:cs="Arial"/>
      <w:b/>
    </w:rPr>
  </w:style>
  <w:style w:type="paragraph" w:customStyle="1" w:styleId="CoverDocType">
    <w:name w:val="CoverDocType"/>
    <w:basedOn w:val="Normal"/>
    <w:rsid w:val="00D624B1"/>
    <w:pPr>
      <w:ind w:left="1418"/>
    </w:pPr>
    <w:rPr>
      <w:rFonts w:ascii="Arial" w:hAnsi="Arial"/>
      <w:b/>
      <w:sz w:val="48"/>
    </w:rPr>
  </w:style>
  <w:style w:type="paragraph" w:customStyle="1" w:styleId="CoverDocType24a">
    <w:name w:val="CoverDocType24a"/>
    <w:basedOn w:val="Normal"/>
    <w:rsid w:val="00D624B1"/>
    <w:pPr>
      <w:spacing w:after="480"/>
      <w:ind w:left="1418"/>
    </w:pPr>
    <w:rPr>
      <w:rFonts w:ascii="Arial" w:hAnsi="Arial"/>
      <w:b/>
      <w:sz w:val="48"/>
    </w:rPr>
  </w:style>
  <w:style w:type="paragraph" w:customStyle="1" w:styleId="CoverDate">
    <w:name w:val="CoverDate"/>
    <w:basedOn w:val="Normal"/>
    <w:rsid w:val="00D624B1"/>
    <w:pPr>
      <w:spacing w:before="240" w:after="1200"/>
    </w:pPr>
  </w:style>
  <w:style w:type="paragraph" w:styleId="Header">
    <w:name w:val="header"/>
    <w:basedOn w:val="Normal"/>
    <w:link w:val="HeaderChar"/>
    <w:rsid w:val="00D624B1"/>
    <w:pPr>
      <w:tabs>
        <w:tab w:val="center" w:pos="4513"/>
        <w:tab w:val="right" w:pos="9026"/>
      </w:tabs>
    </w:pPr>
  </w:style>
  <w:style w:type="character" w:customStyle="1" w:styleId="HeaderChar">
    <w:name w:val="Header Char"/>
    <w:basedOn w:val="DefaultParagraphFont"/>
    <w:link w:val="Header"/>
    <w:rsid w:val="00D624B1"/>
    <w:rPr>
      <w:sz w:val="24"/>
      <w:lang w:val="sv-SE"/>
    </w:rPr>
  </w:style>
  <w:style w:type="paragraph" w:customStyle="1" w:styleId="AmOrLang">
    <w:name w:val="AmOrLang"/>
    <w:basedOn w:val="Normal"/>
    <w:rsid w:val="00D624B1"/>
    <w:pPr>
      <w:spacing w:before="240" w:after="240"/>
      <w:jc w:val="right"/>
    </w:pPr>
  </w:style>
  <w:style w:type="paragraph" w:customStyle="1" w:styleId="AmColumnHeading">
    <w:name w:val="AmColumnHeading"/>
    <w:basedOn w:val="Normal"/>
    <w:rsid w:val="00D624B1"/>
    <w:pPr>
      <w:spacing w:after="240"/>
      <w:jc w:val="center"/>
    </w:pPr>
    <w:rPr>
      <w:i/>
    </w:rPr>
  </w:style>
  <w:style w:type="paragraph" w:customStyle="1" w:styleId="AmNumberTabs">
    <w:name w:val="AmNumberTabs"/>
    <w:basedOn w:val="Normal"/>
    <w:link w:val="AmNumberTabsChar"/>
    <w:rsid w:val="00D624B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D624B1"/>
    <w:pPr>
      <w:spacing w:before="240"/>
    </w:pPr>
    <w:rPr>
      <w:b/>
    </w:rPr>
  </w:style>
  <w:style w:type="paragraph" w:customStyle="1" w:styleId="EPBody">
    <w:name w:val="EPBody"/>
    <w:basedOn w:val="Normal"/>
    <w:rsid w:val="00D624B1"/>
    <w:pPr>
      <w:jc w:val="center"/>
    </w:pPr>
    <w:rPr>
      <w:rFonts w:ascii="Arial" w:hAnsi="Arial" w:cs="Arial"/>
      <w:i/>
      <w:sz w:val="22"/>
      <w:szCs w:val="22"/>
    </w:rPr>
  </w:style>
  <w:style w:type="paragraph" w:customStyle="1" w:styleId="EPFooter">
    <w:name w:val="EPFooter"/>
    <w:basedOn w:val="Normal"/>
    <w:rsid w:val="00D624B1"/>
    <w:pPr>
      <w:tabs>
        <w:tab w:val="center" w:pos="4535"/>
        <w:tab w:val="right" w:pos="9071"/>
      </w:tabs>
      <w:spacing w:before="240" w:after="240"/>
    </w:pPr>
    <w:rPr>
      <w:color w:val="010000"/>
      <w:sz w:val="22"/>
    </w:rPr>
  </w:style>
  <w:style w:type="paragraph" w:customStyle="1" w:styleId="EPComma">
    <w:name w:val="EPComma"/>
    <w:basedOn w:val="Normal"/>
    <w:rsid w:val="00D624B1"/>
    <w:pPr>
      <w:spacing w:before="480" w:after="240"/>
    </w:pPr>
  </w:style>
  <w:style w:type="paragraph" w:customStyle="1" w:styleId="Lgendesigne">
    <w:name w:val="Légende signe"/>
    <w:basedOn w:val="Normal"/>
    <w:rsid w:val="00D624B1"/>
    <w:pPr>
      <w:tabs>
        <w:tab w:val="right" w:pos="454"/>
        <w:tab w:val="left" w:pos="737"/>
      </w:tabs>
      <w:ind w:left="737" w:hanging="737"/>
    </w:pPr>
    <w:rPr>
      <w:snapToGrid w:val="0"/>
      <w:sz w:val="18"/>
      <w:lang w:eastAsia="en-US"/>
    </w:rPr>
  </w:style>
  <w:style w:type="paragraph" w:customStyle="1" w:styleId="Lgendetitre">
    <w:name w:val="Légende titre"/>
    <w:basedOn w:val="Normal"/>
    <w:rsid w:val="00D624B1"/>
    <w:pPr>
      <w:spacing w:before="240" w:after="240"/>
    </w:pPr>
    <w:rPr>
      <w:b/>
      <w:i/>
      <w:snapToGrid w:val="0"/>
      <w:lang w:eastAsia="en-US"/>
    </w:rPr>
  </w:style>
  <w:style w:type="paragraph" w:customStyle="1" w:styleId="Lgendestandard">
    <w:name w:val="Légende standard"/>
    <w:basedOn w:val="Normal"/>
    <w:rsid w:val="00D624B1"/>
    <w:rPr>
      <w:sz w:val="18"/>
    </w:rPr>
  </w:style>
  <w:style w:type="paragraph" w:customStyle="1" w:styleId="msonormal0">
    <w:name w:val="msonormal"/>
    <w:basedOn w:val="Normal"/>
    <w:rsid w:val="00D624B1"/>
    <w:pPr>
      <w:widowControl/>
      <w:spacing w:before="100" w:beforeAutospacing="1" w:after="100" w:afterAutospacing="1"/>
    </w:pPr>
    <w:rPr>
      <w:szCs w:val="24"/>
    </w:rPr>
  </w:style>
  <w:style w:type="paragraph" w:styleId="Footer">
    <w:name w:val="footer"/>
    <w:link w:val="FooterChar"/>
    <w:unhideWhenUsed/>
    <w:rsid w:val="00D624B1"/>
    <w:pPr>
      <w:tabs>
        <w:tab w:val="center" w:pos="4536"/>
        <w:tab w:val="right" w:pos="9072"/>
      </w:tabs>
      <w:spacing w:before="240" w:after="240" w:line="220" w:lineRule="auto"/>
    </w:pPr>
    <w:rPr>
      <w:sz w:val="22"/>
      <w:lang w:val="sv-SE"/>
    </w:rPr>
  </w:style>
  <w:style w:type="character" w:customStyle="1" w:styleId="FooterChar">
    <w:name w:val="Footer Char"/>
    <w:basedOn w:val="DefaultParagraphFont"/>
    <w:link w:val="Footer"/>
    <w:rsid w:val="00D624B1"/>
    <w:rPr>
      <w:sz w:val="22"/>
      <w:lang w:val="sv-SE"/>
    </w:rPr>
  </w:style>
  <w:style w:type="character" w:customStyle="1" w:styleId="Normal12Char">
    <w:name w:val="Normal12 Char"/>
    <w:basedOn w:val="DefaultParagraphFont"/>
    <w:link w:val="Normal12"/>
    <w:locked/>
    <w:rsid w:val="00D624B1"/>
    <w:rPr>
      <w:noProof/>
      <w:sz w:val="24"/>
    </w:rPr>
  </w:style>
  <w:style w:type="paragraph" w:customStyle="1" w:styleId="Normal12">
    <w:name w:val="Normal12"/>
    <w:basedOn w:val="Normal"/>
    <w:link w:val="Normal12Char"/>
    <w:rsid w:val="00D624B1"/>
    <w:pPr>
      <w:spacing w:after="240"/>
    </w:pPr>
    <w:rPr>
      <w:noProof/>
      <w:lang w:val="en-GB"/>
    </w:rPr>
  </w:style>
  <w:style w:type="paragraph" w:customStyle="1" w:styleId="CommitteeAM">
    <w:name w:val="CommitteeAM"/>
    <w:basedOn w:val="Normal"/>
    <w:rsid w:val="00D624B1"/>
    <w:pPr>
      <w:spacing w:before="240" w:after="600"/>
      <w:jc w:val="center"/>
    </w:pPr>
    <w:rPr>
      <w:i/>
    </w:rPr>
  </w:style>
  <w:style w:type="paragraph" w:customStyle="1" w:styleId="ZDateAM">
    <w:name w:val="ZDateAM"/>
    <w:basedOn w:val="Normal"/>
    <w:rsid w:val="00D624B1"/>
    <w:pPr>
      <w:tabs>
        <w:tab w:val="right" w:pos="9356"/>
      </w:tabs>
      <w:spacing w:after="480"/>
    </w:pPr>
    <w:rPr>
      <w:noProof/>
    </w:rPr>
  </w:style>
  <w:style w:type="paragraph" w:customStyle="1" w:styleId="ProjRap">
    <w:name w:val="ProjRap"/>
    <w:basedOn w:val="Normal"/>
    <w:rsid w:val="00D624B1"/>
    <w:pPr>
      <w:tabs>
        <w:tab w:val="right" w:pos="9356"/>
      </w:tabs>
    </w:pPr>
    <w:rPr>
      <w:b/>
      <w:noProof/>
    </w:rPr>
  </w:style>
  <w:style w:type="paragraph" w:customStyle="1" w:styleId="PELeft">
    <w:name w:val="PELeft"/>
    <w:basedOn w:val="Normal"/>
    <w:rsid w:val="00D624B1"/>
    <w:pPr>
      <w:spacing w:before="40" w:after="40"/>
    </w:pPr>
    <w:rPr>
      <w:rFonts w:ascii="Arial" w:hAnsi="Arial" w:cs="Arial"/>
      <w:sz w:val="22"/>
      <w:szCs w:val="22"/>
    </w:rPr>
  </w:style>
  <w:style w:type="paragraph" w:customStyle="1" w:styleId="PERight">
    <w:name w:val="PERight"/>
    <w:basedOn w:val="Normal"/>
    <w:next w:val="Normal"/>
    <w:rsid w:val="00D624B1"/>
    <w:pPr>
      <w:jc w:val="right"/>
    </w:pPr>
    <w:rPr>
      <w:rFonts w:ascii="Arial" w:hAnsi="Arial" w:cs="Arial"/>
      <w:sz w:val="22"/>
      <w:szCs w:val="22"/>
    </w:rPr>
  </w:style>
  <w:style w:type="character" w:customStyle="1" w:styleId="Normal6Char">
    <w:name w:val="Normal6 Char"/>
    <w:basedOn w:val="DefaultParagraphFont"/>
    <w:link w:val="Normal6"/>
    <w:locked/>
    <w:rsid w:val="00D624B1"/>
    <w:rPr>
      <w:sz w:val="24"/>
      <w:lang w:val="sv-SE"/>
    </w:rPr>
  </w:style>
  <w:style w:type="paragraph" w:customStyle="1" w:styleId="Normal6">
    <w:name w:val="Normal6"/>
    <w:basedOn w:val="Normal"/>
    <w:link w:val="Normal6Char"/>
    <w:rsid w:val="00D624B1"/>
    <w:pPr>
      <w:spacing w:after="120"/>
    </w:pPr>
  </w:style>
  <w:style w:type="character" w:customStyle="1" w:styleId="NormalBoldChar">
    <w:name w:val="NormalBold Char"/>
    <w:basedOn w:val="DefaultParagraphFont"/>
    <w:link w:val="NormalBold"/>
    <w:locked/>
    <w:rsid w:val="00D624B1"/>
    <w:rPr>
      <w:b/>
      <w:sz w:val="24"/>
      <w:lang w:val="sv-SE"/>
    </w:rPr>
  </w:style>
  <w:style w:type="paragraph" w:customStyle="1" w:styleId="Normal12Italic">
    <w:name w:val="Normal12Italic"/>
    <w:basedOn w:val="Normal12"/>
    <w:rsid w:val="00D624B1"/>
    <w:pPr>
      <w:jc w:val="both"/>
    </w:pPr>
  </w:style>
  <w:style w:type="paragraph" w:customStyle="1" w:styleId="JustificationTitle">
    <w:name w:val="JustificationTitle"/>
    <w:basedOn w:val="Normal"/>
    <w:next w:val="Normal12"/>
    <w:rsid w:val="00D624B1"/>
    <w:pPr>
      <w:keepNext/>
      <w:spacing w:before="240" w:after="240"/>
      <w:jc w:val="center"/>
    </w:pPr>
    <w:rPr>
      <w:i/>
      <w:noProof/>
    </w:rPr>
  </w:style>
  <w:style w:type="paragraph" w:customStyle="1" w:styleId="Olang">
    <w:name w:val="Olang"/>
    <w:basedOn w:val="Normal"/>
    <w:rsid w:val="00D624B1"/>
    <w:pPr>
      <w:spacing w:before="240" w:after="240"/>
      <w:jc w:val="right"/>
    </w:pPr>
    <w:rPr>
      <w:noProof/>
      <w:szCs w:val="24"/>
    </w:rPr>
  </w:style>
  <w:style w:type="paragraph" w:customStyle="1" w:styleId="ColumnHeading">
    <w:name w:val="ColumnHeading"/>
    <w:basedOn w:val="Normal"/>
    <w:rsid w:val="00D624B1"/>
    <w:pPr>
      <w:spacing w:after="240"/>
      <w:jc w:val="center"/>
    </w:pPr>
    <w:rPr>
      <w:i/>
    </w:rPr>
  </w:style>
  <w:style w:type="paragraph" w:customStyle="1" w:styleId="AMNumberTabs0">
    <w:name w:val="AMNumberTabs"/>
    <w:basedOn w:val="Normal"/>
    <w:rsid w:val="00D624B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D624B1"/>
    <w:pPr>
      <w:spacing w:before="240"/>
      <w:jc w:val="center"/>
    </w:pPr>
    <w:rPr>
      <w:i/>
    </w:rPr>
  </w:style>
  <w:style w:type="paragraph" w:customStyle="1" w:styleId="Footer2">
    <w:name w:val="Footer2"/>
    <w:basedOn w:val="Normal12"/>
    <w:rsid w:val="00D624B1"/>
    <w:pPr>
      <w:tabs>
        <w:tab w:val="center" w:pos="4535"/>
        <w:tab w:val="right" w:pos="9923"/>
      </w:tabs>
      <w:spacing w:line="480" w:lineRule="auto"/>
      <w:ind w:left="-851"/>
    </w:pPr>
    <w:rPr>
      <w:rFonts w:ascii="Arial" w:cs="Arial"/>
      <w:b/>
      <w:sz w:val="48"/>
    </w:rPr>
  </w:style>
  <w:style w:type="character" w:customStyle="1" w:styleId="Footer2Middle">
    <w:name w:val="Footer2Middle"/>
    <w:rsid w:val="00D624B1"/>
    <w:rPr>
      <w:rFonts w:ascii="Arial" w:hAnsi="Arial" w:cs="Arial" w:hint="default"/>
      <w:b w:val="0"/>
      <w:bCs w:val="0"/>
      <w:i/>
      <w:iCs w:val="0"/>
      <w:color w:val="C0C0C0"/>
      <w:sz w:val="22"/>
    </w:rPr>
  </w:style>
  <w:style w:type="paragraph" w:customStyle="1" w:styleId="EntPE">
    <w:name w:val="EntPE"/>
    <w:basedOn w:val="Normal12"/>
    <w:rsid w:val="00D624B1"/>
    <w:pPr>
      <w:jc w:val="center"/>
    </w:pPr>
    <w:rPr>
      <w:noProof w:val="0"/>
      <w:sz w:val="56"/>
    </w:rPr>
  </w:style>
  <w:style w:type="paragraph" w:styleId="BalloonText">
    <w:name w:val="Balloon Text"/>
    <w:basedOn w:val="Normal"/>
    <w:link w:val="BalloonTextChar"/>
    <w:unhideWhenUsed/>
    <w:rsid w:val="00D624B1"/>
    <w:pPr>
      <w:widowControl/>
    </w:pPr>
    <w:rPr>
      <w:rFonts w:ascii="Segoe UI" w:hAnsi="Segoe UI" w:cs="Segoe UI"/>
      <w:sz w:val="18"/>
      <w:szCs w:val="18"/>
    </w:rPr>
  </w:style>
  <w:style w:type="character" w:customStyle="1" w:styleId="BalloonTextChar">
    <w:name w:val="Balloon Text Char"/>
    <w:basedOn w:val="DefaultParagraphFont"/>
    <w:link w:val="BalloonText"/>
    <w:rsid w:val="00D624B1"/>
    <w:rPr>
      <w:rFonts w:ascii="Segoe UI" w:hAnsi="Segoe UI" w:cs="Segoe UI"/>
      <w:sz w:val="18"/>
      <w:szCs w:val="18"/>
      <w:lang w:val="sv-SE"/>
    </w:rPr>
  </w:style>
  <w:style w:type="paragraph" w:customStyle="1" w:styleId="Normal12Hanging">
    <w:name w:val="Normal12Hanging"/>
    <w:basedOn w:val="Normal"/>
    <w:uiPriority w:val="99"/>
    <w:rsid w:val="00D624B1"/>
    <w:pPr>
      <w:spacing w:after="240"/>
      <w:ind w:left="567" w:hanging="567"/>
    </w:pPr>
  </w:style>
  <w:style w:type="character" w:styleId="CommentReference">
    <w:name w:val="annotation reference"/>
    <w:basedOn w:val="DefaultParagraphFont"/>
    <w:rsid w:val="00D624B1"/>
    <w:rPr>
      <w:sz w:val="16"/>
      <w:szCs w:val="16"/>
    </w:rPr>
  </w:style>
  <w:style w:type="paragraph" w:styleId="CommentText">
    <w:name w:val="annotation text"/>
    <w:basedOn w:val="Normal"/>
    <w:link w:val="CommentTextChar"/>
    <w:rsid w:val="00D624B1"/>
    <w:rPr>
      <w:sz w:val="20"/>
    </w:rPr>
  </w:style>
  <w:style w:type="character" w:customStyle="1" w:styleId="CommentTextChar">
    <w:name w:val="Comment Text Char"/>
    <w:basedOn w:val="DefaultParagraphFont"/>
    <w:link w:val="CommentText"/>
    <w:rsid w:val="00D624B1"/>
    <w:rPr>
      <w:lang w:val="sv-SE"/>
    </w:rPr>
  </w:style>
  <w:style w:type="paragraph" w:styleId="CommentSubject">
    <w:name w:val="annotation subject"/>
    <w:basedOn w:val="CommentText"/>
    <w:next w:val="CommentText"/>
    <w:link w:val="CommentSubjectChar"/>
    <w:unhideWhenUsed/>
    <w:rsid w:val="00D624B1"/>
    <w:rPr>
      <w:b/>
      <w:bCs/>
    </w:rPr>
  </w:style>
  <w:style w:type="character" w:customStyle="1" w:styleId="CommentSubjectChar">
    <w:name w:val="Comment Subject Char"/>
    <w:basedOn w:val="CommentTextChar"/>
    <w:link w:val="CommentSubject"/>
    <w:rsid w:val="00D624B1"/>
    <w:rPr>
      <w:b/>
      <w:bCs/>
      <w:lang w:val="sv-SE"/>
    </w:rPr>
  </w:style>
  <w:style w:type="paragraph" w:styleId="ListParagraph">
    <w:name w:val="List Paragraph"/>
    <w:basedOn w:val="Normal"/>
    <w:uiPriority w:val="34"/>
    <w:qFormat/>
    <w:rsid w:val="00D624B1"/>
    <w:pPr>
      <w:widowControl/>
      <w:ind w:left="720"/>
      <w:contextualSpacing/>
      <w:jc w:val="both"/>
    </w:pPr>
    <w:rPr>
      <w:rFonts w:eastAsiaTheme="minorHAnsi"/>
      <w:szCs w:val="24"/>
      <w:lang w:eastAsia="en-US"/>
    </w:rPr>
  </w:style>
  <w:style w:type="paragraph" w:customStyle="1" w:styleId="PageHeadingNotTOC">
    <w:name w:val="PageHeadingNotTOC"/>
    <w:basedOn w:val="Normal"/>
    <w:rsid w:val="00D624B1"/>
    <w:pPr>
      <w:keepNext/>
      <w:spacing w:after="480"/>
      <w:jc w:val="center"/>
    </w:pPr>
    <w:rPr>
      <w:rFonts w:ascii="Arial" w:hAnsi="Arial" w:cs="Arial"/>
      <w:b/>
    </w:rPr>
  </w:style>
  <w:style w:type="paragraph" w:styleId="Revision">
    <w:name w:val="Revision"/>
    <w:uiPriority w:val="99"/>
    <w:semiHidden/>
    <w:rsid w:val="00D624B1"/>
    <w:rPr>
      <w:sz w:val="24"/>
      <w:lang w:val="sv-SE"/>
    </w:rPr>
  </w:style>
  <w:style w:type="character" w:customStyle="1" w:styleId="AmNumberTabsChar">
    <w:name w:val="AmNumberTabs Char"/>
    <w:basedOn w:val="DefaultParagraphFont"/>
    <w:link w:val="AmNumberTabs"/>
    <w:rsid w:val="00D624B1"/>
    <w:rPr>
      <w:b/>
      <w:sz w:val="24"/>
      <w:lang w:val="sv-SE"/>
    </w:rPr>
  </w:style>
  <w:style w:type="character" w:customStyle="1" w:styleId="NormalBold12bChar">
    <w:name w:val="NormalBold12b Char"/>
    <w:basedOn w:val="AmNumberTabsChar"/>
    <w:link w:val="NormalBold12b"/>
    <w:rsid w:val="00D624B1"/>
    <w:rPr>
      <w:b/>
      <w:sz w:val="24"/>
      <w:lang w:val="sv-SE"/>
    </w:rPr>
  </w:style>
  <w:style w:type="paragraph" w:customStyle="1" w:styleId="TableParagraph">
    <w:name w:val="Table Paragraph"/>
    <w:basedOn w:val="Normal"/>
    <w:uiPriority w:val="1"/>
    <w:qFormat/>
    <w:rsid w:val="00D624B1"/>
    <w:pPr>
      <w:autoSpaceDE w:val="0"/>
      <w:autoSpaceDN w:val="0"/>
      <w:spacing w:before="114"/>
      <w:ind w:left="110"/>
    </w:pPr>
    <w:rPr>
      <w:sz w:val="22"/>
      <w:szCs w:val="22"/>
      <w:lang w:eastAsia="en-US"/>
    </w:rPr>
  </w:style>
  <w:style w:type="paragraph" w:customStyle="1" w:styleId="Default">
    <w:name w:val="Default"/>
    <w:rsid w:val="00D624B1"/>
    <w:pPr>
      <w:autoSpaceDE w:val="0"/>
      <w:autoSpaceDN w:val="0"/>
      <w:adjustRightInd w:val="0"/>
    </w:pPr>
    <w:rPr>
      <w:color w:val="000000"/>
      <w:sz w:val="24"/>
      <w:szCs w:val="24"/>
      <w:lang w:val="sv-SE"/>
    </w:rPr>
  </w:style>
  <w:style w:type="character" w:customStyle="1" w:styleId="contentpasted0">
    <w:name w:val="contentpasted0"/>
    <w:rsid w:val="00D624B1"/>
  </w:style>
  <w:style w:type="table" w:customStyle="1" w:styleId="CV11">
    <w:name w:val="CV11"/>
    <w:basedOn w:val="TableNormal"/>
    <w:uiPriority w:val="39"/>
    <w:rsid w:val="00D624B1"/>
    <w:rPr>
      <w:lang w:val="sv-S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a">
    <w:name w:val="Normal12a"/>
    <w:basedOn w:val="Normal"/>
    <w:rsid w:val="00D624B1"/>
    <w:pPr>
      <w:spacing w:after="240"/>
    </w:pPr>
  </w:style>
  <w:style w:type="paragraph" w:customStyle="1" w:styleId="RollCallVotes">
    <w:name w:val="RollCallVotes"/>
    <w:basedOn w:val="Normal"/>
    <w:rsid w:val="00D624B1"/>
    <w:pPr>
      <w:spacing w:before="120" w:after="120"/>
      <w:jc w:val="center"/>
    </w:pPr>
    <w:rPr>
      <w:b/>
      <w:bCs/>
      <w:snapToGrid w:val="0"/>
      <w:sz w:val="16"/>
      <w:lang w:eastAsia="en-US"/>
    </w:rPr>
  </w:style>
  <w:style w:type="paragraph" w:customStyle="1" w:styleId="RollCallTabs">
    <w:name w:val="RollCallTabs"/>
    <w:basedOn w:val="Normal"/>
    <w:qFormat/>
    <w:rsid w:val="00D624B1"/>
    <w:pPr>
      <w:tabs>
        <w:tab w:val="center" w:pos="284"/>
        <w:tab w:val="left" w:pos="426"/>
      </w:tabs>
    </w:pPr>
    <w:rPr>
      <w:snapToGrid w:val="0"/>
      <w:lang w:eastAsia="en-US"/>
    </w:rPr>
  </w:style>
  <w:style w:type="paragraph" w:customStyle="1" w:styleId="RollCallSymbols14pt">
    <w:name w:val="RollCallSymbols14pt"/>
    <w:basedOn w:val="Normal"/>
    <w:rsid w:val="00D624B1"/>
    <w:pPr>
      <w:spacing w:before="120" w:after="120"/>
      <w:jc w:val="center"/>
    </w:pPr>
    <w:rPr>
      <w:rFonts w:ascii="Arial" w:hAnsi="Arial"/>
      <w:b/>
      <w:bCs/>
      <w:snapToGrid w:val="0"/>
      <w:sz w:val="28"/>
      <w:lang w:eastAsia="en-US"/>
    </w:rPr>
  </w:style>
  <w:style w:type="paragraph" w:customStyle="1" w:styleId="RollCallTable">
    <w:name w:val="RollCallTable"/>
    <w:basedOn w:val="Normal"/>
    <w:rsid w:val="00D624B1"/>
    <w:pPr>
      <w:spacing w:before="120" w:after="120"/>
    </w:pPr>
    <w:rPr>
      <w:snapToGrid w:val="0"/>
      <w:sz w:val="16"/>
      <w:lang w:eastAsia="en-US"/>
    </w:rPr>
  </w:style>
  <w:style w:type="paragraph" w:customStyle="1" w:styleId="AmHeadingPA">
    <w:name w:val="AmHeadingPA"/>
    <w:basedOn w:val="Normal"/>
    <w:next w:val="Normal"/>
    <w:rsid w:val="00D624B1"/>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D624B1"/>
    <w:pPr>
      <w:spacing w:after="480"/>
    </w:pPr>
  </w:style>
  <w:style w:type="character" w:customStyle="1" w:styleId="Normal24aChar">
    <w:name w:val="Normal24a Char"/>
    <w:basedOn w:val="DefaultParagraphFont"/>
    <w:link w:val="Normal24a"/>
    <w:rsid w:val="00D624B1"/>
    <w:rPr>
      <w:sz w:val="24"/>
      <w:lang w:val="sv-SE"/>
    </w:rPr>
  </w:style>
  <w:style w:type="paragraph" w:customStyle="1" w:styleId="Normal1">
    <w:name w:val="Normal1"/>
    <w:basedOn w:val="Normal"/>
    <w:rsid w:val="00D624B1"/>
    <w:pPr>
      <w:widowControl/>
      <w:spacing w:before="100" w:beforeAutospacing="1" w:after="100" w:afterAutospacing="1"/>
    </w:pPr>
    <w:rPr>
      <w:szCs w:val="24"/>
    </w:rPr>
  </w:style>
  <w:style w:type="character" w:customStyle="1" w:styleId="footnotereference0">
    <w:name w:val="footnotereference"/>
    <w:basedOn w:val="DefaultParagraphFont"/>
    <w:rsid w:val="00D624B1"/>
  </w:style>
  <w:style w:type="paragraph" w:customStyle="1" w:styleId="CoverBold">
    <w:name w:val="CoverBold"/>
    <w:basedOn w:val="Normal"/>
    <w:rsid w:val="00D624B1"/>
    <w:pPr>
      <w:ind w:left="1417"/>
    </w:pPr>
    <w:rPr>
      <w:b/>
    </w:rPr>
  </w:style>
  <w:style w:type="paragraph" w:styleId="EndnoteText">
    <w:name w:val="endnote text"/>
    <w:basedOn w:val="Normal"/>
    <w:link w:val="EndnoteTextChar"/>
    <w:unhideWhenUsed/>
    <w:rsid w:val="00D624B1"/>
    <w:rPr>
      <w:sz w:val="20"/>
    </w:rPr>
  </w:style>
  <w:style w:type="character" w:customStyle="1" w:styleId="EndnoteTextChar">
    <w:name w:val="Endnote Text Char"/>
    <w:basedOn w:val="DefaultParagraphFont"/>
    <w:link w:val="EndnoteText"/>
    <w:rsid w:val="00D624B1"/>
    <w:rPr>
      <w:lang w:val="sv-SE"/>
    </w:rPr>
  </w:style>
  <w:style w:type="character" w:styleId="EndnoteReference">
    <w:name w:val="endnote reference"/>
    <w:basedOn w:val="DefaultParagraphFont"/>
    <w:unhideWhenUsed/>
    <w:rsid w:val="00D624B1"/>
    <w:rPr>
      <w:vertAlign w:val="superscript"/>
    </w:rPr>
  </w:style>
  <w:style w:type="character" w:customStyle="1" w:styleId="UnresolvedMention1">
    <w:name w:val="Unresolved Mention1"/>
    <w:basedOn w:val="DefaultParagraphFont"/>
    <w:uiPriority w:val="99"/>
    <w:semiHidden/>
    <w:rsid w:val="00D624B1"/>
    <w:rPr>
      <w:color w:val="605E5C"/>
      <w:shd w:val="clear" w:color="auto" w:fill="E1DFDD"/>
    </w:rPr>
  </w:style>
  <w:style w:type="character" w:customStyle="1" w:styleId="pointer">
    <w:name w:val="pointer"/>
    <w:basedOn w:val="DefaultParagraphFont"/>
    <w:rsid w:val="00D624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38B523-2FBE-44C8-A31B-56697A6471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77</Pages>
  <Words>20969</Words>
  <Characters>119528</Characters>
  <Application>Microsoft Office Word</Application>
  <DocSecurity>0</DocSecurity>
  <Lines>996</Lines>
  <Paragraphs>280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140217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GUSTAFSSON Lisbeth</dc:creator>
  <cp:keywords/>
  <cp:lastModifiedBy>Karina Pesa</cp:lastModifiedBy>
  <cp:revision>3</cp:revision>
  <cp:lastPrinted>2004-11-19T15:42:00Z</cp:lastPrinted>
  <dcterms:created xsi:type="dcterms:W3CDTF">2024-01-31T11:04:00Z</dcterms:created>
  <dcterms:modified xsi:type="dcterms:W3CDTF">2024-03-21T10:48:00Z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P9_TA(2023)0394_</vt:lpwstr>
  </property>
  <property fmtid="{D5CDD505-2E9C-101B-9397-08002B2CF9AE}" pid="4" name="&lt;Type&gt;">
    <vt:lpwstr>RR</vt:lpwstr>
  </property>
  <property fmtid="{D5CDD505-2E9C-101B-9397-08002B2CF9AE}" pid="5" name="&lt;Model&gt;">
    <vt:lpwstr/>
  </property>
</Properties>
</file>