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7950" w:rsidTr="0010095E">
        <w:trPr>
          <w:trHeight w:hRule="exact" w:val="1418"/>
        </w:trPr>
        <w:tc>
          <w:tcPr>
            <w:tcW w:w="6804" w:type="dxa"/>
            <w:shd w:val="clear" w:color="auto" w:fill="auto"/>
            <w:vAlign w:val="center"/>
          </w:tcPr>
          <w:p w:rsidR="00751A4A" w:rsidRPr="003F7950" w:rsidRDefault="004839D4" w:rsidP="0010095E">
            <w:pPr>
              <w:pStyle w:val="EPName"/>
            </w:pPr>
            <w:r w:rsidRPr="003F7950">
              <w:t>Euroopa Parlament</w:t>
            </w:r>
          </w:p>
          <w:p w:rsidR="00751A4A" w:rsidRPr="003F7950" w:rsidRDefault="00817416" w:rsidP="00756632">
            <w:pPr>
              <w:pStyle w:val="EPTerm"/>
              <w:rPr>
                <w:rStyle w:val="HideTWBExt"/>
                <w:noProof w:val="0"/>
                <w:vanish w:val="0"/>
                <w:color w:val="auto"/>
              </w:rPr>
            </w:pPr>
            <w:r w:rsidRPr="003F7950">
              <w:t>2019-2024</w:t>
            </w:r>
          </w:p>
        </w:tc>
        <w:tc>
          <w:tcPr>
            <w:tcW w:w="2268" w:type="dxa"/>
            <w:shd w:val="clear" w:color="auto" w:fill="auto"/>
          </w:tcPr>
          <w:p w:rsidR="00751A4A" w:rsidRPr="003F7950" w:rsidRDefault="00187494" w:rsidP="0010095E">
            <w:pPr>
              <w:pStyle w:val="EPLogo"/>
            </w:pPr>
            <w:r w:rsidRPr="003F79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7950" w:rsidRDefault="00D058B8" w:rsidP="004C5D52">
      <w:pPr>
        <w:pStyle w:val="LineTop"/>
      </w:pPr>
    </w:p>
    <w:p w:rsidR="00680577" w:rsidRPr="003F7950" w:rsidRDefault="004839D4" w:rsidP="00680577">
      <w:pPr>
        <w:pStyle w:val="EPBodyTA1"/>
      </w:pPr>
      <w:r w:rsidRPr="003F7950">
        <w:t>VASTUVÕETUD TEKSTID</w:t>
      </w:r>
    </w:p>
    <w:p w:rsidR="00D058B8" w:rsidRPr="003F7950" w:rsidRDefault="00D058B8" w:rsidP="00D058B8">
      <w:pPr>
        <w:pStyle w:val="LineBottom"/>
      </w:pPr>
    </w:p>
    <w:p w:rsidR="004839D4" w:rsidRPr="003F7950" w:rsidRDefault="004839D4" w:rsidP="004839D4">
      <w:pPr>
        <w:pStyle w:val="ATHeading1"/>
      </w:pPr>
      <w:bookmarkStart w:id="0" w:name="TANumber"/>
      <w:r w:rsidRPr="003F7950">
        <w:t>P9_TA(2023)0</w:t>
      </w:r>
      <w:r w:rsidR="008D7439" w:rsidRPr="003F7950">
        <w:t>445</w:t>
      </w:r>
      <w:bookmarkEnd w:id="0"/>
    </w:p>
    <w:p w:rsidR="004839D4" w:rsidRPr="003F7950" w:rsidRDefault="004839D4" w:rsidP="004839D4">
      <w:pPr>
        <w:pStyle w:val="ATHeading2"/>
      </w:pPr>
      <w:bookmarkStart w:id="1" w:name="title"/>
      <w:r w:rsidRPr="003F7950">
        <w:t>Inimtoiduks ettenähtud toiduained: teatavate hommikusöögidirektiivide muutmine</w:t>
      </w:r>
      <w:bookmarkEnd w:id="1"/>
    </w:p>
    <w:p w:rsidR="004839D4" w:rsidRPr="003F7950" w:rsidRDefault="004839D4" w:rsidP="004839D4">
      <w:pPr>
        <w:rPr>
          <w:i/>
          <w:vanish/>
        </w:rPr>
      </w:pPr>
      <w:r w:rsidRPr="003F7950">
        <w:rPr>
          <w:i/>
        </w:rPr>
        <w:fldChar w:fldCharType="begin"/>
      </w:r>
      <w:r w:rsidRPr="003F7950">
        <w:rPr>
          <w:i/>
        </w:rPr>
        <w:instrText xml:space="preserve"> TC"(</w:instrText>
      </w:r>
      <w:bookmarkStart w:id="2" w:name="DocNumber"/>
      <w:r w:rsidRPr="003F7950">
        <w:rPr>
          <w:i/>
        </w:rPr>
        <w:instrText>A9-0385/2023</w:instrText>
      </w:r>
      <w:bookmarkEnd w:id="2"/>
      <w:r w:rsidRPr="003F7950">
        <w:rPr>
          <w:i/>
        </w:rPr>
        <w:instrText xml:space="preserve"> - Raportöör: Alexander </w:instrText>
      </w:r>
      <w:proofErr w:type="spellStart"/>
      <w:r w:rsidRPr="003F7950">
        <w:rPr>
          <w:i/>
        </w:rPr>
        <w:instrText>Bernhuber</w:instrText>
      </w:r>
      <w:proofErr w:type="spellEnd"/>
      <w:r w:rsidRPr="003F7950">
        <w:rPr>
          <w:i/>
        </w:rPr>
        <w:instrText xml:space="preserve">)"\l3 \n&gt; \* MERGEFORMAT </w:instrText>
      </w:r>
      <w:r w:rsidRPr="003F7950">
        <w:rPr>
          <w:i/>
        </w:rPr>
        <w:fldChar w:fldCharType="end"/>
      </w:r>
    </w:p>
    <w:p w:rsidR="004839D4" w:rsidRPr="003F7950" w:rsidRDefault="004839D4" w:rsidP="004839D4">
      <w:pPr>
        <w:rPr>
          <w:vanish/>
        </w:rPr>
      </w:pPr>
      <w:bookmarkStart w:id="3" w:name="Commission"/>
      <w:r w:rsidRPr="003F7950">
        <w:rPr>
          <w:vanish/>
        </w:rPr>
        <w:t>Keskkonna-, rahvatervise ja toiduohutuse komisjon</w:t>
      </w:r>
      <w:bookmarkEnd w:id="3"/>
    </w:p>
    <w:p w:rsidR="004839D4" w:rsidRPr="003F7950" w:rsidRDefault="004839D4" w:rsidP="004839D4">
      <w:pPr>
        <w:rPr>
          <w:vanish/>
        </w:rPr>
      </w:pPr>
      <w:bookmarkStart w:id="4" w:name="PE"/>
      <w:r w:rsidRPr="003F7950">
        <w:rPr>
          <w:vanish/>
        </w:rPr>
        <w:t>PE752.665</w:t>
      </w:r>
      <w:bookmarkEnd w:id="4"/>
    </w:p>
    <w:p w:rsidR="004839D4" w:rsidRPr="003F7950" w:rsidRDefault="00D472CC" w:rsidP="004839D4">
      <w:pPr>
        <w:pStyle w:val="ATHeading3"/>
      </w:pPr>
      <w:bookmarkStart w:id="5" w:name="Sujet"/>
      <w:r w:rsidRPr="003F7950">
        <w:t>Euroopa Parlamendi 12</w:t>
      </w:r>
      <w:r w:rsidR="004839D4" w:rsidRPr="003F7950">
        <w:t>.</w:t>
      </w:r>
      <w:r w:rsidRPr="003F7950">
        <w:t> detsembri</w:t>
      </w:r>
      <w:r w:rsidR="008D7439" w:rsidRPr="003F7950">
        <w:t>l</w:t>
      </w:r>
      <w:r w:rsidRPr="003F7950">
        <w:t xml:space="preserve"> 2023. </w:t>
      </w:r>
      <w:r w:rsidR="004839D4" w:rsidRPr="003F7950">
        <w:t>aasta</w:t>
      </w:r>
      <w:r w:rsidR="008D7439" w:rsidRPr="003F7950">
        <w:t>l</w:t>
      </w:r>
      <w:r w:rsidR="004839D4" w:rsidRPr="003F7950">
        <w:t xml:space="preserve"> </w:t>
      </w:r>
      <w:r w:rsidR="008D7439" w:rsidRPr="003F7950">
        <w:t>vastu võetud muudatusettepanekud</w:t>
      </w:r>
      <w:r w:rsidR="004839D4" w:rsidRPr="003F7950">
        <w:t xml:space="preserve"> ettepaneku</w:t>
      </w:r>
      <w:r w:rsidR="008D7439" w:rsidRPr="003F7950">
        <w:t>le</w:t>
      </w:r>
      <w:r w:rsidR="004839D4" w:rsidRPr="003F7950">
        <w:t xml:space="preserve"> võtta vastu Euroopa Parlamendi ja nõukogu direktiiv, millega muudetakse nõukogu direktiivi 2001/110/EÜ mee kohta, direktiivi 2001/112/EÜ toiduks ettenähtud puuvilja- ja marjamahlade ja teatavate samalaadsete toodete kohta, direktiivi 2001/113/EÜ inimtoiduks ettenähtud puuvilja- ja marjadžemmi, -želee ja tsitrusmarmelaadi ning magustatud kastanipüree koh</w:t>
      </w:r>
      <w:bookmarkStart w:id="6" w:name="_GoBack"/>
      <w:bookmarkEnd w:id="6"/>
      <w:r w:rsidR="004839D4" w:rsidRPr="003F7950">
        <w:t>ta ning direktiivi 2001/114/EÜ teatavate inimtoiduks ettenähtud osaliselt või täielikult veetustatud piimakonservide kohta</w:t>
      </w:r>
      <w:bookmarkEnd w:id="5"/>
      <w:r w:rsidR="004839D4" w:rsidRPr="003F7950">
        <w:t xml:space="preserve"> </w:t>
      </w:r>
      <w:bookmarkStart w:id="7" w:name="References"/>
      <w:r w:rsidR="004839D4" w:rsidRPr="003F7950">
        <w:t>(COM(2023)0201 – C9-</w:t>
      </w:r>
      <w:r w:rsidR="003B1E5D">
        <w:t>0</w:t>
      </w:r>
      <w:r w:rsidR="004839D4" w:rsidRPr="003F7950">
        <w:t>140/2023 – 2023/0105(COD))</w:t>
      </w:r>
      <w:bookmarkEnd w:id="7"/>
      <w:r w:rsidR="008D7439" w:rsidRPr="003F7950">
        <w:rPr>
          <w:rStyle w:val="FootnoteReference"/>
        </w:rPr>
        <w:footnoteReference w:id="1"/>
      </w:r>
    </w:p>
    <w:p w:rsidR="001E5367" w:rsidRPr="003F7950" w:rsidRDefault="001E5367" w:rsidP="001E5367">
      <w:pPr>
        <w:pStyle w:val="NormalBold"/>
      </w:pPr>
      <w:bookmarkStart w:id="8" w:name="TextBodyBegin"/>
      <w:bookmarkEnd w:id="8"/>
      <w:r w:rsidRPr="003F7950">
        <w:t>(Seadusandlik tavamenetlus: esimene lugemine)</w:t>
      </w:r>
    </w:p>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1</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Põhjendus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r w:rsidRPr="003F7950">
              <w:t>(2)</w:t>
            </w:r>
            <w:r w:rsidRPr="003F7950">
              <w:tab/>
              <w:t>Nõukogu direktiivis 2001/110/EÜ</w:t>
            </w:r>
            <w:r w:rsidRPr="003F7950">
              <w:rPr>
                <w:vertAlign w:val="superscript"/>
              </w:rPr>
              <w:t>20</w:t>
            </w:r>
            <w:r w:rsidRPr="003F7950">
              <w:t xml:space="preserve"> on sätestatud mee määratlused, nimetused, ühised eeskirjad koostise ja märgistamise nõuete kohta.</w:t>
            </w:r>
          </w:p>
        </w:tc>
        <w:tc>
          <w:tcPr>
            <w:tcW w:w="4876" w:type="dxa"/>
          </w:tcPr>
          <w:p w:rsidR="001E5367" w:rsidRPr="003F7950" w:rsidRDefault="001E5367" w:rsidP="00D472CC">
            <w:pPr>
              <w:pStyle w:val="Normal6"/>
              <w:rPr>
                <w:szCs w:val="24"/>
              </w:rPr>
            </w:pPr>
            <w:r w:rsidRPr="003F7950">
              <w:t>(2)</w:t>
            </w:r>
            <w:r w:rsidRPr="003F7950">
              <w:tab/>
              <w:t>Nõukogu direktiivis 2001/110/EÜ</w:t>
            </w:r>
            <w:r w:rsidRPr="003F7950">
              <w:rPr>
                <w:vertAlign w:val="superscript"/>
              </w:rPr>
              <w:t>20</w:t>
            </w:r>
            <w:r w:rsidRPr="003F7950">
              <w:t xml:space="preserve"> on sätestatud mee määratlused, nimetused, ühised eeskirjad koostise</w:t>
            </w:r>
            <w:r w:rsidRPr="003F7950">
              <w:rPr>
                <w:b/>
                <w:i/>
              </w:rPr>
              <w:t>, kvaliteedi</w:t>
            </w:r>
            <w:r w:rsidRPr="003F7950">
              <w:t xml:space="preserve"> ja märgistamise nõuete kohta.</w:t>
            </w:r>
          </w:p>
        </w:tc>
      </w:tr>
      <w:tr w:rsidR="001E5367" w:rsidRPr="003F7950" w:rsidTr="00D472CC">
        <w:trPr>
          <w:jc w:val="center"/>
        </w:trPr>
        <w:tc>
          <w:tcPr>
            <w:tcW w:w="4876" w:type="dxa"/>
          </w:tcPr>
          <w:p w:rsidR="001E5367" w:rsidRPr="003F7950" w:rsidRDefault="001E5367" w:rsidP="00D472CC">
            <w:pPr>
              <w:pStyle w:val="Normal6"/>
            </w:pPr>
            <w:r w:rsidRPr="003F7950">
              <w:t>__________________</w:t>
            </w:r>
          </w:p>
        </w:tc>
        <w:tc>
          <w:tcPr>
            <w:tcW w:w="4876" w:type="dxa"/>
          </w:tcPr>
          <w:p w:rsidR="001E5367" w:rsidRPr="003F7950" w:rsidRDefault="001E5367" w:rsidP="00D472CC">
            <w:pPr>
              <w:pStyle w:val="Normal6"/>
              <w:rPr>
                <w:szCs w:val="24"/>
              </w:rPr>
            </w:pPr>
            <w:r w:rsidRPr="003F7950">
              <w:t>__________________</w:t>
            </w:r>
          </w:p>
        </w:tc>
      </w:tr>
      <w:tr w:rsidR="001E5367" w:rsidRPr="003F7950" w:rsidTr="00D472CC">
        <w:trPr>
          <w:jc w:val="center"/>
        </w:trPr>
        <w:tc>
          <w:tcPr>
            <w:tcW w:w="4876" w:type="dxa"/>
          </w:tcPr>
          <w:p w:rsidR="001E5367" w:rsidRPr="003F7950" w:rsidRDefault="001E5367" w:rsidP="00D472CC">
            <w:pPr>
              <w:pStyle w:val="Normal6"/>
            </w:pPr>
            <w:r w:rsidRPr="003F7950">
              <w:rPr>
                <w:vertAlign w:val="superscript"/>
              </w:rPr>
              <w:t>20</w:t>
            </w:r>
            <w:r w:rsidRPr="003F7950">
              <w:t xml:space="preserve"> Nõukogu 20. detsembri 2001. aasta direktiiv 2001/110/EÜ mee kohta (EÜT L 10, 12.1.2002, lk 47).</w:t>
            </w:r>
          </w:p>
        </w:tc>
        <w:tc>
          <w:tcPr>
            <w:tcW w:w="4876" w:type="dxa"/>
          </w:tcPr>
          <w:p w:rsidR="001E5367" w:rsidRPr="003F7950" w:rsidRDefault="001E5367" w:rsidP="00D472CC">
            <w:pPr>
              <w:pStyle w:val="Normal6"/>
              <w:rPr>
                <w:szCs w:val="24"/>
              </w:rPr>
            </w:pPr>
            <w:r w:rsidRPr="003F7950">
              <w:rPr>
                <w:vertAlign w:val="superscript"/>
              </w:rPr>
              <w:t>20</w:t>
            </w:r>
            <w:r w:rsidRPr="003F7950">
              <w:t xml:space="preserve"> Nõukogu 20. detsembri 2001. aasta direktiiv 2001/110/EÜ mee kohta (EÜT L 10, 12.1.2002, lk 47).</w:t>
            </w:r>
          </w:p>
        </w:tc>
      </w:tr>
    </w:tbl>
    <w:p w:rsidR="001E5367" w:rsidRPr="003F7950" w:rsidRDefault="001E5367" w:rsidP="001E5367"/>
    <w:p w:rsidR="001E5367" w:rsidRPr="003F7950" w:rsidRDefault="001E5367" w:rsidP="001E5367">
      <w:pPr>
        <w:pStyle w:val="AMNumberTabs0"/>
        <w:keepNext/>
        <w:spacing w:after="240"/>
      </w:pPr>
      <w:r w:rsidRPr="003F7950">
        <w:lastRenderedPageBreak/>
        <w:t>Muudatusettepanek</w:t>
      </w:r>
      <w:r w:rsidRPr="003F7950">
        <w:tab/>
      </w:r>
      <w:r w:rsidRPr="003F7950">
        <w:tab/>
        <w:t>2</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Põhjendus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r w:rsidRPr="003F7950">
              <w:t>(3)</w:t>
            </w:r>
            <w:r w:rsidRPr="003F7950">
              <w:tab/>
              <w:t xml:space="preserve">Pidades silmas tihedat seost mee kvaliteedi ja päritolu vahel ning vajadust mitte eksitada tarbijat toote kvaliteedi osas, on direktiiviga 2001/110/EÜ kehtestatud eeskirjad mee korjamiskoha märgistamise suhtes. Eelkõige on kõnealuse direktiivi artikli 2 lõikes 4 nõutud, et etiketile tuleb märkida päritoluriik või -riigid, kus mesi on korjatud, ning ette nähtud, et kui mesi on pärit rohkem kui ühest liikmesriigist või kolmandast riigist, võib päritoluriikide kohustusliku märke asendada vajaduse korral ühega järgmistest märgetest: „Euroopa Liidust pärit mee segu“, „väljastpoolt Euroopa Liitu pärit mee segu“, „Euroopa Liidust ja väljastpoolt Euroopa Liitu pärit mee segu“. Liikmesriikide poolt eespool nimetatud sätte alusel vastu võetud erinevad eeskirjad võisid tarbijaid eksitada ja takistada siseturu toimimist. Pidades silmas strateegia „Talust taldrikule“ eesmärki suurendada tarbijate suutlikkust teha teadlikke valikuid (sh oma toidu päritolu osas), ning selleks, et märgistamise eeskirjade ühtlustamise kaudu säilitada kogu ELis siseturu tulemuslik toimimine, on asjakohane vaadata läbi mee päritolu märgistamise eeskirjad ja näha ette, et pakendile märgitakse päritoluriik või -riigid. Arvestades ainult ühte meeportsjonit sisaldavate pakendite (hommikusöögipakendid) suurust ja sellest tulenevaid tehnilisi raskusi, </w:t>
            </w:r>
            <w:r w:rsidRPr="003F7950">
              <w:rPr>
                <w:b/>
                <w:i/>
              </w:rPr>
              <w:t>on</w:t>
            </w:r>
            <w:r w:rsidRPr="003F7950">
              <w:t xml:space="preserve"> selliste pakendite puhul</w:t>
            </w:r>
            <w:r w:rsidRPr="003F7950">
              <w:rPr>
                <w:b/>
                <w:i/>
              </w:rPr>
              <w:t xml:space="preserve"> asjakohane teha erand kohustusest kõiki päritoluriike loetleda</w:t>
            </w:r>
            <w:r w:rsidRPr="003F7950">
              <w:t>, kui mesi on pärit rohkem kui ühest riigist.</w:t>
            </w:r>
          </w:p>
        </w:tc>
        <w:tc>
          <w:tcPr>
            <w:tcW w:w="4876" w:type="dxa"/>
          </w:tcPr>
          <w:p w:rsidR="001E5367" w:rsidRPr="003F7950" w:rsidRDefault="001E5367" w:rsidP="00D472CC">
            <w:pPr>
              <w:pStyle w:val="Normal6"/>
              <w:rPr>
                <w:szCs w:val="24"/>
              </w:rPr>
            </w:pPr>
            <w:r w:rsidRPr="003F7950">
              <w:t>(3)</w:t>
            </w:r>
            <w:r w:rsidRPr="003F7950">
              <w:tab/>
              <w:t xml:space="preserve">Pidades silmas tihedat seost mee kvaliteedi ja päritolu vahel ning vajadust mitte eksitada tarbijat toote kvaliteedi osas, on direktiiviga 2001/110/EÜ kehtestatud eeskirjad mee korjamiskoha märgistamise suhtes. Eelkõige on kõnealuse direktiivi artikli 2 lõikes 4 nõutud, et etiketile tuleb märkida päritoluriik või -riigid, kus mesi on korjatud, ning ette nähtud, et kui mesi on pärit rohkem kui ühest liikmesriigist või kolmandast riigist, võib päritoluriikide kohustusliku märke asendada vajaduse korral ühega järgmistest märgetest: „Euroopa Liidust pärit mee segu“, „väljastpoolt Euroopa Liitu pärit mee segu“, „Euroopa Liidust ja väljastpoolt Euroopa Liitu pärit mee segu“. Liikmesriikide poolt eespool nimetatud sätte alusel vastu võetud erinevad eeskirjad võisid tarbijaid eksitada ja takistada siseturu toimimist. Pidades silmas </w:t>
            </w:r>
            <w:r w:rsidRPr="003F7950">
              <w:rPr>
                <w:b/>
                <w:i/>
              </w:rPr>
              <w:t xml:space="preserve">rohelise kokkuleppe eesmärke ja </w:t>
            </w:r>
            <w:r w:rsidRPr="003F7950">
              <w:t>strateegia „Talust taldrikule“ eesmärki suurendada tarbijate suutlikkust teha teadlikke valikuid (sh oma toidu</w:t>
            </w:r>
            <w:r w:rsidRPr="003F7950">
              <w:rPr>
                <w:b/>
                <w:i/>
              </w:rPr>
              <w:t xml:space="preserve"> geograafilise</w:t>
            </w:r>
            <w:r w:rsidRPr="003F7950">
              <w:t xml:space="preserve"> päritolu osas), ning selleks, et märgistamise eeskirjade ühtlustamise kaudu säilitada kogu ELis siseturu tulemuslik toimimine, on asjakohane vaadata läbi mee päritolu märgistamise eeskirjad ja näha ette, et pakendile märgitakse päritoluriik või -riigid</w:t>
            </w:r>
            <w:r w:rsidRPr="003F7950">
              <w:rPr>
                <w:b/>
                <w:i/>
              </w:rPr>
              <w:t xml:space="preserve"> kahanevas järjekorras vastavalt neist pärineva mee protsendimäärale pakendis. Kuna tarbijad tunnevad mee geograafilise päritolu vastu seoses mee omaduste ja kvaliteediga suurt huvi ning see sektor peab olema täiesti läbipaistev, peaksid päritoluriik või -riigid, nimelt kus mesi on korjatud, asuma etiketil tootenimetusega samal vaateväljal</w:t>
            </w:r>
            <w:r w:rsidRPr="003F7950">
              <w:t xml:space="preserve">. Arvestades ainult ühte meeportsjonit sisaldavate pakendite (hommikusöögipakendid) suurust ja sellest tulenevaid tehnilisi raskusi, </w:t>
            </w:r>
            <w:r w:rsidRPr="003F7950">
              <w:rPr>
                <w:b/>
                <w:i/>
              </w:rPr>
              <w:t>peaks ainult</w:t>
            </w:r>
            <w:r w:rsidRPr="003F7950">
              <w:t xml:space="preserve"> </w:t>
            </w:r>
            <w:r w:rsidRPr="003F7950">
              <w:lastRenderedPageBreak/>
              <w:t xml:space="preserve">selliste </w:t>
            </w:r>
            <w:r w:rsidRPr="003F7950">
              <w:rPr>
                <w:b/>
                <w:i/>
              </w:rPr>
              <w:t xml:space="preserve">väikeste </w:t>
            </w:r>
            <w:r w:rsidRPr="003F7950">
              <w:t>pakendite puhul, kui mesi on pärit rohkem kui ühest riigist</w:t>
            </w:r>
            <w:r w:rsidRPr="003F7950">
              <w:rPr>
                <w:b/>
                <w:i/>
              </w:rPr>
              <w:t>, olema võimalik märkida pakendile ISO riigikoodiga iga päritoluriik</w:t>
            </w:r>
            <w:r w:rsidRPr="003F7950">
              <w:t>.</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3</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Põhjendus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(3a)</w:t>
            </w:r>
            <w:r w:rsidRPr="003F7950">
              <w:rPr>
                <w:b/>
                <w:i/>
              </w:rPr>
              <w:tab/>
              <w:t>Komisjoni aruannetes mee võltsimise kohta „ELi kooskõlastatud tegevus „</w:t>
            </w:r>
            <w:proofErr w:type="spellStart"/>
            <w:r w:rsidRPr="003F7950">
              <w:rPr>
                <w:b/>
                <w:i/>
              </w:rPr>
              <w:t>From</w:t>
            </w:r>
            <w:proofErr w:type="spellEnd"/>
            <w:r w:rsidRPr="003F7950">
              <w:rPr>
                <w:b/>
                <w:i/>
              </w:rPr>
              <w:t xml:space="preserve"> </w:t>
            </w:r>
            <w:proofErr w:type="spellStart"/>
            <w:r w:rsidRPr="003F7950">
              <w:rPr>
                <w:b/>
                <w:i/>
              </w:rPr>
              <w:t>the</w:t>
            </w:r>
            <w:proofErr w:type="spellEnd"/>
            <w:r w:rsidRPr="003F7950">
              <w:rPr>
                <w:b/>
                <w:i/>
              </w:rPr>
              <w:t xml:space="preserve"> </w:t>
            </w:r>
            <w:proofErr w:type="spellStart"/>
            <w:r w:rsidRPr="003F7950">
              <w:rPr>
                <w:b/>
                <w:i/>
              </w:rPr>
              <w:t>Hives</w:t>
            </w:r>
            <w:proofErr w:type="spellEnd"/>
            <w:r w:rsidRPr="003F7950">
              <w:rPr>
                <w:b/>
                <w:i/>
              </w:rPr>
              <w:t xml:space="preserve">“ (Tarudest)“ ja „ELi kooskõlastatud tegevus meesektoris teatavate pettuste ärahoidmiseks“ rõhutatakse, et võltsimist kahtlustatakse väga suure osa imporditud mee puhul, ja kinnitatakse, et meesektoris esineb palju pettusejuhtumeid, sealhulgas suhkrusiirupite kasutamist, mida on isegi keerukate analüüsimeetoditega raske avastada. Direktiiv 2001/110/EÜ peaks andma Euroopa Komisjonile õiguse kehtestada sobivad analüüsimeetodid tagamaks, et liidus turustatav mesi vastab õigusnormidega kehtestatud nõuetele. Tuleks võtta meetmeid ja kehtestada sätteid, et takistada petmist, hõlbustada kontrolli ning võimaldada mee kvaliteeti ja päritolu paremini jälgida ja analüüsida. Sellega seoses peaksid käesolevas direktiivis sätestatud nõuded, et märgisel esitatakse päritoluriigid ja neist pärineva mee protsendimäärad, looma ka eeltingimused täieliku </w:t>
            </w:r>
            <w:proofErr w:type="spellStart"/>
            <w:r w:rsidRPr="003F7950">
              <w:rPr>
                <w:b/>
                <w:i/>
              </w:rPr>
              <w:t>jälgitavussüsteemi</w:t>
            </w:r>
            <w:proofErr w:type="spellEnd"/>
            <w:r w:rsidRPr="003F7950">
              <w:rPr>
                <w:b/>
                <w:i/>
              </w:rPr>
              <w:t xml:space="preserve"> rakendamiseks. Juurdepääs üksikasjalikule ja täielikule teabele mee päritolu ja koostise kohta aitaks meeanalüüsilaboritel lihtsamini meepakendil esitatud geograafilist tähist kontrollida ja pettusi avastada. Mee päritoluriigi kohase teabe täpsuse tagamiseks peaks toote turule laskmine sõltuma toote koostise kohta esitatud teabe täpsusest. Toodete vastavuse tagamiseks kõnealuses direktiivis sätestatud nõuetele peaksid liikmesriikide </w:t>
            </w:r>
            <w:r w:rsidRPr="003F7950">
              <w:rPr>
                <w:b/>
                <w:i/>
              </w:rPr>
              <w:lastRenderedPageBreak/>
              <w:t>pädevad asutused tegema korrapäraseid ja riskipõhiseid kontrolle.</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4</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Põhjendus 3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(3b)</w:t>
            </w:r>
            <w:r w:rsidRPr="003F7950">
              <w:rPr>
                <w:b/>
                <w:i/>
              </w:rPr>
              <w:tab/>
              <w:t xml:space="preserve">Selleks et nii palju kui võimalik piirata pettusi seoses muudetud koostisega toodetega, mis ei vasta nimetusele „mesi“, võimaldada mee päritolu ja kvaliteedi kohta esitatud teavet kontrollida ning tagada võimalikult suur läbipaistvus, tuleks jälgitavust käsitlevaid liidu õigusnorme täiendada minimaalsete kohustuslike ja ühtlustatud reeglitega ning kehtestada </w:t>
            </w:r>
            <w:proofErr w:type="spellStart"/>
            <w:r w:rsidRPr="003F7950">
              <w:rPr>
                <w:b/>
                <w:i/>
              </w:rPr>
              <w:t>jälgitavussüsteem</w:t>
            </w:r>
            <w:proofErr w:type="spellEnd"/>
            <w:r w:rsidRPr="003F7950">
              <w:rPr>
                <w:b/>
                <w:i/>
              </w:rPr>
              <w:t>, mis tagab tarneahelas olulise teabe kättesaadavuse ja juurdepääsu teabele mee või mee segus sisalduva mee päritolu, sealhulgas päritoluriigi, tootmisaasta ja tootja kordumatu tunnuse kohta. Liidus toodetud ja liitu imporditud mee puhul peaks liikmesriikide pädevatel asutustel olema võimalik jälgida kogu meeahelat kuni mett korjavate mesinikeni või imporditud mee puhul tootjateni. Nende reeglitega ei tohiks tootjate halduskoormust suurendada, kuid need peaksid lihtsustama tarbijate ja järelevalveasutuste jaoks mee teekonna jälgimist alates korjamisest kuni villimiseni.</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5</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Põhjendus 3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(3c)</w:t>
            </w:r>
            <w:r w:rsidRPr="003F7950">
              <w:rPr>
                <w:b/>
                <w:i/>
              </w:rPr>
              <w:tab/>
              <w:t xml:space="preserve">Tarbijad kalduvad direktiivis 2001/110/EÜ kasutatud mõistet „filtreeritud mesi“ valesti tõlgendama, kuna ei tee vahet ultrafiltratsioonil ja </w:t>
            </w:r>
            <w:r w:rsidRPr="003F7950">
              <w:rPr>
                <w:b/>
                <w:i/>
              </w:rPr>
              <w:lastRenderedPageBreak/>
              <w:t xml:space="preserve">filtratsioonil, mida teevad mesinikud pärast mee vurritamist, et eemaldada vahaosakesed ja muud </w:t>
            </w:r>
            <w:proofErr w:type="spellStart"/>
            <w:r w:rsidRPr="003F7950">
              <w:rPr>
                <w:b/>
                <w:i/>
              </w:rPr>
              <w:t>võõrkehad</w:t>
            </w:r>
            <w:proofErr w:type="spellEnd"/>
            <w:r w:rsidRPr="003F7950">
              <w:rPr>
                <w:b/>
                <w:i/>
              </w:rPr>
              <w:t xml:space="preserve">. Selleks et tagada, et tarbijatele on kättesaadav täpne teave, ning tagada mee ehtsuse ja päritolu </w:t>
            </w:r>
            <w:proofErr w:type="spellStart"/>
            <w:r w:rsidRPr="003F7950">
              <w:rPr>
                <w:b/>
                <w:i/>
              </w:rPr>
              <w:t>jälgitavus</w:t>
            </w:r>
            <w:proofErr w:type="spellEnd"/>
            <w:r w:rsidRPr="003F7950">
              <w:rPr>
                <w:b/>
                <w:i/>
              </w:rPr>
              <w:t xml:space="preserve"> ja kontroll, ei tohiks ultrafiltreeritud mett, millele viidatakse direktiivis 2001/110/EÜ kui „filtreeritud meele“, enam turustada ega märgistada kui „mett“. Ultrafiltratsioon tähendab filtreerimisprotsessi, mille puhul on filtri võrgusilma suurus alla 100 µm, mis seega eemaldab meest suurema osa õietolmust. Kuna õietolm on peamine element, mida kasutatakse mee analüüsimisel selle päritolu kindlaks tegemiseks, on mees õietolmu puudumise korral mee päritoluriigi või -riikide kohta esitatud andmeid peaaegu võimatu kontrollida. Ultrafiltratsioon seega muudab mett, võttes sellelt ühe peamise koostisosa ja omaduse, takistab jälgitavust ning võimaldab seega pettusi ja tarbijatele eksitavat märgistust. Kui meena turustatavast tootest leitakse kontrollimisel vähe õietolmu jälgi või ei leita neid üldse, tuleks selle toote ja vajaduse korral partii, kuhu see kuulub, turule laskmine keelata. Seepärast tuleks direktiivi 2001/110/EÜ II lisa vastavalt muuta, et täpsustada filtreerimise lubatud tase. Nimetatud tase peaks olema selline, et see ei muuda oluliselt mee tihedust ega õietolmu spektrit, kuid eemaldab suurema osa mee </w:t>
            </w:r>
            <w:proofErr w:type="spellStart"/>
            <w:r w:rsidRPr="003F7950">
              <w:rPr>
                <w:b/>
                <w:i/>
              </w:rPr>
              <w:t>võõrkehadest</w:t>
            </w:r>
            <w:proofErr w:type="spellEnd"/>
            <w:r w:rsidRPr="003F7950">
              <w:rPr>
                <w:b/>
                <w:i/>
              </w:rPr>
              <w:t>.</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6</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Põhjendus 3 d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(3d)</w:t>
            </w:r>
            <w:r w:rsidRPr="003F7950">
              <w:rPr>
                <w:b/>
                <w:i/>
              </w:rPr>
              <w:tab/>
              <w:t xml:space="preserve">Üle 40 °C (± 5 °C) kuumtöötlemine põhjustab teatavate mee koostisosade lagunemist ning tarbijatele peaks andma võimaluse eristada sellise kuumtöötluse käigus lagunenud mett muust meest. Kui mett töödeldakse üle </w:t>
            </w:r>
            <w:r w:rsidRPr="003F7950">
              <w:rPr>
                <w:b/>
                <w:i/>
              </w:rPr>
              <w:lastRenderedPageBreak/>
              <w:t xml:space="preserve">40 °C (± 5 °C) temperatuuril, tuleks märgistusel kasutada terminit „kuumutatud mesi“. Selleks et kontrollida, et mesi pole kuumutamise tõttu lagunenud, tuleb kehtestada </w:t>
            </w:r>
            <w:proofErr w:type="spellStart"/>
            <w:r w:rsidRPr="003F7950">
              <w:rPr>
                <w:b/>
                <w:i/>
              </w:rPr>
              <w:t>invertaasisisaldusele</w:t>
            </w:r>
            <w:proofErr w:type="spellEnd"/>
            <w:r w:rsidRPr="003F7950">
              <w:rPr>
                <w:b/>
                <w:i/>
              </w:rPr>
              <w:t xml:space="preserve"> mees alammäär, sest </w:t>
            </w:r>
            <w:proofErr w:type="spellStart"/>
            <w:r w:rsidRPr="003F7950">
              <w:rPr>
                <w:b/>
                <w:i/>
              </w:rPr>
              <w:t>invertaas</w:t>
            </w:r>
            <w:proofErr w:type="spellEnd"/>
            <w:r w:rsidRPr="003F7950">
              <w:rPr>
                <w:b/>
                <w:i/>
              </w:rPr>
              <w:t xml:space="preserve"> on väga tundlik ensüüm ja laguneb kõrgel temperatuuril väga kiiresti. Kuna mee kuumutamine võib kaasa tuua mee looduslike omaduste muutumise, on oluline kehtestada künnis, mille ületamisel loetakse tööstuslik mesi kooskõlas direktiiviga 2001/110/EÜ </w:t>
            </w:r>
            <w:proofErr w:type="spellStart"/>
            <w:r w:rsidRPr="003F7950">
              <w:rPr>
                <w:b/>
                <w:i/>
              </w:rPr>
              <w:t>ülekuumutatud</w:t>
            </w:r>
            <w:proofErr w:type="spellEnd"/>
            <w:r w:rsidRPr="003F7950">
              <w:rPr>
                <w:b/>
                <w:i/>
              </w:rPr>
              <w:t xml:space="preserve"> meeks.</w:t>
            </w:r>
          </w:p>
        </w:tc>
      </w:tr>
    </w:tbl>
    <w:p w:rsidR="001E5367" w:rsidRPr="003F7950" w:rsidRDefault="001E5367" w:rsidP="001E5367"/>
    <w:p w:rsidR="001E5367" w:rsidRPr="003F7950" w:rsidRDefault="001E5367" w:rsidP="001E5367">
      <w:pPr>
        <w:pStyle w:val="AmNumberTabs"/>
      </w:pPr>
      <w:r w:rsidRPr="003F7950">
        <w:t>Muudatusettepanek</w:t>
      </w:r>
      <w:r w:rsidRPr="003F7950">
        <w:tab/>
      </w:r>
      <w:r w:rsidRPr="003F7950">
        <w:tab/>
        <w:t>7</w:t>
      </w:r>
    </w:p>
    <w:p w:rsidR="001E5367" w:rsidRPr="003F7950" w:rsidRDefault="001E5367" w:rsidP="001E5367">
      <w:pPr>
        <w:pStyle w:val="NormalBold12b"/>
      </w:pPr>
      <w:r w:rsidRPr="003F7950">
        <w:t>Ettepanek võtta vastu direktiiv</w:t>
      </w:r>
    </w:p>
    <w:p w:rsidR="001E5367" w:rsidRPr="003F7950" w:rsidRDefault="001E5367" w:rsidP="001E5367">
      <w:pPr>
        <w:pStyle w:val="NormalBold"/>
      </w:pPr>
      <w:r w:rsidRPr="003F7950">
        <w:t>Põhjendus 3 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5367" w:rsidRPr="003F7950" w:rsidTr="00D472CC">
        <w:trPr>
          <w:trHeight w:hRule="exact" w:val="240"/>
          <w:jc w:val="center"/>
        </w:trPr>
        <w:tc>
          <w:tcPr>
            <w:tcW w:w="9752" w:type="dxa"/>
            <w:gridSpan w:val="2"/>
          </w:tcPr>
          <w:p w:rsidR="001E5367" w:rsidRPr="003F7950" w:rsidRDefault="001E5367" w:rsidP="00D472CC"/>
        </w:tc>
      </w:tr>
      <w:tr w:rsidR="001E5367" w:rsidRPr="003F7950" w:rsidTr="00D472CC">
        <w:trPr>
          <w:trHeight w:val="240"/>
          <w:jc w:val="center"/>
        </w:trPr>
        <w:tc>
          <w:tcPr>
            <w:tcW w:w="4876" w:type="dxa"/>
          </w:tcPr>
          <w:p w:rsidR="001E5367" w:rsidRPr="003F7950" w:rsidRDefault="001E5367" w:rsidP="00D472CC">
            <w:pPr>
              <w:pStyle w:val="AmColumnHeading"/>
            </w:pPr>
            <w:r w:rsidRPr="003F7950">
              <w:t>Komisjoni ettepanek</w:t>
            </w:r>
          </w:p>
        </w:tc>
        <w:tc>
          <w:tcPr>
            <w:tcW w:w="4876" w:type="dxa"/>
          </w:tcPr>
          <w:p w:rsidR="001E5367" w:rsidRPr="003F7950" w:rsidRDefault="001E5367" w:rsidP="00D472CC">
            <w:pPr>
              <w:pStyle w:val="AmColumnHeading"/>
            </w:pPr>
            <w:r w:rsidRPr="003F7950">
              <w:t>Muudatusettepanek</w:t>
            </w:r>
          </w:p>
        </w:tc>
      </w:tr>
      <w:tr w:rsidR="001E5367" w:rsidRPr="003F7950" w:rsidTr="00D472CC">
        <w:trPr>
          <w:jc w:val="center"/>
        </w:trPr>
        <w:tc>
          <w:tcPr>
            <w:tcW w:w="4876" w:type="dxa"/>
          </w:tcPr>
          <w:p w:rsidR="001E5367" w:rsidRPr="003F7950" w:rsidRDefault="001E5367" w:rsidP="00D472CC">
            <w:pPr>
              <w:pStyle w:val="Normal6a"/>
            </w:pPr>
          </w:p>
        </w:tc>
        <w:tc>
          <w:tcPr>
            <w:tcW w:w="4876" w:type="dxa"/>
          </w:tcPr>
          <w:p w:rsidR="001E5367" w:rsidRPr="003F7950" w:rsidRDefault="001E5367" w:rsidP="00D472CC">
            <w:pPr>
              <w:pStyle w:val="Normal6a"/>
            </w:pPr>
            <w:r w:rsidRPr="003F7950">
              <w:rPr>
                <w:b/>
                <w:i/>
              </w:rPr>
              <w:t>(3e)</w:t>
            </w:r>
            <w:r w:rsidRPr="003F7950">
              <w:tab/>
            </w:r>
            <w:r w:rsidRPr="003F7950">
              <w:rPr>
                <w:b/>
                <w:i/>
              </w:rPr>
              <w:t xml:space="preserve">Nii direktiivis 2001/110/EÜ sätestatud mee määratluses kui ka </w:t>
            </w:r>
            <w:proofErr w:type="spellStart"/>
            <w:r w:rsidRPr="003F7950">
              <w:rPr>
                <w:b/>
                <w:i/>
              </w:rPr>
              <w:t>codex</w:t>
            </w:r>
            <w:proofErr w:type="spellEnd"/>
            <w:r w:rsidRPr="003F7950">
              <w:rPr>
                <w:b/>
                <w:i/>
              </w:rPr>
              <w:t xml:space="preserve"> </w:t>
            </w:r>
            <w:proofErr w:type="spellStart"/>
            <w:r w:rsidRPr="003F7950">
              <w:rPr>
                <w:b/>
                <w:i/>
              </w:rPr>
              <w:t>alimentarius’es</w:t>
            </w:r>
            <w:proofErr w:type="spellEnd"/>
            <w:r w:rsidRPr="003F7950">
              <w:rPr>
                <w:b/>
                <w:i/>
              </w:rPr>
              <w:t xml:space="preserve"> on selgelt määratletud mesilaste töö tarus pärast seda, kui nad on tarusse toonud oma saagi, mida nad muundavad teatavate endast pärit olevate ainetega ühendamise teel, sadestavad, veetustavad ja ladustavad ning jätavad meekärgedesse küpsema ja valmima. Veetustamine, millele järgneb valmimine, on mesilaste tehtavad toimingud. Väljaspool liitu on riike, kes on seisukohal, et mee tootmisel piirdub mesilaste töö taimedelt või mesikastelt nektari eritiste kogumisega. Sel viisil toodetud valmimata mee niiskusesisaldus ületab oluliselt direktiivis 2001/110/EÜ sätestatud 20 % piirmäära. </w:t>
            </w:r>
            <w:proofErr w:type="spellStart"/>
            <w:r w:rsidRPr="003F7950">
              <w:rPr>
                <w:b/>
                <w:i/>
              </w:rPr>
              <w:t>Käitlejad</w:t>
            </w:r>
            <w:proofErr w:type="spellEnd"/>
            <w:r w:rsidRPr="003F7950">
              <w:rPr>
                <w:b/>
                <w:i/>
              </w:rPr>
              <w:t xml:space="preserve"> töötlevad mett kuumutatud vaatidega vaakumis, et piirata mees oleva vee keemistemperatuuri. See protsess aga halvendab lõpptoodet, vähendades selle aroomi ja ensüüme. Seega peaks direktiiviga 2001/110/EÜ sellise mee vaakumaurustamise keelama.</w:t>
            </w:r>
          </w:p>
        </w:tc>
      </w:tr>
    </w:tbl>
    <w:p w:rsidR="001E5367" w:rsidRPr="003F7950" w:rsidRDefault="001E5367" w:rsidP="001E5367"/>
    <w:p w:rsidR="001E5367" w:rsidRPr="003F7950" w:rsidRDefault="001E5367" w:rsidP="001E5367">
      <w:pPr>
        <w:pStyle w:val="AmNumberTabs"/>
      </w:pPr>
      <w:r w:rsidRPr="003F7950">
        <w:lastRenderedPageBreak/>
        <w:t>Muudatusettepanek</w:t>
      </w:r>
      <w:r w:rsidRPr="003F7950">
        <w:tab/>
      </w:r>
      <w:r w:rsidRPr="003F7950">
        <w:tab/>
        <w:t>8</w:t>
      </w:r>
    </w:p>
    <w:p w:rsidR="001E5367" w:rsidRPr="003F7950" w:rsidRDefault="001E5367" w:rsidP="001E5367">
      <w:pPr>
        <w:pStyle w:val="NormalBold12b"/>
      </w:pPr>
      <w:r w:rsidRPr="003F7950">
        <w:t>Ettepanek võtta vastu direktiiv</w:t>
      </w:r>
    </w:p>
    <w:p w:rsidR="001E5367" w:rsidRPr="003F7950" w:rsidRDefault="001E5367" w:rsidP="001E5367">
      <w:pPr>
        <w:pStyle w:val="NormalBold"/>
      </w:pPr>
      <w:r w:rsidRPr="003F7950">
        <w:t>Põhjendus 3 f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5367" w:rsidRPr="003F7950" w:rsidTr="00D472CC">
        <w:trPr>
          <w:trHeight w:hRule="exact" w:val="240"/>
          <w:jc w:val="center"/>
        </w:trPr>
        <w:tc>
          <w:tcPr>
            <w:tcW w:w="9752" w:type="dxa"/>
            <w:gridSpan w:val="2"/>
          </w:tcPr>
          <w:p w:rsidR="001E5367" w:rsidRPr="003F7950" w:rsidRDefault="001E5367" w:rsidP="00D472CC"/>
        </w:tc>
      </w:tr>
      <w:tr w:rsidR="001E5367" w:rsidRPr="003F7950" w:rsidTr="00D472CC">
        <w:trPr>
          <w:trHeight w:val="240"/>
          <w:jc w:val="center"/>
        </w:trPr>
        <w:tc>
          <w:tcPr>
            <w:tcW w:w="4876" w:type="dxa"/>
          </w:tcPr>
          <w:p w:rsidR="001E5367" w:rsidRPr="003F7950" w:rsidRDefault="001E5367" w:rsidP="00D472CC">
            <w:pPr>
              <w:pStyle w:val="AmColumnHeading"/>
            </w:pPr>
            <w:r w:rsidRPr="003F7950">
              <w:t>Komisjoni ettepanek</w:t>
            </w:r>
          </w:p>
        </w:tc>
        <w:tc>
          <w:tcPr>
            <w:tcW w:w="4876" w:type="dxa"/>
          </w:tcPr>
          <w:p w:rsidR="001E5367" w:rsidRPr="003F7950" w:rsidRDefault="001E5367" w:rsidP="00D472CC">
            <w:pPr>
              <w:pStyle w:val="AmColumnHeading"/>
            </w:pPr>
            <w:r w:rsidRPr="003F7950">
              <w:t>Muudatusettepanek</w:t>
            </w:r>
          </w:p>
        </w:tc>
      </w:tr>
      <w:tr w:rsidR="001E5367" w:rsidRPr="003F7950" w:rsidTr="00D472CC">
        <w:trPr>
          <w:jc w:val="center"/>
        </w:trPr>
        <w:tc>
          <w:tcPr>
            <w:tcW w:w="4876" w:type="dxa"/>
          </w:tcPr>
          <w:p w:rsidR="001E5367" w:rsidRPr="003F7950" w:rsidRDefault="001E5367" w:rsidP="00D472CC">
            <w:pPr>
              <w:pStyle w:val="Normal6a"/>
            </w:pPr>
          </w:p>
        </w:tc>
        <w:tc>
          <w:tcPr>
            <w:tcW w:w="4876" w:type="dxa"/>
          </w:tcPr>
          <w:p w:rsidR="001E5367" w:rsidRPr="003F7950" w:rsidRDefault="001E5367" w:rsidP="00D472CC">
            <w:pPr>
              <w:spacing w:after="120"/>
            </w:pPr>
            <w:r w:rsidRPr="003F7950">
              <w:rPr>
                <w:b/>
                <w:i/>
              </w:rPr>
              <w:t>(3f)</w:t>
            </w:r>
            <w:r w:rsidRPr="003F7950">
              <w:tab/>
            </w:r>
            <w:r w:rsidRPr="003F7950">
              <w:rPr>
                <w:b/>
                <w:i/>
              </w:rPr>
              <w:t>Sellise mee turustamine, mis ei ole valminud looduslikult tänu mesilastele ja millest enamik imporditakse kolmandatest riikidest, moonutab konkurentsi liidu turul. Enamikul juhtudel kaasneb sellega mees sisalduva vee vaakumaurustamine, mille tulemuseks on looduslikult esinevate aroomide kadumine. Vee kiire ja kunstlik aurustamine meest konkureerib aeglase niiskuse eemaldamise protsessiga, mida mesilased teevad tarus looduslikult. Seetõttu tuleks kunstlik aurustamine keelata.</w:t>
            </w:r>
          </w:p>
        </w:tc>
      </w:tr>
    </w:tbl>
    <w:p w:rsidR="001E5367" w:rsidRPr="003F7950" w:rsidRDefault="001E5367" w:rsidP="001E5367"/>
    <w:p w:rsidR="001E5367" w:rsidRPr="003F7950" w:rsidRDefault="001E5367" w:rsidP="001E5367">
      <w:pPr>
        <w:pStyle w:val="AmNumberTabs"/>
      </w:pPr>
      <w:r w:rsidRPr="003F7950">
        <w:t>Muudatusettepanek</w:t>
      </w:r>
      <w:r w:rsidRPr="003F7950">
        <w:tab/>
      </w:r>
      <w:r w:rsidRPr="003F7950">
        <w:tab/>
        <w:t>9</w:t>
      </w:r>
    </w:p>
    <w:p w:rsidR="001E5367" w:rsidRPr="003F7950" w:rsidRDefault="001E5367" w:rsidP="001E5367">
      <w:pPr>
        <w:pStyle w:val="NormalBold12b"/>
      </w:pPr>
      <w:r w:rsidRPr="003F7950">
        <w:t>Ettepanek võtta vastu direktiiv</w:t>
      </w:r>
    </w:p>
    <w:p w:rsidR="001E5367" w:rsidRPr="003F7950" w:rsidRDefault="001E5367" w:rsidP="001E5367">
      <w:pPr>
        <w:pStyle w:val="NormalBold"/>
      </w:pPr>
      <w:r w:rsidRPr="003F7950">
        <w:t>Põhjendus 3 g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5367" w:rsidRPr="003F7950" w:rsidTr="00D472CC">
        <w:trPr>
          <w:trHeight w:hRule="exact" w:val="240"/>
          <w:jc w:val="center"/>
        </w:trPr>
        <w:tc>
          <w:tcPr>
            <w:tcW w:w="9752" w:type="dxa"/>
            <w:gridSpan w:val="2"/>
          </w:tcPr>
          <w:p w:rsidR="001E5367" w:rsidRPr="003F7950" w:rsidRDefault="001E5367" w:rsidP="00D472CC"/>
        </w:tc>
      </w:tr>
      <w:tr w:rsidR="001E5367" w:rsidRPr="003F7950" w:rsidTr="00D472CC">
        <w:trPr>
          <w:trHeight w:val="240"/>
          <w:jc w:val="center"/>
        </w:trPr>
        <w:tc>
          <w:tcPr>
            <w:tcW w:w="4876" w:type="dxa"/>
          </w:tcPr>
          <w:p w:rsidR="001E5367" w:rsidRPr="003F7950" w:rsidRDefault="001E5367" w:rsidP="00D472CC">
            <w:pPr>
              <w:pStyle w:val="AmColumnHeading"/>
            </w:pPr>
            <w:r w:rsidRPr="003F7950">
              <w:t>Komisjoni ettepanek</w:t>
            </w:r>
          </w:p>
        </w:tc>
        <w:tc>
          <w:tcPr>
            <w:tcW w:w="4876" w:type="dxa"/>
          </w:tcPr>
          <w:p w:rsidR="001E5367" w:rsidRPr="003F7950" w:rsidRDefault="001E5367" w:rsidP="00D472CC">
            <w:pPr>
              <w:pStyle w:val="AmColumnHeading"/>
            </w:pPr>
            <w:r w:rsidRPr="003F7950">
              <w:t>Muudatusettepanek</w:t>
            </w:r>
          </w:p>
        </w:tc>
      </w:tr>
      <w:tr w:rsidR="001E5367" w:rsidRPr="003F7950" w:rsidTr="00D472CC">
        <w:trPr>
          <w:jc w:val="center"/>
        </w:trPr>
        <w:tc>
          <w:tcPr>
            <w:tcW w:w="4876" w:type="dxa"/>
          </w:tcPr>
          <w:p w:rsidR="001E5367" w:rsidRPr="003F7950" w:rsidRDefault="001E5367" w:rsidP="00D472CC">
            <w:pPr>
              <w:pStyle w:val="Normal6a"/>
            </w:pPr>
          </w:p>
        </w:tc>
        <w:tc>
          <w:tcPr>
            <w:tcW w:w="4876" w:type="dxa"/>
          </w:tcPr>
          <w:p w:rsidR="001E5367" w:rsidRPr="003F7950" w:rsidRDefault="001E5367" w:rsidP="00D472CC">
            <w:pPr>
              <w:spacing w:after="120"/>
              <w:rPr>
                <w:b/>
                <w:i/>
              </w:rPr>
            </w:pPr>
            <w:r w:rsidRPr="003F7950">
              <w:rPr>
                <w:b/>
                <w:i/>
              </w:rPr>
              <w:t>(3g)</w:t>
            </w:r>
            <w:r w:rsidRPr="003F7950">
              <w:rPr>
                <w:b/>
                <w:i/>
              </w:rPr>
              <w:tab/>
              <w:t>Rahvusvaheline Standardiorganisatsioon (ISO) peaks kaitsma direktiivis 2001/110/EÜ sätestatud mee määratlust, et vältida määratlust, mis võimaldaks eksportida odavaid tooteid nimetuse „mesi“ all, mis kahjustaks liidu meeturu kvaliteeti ja stabiilsust ning tarbijate usaldust liidu toodete vastu.</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10</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Põhjendus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(4a)</w:t>
            </w:r>
            <w:r w:rsidRPr="003F7950">
              <w:rPr>
                <w:b/>
                <w:i/>
              </w:rPr>
              <w:tab/>
              <w:t xml:space="preserve">Liikmesriigid ja komisjon peaksid võtma arvesse terviseühtsuse põhimõtet, et tagada inimeste ja loomade tervise ning keskkonna vaheliste seoste austamine. </w:t>
            </w:r>
            <w:r w:rsidRPr="003F7950">
              <w:rPr>
                <w:b/>
                <w:i/>
              </w:rPr>
              <w:lastRenderedPageBreak/>
              <w:t>Toit ja toidutootmine peavad olema inimestele ja loomadele tervislikud ning nende puhul peaks arvesse võtma</w:t>
            </w:r>
            <w:r w:rsidRPr="003F7950">
              <w:rPr>
                <w:b/>
                <w:i/>
              </w:rPr>
              <w:br/>
              <w:t>loomade heaolu ja planeedi taluvuspiire, sealhulgas kasvuhoonegaaside heidet, et tagada Euroopa Parlamendi ja nõukogu määruses (EL) 2021/1119* sätestatud siduvate eesmärkide täielik järgimine.</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b/>
                <w:i/>
              </w:rPr>
            </w:pPr>
            <w:r w:rsidRPr="003F7950">
              <w:rPr>
                <w:b/>
                <w:i/>
              </w:rPr>
              <w:t>_________________________</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b/>
                <w:i/>
              </w:rPr>
            </w:pPr>
            <w:r w:rsidRPr="003F7950">
              <w:rPr>
                <w:b/>
                <w:i/>
              </w:rPr>
              <w:t>* Euroopa Parlamendi ja nõukogu 30. juuni 2021. aasta määrus (EL) 2021/1119, millega kehtestatakse kliimaneutraalsuse saavutamise raamistik ning muudetakse määruseid (EÜ) nr 401/2009 ja (EL) 2018/1999 (Euroopa kliimamäärus) (ELT L 243, 9.7.2021, lk 1).</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11</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Põhjendus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r w:rsidRPr="003F7950">
              <w:t>(5)</w:t>
            </w:r>
            <w:r w:rsidRPr="003F7950">
              <w:tab/>
              <w:t>2012. aastal muudeti direktiivi 2001/112/EÜ Euroopa Parlamendi ja nõukogu direktiiviga 2012/12/EL,</w:t>
            </w:r>
            <w:r w:rsidRPr="003F7950">
              <w:rPr>
                <w:vertAlign w:val="superscript"/>
              </w:rPr>
              <w:t>22</w:t>
            </w:r>
            <w:r w:rsidRPr="003F7950">
              <w:t xml:space="preserve"> et võtta arvesse uusi eeskirju lubatud koostisainete kohta, nagu eeskirjad suhkrute lisamise kohta, mis puuvilja- ja marjamahlades ei ole enam lubatud. Võttes arvesse puuvilja- ja marjamahlade koostise nõuete muutumist, lubati puuvilja- ja marjamahlatööstusel kasutada ainult ühe aasta jooksul märget selle kohta, et ükski puuvilja- ega marjamahl ei sisalda lisatud suhkrut – tarbijate teavitamiseks ja selleks, et suhkru lisamise alusel oleks neil võimalik kohe selgesti vahet teha puuvilja- ja marjamahlade ning muude sarnaste toodete vahel. See lühike ajavahemik osutus ebapiisavaks, et teavitada ühiskonda sellest, et lubatud koostisosi käsitlevate uute eeskirjade kohaselt ei ole puuvilja- ja marjamahlades suhkru lisamine enam lubatud. Seetõttu ei ole mõnede tarbijate ja tervishoiuspetsialist</w:t>
            </w:r>
            <w:r w:rsidR="00CA5FB4" w:rsidRPr="003F7950">
              <w:t>i</w:t>
            </w:r>
            <w:r w:rsidRPr="003F7950">
              <w:t xml:space="preserve">de jaoks ikka veel </w:t>
            </w:r>
            <w:r w:rsidRPr="003F7950">
              <w:lastRenderedPageBreak/>
              <w:t>selge, et vastupidiselt puuvilja- ja marjanektaritele ei saa puuvilja- ja marjamahlad sisaldada lisatud suhkrut.</w:t>
            </w:r>
          </w:p>
        </w:tc>
        <w:tc>
          <w:tcPr>
            <w:tcW w:w="4876" w:type="dxa"/>
          </w:tcPr>
          <w:p w:rsidR="001E5367" w:rsidRPr="003F7950" w:rsidRDefault="001E5367" w:rsidP="00D472CC">
            <w:pPr>
              <w:pStyle w:val="Normal6"/>
              <w:rPr>
                <w:szCs w:val="24"/>
              </w:rPr>
            </w:pPr>
            <w:r w:rsidRPr="003F7950">
              <w:lastRenderedPageBreak/>
              <w:t>(5)</w:t>
            </w:r>
            <w:r w:rsidRPr="003F7950">
              <w:tab/>
              <w:t>2012. aastal muudeti direktiivi 2001/112/EÜ Euroopa Parlamendi ja nõukogu direktiiviga 2012/12/EL,</w:t>
            </w:r>
            <w:r w:rsidRPr="003F7950">
              <w:rPr>
                <w:vertAlign w:val="superscript"/>
              </w:rPr>
              <w:t>22</w:t>
            </w:r>
            <w:r w:rsidRPr="003F7950">
              <w:t xml:space="preserve"> et võtta arvesse uusi eeskirju lubatud koostisainete kohta, nagu eeskirjad suhkrute lisamise kohta, mis puuvilja- ja marjamahlades ei ole enam lubatud. Võttes arvesse puuvilja- ja marjamahlade koostise nõuete muutumist, lubati puuvilja- ja marjamahlatööstusel kasutada ainult ühe aasta jooksul märget selle kohta, et ükski puuvilja- ega marjamahl ei sisalda lisatud suhkrut – tarbijate teavitamiseks ja selleks, et suhkru lisamise alusel oleks neil võimalik kohe selgesti vahet teha puuvilja- ja marjamahlade ning muude sarnaste toodete vahel. See lühike ajavahemik osutus ebapiisavaks, et teavitada ühiskonda sellest, et lubatud koostisosi käsitlevate uute eeskirjade kohaselt ei ole puuvilja- ja marjamahlades suhkru lisamine enam lubatud. Seetõttu ei ole mõnede tarbijate ja tervishoiuspetsialist</w:t>
            </w:r>
            <w:r w:rsidR="00CA5FB4" w:rsidRPr="003F7950">
              <w:t>i</w:t>
            </w:r>
            <w:r w:rsidRPr="003F7950">
              <w:t xml:space="preserve">de jaoks ikka veel </w:t>
            </w:r>
            <w:r w:rsidRPr="003F7950">
              <w:lastRenderedPageBreak/>
              <w:t xml:space="preserve">selge, et vastupidiselt puuvilja- ja marjanektaritele ei saa puuvilja- ja marjamahlad sisaldada lisatud suhkrut. </w:t>
            </w:r>
            <w:r w:rsidRPr="003F7950">
              <w:rPr>
                <w:b/>
                <w:i/>
              </w:rPr>
              <w:t>Liiga suurel hulgal vabade suhkrute või suhkruvabade magusainete tarbimine on seotud kahjulike tervisemõjudega. Sellised tooted nagu töödeldud mahlad või nektarid, mis on vähendatud suhkrusisaldusega, ei ole sageli tervislikumad kui looduslikke suhkruid sisaldavad või ilma lisatud suhkruta tooted ega asenda värskeid puu- ja köögivilju. Tarbijatele ja tervishoiutöötajatele selguse tagamiseks ei tohiks lubada selliste toodete eksitavat märgistamist, mis soodustab puuviljade või muu toiteväärtusliku toidu asendamist töödeldud mahlade ja nektariga. Liikmesriigid ja komisjon peaksid järgima EFSA uuringu tulemusi toidus leiduvate suhkrute maksimaalse lubatud koguse kohta, eelkõige soovitust, et vabad suhkrud ja lisatud suhkrud tuleb kodanike tervist silmas pidades kokku liigitada. Komisjon peaks 31. detsembriks 2024 esitama ettepaneku Euroopa Parlamendi ja nõukogu määruse (EL) nr 1169/2011</w:t>
            </w:r>
            <w:r w:rsidR="00D472CC" w:rsidRPr="003F7950">
              <w:rPr>
                <w:b/>
                <w:i/>
              </w:rPr>
              <w:t>*</w:t>
            </w:r>
            <w:r w:rsidRPr="003F7950">
              <w:rPr>
                <w:b/>
                <w:i/>
              </w:rPr>
              <w:t xml:space="preserve"> läbivaatamiseks, et tarbijaid vaba ja lisatud suhkru sisaldusest ja kogusest tootes paremini teavitada.</w:t>
            </w:r>
          </w:p>
        </w:tc>
      </w:tr>
      <w:tr w:rsidR="001E5367" w:rsidRPr="003F7950" w:rsidTr="00D472CC">
        <w:trPr>
          <w:jc w:val="center"/>
        </w:trPr>
        <w:tc>
          <w:tcPr>
            <w:tcW w:w="4876" w:type="dxa"/>
          </w:tcPr>
          <w:p w:rsidR="001E5367" w:rsidRPr="003F7950" w:rsidRDefault="001E5367" w:rsidP="00D472CC">
            <w:pPr>
              <w:pStyle w:val="Normal6"/>
            </w:pPr>
            <w:r w:rsidRPr="003F7950">
              <w:lastRenderedPageBreak/>
              <w:t>__________________</w:t>
            </w:r>
          </w:p>
        </w:tc>
        <w:tc>
          <w:tcPr>
            <w:tcW w:w="4876" w:type="dxa"/>
          </w:tcPr>
          <w:p w:rsidR="001E5367" w:rsidRPr="003F7950" w:rsidRDefault="001E5367" w:rsidP="00D472CC">
            <w:pPr>
              <w:pStyle w:val="Normal6"/>
              <w:rPr>
                <w:szCs w:val="24"/>
              </w:rPr>
            </w:pPr>
            <w:r w:rsidRPr="003F7950">
              <w:t>__________________</w:t>
            </w:r>
          </w:p>
        </w:tc>
      </w:tr>
      <w:tr w:rsidR="001E5367" w:rsidRPr="003F7950" w:rsidTr="00D472CC">
        <w:trPr>
          <w:jc w:val="center"/>
        </w:trPr>
        <w:tc>
          <w:tcPr>
            <w:tcW w:w="4876" w:type="dxa"/>
          </w:tcPr>
          <w:p w:rsidR="001E5367" w:rsidRPr="003F7950" w:rsidRDefault="001E5367" w:rsidP="00D472CC">
            <w:pPr>
              <w:pStyle w:val="Normal6"/>
            </w:pPr>
            <w:r w:rsidRPr="003F7950">
              <w:rPr>
                <w:vertAlign w:val="superscript"/>
              </w:rPr>
              <w:t>22</w:t>
            </w:r>
            <w:r w:rsidRPr="003F7950">
              <w:t xml:space="preserve"> Euroopa Parlamendi ja nõukogu 19. aprilli 2012. aasta direktiiv 2012/12/EL, millega muudetakse nõukogu direktiivi 2001/112/EÜ toiduks ettenähtud puuvilja- ja marjamahlade ning teatavate samalaadsete toodete kohta (ELT L 115, 27.4.2012, lk 1).</w:t>
            </w:r>
          </w:p>
        </w:tc>
        <w:tc>
          <w:tcPr>
            <w:tcW w:w="4876" w:type="dxa"/>
          </w:tcPr>
          <w:p w:rsidR="001E5367" w:rsidRPr="003F7950" w:rsidRDefault="001E5367" w:rsidP="00D472CC">
            <w:pPr>
              <w:pStyle w:val="Normal6"/>
              <w:rPr>
                <w:b/>
                <w:i/>
                <w:szCs w:val="24"/>
              </w:rPr>
            </w:pPr>
            <w:r w:rsidRPr="003F7950">
              <w:rPr>
                <w:vertAlign w:val="superscript"/>
              </w:rPr>
              <w:t>22</w:t>
            </w:r>
            <w:r w:rsidRPr="003F7950">
              <w:t xml:space="preserve"> Euroopa Parlamendi ja nõukogu 19. aprilli 2012. aasta direktiiv 2012/12/EL, millega muudetakse nõukogu direktiivi 2001/112/EÜ toiduks ettenähtud puuvilja- ja marjamahlade ning teatavate samalaadsete toodete kohta (ELT L 115, 27.4.2012, lk 1).</w:t>
            </w:r>
          </w:p>
        </w:tc>
      </w:tr>
      <w:tr w:rsidR="001E5367" w:rsidRPr="003F7950" w:rsidTr="00D472CC">
        <w:trPr>
          <w:jc w:val="center"/>
        </w:trPr>
        <w:tc>
          <w:tcPr>
            <w:tcW w:w="4876" w:type="dxa"/>
          </w:tcPr>
          <w:p w:rsidR="001E5367" w:rsidRPr="003F7950" w:rsidRDefault="001E5367" w:rsidP="00D472CC">
            <w:pPr>
              <w:pStyle w:val="Normal6"/>
              <w:rPr>
                <w:vertAlign w:val="superscript"/>
              </w:rPr>
            </w:pPr>
          </w:p>
        </w:tc>
        <w:tc>
          <w:tcPr>
            <w:tcW w:w="4876" w:type="dxa"/>
          </w:tcPr>
          <w:p w:rsidR="001E5367" w:rsidRPr="003F7950" w:rsidRDefault="001E5367" w:rsidP="00D472CC">
            <w:pPr>
              <w:pStyle w:val="Normal6"/>
              <w:rPr>
                <w:vertAlign w:val="superscript"/>
              </w:rPr>
            </w:pPr>
            <w:r w:rsidRPr="003F7950">
              <w:rPr>
                <w:b/>
                <w:i/>
              </w:rPr>
              <w:t xml:space="preserve">* Euroopa Parlamendi ja nõukogu 25. oktoobri 2011. aasta määrus (EL) nr 1169/2011, milles käsitletakse toidualase teabe esitamist tarbijatele ning millega muudetakse Euroopa Parlamendi ja nõukogu määrusi (EÜ) nr 1924/2006 ja (EÜ) nr 1925/2006 ning tunnistatakse kehtetuks komisjoni direktiiv 87/250/EMÜ, nõukogu direktiiv 90/496/EMÜ, komisjoni direktiiv 1999/10/EÜ, Euroopa Parlamendi ja </w:t>
            </w:r>
            <w:r w:rsidRPr="003F7950">
              <w:rPr>
                <w:b/>
                <w:i/>
              </w:rPr>
              <w:lastRenderedPageBreak/>
              <w:t>nõukogu direktiiv 2000/13/EÜ, komisjoni direktiivid 2002/67/EÜ ja 2008/5/EÜ ning komisjoni määrus (EÜ) nr 608/2004 (ELT L 304, 22.11.2011, lk 18).</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12</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Põhjendus 7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8D7439">
            <w:pPr>
              <w:pStyle w:val="Normal6"/>
              <w:rPr>
                <w:szCs w:val="24"/>
              </w:rPr>
            </w:pPr>
            <w:r w:rsidRPr="003F7950">
              <w:rPr>
                <w:b/>
                <w:i/>
              </w:rPr>
              <w:t>(7a)</w:t>
            </w:r>
            <w:r w:rsidRPr="003F7950">
              <w:rPr>
                <w:b/>
                <w:i/>
              </w:rPr>
              <w:tab/>
              <w:t>Pidades silmas rohelist kokkulepet ja strateegia „Talust taldrikule“ eesmärki toetada tarbijate suutlikkust teha teadlikke valikuid (sh oma toidu geograafilise päritolu suhtes), ning selleks, et märgistamisreeglite ühtlustamise kaudu, järgides värskeid puuvilju ja marju käsitlevaid kehtivaid õigusakte, säilitada kogu liidus siseturu tulemuslik toimimine, on asjakohane vaadata läbi puuvilja- ja marjamahlade päritolu märgistamise reeglid ja näha ette, et pakendile märgitakse kahanevas järjekorras puuvilja- ja marjamahlade tootmiseks kasutatud puuviljade ja marjade päritoluriik või -riigid.</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13</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Põhjendus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r w:rsidRPr="003F7950">
              <w:t>(8)</w:t>
            </w:r>
            <w:r w:rsidRPr="003F7950">
              <w:tab/>
              <w:t xml:space="preserve">Tehnika arengu tulemusena on välja töötatud või töötatakse välja uusi töötlemismeetodeid, et puuvilja- ja marjamahlade ning kontsentreeritud mahlast saadud puuvilja- ja marjamahlade looduslikult esinevad suhkrud täielikult või osaliselt eemaldada selleks, et rahuldada tarbijate kasvavat nõudlust väiksema suhkrusisaldusega toodete järele. Selliseid tooteid võib liidus turustada, kui need vastavad kõigile asjakohastele õigusaktidele. Need tooted saadakse siiski </w:t>
            </w:r>
            <w:r w:rsidRPr="003F7950">
              <w:lastRenderedPageBreak/>
              <w:t xml:space="preserve">viisil, mis ei ole ükski direktiivi 2001/112/EÜ I lisa II osa 3. jaos loetletud lubatud töötlemisviisist, ning toodete suhkru </w:t>
            </w:r>
            <w:proofErr w:type="spellStart"/>
            <w:r w:rsidRPr="003F7950">
              <w:t>üldsisaldus</w:t>
            </w:r>
            <w:proofErr w:type="spellEnd"/>
            <w:r w:rsidRPr="003F7950">
              <w:t xml:space="preserve">, mida nimetatakse vesilahuse </w:t>
            </w:r>
            <w:proofErr w:type="spellStart"/>
            <w:r w:rsidRPr="003F7950">
              <w:t>Brixi</w:t>
            </w:r>
            <w:proofErr w:type="spellEnd"/>
            <w:r w:rsidRPr="003F7950">
              <w:t xml:space="preserve"> väärtuseks, on väiksem kui puuviljast ja marjast ekstraheeritud mahla vastav näitaja. Seetõttu ei tohi nende toodete puhul olla märgitud tootenimetus „puuviljamahl/marjamahl“ või „puuviljamahl/marjamahl kontsentreeritud mahlast“.</w:t>
            </w:r>
          </w:p>
        </w:tc>
        <w:tc>
          <w:tcPr>
            <w:tcW w:w="4876" w:type="dxa"/>
          </w:tcPr>
          <w:p w:rsidR="001E5367" w:rsidRPr="003F7950" w:rsidRDefault="001E5367" w:rsidP="00D472CC">
            <w:pPr>
              <w:pStyle w:val="Normal6"/>
              <w:rPr>
                <w:szCs w:val="24"/>
              </w:rPr>
            </w:pPr>
            <w:r w:rsidRPr="003F7950">
              <w:lastRenderedPageBreak/>
              <w:t>(8)</w:t>
            </w:r>
            <w:r w:rsidRPr="003F7950">
              <w:tab/>
              <w:t>Tehnika arengu tulemusena on välja töötatud või töötatakse välja uusi töötlemismeetodeid, et puuvilja- ja marjamahlade ning kontsentreeritud mahlast saadud puuvilja- ja marjamahlade looduslikult esinevad suhkrud täielikult või osaliselt eemaldada selleks, et rahuldada tarbijate kasvavat nõudlust väiksema suhkrusisaldusega toodete järele.</w:t>
            </w:r>
            <w:r w:rsidRPr="003F7950">
              <w:rPr>
                <w:b/>
                <w:i/>
              </w:rPr>
              <w:t xml:space="preserve"> Need uued meetodid ei tohiks viia magusainete või lisaainete kasutamiseni, et kompenseerida suhkru vähendamise mõju </w:t>
            </w:r>
            <w:r w:rsidRPr="003F7950">
              <w:rPr>
                <w:b/>
                <w:i/>
              </w:rPr>
              <w:lastRenderedPageBreak/>
              <w:t>lõpptoote maitsele, tekstuurile ja kvaliteedile.</w:t>
            </w:r>
            <w:r w:rsidRPr="003F7950">
              <w:t xml:space="preserve"> Selliseid tooteid võib liidus turustada, kui need vastavad kõigile asjakohastele õigusaktidele. Need tooted saadakse siiski viisil, mis ei ole ükski direktiivi 2001/112/EÜ I lisa II osa 3. jaos loetletud lubatud töötlemisviisist, ning toodete suhkru </w:t>
            </w:r>
            <w:proofErr w:type="spellStart"/>
            <w:r w:rsidRPr="003F7950">
              <w:t>üldsisaldus</w:t>
            </w:r>
            <w:proofErr w:type="spellEnd"/>
            <w:r w:rsidRPr="003F7950">
              <w:t xml:space="preserve">, mida nimetatakse vesilahuse </w:t>
            </w:r>
            <w:proofErr w:type="spellStart"/>
            <w:r w:rsidRPr="003F7950">
              <w:t>Brixi</w:t>
            </w:r>
            <w:proofErr w:type="spellEnd"/>
            <w:r w:rsidRPr="003F7950">
              <w:t xml:space="preserve"> väärtuseks, on väiksem kui puuviljast ja marjast ekstraheeritud mahla vastav näitaja. Seetõttu ei tohi nende toodete puhul olla märgitud tootenimetus „puuviljamahl/marjamahl“ või „puuviljamahl/marjamahl kontsentreeritud mahlast“.</w:t>
            </w:r>
          </w:p>
        </w:tc>
      </w:tr>
    </w:tbl>
    <w:p w:rsidR="001E5367" w:rsidRPr="003F7950" w:rsidRDefault="001E5367" w:rsidP="001E5367"/>
    <w:p w:rsidR="00364AA4" w:rsidRPr="003F7950" w:rsidRDefault="00364AA4" w:rsidP="00364AA4">
      <w:pPr>
        <w:pStyle w:val="AMNumberTabs0"/>
        <w:keepNext/>
        <w:spacing w:after="240"/>
      </w:pPr>
      <w:r w:rsidRPr="003F7950">
        <w:t>Muudatusettepanek</w:t>
      </w:r>
      <w:r w:rsidRPr="003F7950">
        <w:tab/>
      </w:r>
      <w:r w:rsidRPr="003F7950">
        <w:tab/>
        <w:t>52</w:t>
      </w:r>
    </w:p>
    <w:p w:rsidR="00364AA4" w:rsidRPr="003F7950" w:rsidRDefault="00364AA4" w:rsidP="00364AA4">
      <w:pPr>
        <w:pStyle w:val="NormalBold"/>
      </w:pPr>
      <w:r w:rsidRPr="003F7950">
        <w:t>Ettepanek võtta vastu direktiiv</w:t>
      </w:r>
    </w:p>
    <w:p w:rsidR="00364AA4" w:rsidRPr="003F7950" w:rsidRDefault="00364AA4" w:rsidP="00364AA4">
      <w:pPr>
        <w:pStyle w:val="NormalBold"/>
      </w:pPr>
      <w:r w:rsidRPr="003F7950">
        <w:t>Põhjendus 8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4AA4" w:rsidRPr="003F7950" w:rsidTr="006E569C">
        <w:trPr>
          <w:trHeight w:hRule="exact" w:val="240"/>
          <w:jc w:val="center"/>
        </w:trPr>
        <w:tc>
          <w:tcPr>
            <w:tcW w:w="9752" w:type="dxa"/>
            <w:gridSpan w:val="2"/>
          </w:tcPr>
          <w:p w:rsidR="00364AA4" w:rsidRPr="003F7950" w:rsidRDefault="00364AA4" w:rsidP="006E569C"/>
        </w:tc>
      </w:tr>
      <w:tr w:rsidR="00364AA4" w:rsidRPr="003F7950" w:rsidTr="006E569C">
        <w:trPr>
          <w:trHeight w:val="240"/>
          <w:jc w:val="center"/>
        </w:trPr>
        <w:tc>
          <w:tcPr>
            <w:tcW w:w="4876" w:type="dxa"/>
          </w:tcPr>
          <w:p w:rsidR="00364AA4" w:rsidRPr="003F7950" w:rsidRDefault="00364AA4" w:rsidP="006E569C">
            <w:pPr>
              <w:pStyle w:val="AmColumnHeading"/>
            </w:pPr>
            <w:r w:rsidRPr="003F7950">
              <w:t>Komisjoni ettepanek</w:t>
            </w:r>
          </w:p>
        </w:tc>
        <w:tc>
          <w:tcPr>
            <w:tcW w:w="4876" w:type="dxa"/>
          </w:tcPr>
          <w:p w:rsidR="00364AA4" w:rsidRPr="003F7950" w:rsidRDefault="00364AA4" w:rsidP="006E569C">
            <w:pPr>
              <w:pStyle w:val="AmColumnHeading"/>
            </w:pPr>
            <w:r w:rsidRPr="003F7950">
              <w:t>Muudatusettepanek</w:t>
            </w:r>
          </w:p>
        </w:tc>
      </w:tr>
      <w:tr w:rsidR="00364AA4" w:rsidRPr="003F7950" w:rsidTr="006E569C">
        <w:trPr>
          <w:jc w:val="center"/>
        </w:trPr>
        <w:tc>
          <w:tcPr>
            <w:tcW w:w="4876" w:type="dxa"/>
          </w:tcPr>
          <w:p w:rsidR="00364AA4" w:rsidRPr="003F7950" w:rsidRDefault="00364AA4" w:rsidP="006E569C">
            <w:pPr>
              <w:pStyle w:val="Normal6a"/>
            </w:pPr>
          </w:p>
        </w:tc>
        <w:tc>
          <w:tcPr>
            <w:tcW w:w="4876" w:type="dxa"/>
          </w:tcPr>
          <w:p w:rsidR="00364AA4" w:rsidRPr="003F7950" w:rsidRDefault="00364AA4" w:rsidP="006E569C">
            <w:pPr>
              <w:pStyle w:val="Normal6a"/>
            </w:pPr>
            <w:r w:rsidRPr="003F7950">
              <w:rPr>
                <w:b/>
                <w:i/>
              </w:rPr>
              <w:t>(8a)</w:t>
            </w:r>
            <w:r w:rsidRPr="003F7950">
              <w:tab/>
            </w:r>
            <w:r w:rsidRPr="003F7950">
              <w:rPr>
                <w:b/>
                <w:i/>
              </w:rPr>
              <w:t xml:space="preserve">Liikmesriigid ja komisjon peaksid täielikult arvesse võtma </w:t>
            </w:r>
            <w:proofErr w:type="spellStart"/>
            <w:r w:rsidRPr="003F7950">
              <w:rPr>
                <w:b/>
                <w:i/>
              </w:rPr>
              <w:t>aspartaami</w:t>
            </w:r>
            <w:proofErr w:type="spellEnd"/>
            <w:r w:rsidRPr="003F7950">
              <w:rPr>
                <w:b/>
                <w:i/>
              </w:rPr>
              <w:t xml:space="preserve"> kahjulikku mõju tervisele, kuna Maailma Terviseorganisatsiooni (WHO) Rahvusvahelise </w:t>
            </w:r>
            <w:proofErr w:type="spellStart"/>
            <w:r w:rsidRPr="003F7950">
              <w:rPr>
                <w:b/>
                <w:i/>
              </w:rPr>
              <w:t>Vähiuurimiskeskuse</w:t>
            </w:r>
            <w:proofErr w:type="spellEnd"/>
            <w:r w:rsidRPr="003F7950">
              <w:rPr>
                <w:b/>
                <w:i/>
              </w:rPr>
              <w:t xml:space="preserve"> (IARC) andmete kohaselt võib see olla inimestele kantserogeenne. EFSA peaks </w:t>
            </w:r>
            <w:proofErr w:type="spellStart"/>
            <w:r w:rsidRPr="003F7950">
              <w:rPr>
                <w:b/>
                <w:i/>
              </w:rPr>
              <w:t>aspartaami</w:t>
            </w:r>
            <w:proofErr w:type="spellEnd"/>
            <w:r w:rsidRPr="003F7950">
              <w:rPr>
                <w:b/>
                <w:i/>
              </w:rPr>
              <w:t xml:space="preserve"> WHO teadaandeid arvesse võttes läbi vaatama 31. detsembriks 2024.</w:t>
            </w:r>
          </w:p>
        </w:tc>
      </w:tr>
    </w:tbl>
    <w:p w:rsidR="00364AA4" w:rsidRPr="003F7950" w:rsidRDefault="00364AA4" w:rsidP="001E5367"/>
    <w:p w:rsidR="001E5367" w:rsidRPr="003F7950" w:rsidRDefault="001E5367" w:rsidP="001E5367">
      <w:pPr>
        <w:pStyle w:val="AMNumberTabs0"/>
        <w:keepNext/>
        <w:spacing w:after="240"/>
      </w:pPr>
      <w:r w:rsidRPr="003F7950">
        <w:t>Muudatusettepanek</w:t>
      </w:r>
      <w:r w:rsidRPr="003F7950">
        <w:tab/>
      </w:r>
      <w:r w:rsidRPr="003F7950">
        <w:tab/>
        <w:t>14</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Põhjendus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r w:rsidRPr="003F7950">
              <w:t>(9)</w:t>
            </w:r>
            <w:r w:rsidRPr="003F7950">
              <w:tab/>
              <w:t xml:space="preserve">Sellised tooted muutuvad liidu turul üha enam kättesaadavaks. Selleks et hõlbustada </w:t>
            </w:r>
            <w:r w:rsidRPr="003F7950">
              <w:rPr>
                <w:b/>
                <w:i/>
              </w:rPr>
              <w:t>kõnealuste toodete siseturule viimist</w:t>
            </w:r>
            <w:r w:rsidRPr="003F7950">
              <w:t xml:space="preserve">, </w:t>
            </w:r>
            <w:r w:rsidRPr="003F7950">
              <w:rPr>
                <w:b/>
                <w:i/>
              </w:rPr>
              <w:t>võttes arvesse ka vajadust soodustada toodete koostise muutmist selleks</w:t>
            </w:r>
            <w:r w:rsidRPr="003F7950">
              <w:t xml:space="preserve">, </w:t>
            </w:r>
            <w:r w:rsidRPr="003F7950">
              <w:rPr>
                <w:b/>
                <w:i/>
              </w:rPr>
              <w:t xml:space="preserve">et vähendada puuvilja- </w:t>
            </w:r>
            <w:r w:rsidRPr="003F7950">
              <w:t xml:space="preserve">ja </w:t>
            </w:r>
            <w:r w:rsidRPr="003F7950">
              <w:rPr>
                <w:b/>
                <w:i/>
              </w:rPr>
              <w:t xml:space="preserve">marjamahlades sisalduvate suhkrute </w:t>
            </w:r>
            <w:r w:rsidRPr="003F7950">
              <w:rPr>
                <w:b/>
                <w:i/>
              </w:rPr>
              <w:lastRenderedPageBreak/>
              <w:t>kogust</w:t>
            </w:r>
            <w:r w:rsidRPr="003F7950">
              <w:t xml:space="preserve">, tuleks luua uus tootekategooria selliste puuvilja- ja marjamahlade jaoks, mille looduslikult esinevad suhkrud on täielikult või osaliselt eemaldatud, säilitades samal ajal kõik muud olulised füüsikalised, keemilised, organoleptilised ja toiteväärtused. Nende toodete nimetus peaks olema „vähendatud suhkrusisaldusega puuviljamahl/marjamahl“ või „vähendatud suhkrusisaldusega puuviljamahl/marjamahl kontsentreeritud mahlast“ ning nende </w:t>
            </w:r>
            <w:proofErr w:type="spellStart"/>
            <w:r w:rsidRPr="003F7950">
              <w:t>Brixi</w:t>
            </w:r>
            <w:proofErr w:type="spellEnd"/>
            <w:r w:rsidRPr="003F7950">
              <w:t xml:space="preserve"> väärtus peaks olema väiksem kui puuviljast ja marjast ekstraheeritud mahla vastav näitaja. Selleks et tagada kooskõla määrusega (EÜ) nr 1924/2006, tuleks suhkrusisaldust võrreldes puuvilja- ja marjamahla ning kontsentreeritud mahlast saadud puuvilja- ja marjamahlaga vähendada vähemalt 30 %. Seepärast on asjakohane lisada direktiivi 2001/112/EÜ I lisa I osasse uus tootekategooria ning kehtestada eeskirjad nende toodete lubatud koostisosade ning lubatud töötlemisviiside ja -ainete kohta.</w:t>
            </w:r>
          </w:p>
        </w:tc>
        <w:tc>
          <w:tcPr>
            <w:tcW w:w="4876" w:type="dxa"/>
          </w:tcPr>
          <w:p w:rsidR="001E5367" w:rsidRPr="003F7950" w:rsidRDefault="001E5367" w:rsidP="00D472CC">
            <w:pPr>
              <w:pStyle w:val="Normal6"/>
              <w:rPr>
                <w:szCs w:val="24"/>
              </w:rPr>
            </w:pPr>
            <w:r w:rsidRPr="003F7950">
              <w:lastRenderedPageBreak/>
              <w:t>(9)</w:t>
            </w:r>
            <w:r w:rsidRPr="003F7950">
              <w:tab/>
              <w:t xml:space="preserve">Sellised tooted muutuvad liidu turul üha enam kättesaadavaks. Selleks et hõlbustada </w:t>
            </w:r>
            <w:r w:rsidRPr="003F7950">
              <w:rPr>
                <w:b/>
                <w:i/>
              </w:rPr>
              <w:t>innovatsiooni</w:t>
            </w:r>
            <w:r w:rsidRPr="003F7950">
              <w:t xml:space="preserve">, </w:t>
            </w:r>
            <w:r w:rsidRPr="003F7950">
              <w:rPr>
                <w:b/>
                <w:i/>
              </w:rPr>
              <w:t>millega vähendatakse puuvilja- ja marjamahlades sisalduvate suhkrute kogust</w:t>
            </w:r>
            <w:r w:rsidRPr="003F7950">
              <w:t xml:space="preserve">, ja </w:t>
            </w:r>
            <w:r w:rsidRPr="003F7950">
              <w:rPr>
                <w:b/>
                <w:i/>
              </w:rPr>
              <w:t>kõnealuste toodete siseturule viimist</w:t>
            </w:r>
            <w:r w:rsidRPr="003F7950">
              <w:t xml:space="preserve">, tuleks luua uus tootekategooria selliste puuvilja- ja </w:t>
            </w:r>
            <w:r w:rsidRPr="003F7950">
              <w:lastRenderedPageBreak/>
              <w:t>marjamahlade jaoks, mille looduslikult esinevad suhkrud on täielikult või osaliselt eemaldatud, säilitades samal ajal kõik muud olulised füüsikalised, keemilised, organoleptilised ja toiteväärtused</w:t>
            </w:r>
            <w:r w:rsidRPr="003F7950">
              <w:rPr>
                <w:b/>
                <w:i/>
              </w:rPr>
              <w:t>.</w:t>
            </w:r>
            <w:r w:rsidRPr="003F7950">
              <w:t xml:space="preserve"> </w:t>
            </w:r>
            <w:r w:rsidRPr="003F7950">
              <w:rPr>
                <w:b/>
                <w:i/>
              </w:rPr>
              <w:t>Looduslikud või kunstlikud lisasuhkrud ja magusained peaksid olema nendes toodetes rangelt keelatud.</w:t>
            </w:r>
            <w:r w:rsidRPr="003F7950">
              <w:t xml:space="preserve"> Nende toodete nimetus peaks olema „vähendatud suhkrusisaldusega puuviljamahl/marjamahl“ või „vähendatud suhkrusisaldusega puuviljamahl/marjamahl kontsentreeritud mahlast“ ning nende </w:t>
            </w:r>
            <w:proofErr w:type="spellStart"/>
            <w:r w:rsidRPr="003F7950">
              <w:t>Brixi</w:t>
            </w:r>
            <w:proofErr w:type="spellEnd"/>
            <w:r w:rsidRPr="003F7950">
              <w:t xml:space="preserve"> väärtus peaks olema väiksem kui puuviljast ja marjast ekstraheeritud mahla vastav näitaja. Selleks et tagada kooskõla määrusega (EÜ) nr 1924/2006, tuleks suhkrusisaldust võrreldes puuvilja- ja marjamahla ning kontsentreeritud mahlast saadud puuvilja- ja marjamahlaga vähendada vähemalt 30 %. Seepärast on asjakohane lisada direktiivi 2001/112/EÜ I lisa I osasse uus tootekategooria ning kehtestada eeskirjad nende toodete lubatud koostisosade ning lubatud töötlemisviiside ja -ainete kohta.</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15</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Põhjendus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r w:rsidRPr="003F7950">
              <w:t>(16)</w:t>
            </w:r>
            <w:r w:rsidRPr="003F7950">
              <w:tab/>
              <w:t xml:space="preserve">Kui džemmide ja želeede valmistamiseks kasutatavate puuviljade ja marjade kogust suurendatakse, vähendatakse lisatud suhkru kogust, mis on vajalik lahustuva kuivaine miinimumsisalduse saavutamiseks kõnealustes toodetes. Selleks et soodustada suurema puuvilja- ja marjasisaldusega džemmide tootmist ning seega toetada puuvilja- ja marjaturgu, võttes samal ajal arvesse vajadust vähendada vaba suhkru sisaldust, tuleks suurendada direktiivi 2001/113/EÜ I lisas esitatud puuviljade ja marjade miinimumkogust, mida kasutatakse džemmi ja ekstra džemmi </w:t>
            </w:r>
            <w:r w:rsidRPr="003F7950">
              <w:lastRenderedPageBreak/>
              <w:t>valmistamiseks. Selleks et soodustada suurema puuvilja- ja marjasisaldusega želeede tootmist ning seega toetada puuvilja- ja marjaturgu, tuleks suurendada direktiivi 2001/113/EÜ I lisas esitatud puuviljade ja marjade miinimumkogust, mida kasutatakse želee ja ekstra želee valmistamiseks. Selleks et aidata tarbijatel teha teadlikumaid ja tervislikke toiduvalikuid, on samuti asjakohane lubada kõnealuse lisa I osas määratletud reserveeritud nimetuste kasutamist toodete puhul, mille lahustuva kuivaine sisaldus on alla 60 %, kuid mis vastavad määruse (EÜ) nr 1924/2006 lisas vähendatud suhkru kohta esitatud toitumisalase väite „vähendatud suhkrusisaldus“ suhtes kohaldatavatele tingimustele.</w:t>
            </w:r>
          </w:p>
        </w:tc>
        <w:tc>
          <w:tcPr>
            <w:tcW w:w="4876" w:type="dxa"/>
          </w:tcPr>
          <w:p w:rsidR="001E5367" w:rsidRPr="003F7950" w:rsidRDefault="001E5367" w:rsidP="00D472CC">
            <w:pPr>
              <w:pStyle w:val="Normal6"/>
              <w:rPr>
                <w:szCs w:val="24"/>
              </w:rPr>
            </w:pPr>
            <w:r w:rsidRPr="003F7950">
              <w:lastRenderedPageBreak/>
              <w:t>(16)</w:t>
            </w:r>
            <w:r w:rsidRPr="003F7950">
              <w:tab/>
              <w:t xml:space="preserve">Kui džemmide ja želeede valmistamiseks kasutatavate puuviljade ja marjade kogust suurendatakse, vähendatakse lisatud suhkru kogust, mis on vajalik lahustuva kuivaine miinimumsisalduse saavutamiseks kõnealustes toodetes. Selleks et soodustada suurema puuvilja- ja marjasisaldusega džemmide tootmist ning seega toetada puuvilja- ja marjaturgu, võttes samal ajal arvesse vajadust vähendada vaba suhkru sisaldust, tuleks suurendada direktiivi 2001/113/EÜ I lisas esitatud puuviljade ja marjade miinimumkogust, mida kasutatakse džemmi ja ekstra džemmi </w:t>
            </w:r>
            <w:r w:rsidRPr="003F7950">
              <w:lastRenderedPageBreak/>
              <w:t xml:space="preserve">valmistamiseks. Selleks et soodustada suurema puuvilja- ja marjasisaldusega želeede tootmist ning seega toetada puuvilja- ja marjaturgu, tuleks suurendada direktiivi 2001/113/EÜ I lisas esitatud puuviljade ja marjade miinimumkogust, mida kasutatakse želee ja ekstra želee valmistamiseks. </w:t>
            </w:r>
            <w:r w:rsidRPr="003F7950">
              <w:rPr>
                <w:b/>
                <w:i/>
              </w:rPr>
              <w:t>Lisaks tuleks etiketile märkida kõik koostisosad ja suhkrusisalduse vähenemist ei tohiks kompenseerida magusainetega.</w:t>
            </w:r>
            <w:r w:rsidRPr="003F7950">
              <w:t xml:space="preserve"> Selleks et aidata tarbijatel teha teadlikumaid ja tervislikke toiduvalikuid, on samuti asjakohane lubada kõnealuse lisa I osas määratletud reserveeritud nimetuste kasutamist toodete puhul, mille lahustuva kuivaine sisaldus on alla 60 %, kuid mis vastavad määruse (EÜ) nr 1924/2006 lisas vähendatud suhkru kohta esitatud toitumisalase väite „vähendatud suhkrusisaldus“ suhtes kohaldatavatele tingimustele.</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16</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Põhjendus 16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8D7439">
            <w:pPr>
              <w:pStyle w:val="Normal6"/>
              <w:rPr>
                <w:szCs w:val="24"/>
              </w:rPr>
            </w:pPr>
            <w:r w:rsidRPr="003F7950">
              <w:rPr>
                <w:b/>
                <w:i/>
              </w:rPr>
              <w:t>(16a)</w:t>
            </w:r>
            <w:r w:rsidRPr="003F7950">
              <w:rPr>
                <w:b/>
                <w:i/>
              </w:rPr>
              <w:tab/>
              <w:t>Pidades silmas rohelist kokkulepet ja strateegia „Talust taldrikule“ eesmärki toetada tarbijate suutlikkust teha teadlikke valikuid (sh oma toidu geograafilise päritolu suhtes), ning selleks, et märgistamisreeglite ühtlustamise kaudu, järgides värskeid puuvilju ja marju käsitlevaid kehtivaid õigusakte, säilitada kogu liidus siseturu tulemuslik toimimine, on asjakohane vaadata läbi džemmide, želeede, marmelaadide ja magustatud kastanipüree päritolu märgistamise reeglid ja näha ette, et pakendile märgitakse kahanevas järjekorras selliste toodete tootmiseks kasutatud puuviljade ja marjade päritoluriik või -riigid.</w:t>
            </w:r>
          </w:p>
        </w:tc>
      </w:tr>
    </w:tbl>
    <w:p w:rsidR="001E5367" w:rsidRPr="003F7950" w:rsidRDefault="001E5367" w:rsidP="001E5367"/>
    <w:p w:rsidR="001E5367" w:rsidRPr="003F7950" w:rsidRDefault="001E5367" w:rsidP="001E5367">
      <w:pPr>
        <w:pStyle w:val="AMNumberTabs0"/>
        <w:keepNext/>
        <w:spacing w:after="240"/>
      </w:pPr>
      <w:r w:rsidRPr="003F7950">
        <w:lastRenderedPageBreak/>
        <w:t>Muudatusettepanek</w:t>
      </w:r>
      <w:r w:rsidRPr="003F7950">
        <w:tab/>
      </w:r>
      <w:r w:rsidRPr="003F7950">
        <w:tab/>
        <w:t>17</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Põhjendus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r w:rsidRPr="003F7950">
              <w:t>(23)</w:t>
            </w:r>
            <w:r w:rsidRPr="003F7950">
              <w:tab/>
              <w:t xml:space="preserve">Liikmesriikidele tuleks käesoleva direktiivi järgimiseks vajalike seaduste, määruste ja halduseeskirjade vastuvõtmiseks ette näha </w:t>
            </w:r>
            <w:r w:rsidRPr="003F7950">
              <w:rPr>
                <w:b/>
                <w:i/>
              </w:rPr>
              <w:t>18</w:t>
            </w:r>
            <w:r w:rsidRPr="003F7950">
              <w:t xml:space="preserve">-kuuline üleminekuperiood. Selleks et anda ettevõtjatele piisavalt aega uute nõuetega kohanemiseks, tuleks neid siseriiklikke sätteid, millega käesolev direktiiv üle võetakse, kohaldada alles </w:t>
            </w:r>
            <w:r w:rsidRPr="003F7950">
              <w:rPr>
                <w:b/>
                <w:i/>
              </w:rPr>
              <w:t>24</w:t>
            </w:r>
            <w:r w:rsidRPr="003F7950">
              <w:t> kuud pärast käesoleva direktiivi jõustumise kuupäeva.</w:t>
            </w:r>
          </w:p>
        </w:tc>
        <w:tc>
          <w:tcPr>
            <w:tcW w:w="4876" w:type="dxa"/>
          </w:tcPr>
          <w:p w:rsidR="001E5367" w:rsidRPr="003F7950" w:rsidRDefault="001E5367" w:rsidP="00D472CC">
            <w:pPr>
              <w:pStyle w:val="Normal6"/>
              <w:rPr>
                <w:szCs w:val="24"/>
              </w:rPr>
            </w:pPr>
            <w:r w:rsidRPr="003F7950">
              <w:t>(23)</w:t>
            </w:r>
            <w:r w:rsidRPr="003F7950">
              <w:tab/>
              <w:t xml:space="preserve">Liikmesriikidele tuleks käesoleva direktiivi järgimiseks vajalike seaduste, määruste ja halduseeskirjade vastuvõtmiseks ette näha </w:t>
            </w:r>
            <w:r w:rsidRPr="003F7950">
              <w:rPr>
                <w:b/>
                <w:i/>
              </w:rPr>
              <w:t>12</w:t>
            </w:r>
            <w:r w:rsidRPr="003F7950">
              <w:t xml:space="preserve">-kuuline üleminekuperiood. Selleks et anda ettevõtjatele piisavalt aega uute nõuetega kohanemiseks, tuleks neid siseriiklikke sätteid, millega käesolev direktiiv üle võetakse, kohaldada alles </w:t>
            </w:r>
            <w:r w:rsidRPr="003F7950">
              <w:rPr>
                <w:b/>
                <w:i/>
              </w:rPr>
              <w:t>18</w:t>
            </w:r>
            <w:r w:rsidRPr="003F7950">
              <w:t> kuud pärast käesoleva direktiivi jõustumise kuupäeva.</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18</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Artikkel 1 – lõik 1 – sissejuhatav osa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hideMark/>
          </w:tcPr>
          <w:p w:rsidR="001E5367" w:rsidRPr="003F7950" w:rsidRDefault="001E5367" w:rsidP="00D472CC">
            <w:pPr>
              <w:pStyle w:val="ColumnHeading"/>
              <w:keepNext/>
            </w:pPr>
            <w:r w:rsidRPr="003F7950">
              <w:t>Komisjoni ettepanek</w:t>
            </w:r>
          </w:p>
        </w:tc>
        <w:tc>
          <w:tcPr>
            <w:tcW w:w="4876" w:type="dxa"/>
            <w:hideMark/>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hideMark/>
          </w:tcPr>
          <w:p w:rsidR="001E5367" w:rsidRPr="003F7950" w:rsidRDefault="001E5367" w:rsidP="00D472CC">
            <w:pPr>
              <w:pStyle w:val="Normal6"/>
            </w:pPr>
            <w:r w:rsidRPr="003F7950">
              <w:t xml:space="preserve">Direktiivi 2001/110/EÜ </w:t>
            </w:r>
            <w:r w:rsidRPr="003F7950">
              <w:rPr>
                <w:b/>
                <w:i/>
              </w:rPr>
              <w:t xml:space="preserve">artiklit 2 </w:t>
            </w:r>
            <w:r w:rsidRPr="003F7950">
              <w:t>muudetakse järgmiselt.</w:t>
            </w:r>
          </w:p>
        </w:tc>
        <w:tc>
          <w:tcPr>
            <w:tcW w:w="4876" w:type="dxa"/>
            <w:hideMark/>
          </w:tcPr>
          <w:p w:rsidR="001E5367" w:rsidRPr="003F7950" w:rsidRDefault="001E5367" w:rsidP="00D472CC">
            <w:pPr>
              <w:pStyle w:val="Normal6"/>
              <w:rPr>
                <w:szCs w:val="24"/>
              </w:rPr>
            </w:pPr>
            <w:r w:rsidRPr="003F7950">
              <w:t>Direktiivi 2001/110/EÜ muudetakse järgmiselt.</w:t>
            </w:r>
          </w:p>
        </w:tc>
      </w:tr>
    </w:tbl>
    <w:p w:rsidR="00D472CC" w:rsidRPr="003F7950" w:rsidRDefault="00D472CC" w:rsidP="00D472CC"/>
    <w:p w:rsidR="001E5367" w:rsidRPr="003F7950" w:rsidRDefault="001E5367" w:rsidP="001E5367">
      <w:pPr>
        <w:pStyle w:val="AMNumberTabs0"/>
        <w:keepNext/>
        <w:spacing w:after="240"/>
      </w:pPr>
      <w:r w:rsidRPr="003F7950">
        <w:t>Muudatusettepanek</w:t>
      </w:r>
      <w:r w:rsidRPr="003F7950">
        <w:tab/>
      </w:r>
      <w:r w:rsidRPr="003F7950">
        <w:tab/>
        <w:t>19</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Artikli 1 – lõik 1 – punkt 1 a (uus)</w:t>
      </w:r>
    </w:p>
    <w:p w:rsidR="001E5367" w:rsidRPr="003F7950" w:rsidRDefault="001E5367" w:rsidP="001E5367">
      <w:pPr>
        <w:keepNext/>
      </w:pPr>
      <w:r w:rsidRPr="003F7950">
        <w:t>Direktiiv 2001/110/EÜ</w:t>
      </w:r>
    </w:p>
    <w:p w:rsidR="001E5367" w:rsidRPr="003F7950" w:rsidRDefault="001E5367" w:rsidP="001E5367">
      <w:r w:rsidRPr="003F7950">
        <w:t>Artikkel 2 – lõige 1 – lõik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Kehtiv tekst</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1a)</w:t>
            </w:r>
            <w:r w:rsidRPr="003F7950">
              <w:rPr>
                <w:b/>
                <w:i/>
              </w:rPr>
              <w:tab/>
              <w:t>Artikli 2 lõike 2 esimene lõik asendatakse järgmisega:</w:t>
            </w:r>
          </w:p>
        </w:tc>
      </w:tr>
      <w:tr w:rsidR="001E5367" w:rsidRPr="003F7950" w:rsidTr="00D472CC">
        <w:trPr>
          <w:jc w:val="center"/>
        </w:trPr>
        <w:tc>
          <w:tcPr>
            <w:tcW w:w="4876" w:type="dxa"/>
          </w:tcPr>
          <w:p w:rsidR="001E5367" w:rsidRPr="003F7950" w:rsidRDefault="001E5367" w:rsidP="00D472CC">
            <w:pPr>
              <w:pStyle w:val="Normal6"/>
            </w:pPr>
            <w:r w:rsidRPr="003F7950">
              <w:t>2.</w:t>
            </w:r>
            <w:r w:rsidRPr="003F7950">
              <w:rPr>
                <w:b/>
                <w:i/>
              </w:rPr>
              <w:tab/>
            </w:r>
            <w:r w:rsidRPr="003F7950">
              <w:t xml:space="preserve">I lisa punktides 2 ja 3 loetletud tootenimetusi kohaldatakse ainult seal määratletud toodete suhtes ja neid tuleb kasutada kaubanduses asjaomaste toodete nimetamiseks. Need nimetused võib asendada lihtsalt tootenimetusega </w:t>
            </w:r>
            <w:r w:rsidRPr="003F7950">
              <w:rPr>
                <w:b/>
                <w:i/>
              </w:rPr>
              <w:t>“mesi”</w:t>
            </w:r>
            <w:r w:rsidRPr="003F7950">
              <w:t>, välja arvatud</w:t>
            </w:r>
            <w:r w:rsidRPr="003F7950">
              <w:rPr>
                <w:b/>
                <w:i/>
              </w:rPr>
              <w:t xml:space="preserve"> filtreeritud mee,</w:t>
            </w:r>
            <w:r w:rsidRPr="003F7950">
              <w:t xml:space="preserve"> kärjemee, kärjetükkidega mee ja tööstusmee puhul.</w:t>
            </w:r>
          </w:p>
        </w:tc>
        <w:tc>
          <w:tcPr>
            <w:tcW w:w="4876" w:type="dxa"/>
          </w:tcPr>
          <w:p w:rsidR="001E5367" w:rsidRPr="003F7950" w:rsidRDefault="001E5367" w:rsidP="00D472CC">
            <w:pPr>
              <w:pStyle w:val="Normal6"/>
              <w:rPr>
                <w:szCs w:val="24"/>
              </w:rPr>
            </w:pPr>
            <w:r w:rsidRPr="003F7950">
              <w:rPr>
                <w:b/>
                <w:i/>
              </w:rPr>
              <w:t>„2.</w:t>
            </w:r>
            <w:r w:rsidRPr="003F7950">
              <w:rPr>
                <w:b/>
                <w:i/>
              </w:rPr>
              <w:tab/>
            </w:r>
            <w:r w:rsidRPr="003F7950">
              <w:t xml:space="preserve">I lisa punktides 2 ja 3 loetletud tootenimetusi kohaldatakse ainult seal määratletud toodete suhtes ja neid tuleb kasutada kaubanduses asjaomaste toodete nimetamiseks. Need nimetused võib asendada lihtsalt tootenimetusega </w:t>
            </w:r>
            <w:r w:rsidRPr="003F7950">
              <w:rPr>
                <w:b/>
                <w:i/>
              </w:rPr>
              <w:t>„mesi“</w:t>
            </w:r>
            <w:r w:rsidRPr="003F7950">
              <w:t>, välja arvatud kärjemee, kärjetükkidega mee ja tööstusmee puhul.</w:t>
            </w:r>
            <w:r w:rsidRPr="003F7950">
              <w:rPr>
                <w:b/>
                <w:i/>
              </w:rPr>
              <w:t>“</w:t>
            </w:r>
          </w:p>
        </w:tc>
      </w:tr>
    </w:tbl>
    <w:p w:rsidR="001E5367" w:rsidRPr="003F7950" w:rsidRDefault="001E5367" w:rsidP="001E5367"/>
    <w:p w:rsidR="008A26CA" w:rsidRPr="003F7950" w:rsidRDefault="008A26CA" w:rsidP="008A26CA"/>
    <w:p w:rsidR="008A26CA" w:rsidRPr="003F7950" w:rsidRDefault="008A26CA" w:rsidP="008A26CA">
      <w:pPr>
        <w:pStyle w:val="AMNumberTabs0"/>
        <w:keepNext/>
        <w:spacing w:after="240"/>
      </w:pPr>
      <w:r w:rsidRPr="003F7950">
        <w:t>Muudatusettepanek</w:t>
      </w:r>
      <w:r w:rsidR="00CA5FB4" w:rsidRPr="003F7950">
        <w:t xml:space="preserve">ud 20 ja </w:t>
      </w:r>
      <w:r w:rsidRPr="003F7950">
        <w:t>26</w:t>
      </w:r>
    </w:p>
    <w:p w:rsidR="008A26CA" w:rsidRPr="003F7950" w:rsidRDefault="008A26CA" w:rsidP="008A26CA">
      <w:pPr>
        <w:pStyle w:val="NormalBold"/>
        <w:keepNext/>
      </w:pPr>
      <w:r w:rsidRPr="003F7950">
        <w:t>Ettepanek võtta vastu direktiiv</w:t>
      </w:r>
    </w:p>
    <w:p w:rsidR="008A26CA" w:rsidRPr="003F7950" w:rsidRDefault="008A26CA" w:rsidP="008A26CA">
      <w:pPr>
        <w:pStyle w:val="NormalBold"/>
      </w:pPr>
      <w:r w:rsidRPr="003F7950">
        <w:t xml:space="preserve">Artikkel 1 – lõik 1 – punkt </w:t>
      </w:r>
      <w:r w:rsidR="00CA5FB4" w:rsidRPr="003F7950">
        <w:t>b (uus)</w:t>
      </w:r>
    </w:p>
    <w:p w:rsidR="008A26CA" w:rsidRPr="003F7950" w:rsidRDefault="008A26CA" w:rsidP="008A26CA">
      <w:pPr>
        <w:keepNext/>
      </w:pPr>
      <w:r w:rsidRPr="003F7950">
        <w:t>Direktiiv 2001/110/EÜ</w:t>
      </w:r>
    </w:p>
    <w:p w:rsidR="008A26CA" w:rsidRPr="003F7950" w:rsidRDefault="008A26CA" w:rsidP="008A26CA">
      <w:r w:rsidRPr="003F7950">
        <w:t>Artikkel 2 – lõige 2</w:t>
      </w:r>
      <w:r w:rsidR="00CA5FB4" w:rsidRPr="003F7950">
        <w:t xml:space="preserve"> – lõik 2</w:t>
      </w:r>
      <w:r w:rsidRPr="003F7950">
        <w:t xml:space="preserve">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A26CA" w:rsidRPr="003F7950" w:rsidTr="008D7439">
        <w:trPr>
          <w:jc w:val="center"/>
        </w:trPr>
        <w:tc>
          <w:tcPr>
            <w:tcW w:w="9752" w:type="dxa"/>
            <w:gridSpan w:val="2"/>
          </w:tcPr>
          <w:p w:rsidR="008A26CA" w:rsidRPr="003F7950" w:rsidRDefault="008A26CA" w:rsidP="008D7439">
            <w:pPr>
              <w:keepNext/>
            </w:pPr>
          </w:p>
        </w:tc>
      </w:tr>
      <w:tr w:rsidR="008A26CA" w:rsidRPr="003F7950" w:rsidTr="008D7439">
        <w:trPr>
          <w:jc w:val="center"/>
        </w:trPr>
        <w:tc>
          <w:tcPr>
            <w:tcW w:w="4876" w:type="dxa"/>
          </w:tcPr>
          <w:p w:rsidR="008A26CA" w:rsidRPr="003F7950" w:rsidRDefault="008A26CA" w:rsidP="008D7439">
            <w:pPr>
              <w:pStyle w:val="ColumnHeading"/>
              <w:keepNext/>
            </w:pPr>
            <w:r w:rsidRPr="003F7950">
              <w:t>Komisjoni ettepanek</w:t>
            </w:r>
          </w:p>
        </w:tc>
        <w:tc>
          <w:tcPr>
            <w:tcW w:w="4876" w:type="dxa"/>
          </w:tcPr>
          <w:p w:rsidR="008A26CA" w:rsidRPr="003F7950" w:rsidRDefault="008A26CA" w:rsidP="008D7439">
            <w:pPr>
              <w:pStyle w:val="ColumnHeading"/>
              <w:keepNext/>
            </w:pPr>
            <w:r w:rsidRPr="003F7950">
              <w:t>Muudatusettepanek</w:t>
            </w:r>
          </w:p>
        </w:tc>
      </w:tr>
      <w:tr w:rsidR="003850D1" w:rsidRPr="003F7950" w:rsidTr="008D7439">
        <w:trPr>
          <w:jc w:val="center"/>
        </w:trPr>
        <w:tc>
          <w:tcPr>
            <w:tcW w:w="4876" w:type="dxa"/>
          </w:tcPr>
          <w:p w:rsidR="003850D1" w:rsidRPr="003F7950" w:rsidRDefault="003850D1" w:rsidP="008D7439">
            <w:pPr>
              <w:pStyle w:val="Normal6"/>
            </w:pPr>
          </w:p>
        </w:tc>
        <w:tc>
          <w:tcPr>
            <w:tcW w:w="4876" w:type="dxa"/>
          </w:tcPr>
          <w:p w:rsidR="003850D1" w:rsidRPr="003F7950" w:rsidDel="003850D1" w:rsidRDefault="003850D1" w:rsidP="003850D1">
            <w:pPr>
              <w:pStyle w:val="Normal6"/>
              <w:rPr>
                <w:b/>
                <w:i/>
              </w:rPr>
            </w:pPr>
            <w:r w:rsidRPr="003F7950">
              <w:rPr>
                <w:b/>
                <w:i/>
              </w:rPr>
              <w:t>1b)</w:t>
            </w:r>
            <w:r w:rsidRPr="003F7950">
              <w:tab/>
            </w:r>
            <w:r w:rsidRPr="003F7950">
              <w:rPr>
                <w:b/>
                <w:i/>
              </w:rPr>
              <w:t>Artikli 2 lõike 2 teise lõigu punkti b sissejuhatav osa asendatakse järgmisega:</w:t>
            </w:r>
          </w:p>
        </w:tc>
      </w:tr>
      <w:tr w:rsidR="008A26CA" w:rsidRPr="003F7950" w:rsidTr="008D7439">
        <w:trPr>
          <w:jc w:val="center"/>
        </w:trPr>
        <w:tc>
          <w:tcPr>
            <w:tcW w:w="4876" w:type="dxa"/>
          </w:tcPr>
          <w:p w:rsidR="008A26CA" w:rsidRPr="003F7950" w:rsidRDefault="008A26CA" w:rsidP="008D7439">
            <w:pPr>
              <w:pStyle w:val="Normal6"/>
            </w:pPr>
            <w:r w:rsidRPr="003F7950">
              <w:t>„b)</w:t>
            </w:r>
            <w:r w:rsidRPr="003F7950">
              <w:tab/>
            </w:r>
            <w:r w:rsidRPr="003F7950">
              <w:rPr>
                <w:b/>
                <w:i/>
              </w:rPr>
              <w:t>määruse (EL) nr 1169/2011, eriti selle artiklite 12–15 kohaldamisel käsitatakse vastavalt käesoleva lõike punktile a märgitavaid andmeid kõnealuse määruse artikli 9 kohaste kohustuslike andmetena.</w:t>
            </w:r>
            <w:r w:rsidRPr="003F7950">
              <w:t>“</w:t>
            </w:r>
          </w:p>
        </w:tc>
        <w:tc>
          <w:tcPr>
            <w:tcW w:w="4876" w:type="dxa"/>
          </w:tcPr>
          <w:p w:rsidR="008A26CA" w:rsidRPr="003F7950" w:rsidRDefault="008A26CA" w:rsidP="008D7439">
            <w:pPr>
              <w:pStyle w:val="Normal6"/>
              <w:rPr>
                <w:szCs w:val="24"/>
              </w:rPr>
            </w:pPr>
            <w:r w:rsidRPr="003F7950">
              <w:t>„b)</w:t>
            </w:r>
            <w:r w:rsidRPr="003F7950">
              <w:tab/>
            </w:r>
            <w:r w:rsidRPr="003F7950">
              <w:rPr>
                <w:b/>
                <w:i/>
              </w:rPr>
              <w:t xml:space="preserve">Võib toote nimetusele, välja arvatud tööstuslikuks kasutamiseks ettenähtud tööstusmee puhul, lisada teavet, mis osutab: </w:t>
            </w:r>
          </w:p>
        </w:tc>
      </w:tr>
      <w:tr w:rsidR="008A26CA" w:rsidRPr="003F7950" w:rsidTr="008D7439">
        <w:trPr>
          <w:jc w:val="center"/>
        </w:trPr>
        <w:tc>
          <w:tcPr>
            <w:tcW w:w="4876" w:type="dxa"/>
          </w:tcPr>
          <w:p w:rsidR="008A26CA" w:rsidRPr="003F7950" w:rsidRDefault="008A26CA" w:rsidP="008D7439">
            <w:pPr>
              <w:pStyle w:val="Normal6"/>
            </w:pPr>
          </w:p>
        </w:tc>
        <w:tc>
          <w:tcPr>
            <w:tcW w:w="4876" w:type="dxa"/>
          </w:tcPr>
          <w:p w:rsidR="008A26CA" w:rsidRPr="003F7950" w:rsidRDefault="008A26CA" w:rsidP="008D7439">
            <w:pPr>
              <w:pStyle w:val="Normal6"/>
              <w:rPr>
                <w:szCs w:val="24"/>
              </w:rPr>
            </w:pPr>
            <w:r w:rsidRPr="003F7950">
              <w:rPr>
                <w:b/>
                <w:i/>
              </w:rPr>
              <w:t>–</w:t>
            </w:r>
            <w:r w:rsidRPr="003F7950">
              <w:tab/>
            </w:r>
            <w:r w:rsidRPr="003F7950">
              <w:rPr>
                <w:b/>
                <w:i/>
              </w:rPr>
              <w:t xml:space="preserve">õitele või taimedele, millelt mesi on saadud, kui toode on täielikult või peamiselt pärit märgitud allikast ja kui sellel on allikale vastavad organoleptilised, füüsikalised ja keemilised ning mikroskoopilised omadused, </w:t>
            </w:r>
          </w:p>
        </w:tc>
      </w:tr>
      <w:tr w:rsidR="008A26CA" w:rsidRPr="003F7950" w:rsidTr="008D7439">
        <w:trPr>
          <w:jc w:val="center"/>
        </w:trPr>
        <w:tc>
          <w:tcPr>
            <w:tcW w:w="4876" w:type="dxa"/>
          </w:tcPr>
          <w:p w:rsidR="008A26CA" w:rsidRPr="003F7950" w:rsidRDefault="008A26CA" w:rsidP="008D7439">
            <w:pPr>
              <w:pStyle w:val="Normal6"/>
            </w:pPr>
          </w:p>
        </w:tc>
        <w:tc>
          <w:tcPr>
            <w:tcW w:w="4876" w:type="dxa"/>
          </w:tcPr>
          <w:p w:rsidR="008A26CA" w:rsidRPr="003F7950" w:rsidRDefault="008A26CA" w:rsidP="008D7439">
            <w:pPr>
              <w:pStyle w:val="Normal6"/>
              <w:rPr>
                <w:szCs w:val="24"/>
              </w:rPr>
            </w:pPr>
            <w:r w:rsidRPr="003F7950">
              <w:rPr>
                <w:b/>
                <w:i/>
              </w:rPr>
              <w:t xml:space="preserve">– </w:t>
            </w:r>
            <w:r w:rsidRPr="003F7950">
              <w:tab/>
            </w:r>
            <w:r w:rsidRPr="003F7950">
              <w:rPr>
                <w:b/>
                <w:i/>
              </w:rPr>
              <w:t xml:space="preserve">piirkondlikule, territoriaalsele või topograafilisele päritolule juhul, kui toode on täielikult pärit märgitud allikast, </w:t>
            </w:r>
          </w:p>
        </w:tc>
      </w:tr>
      <w:tr w:rsidR="008A26CA" w:rsidRPr="003F7950" w:rsidTr="008D7439">
        <w:trPr>
          <w:jc w:val="center"/>
        </w:trPr>
        <w:tc>
          <w:tcPr>
            <w:tcW w:w="4876" w:type="dxa"/>
          </w:tcPr>
          <w:p w:rsidR="008A26CA" w:rsidRPr="003F7950" w:rsidRDefault="008A26CA" w:rsidP="008D7439">
            <w:pPr>
              <w:pStyle w:val="Normal6"/>
            </w:pPr>
          </w:p>
        </w:tc>
        <w:tc>
          <w:tcPr>
            <w:tcW w:w="4876" w:type="dxa"/>
          </w:tcPr>
          <w:p w:rsidR="008A26CA" w:rsidRPr="003F7950" w:rsidRDefault="008A26CA" w:rsidP="008D7439">
            <w:pPr>
              <w:pStyle w:val="Normal6"/>
              <w:rPr>
                <w:szCs w:val="24"/>
              </w:rPr>
            </w:pPr>
            <w:r w:rsidRPr="003F7950">
              <w:rPr>
                <w:b/>
                <w:i/>
              </w:rPr>
              <w:t xml:space="preserve">– </w:t>
            </w:r>
            <w:r w:rsidRPr="003F7950">
              <w:tab/>
            </w:r>
            <w:r w:rsidRPr="003F7950">
              <w:rPr>
                <w:b/>
                <w:i/>
              </w:rPr>
              <w:t>konkreetsetele kvaliteedinõuetele.</w:t>
            </w:r>
            <w:r w:rsidRPr="003F7950">
              <w:t xml:space="preserve">“ </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21</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Artikkel 1 – lõik 1 – punkt 1 c (uus)</w:t>
      </w:r>
    </w:p>
    <w:p w:rsidR="001E5367" w:rsidRPr="003F7950" w:rsidRDefault="001E5367" w:rsidP="001E5367">
      <w:pPr>
        <w:keepNext/>
      </w:pPr>
      <w:r w:rsidRPr="003F7950">
        <w:t>Direktiiv 2001/110/EÜ</w:t>
      </w:r>
    </w:p>
    <w:p w:rsidR="001E5367" w:rsidRPr="003F7950" w:rsidRDefault="001E5367" w:rsidP="001E5367">
      <w:r w:rsidRPr="003F7950">
        <w:t>Artikkel 2 – lõige 2 – lõik 2 – punkt b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1c)</w:t>
            </w:r>
            <w:r w:rsidRPr="003F7950">
              <w:rPr>
                <w:b/>
                <w:i/>
              </w:rPr>
              <w:tab/>
              <w:t>Artikli 2 lõike 2</w:t>
            </w:r>
            <w:r w:rsidR="008A26CA" w:rsidRPr="003F7950">
              <w:rPr>
                <w:b/>
                <w:i/>
              </w:rPr>
              <w:t xml:space="preserve"> teisele lõigule</w:t>
            </w:r>
            <w:r w:rsidRPr="003F7950">
              <w:rPr>
                <w:b/>
                <w:i/>
              </w:rPr>
              <w:t xml:space="preserve"> lisatakse järgmine punkt:</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8D7439">
            <w:pPr>
              <w:pStyle w:val="Normal6"/>
              <w:rPr>
                <w:szCs w:val="24"/>
              </w:rPr>
            </w:pPr>
            <w:r w:rsidRPr="003F7950">
              <w:rPr>
                <w:b/>
                <w:i/>
              </w:rPr>
              <w:t>„</w:t>
            </w:r>
            <w:proofErr w:type="spellStart"/>
            <w:r w:rsidRPr="003F7950">
              <w:rPr>
                <w:b/>
                <w:i/>
              </w:rPr>
              <w:t>ba</w:t>
            </w:r>
            <w:proofErr w:type="spellEnd"/>
            <w:r w:rsidRPr="003F7950">
              <w:rPr>
                <w:b/>
                <w:i/>
              </w:rPr>
              <w:t xml:space="preserve">) </w:t>
            </w:r>
            <w:r w:rsidRPr="003F7950">
              <w:rPr>
                <w:b/>
                <w:i/>
              </w:rPr>
              <w:tab/>
              <w:t xml:space="preserve">Igal meel, mida turustatakse muu kui mesiniku tunnusnumbri all, peab olema jälgimissüsteemiga seotud tunnuskood, mis võimaldab liikmesriikide </w:t>
            </w:r>
            <w:r w:rsidRPr="003F7950">
              <w:rPr>
                <w:b/>
                <w:i/>
              </w:rPr>
              <w:lastRenderedPageBreak/>
              <w:t xml:space="preserve">pädevatel asutustel jälgida teatava mee kogu tarneahelat kuni mesinikeni. Kõik </w:t>
            </w:r>
            <w:proofErr w:type="spellStart"/>
            <w:r w:rsidRPr="003F7950">
              <w:rPr>
                <w:b/>
                <w:i/>
              </w:rPr>
              <w:t>jälgitavussüsteemi</w:t>
            </w:r>
            <w:proofErr w:type="spellEnd"/>
            <w:r w:rsidRPr="003F7950">
              <w:rPr>
                <w:b/>
                <w:i/>
              </w:rPr>
              <w:t xml:space="preserve"> lisatavad isikuandmed on tarbijatele kättesaadavad üksnes asjaomase partii või partiide tootjate nõusolekul.“</w:t>
            </w:r>
          </w:p>
        </w:tc>
      </w:tr>
    </w:tbl>
    <w:p w:rsidR="001E5367" w:rsidRPr="003F7950" w:rsidRDefault="001E5367" w:rsidP="001E5367"/>
    <w:p w:rsidR="008D7439" w:rsidRPr="003F7950" w:rsidRDefault="008D7439" w:rsidP="008D7439">
      <w:pPr>
        <w:pStyle w:val="AMNumberTabs0"/>
        <w:keepNext/>
        <w:spacing w:after="240"/>
      </w:pPr>
      <w:r w:rsidRPr="003F7950">
        <w:t>Muudatusettepanek</w:t>
      </w:r>
      <w:r w:rsidRPr="003F7950">
        <w:tab/>
      </w:r>
      <w:r w:rsidRPr="003F7950">
        <w:tab/>
        <w:t>59</w:t>
      </w:r>
    </w:p>
    <w:p w:rsidR="008D7439" w:rsidRPr="003F7950" w:rsidRDefault="008D7439" w:rsidP="008D7439">
      <w:pPr>
        <w:pStyle w:val="NormalBold"/>
      </w:pPr>
      <w:r w:rsidRPr="003F7950">
        <w:t>Ettepanek võtta vastu direktiiv</w:t>
      </w:r>
    </w:p>
    <w:p w:rsidR="008D7439" w:rsidRPr="003F7950" w:rsidRDefault="008D7439" w:rsidP="008D7439">
      <w:pPr>
        <w:pStyle w:val="NormalBold"/>
      </w:pPr>
      <w:r w:rsidRPr="003F7950">
        <w:t>Artikkel 1 – lõik 1 – punkt 2</w:t>
      </w:r>
    </w:p>
    <w:p w:rsidR="008D7439" w:rsidRPr="003F7950" w:rsidRDefault="008D7439" w:rsidP="008D7439">
      <w:r w:rsidRPr="003F7950">
        <w:t>Direktiiv 2001/110/EÜ</w:t>
      </w:r>
    </w:p>
    <w:p w:rsidR="008D7439" w:rsidRPr="003F7950" w:rsidRDefault="008D7439" w:rsidP="008D7439">
      <w:r w:rsidRPr="003F7950">
        <w:t>Artikkel 2 – lõige 4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7439" w:rsidRPr="003F7950" w:rsidTr="008D7439">
        <w:trPr>
          <w:trHeight w:hRule="exact" w:val="240"/>
          <w:jc w:val="center"/>
        </w:trPr>
        <w:tc>
          <w:tcPr>
            <w:tcW w:w="9752" w:type="dxa"/>
            <w:gridSpan w:val="2"/>
          </w:tcPr>
          <w:p w:rsidR="008D7439" w:rsidRPr="003F7950" w:rsidRDefault="008D7439" w:rsidP="008D7439"/>
        </w:tc>
      </w:tr>
      <w:tr w:rsidR="008D7439" w:rsidRPr="003F7950" w:rsidTr="008D7439">
        <w:trPr>
          <w:trHeight w:val="240"/>
          <w:jc w:val="center"/>
        </w:trPr>
        <w:tc>
          <w:tcPr>
            <w:tcW w:w="4876" w:type="dxa"/>
          </w:tcPr>
          <w:p w:rsidR="008D7439" w:rsidRPr="003F7950" w:rsidRDefault="008D7439" w:rsidP="008D7439">
            <w:pPr>
              <w:pStyle w:val="AmColumnHeading"/>
            </w:pPr>
            <w:r w:rsidRPr="003F7950">
              <w:t>Komisjoni ettepanek</w:t>
            </w:r>
          </w:p>
        </w:tc>
        <w:tc>
          <w:tcPr>
            <w:tcW w:w="4876" w:type="dxa"/>
          </w:tcPr>
          <w:p w:rsidR="008D7439" w:rsidRPr="003F7950" w:rsidRDefault="008D7439" w:rsidP="008D7439">
            <w:pPr>
              <w:pStyle w:val="AmColumnHeading"/>
            </w:pPr>
            <w:r w:rsidRPr="003F7950">
              <w:t>Muudatusettepanek</w:t>
            </w:r>
          </w:p>
        </w:tc>
      </w:tr>
      <w:tr w:rsidR="008D7439" w:rsidRPr="003F7950" w:rsidTr="008D7439">
        <w:trPr>
          <w:jc w:val="center"/>
        </w:trPr>
        <w:tc>
          <w:tcPr>
            <w:tcW w:w="4876" w:type="dxa"/>
          </w:tcPr>
          <w:p w:rsidR="008D7439" w:rsidRPr="003F7950" w:rsidRDefault="008D7439" w:rsidP="008D7439">
            <w:pPr>
              <w:pStyle w:val="Normal6a"/>
            </w:pPr>
            <w:r w:rsidRPr="003F7950">
              <w:t>a)</w:t>
            </w:r>
            <w:r w:rsidRPr="003F7950">
              <w:tab/>
              <w:t xml:space="preserve">Etiketile märgitakse päritoluriik või -riigid, kus mesi on korjatud. Kui mesi on </w:t>
            </w:r>
            <w:r w:rsidRPr="003F7950">
              <w:rPr>
                <w:b/>
                <w:i/>
              </w:rPr>
              <w:t>pärit rohkem kui ühest riigist</w:t>
            </w:r>
            <w:r w:rsidRPr="003F7950">
              <w:t xml:space="preserve">, märgitakse </w:t>
            </w:r>
            <w:r w:rsidRPr="003F7950">
              <w:rPr>
                <w:b/>
                <w:i/>
              </w:rPr>
              <w:t>üle 25 g sisaldavate pakendite</w:t>
            </w:r>
            <w:r w:rsidRPr="003F7950">
              <w:t xml:space="preserve"> etiketile </w:t>
            </w:r>
            <w:r w:rsidRPr="003F7950">
              <w:rPr>
                <w:b/>
                <w:i/>
              </w:rPr>
              <w:t>päritoluriik või -riigid</w:t>
            </w:r>
            <w:r w:rsidRPr="003F7950">
              <w:t xml:space="preserve">, </w:t>
            </w:r>
            <w:r w:rsidRPr="003F7950">
              <w:rPr>
                <w:b/>
                <w:i/>
              </w:rPr>
              <w:t>kus mesi on korjatud;</w:t>
            </w:r>
          </w:p>
        </w:tc>
        <w:tc>
          <w:tcPr>
            <w:tcW w:w="4876" w:type="dxa"/>
          </w:tcPr>
          <w:p w:rsidR="008D7439" w:rsidRPr="003F7950" w:rsidRDefault="008D7439" w:rsidP="008D7439">
            <w:pPr>
              <w:pStyle w:val="Normal6a"/>
            </w:pPr>
            <w:r w:rsidRPr="003F7950">
              <w:t>a)</w:t>
            </w:r>
            <w:r w:rsidRPr="003F7950">
              <w:tab/>
              <w:t xml:space="preserve">Etiketile märgitakse päritoluriik või -riigid, kus mesi on korjatud. Kui mesi on </w:t>
            </w:r>
            <w:r w:rsidRPr="003F7950">
              <w:rPr>
                <w:b/>
                <w:i/>
              </w:rPr>
              <w:t>korjatud ainult ühes riigis</w:t>
            </w:r>
            <w:r w:rsidRPr="003F7950">
              <w:t xml:space="preserve">, märgitakse </w:t>
            </w:r>
            <w:r w:rsidRPr="003F7950">
              <w:rPr>
                <w:b/>
                <w:i/>
              </w:rPr>
              <w:t>see riik pakendi esikülje</w:t>
            </w:r>
            <w:r w:rsidRPr="003F7950">
              <w:t xml:space="preserve"> etiketile </w:t>
            </w:r>
            <w:r w:rsidRPr="003F7950">
              <w:rPr>
                <w:b/>
                <w:i/>
              </w:rPr>
              <w:t>toote kaubamärgi lähedale. Kui mesi koosneb mitmes riigis korjatud mee segust, märgitakse päritoluriikide loetelu pakendi esikülje etiketile koguse alusel kahanevas järjekorras koos iga riigi osakaaluprotsendiga, mille puhul on lubatud 5 % kõrvalekalle.“</w:t>
            </w:r>
          </w:p>
        </w:tc>
      </w:tr>
    </w:tbl>
    <w:p w:rsidR="008D7439" w:rsidRPr="003F7950" w:rsidRDefault="008D7439" w:rsidP="001E5367"/>
    <w:p w:rsidR="001E5367" w:rsidRPr="003F7950" w:rsidRDefault="001E5367" w:rsidP="001E5367">
      <w:pPr>
        <w:pStyle w:val="AMNumberTabs0"/>
        <w:keepNext/>
        <w:spacing w:after="240"/>
      </w:pPr>
      <w:r w:rsidRPr="003F7950">
        <w:t>Muudatusettepanek</w:t>
      </w:r>
      <w:r w:rsidRPr="003F7950">
        <w:tab/>
      </w:r>
      <w:r w:rsidRPr="003F7950">
        <w:tab/>
        <w:t>23</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1 – lõik 1 – punkt 2</w:t>
      </w:r>
    </w:p>
    <w:p w:rsidR="001E5367" w:rsidRPr="003F7950" w:rsidRDefault="001E5367" w:rsidP="001E5367">
      <w:pPr>
        <w:keepNext/>
      </w:pPr>
      <w:r w:rsidRPr="003F7950">
        <w:t>Direktiiv 2001/110/EÜ</w:t>
      </w:r>
    </w:p>
    <w:p w:rsidR="001E5367" w:rsidRPr="003F7950" w:rsidRDefault="001E5367" w:rsidP="001E5367">
      <w:r w:rsidRPr="003F7950">
        <w:t xml:space="preserve">Artikkel 2 – lõige 4 – punkt a </w:t>
      </w:r>
      <w:proofErr w:type="spellStart"/>
      <w:r w:rsidRPr="003F7950">
        <w:t>a</w:t>
      </w:r>
      <w:proofErr w:type="spellEnd"/>
      <w:r w:rsidRPr="003F7950">
        <w:t xml:space="preserv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D472CC" w:rsidP="00D472CC">
            <w:pPr>
              <w:pStyle w:val="Normal6"/>
              <w:rPr>
                <w:szCs w:val="24"/>
              </w:rPr>
            </w:pPr>
            <w:r w:rsidRPr="003F7950">
              <w:rPr>
                <w:b/>
                <w:i/>
              </w:rPr>
              <w:t>„</w:t>
            </w:r>
            <w:r w:rsidR="001E5367" w:rsidRPr="003F7950">
              <w:rPr>
                <w:b/>
                <w:i/>
              </w:rPr>
              <w:t>aa)</w:t>
            </w:r>
            <w:r w:rsidR="001E5367" w:rsidRPr="003F7950">
              <w:rPr>
                <w:b/>
                <w:i/>
              </w:rPr>
              <w:tab/>
              <w:t>Pakendite puhul, mis sisaldavad üle 30 g mett, märgitakse etiketile igast päritoluriigist pärineva mee protsendimäära vahemik ühena järgmistest vahemikest:</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&gt;90 %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70 %–90 %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50 %–70 %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30 %–50 %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10 %–30 %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&lt;10 %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Pakendite puhul, mis sisaldavad kuni 30 g mett, võib etiketile märkida igast päritoluriigist pärineva mee protsendimäära vahemiku ühena järgmistest vahemikest:</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&gt;75 %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50 %–75 %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25 %–50 %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&lt;25 %</w:t>
            </w:r>
            <w:r w:rsidR="00D472CC" w:rsidRPr="003F7950">
              <w:rPr>
                <w:b/>
                <w:i/>
              </w:rPr>
              <w:t>.“</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24</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1 – lõik 1 – punkt 2</w:t>
      </w:r>
    </w:p>
    <w:p w:rsidR="001E5367" w:rsidRPr="003F7950" w:rsidRDefault="001E5367" w:rsidP="001E5367">
      <w:pPr>
        <w:keepNext/>
      </w:pPr>
      <w:r w:rsidRPr="003F7950">
        <w:t>Direktiiv 2001/110/EÜ</w:t>
      </w:r>
    </w:p>
    <w:p w:rsidR="001E5367" w:rsidRPr="003F7950" w:rsidRDefault="001E5367" w:rsidP="001E5367">
      <w:r w:rsidRPr="003F7950">
        <w:t>Artikkel 2 – lõige 4 – punkt a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D472CC" w:rsidP="00D472CC">
            <w:pPr>
              <w:pStyle w:val="Normal6"/>
              <w:rPr>
                <w:szCs w:val="24"/>
              </w:rPr>
            </w:pPr>
            <w:r w:rsidRPr="003F7950">
              <w:rPr>
                <w:b/>
                <w:i/>
              </w:rPr>
              <w:t>„</w:t>
            </w:r>
            <w:proofErr w:type="spellStart"/>
            <w:r w:rsidR="001E5367" w:rsidRPr="003F7950">
              <w:rPr>
                <w:b/>
                <w:i/>
              </w:rPr>
              <w:t>ab</w:t>
            </w:r>
            <w:proofErr w:type="spellEnd"/>
            <w:r w:rsidR="001E5367" w:rsidRPr="003F7950">
              <w:rPr>
                <w:b/>
                <w:i/>
              </w:rPr>
              <w:t>)</w:t>
            </w:r>
            <w:r w:rsidR="001E5367" w:rsidRPr="003F7950">
              <w:rPr>
                <w:b/>
                <w:i/>
              </w:rPr>
              <w:tab/>
            </w:r>
            <w:r w:rsidRPr="003F7950">
              <w:rPr>
                <w:b/>
                <w:i/>
              </w:rPr>
              <w:t>A</w:t>
            </w:r>
            <w:r w:rsidR="001E5367" w:rsidRPr="003F7950">
              <w:rPr>
                <w:b/>
                <w:i/>
              </w:rPr>
              <w:t xml:space="preserve">inult pakendite puhul, mis sisaldavad vähem kui 30 g meesegu, mis on pärit rohkem kui ühest riigist, võib päritoluriigid märkida etiketile </w:t>
            </w:r>
            <w:proofErr w:type="spellStart"/>
            <w:r w:rsidR="001E5367" w:rsidRPr="003F7950">
              <w:rPr>
                <w:b/>
                <w:i/>
              </w:rPr>
              <w:t>kahetähelise</w:t>
            </w:r>
            <w:proofErr w:type="spellEnd"/>
            <w:r w:rsidR="001E5367" w:rsidRPr="003F7950">
              <w:rPr>
                <w:b/>
                <w:i/>
              </w:rPr>
              <w:t xml:space="preserve"> riigikoodiga (ISO 3166 alpha-2 riigikood).</w:t>
            </w:r>
            <w:r w:rsidRPr="003F7950">
              <w:rPr>
                <w:b/>
                <w:i/>
              </w:rPr>
              <w:t>“</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25</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1 – lõik 1 – punkt 2</w:t>
      </w:r>
    </w:p>
    <w:p w:rsidR="001E5367" w:rsidRPr="003F7950" w:rsidRDefault="001E5367" w:rsidP="001E5367">
      <w:pPr>
        <w:keepNext/>
      </w:pPr>
      <w:r w:rsidRPr="003F7950">
        <w:t>Direktiiv 2001/110/EÜ</w:t>
      </w:r>
    </w:p>
    <w:p w:rsidR="001E5367" w:rsidRPr="003F7950" w:rsidRDefault="001E5367" w:rsidP="001E5367">
      <w:r w:rsidRPr="003F7950">
        <w:t>Artikkel 2 – lõige 4 – punkt a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D472CC" w:rsidP="00D472CC">
            <w:pPr>
              <w:pStyle w:val="Normal6"/>
              <w:rPr>
                <w:szCs w:val="24"/>
              </w:rPr>
            </w:pPr>
            <w:r w:rsidRPr="003F7950">
              <w:rPr>
                <w:b/>
                <w:i/>
              </w:rPr>
              <w:t>„</w:t>
            </w:r>
            <w:proofErr w:type="spellStart"/>
            <w:r w:rsidR="001E5367" w:rsidRPr="003F7950">
              <w:rPr>
                <w:b/>
                <w:i/>
              </w:rPr>
              <w:t>ac</w:t>
            </w:r>
            <w:proofErr w:type="spellEnd"/>
            <w:r w:rsidR="001E5367" w:rsidRPr="003F7950">
              <w:rPr>
                <w:b/>
                <w:i/>
              </w:rPr>
              <w:t>)</w:t>
            </w:r>
            <w:r w:rsidR="001E5367" w:rsidRPr="003F7950">
              <w:rPr>
                <w:b/>
                <w:i/>
              </w:rPr>
              <w:tab/>
            </w:r>
            <w:r w:rsidRPr="003F7950">
              <w:rPr>
                <w:b/>
                <w:i/>
              </w:rPr>
              <w:t>K</w:t>
            </w:r>
            <w:r w:rsidR="001E5367" w:rsidRPr="003F7950">
              <w:rPr>
                <w:b/>
                <w:i/>
              </w:rPr>
              <w:t>ui kahest või enamast riigist kokku pärineb massi järgi vähemalt 98 % segus sisalduvast meest, ei pea etiketile märkima ülejäänud koguse päritoluriike.</w:t>
            </w:r>
            <w:r w:rsidRPr="003F7950">
              <w:rPr>
                <w:b/>
                <w:i/>
              </w:rPr>
              <w:t>“</w:t>
            </w:r>
          </w:p>
        </w:tc>
      </w:tr>
    </w:tbl>
    <w:p w:rsidR="001E5367" w:rsidRPr="003F7950" w:rsidRDefault="001E5367" w:rsidP="001E5367"/>
    <w:p w:rsidR="00364AA4" w:rsidRPr="003F7950" w:rsidRDefault="00364AA4" w:rsidP="00364AA4">
      <w:pPr>
        <w:pStyle w:val="AMNumberTabs0"/>
        <w:keepNext/>
        <w:keepLines/>
        <w:spacing w:after="240"/>
      </w:pPr>
      <w:r w:rsidRPr="003F7950">
        <w:lastRenderedPageBreak/>
        <w:t>Muudatusettepanek</w:t>
      </w:r>
      <w:r w:rsidRPr="003F7950">
        <w:tab/>
      </w:r>
      <w:r w:rsidRPr="003F7950">
        <w:tab/>
        <w:t>61</w:t>
      </w:r>
    </w:p>
    <w:p w:rsidR="00364AA4" w:rsidRPr="003F7950" w:rsidRDefault="00364AA4" w:rsidP="00364AA4">
      <w:pPr>
        <w:pStyle w:val="NormalBold"/>
        <w:keepNext/>
        <w:keepLines/>
      </w:pPr>
      <w:r w:rsidRPr="003F7950">
        <w:t>Ettepanek võtta vastu direktiiv</w:t>
      </w:r>
    </w:p>
    <w:p w:rsidR="00364AA4" w:rsidRPr="003F7950" w:rsidRDefault="00364AA4" w:rsidP="00364AA4">
      <w:pPr>
        <w:pStyle w:val="NormalBold"/>
        <w:keepNext/>
        <w:keepLines/>
      </w:pPr>
      <w:r w:rsidRPr="003F7950">
        <w:t>Artikkel 1 – lõik 1 – punkt 2 a (uus)</w:t>
      </w:r>
    </w:p>
    <w:p w:rsidR="00364AA4" w:rsidRPr="003F7950" w:rsidRDefault="00364AA4" w:rsidP="00364AA4">
      <w:pPr>
        <w:keepNext/>
        <w:keepLines/>
      </w:pPr>
      <w:r w:rsidRPr="003F7950">
        <w:t>Direktiiv 2001/110/EÜ</w:t>
      </w:r>
    </w:p>
    <w:p w:rsidR="00364AA4" w:rsidRPr="003F7950" w:rsidRDefault="00364AA4" w:rsidP="00364AA4">
      <w:pPr>
        <w:keepNext/>
        <w:keepLines/>
      </w:pPr>
      <w:r w:rsidRPr="003F7950">
        <w:t xml:space="preserve">Artikkel 2 – lõige 4 – punkt </w:t>
      </w:r>
      <w:proofErr w:type="spellStart"/>
      <w:r w:rsidRPr="003F7950">
        <w:t>ba</w:t>
      </w:r>
      <w:proofErr w:type="spellEnd"/>
      <w:r w:rsidRPr="003F7950">
        <w:t xml:space="preserv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4AA4" w:rsidRPr="003F7950" w:rsidTr="006E569C">
        <w:trPr>
          <w:trHeight w:hRule="exact" w:val="240"/>
          <w:jc w:val="center"/>
        </w:trPr>
        <w:tc>
          <w:tcPr>
            <w:tcW w:w="9752" w:type="dxa"/>
            <w:gridSpan w:val="2"/>
          </w:tcPr>
          <w:p w:rsidR="00364AA4" w:rsidRPr="003F7950" w:rsidRDefault="00364AA4" w:rsidP="00364AA4">
            <w:pPr>
              <w:keepNext/>
              <w:keepLines/>
            </w:pPr>
          </w:p>
        </w:tc>
      </w:tr>
      <w:tr w:rsidR="00364AA4" w:rsidRPr="003F7950" w:rsidTr="006E569C">
        <w:trPr>
          <w:trHeight w:val="240"/>
          <w:jc w:val="center"/>
        </w:trPr>
        <w:tc>
          <w:tcPr>
            <w:tcW w:w="4876" w:type="dxa"/>
          </w:tcPr>
          <w:p w:rsidR="00364AA4" w:rsidRPr="003F7950" w:rsidRDefault="00364AA4" w:rsidP="00364AA4">
            <w:pPr>
              <w:pStyle w:val="AmColumnHeading"/>
              <w:keepNext/>
              <w:keepLines/>
            </w:pPr>
            <w:r w:rsidRPr="003F7950">
              <w:t>Komisjoni ettepanek</w:t>
            </w:r>
          </w:p>
        </w:tc>
        <w:tc>
          <w:tcPr>
            <w:tcW w:w="4876" w:type="dxa"/>
          </w:tcPr>
          <w:p w:rsidR="00364AA4" w:rsidRPr="003F7950" w:rsidRDefault="00364AA4" w:rsidP="00364AA4">
            <w:pPr>
              <w:pStyle w:val="AmColumnHeading"/>
              <w:keepNext/>
              <w:keepLines/>
            </w:pPr>
            <w:r w:rsidRPr="003F7950">
              <w:t>Muudatusettepanek</w:t>
            </w:r>
          </w:p>
        </w:tc>
      </w:tr>
      <w:tr w:rsidR="00364AA4" w:rsidRPr="003F7950" w:rsidTr="006E569C">
        <w:trPr>
          <w:jc w:val="center"/>
        </w:trPr>
        <w:tc>
          <w:tcPr>
            <w:tcW w:w="4876" w:type="dxa"/>
          </w:tcPr>
          <w:p w:rsidR="00364AA4" w:rsidRPr="003F7950" w:rsidRDefault="00364AA4" w:rsidP="006E569C">
            <w:pPr>
              <w:pStyle w:val="Normal6a"/>
            </w:pPr>
          </w:p>
        </w:tc>
        <w:tc>
          <w:tcPr>
            <w:tcW w:w="4876" w:type="dxa"/>
          </w:tcPr>
          <w:p w:rsidR="00364AA4" w:rsidRPr="003F7950" w:rsidRDefault="00364AA4" w:rsidP="006E569C">
            <w:pPr>
              <w:pStyle w:val="Normal6a"/>
            </w:pPr>
            <w:r w:rsidRPr="003F7950">
              <w:rPr>
                <w:b/>
                <w:i/>
              </w:rPr>
              <w:t>2a)</w:t>
            </w:r>
            <w:r w:rsidRPr="003F7950">
              <w:tab/>
            </w:r>
            <w:r w:rsidRPr="003F7950">
              <w:rPr>
                <w:b/>
                <w:i/>
              </w:rPr>
              <w:t>Artikli 2 lõikesse 4 lisatakse järgmine punkt:</w:t>
            </w:r>
          </w:p>
        </w:tc>
      </w:tr>
      <w:tr w:rsidR="00364AA4" w:rsidRPr="003F7950" w:rsidTr="006E569C">
        <w:trPr>
          <w:jc w:val="center"/>
        </w:trPr>
        <w:tc>
          <w:tcPr>
            <w:tcW w:w="4876" w:type="dxa"/>
          </w:tcPr>
          <w:p w:rsidR="00364AA4" w:rsidRPr="003F7950" w:rsidRDefault="00364AA4" w:rsidP="006E569C">
            <w:pPr>
              <w:pStyle w:val="Normal6a"/>
            </w:pPr>
          </w:p>
        </w:tc>
        <w:tc>
          <w:tcPr>
            <w:tcW w:w="4876" w:type="dxa"/>
          </w:tcPr>
          <w:p w:rsidR="00364AA4" w:rsidRPr="003F7950" w:rsidRDefault="00364AA4" w:rsidP="006E569C">
            <w:pPr>
              <w:pStyle w:val="Normal6a"/>
            </w:pPr>
            <w:r w:rsidRPr="003F7950">
              <w:rPr>
                <w:b/>
                <w:i/>
              </w:rPr>
              <w:t>„</w:t>
            </w:r>
            <w:proofErr w:type="spellStart"/>
            <w:r w:rsidRPr="003F7950">
              <w:rPr>
                <w:b/>
                <w:i/>
              </w:rPr>
              <w:t>ba</w:t>
            </w:r>
            <w:proofErr w:type="spellEnd"/>
            <w:r w:rsidRPr="003F7950">
              <w:rPr>
                <w:b/>
                <w:i/>
              </w:rPr>
              <w:t xml:space="preserve">) luuakse ELi mee referentslabor, et parandada kontrolli ning avastada mee süstemaatilise kontrollimise kaudu võltsitud mett, kasutades mee ehtsuse ja kvaliteedi tõendamiseks </w:t>
            </w:r>
            <w:proofErr w:type="spellStart"/>
            <w:r w:rsidRPr="003F7950">
              <w:rPr>
                <w:b/>
                <w:i/>
              </w:rPr>
              <w:t>uusimaid</w:t>
            </w:r>
            <w:proofErr w:type="spellEnd"/>
            <w:r w:rsidRPr="003F7950">
              <w:rPr>
                <w:b/>
                <w:i/>
              </w:rPr>
              <w:t xml:space="preserve"> katsemeetodeid;“</w:t>
            </w:r>
          </w:p>
        </w:tc>
      </w:tr>
    </w:tbl>
    <w:p w:rsidR="00364AA4" w:rsidRPr="003F7950" w:rsidRDefault="00364AA4" w:rsidP="001E5367"/>
    <w:p w:rsidR="001E5367" w:rsidRPr="003F7950" w:rsidRDefault="001E5367" w:rsidP="001E5367">
      <w:pPr>
        <w:pStyle w:val="AMNumberTabs0"/>
        <w:keepNext/>
        <w:spacing w:after="240"/>
      </w:pPr>
      <w:r w:rsidRPr="003F7950">
        <w:t>Muudatusettepanek</w:t>
      </w:r>
      <w:r w:rsidRPr="003F7950">
        <w:tab/>
      </w:r>
      <w:r w:rsidRPr="003F7950">
        <w:tab/>
        <w:t>27</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1 – lõik 1 – punkt 2 a (uus)</w:t>
      </w:r>
    </w:p>
    <w:p w:rsidR="001E5367" w:rsidRPr="003F7950" w:rsidRDefault="001E5367" w:rsidP="001E5367">
      <w:pPr>
        <w:keepNext/>
      </w:pPr>
      <w:r w:rsidRPr="003F7950">
        <w:t>Direktiiv 2001/110/EÜ</w:t>
      </w:r>
    </w:p>
    <w:p w:rsidR="001E5367" w:rsidRPr="003F7950" w:rsidRDefault="001E5367" w:rsidP="001E5367">
      <w:r w:rsidRPr="003F7950">
        <w:t>Artikkel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9F5653">
        <w:trPr>
          <w:jc w:val="center"/>
        </w:trPr>
        <w:tc>
          <w:tcPr>
            <w:tcW w:w="9752" w:type="dxa"/>
            <w:gridSpan w:val="2"/>
          </w:tcPr>
          <w:p w:rsidR="001E5367" w:rsidRPr="003F7950" w:rsidRDefault="001E5367" w:rsidP="00D472CC">
            <w:pPr>
              <w:keepNext/>
            </w:pPr>
          </w:p>
        </w:tc>
      </w:tr>
      <w:tr w:rsidR="001E5367" w:rsidRPr="003F7950" w:rsidTr="009F5653">
        <w:trPr>
          <w:jc w:val="center"/>
        </w:trPr>
        <w:tc>
          <w:tcPr>
            <w:tcW w:w="4876" w:type="dxa"/>
          </w:tcPr>
          <w:p w:rsidR="001E5367" w:rsidRPr="003F7950" w:rsidRDefault="001E5367" w:rsidP="00D472CC">
            <w:pPr>
              <w:pStyle w:val="ColumnHeading"/>
              <w:keepNext/>
            </w:pPr>
            <w:r w:rsidRPr="003F7950">
              <w:t>Kehtiv tekst</w:t>
            </w:r>
          </w:p>
        </w:tc>
        <w:tc>
          <w:tcPr>
            <w:tcW w:w="4876" w:type="dxa"/>
          </w:tcPr>
          <w:p w:rsidR="001E5367" w:rsidRPr="003F7950" w:rsidRDefault="001E5367" w:rsidP="00D472CC">
            <w:pPr>
              <w:pStyle w:val="ColumnHeading"/>
              <w:keepNext/>
            </w:pPr>
            <w:r w:rsidRPr="003F7950">
              <w:t>Muudatusettepanek</w:t>
            </w:r>
          </w:p>
        </w:tc>
      </w:tr>
      <w:tr w:rsidR="001E5367" w:rsidRPr="003F7950" w:rsidTr="009F5653">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2a)</w:t>
            </w:r>
            <w:r w:rsidRPr="003F7950">
              <w:tab/>
            </w:r>
            <w:r w:rsidRPr="003F7950">
              <w:rPr>
                <w:b/>
                <w:i/>
              </w:rPr>
              <w:t>Artikkel 3 asendatakse järgmisega:</w:t>
            </w:r>
            <w:r w:rsidRPr="003F7950">
              <w:t> </w:t>
            </w:r>
          </w:p>
        </w:tc>
      </w:tr>
      <w:tr w:rsidR="001E5367" w:rsidRPr="003F7950" w:rsidTr="009F5653">
        <w:trPr>
          <w:jc w:val="center"/>
        </w:trPr>
        <w:tc>
          <w:tcPr>
            <w:tcW w:w="4876" w:type="dxa"/>
          </w:tcPr>
          <w:p w:rsidR="001E5367" w:rsidRPr="003F7950" w:rsidRDefault="001E5367" w:rsidP="00D472CC">
            <w:pPr>
              <w:pStyle w:val="Normal6"/>
            </w:pPr>
            <w:r w:rsidRPr="003F7950">
              <w:rPr>
                <w:b/>
                <w:i/>
              </w:rPr>
              <w:t>Filtreeritud</w:t>
            </w:r>
            <w:r w:rsidRPr="003F7950">
              <w:t xml:space="preserve"> mee</w:t>
            </w:r>
            <w:r w:rsidRPr="003F7950">
              <w:rPr>
                <w:b/>
                <w:i/>
              </w:rPr>
              <w:t xml:space="preserve"> ja</w:t>
            </w:r>
            <w:r w:rsidRPr="003F7950">
              <w:t xml:space="preserve"> tööstusmee puhul märgitakse mahtlastkonteineritele, pakenditele ja </w:t>
            </w:r>
            <w:r w:rsidRPr="003F7950">
              <w:rPr>
                <w:b/>
                <w:i/>
              </w:rPr>
              <w:t>vastavatele kauplemisdokumentidele I lisa punkti 2 alapunkti b punktis viii ja punktis</w:t>
            </w:r>
            <w:r w:rsidRPr="003F7950">
              <w:t> </w:t>
            </w:r>
            <w:r w:rsidRPr="003F7950">
              <w:rPr>
                <w:b/>
                <w:i/>
              </w:rPr>
              <w:t>3 osutatud toote täielik nimetus</w:t>
            </w:r>
            <w:r w:rsidRPr="003F7950">
              <w:t>. </w:t>
            </w:r>
          </w:p>
        </w:tc>
        <w:tc>
          <w:tcPr>
            <w:tcW w:w="4876" w:type="dxa"/>
          </w:tcPr>
          <w:p w:rsidR="001E5367" w:rsidRPr="003F7950" w:rsidRDefault="00D472CC" w:rsidP="00D472CC">
            <w:pPr>
              <w:pStyle w:val="Normal6"/>
              <w:rPr>
                <w:szCs w:val="24"/>
              </w:rPr>
            </w:pPr>
            <w:r w:rsidRPr="003F7950">
              <w:rPr>
                <w:b/>
                <w:i/>
              </w:rPr>
              <w:t>„</w:t>
            </w:r>
            <w:r w:rsidR="001E5367" w:rsidRPr="003F7950">
              <w:rPr>
                <w:b/>
                <w:i/>
              </w:rPr>
              <w:t>Tööstuses kasutamiseks ettenähtud</w:t>
            </w:r>
            <w:r w:rsidR="001E5367" w:rsidRPr="003F7950">
              <w:t xml:space="preserve"> mee</w:t>
            </w:r>
            <w:r w:rsidR="001E5367" w:rsidRPr="003F7950">
              <w:rPr>
                <w:b/>
                <w:i/>
              </w:rPr>
              <w:t>, näiteks</w:t>
            </w:r>
            <w:r w:rsidR="001E5367" w:rsidRPr="003F7950">
              <w:t xml:space="preserve"> tööstusmee puhul märgitakse mahtlastkonteineritele, pakenditele ja </w:t>
            </w:r>
            <w:r w:rsidR="001E5367" w:rsidRPr="003F7950">
              <w:rPr>
                <w:b/>
                <w:i/>
              </w:rPr>
              <w:t>müügidokumentidele selgelt toote täielik nimetus, nagu on sätestatud I</w:t>
            </w:r>
            <w:r w:rsidR="001E5367" w:rsidRPr="003F7950">
              <w:t> </w:t>
            </w:r>
            <w:r w:rsidR="001E5367" w:rsidRPr="003F7950">
              <w:rPr>
                <w:b/>
                <w:i/>
              </w:rPr>
              <w:t>lisa punktis 3</w:t>
            </w:r>
            <w:r w:rsidR="001E5367" w:rsidRPr="003F7950">
              <w:t>.</w:t>
            </w:r>
            <w:r w:rsidR="001E5367" w:rsidRPr="003F7950">
              <w:rPr>
                <w:b/>
                <w:i/>
              </w:rPr>
              <w:t>“</w:t>
            </w:r>
            <w:r w:rsidR="001E5367" w:rsidRPr="003F7950">
              <w:t> </w:t>
            </w:r>
          </w:p>
        </w:tc>
      </w:tr>
    </w:tbl>
    <w:p w:rsidR="001E5367" w:rsidRPr="003F7950" w:rsidRDefault="001E5367" w:rsidP="001E5367"/>
    <w:p w:rsidR="00364AA4" w:rsidRPr="003F7950" w:rsidRDefault="00364AA4" w:rsidP="00364AA4">
      <w:pPr>
        <w:pStyle w:val="AMNumberTabs0"/>
        <w:keepNext/>
        <w:spacing w:after="240"/>
      </w:pPr>
      <w:r w:rsidRPr="003F7950">
        <w:t>Muudatusettepanek</w:t>
      </w:r>
      <w:r w:rsidRPr="003F7950">
        <w:tab/>
      </w:r>
      <w:r w:rsidRPr="003F7950">
        <w:tab/>
        <w:t>56</w:t>
      </w:r>
    </w:p>
    <w:p w:rsidR="00364AA4" w:rsidRPr="003F7950" w:rsidRDefault="00364AA4" w:rsidP="00364AA4">
      <w:pPr>
        <w:pStyle w:val="NormalBold"/>
      </w:pPr>
      <w:r w:rsidRPr="003F7950">
        <w:t>Ettepanek võtta vastu direktiiv</w:t>
      </w:r>
    </w:p>
    <w:p w:rsidR="00364AA4" w:rsidRPr="003F7950" w:rsidRDefault="005257CC" w:rsidP="00364AA4">
      <w:pPr>
        <w:pStyle w:val="NormalBold"/>
      </w:pPr>
      <w:r>
        <w:t>Artikkel 1 – lõik</w:t>
      </w:r>
      <w:r w:rsidR="00364AA4" w:rsidRPr="003F7950">
        <w:t xml:space="preserve"> 1 </w:t>
      </w:r>
      <w:r>
        <w:t>– punkt 2 b</w:t>
      </w:r>
      <w:r w:rsidR="00364AA4" w:rsidRPr="003F7950">
        <w:t xml:space="preserve"> (uus)</w:t>
      </w:r>
    </w:p>
    <w:p w:rsidR="00364AA4" w:rsidRPr="003F7950" w:rsidRDefault="00364AA4" w:rsidP="00364AA4">
      <w:r w:rsidRPr="003F7950">
        <w:t>Direktiiv 2001/110/EÜ</w:t>
      </w:r>
    </w:p>
    <w:p w:rsidR="00364AA4" w:rsidRPr="003F7950" w:rsidRDefault="00364AA4" w:rsidP="00364AA4">
      <w:r w:rsidRPr="003F7950">
        <w:t>Artikkel 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4AA4" w:rsidRPr="003F7950" w:rsidTr="006E569C">
        <w:trPr>
          <w:trHeight w:hRule="exact" w:val="240"/>
          <w:jc w:val="center"/>
        </w:trPr>
        <w:tc>
          <w:tcPr>
            <w:tcW w:w="9752" w:type="dxa"/>
            <w:gridSpan w:val="2"/>
          </w:tcPr>
          <w:p w:rsidR="00364AA4" w:rsidRPr="003F7950" w:rsidRDefault="00364AA4" w:rsidP="006E569C"/>
        </w:tc>
      </w:tr>
      <w:tr w:rsidR="00364AA4" w:rsidRPr="003F7950" w:rsidTr="006E569C">
        <w:trPr>
          <w:trHeight w:val="240"/>
          <w:jc w:val="center"/>
        </w:trPr>
        <w:tc>
          <w:tcPr>
            <w:tcW w:w="4876" w:type="dxa"/>
          </w:tcPr>
          <w:p w:rsidR="00364AA4" w:rsidRPr="003F7950" w:rsidRDefault="00364AA4" w:rsidP="006E569C">
            <w:pPr>
              <w:pStyle w:val="AmColumnHeading"/>
            </w:pPr>
            <w:r w:rsidRPr="003F7950">
              <w:t>Komisjoni ettepanek</w:t>
            </w:r>
          </w:p>
        </w:tc>
        <w:tc>
          <w:tcPr>
            <w:tcW w:w="4876" w:type="dxa"/>
          </w:tcPr>
          <w:p w:rsidR="00364AA4" w:rsidRPr="003F7950" w:rsidRDefault="00364AA4" w:rsidP="006E569C">
            <w:pPr>
              <w:pStyle w:val="AmColumnHeading"/>
            </w:pPr>
            <w:r w:rsidRPr="003F7950">
              <w:t>Muudatusettepanek</w:t>
            </w:r>
          </w:p>
        </w:tc>
      </w:tr>
      <w:tr w:rsidR="00364AA4" w:rsidRPr="003F7950" w:rsidTr="006E569C">
        <w:trPr>
          <w:jc w:val="center"/>
        </w:trPr>
        <w:tc>
          <w:tcPr>
            <w:tcW w:w="4876" w:type="dxa"/>
          </w:tcPr>
          <w:p w:rsidR="00364AA4" w:rsidRPr="003F7950" w:rsidRDefault="00364AA4" w:rsidP="006E569C">
            <w:pPr>
              <w:pStyle w:val="Normal6a"/>
            </w:pPr>
          </w:p>
        </w:tc>
        <w:tc>
          <w:tcPr>
            <w:tcW w:w="4876" w:type="dxa"/>
          </w:tcPr>
          <w:p w:rsidR="00364AA4" w:rsidRPr="003F7950" w:rsidRDefault="00364AA4" w:rsidP="006E569C">
            <w:pPr>
              <w:pStyle w:val="Normal6a"/>
              <w:rPr>
                <w:b/>
                <w:i/>
              </w:rPr>
            </w:pPr>
            <w:r w:rsidRPr="003F7950">
              <w:rPr>
                <w:b/>
                <w:i/>
              </w:rPr>
              <w:t>Lisatakse järgmine artikkel:</w:t>
            </w:r>
          </w:p>
        </w:tc>
      </w:tr>
      <w:tr w:rsidR="00364AA4" w:rsidRPr="003F7950" w:rsidTr="006E569C">
        <w:trPr>
          <w:jc w:val="center"/>
        </w:trPr>
        <w:tc>
          <w:tcPr>
            <w:tcW w:w="4876" w:type="dxa"/>
          </w:tcPr>
          <w:p w:rsidR="00364AA4" w:rsidRPr="003F7950" w:rsidRDefault="00364AA4" w:rsidP="006E569C">
            <w:pPr>
              <w:pStyle w:val="Normal6a"/>
            </w:pPr>
          </w:p>
        </w:tc>
        <w:tc>
          <w:tcPr>
            <w:tcW w:w="4876" w:type="dxa"/>
          </w:tcPr>
          <w:p w:rsidR="00364AA4" w:rsidRPr="003F7950" w:rsidRDefault="00364AA4" w:rsidP="006E569C">
            <w:pPr>
              <w:pStyle w:val="Normal6a"/>
              <w:jc w:val="center"/>
              <w:rPr>
                <w:b/>
                <w:i/>
              </w:rPr>
            </w:pPr>
            <w:r w:rsidRPr="003F7950">
              <w:rPr>
                <w:b/>
                <w:i/>
              </w:rPr>
              <w:t>„Artikkel 4a</w:t>
            </w:r>
          </w:p>
          <w:p w:rsidR="00364AA4" w:rsidRPr="003F7950" w:rsidRDefault="00364AA4" w:rsidP="006E569C">
            <w:pPr>
              <w:pStyle w:val="Normal6a"/>
              <w:jc w:val="center"/>
            </w:pPr>
            <w:proofErr w:type="spellStart"/>
            <w:r w:rsidRPr="003F7950">
              <w:rPr>
                <w:b/>
                <w:i/>
              </w:rPr>
              <w:lastRenderedPageBreak/>
              <w:t>Jälgitavusnõuded</w:t>
            </w:r>
            <w:proofErr w:type="spellEnd"/>
            <w:r w:rsidRPr="003F7950">
              <w:tab/>
            </w:r>
          </w:p>
        </w:tc>
      </w:tr>
      <w:tr w:rsidR="00364AA4" w:rsidRPr="003F7950" w:rsidTr="006E569C">
        <w:trPr>
          <w:jc w:val="center"/>
        </w:trPr>
        <w:tc>
          <w:tcPr>
            <w:tcW w:w="4876" w:type="dxa"/>
          </w:tcPr>
          <w:p w:rsidR="00364AA4" w:rsidRPr="003F7950" w:rsidRDefault="00364AA4" w:rsidP="006E569C">
            <w:pPr>
              <w:pStyle w:val="Normal6a"/>
            </w:pPr>
          </w:p>
        </w:tc>
        <w:tc>
          <w:tcPr>
            <w:tcW w:w="4876" w:type="dxa"/>
          </w:tcPr>
          <w:p w:rsidR="00364AA4" w:rsidRPr="003F7950" w:rsidRDefault="00364AA4" w:rsidP="006E569C">
            <w:pPr>
              <w:pStyle w:val="Normal6a"/>
            </w:pPr>
            <w:r w:rsidRPr="003F7950">
              <w:rPr>
                <w:b/>
                <w:i/>
              </w:rPr>
              <w:t xml:space="preserve">1. Komisjonil on õigus võtta delegeeritud õigusaktid vastu hiljemalt ... [OP </w:t>
            </w:r>
            <w:proofErr w:type="spellStart"/>
            <w:r w:rsidRPr="003F7950">
              <w:rPr>
                <w:b/>
                <w:i/>
              </w:rPr>
              <w:t>please</w:t>
            </w:r>
            <w:proofErr w:type="spellEnd"/>
            <w:r w:rsidRPr="003F7950">
              <w:rPr>
                <w:b/>
                <w:i/>
              </w:rPr>
              <w:t xml:space="preserve"> </w:t>
            </w:r>
            <w:proofErr w:type="spellStart"/>
            <w:r w:rsidRPr="003F7950">
              <w:rPr>
                <w:b/>
                <w:i/>
              </w:rPr>
              <w:t>insert</w:t>
            </w:r>
            <w:proofErr w:type="spellEnd"/>
            <w:r w:rsidRPr="003F7950">
              <w:rPr>
                <w:b/>
                <w:i/>
              </w:rPr>
              <w:t xml:space="preserve"> </w:t>
            </w:r>
            <w:proofErr w:type="spellStart"/>
            <w:r w:rsidRPr="003F7950">
              <w:rPr>
                <w:b/>
                <w:i/>
              </w:rPr>
              <w:t>the</w:t>
            </w:r>
            <w:proofErr w:type="spellEnd"/>
            <w:r w:rsidRPr="003F7950">
              <w:rPr>
                <w:b/>
                <w:i/>
              </w:rPr>
              <w:t xml:space="preserve"> </w:t>
            </w:r>
            <w:proofErr w:type="spellStart"/>
            <w:r w:rsidRPr="003F7950">
              <w:rPr>
                <w:b/>
                <w:i/>
              </w:rPr>
              <w:t>date</w:t>
            </w:r>
            <w:proofErr w:type="spellEnd"/>
            <w:r w:rsidRPr="003F7950">
              <w:rPr>
                <w:b/>
                <w:i/>
              </w:rPr>
              <w:t xml:space="preserve"> = 12 </w:t>
            </w:r>
            <w:proofErr w:type="spellStart"/>
            <w:r w:rsidRPr="003F7950">
              <w:rPr>
                <w:b/>
                <w:i/>
              </w:rPr>
              <w:t>months</w:t>
            </w:r>
            <w:proofErr w:type="spellEnd"/>
            <w:r w:rsidRPr="003F7950">
              <w:rPr>
                <w:b/>
                <w:i/>
              </w:rPr>
              <w:t xml:space="preserve"> </w:t>
            </w:r>
            <w:proofErr w:type="spellStart"/>
            <w:r w:rsidRPr="003F7950">
              <w:rPr>
                <w:b/>
                <w:i/>
              </w:rPr>
              <w:t>from</w:t>
            </w:r>
            <w:proofErr w:type="spellEnd"/>
            <w:r w:rsidRPr="003F7950">
              <w:rPr>
                <w:b/>
                <w:i/>
              </w:rPr>
              <w:t xml:space="preserve"> </w:t>
            </w:r>
            <w:proofErr w:type="spellStart"/>
            <w:r w:rsidRPr="003F7950">
              <w:rPr>
                <w:b/>
                <w:i/>
              </w:rPr>
              <w:t>the</w:t>
            </w:r>
            <w:proofErr w:type="spellEnd"/>
            <w:r w:rsidRPr="003F7950">
              <w:rPr>
                <w:b/>
                <w:i/>
              </w:rPr>
              <w:t xml:space="preserve"> </w:t>
            </w:r>
            <w:proofErr w:type="spellStart"/>
            <w:r w:rsidRPr="003F7950">
              <w:rPr>
                <w:b/>
                <w:i/>
              </w:rPr>
              <w:t>date</w:t>
            </w:r>
            <w:proofErr w:type="spellEnd"/>
            <w:r w:rsidRPr="003F7950">
              <w:rPr>
                <w:b/>
                <w:i/>
              </w:rPr>
              <w:t xml:space="preserve"> of </w:t>
            </w:r>
            <w:proofErr w:type="spellStart"/>
            <w:r w:rsidRPr="003F7950">
              <w:rPr>
                <w:b/>
                <w:i/>
              </w:rPr>
              <w:t>entry</w:t>
            </w:r>
            <w:proofErr w:type="spellEnd"/>
            <w:r w:rsidRPr="003F7950">
              <w:rPr>
                <w:b/>
                <w:i/>
              </w:rPr>
              <w:t xml:space="preserve"> </w:t>
            </w:r>
            <w:proofErr w:type="spellStart"/>
            <w:r w:rsidRPr="003F7950">
              <w:rPr>
                <w:b/>
                <w:i/>
              </w:rPr>
              <w:t>into</w:t>
            </w:r>
            <w:proofErr w:type="spellEnd"/>
            <w:r w:rsidRPr="003F7950">
              <w:rPr>
                <w:b/>
                <w:i/>
              </w:rPr>
              <w:t xml:space="preserve"> </w:t>
            </w:r>
            <w:proofErr w:type="spellStart"/>
            <w:r w:rsidRPr="003F7950">
              <w:rPr>
                <w:b/>
                <w:i/>
              </w:rPr>
              <w:t>force</w:t>
            </w:r>
            <w:proofErr w:type="spellEnd"/>
            <w:r w:rsidRPr="003F7950">
              <w:rPr>
                <w:b/>
                <w:i/>
              </w:rPr>
              <w:t xml:space="preserve"> of </w:t>
            </w:r>
            <w:proofErr w:type="spellStart"/>
            <w:r w:rsidRPr="003F7950">
              <w:rPr>
                <w:b/>
                <w:i/>
              </w:rPr>
              <w:t>this</w:t>
            </w:r>
            <w:proofErr w:type="spellEnd"/>
            <w:r w:rsidRPr="003F7950">
              <w:rPr>
                <w:b/>
                <w:i/>
              </w:rPr>
              <w:t xml:space="preserve"> </w:t>
            </w:r>
            <w:proofErr w:type="spellStart"/>
            <w:r w:rsidRPr="003F7950">
              <w:rPr>
                <w:b/>
                <w:i/>
              </w:rPr>
              <w:t>Directive</w:t>
            </w:r>
            <w:proofErr w:type="spellEnd"/>
            <w:r w:rsidRPr="003F7950">
              <w:rPr>
                <w:b/>
                <w:i/>
              </w:rPr>
              <w:t>], millega kehtestatakse ühtne metoodika, et teha kindlaks mee täpne päritolu ja ehtsus. See metoodika võimaldab pädevatel asutustel jälgida laborikatsete või mis tahes muu asjakohaseks peetava meetodi abil mee päritolu selle päritoluriigini või -riikideni ning teha kindlaks madalaimad võimalikud tasemed ja mis tahes võltsimine, et tagada mee ehtsus;</w:t>
            </w:r>
          </w:p>
        </w:tc>
      </w:tr>
      <w:tr w:rsidR="00364AA4" w:rsidRPr="003F7950" w:rsidTr="006E569C">
        <w:trPr>
          <w:jc w:val="center"/>
        </w:trPr>
        <w:tc>
          <w:tcPr>
            <w:tcW w:w="4876" w:type="dxa"/>
          </w:tcPr>
          <w:p w:rsidR="00364AA4" w:rsidRPr="003F7950" w:rsidRDefault="00364AA4" w:rsidP="006E569C">
            <w:pPr>
              <w:pStyle w:val="Normal6a"/>
            </w:pPr>
          </w:p>
        </w:tc>
        <w:tc>
          <w:tcPr>
            <w:tcW w:w="4876" w:type="dxa"/>
          </w:tcPr>
          <w:p w:rsidR="00364AA4" w:rsidRPr="003F7950" w:rsidRDefault="00364AA4" w:rsidP="006E569C">
            <w:pPr>
              <w:pStyle w:val="Normal6a"/>
            </w:pPr>
            <w:r w:rsidRPr="003F7950">
              <w:rPr>
                <w:b/>
                <w:i/>
              </w:rPr>
              <w:t xml:space="preserve">2. Alates ... [OP </w:t>
            </w:r>
            <w:proofErr w:type="spellStart"/>
            <w:r w:rsidRPr="003F7950">
              <w:rPr>
                <w:b/>
                <w:i/>
              </w:rPr>
              <w:t>please</w:t>
            </w:r>
            <w:proofErr w:type="spellEnd"/>
            <w:r w:rsidRPr="003F7950">
              <w:rPr>
                <w:b/>
                <w:i/>
              </w:rPr>
              <w:t xml:space="preserve"> </w:t>
            </w:r>
            <w:proofErr w:type="spellStart"/>
            <w:r w:rsidRPr="003F7950">
              <w:rPr>
                <w:b/>
                <w:i/>
              </w:rPr>
              <w:t>insert</w:t>
            </w:r>
            <w:proofErr w:type="spellEnd"/>
            <w:r w:rsidRPr="003F7950">
              <w:rPr>
                <w:b/>
                <w:i/>
              </w:rPr>
              <w:t xml:space="preserve"> </w:t>
            </w:r>
            <w:proofErr w:type="spellStart"/>
            <w:r w:rsidRPr="003F7950">
              <w:rPr>
                <w:b/>
                <w:i/>
              </w:rPr>
              <w:t>the</w:t>
            </w:r>
            <w:proofErr w:type="spellEnd"/>
            <w:r w:rsidRPr="003F7950">
              <w:rPr>
                <w:b/>
                <w:i/>
              </w:rPr>
              <w:t xml:space="preserve"> </w:t>
            </w:r>
            <w:proofErr w:type="spellStart"/>
            <w:r w:rsidRPr="003F7950">
              <w:rPr>
                <w:b/>
                <w:i/>
              </w:rPr>
              <w:t>date</w:t>
            </w:r>
            <w:proofErr w:type="spellEnd"/>
            <w:r w:rsidRPr="003F7950">
              <w:rPr>
                <w:b/>
                <w:i/>
              </w:rPr>
              <w:t xml:space="preserve"> = 18 </w:t>
            </w:r>
            <w:proofErr w:type="spellStart"/>
            <w:r w:rsidRPr="003F7950">
              <w:rPr>
                <w:b/>
                <w:i/>
              </w:rPr>
              <w:t>months</w:t>
            </w:r>
            <w:proofErr w:type="spellEnd"/>
            <w:r w:rsidRPr="003F7950">
              <w:rPr>
                <w:b/>
                <w:i/>
              </w:rPr>
              <w:t xml:space="preserve"> </w:t>
            </w:r>
            <w:proofErr w:type="spellStart"/>
            <w:r w:rsidRPr="003F7950">
              <w:rPr>
                <w:b/>
                <w:i/>
              </w:rPr>
              <w:t>from</w:t>
            </w:r>
            <w:proofErr w:type="spellEnd"/>
            <w:r w:rsidRPr="003F7950">
              <w:rPr>
                <w:b/>
                <w:i/>
              </w:rPr>
              <w:t xml:space="preserve"> </w:t>
            </w:r>
            <w:proofErr w:type="spellStart"/>
            <w:r w:rsidRPr="003F7950">
              <w:rPr>
                <w:b/>
                <w:i/>
              </w:rPr>
              <w:t>the</w:t>
            </w:r>
            <w:proofErr w:type="spellEnd"/>
            <w:r w:rsidRPr="003F7950">
              <w:rPr>
                <w:b/>
                <w:i/>
              </w:rPr>
              <w:t xml:space="preserve"> </w:t>
            </w:r>
            <w:proofErr w:type="spellStart"/>
            <w:r w:rsidRPr="003F7950">
              <w:rPr>
                <w:b/>
                <w:i/>
              </w:rPr>
              <w:t>date</w:t>
            </w:r>
            <w:proofErr w:type="spellEnd"/>
            <w:r w:rsidRPr="003F7950">
              <w:rPr>
                <w:b/>
                <w:i/>
              </w:rPr>
              <w:t xml:space="preserve"> of </w:t>
            </w:r>
            <w:proofErr w:type="spellStart"/>
            <w:r w:rsidRPr="003F7950">
              <w:rPr>
                <w:b/>
                <w:i/>
              </w:rPr>
              <w:t>entry</w:t>
            </w:r>
            <w:proofErr w:type="spellEnd"/>
            <w:r w:rsidRPr="003F7950">
              <w:rPr>
                <w:b/>
                <w:i/>
              </w:rPr>
              <w:t xml:space="preserve"> </w:t>
            </w:r>
            <w:proofErr w:type="spellStart"/>
            <w:r w:rsidRPr="003F7950">
              <w:rPr>
                <w:b/>
                <w:i/>
              </w:rPr>
              <w:t>into</w:t>
            </w:r>
            <w:proofErr w:type="spellEnd"/>
            <w:r w:rsidRPr="003F7950">
              <w:rPr>
                <w:b/>
                <w:i/>
              </w:rPr>
              <w:t xml:space="preserve"> </w:t>
            </w:r>
            <w:proofErr w:type="spellStart"/>
            <w:r w:rsidRPr="003F7950">
              <w:rPr>
                <w:b/>
                <w:i/>
              </w:rPr>
              <w:t>force</w:t>
            </w:r>
            <w:proofErr w:type="spellEnd"/>
            <w:r w:rsidRPr="003F7950">
              <w:rPr>
                <w:b/>
                <w:i/>
              </w:rPr>
              <w:t xml:space="preserve"> of </w:t>
            </w:r>
            <w:proofErr w:type="spellStart"/>
            <w:r w:rsidRPr="003F7950">
              <w:rPr>
                <w:b/>
                <w:i/>
              </w:rPr>
              <w:t>this</w:t>
            </w:r>
            <w:proofErr w:type="spellEnd"/>
            <w:r w:rsidRPr="003F7950">
              <w:rPr>
                <w:b/>
                <w:i/>
              </w:rPr>
              <w:t xml:space="preserve"> </w:t>
            </w:r>
            <w:proofErr w:type="spellStart"/>
            <w:r w:rsidRPr="003F7950">
              <w:rPr>
                <w:b/>
                <w:i/>
              </w:rPr>
              <w:t>Directive</w:t>
            </w:r>
            <w:proofErr w:type="spellEnd"/>
            <w:r w:rsidRPr="003F7950">
              <w:rPr>
                <w:b/>
                <w:i/>
              </w:rPr>
              <w:t xml:space="preserve">] on käesoleva artikliga sätestatud </w:t>
            </w:r>
            <w:proofErr w:type="spellStart"/>
            <w:r w:rsidRPr="003F7950">
              <w:rPr>
                <w:b/>
                <w:i/>
              </w:rPr>
              <w:t>jälgitavusnõuete</w:t>
            </w:r>
            <w:proofErr w:type="spellEnd"/>
            <w:r w:rsidRPr="003F7950">
              <w:rPr>
                <w:b/>
                <w:i/>
              </w:rPr>
              <w:t xml:space="preserve"> täitmine mee turule laskmise tingimuseks. Selleks et kontrollida vastavust tootele märgitud päritoluriigile või -riikidele, kontrollivad tooteid pädevad asutused. Pädevad asutused teevad oma territooriumil korrapäraselt riskipõhiseid kontrolle, et teha kindlaks, kas asjaomased tooted, mille ettevõtja või kaupleja on turule lasknud või kavatseb turule lasta, vastavad käesoleva direktiivi nõuetele.“</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29</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1 – lõik 1 – punkt 2 c (uus)</w:t>
      </w:r>
    </w:p>
    <w:p w:rsidR="001E5367" w:rsidRPr="003F7950" w:rsidRDefault="001E5367" w:rsidP="001E5367">
      <w:pPr>
        <w:keepNext/>
      </w:pPr>
      <w:r w:rsidRPr="003F7950">
        <w:t>Direktiiv 2001/110/EÜ</w:t>
      </w:r>
    </w:p>
    <w:p w:rsidR="001E5367" w:rsidRPr="003F7950" w:rsidRDefault="001E5367" w:rsidP="001E5367">
      <w:r w:rsidRPr="003F7950">
        <w:t>I lisa – lõige 2 – punkt b – alapunkt viii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Kehtiv tekst</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2c)</w:t>
            </w:r>
            <w:r w:rsidRPr="003F7950">
              <w:tab/>
            </w:r>
            <w:r w:rsidRPr="003F7950">
              <w:rPr>
                <w:b/>
                <w:i/>
              </w:rPr>
              <w:t xml:space="preserve">I lisa </w:t>
            </w:r>
            <w:r w:rsidR="00D472CC" w:rsidRPr="003F7950">
              <w:rPr>
                <w:b/>
                <w:i/>
              </w:rPr>
              <w:t>punkti</w:t>
            </w:r>
            <w:r w:rsidRPr="003F7950">
              <w:rPr>
                <w:b/>
                <w:i/>
              </w:rPr>
              <w:t xml:space="preserve"> 2 </w:t>
            </w:r>
            <w:r w:rsidR="00D472CC" w:rsidRPr="003F7950">
              <w:rPr>
                <w:b/>
                <w:i/>
              </w:rPr>
              <w:t>ala</w:t>
            </w:r>
            <w:r w:rsidRPr="003F7950">
              <w:rPr>
                <w:b/>
                <w:i/>
              </w:rPr>
              <w:t>punkti b alapunkt viii asendatakse järgmisega:</w:t>
            </w:r>
          </w:p>
        </w:tc>
      </w:tr>
      <w:tr w:rsidR="001E5367" w:rsidRPr="003F7950" w:rsidTr="00D472CC">
        <w:trPr>
          <w:jc w:val="center"/>
        </w:trPr>
        <w:tc>
          <w:tcPr>
            <w:tcW w:w="4876" w:type="dxa"/>
          </w:tcPr>
          <w:p w:rsidR="001E5367" w:rsidRPr="003F7950" w:rsidRDefault="001E5367" w:rsidP="00D472CC">
            <w:pPr>
              <w:pStyle w:val="Normal6"/>
            </w:pPr>
            <w:r w:rsidRPr="003F7950">
              <w:rPr>
                <w:b/>
                <w:i/>
              </w:rPr>
              <w:t>viii</w:t>
            </w:r>
            <w:r w:rsidRPr="003F7950">
              <w:t xml:space="preserve">) </w:t>
            </w:r>
            <w:r w:rsidRPr="003F7950">
              <w:tab/>
            </w:r>
            <w:r w:rsidRPr="003F7950">
              <w:rPr>
                <w:b/>
                <w:i/>
              </w:rPr>
              <w:t>filtreeritud</w:t>
            </w:r>
            <w:r w:rsidRPr="003F7950">
              <w:t xml:space="preserve"> mesi</w:t>
            </w:r>
          </w:p>
        </w:tc>
        <w:tc>
          <w:tcPr>
            <w:tcW w:w="4876" w:type="dxa"/>
          </w:tcPr>
          <w:p w:rsidR="001E5367" w:rsidRPr="003F7950" w:rsidRDefault="001E5367" w:rsidP="00D472CC">
            <w:pPr>
              <w:pStyle w:val="Normal6"/>
              <w:rPr>
                <w:szCs w:val="24"/>
              </w:rPr>
            </w:pPr>
            <w:r w:rsidRPr="003F7950">
              <w:rPr>
                <w:b/>
                <w:i/>
              </w:rPr>
              <w:t>„viii</w:t>
            </w:r>
            <w:r w:rsidRPr="003F7950">
              <w:t xml:space="preserve">) </w:t>
            </w:r>
            <w:r w:rsidRPr="003F7950">
              <w:tab/>
            </w:r>
            <w:r w:rsidRPr="003F7950">
              <w:rPr>
                <w:b/>
                <w:i/>
              </w:rPr>
              <w:t>kuumutamata</w:t>
            </w:r>
            <w:r w:rsidRPr="003F7950">
              <w:t xml:space="preserve"> mesi</w:t>
            </w:r>
          </w:p>
        </w:tc>
      </w:tr>
      <w:tr w:rsidR="001E5367" w:rsidRPr="003F7950" w:rsidTr="00D472CC">
        <w:trPr>
          <w:jc w:val="center"/>
        </w:trPr>
        <w:tc>
          <w:tcPr>
            <w:tcW w:w="4876" w:type="dxa"/>
          </w:tcPr>
          <w:p w:rsidR="001E5367" w:rsidRPr="003F7950" w:rsidRDefault="001E5367" w:rsidP="00D472CC">
            <w:pPr>
              <w:pStyle w:val="Normal6"/>
            </w:pPr>
            <w:r w:rsidRPr="003F7950">
              <w:t xml:space="preserve">mesi, mis on </w:t>
            </w:r>
            <w:r w:rsidRPr="003F7950">
              <w:rPr>
                <w:b/>
                <w:i/>
              </w:rPr>
              <w:t>saadud mee koostisele võõraste orgaaniliste või anorgaaniliste ainete eemaldamise teel</w:t>
            </w:r>
            <w:r w:rsidRPr="003F7950">
              <w:t xml:space="preserve">, </w:t>
            </w:r>
            <w:r w:rsidRPr="003F7950">
              <w:rPr>
                <w:b/>
                <w:i/>
              </w:rPr>
              <w:t>mille tulemusel on eemaldatud märkimisväärne kogus õietolmu</w:t>
            </w:r>
            <w:r w:rsidRPr="003F7950">
              <w:t>.</w:t>
            </w:r>
          </w:p>
        </w:tc>
        <w:tc>
          <w:tcPr>
            <w:tcW w:w="4876" w:type="dxa"/>
          </w:tcPr>
          <w:p w:rsidR="001E5367" w:rsidRPr="003F7950" w:rsidRDefault="001E5367" w:rsidP="00D472CC">
            <w:pPr>
              <w:pStyle w:val="Normal6"/>
              <w:rPr>
                <w:szCs w:val="24"/>
              </w:rPr>
            </w:pPr>
            <w:r w:rsidRPr="003F7950">
              <w:t xml:space="preserve">mesi, mis on </w:t>
            </w:r>
            <w:r w:rsidRPr="003F7950">
              <w:rPr>
                <w:b/>
                <w:i/>
              </w:rPr>
              <w:t xml:space="preserve">kärgedest eraldatud, </w:t>
            </w:r>
            <w:proofErr w:type="spellStart"/>
            <w:r w:rsidRPr="003F7950">
              <w:rPr>
                <w:b/>
                <w:i/>
              </w:rPr>
              <w:t>dekanteeritud</w:t>
            </w:r>
            <w:proofErr w:type="spellEnd"/>
            <w:r w:rsidRPr="003F7950">
              <w:rPr>
                <w:b/>
                <w:i/>
              </w:rPr>
              <w:t xml:space="preserve"> ja seejärel vajaduse korral sõelutud. Nii tähistatud mett ei ole kuumutatud sel määral, et selle ensüümid ja muud termiliselt tundlikud elemendid </w:t>
            </w:r>
            <w:r w:rsidRPr="003F7950">
              <w:rPr>
                <w:b/>
                <w:i/>
              </w:rPr>
              <w:lastRenderedPageBreak/>
              <w:t>lagunevad niivõrd</w:t>
            </w:r>
            <w:r w:rsidRPr="003F7950">
              <w:t xml:space="preserve">, </w:t>
            </w:r>
            <w:r w:rsidRPr="003F7950">
              <w:rPr>
                <w:b/>
                <w:i/>
              </w:rPr>
              <w:t>et need ei vasta enam II lisa punktides 6 ja 6a sätestatud kriteeriumidele</w:t>
            </w:r>
            <w:r w:rsidRPr="003F7950">
              <w:t>.</w:t>
            </w:r>
            <w:r w:rsidRPr="003F7950">
              <w:rPr>
                <w:b/>
                <w:i/>
              </w:rPr>
              <w:t>“</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30</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1 – lõik 1 – punkt 2 d (uus)</w:t>
      </w:r>
    </w:p>
    <w:p w:rsidR="001E5367" w:rsidRPr="003F7950" w:rsidRDefault="001E5367" w:rsidP="001E5367">
      <w:pPr>
        <w:keepNext/>
      </w:pPr>
      <w:r w:rsidRPr="003F7950">
        <w:t>Direktiiv 2001/110/EÜ</w:t>
      </w:r>
    </w:p>
    <w:p w:rsidR="001E5367" w:rsidRPr="003F7950" w:rsidRDefault="001E5367" w:rsidP="001E5367">
      <w:r w:rsidRPr="003F7950">
        <w:t>II lisa – lõik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Kehtiv tekst</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2d)</w:t>
            </w:r>
            <w:r w:rsidRPr="003F7950">
              <w:tab/>
            </w:r>
            <w:r w:rsidRPr="003F7950">
              <w:rPr>
                <w:b/>
                <w:i/>
              </w:rPr>
              <w:t xml:space="preserve">II lisa </w:t>
            </w:r>
            <w:r w:rsidR="008A26CA" w:rsidRPr="003F7950">
              <w:rPr>
                <w:b/>
                <w:i/>
              </w:rPr>
              <w:t xml:space="preserve">teine </w:t>
            </w:r>
            <w:r w:rsidRPr="003F7950">
              <w:rPr>
                <w:b/>
                <w:i/>
              </w:rPr>
              <w:t>lõik asendatakse järgmisega:</w:t>
            </w:r>
          </w:p>
        </w:tc>
      </w:tr>
      <w:tr w:rsidR="001E5367" w:rsidRPr="003F7950" w:rsidTr="00D472CC">
        <w:trPr>
          <w:jc w:val="center"/>
        </w:trPr>
        <w:tc>
          <w:tcPr>
            <w:tcW w:w="4876" w:type="dxa"/>
          </w:tcPr>
          <w:p w:rsidR="001E5367" w:rsidRPr="003F7950" w:rsidRDefault="001E5367" w:rsidP="00D472CC">
            <w:pPr>
              <w:pStyle w:val="Normal6"/>
            </w:pPr>
            <w:r w:rsidRPr="003F7950">
              <w:rPr>
                <w:b/>
                <w:i/>
              </w:rPr>
              <w:t>Meena</w:t>
            </w:r>
            <w:r w:rsidRPr="003F7950">
              <w:t xml:space="preserve"> turustamisel või inimtoiduks ettenähtud tootes kasutamisel ei tohi meele olla lisatud mingeid toidu koostisosasid, sealhulgas lisaained, samuti ei tohi sinna olla lisatud muud peale mee. Mesi peab olema</w:t>
            </w:r>
            <w:r w:rsidRPr="003F7950">
              <w:rPr>
                <w:b/>
                <w:i/>
              </w:rPr>
              <w:t xml:space="preserve"> võimalikult</w:t>
            </w:r>
            <w:r w:rsidRPr="003F7950">
              <w:t xml:space="preserve"> vaba selle koostisele võõrastest orgaanilistest või anorgaanilistest ainetest. Välja arvatud I lisa punkt 3, ei tohi meel olla võõrast maitset või lõhna, ei tohi mesi olla hakanud käärima, olla kunstlikult muudetud happesusega või olla kuumutatud selliselt, et mee looduslikud ensüümid on hävinud või kaotanud märkimisväärselt toimet.</w:t>
            </w:r>
          </w:p>
        </w:tc>
        <w:tc>
          <w:tcPr>
            <w:tcW w:w="4876" w:type="dxa"/>
          </w:tcPr>
          <w:p w:rsidR="001E5367" w:rsidRPr="003F7950" w:rsidRDefault="001E5367" w:rsidP="00D472CC">
            <w:pPr>
              <w:pStyle w:val="Normal6"/>
              <w:rPr>
                <w:szCs w:val="24"/>
              </w:rPr>
            </w:pPr>
            <w:r w:rsidRPr="003F7950">
              <w:rPr>
                <w:b/>
                <w:i/>
              </w:rPr>
              <w:t>„Meena</w:t>
            </w:r>
            <w:r w:rsidRPr="003F7950">
              <w:t xml:space="preserve"> turustamisel või inimtoiduks ettenähtud tootes kasutamisel ei tohi meele olla lisatud mingeid toidu koostisosasid, sealhulgas lisaained, samuti ei tohi sinna olla lisatud muud peale mee. Mesi peab olema vaba selle koostisele võõrastest orgaanilistest või anorgaanilistest ainetest. Välja arvatud I lisa punkt 3, ei tohi meel olla võõrast maitset või lõhna, ei tohi mesi olla hakanud käärima, olla kunstlikult muudetud happesusega või olla kuumutatud selliselt, et mee looduslikud ensüümid on hävinud või kaotanud märkimisväärselt toimet</w:t>
            </w:r>
            <w:r w:rsidRPr="003F7950">
              <w:rPr>
                <w:b/>
                <w:i/>
              </w:rPr>
              <w:t>, ning seda ei tohi olla vaakumaurustatud.</w:t>
            </w:r>
            <w:r w:rsidRPr="003F7950">
              <w:t xml:space="preserve"> </w:t>
            </w:r>
            <w:r w:rsidRPr="003F7950">
              <w:rPr>
                <w:b/>
                <w:i/>
              </w:rPr>
              <w:t>Meena turustamisel või inimtoiduks ettenähtud tootes kasutamisel peab mesi vastama punktides 1–6 sätestatud koostise omadustele. „Toormeena“ turustamisel peab see vastama ka punktis 6a sätestatud koostise omadustele.</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31</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1 – lõik 1 – punkt 2 e (uus)</w:t>
      </w:r>
    </w:p>
    <w:p w:rsidR="001E5367" w:rsidRPr="003F7950" w:rsidRDefault="001E5367" w:rsidP="001E5367">
      <w:pPr>
        <w:keepNext/>
      </w:pPr>
      <w:r w:rsidRPr="003F7950">
        <w:t>Direktiiv 2001/110/EÜ</w:t>
      </w:r>
    </w:p>
    <w:p w:rsidR="001E5367" w:rsidRPr="003F7950" w:rsidRDefault="001E5367" w:rsidP="001E5367">
      <w:r w:rsidRPr="003F7950">
        <w:t xml:space="preserve">II lisa – </w:t>
      </w:r>
      <w:r w:rsidR="008A26CA" w:rsidRPr="003F7950">
        <w:t xml:space="preserve">punkt </w:t>
      </w:r>
      <w:r w:rsidRPr="003F7950">
        <w:t>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Kehtiv tekst</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2e)</w:t>
            </w:r>
            <w:r w:rsidRPr="003F7950">
              <w:tab/>
            </w:r>
            <w:r w:rsidRPr="003F7950">
              <w:rPr>
                <w:b/>
                <w:i/>
              </w:rPr>
              <w:t xml:space="preserve">II lisa </w:t>
            </w:r>
            <w:r w:rsidR="00D472CC" w:rsidRPr="003F7950">
              <w:rPr>
                <w:b/>
                <w:i/>
              </w:rPr>
              <w:t>punkt </w:t>
            </w:r>
            <w:r w:rsidRPr="003F7950">
              <w:rPr>
                <w:b/>
                <w:i/>
              </w:rPr>
              <w:t xml:space="preserve">3 asendatakse </w:t>
            </w:r>
            <w:r w:rsidRPr="003F7950">
              <w:rPr>
                <w:b/>
                <w:i/>
              </w:rPr>
              <w:lastRenderedPageBreak/>
              <w:t>järgmisega:</w:t>
            </w:r>
          </w:p>
        </w:tc>
      </w:tr>
      <w:tr w:rsidR="001E5367" w:rsidRPr="003F7950" w:rsidTr="00D472CC">
        <w:trPr>
          <w:jc w:val="center"/>
        </w:trPr>
        <w:tc>
          <w:tcPr>
            <w:tcW w:w="4876" w:type="dxa"/>
          </w:tcPr>
          <w:p w:rsidR="001E5367" w:rsidRPr="003F7950" w:rsidRDefault="001E5367" w:rsidP="00D472CC">
            <w:pPr>
              <w:pStyle w:val="Normal6"/>
            </w:pPr>
            <w:r w:rsidRPr="003F7950">
              <w:rPr>
                <w:b/>
                <w:i/>
              </w:rPr>
              <w:lastRenderedPageBreak/>
              <w:t>Ilma et see piiraks I lisa punkti 2 alapunkti b alapunkti viii kohaldamist,</w:t>
            </w:r>
            <w:r w:rsidRPr="003F7950">
              <w:t xml:space="preserve"> ei </w:t>
            </w:r>
            <w:r w:rsidRPr="003F7950">
              <w:rPr>
                <w:b/>
                <w:i/>
              </w:rPr>
              <w:t>tohi õietolmu ega muid meele iseloomulikke koostisaineid eemaldada</w:t>
            </w:r>
            <w:r w:rsidRPr="003F7950">
              <w:t xml:space="preserve">, </w:t>
            </w:r>
            <w:r w:rsidRPr="003F7950">
              <w:rPr>
                <w:b/>
                <w:i/>
              </w:rPr>
              <w:t>välja arvatud juhul, kui see</w:t>
            </w:r>
            <w:r w:rsidRPr="003F7950">
              <w:t xml:space="preserve"> on </w:t>
            </w:r>
            <w:r w:rsidRPr="003F7950">
              <w:rPr>
                <w:b/>
                <w:i/>
              </w:rPr>
              <w:t>võõraste anorgaaniliste või orgaaniliste ainete eemaldamisel vältimatu</w:t>
            </w:r>
            <w:r w:rsidRPr="003F7950">
              <w:t>.</w:t>
            </w:r>
          </w:p>
        </w:tc>
        <w:tc>
          <w:tcPr>
            <w:tcW w:w="4876" w:type="dxa"/>
          </w:tcPr>
          <w:p w:rsidR="001E5367" w:rsidRPr="003F7950" w:rsidRDefault="001E5367" w:rsidP="00D472CC">
            <w:pPr>
              <w:pStyle w:val="Normal6"/>
              <w:rPr>
                <w:szCs w:val="24"/>
              </w:rPr>
            </w:pPr>
            <w:r w:rsidRPr="003F7950">
              <w:rPr>
                <w:b/>
                <w:i/>
              </w:rPr>
              <w:t>„Väiksema kui 100 µm läbimõõduga õietolmu kogust või õietolmu kombinatsiooni</w:t>
            </w:r>
            <w:r w:rsidRPr="003F7950">
              <w:t xml:space="preserve"> ei </w:t>
            </w:r>
            <w:r w:rsidRPr="003F7950">
              <w:rPr>
                <w:b/>
                <w:i/>
              </w:rPr>
              <w:t>ole lubatud oluliselt muuta. Mee koostisosi</w:t>
            </w:r>
            <w:r w:rsidRPr="003F7950">
              <w:t xml:space="preserve">, </w:t>
            </w:r>
            <w:r w:rsidRPr="003F7950">
              <w:rPr>
                <w:b/>
                <w:i/>
              </w:rPr>
              <w:t>mille läbimõõt</w:t>
            </w:r>
            <w:r w:rsidRPr="003F7950">
              <w:t xml:space="preserve"> on </w:t>
            </w:r>
            <w:r w:rsidRPr="003F7950">
              <w:rPr>
                <w:b/>
                <w:i/>
              </w:rPr>
              <w:t>väiksem kui 100 µm, ei tohi eemaldada</w:t>
            </w:r>
            <w:r w:rsidRPr="003F7950">
              <w:t>.</w:t>
            </w:r>
            <w:r w:rsidRPr="003F7950">
              <w:rPr>
                <w:b/>
                <w:i/>
              </w:rPr>
              <w:t>“</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32</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1 – lõik 1 – punkt 2 f (uus)</w:t>
      </w:r>
    </w:p>
    <w:p w:rsidR="001E5367" w:rsidRPr="003F7950" w:rsidRDefault="001E5367" w:rsidP="001E5367">
      <w:pPr>
        <w:keepNext/>
      </w:pPr>
      <w:r w:rsidRPr="003F7950">
        <w:t>Direktiiv 2001/110/EÜ</w:t>
      </w:r>
    </w:p>
    <w:p w:rsidR="001E5367" w:rsidRPr="003F7950" w:rsidRDefault="001E5367" w:rsidP="001E5367">
      <w:r w:rsidRPr="003F7950">
        <w:t>II lisa – lõi</w:t>
      </w:r>
      <w:r w:rsidR="008A26CA" w:rsidRPr="003F7950">
        <w:t>ge 4 – punkt</w:t>
      </w:r>
      <w:r w:rsidRPr="003F7950">
        <w:t xml:space="preserve"> 6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2f)</w:t>
            </w:r>
            <w:r w:rsidRPr="003F7950">
              <w:tab/>
            </w:r>
            <w:r w:rsidRPr="003F7950">
              <w:rPr>
                <w:b/>
                <w:i/>
              </w:rPr>
              <w:t>II lisa</w:t>
            </w:r>
            <w:r w:rsidR="008A26CA" w:rsidRPr="003F7950">
              <w:rPr>
                <w:b/>
                <w:i/>
              </w:rPr>
              <w:t xml:space="preserve"> lõikesse 4</w:t>
            </w:r>
            <w:r w:rsidRPr="003F7950">
              <w:rPr>
                <w:b/>
                <w:i/>
              </w:rPr>
              <w:t xml:space="preserve"> lisatakse järgmine punkt:</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 xml:space="preserve">„6a) </w:t>
            </w:r>
            <w:r w:rsidRPr="003F7950">
              <w:tab/>
            </w:r>
            <w:proofErr w:type="spellStart"/>
            <w:r w:rsidRPr="003F7950">
              <w:rPr>
                <w:b/>
                <w:i/>
              </w:rPr>
              <w:t>invertaasiindeks</w:t>
            </w:r>
            <w:proofErr w:type="spellEnd"/>
            <w:r w:rsidRPr="003F7950">
              <w:rPr>
                <w:b/>
                <w:i/>
              </w:rPr>
              <w:t xml:space="preserve"> (</w:t>
            </w:r>
            <w:proofErr w:type="spellStart"/>
            <w:r w:rsidRPr="003F7950">
              <w:rPr>
                <w:b/>
                <w:i/>
              </w:rPr>
              <w:t>Gontarski</w:t>
            </w:r>
            <w:proofErr w:type="spellEnd"/>
            <w:r w:rsidRPr="003F7950">
              <w:rPr>
                <w:b/>
                <w:i/>
              </w:rPr>
              <w:t xml:space="preserve"> ühik) töötlemata mee puhul. Määratakse kindlaks pärast töötlemist ja segamist. – üldiselt vähemalt 50 U/kg – väikese loodusliku ensüümisisaldusega mee puhul vähemalt 25 U/kg.“</w:t>
            </w:r>
          </w:p>
        </w:tc>
      </w:tr>
    </w:tbl>
    <w:p w:rsidR="00364AA4" w:rsidRPr="003F7950" w:rsidRDefault="00364AA4" w:rsidP="001E5367"/>
    <w:p w:rsidR="001E5367" w:rsidRPr="003F7950" w:rsidRDefault="001E5367" w:rsidP="001E5367">
      <w:pPr>
        <w:pStyle w:val="AMNumberTabs0"/>
        <w:keepNext/>
        <w:spacing w:after="240"/>
      </w:pPr>
      <w:r w:rsidRPr="003F7950">
        <w:t>Muudatusettepanek</w:t>
      </w:r>
      <w:r w:rsidRPr="003F7950">
        <w:tab/>
      </w:r>
      <w:r w:rsidRPr="003F7950">
        <w:tab/>
        <w:t>33</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2 – lõik 1 – punkt 1 – alapunkt b a (uus)</w:t>
      </w:r>
    </w:p>
    <w:p w:rsidR="001E5367" w:rsidRPr="003F7950" w:rsidRDefault="001E5367" w:rsidP="001E5367">
      <w:pPr>
        <w:keepNext/>
      </w:pPr>
      <w:r w:rsidRPr="003F7950">
        <w:t>Direktiiv 2001/112/EÜ</w:t>
      </w:r>
    </w:p>
    <w:p w:rsidR="001E5367" w:rsidRPr="003F7950" w:rsidRDefault="001E5367" w:rsidP="001E5367">
      <w:r w:rsidRPr="003F7950">
        <w:t>Artikkel 3 – lõige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proofErr w:type="spellStart"/>
            <w:r w:rsidRPr="003F7950">
              <w:rPr>
                <w:b/>
                <w:i/>
              </w:rPr>
              <w:t>ba</w:t>
            </w:r>
            <w:proofErr w:type="spellEnd"/>
            <w:r w:rsidRPr="003F7950">
              <w:rPr>
                <w:b/>
                <w:i/>
              </w:rPr>
              <w:t>)</w:t>
            </w:r>
            <w:r w:rsidRPr="003F7950">
              <w:rPr>
                <w:b/>
                <w:i/>
              </w:rPr>
              <w:tab/>
              <w:t>Lisatakse järgmine lõige:</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 xml:space="preserve">„3a. </w:t>
            </w:r>
            <w:r w:rsidRPr="003F7950">
              <w:rPr>
                <w:b/>
                <w:i/>
              </w:rPr>
              <w:tab/>
              <w:t>Pakendi esikülje etiketile märgitakse puuviljade/marjade päritoluriik, kus mahl valmistati. Kui kasutatud puuviljad/marjad on pärit rohkem kui ühest riigist, märgitakse etiketil päritoluriigid kahanevas järjekorras vastavalt puuviljade/marjade osakaalule puuvilja- või marjamahlas.“</w:t>
            </w:r>
          </w:p>
        </w:tc>
      </w:tr>
    </w:tbl>
    <w:p w:rsidR="001E5367" w:rsidRPr="003F7950" w:rsidRDefault="001E5367" w:rsidP="001E5367"/>
    <w:p w:rsidR="001E5367" w:rsidRPr="003F7950" w:rsidRDefault="001E5367" w:rsidP="001E5367">
      <w:pPr>
        <w:pStyle w:val="AMNumberTabs0"/>
        <w:keepNext/>
        <w:spacing w:after="240"/>
      </w:pPr>
      <w:r w:rsidRPr="003F7950">
        <w:lastRenderedPageBreak/>
        <w:t>Muudatusettepanek</w:t>
      </w:r>
      <w:r w:rsidRPr="003F7950">
        <w:tab/>
      </w:r>
      <w:r w:rsidRPr="003F7950">
        <w:tab/>
        <w:t>34</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2 – lõik 1 – punkt 1 – alapunkt c</w:t>
      </w:r>
    </w:p>
    <w:p w:rsidR="001E5367" w:rsidRPr="003F7950" w:rsidRDefault="001E5367" w:rsidP="001E5367">
      <w:pPr>
        <w:keepNext/>
      </w:pPr>
      <w:r w:rsidRPr="003F7950">
        <w:t>Direktiiv 2001/112/EÜ</w:t>
      </w:r>
    </w:p>
    <w:p w:rsidR="001E5367" w:rsidRPr="003F7950" w:rsidRDefault="001E5367" w:rsidP="001E5367">
      <w:r w:rsidRPr="003F7950">
        <w:t>Artikkel 3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D472CC" w:rsidP="00D472CC">
            <w:pPr>
              <w:pStyle w:val="Normal6"/>
            </w:pPr>
            <w:r w:rsidRPr="003F7950">
              <w:t>„</w:t>
            </w:r>
            <w:r w:rsidR="001E5367" w:rsidRPr="003F7950">
              <w:t>4.</w:t>
            </w:r>
            <w:r w:rsidR="001E5367" w:rsidRPr="003F7950">
              <w:tab/>
              <w:t xml:space="preserve">Ilma et see piiraks Euroopa Parlamendi ja nõukogu määruse (EÜ) nr 1924/2006** kohaldamist, võib märgistusel käesoleva direktiivi I lisa I osa punktis 1 osutatud toodete nimetusega samal vaateväljal olla märge </w:t>
            </w:r>
            <w:r w:rsidR="001E5367" w:rsidRPr="003F7950">
              <w:rPr>
                <w:b/>
                <w:i/>
              </w:rPr>
              <w:t>„puuvilja- ja marjamahlad ei sisalda lisatud suhkrut</w:t>
            </w:r>
            <w:r w:rsidRPr="003F7950">
              <w:rPr>
                <w:b/>
                <w:i/>
              </w:rPr>
              <w:t>“</w:t>
            </w:r>
            <w:r w:rsidR="001E5367" w:rsidRPr="003F7950">
              <w:t>.</w:t>
            </w:r>
            <w:r w:rsidRPr="003F7950">
              <w:t>“</w:t>
            </w:r>
          </w:p>
        </w:tc>
        <w:tc>
          <w:tcPr>
            <w:tcW w:w="4876" w:type="dxa"/>
          </w:tcPr>
          <w:p w:rsidR="001E5367" w:rsidRPr="003F7950" w:rsidRDefault="00D472CC" w:rsidP="00D472CC">
            <w:pPr>
              <w:pStyle w:val="Normal6"/>
              <w:rPr>
                <w:szCs w:val="24"/>
              </w:rPr>
            </w:pPr>
            <w:r w:rsidRPr="003F7950">
              <w:t>„</w:t>
            </w:r>
            <w:r w:rsidR="001E5367" w:rsidRPr="003F7950">
              <w:t>4.</w:t>
            </w:r>
            <w:r w:rsidR="001E5367" w:rsidRPr="003F7950">
              <w:tab/>
              <w:t xml:space="preserve">Ilma et see piiraks Euroopa Parlamendi ja nõukogu määruse (EÜ) nr 1924/2006** kohaldamist, võib märgistusel käesoleva direktiivi I lisa I osa punktis 1 osutatud toodete nimetusega samal vaateväljal olla märge </w:t>
            </w:r>
            <w:r w:rsidR="001E5367" w:rsidRPr="003F7950">
              <w:rPr>
                <w:b/>
                <w:i/>
              </w:rPr>
              <w:t>„sisaldab ainult looduslikult esinevaid suhkruid“</w:t>
            </w:r>
            <w:r w:rsidR="001E5367" w:rsidRPr="003F7950">
              <w:t>.</w:t>
            </w:r>
            <w:r w:rsidRPr="003F7950">
              <w:t>“</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35</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2 – lõik 1 – punkt 1 – alapunkt d</w:t>
      </w:r>
    </w:p>
    <w:p w:rsidR="001E5367" w:rsidRPr="003F7950" w:rsidRDefault="001E5367" w:rsidP="001E5367">
      <w:pPr>
        <w:keepNext/>
      </w:pPr>
      <w:r w:rsidRPr="003F7950">
        <w:t>Direktiiv 2001/112/EÜ</w:t>
      </w:r>
    </w:p>
    <w:p w:rsidR="001E5367" w:rsidRPr="003F7950" w:rsidRDefault="001E5367" w:rsidP="001E5367">
      <w:r w:rsidRPr="003F7950">
        <w:t>Artikkel 3 – lõige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D472CC" w:rsidP="00D472CC">
            <w:pPr>
              <w:pStyle w:val="Normal6"/>
            </w:pPr>
            <w:r w:rsidRPr="003F7950">
              <w:t>„</w:t>
            </w:r>
            <w:r w:rsidR="001E5367" w:rsidRPr="003F7950">
              <w:t>6.</w:t>
            </w:r>
            <w:r w:rsidR="001E5367" w:rsidRPr="003F7950">
              <w:tab/>
              <w:t>Ilma et see piiraks määruse (EL) 1169/2011/EÜ artikli 22 kohaldamist, kantakse puuvilja- ja marjamahla ning kontsentreeritud mahlast saadud puuvilja- ja marjamahla segude ning täielikult või osaliselt ühest või mitmest kontsentreeritud tootest saadud puuvilja- ja marjanektari märgistusele vastavalt sõnad „kontsentreeritud mahla(de)st“ või „osaliselt kontsentreeritud mahla(de)st“. Kõnealune teave märgitakse toote nimetuse lähedusse taustast hästi eristuvate selgesti loetavate tähtedega.“</w:t>
            </w:r>
          </w:p>
        </w:tc>
        <w:tc>
          <w:tcPr>
            <w:tcW w:w="4876" w:type="dxa"/>
          </w:tcPr>
          <w:p w:rsidR="001E5367" w:rsidRPr="003F7950" w:rsidRDefault="00D472CC" w:rsidP="00D472CC">
            <w:pPr>
              <w:pStyle w:val="Normal6"/>
              <w:rPr>
                <w:szCs w:val="24"/>
              </w:rPr>
            </w:pPr>
            <w:r w:rsidRPr="003F7950">
              <w:t>„</w:t>
            </w:r>
            <w:r w:rsidR="001E5367" w:rsidRPr="003F7950">
              <w:t>6.</w:t>
            </w:r>
            <w:r w:rsidR="001E5367" w:rsidRPr="003F7950">
              <w:tab/>
              <w:t>Ilma et see piiraks määruse (EL) 1169/2011/EÜ artikli 22 kohaldamist, kantakse puuvilja- ja marjamahla ning kontsentreeritud mahlast saadud puuvilja- ja marjamahla segude</w:t>
            </w:r>
            <w:r w:rsidR="001E5367" w:rsidRPr="003F7950">
              <w:rPr>
                <w:b/>
                <w:i/>
              </w:rPr>
              <w:t>, vähendatud suhkrusisaldusega puuvilja- ja marjamahla, kontsentreeritud mahlast saadud vähendatud suhkrusisaldusega puuvilja- ja marjamahla</w:t>
            </w:r>
            <w:r w:rsidR="001E5367" w:rsidRPr="003F7950">
              <w:t xml:space="preserve"> ning täielikult või osaliselt ühest või mitmest kontsentreeritud tootest saadud puuvilja- ja marjanektari märgistusele vastavalt sõnad „kontsentreeritud mahla(de)st“ või „osaliselt kontsentreeritud mahla(de)st“. Kõnealune teave märgitakse toote nimetuse lähedusse taustast hästi eristuvate selgesti loetavate tähtedega.“</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36</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2 – lõik 1 – punkt 1 – alapunkt d a (uus)</w:t>
      </w:r>
    </w:p>
    <w:p w:rsidR="001E5367" w:rsidRPr="003F7950" w:rsidRDefault="001E5367" w:rsidP="001E5367">
      <w:pPr>
        <w:keepNext/>
      </w:pPr>
      <w:r w:rsidRPr="003F7950">
        <w:lastRenderedPageBreak/>
        <w:t>Direktiiv 2001/112/EÜ</w:t>
      </w:r>
    </w:p>
    <w:p w:rsidR="001E5367" w:rsidRPr="003F7950" w:rsidRDefault="001E5367" w:rsidP="001E5367">
      <w:r w:rsidRPr="003F7950">
        <w:t>Artikkel 3 – lõige 7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proofErr w:type="spellStart"/>
            <w:r w:rsidRPr="003F7950">
              <w:rPr>
                <w:b/>
                <w:i/>
              </w:rPr>
              <w:t>da</w:t>
            </w:r>
            <w:proofErr w:type="spellEnd"/>
            <w:r w:rsidRPr="003F7950">
              <w:rPr>
                <w:b/>
                <w:i/>
              </w:rPr>
              <w:t>)</w:t>
            </w:r>
            <w:r w:rsidRPr="003F7950">
              <w:rPr>
                <w:b/>
                <w:i/>
              </w:rPr>
              <w:tab/>
              <w:t>Lisatakse järgmine lõige:</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 xml:space="preserve">„7a. </w:t>
            </w:r>
            <w:r w:rsidRPr="003F7950">
              <w:rPr>
                <w:b/>
                <w:i/>
              </w:rPr>
              <w:tab/>
              <w:t>I lisa punktis 6 osutatud vähendatud suhkrusisaldusega puuvilja- ja marjamahla või kontsentreeritud mahlast saadud vähendatud suhkrusisaldusega puuvilja- ja marjamahla märgistusel ei tohi esitada väiteid toote positiivsete omaduste kohta (näiteks seoses tervisekasu, koostisosade või toiteväärtusega) võrreldes puuviljamahlas sisalduvate looduslike puuviljadega või I lisa punktides 1–4 loetletud toodetega.“</w:t>
            </w:r>
          </w:p>
        </w:tc>
      </w:tr>
    </w:tbl>
    <w:p w:rsidR="001E5367" w:rsidRPr="003F7950" w:rsidRDefault="001E5367" w:rsidP="001E5367"/>
    <w:p w:rsidR="001E5367" w:rsidRPr="003F7950" w:rsidRDefault="001E5367" w:rsidP="001E5367">
      <w:pPr>
        <w:pStyle w:val="AMNumberTabs0"/>
        <w:keepNext/>
        <w:tabs>
          <w:tab w:val="left" w:pos="6660"/>
        </w:tabs>
        <w:spacing w:after="240"/>
      </w:pPr>
      <w:r w:rsidRPr="003F7950">
        <w:t>Muudatusettepanek</w:t>
      </w:r>
      <w:r w:rsidRPr="003F7950">
        <w:tab/>
      </w:r>
      <w:r w:rsidRPr="003F7950">
        <w:tab/>
        <w:t>37</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2 – lõik 1 – punkt 2 a (uus)</w:t>
      </w:r>
    </w:p>
    <w:p w:rsidR="001E5367" w:rsidRPr="003F7950" w:rsidRDefault="001E5367" w:rsidP="001E5367">
      <w:pPr>
        <w:keepNext/>
      </w:pPr>
      <w:r w:rsidRPr="003F7950">
        <w:t>Direktiiv 2001/112/EÜ</w:t>
      </w:r>
    </w:p>
    <w:p w:rsidR="001E5367" w:rsidRPr="003F7950" w:rsidRDefault="001E5367" w:rsidP="001E5367">
      <w:r w:rsidRPr="003F7950">
        <w:t xml:space="preserve">Artikkel 10 – lõik 1 a (uus)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rPr>
                <w:b/>
                <w:bCs/>
                <w:i/>
                <w:iCs/>
              </w:rPr>
            </w:pPr>
          </w:p>
        </w:tc>
        <w:tc>
          <w:tcPr>
            <w:tcW w:w="4876" w:type="dxa"/>
          </w:tcPr>
          <w:p w:rsidR="001E5367" w:rsidRPr="003F7950" w:rsidRDefault="001E5367" w:rsidP="00D472CC">
            <w:pPr>
              <w:pStyle w:val="Normal6"/>
              <w:rPr>
                <w:b/>
                <w:bCs/>
                <w:i/>
                <w:iCs/>
              </w:rPr>
            </w:pPr>
            <w:r w:rsidRPr="003F7950">
              <w:rPr>
                <w:b/>
                <w:i/>
              </w:rPr>
              <w:t>2a)</w:t>
            </w:r>
            <w:r w:rsidRPr="003F7950">
              <w:rPr>
                <w:b/>
                <w:i/>
              </w:rPr>
              <w:tab/>
              <w:t>Artiklile 10 lisatakse teine lõik:</w:t>
            </w:r>
          </w:p>
        </w:tc>
      </w:tr>
      <w:tr w:rsidR="001E5367" w:rsidRPr="003F7950" w:rsidTr="00D472CC">
        <w:trPr>
          <w:jc w:val="center"/>
        </w:trPr>
        <w:tc>
          <w:tcPr>
            <w:tcW w:w="4876" w:type="dxa"/>
          </w:tcPr>
          <w:p w:rsidR="001E5367" w:rsidRPr="003F7950" w:rsidRDefault="001E5367" w:rsidP="00D472CC">
            <w:pPr>
              <w:pStyle w:val="Normal6"/>
              <w:rPr>
                <w:b/>
                <w:bCs/>
                <w:i/>
                <w:iCs/>
              </w:rPr>
            </w:pPr>
          </w:p>
        </w:tc>
        <w:tc>
          <w:tcPr>
            <w:tcW w:w="4876" w:type="dxa"/>
          </w:tcPr>
          <w:p w:rsidR="001E5367" w:rsidRPr="003F7950" w:rsidRDefault="00D472CC" w:rsidP="00D472CC">
            <w:pPr>
              <w:pStyle w:val="Normal6"/>
              <w:rPr>
                <w:b/>
                <w:bCs/>
                <w:i/>
                <w:iCs/>
              </w:rPr>
            </w:pPr>
            <w:r w:rsidRPr="003F7950">
              <w:rPr>
                <w:b/>
                <w:i/>
              </w:rPr>
              <w:t>„</w:t>
            </w:r>
            <w:r w:rsidR="001E5367" w:rsidRPr="003F7950">
              <w:rPr>
                <w:b/>
                <w:i/>
              </w:rPr>
              <w:t>I lisa 1. osa punkt 6 jõustub ... [12 kuud pärast kuupäeva, mil käesolevale direktiivile on lisatud määratlus keskmisele mahlale iseloomulike põhiliste füüsikaliste, keemiliste, organoleptiliste ja toitaineliste omaduste kohta].</w:t>
            </w:r>
            <w:r w:rsidRPr="003F7950">
              <w:rPr>
                <w:b/>
                <w:i/>
              </w:rPr>
              <w:t>“</w:t>
            </w:r>
          </w:p>
        </w:tc>
      </w:tr>
    </w:tbl>
    <w:p w:rsidR="001E5367" w:rsidRPr="003F7950" w:rsidRDefault="001E5367" w:rsidP="001E5367"/>
    <w:p w:rsidR="001E5367" w:rsidRPr="003F7950" w:rsidRDefault="001E5367" w:rsidP="001E5367">
      <w:pPr>
        <w:pStyle w:val="AMNumberTabs0"/>
        <w:keepNext/>
        <w:tabs>
          <w:tab w:val="left" w:pos="6660"/>
        </w:tabs>
        <w:spacing w:after="240"/>
      </w:pPr>
      <w:r w:rsidRPr="003F7950">
        <w:t>Muudatusettepanek</w:t>
      </w:r>
      <w:r w:rsidRPr="003F7950">
        <w:tab/>
      </w:r>
      <w:r w:rsidRPr="003F7950">
        <w:tab/>
        <w:t>38</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2 – lõik 1 a (uus)</w:t>
      </w:r>
    </w:p>
    <w:p w:rsidR="001E5367" w:rsidRPr="003F7950" w:rsidRDefault="001E5367" w:rsidP="001E5367">
      <w:pPr>
        <w:keepNext/>
      </w:pPr>
      <w:r w:rsidRPr="003F7950">
        <w:t>Direktiiv 2001/112/EÜ</w:t>
      </w:r>
    </w:p>
    <w:p w:rsidR="001E5367" w:rsidRPr="003F7950" w:rsidRDefault="001E5367" w:rsidP="001E5367">
      <w:r w:rsidRPr="003F7950">
        <w:t xml:space="preserve">Artikkel 3 a (uus)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rPr>
                <w:b/>
                <w:bCs/>
                <w:i/>
                <w:iCs/>
              </w:rPr>
            </w:pPr>
          </w:p>
        </w:tc>
        <w:tc>
          <w:tcPr>
            <w:tcW w:w="4876" w:type="dxa"/>
          </w:tcPr>
          <w:p w:rsidR="001E5367" w:rsidRPr="003F7950" w:rsidRDefault="00D472CC" w:rsidP="00D472CC">
            <w:pPr>
              <w:pStyle w:val="Normal6"/>
              <w:jc w:val="center"/>
              <w:rPr>
                <w:b/>
                <w:bCs/>
                <w:i/>
                <w:iCs/>
              </w:rPr>
            </w:pPr>
            <w:r w:rsidRPr="003F7950">
              <w:rPr>
                <w:b/>
                <w:i/>
              </w:rPr>
              <w:t>„</w:t>
            </w:r>
            <w:r w:rsidR="001E5367" w:rsidRPr="003F7950">
              <w:rPr>
                <w:b/>
                <w:i/>
              </w:rPr>
              <w:t>Artikkel 3a</w:t>
            </w:r>
          </w:p>
        </w:tc>
      </w:tr>
      <w:tr w:rsidR="001E5367" w:rsidRPr="003F7950" w:rsidTr="00D472CC">
        <w:trPr>
          <w:jc w:val="center"/>
        </w:trPr>
        <w:tc>
          <w:tcPr>
            <w:tcW w:w="4876" w:type="dxa"/>
          </w:tcPr>
          <w:p w:rsidR="001E5367" w:rsidRPr="003F7950" w:rsidRDefault="001E5367" w:rsidP="00D472CC">
            <w:pPr>
              <w:pStyle w:val="Normal6"/>
              <w:rPr>
                <w:b/>
                <w:bCs/>
                <w:i/>
                <w:iCs/>
              </w:rPr>
            </w:pPr>
          </w:p>
        </w:tc>
        <w:tc>
          <w:tcPr>
            <w:tcW w:w="4876" w:type="dxa"/>
          </w:tcPr>
          <w:p w:rsidR="001E5367" w:rsidRPr="003F7950" w:rsidRDefault="001E5367" w:rsidP="00D472CC">
            <w:pPr>
              <w:pStyle w:val="Normal6"/>
              <w:rPr>
                <w:b/>
                <w:bCs/>
                <w:i/>
                <w:iCs/>
              </w:rPr>
            </w:pPr>
            <w:r w:rsidRPr="003F7950">
              <w:rPr>
                <w:b/>
                <w:i/>
              </w:rPr>
              <w:t xml:space="preserve">Komisjon esitab 31. detsembriks 2024 </w:t>
            </w:r>
            <w:r w:rsidRPr="003F7950">
              <w:rPr>
                <w:b/>
                <w:i/>
              </w:rPr>
              <w:lastRenderedPageBreak/>
              <w:t>seadusandliku ettepaneku muuta I lisa, et lisada direktiivi määratlus keskmisele mahlale iseloomulike põhiliste füüsikaliste, keemiliste, organoleptiliste ja toitaineliste omaduste kohta, mis hõlmab puuvilja- ja marjamahlades kasutatavaid peamisi puuvilju/marju.</w:t>
            </w:r>
            <w:r w:rsidR="00D472CC" w:rsidRPr="003F7950">
              <w:rPr>
                <w:b/>
                <w:i/>
              </w:rPr>
              <w:t>“</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39</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3 – lõik 1 – punkt 1 – alapunkt b a (uus)</w:t>
      </w:r>
    </w:p>
    <w:p w:rsidR="001E5367" w:rsidRPr="003F7950" w:rsidRDefault="001E5367" w:rsidP="001E5367">
      <w:pPr>
        <w:keepNext/>
      </w:pPr>
      <w:r w:rsidRPr="003F7950">
        <w:t>Direktiiv 2001/113/EÜ</w:t>
      </w:r>
    </w:p>
    <w:p w:rsidR="001E5367" w:rsidRPr="003F7950" w:rsidRDefault="001E5367" w:rsidP="001E5367">
      <w:r w:rsidRPr="003F7950">
        <w:t>Artikkel 2 – lõige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proofErr w:type="spellStart"/>
            <w:r w:rsidRPr="003F7950">
              <w:rPr>
                <w:b/>
                <w:i/>
              </w:rPr>
              <w:t>ba</w:t>
            </w:r>
            <w:proofErr w:type="spellEnd"/>
            <w:r w:rsidRPr="003F7950">
              <w:rPr>
                <w:b/>
                <w:i/>
              </w:rPr>
              <w:t>)</w:t>
            </w:r>
            <w:r w:rsidRPr="003F7950">
              <w:rPr>
                <w:b/>
                <w:i/>
              </w:rPr>
              <w:tab/>
              <w:t>Lisatakse järgmine lõige:</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8D7439">
            <w:pPr>
              <w:pStyle w:val="Normal6"/>
              <w:rPr>
                <w:szCs w:val="24"/>
              </w:rPr>
            </w:pPr>
            <w:r w:rsidRPr="003F7950">
              <w:rPr>
                <w:b/>
                <w:i/>
              </w:rPr>
              <w:t>„4a.</w:t>
            </w:r>
            <w:r w:rsidRPr="003F7950">
              <w:rPr>
                <w:b/>
                <w:i/>
              </w:rPr>
              <w:tab/>
              <w:t>Etiketile märgitakse I lisas määratletud toodete valmistamisel kasutatud puuviljade/marjade ja suhkru päritoluriik. Kui toode on valmistatud üht liiki puuviljadest/marjadest ning kasutatud puuviljad/marjad on pärit rohkem kui ühest riigist, märgitakse etiketile päritoluriigid kahanevas järjekorras vastavalt neist pärinevate, toote valmistamisel kasutatud puuviljade/marjade ja suhkru osakaalule.</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Toodete puhul, milles kasutatakse segu eri puuviljadest/marjadest, mis on pärit rohkem kui ühest riigist, märgitakse päritoluriigid etiketile kahanevas järjekorras vastavalt neist pärinevate, toote valmistamisel kasutatud puuviljade/marjade osakaalule.</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Pakendi etiketile märgitakse igast päritoluriigist pärinevate kõnealuste koostisosade protsendimäära vahemik ühena järgmistest vahemikest:</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&gt;90 %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70 %–90 %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50 %–70 %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30 %–50 %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10 %–30 %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 xml:space="preserve">&lt;10 %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Pakendite puhul, mis sisaldavad kuni 30 g, võib etiketile märkida igast päritoluriigist pärineva kõnealuse koostisosa protsendimäära vahemiku ühena järgmistest vahemikest:</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&gt;75 %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50 %–75 %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25 %–50 %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&lt;25 %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 xml:space="preserve">Ainult pakendite puhul, mis sisaldavad vähem kui 30 g, võib päritoluriigid märkida etiketile </w:t>
            </w:r>
            <w:proofErr w:type="spellStart"/>
            <w:r w:rsidRPr="003F7950">
              <w:rPr>
                <w:b/>
                <w:i/>
              </w:rPr>
              <w:t>kahetähelise</w:t>
            </w:r>
            <w:proofErr w:type="spellEnd"/>
            <w:r w:rsidRPr="003F7950">
              <w:rPr>
                <w:b/>
                <w:i/>
              </w:rPr>
              <w:t xml:space="preserve"> riigikoodiga (ISO 3166 alpha-2 riigikood).</w:t>
            </w:r>
            <w:r w:rsidR="00855988" w:rsidRPr="003F7950">
              <w:rPr>
                <w:b/>
                <w:i/>
              </w:rPr>
              <w:t>“</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40</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3 – lõik 1 – punkt 1 – alapunkt c</w:t>
      </w:r>
    </w:p>
    <w:p w:rsidR="001E5367" w:rsidRPr="003F7950" w:rsidRDefault="001E5367" w:rsidP="001E5367">
      <w:pPr>
        <w:keepNext/>
      </w:pPr>
      <w:r w:rsidRPr="003F7950">
        <w:t>Direktiiv 2001/113/EÜ</w:t>
      </w:r>
    </w:p>
    <w:p w:rsidR="001E5367" w:rsidRPr="003F7950" w:rsidRDefault="001E5367" w:rsidP="001E5367">
      <w:r w:rsidRPr="003F7950">
        <w:t>Artikkel 2 – lõige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855988" w:rsidP="00D472CC">
            <w:pPr>
              <w:pStyle w:val="Normal6"/>
            </w:pPr>
            <w:r w:rsidRPr="003F7950">
              <w:t>„</w:t>
            </w:r>
            <w:r w:rsidR="001E5367" w:rsidRPr="003F7950">
              <w:t>6.</w:t>
            </w:r>
            <w:r w:rsidR="001E5367" w:rsidRPr="003F7950">
              <w:tab/>
            </w:r>
            <w:r w:rsidR="001E5367" w:rsidRPr="003F7950">
              <w:rPr>
                <w:b/>
                <w:i/>
              </w:rPr>
              <w:t>Kui</w:t>
            </w:r>
            <w:r w:rsidR="001E5367" w:rsidRPr="003F7950">
              <w:t xml:space="preserve"> vääveldioksiidijääkide sisaldus </w:t>
            </w:r>
            <w:r w:rsidR="001E5367" w:rsidRPr="003F7950">
              <w:rPr>
                <w:b/>
                <w:i/>
              </w:rPr>
              <w:t>on üle 10 mg/kg, tuleb selle olemasolu erandina määruse (EL) 1169/2011 artiklist 20 esitada</w:t>
            </w:r>
            <w:r w:rsidR="001E5367" w:rsidRPr="003F7950">
              <w:t xml:space="preserve"> koostisainete loetelus.“</w:t>
            </w:r>
          </w:p>
        </w:tc>
        <w:tc>
          <w:tcPr>
            <w:tcW w:w="4876" w:type="dxa"/>
          </w:tcPr>
          <w:p w:rsidR="001E5367" w:rsidRPr="003F7950" w:rsidRDefault="00855988" w:rsidP="00D472CC">
            <w:pPr>
              <w:pStyle w:val="Normal6"/>
              <w:rPr>
                <w:szCs w:val="24"/>
              </w:rPr>
            </w:pPr>
            <w:r w:rsidRPr="003F7950">
              <w:t>„</w:t>
            </w:r>
            <w:r w:rsidR="001E5367" w:rsidRPr="003F7950">
              <w:t>6.</w:t>
            </w:r>
            <w:r w:rsidR="001E5367" w:rsidRPr="003F7950">
              <w:tab/>
              <w:t xml:space="preserve">Vääveldioksiidijääkide sisaldus </w:t>
            </w:r>
            <w:r w:rsidR="001E5367" w:rsidRPr="003F7950">
              <w:rPr>
                <w:b/>
                <w:i/>
              </w:rPr>
              <w:t>esitatakse</w:t>
            </w:r>
            <w:r w:rsidR="001E5367" w:rsidRPr="003F7950">
              <w:t xml:space="preserve"> koostisainete loetelus</w:t>
            </w:r>
            <w:r w:rsidRPr="003F7950">
              <w:t>.“</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41</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5 – lõige 1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r w:rsidRPr="003F7950">
              <w:t xml:space="preserve">Liikmesriigid võtavad käesoleva direktiivi järgimiseks vajalikud õigus- ja haldusnormid vastu ja avaldavad need hiljemalt [OP </w:t>
            </w:r>
            <w:proofErr w:type="spellStart"/>
            <w:r w:rsidRPr="003F7950">
              <w:t>please</w:t>
            </w:r>
            <w:proofErr w:type="spellEnd"/>
            <w:r w:rsidRPr="003F7950">
              <w:t xml:space="preserve"> </w:t>
            </w:r>
            <w:proofErr w:type="spellStart"/>
            <w:r w:rsidRPr="003F7950">
              <w:t>insert</w:t>
            </w:r>
            <w:proofErr w:type="spellEnd"/>
            <w:r w:rsidRPr="003F7950">
              <w:t xml:space="preserve"> </w:t>
            </w:r>
            <w:proofErr w:type="spellStart"/>
            <w:r w:rsidRPr="003F7950">
              <w:t>the</w:t>
            </w:r>
            <w:proofErr w:type="spellEnd"/>
            <w:r w:rsidRPr="003F7950">
              <w:t xml:space="preserve"> </w:t>
            </w:r>
            <w:proofErr w:type="spellStart"/>
            <w:r w:rsidRPr="003F7950">
              <w:t>date</w:t>
            </w:r>
            <w:proofErr w:type="spellEnd"/>
            <w:r w:rsidRPr="003F7950">
              <w:t xml:space="preserve"> = </w:t>
            </w:r>
            <w:r w:rsidRPr="003F7950">
              <w:rPr>
                <w:b/>
                <w:i/>
              </w:rPr>
              <w:t>18</w:t>
            </w:r>
            <w:r w:rsidRPr="003F7950">
              <w:t xml:space="preserve"> </w:t>
            </w:r>
            <w:proofErr w:type="spellStart"/>
            <w:r w:rsidRPr="003F7950">
              <w:t>months</w:t>
            </w:r>
            <w:proofErr w:type="spellEnd"/>
            <w:r w:rsidRPr="003F7950">
              <w:t xml:space="preserve"> </w:t>
            </w:r>
            <w:proofErr w:type="spellStart"/>
            <w:r w:rsidRPr="003F7950">
              <w:t>after</w:t>
            </w:r>
            <w:proofErr w:type="spellEnd"/>
            <w:r w:rsidRPr="003F7950">
              <w:t xml:space="preserve"> </w:t>
            </w:r>
            <w:proofErr w:type="spellStart"/>
            <w:r w:rsidRPr="003F7950">
              <w:t>the</w:t>
            </w:r>
            <w:proofErr w:type="spellEnd"/>
            <w:r w:rsidRPr="003F7950">
              <w:t xml:space="preserve"> </w:t>
            </w:r>
            <w:proofErr w:type="spellStart"/>
            <w:r w:rsidRPr="003F7950">
              <w:t>date</w:t>
            </w:r>
            <w:proofErr w:type="spellEnd"/>
            <w:r w:rsidRPr="003F7950">
              <w:t xml:space="preserve"> of </w:t>
            </w:r>
            <w:proofErr w:type="spellStart"/>
            <w:r w:rsidRPr="003F7950">
              <w:t>entry</w:t>
            </w:r>
            <w:proofErr w:type="spellEnd"/>
            <w:r w:rsidRPr="003F7950">
              <w:t xml:space="preserve"> </w:t>
            </w:r>
            <w:proofErr w:type="spellStart"/>
            <w:r w:rsidRPr="003F7950">
              <w:t>into</w:t>
            </w:r>
            <w:proofErr w:type="spellEnd"/>
            <w:r w:rsidRPr="003F7950">
              <w:t xml:space="preserve"> </w:t>
            </w:r>
            <w:proofErr w:type="spellStart"/>
            <w:r w:rsidRPr="003F7950">
              <w:t>force</w:t>
            </w:r>
            <w:proofErr w:type="spellEnd"/>
            <w:r w:rsidRPr="003F7950">
              <w:t xml:space="preserve"> of </w:t>
            </w:r>
            <w:proofErr w:type="spellStart"/>
            <w:r w:rsidRPr="003F7950">
              <w:t>this</w:t>
            </w:r>
            <w:proofErr w:type="spellEnd"/>
            <w:r w:rsidRPr="003F7950">
              <w:t xml:space="preserve"> </w:t>
            </w:r>
            <w:proofErr w:type="spellStart"/>
            <w:r w:rsidRPr="003F7950">
              <w:t>Directive</w:t>
            </w:r>
            <w:proofErr w:type="spellEnd"/>
            <w:r w:rsidRPr="003F7950">
              <w:t>]. Nad edastavad kõnealuste normide teksti viivitamata komisjonile.</w:t>
            </w:r>
          </w:p>
        </w:tc>
        <w:tc>
          <w:tcPr>
            <w:tcW w:w="4876" w:type="dxa"/>
          </w:tcPr>
          <w:p w:rsidR="001E5367" w:rsidRPr="003F7950" w:rsidRDefault="001E5367" w:rsidP="00D472CC">
            <w:pPr>
              <w:pStyle w:val="Normal6"/>
              <w:rPr>
                <w:szCs w:val="24"/>
              </w:rPr>
            </w:pPr>
            <w:r w:rsidRPr="003F7950">
              <w:t xml:space="preserve">Liikmesriigid võtavad käesoleva direktiivi järgimiseks vajalikud õigus- ja haldusnormid vastu ja avaldavad need hiljemalt [OP </w:t>
            </w:r>
            <w:proofErr w:type="spellStart"/>
            <w:r w:rsidRPr="003F7950">
              <w:t>please</w:t>
            </w:r>
            <w:proofErr w:type="spellEnd"/>
            <w:r w:rsidRPr="003F7950">
              <w:t xml:space="preserve"> </w:t>
            </w:r>
            <w:proofErr w:type="spellStart"/>
            <w:r w:rsidRPr="003F7950">
              <w:t>insert</w:t>
            </w:r>
            <w:proofErr w:type="spellEnd"/>
            <w:r w:rsidRPr="003F7950">
              <w:t xml:space="preserve"> </w:t>
            </w:r>
            <w:proofErr w:type="spellStart"/>
            <w:r w:rsidRPr="003F7950">
              <w:t>the</w:t>
            </w:r>
            <w:proofErr w:type="spellEnd"/>
            <w:r w:rsidRPr="003F7950">
              <w:t xml:space="preserve"> </w:t>
            </w:r>
            <w:proofErr w:type="spellStart"/>
            <w:r w:rsidRPr="003F7950">
              <w:t>date</w:t>
            </w:r>
            <w:proofErr w:type="spellEnd"/>
            <w:r w:rsidRPr="003F7950">
              <w:t xml:space="preserve"> = </w:t>
            </w:r>
            <w:r w:rsidRPr="003F7950">
              <w:rPr>
                <w:b/>
                <w:i/>
              </w:rPr>
              <w:t>12</w:t>
            </w:r>
            <w:r w:rsidRPr="003F7950">
              <w:t xml:space="preserve"> </w:t>
            </w:r>
            <w:proofErr w:type="spellStart"/>
            <w:r w:rsidRPr="003F7950">
              <w:t>months</w:t>
            </w:r>
            <w:proofErr w:type="spellEnd"/>
            <w:r w:rsidRPr="003F7950">
              <w:t xml:space="preserve"> </w:t>
            </w:r>
            <w:proofErr w:type="spellStart"/>
            <w:r w:rsidRPr="003F7950">
              <w:t>after</w:t>
            </w:r>
            <w:proofErr w:type="spellEnd"/>
            <w:r w:rsidRPr="003F7950">
              <w:t xml:space="preserve"> </w:t>
            </w:r>
            <w:proofErr w:type="spellStart"/>
            <w:r w:rsidRPr="003F7950">
              <w:t>the</w:t>
            </w:r>
            <w:proofErr w:type="spellEnd"/>
            <w:r w:rsidRPr="003F7950">
              <w:t xml:space="preserve"> </w:t>
            </w:r>
            <w:proofErr w:type="spellStart"/>
            <w:r w:rsidRPr="003F7950">
              <w:t>date</w:t>
            </w:r>
            <w:proofErr w:type="spellEnd"/>
            <w:r w:rsidRPr="003F7950">
              <w:t xml:space="preserve"> of </w:t>
            </w:r>
            <w:proofErr w:type="spellStart"/>
            <w:r w:rsidRPr="003F7950">
              <w:t>entry</w:t>
            </w:r>
            <w:proofErr w:type="spellEnd"/>
            <w:r w:rsidRPr="003F7950">
              <w:t xml:space="preserve"> </w:t>
            </w:r>
            <w:proofErr w:type="spellStart"/>
            <w:r w:rsidRPr="003F7950">
              <w:t>into</w:t>
            </w:r>
            <w:proofErr w:type="spellEnd"/>
            <w:r w:rsidRPr="003F7950">
              <w:t xml:space="preserve"> </w:t>
            </w:r>
            <w:proofErr w:type="spellStart"/>
            <w:r w:rsidRPr="003F7950">
              <w:t>force</w:t>
            </w:r>
            <w:proofErr w:type="spellEnd"/>
            <w:r w:rsidRPr="003F7950">
              <w:t xml:space="preserve"> of </w:t>
            </w:r>
            <w:proofErr w:type="spellStart"/>
            <w:r w:rsidRPr="003F7950">
              <w:t>this</w:t>
            </w:r>
            <w:proofErr w:type="spellEnd"/>
            <w:r w:rsidRPr="003F7950">
              <w:t xml:space="preserve"> </w:t>
            </w:r>
            <w:proofErr w:type="spellStart"/>
            <w:r w:rsidRPr="003F7950">
              <w:t>Directive</w:t>
            </w:r>
            <w:proofErr w:type="spellEnd"/>
            <w:r w:rsidRPr="003F7950">
              <w:t>]. Nad edastavad kõnealuste normide teksti viivitamata komisjonile.</w:t>
            </w:r>
          </w:p>
        </w:tc>
      </w:tr>
    </w:tbl>
    <w:p w:rsidR="001E5367" w:rsidRPr="003F7950" w:rsidRDefault="001E5367" w:rsidP="001E5367"/>
    <w:p w:rsidR="001E5367" w:rsidRPr="003F7950" w:rsidRDefault="001E5367" w:rsidP="001E5367">
      <w:pPr>
        <w:pStyle w:val="AMNumberTabs0"/>
        <w:keepNext/>
        <w:spacing w:after="240"/>
      </w:pPr>
      <w:r w:rsidRPr="003F7950">
        <w:lastRenderedPageBreak/>
        <w:t>Muudatusettepanek</w:t>
      </w:r>
      <w:r w:rsidRPr="003F7950">
        <w:tab/>
      </w:r>
      <w:r w:rsidRPr="003F7950">
        <w:tab/>
        <w:t>42</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5 – lõige 1 – lõik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r w:rsidRPr="003F7950">
              <w:t xml:space="preserve">Liikmesriigid kohaldavad kõnealuseid norme alates [OP </w:t>
            </w:r>
            <w:proofErr w:type="spellStart"/>
            <w:r w:rsidRPr="003F7950">
              <w:t>please</w:t>
            </w:r>
            <w:proofErr w:type="spellEnd"/>
            <w:r w:rsidRPr="003F7950">
              <w:t xml:space="preserve"> </w:t>
            </w:r>
            <w:proofErr w:type="spellStart"/>
            <w:r w:rsidRPr="003F7950">
              <w:t>insert</w:t>
            </w:r>
            <w:proofErr w:type="spellEnd"/>
            <w:r w:rsidRPr="003F7950">
              <w:t xml:space="preserve"> </w:t>
            </w:r>
            <w:proofErr w:type="spellStart"/>
            <w:r w:rsidRPr="003F7950">
              <w:t>the</w:t>
            </w:r>
            <w:proofErr w:type="spellEnd"/>
            <w:r w:rsidRPr="003F7950">
              <w:t xml:space="preserve"> </w:t>
            </w:r>
            <w:proofErr w:type="spellStart"/>
            <w:r w:rsidRPr="003F7950">
              <w:t>date</w:t>
            </w:r>
            <w:proofErr w:type="spellEnd"/>
            <w:r w:rsidRPr="003F7950">
              <w:t xml:space="preserve"> = </w:t>
            </w:r>
            <w:r w:rsidRPr="003F7950">
              <w:rPr>
                <w:b/>
                <w:i/>
              </w:rPr>
              <w:t>24</w:t>
            </w:r>
            <w:r w:rsidRPr="003F7950">
              <w:t xml:space="preserve"> </w:t>
            </w:r>
            <w:proofErr w:type="spellStart"/>
            <w:r w:rsidRPr="003F7950">
              <w:t>months</w:t>
            </w:r>
            <w:proofErr w:type="spellEnd"/>
            <w:r w:rsidRPr="003F7950">
              <w:t xml:space="preserve"> </w:t>
            </w:r>
            <w:proofErr w:type="spellStart"/>
            <w:r w:rsidRPr="003F7950">
              <w:t>after</w:t>
            </w:r>
            <w:proofErr w:type="spellEnd"/>
            <w:r w:rsidRPr="003F7950">
              <w:t xml:space="preserve"> </w:t>
            </w:r>
            <w:proofErr w:type="spellStart"/>
            <w:r w:rsidRPr="003F7950">
              <w:t>the</w:t>
            </w:r>
            <w:proofErr w:type="spellEnd"/>
            <w:r w:rsidRPr="003F7950">
              <w:t xml:space="preserve"> </w:t>
            </w:r>
            <w:proofErr w:type="spellStart"/>
            <w:r w:rsidRPr="003F7950">
              <w:t>date</w:t>
            </w:r>
            <w:proofErr w:type="spellEnd"/>
            <w:r w:rsidRPr="003F7950">
              <w:t xml:space="preserve"> of </w:t>
            </w:r>
            <w:proofErr w:type="spellStart"/>
            <w:r w:rsidRPr="003F7950">
              <w:t>entry</w:t>
            </w:r>
            <w:proofErr w:type="spellEnd"/>
            <w:r w:rsidRPr="003F7950">
              <w:t xml:space="preserve"> </w:t>
            </w:r>
            <w:proofErr w:type="spellStart"/>
            <w:r w:rsidRPr="003F7950">
              <w:t>into</w:t>
            </w:r>
            <w:proofErr w:type="spellEnd"/>
            <w:r w:rsidRPr="003F7950">
              <w:t xml:space="preserve"> </w:t>
            </w:r>
            <w:proofErr w:type="spellStart"/>
            <w:r w:rsidRPr="003F7950">
              <w:t>force</w:t>
            </w:r>
            <w:proofErr w:type="spellEnd"/>
            <w:r w:rsidRPr="003F7950">
              <w:t xml:space="preserve"> of </w:t>
            </w:r>
            <w:proofErr w:type="spellStart"/>
            <w:r w:rsidRPr="003F7950">
              <w:t>this</w:t>
            </w:r>
            <w:proofErr w:type="spellEnd"/>
            <w:r w:rsidRPr="003F7950">
              <w:t xml:space="preserve"> </w:t>
            </w:r>
            <w:proofErr w:type="spellStart"/>
            <w:r w:rsidRPr="003F7950">
              <w:t>Directive</w:t>
            </w:r>
            <w:proofErr w:type="spellEnd"/>
            <w:r w:rsidRPr="003F7950">
              <w:t>].</w:t>
            </w:r>
          </w:p>
        </w:tc>
        <w:tc>
          <w:tcPr>
            <w:tcW w:w="4876" w:type="dxa"/>
          </w:tcPr>
          <w:p w:rsidR="001E5367" w:rsidRPr="003F7950" w:rsidRDefault="001E5367" w:rsidP="00D472CC">
            <w:pPr>
              <w:pStyle w:val="Normal6"/>
              <w:rPr>
                <w:szCs w:val="24"/>
              </w:rPr>
            </w:pPr>
            <w:r w:rsidRPr="003F7950">
              <w:t xml:space="preserve">Liikmesriigid kohaldavad kõnealuseid norme alates [OP </w:t>
            </w:r>
            <w:proofErr w:type="spellStart"/>
            <w:r w:rsidRPr="003F7950">
              <w:t>please</w:t>
            </w:r>
            <w:proofErr w:type="spellEnd"/>
            <w:r w:rsidRPr="003F7950">
              <w:t xml:space="preserve"> </w:t>
            </w:r>
            <w:proofErr w:type="spellStart"/>
            <w:r w:rsidRPr="003F7950">
              <w:t>insert</w:t>
            </w:r>
            <w:proofErr w:type="spellEnd"/>
            <w:r w:rsidRPr="003F7950">
              <w:t xml:space="preserve"> </w:t>
            </w:r>
            <w:proofErr w:type="spellStart"/>
            <w:r w:rsidRPr="003F7950">
              <w:t>the</w:t>
            </w:r>
            <w:proofErr w:type="spellEnd"/>
            <w:r w:rsidRPr="003F7950">
              <w:t xml:space="preserve"> </w:t>
            </w:r>
            <w:proofErr w:type="spellStart"/>
            <w:r w:rsidRPr="003F7950">
              <w:t>date</w:t>
            </w:r>
            <w:proofErr w:type="spellEnd"/>
            <w:r w:rsidRPr="003F7950">
              <w:t xml:space="preserve"> = </w:t>
            </w:r>
            <w:r w:rsidRPr="003F7950">
              <w:rPr>
                <w:b/>
                <w:i/>
              </w:rPr>
              <w:t>18</w:t>
            </w:r>
            <w:r w:rsidRPr="003F7950">
              <w:t xml:space="preserve"> </w:t>
            </w:r>
            <w:proofErr w:type="spellStart"/>
            <w:r w:rsidRPr="003F7950">
              <w:t>months</w:t>
            </w:r>
            <w:proofErr w:type="spellEnd"/>
            <w:r w:rsidRPr="003F7950">
              <w:t xml:space="preserve"> </w:t>
            </w:r>
            <w:proofErr w:type="spellStart"/>
            <w:r w:rsidRPr="003F7950">
              <w:t>after</w:t>
            </w:r>
            <w:proofErr w:type="spellEnd"/>
            <w:r w:rsidRPr="003F7950">
              <w:t xml:space="preserve"> </w:t>
            </w:r>
            <w:proofErr w:type="spellStart"/>
            <w:r w:rsidRPr="003F7950">
              <w:t>the</w:t>
            </w:r>
            <w:proofErr w:type="spellEnd"/>
            <w:r w:rsidRPr="003F7950">
              <w:t xml:space="preserve"> </w:t>
            </w:r>
            <w:proofErr w:type="spellStart"/>
            <w:r w:rsidRPr="003F7950">
              <w:t>date</w:t>
            </w:r>
            <w:proofErr w:type="spellEnd"/>
            <w:r w:rsidRPr="003F7950">
              <w:t xml:space="preserve"> of </w:t>
            </w:r>
            <w:proofErr w:type="spellStart"/>
            <w:r w:rsidRPr="003F7950">
              <w:t>entry</w:t>
            </w:r>
            <w:proofErr w:type="spellEnd"/>
            <w:r w:rsidRPr="003F7950">
              <w:t xml:space="preserve"> </w:t>
            </w:r>
            <w:proofErr w:type="spellStart"/>
            <w:r w:rsidRPr="003F7950">
              <w:t>into</w:t>
            </w:r>
            <w:proofErr w:type="spellEnd"/>
            <w:r w:rsidRPr="003F7950">
              <w:t xml:space="preserve"> </w:t>
            </w:r>
            <w:proofErr w:type="spellStart"/>
            <w:r w:rsidRPr="003F7950">
              <w:t>force</w:t>
            </w:r>
            <w:proofErr w:type="spellEnd"/>
            <w:r w:rsidRPr="003F7950">
              <w:t xml:space="preserve"> of </w:t>
            </w:r>
            <w:proofErr w:type="spellStart"/>
            <w:r w:rsidRPr="003F7950">
              <w:t>this</w:t>
            </w:r>
            <w:proofErr w:type="spellEnd"/>
            <w:r w:rsidRPr="003F7950">
              <w:t xml:space="preserve"> </w:t>
            </w:r>
            <w:proofErr w:type="spellStart"/>
            <w:r w:rsidRPr="003F7950">
              <w:t>Directive</w:t>
            </w:r>
            <w:proofErr w:type="spellEnd"/>
            <w:r w:rsidRPr="003F7950">
              <w:t>].</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43</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Artikkel 6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r w:rsidRPr="003F7950">
              <w:t xml:space="preserve">Tooteid, mis lastakse turule või märgistatakse enne [OP </w:t>
            </w:r>
            <w:proofErr w:type="spellStart"/>
            <w:r w:rsidRPr="003F7950">
              <w:t>please</w:t>
            </w:r>
            <w:proofErr w:type="spellEnd"/>
            <w:r w:rsidRPr="003F7950">
              <w:t xml:space="preserve"> </w:t>
            </w:r>
            <w:proofErr w:type="spellStart"/>
            <w:r w:rsidRPr="003F7950">
              <w:t>insert</w:t>
            </w:r>
            <w:proofErr w:type="spellEnd"/>
            <w:r w:rsidRPr="003F7950">
              <w:t xml:space="preserve"> </w:t>
            </w:r>
            <w:proofErr w:type="spellStart"/>
            <w:r w:rsidRPr="003F7950">
              <w:t>the</w:t>
            </w:r>
            <w:proofErr w:type="spellEnd"/>
            <w:r w:rsidRPr="003F7950">
              <w:t xml:space="preserve"> </w:t>
            </w:r>
            <w:proofErr w:type="spellStart"/>
            <w:r w:rsidRPr="003F7950">
              <w:t>date</w:t>
            </w:r>
            <w:proofErr w:type="spellEnd"/>
            <w:r w:rsidRPr="003F7950">
              <w:t xml:space="preserve"> = </w:t>
            </w:r>
            <w:r w:rsidRPr="003F7950">
              <w:rPr>
                <w:b/>
                <w:i/>
              </w:rPr>
              <w:t>24</w:t>
            </w:r>
            <w:r w:rsidRPr="003F7950">
              <w:t xml:space="preserve"> </w:t>
            </w:r>
            <w:proofErr w:type="spellStart"/>
            <w:r w:rsidRPr="003F7950">
              <w:t>months</w:t>
            </w:r>
            <w:proofErr w:type="spellEnd"/>
            <w:r w:rsidRPr="003F7950">
              <w:t xml:space="preserve"> </w:t>
            </w:r>
            <w:proofErr w:type="spellStart"/>
            <w:r w:rsidRPr="003F7950">
              <w:t>after</w:t>
            </w:r>
            <w:proofErr w:type="spellEnd"/>
            <w:r w:rsidRPr="003F7950">
              <w:t xml:space="preserve"> </w:t>
            </w:r>
            <w:proofErr w:type="spellStart"/>
            <w:r w:rsidRPr="003F7950">
              <w:t>the</w:t>
            </w:r>
            <w:proofErr w:type="spellEnd"/>
            <w:r w:rsidRPr="003F7950">
              <w:t xml:space="preserve"> </w:t>
            </w:r>
            <w:proofErr w:type="spellStart"/>
            <w:r w:rsidRPr="003F7950">
              <w:t>date</w:t>
            </w:r>
            <w:proofErr w:type="spellEnd"/>
            <w:r w:rsidRPr="003F7950">
              <w:t xml:space="preserve"> of </w:t>
            </w:r>
            <w:proofErr w:type="spellStart"/>
            <w:r w:rsidRPr="003F7950">
              <w:t>entry</w:t>
            </w:r>
            <w:proofErr w:type="spellEnd"/>
            <w:r w:rsidRPr="003F7950">
              <w:t xml:space="preserve"> </w:t>
            </w:r>
            <w:proofErr w:type="spellStart"/>
            <w:r w:rsidRPr="003F7950">
              <w:t>into</w:t>
            </w:r>
            <w:proofErr w:type="spellEnd"/>
            <w:r w:rsidRPr="003F7950">
              <w:t xml:space="preserve"> </w:t>
            </w:r>
            <w:proofErr w:type="spellStart"/>
            <w:r w:rsidRPr="003F7950">
              <w:t>force</w:t>
            </w:r>
            <w:proofErr w:type="spellEnd"/>
            <w:r w:rsidRPr="003F7950">
              <w:t xml:space="preserve"> of </w:t>
            </w:r>
            <w:proofErr w:type="spellStart"/>
            <w:r w:rsidRPr="003F7950">
              <w:t>this</w:t>
            </w:r>
            <w:proofErr w:type="spellEnd"/>
            <w:r w:rsidRPr="003F7950">
              <w:t xml:space="preserve"> </w:t>
            </w:r>
            <w:proofErr w:type="spellStart"/>
            <w:r w:rsidRPr="003F7950">
              <w:t>Directive</w:t>
            </w:r>
            <w:proofErr w:type="spellEnd"/>
            <w:r w:rsidRPr="003F7950">
              <w:t>] vastavalt direktiividele 2001/110/EÜ, 2001/112/EÜ, 2001/113/EÜ ja 2001/114/EÜ, võib jätkuvalt turustada kuni varude ammendumiseni.</w:t>
            </w:r>
          </w:p>
        </w:tc>
        <w:tc>
          <w:tcPr>
            <w:tcW w:w="4876" w:type="dxa"/>
          </w:tcPr>
          <w:p w:rsidR="001E5367" w:rsidRPr="003F7950" w:rsidRDefault="001E5367" w:rsidP="00D472CC">
            <w:pPr>
              <w:pStyle w:val="Normal6"/>
              <w:rPr>
                <w:szCs w:val="24"/>
              </w:rPr>
            </w:pPr>
            <w:r w:rsidRPr="003F7950">
              <w:t xml:space="preserve">Tooteid, mis lastakse turule või märgistatakse enne [OP </w:t>
            </w:r>
            <w:proofErr w:type="spellStart"/>
            <w:r w:rsidRPr="003F7950">
              <w:t>please</w:t>
            </w:r>
            <w:proofErr w:type="spellEnd"/>
            <w:r w:rsidRPr="003F7950">
              <w:t xml:space="preserve"> </w:t>
            </w:r>
            <w:proofErr w:type="spellStart"/>
            <w:r w:rsidRPr="003F7950">
              <w:t>insert</w:t>
            </w:r>
            <w:proofErr w:type="spellEnd"/>
            <w:r w:rsidRPr="003F7950">
              <w:t xml:space="preserve"> </w:t>
            </w:r>
            <w:proofErr w:type="spellStart"/>
            <w:r w:rsidRPr="003F7950">
              <w:t>the</w:t>
            </w:r>
            <w:proofErr w:type="spellEnd"/>
            <w:r w:rsidRPr="003F7950">
              <w:t xml:space="preserve"> </w:t>
            </w:r>
            <w:proofErr w:type="spellStart"/>
            <w:r w:rsidRPr="003F7950">
              <w:t>date</w:t>
            </w:r>
            <w:proofErr w:type="spellEnd"/>
            <w:r w:rsidRPr="003F7950">
              <w:t xml:space="preserve"> = </w:t>
            </w:r>
            <w:r w:rsidRPr="003F7950">
              <w:rPr>
                <w:b/>
                <w:i/>
              </w:rPr>
              <w:t>18</w:t>
            </w:r>
            <w:r w:rsidRPr="003F7950">
              <w:t xml:space="preserve"> </w:t>
            </w:r>
            <w:proofErr w:type="spellStart"/>
            <w:r w:rsidRPr="003F7950">
              <w:t>months</w:t>
            </w:r>
            <w:proofErr w:type="spellEnd"/>
            <w:r w:rsidRPr="003F7950">
              <w:t xml:space="preserve"> </w:t>
            </w:r>
            <w:proofErr w:type="spellStart"/>
            <w:r w:rsidRPr="003F7950">
              <w:t>after</w:t>
            </w:r>
            <w:proofErr w:type="spellEnd"/>
            <w:r w:rsidRPr="003F7950">
              <w:t xml:space="preserve"> </w:t>
            </w:r>
            <w:proofErr w:type="spellStart"/>
            <w:r w:rsidRPr="003F7950">
              <w:t>the</w:t>
            </w:r>
            <w:proofErr w:type="spellEnd"/>
            <w:r w:rsidRPr="003F7950">
              <w:t xml:space="preserve"> </w:t>
            </w:r>
            <w:proofErr w:type="spellStart"/>
            <w:r w:rsidRPr="003F7950">
              <w:t>date</w:t>
            </w:r>
            <w:proofErr w:type="spellEnd"/>
            <w:r w:rsidRPr="003F7950">
              <w:t xml:space="preserve"> of </w:t>
            </w:r>
            <w:proofErr w:type="spellStart"/>
            <w:r w:rsidRPr="003F7950">
              <w:t>entry</w:t>
            </w:r>
            <w:proofErr w:type="spellEnd"/>
            <w:r w:rsidRPr="003F7950">
              <w:t xml:space="preserve"> </w:t>
            </w:r>
            <w:proofErr w:type="spellStart"/>
            <w:r w:rsidRPr="003F7950">
              <w:t>into</w:t>
            </w:r>
            <w:proofErr w:type="spellEnd"/>
            <w:r w:rsidRPr="003F7950">
              <w:t xml:space="preserve"> </w:t>
            </w:r>
            <w:proofErr w:type="spellStart"/>
            <w:r w:rsidRPr="003F7950">
              <w:t>force</w:t>
            </w:r>
            <w:proofErr w:type="spellEnd"/>
            <w:r w:rsidRPr="003F7950">
              <w:t xml:space="preserve"> of </w:t>
            </w:r>
            <w:proofErr w:type="spellStart"/>
            <w:r w:rsidRPr="003F7950">
              <w:t>this</w:t>
            </w:r>
            <w:proofErr w:type="spellEnd"/>
            <w:r w:rsidRPr="003F7950">
              <w:t xml:space="preserve"> </w:t>
            </w:r>
            <w:proofErr w:type="spellStart"/>
            <w:r w:rsidRPr="003F7950">
              <w:t>Directive</w:t>
            </w:r>
            <w:proofErr w:type="spellEnd"/>
            <w:r w:rsidRPr="003F7950">
              <w:t>] vastavalt direktiividele 2001/110/EÜ, 2001/112/EÜ, 2001/113/EÜ ja 2001/114/EÜ, võib jätkuvalt turustada kuni varude ammendumiseni.</w:t>
            </w:r>
          </w:p>
        </w:tc>
      </w:tr>
    </w:tbl>
    <w:p w:rsidR="001E5367" w:rsidRPr="003F7950" w:rsidRDefault="001E5367" w:rsidP="001E5367"/>
    <w:p w:rsidR="001E5367" w:rsidRPr="003F7950" w:rsidRDefault="001E5367" w:rsidP="001E5367">
      <w:pPr>
        <w:pStyle w:val="AmNumberTabs"/>
      </w:pPr>
      <w:r w:rsidRPr="003F7950">
        <w:t>Muudatusettepanek</w:t>
      </w:r>
      <w:r w:rsidRPr="003F7950">
        <w:tab/>
      </w:r>
      <w:r w:rsidRPr="003F7950">
        <w:tab/>
        <w:t>44</w:t>
      </w:r>
    </w:p>
    <w:p w:rsidR="001E5367" w:rsidRPr="003F7950" w:rsidRDefault="001E5367" w:rsidP="001E5367">
      <w:pPr>
        <w:pStyle w:val="NormalBold12b"/>
      </w:pPr>
      <w:r w:rsidRPr="003F7950">
        <w:t>Ettepanek võtta vastu direktiiv</w:t>
      </w:r>
    </w:p>
    <w:p w:rsidR="001E5367" w:rsidRPr="003F7950" w:rsidRDefault="001E5367" w:rsidP="001E5367">
      <w:pPr>
        <w:pStyle w:val="NormalBold"/>
      </w:pPr>
      <w:r w:rsidRPr="003F7950">
        <w:t>Artikkel 6 a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E5367" w:rsidRPr="003F7950" w:rsidTr="003850D1">
        <w:trPr>
          <w:trHeight w:hRule="exact" w:val="240"/>
          <w:jc w:val="center"/>
        </w:trPr>
        <w:tc>
          <w:tcPr>
            <w:tcW w:w="9752" w:type="dxa"/>
            <w:gridSpan w:val="2"/>
          </w:tcPr>
          <w:p w:rsidR="001E5367" w:rsidRPr="003F7950" w:rsidRDefault="001E5367" w:rsidP="00D472CC"/>
        </w:tc>
      </w:tr>
      <w:tr w:rsidR="001E5367" w:rsidRPr="003F7950" w:rsidTr="003850D1">
        <w:trPr>
          <w:trHeight w:val="240"/>
          <w:jc w:val="center"/>
        </w:trPr>
        <w:tc>
          <w:tcPr>
            <w:tcW w:w="4876" w:type="dxa"/>
          </w:tcPr>
          <w:p w:rsidR="001E5367" w:rsidRPr="003F7950" w:rsidRDefault="001E5367" w:rsidP="00D472CC">
            <w:pPr>
              <w:pStyle w:val="AmColumnHeading"/>
            </w:pPr>
            <w:r w:rsidRPr="003F7950">
              <w:t>Komisjoni ettepanek</w:t>
            </w:r>
          </w:p>
        </w:tc>
        <w:tc>
          <w:tcPr>
            <w:tcW w:w="4876" w:type="dxa"/>
          </w:tcPr>
          <w:p w:rsidR="001E5367" w:rsidRPr="003F7950" w:rsidRDefault="001E5367" w:rsidP="00D472CC">
            <w:pPr>
              <w:pStyle w:val="AmColumnHeading"/>
            </w:pPr>
            <w:r w:rsidRPr="003F7950">
              <w:t>Muudatusettepanek</w:t>
            </w:r>
          </w:p>
        </w:tc>
      </w:tr>
      <w:tr w:rsidR="001E5367" w:rsidRPr="003F7950" w:rsidTr="003850D1">
        <w:trPr>
          <w:jc w:val="center"/>
        </w:trPr>
        <w:tc>
          <w:tcPr>
            <w:tcW w:w="4876" w:type="dxa"/>
          </w:tcPr>
          <w:p w:rsidR="001E5367" w:rsidRPr="003F7950" w:rsidRDefault="001E5367" w:rsidP="00D472CC">
            <w:pPr>
              <w:pStyle w:val="Normal6a"/>
            </w:pPr>
          </w:p>
        </w:tc>
        <w:tc>
          <w:tcPr>
            <w:tcW w:w="4876" w:type="dxa"/>
          </w:tcPr>
          <w:p w:rsidR="001E5367" w:rsidRPr="003F7950" w:rsidRDefault="001E5367" w:rsidP="00D472CC">
            <w:pPr>
              <w:pStyle w:val="Normal6a"/>
              <w:jc w:val="center"/>
            </w:pPr>
            <w:r w:rsidRPr="003F7950">
              <w:rPr>
                <w:b/>
                <w:i/>
              </w:rPr>
              <w:t>Artikkel 6a</w:t>
            </w:r>
          </w:p>
        </w:tc>
      </w:tr>
      <w:tr w:rsidR="001E5367" w:rsidRPr="003F7950" w:rsidTr="003850D1">
        <w:trPr>
          <w:jc w:val="center"/>
        </w:trPr>
        <w:tc>
          <w:tcPr>
            <w:tcW w:w="4876" w:type="dxa"/>
          </w:tcPr>
          <w:p w:rsidR="001E5367" w:rsidRPr="003F7950" w:rsidRDefault="001E5367" w:rsidP="00D472CC">
            <w:pPr>
              <w:pStyle w:val="Normal6a"/>
            </w:pPr>
          </w:p>
        </w:tc>
        <w:tc>
          <w:tcPr>
            <w:tcW w:w="4876" w:type="dxa"/>
          </w:tcPr>
          <w:p w:rsidR="001E5367" w:rsidRPr="003F7950" w:rsidRDefault="001E5367" w:rsidP="00D472CC">
            <w:pPr>
              <w:pStyle w:val="Normal6a"/>
              <w:jc w:val="center"/>
            </w:pPr>
            <w:r w:rsidRPr="003F7950">
              <w:rPr>
                <w:b/>
                <w:i/>
              </w:rPr>
              <w:t>Karistused</w:t>
            </w:r>
          </w:p>
        </w:tc>
      </w:tr>
      <w:tr w:rsidR="001E5367" w:rsidRPr="003F7950" w:rsidTr="003850D1">
        <w:trPr>
          <w:jc w:val="center"/>
        </w:trPr>
        <w:tc>
          <w:tcPr>
            <w:tcW w:w="4876" w:type="dxa"/>
          </w:tcPr>
          <w:p w:rsidR="001E5367" w:rsidRPr="003F7950" w:rsidRDefault="001E5367" w:rsidP="00D472CC">
            <w:pPr>
              <w:pStyle w:val="Normal6a"/>
            </w:pPr>
          </w:p>
        </w:tc>
        <w:tc>
          <w:tcPr>
            <w:tcW w:w="4876" w:type="dxa"/>
          </w:tcPr>
          <w:p w:rsidR="001E5367" w:rsidRPr="003F7950" w:rsidRDefault="001E5367" w:rsidP="00D472CC">
            <w:pPr>
              <w:pStyle w:val="Normal6a"/>
            </w:pPr>
            <w:r w:rsidRPr="003F7950">
              <w:rPr>
                <w:b/>
                <w:i/>
              </w:rPr>
              <w:t>Liikmesriigid kehtestavad karistusnormid, mida kohaldatakse liikmesriigi poolt käesoleva direktiivi alusel vastu võetud sätete rikkumise korral, ning võtavad kõik vajalikud meetmed, et tagada kõnealuste normide rakendamine.</w:t>
            </w:r>
            <w:r w:rsidRPr="003F7950">
              <w:t xml:space="preserve"> </w:t>
            </w:r>
            <w:r w:rsidRPr="003F7950">
              <w:rPr>
                <w:b/>
                <w:i/>
              </w:rPr>
              <w:t>Kehtestatud karistused peavad olema mõjusad, proportsionaalsed ja hoiatavad.</w:t>
            </w:r>
          </w:p>
        </w:tc>
      </w:tr>
    </w:tbl>
    <w:p w:rsidR="003850D1" w:rsidRPr="003F7950" w:rsidRDefault="003850D1" w:rsidP="003850D1"/>
    <w:p w:rsidR="003850D1" w:rsidRPr="003F7950" w:rsidRDefault="003850D1" w:rsidP="003850D1">
      <w:pPr>
        <w:pStyle w:val="AmNumberTabs"/>
      </w:pPr>
      <w:r w:rsidRPr="003F7950">
        <w:lastRenderedPageBreak/>
        <w:t>Muudatusettepanek</w:t>
      </w:r>
      <w:r w:rsidRPr="003F7950">
        <w:tab/>
      </w:r>
      <w:r w:rsidRPr="003F7950">
        <w:tab/>
        <w:t>67</w:t>
      </w:r>
    </w:p>
    <w:p w:rsidR="003850D1" w:rsidRPr="003F7950" w:rsidRDefault="003850D1" w:rsidP="003850D1">
      <w:pPr>
        <w:pStyle w:val="NormalBold"/>
      </w:pPr>
      <w:r w:rsidRPr="003F7950">
        <w:t>Ettepanek võtta vastu direktiiv</w:t>
      </w:r>
    </w:p>
    <w:p w:rsidR="003850D1" w:rsidRPr="003F7950" w:rsidRDefault="003850D1" w:rsidP="003850D1">
      <w:pPr>
        <w:pStyle w:val="NormalBold"/>
      </w:pPr>
      <w:r w:rsidRPr="003F7950">
        <w:t>-I lisa (uus)</w:t>
      </w:r>
    </w:p>
    <w:p w:rsidR="003850D1" w:rsidRPr="003F7950" w:rsidRDefault="003850D1" w:rsidP="003850D1">
      <w:r w:rsidRPr="003F7950">
        <w:t>Direktiiv 2001/110/EÜ</w:t>
      </w:r>
    </w:p>
    <w:p w:rsidR="003850D1" w:rsidRPr="003F7950" w:rsidRDefault="003850D1" w:rsidP="003850D1">
      <w:r w:rsidRPr="003F7950">
        <w:t>II lisa – lõik 4 – punkt 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50D1" w:rsidRPr="003F7950" w:rsidTr="006E569C">
        <w:trPr>
          <w:trHeight w:hRule="exact" w:val="240"/>
          <w:jc w:val="center"/>
        </w:trPr>
        <w:tc>
          <w:tcPr>
            <w:tcW w:w="9752" w:type="dxa"/>
            <w:gridSpan w:val="2"/>
          </w:tcPr>
          <w:p w:rsidR="003850D1" w:rsidRPr="003F7950" w:rsidRDefault="003850D1" w:rsidP="006E569C"/>
        </w:tc>
      </w:tr>
      <w:tr w:rsidR="003850D1" w:rsidRPr="003F7950" w:rsidTr="006E569C">
        <w:trPr>
          <w:trHeight w:val="240"/>
          <w:jc w:val="center"/>
        </w:trPr>
        <w:tc>
          <w:tcPr>
            <w:tcW w:w="4876" w:type="dxa"/>
          </w:tcPr>
          <w:p w:rsidR="003850D1" w:rsidRPr="003F7950" w:rsidRDefault="003850D1" w:rsidP="006E569C">
            <w:pPr>
              <w:pStyle w:val="AmColumnHeading"/>
            </w:pPr>
            <w:r w:rsidRPr="003F7950">
              <w:t>Komisjoni ettepanek</w:t>
            </w:r>
          </w:p>
        </w:tc>
        <w:tc>
          <w:tcPr>
            <w:tcW w:w="4876" w:type="dxa"/>
          </w:tcPr>
          <w:p w:rsidR="003850D1" w:rsidRPr="003F7950" w:rsidRDefault="003850D1" w:rsidP="006E569C">
            <w:pPr>
              <w:pStyle w:val="AmColumnHeading"/>
            </w:pPr>
            <w:r w:rsidRPr="003F7950">
              <w:t>Muudatusettepanek</w:t>
            </w:r>
          </w:p>
        </w:tc>
      </w:tr>
      <w:tr w:rsidR="003850D1" w:rsidRPr="003F7950" w:rsidTr="006E569C">
        <w:trPr>
          <w:jc w:val="center"/>
        </w:trPr>
        <w:tc>
          <w:tcPr>
            <w:tcW w:w="4876" w:type="dxa"/>
          </w:tcPr>
          <w:p w:rsidR="003850D1" w:rsidRPr="003F7950" w:rsidRDefault="003850D1" w:rsidP="006E569C">
            <w:pPr>
              <w:pStyle w:val="Normal6a"/>
            </w:pPr>
          </w:p>
        </w:tc>
        <w:tc>
          <w:tcPr>
            <w:tcW w:w="4876" w:type="dxa"/>
          </w:tcPr>
          <w:p w:rsidR="003850D1" w:rsidRPr="003F7950" w:rsidRDefault="003850D1" w:rsidP="006E569C">
            <w:pPr>
              <w:pStyle w:val="Normal6a"/>
              <w:rPr>
                <w:b/>
                <w:i/>
              </w:rPr>
            </w:pPr>
            <w:r w:rsidRPr="003F7950">
              <w:rPr>
                <w:b/>
                <w:i/>
              </w:rPr>
              <w:t>-I</w:t>
            </w:r>
            <w:r w:rsidRPr="003F7950">
              <w:rPr>
                <w:b/>
                <w:i/>
              </w:rPr>
              <w:tab/>
              <w:t xml:space="preserve">Direktiivi 2001/110/EÜ II lisa muudetakse järgmiselt: lõikesse 4 lisatakse järgmine punkt: „6a </w:t>
            </w:r>
            <w:proofErr w:type="spellStart"/>
            <w:r w:rsidRPr="003F7950">
              <w:rPr>
                <w:b/>
                <w:i/>
              </w:rPr>
              <w:t>Invertaasi</w:t>
            </w:r>
            <w:proofErr w:type="spellEnd"/>
            <w:r w:rsidRPr="003F7950">
              <w:rPr>
                <w:b/>
                <w:i/>
              </w:rPr>
              <w:t xml:space="preserve"> indeks (</w:t>
            </w:r>
            <w:proofErr w:type="spellStart"/>
            <w:r w:rsidRPr="003F7950">
              <w:rPr>
                <w:b/>
                <w:i/>
              </w:rPr>
              <w:t>Siegenthaleri</w:t>
            </w:r>
            <w:proofErr w:type="spellEnd"/>
            <w:r w:rsidRPr="003F7950">
              <w:rPr>
                <w:b/>
                <w:i/>
              </w:rPr>
              <w:t xml:space="preserve"> meetod), mis kuumutamata mee puhul määratakse pärast töötlemist ja segamist – üldiselt vähemalt 50 U/kg – madala loodusliku ensüümisisaldusega mee puhul vähemalt 25 U/kg.“</w:t>
            </w:r>
          </w:p>
        </w:tc>
      </w:tr>
      <w:tr w:rsidR="003850D1" w:rsidRPr="003F7950" w:rsidTr="006E569C">
        <w:trPr>
          <w:jc w:val="center"/>
        </w:trPr>
        <w:tc>
          <w:tcPr>
            <w:tcW w:w="4876" w:type="dxa"/>
          </w:tcPr>
          <w:p w:rsidR="003850D1" w:rsidRPr="003F7950" w:rsidRDefault="003850D1" w:rsidP="006E569C"/>
        </w:tc>
        <w:tc>
          <w:tcPr>
            <w:tcW w:w="4876" w:type="dxa"/>
          </w:tcPr>
          <w:p w:rsidR="003850D1" w:rsidRPr="003F7950" w:rsidRDefault="003850D1" w:rsidP="006E569C">
            <w:pPr>
              <w:pStyle w:val="Normal6a"/>
            </w:pPr>
            <w:r w:rsidRPr="003F7950">
              <w:rPr>
                <w:i/>
              </w:rPr>
              <w:t>(See muudatusettepanek kehtib kogu teksti kohta. Muudatuse vastuvõtmise korral viiakse see sisse kogu tekstis.)</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45</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I lisa – lõik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r w:rsidRPr="003F7950">
              <w:t xml:space="preserve">Direktiivi 2001/112/EÜ I ja </w:t>
            </w:r>
            <w:r w:rsidRPr="003F7950">
              <w:rPr>
                <w:b/>
                <w:i/>
              </w:rPr>
              <w:t>III </w:t>
            </w:r>
            <w:r w:rsidRPr="003F7950">
              <w:t>lisa muudetakse järgmiselt.</w:t>
            </w:r>
          </w:p>
        </w:tc>
        <w:tc>
          <w:tcPr>
            <w:tcW w:w="4876" w:type="dxa"/>
          </w:tcPr>
          <w:p w:rsidR="001E5367" w:rsidRPr="003F7950" w:rsidRDefault="001E5367" w:rsidP="00D472CC">
            <w:pPr>
              <w:pStyle w:val="Normal6"/>
              <w:rPr>
                <w:szCs w:val="24"/>
              </w:rPr>
            </w:pPr>
            <w:r w:rsidRPr="003F7950">
              <w:t>Direktiivi 2001/112/EÜ I</w:t>
            </w:r>
            <w:r w:rsidRPr="003F7950">
              <w:rPr>
                <w:b/>
                <w:i/>
              </w:rPr>
              <w:t>, III</w:t>
            </w:r>
            <w:r w:rsidRPr="003F7950">
              <w:t xml:space="preserve"> ja </w:t>
            </w:r>
            <w:r w:rsidRPr="003F7950">
              <w:rPr>
                <w:b/>
                <w:i/>
              </w:rPr>
              <w:t xml:space="preserve">V </w:t>
            </w:r>
            <w:r w:rsidRPr="003F7950">
              <w:t>lisa muudetakse järgmiselt.</w:t>
            </w:r>
          </w:p>
        </w:tc>
      </w:tr>
    </w:tbl>
    <w:p w:rsidR="001E5367" w:rsidRPr="003F7950" w:rsidRDefault="001E5367" w:rsidP="001E5367"/>
    <w:p w:rsidR="001E5367" w:rsidRPr="003F7950" w:rsidRDefault="001E5367" w:rsidP="001E5367">
      <w:pPr>
        <w:pStyle w:val="AMNumberTabs0"/>
        <w:keepNext/>
        <w:tabs>
          <w:tab w:val="left" w:pos="6660"/>
        </w:tabs>
        <w:spacing w:after="240"/>
      </w:pPr>
      <w:r w:rsidRPr="003F7950">
        <w:t>Muudatusettepanek</w:t>
      </w:r>
      <w:r w:rsidRPr="003F7950">
        <w:tab/>
      </w:r>
      <w:r w:rsidRPr="003F7950">
        <w:tab/>
        <w:t>46</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I lisa – lõik 1 – punkt 1 – alapunkt a</w:t>
      </w:r>
    </w:p>
    <w:p w:rsidR="001E5367" w:rsidRPr="003F7950" w:rsidRDefault="001E5367" w:rsidP="001E5367">
      <w:pPr>
        <w:keepNext/>
      </w:pPr>
      <w:r w:rsidRPr="003F7950">
        <w:t>Direktiiv 2001/112/EÜ</w:t>
      </w:r>
    </w:p>
    <w:p w:rsidR="001E5367" w:rsidRPr="003F7950" w:rsidRDefault="001E5367" w:rsidP="001E5367">
      <w:r w:rsidRPr="003F7950">
        <w:t>I lisa – I osa – punkt 6 – alapunkt a – lõik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rPr>
                <w:b/>
                <w:bCs/>
                <w:i/>
                <w:iCs/>
              </w:rPr>
            </w:pPr>
          </w:p>
        </w:tc>
        <w:tc>
          <w:tcPr>
            <w:tcW w:w="4876" w:type="dxa"/>
          </w:tcPr>
          <w:p w:rsidR="001E5367" w:rsidRPr="003F7950" w:rsidRDefault="001E5367" w:rsidP="00D472CC">
            <w:pPr>
              <w:pStyle w:val="Normal6"/>
              <w:rPr>
                <w:b/>
                <w:bCs/>
                <w:i/>
                <w:iCs/>
              </w:rPr>
            </w:pPr>
            <w:r w:rsidRPr="003F7950">
              <w:rPr>
                <w:b/>
                <w:i/>
              </w:rPr>
              <w:t>Looduslikud või kunstlikud lisasuhkrud ja magusained on vähendatud suhkrusisaldusega puuvilja- ja marjamahlas rangelt keelatud.</w:t>
            </w:r>
          </w:p>
        </w:tc>
      </w:tr>
    </w:tbl>
    <w:p w:rsidR="001E5367" w:rsidRPr="003F7950" w:rsidRDefault="001E5367" w:rsidP="001E5367"/>
    <w:p w:rsidR="001E5367" w:rsidRPr="003F7950" w:rsidRDefault="001E5367" w:rsidP="001E5367">
      <w:pPr>
        <w:pStyle w:val="AMNumberTabs0"/>
        <w:keepNext/>
        <w:tabs>
          <w:tab w:val="left" w:pos="6660"/>
        </w:tabs>
        <w:spacing w:after="240"/>
      </w:pPr>
      <w:r w:rsidRPr="003F7950">
        <w:lastRenderedPageBreak/>
        <w:t>Muudatusettepanek</w:t>
      </w:r>
      <w:r w:rsidRPr="003F7950">
        <w:tab/>
      </w:r>
      <w:r w:rsidRPr="003F7950">
        <w:tab/>
        <w:t>47</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I lisa – lõik 1 – punkt 1 – alapunkt a</w:t>
      </w:r>
    </w:p>
    <w:p w:rsidR="001E5367" w:rsidRPr="003F7950" w:rsidRDefault="001E5367" w:rsidP="001E5367">
      <w:pPr>
        <w:keepNext/>
      </w:pPr>
      <w:r w:rsidRPr="003F7950">
        <w:t>Direktiiv 2001/112/EÜ</w:t>
      </w:r>
    </w:p>
    <w:p w:rsidR="001E5367" w:rsidRPr="003F7950" w:rsidRDefault="001E5367" w:rsidP="001E5367">
      <w:r w:rsidRPr="003F7950">
        <w:t xml:space="preserve">I lisa – I osa – punkt 6 – alapunkt a – lõik 1 </w:t>
      </w:r>
      <w:r w:rsidR="00855988" w:rsidRPr="003F7950">
        <w:t>b</w:t>
      </w:r>
      <w:r w:rsidRPr="003F7950">
        <w:t xml:space="preserve">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rPr>
                <w:b/>
                <w:bCs/>
                <w:i/>
                <w:iCs/>
              </w:rPr>
            </w:pPr>
          </w:p>
        </w:tc>
        <w:tc>
          <w:tcPr>
            <w:tcW w:w="4876" w:type="dxa"/>
          </w:tcPr>
          <w:p w:rsidR="001E5367" w:rsidRPr="003F7950" w:rsidRDefault="001E5367" w:rsidP="00D472CC">
            <w:pPr>
              <w:pStyle w:val="Normal6"/>
              <w:rPr>
                <w:b/>
                <w:bCs/>
                <w:i/>
                <w:iCs/>
              </w:rPr>
            </w:pPr>
            <w:r w:rsidRPr="003F7950">
              <w:rPr>
                <w:b/>
                <w:i/>
              </w:rPr>
              <w:t>Looduslikud või kunstlikud lisasuhkrud ja magusained on kontsentreeritud mahlast saadud vähendatud suhkrusisaldusega puuvilja- ja marjamahlas rangelt keelatud.</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48</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I lisa – lõik 1 – punkt 1 – alapunkt b – alapunkt ii – taane 2</w:t>
      </w:r>
    </w:p>
    <w:p w:rsidR="001E5367" w:rsidRPr="003F7950" w:rsidRDefault="001E5367" w:rsidP="001E5367">
      <w:pPr>
        <w:keepNext/>
      </w:pPr>
      <w:r w:rsidRPr="003F7950">
        <w:t>Direktiiv 2001/112/EÜ</w:t>
      </w:r>
    </w:p>
    <w:p w:rsidR="001E5367" w:rsidRPr="003F7950" w:rsidRDefault="001E5367" w:rsidP="001E5367">
      <w:r w:rsidRPr="003F7950">
        <w:t>I lisa – II osa – punkt 3 – taane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855988" w:rsidP="00D472CC">
            <w:pPr>
              <w:pStyle w:val="Normal6"/>
            </w:pPr>
            <w:r w:rsidRPr="003F7950">
              <w:t>„</w:t>
            </w:r>
            <w:r w:rsidR="001E5367" w:rsidRPr="003F7950">
              <w:t xml:space="preserve">– protsessid looduslikult esinevate suhkrute </w:t>
            </w:r>
            <w:r w:rsidR="001E5367" w:rsidRPr="003F7950">
              <w:rPr>
                <w:b/>
                <w:i/>
              </w:rPr>
              <w:t>eemaldamiseks</w:t>
            </w:r>
            <w:r w:rsidR="001E5367" w:rsidRPr="003F7950">
              <w:t xml:space="preserve"> niivõrd, kuivõrd nende käigus säilitatakse samadest puuviljadest või marjadest saadud mahlale iseloomulikud põhilised füüsikalised, keemilised, organoleptilised ja toitainelised omadused: membraanfiltrimine, pärmiga kääritamine.</w:t>
            </w:r>
            <w:r w:rsidRPr="003F7950">
              <w:t>“</w:t>
            </w:r>
          </w:p>
        </w:tc>
        <w:tc>
          <w:tcPr>
            <w:tcW w:w="4876" w:type="dxa"/>
          </w:tcPr>
          <w:p w:rsidR="001E5367" w:rsidRPr="003F7950" w:rsidRDefault="00855988" w:rsidP="00D472CC">
            <w:pPr>
              <w:pStyle w:val="Normal6"/>
              <w:rPr>
                <w:szCs w:val="24"/>
              </w:rPr>
            </w:pPr>
            <w:r w:rsidRPr="003F7950">
              <w:t>„</w:t>
            </w:r>
            <w:r w:rsidR="001E5367" w:rsidRPr="003F7950">
              <w:t xml:space="preserve">– </w:t>
            </w:r>
            <w:r w:rsidR="001E5367" w:rsidRPr="003F7950">
              <w:rPr>
                <w:b/>
                <w:i/>
              </w:rPr>
              <w:t>vähendatud suhkrusisaldusega puuvilja- ja marjamahla ning kontsentreeritud mahlast saadud vähendatud suhkrusisaldusega puuvilja- ja marjamahla puhul:</w:t>
            </w:r>
            <w:r w:rsidR="001E5367" w:rsidRPr="003F7950">
              <w:t xml:space="preserve"> protsessid looduslikult esinevate suhkrute </w:t>
            </w:r>
            <w:r w:rsidR="001E5367" w:rsidRPr="003F7950">
              <w:rPr>
                <w:b/>
                <w:i/>
              </w:rPr>
              <w:t>vähendamiseks</w:t>
            </w:r>
            <w:r w:rsidR="001E5367" w:rsidRPr="003F7950">
              <w:t xml:space="preserve"> niivõrd, kuivõrd nende käigus säilitatakse samadest puuviljadest või marjadest saadud mahlale iseloomulikud põhilised füüsikalised, keemilised, organoleptilised ja toitainelised omadused: membraanfiltrimine, pärmiga kääritamine.</w:t>
            </w:r>
            <w:r w:rsidRPr="003F7950">
              <w:t>“</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49</w:t>
      </w:r>
    </w:p>
    <w:p w:rsidR="001E5367" w:rsidRPr="003F7950" w:rsidRDefault="001E5367" w:rsidP="001E5367">
      <w:pPr>
        <w:pStyle w:val="NormalBold"/>
        <w:keepNext/>
      </w:pPr>
      <w:r w:rsidRPr="003F7950">
        <w:t>Ettepanek võtta vastu direktiiv</w:t>
      </w:r>
    </w:p>
    <w:p w:rsidR="001E5367" w:rsidRPr="003F7950" w:rsidRDefault="001E5367" w:rsidP="001E5367">
      <w:pPr>
        <w:pStyle w:val="NormalBold"/>
      </w:pPr>
      <w:r w:rsidRPr="003F7950">
        <w:t>I lisa – lõik 1 – punkt 2 a (uus)</w:t>
      </w:r>
    </w:p>
    <w:p w:rsidR="001E5367" w:rsidRPr="003F7950" w:rsidRDefault="001E5367" w:rsidP="001E5367">
      <w:pPr>
        <w:keepNext/>
      </w:pPr>
      <w:r w:rsidRPr="003F7950">
        <w:t>Direktiiv 2001/112/EÜ</w:t>
      </w:r>
    </w:p>
    <w:p w:rsidR="001E5367" w:rsidRPr="003F7950" w:rsidRDefault="001E5367" w:rsidP="001E5367">
      <w:r w:rsidRPr="003F7950">
        <w:t>V lisa – rida 20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2a)</w:t>
            </w:r>
            <w:r w:rsidRPr="003F7950">
              <w:rPr>
                <w:b/>
                <w:i/>
              </w:rPr>
              <w:tab/>
              <w:t>V lisasse lisatakse järgmine rida:</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szCs w:val="24"/>
              </w:rPr>
            </w:pPr>
            <w:r w:rsidRPr="003F7950">
              <w:rPr>
                <w:b/>
                <w:i/>
              </w:rPr>
              <w:t>„Puuvilja või marja üldnimetus: Veriapelsin</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b/>
                <w:i/>
              </w:rPr>
            </w:pPr>
            <w:r w:rsidRPr="003F7950">
              <w:rPr>
                <w:b/>
                <w:i/>
              </w:rPr>
              <w:t xml:space="preserve">Botaaniline nimi: </w:t>
            </w:r>
            <w:proofErr w:type="spellStart"/>
            <w:r w:rsidRPr="003F7950">
              <w:rPr>
                <w:b/>
                <w:i/>
              </w:rPr>
              <w:t>Citrus</w:t>
            </w:r>
            <w:proofErr w:type="spellEnd"/>
            <w:r w:rsidRPr="003F7950">
              <w:rPr>
                <w:b/>
                <w:i/>
              </w:rPr>
              <w:t xml:space="preserve"> × </w:t>
            </w:r>
            <w:proofErr w:type="spellStart"/>
            <w:r w:rsidRPr="003F7950">
              <w:rPr>
                <w:b/>
                <w:i/>
              </w:rPr>
              <w:t>sinensis</w:t>
            </w:r>
            <w:proofErr w:type="spellEnd"/>
            <w:r w:rsidRPr="003F7950">
              <w:rPr>
                <w:b/>
                <w:i/>
              </w:rPr>
              <w:t xml:space="preserve"> </w:t>
            </w:r>
          </w:p>
        </w:tc>
      </w:tr>
      <w:tr w:rsidR="001E5367" w:rsidRPr="003F7950" w:rsidTr="00D472CC">
        <w:trPr>
          <w:jc w:val="center"/>
        </w:trPr>
        <w:tc>
          <w:tcPr>
            <w:tcW w:w="4876" w:type="dxa"/>
          </w:tcPr>
          <w:p w:rsidR="001E5367" w:rsidRPr="003F7950" w:rsidRDefault="001E5367" w:rsidP="00D472CC">
            <w:pPr>
              <w:pStyle w:val="Normal6"/>
            </w:pPr>
          </w:p>
        </w:tc>
        <w:tc>
          <w:tcPr>
            <w:tcW w:w="4876" w:type="dxa"/>
          </w:tcPr>
          <w:p w:rsidR="001E5367" w:rsidRPr="003F7950" w:rsidRDefault="001E5367" w:rsidP="00D472CC">
            <w:pPr>
              <w:pStyle w:val="Normal6"/>
              <w:rPr>
                <w:b/>
                <w:i/>
              </w:rPr>
            </w:pPr>
            <w:proofErr w:type="spellStart"/>
            <w:r w:rsidRPr="003F7950">
              <w:rPr>
                <w:b/>
                <w:i/>
              </w:rPr>
              <w:t>Brixi</w:t>
            </w:r>
            <w:proofErr w:type="spellEnd"/>
            <w:r w:rsidRPr="003F7950">
              <w:rPr>
                <w:b/>
                <w:i/>
              </w:rPr>
              <w:t xml:space="preserve"> miinimumväärtus: 10“</w:t>
            </w:r>
          </w:p>
        </w:tc>
      </w:tr>
    </w:tbl>
    <w:p w:rsidR="001E5367" w:rsidRPr="003F7950" w:rsidRDefault="001E5367" w:rsidP="001E5367"/>
    <w:p w:rsidR="001E5367" w:rsidRPr="003F7950" w:rsidRDefault="001E5367" w:rsidP="001E5367">
      <w:pPr>
        <w:pStyle w:val="AMNumberTabs0"/>
        <w:keepNext/>
        <w:spacing w:after="240"/>
      </w:pPr>
      <w:r w:rsidRPr="003F7950">
        <w:t>Muudatusettepanek</w:t>
      </w:r>
      <w:r w:rsidRPr="003F7950">
        <w:tab/>
      </w:r>
      <w:r w:rsidRPr="003F7950">
        <w:tab/>
        <w:t>50</w:t>
      </w:r>
    </w:p>
    <w:p w:rsidR="001E5367" w:rsidRPr="003F7950" w:rsidRDefault="001E5367" w:rsidP="001E5367">
      <w:pPr>
        <w:pStyle w:val="NormalBold"/>
        <w:keepNext/>
        <w:spacing w:before="240"/>
      </w:pPr>
      <w:r w:rsidRPr="003F7950">
        <w:t>Ettepanek võtta vastu direktiiv</w:t>
      </w:r>
    </w:p>
    <w:p w:rsidR="001E5367" w:rsidRPr="003F7950" w:rsidRDefault="001E5367" w:rsidP="001E5367">
      <w:pPr>
        <w:pStyle w:val="NormalBold"/>
      </w:pPr>
      <w:r w:rsidRPr="003F7950">
        <w:t>II lisa – lõik 1 – punkt 1 – alapunkt b</w:t>
      </w:r>
    </w:p>
    <w:p w:rsidR="001E5367" w:rsidRPr="003F7950" w:rsidRDefault="001E5367" w:rsidP="001E5367">
      <w:pPr>
        <w:keepNext/>
      </w:pPr>
      <w:r w:rsidRPr="003F7950">
        <w:t>Direktiiv 2001/113/EÜ</w:t>
      </w:r>
    </w:p>
    <w:p w:rsidR="001E5367" w:rsidRPr="003F7950" w:rsidRDefault="001E5367" w:rsidP="001E5367">
      <w:r w:rsidRPr="003F7950">
        <w:t>I lisa – I osa – taane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E5367" w:rsidRPr="003F7950" w:rsidTr="00D472CC">
        <w:trPr>
          <w:jc w:val="center"/>
        </w:trPr>
        <w:tc>
          <w:tcPr>
            <w:tcW w:w="9752" w:type="dxa"/>
            <w:gridSpan w:val="2"/>
          </w:tcPr>
          <w:p w:rsidR="001E5367" w:rsidRPr="003F7950" w:rsidRDefault="001E5367" w:rsidP="00D472CC">
            <w:pPr>
              <w:keepNext/>
            </w:pPr>
          </w:p>
        </w:tc>
      </w:tr>
      <w:tr w:rsidR="001E5367" w:rsidRPr="003F7950" w:rsidTr="00D472CC">
        <w:trPr>
          <w:jc w:val="center"/>
        </w:trPr>
        <w:tc>
          <w:tcPr>
            <w:tcW w:w="4876" w:type="dxa"/>
          </w:tcPr>
          <w:p w:rsidR="001E5367" w:rsidRPr="003F7950" w:rsidRDefault="001E5367" w:rsidP="00D472CC">
            <w:pPr>
              <w:pStyle w:val="ColumnHeading"/>
              <w:keepNext/>
            </w:pPr>
            <w:r w:rsidRPr="003F7950">
              <w:t>Komisjoni ettepanek</w:t>
            </w:r>
          </w:p>
        </w:tc>
        <w:tc>
          <w:tcPr>
            <w:tcW w:w="4876" w:type="dxa"/>
          </w:tcPr>
          <w:p w:rsidR="001E5367" w:rsidRPr="003F7950" w:rsidRDefault="001E5367" w:rsidP="00D472CC">
            <w:pPr>
              <w:pStyle w:val="ColumnHeading"/>
              <w:keepNext/>
            </w:pPr>
            <w:r w:rsidRPr="003F7950">
              <w:t>Muudatusettepanek</w:t>
            </w:r>
          </w:p>
        </w:tc>
      </w:tr>
      <w:tr w:rsidR="001E5367" w:rsidRPr="003F7950" w:rsidTr="00D472CC">
        <w:trPr>
          <w:jc w:val="center"/>
        </w:trPr>
        <w:tc>
          <w:tcPr>
            <w:tcW w:w="4876" w:type="dxa"/>
          </w:tcPr>
          <w:p w:rsidR="001E5367" w:rsidRPr="003F7950" w:rsidRDefault="00855988" w:rsidP="00D472CC">
            <w:pPr>
              <w:pStyle w:val="Normal6"/>
            </w:pPr>
            <w:r w:rsidRPr="003F7950">
              <w:t>„</w:t>
            </w:r>
            <w:r w:rsidR="001E5367" w:rsidRPr="003F7950">
              <w:t>– Tsitrusmarmelaad on sobiva tarretisetaolise konsistentsini viidud segu veest, suhkrutest ja ühest või mitmest järgmisest tootest, mis on saadud tsitrusviljadest: viljaliha, püree, mahl, vesilahused ja koored.</w:t>
            </w:r>
            <w:r w:rsidRPr="003F7950">
              <w:t>“</w:t>
            </w:r>
          </w:p>
        </w:tc>
        <w:tc>
          <w:tcPr>
            <w:tcW w:w="4876" w:type="dxa"/>
          </w:tcPr>
          <w:p w:rsidR="001E5367" w:rsidRPr="003F7950" w:rsidRDefault="00855988" w:rsidP="00D472CC">
            <w:pPr>
              <w:pStyle w:val="Normal6"/>
              <w:rPr>
                <w:szCs w:val="24"/>
              </w:rPr>
            </w:pPr>
            <w:r w:rsidRPr="003F7950">
              <w:t>„</w:t>
            </w:r>
            <w:r w:rsidR="001E5367" w:rsidRPr="003F7950">
              <w:t xml:space="preserve">– Tsitrusmarmelaad on sobiva tarretisetaolise konsistentsini viidud segu veest, suhkrutest ja ühest või mitmest järgmisest tootest, mis on saadud tsitrusviljadest: viljaliha, püree, mahl, vesilahused ja koored. </w:t>
            </w:r>
            <w:r w:rsidR="001E5367" w:rsidRPr="003F7950">
              <w:rPr>
                <w:b/>
                <w:i/>
              </w:rPr>
              <w:t>Nimetuses „tsitrusmarmelaad“ võib mõiste „tsitrus“ asendada kasutatud tsitrusvilja nimetusega.</w:t>
            </w:r>
            <w:r w:rsidRPr="003F7950">
              <w:t>“</w:t>
            </w:r>
          </w:p>
        </w:tc>
      </w:tr>
    </w:tbl>
    <w:p w:rsidR="001E5367" w:rsidRPr="003F7950" w:rsidRDefault="001E5367" w:rsidP="001E5367"/>
    <w:p w:rsidR="001E5367" w:rsidRPr="003F7950" w:rsidRDefault="001E5367" w:rsidP="001E5367"/>
    <w:sectPr w:rsidR="001E5367" w:rsidRPr="003F7950" w:rsidSect="004472B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439" w:rsidRPr="004472B9" w:rsidRDefault="008D7439">
      <w:r w:rsidRPr="004472B9">
        <w:separator/>
      </w:r>
    </w:p>
  </w:endnote>
  <w:endnote w:type="continuationSeparator" w:id="0">
    <w:p w:rsidR="008D7439" w:rsidRPr="004472B9" w:rsidRDefault="008D7439">
      <w:r w:rsidRPr="004472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439" w:rsidRPr="004472B9" w:rsidRDefault="008D743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439" w:rsidRPr="004472B9" w:rsidRDefault="008D743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439" w:rsidRPr="004472B9" w:rsidRDefault="008D743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439" w:rsidRPr="004472B9" w:rsidRDefault="008D7439">
      <w:r w:rsidRPr="004472B9">
        <w:separator/>
      </w:r>
    </w:p>
  </w:footnote>
  <w:footnote w:type="continuationSeparator" w:id="0">
    <w:p w:rsidR="008D7439" w:rsidRPr="004472B9" w:rsidRDefault="008D7439">
      <w:r w:rsidRPr="004472B9">
        <w:continuationSeparator/>
      </w:r>
    </w:p>
  </w:footnote>
  <w:footnote w:id="1">
    <w:p w:rsidR="008D7439" w:rsidRPr="003D541F" w:rsidRDefault="008D7439" w:rsidP="008D7439">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59 lõike 4</w:t>
      </w:r>
      <w:r w:rsidRPr="003D541F">
        <w:rPr>
          <w:sz w:val="24"/>
          <w:szCs w:val="24"/>
          <w:lang w:val="et-EE"/>
        </w:rPr>
        <w:t xml:space="preserve"> </w:t>
      </w:r>
      <w:r>
        <w:rPr>
          <w:sz w:val="24"/>
          <w:szCs w:val="24"/>
          <w:lang w:val="et-EE"/>
        </w:rPr>
        <w:t xml:space="preserve">neljandale lõigule </w:t>
      </w:r>
      <w:r w:rsidRPr="003D541F">
        <w:rPr>
          <w:sz w:val="24"/>
          <w:szCs w:val="24"/>
          <w:lang w:val="et-EE"/>
        </w:rPr>
        <w:t xml:space="preserve">vastutavale komisjonile </w:t>
      </w:r>
      <w:r>
        <w:rPr>
          <w:sz w:val="24"/>
          <w:szCs w:val="24"/>
          <w:lang w:val="et-EE"/>
        </w:rPr>
        <w:t xml:space="preserve">tagasi </w:t>
      </w:r>
      <w:proofErr w:type="spellStart"/>
      <w:r>
        <w:rPr>
          <w:sz w:val="24"/>
          <w:szCs w:val="24"/>
          <w:lang w:val="et-EE"/>
        </w:rPr>
        <w:t>institutsioonidevahelisteks</w:t>
      </w:r>
      <w:proofErr w:type="spellEnd"/>
      <w:r>
        <w:rPr>
          <w:sz w:val="24"/>
          <w:szCs w:val="24"/>
          <w:lang w:val="et-EE"/>
        </w:rPr>
        <w:t xml:space="preserve"> läbirääkimisteks (A9</w:t>
      </w:r>
      <w:r>
        <w:rPr>
          <w:sz w:val="24"/>
          <w:szCs w:val="24"/>
          <w:lang w:val="et-EE"/>
        </w:rPr>
        <w:noBreakHyphen/>
        <w:t>0</w:t>
      </w:r>
      <w:r w:rsidR="00CA5FB4">
        <w:rPr>
          <w:sz w:val="24"/>
          <w:szCs w:val="24"/>
          <w:lang w:val="et-EE"/>
        </w:rPr>
        <w:t>385</w:t>
      </w:r>
      <w:r>
        <w:rPr>
          <w:sz w:val="24"/>
          <w:szCs w:val="24"/>
          <w:lang w:val="et-EE"/>
        </w:rPr>
        <w:t>/2023</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439" w:rsidRPr="004472B9" w:rsidRDefault="008D743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439" w:rsidRPr="004472B9" w:rsidRDefault="008D743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439" w:rsidRPr="004472B9" w:rsidRDefault="008D743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ET"/>
    <w:docVar w:name="dvnumam" w:val="113"/>
    <w:docVar w:name="dvpe" w:val="752.665"/>
    <w:docVar w:name="dvrapporteur" w:val="Raportöör: "/>
    <w:docVar w:name="dvstar" w:val="***I"/>
    <w:docVar w:name="dvtitre" w:val="Euroopa Parlamendi .... 2023. aasta seadusandlik resolutsioon ettepaneku kohta võtta vastu Euroopa Parlamendi ja nõukogu direktiiv, millega muudetakse nõukogu direktiivi 2001/110/EÜ mee kohta, direktiivi 2001/112/EÜ toiduks ettenähtud puuvilja- ja marjamahlade ja teatavate samalaadsete toodete kohta, direktiivi 2001/113/EÜ inimtoiduks ettenähtud puuvilja- ja marjadžemmi, -želee ja tsitrusmarmelaadi ning magustatud kastanipüree kohta ning direktiivi 2001/114/EÜ teatavate inimtoiduks ettenähtud osaliselt või täielikult veetustatud piimakonservide kohta(COM(2023)0201 – C9-140/2023 – 2023/0105(COD))"/>
  </w:docVars>
  <w:rsids>
    <w:rsidRoot w:val="004839D4"/>
    <w:rsid w:val="00002272"/>
    <w:rsid w:val="00064002"/>
    <w:rsid w:val="000677B9"/>
    <w:rsid w:val="000831BA"/>
    <w:rsid w:val="000A42CC"/>
    <w:rsid w:val="000E7DD9"/>
    <w:rsid w:val="0010095E"/>
    <w:rsid w:val="00125B37"/>
    <w:rsid w:val="00187494"/>
    <w:rsid w:val="001E5367"/>
    <w:rsid w:val="001F32AE"/>
    <w:rsid w:val="002767FF"/>
    <w:rsid w:val="002A7D7E"/>
    <w:rsid w:val="002B18FE"/>
    <w:rsid w:val="002B5493"/>
    <w:rsid w:val="00343214"/>
    <w:rsid w:val="00361C00"/>
    <w:rsid w:val="00364AA4"/>
    <w:rsid w:val="003850D1"/>
    <w:rsid w:val="00395FA1"/>
    <w:rsid w:val="003B1E5D"/>
    <w:rsid w:val="003E15D4"/>
    <w:rsid w:val="003F7950"/>
    <w:rsid w:val="00411CCE"/>
    <w:rsid w:val="0041666E"/>
    <w:rsid w:val="00421060"/>
    <w:rsid w:val="004472B9"/>
    <w:rsid w:val="00471C19"/>
    <w:rsid w:val="004839D4"/>
    <w:rsid w:val="004867E3"/>
    <w:rsid w:val="00494A28"/>
    <w:rsid w:val="004C0004"/>
    <w:rsid w:val="004C5D52"/>
    <w:rsid w:val="0050519A"/>
    <w:rsid w:val="005072A1"/>
    <w:rsid w:val="00514517"/>
    <w:rsid w:val="005257CC"/>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5988"/>
    <w:rsid w:val="00865F67"/>
    <w:rsid w:val="00881A7B"/>
    <w:rsid w:val="008840E5"/>
    <w:rsid w:val="00887B3E"/>
    <w:rsid w:val="008A26CA"/>
    <w:rsid w:val="008C2AC6"/>
    <w:rsid w:val="008D7439"/>
    <w:rsid w:val="00930C23"/>
    <w:rsid w:val="0093193B"/>
    <w:rsid w:val="009509D8"/>
    <w:rsid w:val="00950B64"/>
    <w:rsid w:val="00981893"/>
    <w:rsid w:val="009F565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FB4"/>
    <w:rsid w:val="00CC2357"/>
    <w:rsid w:val="00CF071A"/>
    <w:rsid w:val="00D058B8"/>
    <w:rsid w:val="00D472C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65019"/>
  <w15:chartTrackingRefBased/>
  <w15:docId w15:val="{B506DD20-32B2-4650-A1FF-DCAB51F1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6CA"/>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E5367"/>
    <w:rPr>
      <w:b/>
      <w:kern w:val="28"/>
      <w:sz w:val="28"/>
      <w:lang w:val="fr-FR" w:eastAsia="fr-FR"/>
    </w:rPr>
  </w:style>
  <w:style w:type="character" w:customStyle="1" w:styleId="Heading2Char">
    <w:name w:val="Heading 2 Char"/>
    <w:basedOn w:val="DefaultParagraphFont"/>
    <w:link w:val="Heading2"/>
    <w:semiHidden/>
    <w:rsid w:val="001E5367"/>
    <w:rPr>
      <w:sz w:val="24"/>
      <w:lang w:val="fr-FR" w:eastAsia="fr-FR"/>
    </w:rPr>
  </w:style>
  <w:style w:type="character" w:customStyle="1" w:styleId="Heading3Char">
    <w:name w:val="Heading 3 Char"/>
    <w:basedOn w:val="DefaultParagraphFont"/>
    <w:link w:val="Heading3"/>
    <w:semiHidden/>
    <w:rsid w:val="001E5367"/>
    <w:rPr>
      <w:rFonts w:ascii="Arial" w:hAnsi="Arial"/>
      <w:sz w:val="24"/>
      <w:lang w:val="fr-FR" w:eastAsia="fr-FR"/>
    </w:rPr>
  </w:style>
  <w:style w:type="character" w:customStyle="1" w:styleId="Heading4Char">
    <w:name w:val="Heading 4 Char"/>
    <w:basedOn w:val="DefaultParagraphFont"/>
    <w:link w:val="Heading4"/>
    <w:semiHidden/>
    <w:rsid w:val="001E5367"/>
    <w:rPr>
      <w:sz w:val="24"/>
      <w:lang w:val="en-US" w:eastAsia="fr-FR"/>
    </w:rPr>
  </w:style>
  <w:style w:type="character" w:customStyle="1" w:styleId="Heading5Char">
    <w:name w:val="Heading 5 Char"/>
    <w:basedOn w:val="DefaultParagraphFont"/>
    <w:link w:val="Heading5"/>
    <w:semiHidden/>
    <w:rsid w:val="001E5367"/>
    <w:rPr>
      <w:sz w:val="24"/>
      <w:lang w:val="en-US" w:eastAsia="fr-FR"/>
    </w:rPr>
  </w:style>
  <w:style w:type="character" w:customStyle="1" w:styleId="Heading6Char">
    <w:name w:val="Heading 6 Char"/>
    <w:basedOn w:val="DefaultParagraphFont"/>
    <w:link w:val="Heading6"/>
    <w:semiHidden/>
    <w:rsid w:val="001E5367"/>
    <w:rPr>
      <w:i/>
      <w:sz w:val="22"/>
      <w:lang w:val="et-EE"/>
    </w:rPr>
  </w:style>
  <w:style w:type="character" w:customStyle="1" w:styleId="Heading7Char">
    <w:name w:val="Heading 7 Char"/>
    <w:basedOn w:val="DefaultParagraphFont"/>
    <w:link w:val="Heading7"/>
    <w:semiHidden/>
    <w:rsid w:val="001E5367"/>
    <w:rPr>
      <w:rFonts w:ascii="Arial" w:hAnsi="Arial"/>
      <w:sz w:val="24"/>
      <w:lang w:val="et-EE"/>
    </w:rPr>
  </w:style>
  <w:style w:type="character" w:customStyle="1" w:styleId="Heading8Char">
    <w:name w:val="Heading 8 Char"/>
    <w:basedOn w:val="DefaultParagraphFont"/>
    <w:link w:val="Heading8"/>
    <w:semiHidden/>
    <w:rsid w:val="001E5367"/>
    <w:rPr>
      <w:rFonts w:ascii="Arial" w:hAnsi="Arial"/>
      <w:i/>
      <w:sz w:val="24"/>
      <w:lang w:val="et-EE"/>
    </w:rPr>
  </w:style>
  <w:style w:type="character" w:customStyle="1" w:styleId="Heading9Char">
    <w:name w:val="Heading 9 Char"/>
    <w:basedOn w:val="DefaultParagraphFont"/>
    <w:link w:val="Heading9"/>
    <w:semiHidden/>
    <w:rsid w:val="001E5367"/>
    <w:rPr>
      <w:rFonts w:ascii="Arial" w:hAnsi="Arial"/>
      <w:b/>
      <w:i/>
      <w:sz w:val="18"/>
      <w:lang w:val="et-EE"/>
    </w:rPr>
  </w:style>
  <w:style w:type="paragraph" w:styleId="TOCHeading">
    <w:name w:val="TOC Heading"/>
    <w:basedOn w:val="Normal"/>
    <w:next w:val="Normal"/>
    <w:uiPriority w:val="39"/>
    <w:unhideWhenUsed/>
    <w:qFormat/>
    <w:rsid w:val="001E5367"/>
    <w:pPr>
      <w:widowControl/>
      <w:spacing w:after="240"/>
    </w:pPr>
    <w:rPr>
      <w:lang w:val="en-GB"/>
    </w:rPr>
  </w:style>
  <w:style w:type="paragraph" w:customStyle="1" w:styleId="EPFooter2">
    <w:name w:val="EPFooter2"/>
    <w:basedOn w:val="Normal"/>
    <w:next w:val="Normal"/>
    <w:rsid w:val="001E536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E5367"/>
    <w:pPr>
      <w:keepNext/>
      <w:spacing w:after="240"/>
      <w:jc w:val="right"/>
    </w:pPr>
    <w:rPr>
      <w:rFonts w:ascii="Arial" w:hAnsi="Arial"/>
      <w:b/>
    </w:rPr>
  </w:style>
  <w:style w:type="paragraph" w:customStyle="1" w:styleId="Normal6a">
    <w:name w:val="Normal6a"/>
    <w:basedOn w:val="Normal"/>
    <w:rsid w:val="001E5367"/>
    <w:pPr>
      <w:spacing w:after="120"/>
    </w:pPr>
  </w:style>
  <w:style w:type="paragraph" w:customStyle="1" w:styleId="PageHeading">
    <w:name w:val="PageHeading"/>
    <w:basedOn w:val="Normal"/>
    <w:rsid w:val="001E5367"/>
    <w:pPr>
      <w:keepNext/>
      <w:spacing w:after="480"/>
      <w:jc w:val="center"/>
    </w:pPr>
    <w:rPr>
      <w:rFonts w:ascii="Arial" w:hAnsi="Arial" w:cs="Arial"/>
      <w:b/>
    </w:rPr>
  </w:style>
  <w:style w:type="paragraph" w:customStyle="1" w:styleId="NormalBold">
    <w:name w:val="NormalBold"/>
    <w:basedOn w:val="Normal"/>
    <w:link w:val="NormalBoldChar"/>
    <w:rsid w:val="001E5367"/>
    <w:rPr>
      <w:b/>
    </w:rPr>
  </w:style>
  <w:style w:type="paragraph" w:customStyle="1" w:styleId="NormalBold12a">
    <w:name w:val="NormalBold12a"/>
    <w:basedOn w:val="Normal"/>
    <w:rsid w:val="001E5367"/>
    <w:pPr>
      <w:spacing w:after="240"/>
    </w:pPr>
    <w:rPr>
      <w:b/>
    </w:rPr>
  </w:style>
  <w:style w:type="paragraph" w:customStyle="1" w:styleId="AmJustText">
    <w:name w:val="AmJustText"/>
    <w:basedOn w:val="Normal"/>
    <w:rsid w:val="001E5367"/>
    <w:pPr>
      <w:spacing w:after="240"/>
    </w:pPr>
    <w:rPr>
      <w:i/>
    </w:rPr>
  </w:style>
  <w:style w:type="paragraph" w:customStyle="1" w:styleId="NormalHanging12a">
    <w:name w:val="NormalHanging12a"/>
    <w:basedOn w:val="Normal"/>
    <w:rsid w:val="001E5367"/>
    <w:pPr>
      <w:spacing w:after="240"/>
      <w:ind w:left="567" w:hanging="567"/>
    </w:pPr>
  </w:style>
  <w:style w:type="paragraph" w:customStyle="1" w:styleId="CoverNormal24a">
    <w:name w:val="CoverNormal24a"/>
    <w:basedOn w:val="Normal"/>
    <w:rsid w:val="001E5367"/>
    <w:pPr>
      <w:spacing w:after="480"/>
      <w:ind w:left="1417"/>
    </w:pPr>
  </w:style>
  <w:style w:type="paragraph" w:customStyle="1" w:styleId="CoverNormal">
    <w:name w:val="CoverNormal"/>
    <w:basedOn w:val="Normal"/>
    <w:rsid w:val="001E5367"/>
    <w:pPr>
      <w:ind w:left="1418"/>
    </w:pPr>
  </w:style>
  <w:style w:type="paragraph" w:customStyle="1" w:styleId="AmCrossRef">
    <w:name w:val="AmCrossRef"/>
    <w:basedOn w:val="Normal"/>
    <w:rsid w:val="001E5367"/>
    <w:pPr>
      <w:spacing w:before="240" w:after="240"/>
      <w:jc w:val="center"/>
    </w:pPr>
    <w:rPr>
      <w:i/>
    </w:rPr>
  </w:style>
  <w:style w:type="paragraph" w:customStyle="1" w:styleId="AmJustTitle">
    <w:name w:val="AmJustTitle"/>
    <w:basedOn w:val="Normal"/>
    <w:next w:val="AmJustText"/>
    <w:rsid w:val="001E5367"/>
    <w:pPr>
      <w:keepNext/>
      <w:spacing w:before="240" w:after="240"/>
      <w:jc w:val="center"/>
    </w:pPr>
    <w:rPr>
      <w:i/>
    </w:rPr>
  </w:style>
  <w:style w:type="paragraph" w:customStyle="1" w:styleId="CoverReference">
    <w:name w:val="CoverReference"/>
    <w:basedOn w:val="Normal"/>
    <w:rsid w:val="001E5367"/>
    <w:pPr>
      <w:spacing w:before="1080"/>
      <w:jc w:val="right"/>
    </w:pPr>
    <w:rPr>
      <w:rFonts w:ascii="Arial" w:hAnsi="Arial" w:cs="Arial"/>
      <w:b/>
    </w:rPr>
  </w:style>
  <w:style w:type="paragraph" w:customStyle="1" w:styleId="CoverDocType">
    <w:name w:val="CoverDocType"/>
    <w:basedOn w:val="Normal"/>
    <w:rsid w:val="001E5367"/>
    <w:pPr>
      <w:ind w:left="1418"/>
    </w:pPr>
    <w:rPr>
      <w:rFonts w:ascii="Arial" w:hAnsi="Arial"/>
      <w:b/>
      <w:sz w:val="48"/>
    </w:rPr>
  </w:style>
  <w:style w:type="paragraph" w:customStyle="1" w:styleId="CoverDocType24a">
    <w:name w:val="CoverDocType24a"/>
    <w:basedOn w:val="Normal"/>
    <w:rsid w:val="001E5367"/>
    <w:pPr>
      <w:spacing w:after="480"/>
      <w:ind w:left="1418"/>
    </w:pPr>
    <w:rPr>
      <w:rFonts w:ascii="Arial" w:hAnsi="Arial"/>
      <w:b/>
      <w:sz w:val="48"/>
    </w:rPr>
  </w:style>
  <w:style w:type="paragraph" w:customStyle="1" w:styleId="CoverDate">
    <w:name w:val="CoverDate"/>
    <w:basedOn w:val="Normal"/>
    <w:rsid w:val="001E5367"/>
    <w:pPr>
      <w:spacing w:before="240" w:after="1200"/>
    </w:pPr>
  </w:style>
  <w:style w:type="paragraph" w:styleId="Header">
    <w:name w:val="header"/>
    <w:basedOn w:val="Normal"/>
    <w:link w:val="HeaderChar"/>
    <w:rsid w:val="001E5367"/>
    <w:pPr>
      <w:tabs>
        <w:tab w:val="center" w:pos="4513"/>
        <w:tab w:val="right" w:pos="9026"/>
      </w:tabs>
    </w:pPr>
  </w:style>
  <w:style w:type="character" w:customStyle="1" w:styleId="HeaderChar">
    <w:name w:val="Header Char"/>
    <w:basedOn w:val="DefaultParagraphFont"/>
    <w:link w:val="Header"/>
    <w:rsid w:val="001E5367"/>
    <w:rPr>
      <w:sz w:val="24"/>
      <w:lang w:val="et-EE"/>
    </w:rPr>
  </w:style>
  <w:style w:type="paragraph" w:customStyle="1" w:styleId="AmOrLang">
    <w:name w:val="AmOrLang"/>
    <w:basedOn w:val="Normal"/>
    <w:rsid w:val="001E5367"/>
    <w:pPr>
      <w:spacing w:before="240" w:after="240"/>
      <w:jc w:val="right"/>
    </w:pPr>
  </w:style>
  <w:style w:type="paragraph" w:customStyle="1" w:styleId="AmColumnHeading">
    <w:name w:val="AmColumnHeading"/>
    <w:basedOn w:val="Normal"/>
    <w:rsid w:val="001E5367"/>
    <w:pPr>
      <w:spacing w:after="240"/>
      <w:jc w:val="center"/>
    </w:pPr>
    <w:rPr>
      <w:i/>
    </w:rPr>
  </w:style>
  <w:style w:type="paragraph" w:customStyle="1" w:styleId="AmNumberTabs">
    <w:name w:val="AmNumberTabs"/>
    <w:basedOn w:val="Normal"/>
    <w:link w:val="AmNumberTabsChar"/>
    <w:rsid w:val="001E53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E5367"/>
    <w:pPr>
      <w:spacing w:before="240"/>
    </w:pPr>
    <w:rPr>
      <w:b/>
    </w:rPr>
  </w:style>
  <w:style w:type="paragraph" w:customStyle="1" w:styleId="EPBody">
    <w:name w:val="EPBody"/>
    <w:basedOn w:val="Normal"/>
    <w:rsid w:val="001E5367"/>
    <w:pPr>
      <w:jc w:val="center"/>
    </w:pPr>
    <w:rPr>
      <w:rFonts w:ascii="Arial" w:hAnsi="Arial" w:cs="Arial"/>
      <w:i/>
      <w:sz w:val="22"/>
      <w:szCs w:val="22"/>
    </w:rPr>
  </w:style>
  <w:style w:type="paragraph" w:customStyle="1" w:styleId="EPFooter">
    <w:name w:val="EPFooter"/>
    <w:basedOn w:val="Normal"/>
    <w:rsid w:val="001E5367"/>
    <w:pPr>
      <w:tabs>
        <w:tab w:val="center" w:pos="4535"/>
        <w:tab w:val="right" w:pos="9071"/>
      </w:tabs>
      <w:spacing w:before="240" w:after="240"/>
    </w:pPr>
    <w:rPr>
      <w:color w:val="010000"/>
      <w:sz w:val="22"/>
    </w:rPr>
  </w:style>
  <w:style w:type="paragraph" w:customStyle="1" w:styleId="EPComma">
    <w:name w:val="EPComma"/>
    <w:basedOn w:val="Normal"/>
    <w:rsid w:val="001E5367"/>
    <w:pPr>
      <w:spacing w:before="480" w:after="240"/>
    </w:pPr>
  </w:style>
  <w:style w:type="paragraph" w:customStyle="1" w:styleId="Lgendesigne">
    <w:name w:val="Légende signe"/>
    <w:basedOn w:val="Normal"/>
    <w:rsid w:val="001E5367"/>
    <w:pPr>
      <w:tabs>
        <w:tab w:val="right" w:pos="454"/>
        <w:tab w:val="left" w:pos="737"/>
      </w:tabs>
      <w:ind w:left="737" w:hanging="737"/>
    </w:pPr>
    <w:rPr>
      <w:snapToGrid w:val="0"/>
      <w:sz w:val="18"/>
      <w:lang w:eastAsia="en-US"/>
    </w:rPr>
  </w:style>
  <w:style w:type="paragraph" w:customStyle="1" w:styleId="Lgendetitre">
    <w:name w:val="Légende titre"/>
    <w:basedOn w:val="Normal"/>
    <w:rsid w:val="001E5367"/>
    <w:pPr>
      <w:spacing w:before="240" w:after="240"/>
    </w:pPr>
    <w:rPr>
      <w:b/>
      <w:i/>
      <w:snapToGrid w:val="0"/>
      <w:lang w:eastAsia="en-US"/>
    </w:rPr>
  </w:style>
  <w:style w:type="paragraph" w:customStyle="1" w:styleId="Lgendestandard">
    <w:name w:val="Légende standard"/>
    <w:basedOn w:val="Normal"/>
    <w:rsid w:val="001E5367"/>
    <w:rPr>
      <w:sz w:val="18"/>
    </w:rPr>
  </w:style>
  <w:style w:type="paragraph" w:customStyle="1" w:styleId="Normal24a">
    <w:name w:val="Normal24a"/>
    <w:basedOn w:val="Normal"/>
    <w:rsid w:val="001E5367"/>
    <w:pPr>
      <w:spacing w:after="480"/>
    </w:pPr>
  </w:style>
  <w:style w:type="paragraph" w:customStyle="1" w:styleId="NormalBoldCenter">
    <w:name w:val="NormalBoldCenter"/>
    <w:basedOn w:val="Normal"/>
    <w:rsid w:val="001E5367"/>
    <w:pPr>
      <w:jc w:val="center"/>
    </w:pPr>
    <w:rPr>
      <w:b/>
    </w:rPr>
  </w:style>
  <w:style w:type="paragraph" w:customStyle="1" w:styleId="Normal6">
    <w:name w:val="Normal6"/>
    <w:basedOn w:val="Normal"/>
    <w:link w:val="Normal6Char"/>
    <w:rsid w:val="001E5367"/>
    <w:pPr>
      <w:spacing w:after="120"/>
    </w:pPr>
  </w:style>
  <w:style w:type="paragraph" w:customStyle="1" w:styleId="Normal12Italic">
    <w:name w:val="Normal12Italic"/>
    <w:basedOn w:val="Normal"/>
    <w:rsid w:val="001E5367"/>
    <w:pPr>
      <w:spacing w:after="240"/>
    </w:pPr>
    <w:rPr>
      <w:i/>
      <w:noProof/>
    </w:rPr>
  </w:style>
  <w:style w:type="character" w:customStyle="1" w:styleId="NormalBoldChar">
    <w:name w:val="NormalBold Char"/>
    <w:link w:val="NormalBold"/>
    <w:rsid w:val="001E5367"/>
    <w:rPr>
      <w:b/>
      <w:sz w:val="24"/>
      <w:lang w:val="et-EE"/>
    </w:rPr>
  </w:style>
  <w:style w:type="paragraph" w:customStyle="1" w:styleId="JustificationTitle">
    <w:name w:val="JustificationTitle"/>
    <w:basedOn w:val="Normal"/>
    <w:next w:val="Normal"/>
    <w:rsid w:val="001E5367"/>
    <w:pPr>
      <w:keepNext/>
      <w:spacing w:before="240" w:after="240"/>
      <w:jc w:val="center"/>
    </w:pPr>
    <w:rPr>
      <w:i/>
      <w:noProof/>
    </w:rPr>
  </w:style>
  <w:style w:type="character" w:customStyle="1" w:styleId="Normal6Char">
    <w:name w:val="Normal6 Char"/>
    <w:link w:val="Normal6"/>
    <w:rsid w:val="001E5367"/>
    <w:rPr>
      <w:sz w:val="24"/>
      <w:lang w:val="et-EE"/>
    </w:rPr>
  </w:style>
  <w:style w:type="paragraph" w:customStyle="1" w:styleId="ColumnHeading">
    <w:name w:val="ColumnHeading"/>
    <w:basedOn w:val="Normal"/>
    <w:rsid w:val="001E5367"/>
    <w:pPr>
      <w:spacing w:after="240"/>
      <w:jc w:val="center"/>
    </w:pPr>
    <w:rPr>
      <w:i/>
    </w:rPr>
  </w:style>
  <w:style w:type="paragraph" w:customStyle="1" w:styleId="AMNumberTabs0">
    <w:name w:val="AMNumberTabs"/>
    <w:basedOn w:val="Normal"/>
    <w:rsid w:val="001E53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E5367"/>
    <w:pPr>
      <w:jc w:val="right"/>
    </w:pPr>
    <w:rPr>
      <w:lang w:val="et-EE"/>
    </w:rPr>
  </w:style>
  <w:style w:type="paragraph" w:styleId="BodyText">
    <w:name w:val="Body Text"/>
    <w:basedOn w:val="Normal"/>
    <w:link w:val="BodyTextChar"/>
    <w:uiPriority w:val="1"/>
    <w:unhideWhenUsed/>
    <w:qFormat/>
    <w:rsid w:val="001E5367"/>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1E5367"/>
    <w:rPr>
      <w:sz w:val="24"/>
      <w:szCs w:val="24"/>
      <w:lang w:val="et-EE" w:eastAsia="en-US"/>
    </w:rPr>
  </w:style>
  <w:style w:type="paragraph" w:styleId="CommentText">
    <w:name w:val="annotation text"/>
    <w:basedOn w:val="Normal"/>
    <w:link w:val="CommentTextChar"/>
    <w:unhideWhenUsed/>
    <w:rsid w:val="001E5367"/>
    <w:pPr>
      <w:widowControl/>
    </w:pPr>
    <w:rPr>
      <w:sz w:val="20"/>
    </w:rPr>
  </w:style>
  <w:style w:type="character" w:customStyle="1" w:styleId="CommentTextChar">
    <w:name w:val="Comment Text Char"/>
    <w:basedOn w:val="DefaultParagraphFont"/>
    <w:link w:val="CommentText"/>
    <w:rsid w:val="001E5367"/>
    <w:rPr>
      <w:lang w:val="et-EE"/>
    </w:rPr>
  </w:style>
  <w:style w:type="character" w:styleId="CommentReference">
    <w:name w:val="annotation reference"/>
    <w:basedOn w:val="DefaultParagraphFont"/>
    <w:unhideWhenUsed/>
    <w:rsid w:val="001E5367"/>
    <w:rPr>
      <w:sz w:val="16"/>
      <w:szCs w:val="16"/>
    </w:rPr>
  </w:style>
  <w:style w:type="paragraph" w:styleId="BalloonText">
    <w:name w:val="Balloon Text"/>
    <w:basedOn w:val="Normal"/>
    <w:link w:val="BalloonTextChar"/>
    <w:unhideWhenUsed/>
    <w:rsid w:val="001E5367"/>
    <w:rPr>
      <w:rFonts w:ascii="Segoe UI" w:hAnsi="Segoe UI" w:cs="Segoe UI"/>
      <w:sz w:val="18"/>
      <w:szCs w:val="18"/>
    </w:rPr>
  </w:style>
  <w:style w:type="character" w:customStyle="1" w:styleId="BalloonTextChar">
    <w:name w:val="Balloon Text Char"/>
    <w:basedOn w:val="DefaultParagraphFont"/>
    <w:link w:val="BalloonText"/>
    <w:rsid w:val="001E5367"/>
    <w:rPr>
      <w:rFonts w:ascii="Segoe UI" w:hAnsi="Segoe UI" w:cs="Segoe UI"/>
      <w:sz w:val="18"/>
      <w:szCs w:val="18"/>
      <w:lang w:val="et-EE"/>
    </w:rPr>
  </w:style>
  <w:style w:type="paragraph" w:styleId="Footer">
    <w:name w:val="footer"/>
    <w:basedOn w:val="Normal"/>
    <w:link w:val="FooterChar"/>
    <w:rsid w:val="001E5367"/>
    <w:pPr>
      <w:tabs>
        <w:tab w:val="center" w:pos="4513"/>
        <w:tab w:val="right" w:pos="9026"/>
      </w:tabs>
    </w:pPr>
  </w:style>
  <w:style w:type="character" w:customStyle="1" w:styleId="FooterChar">
    <w:name w:val="Footer Char"/>
    <w:basedOn w:val="DefaultParagraphFont"/>
    <w:link w:val="Footer"/>
    <w:rsid w:val="001E5367"/>
    <w:rPr>
      <w:sz w:val="24"/>
      <w:lang w:val="et-EE"/>
    </w:rPr>
  </w:style>
  <w:style w:type="paragraph" w:styleId="CommentSubject">
    <w:name w:val="annotation subject"/>
    <w:basedOn w:val="CommentText"/>
    <w:next w:val="CommentText"/>
    <w:link w:val="CommentSubjectChar"/>
    <w:unhideWhenUsed/>
    <w:rsid w:val="001E5367"/>
    <w:pPr>
      <w:widowControl w:val="0"/>
    </w:pPr>
    <w:rPr>
      <w:b/>
      <w:bCs/>
    </w:rPr>
  </w:style>
  <w:style w:type="character" w:customStyle="1" w:styleId="CommentSubjectChar">
    <w:name w:val="Comment Subject Char"/>
    <w:basedOn w:val="CommentTextChar"/>
    <w:link w:val="CommentSubject"/>
    <w:rsid w:val="001E5367"/>
    <w:rPr>
      <w:b/>
      <w:bCs/>
      <w:lang w:val="et-EE"/>
    </w:rPr>
  </w:style>
  <w:style w:type="character" w:styleId="Hyperlink">
    <w:name w:val="Hyperlink"/>
    <w:basedOn w:val="DefaultParagraphFont"/>
    <w:uiPriority w:val="99"/>
    <w:rsid w:val="001E5367"/>
    <w:rPr>
      <w:color w:val="0563C1" w:themeColor="hyperlink"/>
      <w:u w:val="single"/>
    </w:rPr>
  </w:style>
  <w:style w:type="character" w:customStyle="1" w:styleId="boldface">
    <w:name w:val="boldface"/>
    <w:basedOn w:val="DefaultParagraphFont"/>
    <w:rsid w:val="001E5367"/>
  </w:style>
  <w:style w:type="paragraph" w:styleId="Revision">
    <w:name w:val="Revision"/>
    <w:hidden/>
    <w:uiPriority w:val="99"/>
    <w:semiHidden/>
    <w:rsid w:val="001E5367"/>
    <w:rPr>
      <w:sz w:val="24"/>
      <w:lang w:val="et-EE"/>
    </w:rPr>
  </w:style>
  <w:style w:type="paragraph" w:customStyle="1" w:styleId="EntPE">
    <w:name w:val="EntPE"/>
    <w:basedOn w:val="Normal12"/>
    <w:rsid w:val="001E5367"/>
    <w:pPr>
      <w:jc w:val="center"/>
    </w:pPr>
    <w:rPr>
      <w:noProof w:val="0"/>
      <w:sz w:val="56"/>
    </w:rPr>
  </w:style>
  <w:style w:type="paragraph" w:customStyle="1" w:styleId="Normal12">
    <w:name w:val="Normal12"/>
    <w:basedOn w:val="Normal"/>
    <w:link w:val="Normal12Char"/>
    <w:rsid w:val="001E5367"/>
    <w:pPr>
      <w:spacing w:after="240"/>
    </w:pPr>
    <w:rPr>
      <w:noProof/>
    </w:rPr>
  </w:style>
  <w:style w:type="character" w:customStyle="1" w:styleId="Normal12Char">
    <w:name w:val="Normal12 Char"/>
    <w:basedOn w:val="DefaultParagraphFont"/>
    <w:link w:val="Normal12"/>
    <w:locked/>
    <w:rsid w:val="001E5367"/>
    <w:rPr>
      <w:noProof/>
      <w:sz w:val="24"/>
      <w:lang w:val="et-EE"/>
    </w:rPr>
  </w:style>
  <w:style w:type="paragraph" w:customStyle="1" w:styleId="CrossRef">
    <w:name w:val="CrossRef"/>
    <w:basedOn w:val="Normal"/>
    <w:rsid w:val="001E5367"/>
    <w:pPr>
      <w:spacing w:before="240"/>
      <w:jc w:val="center"/>
    </w:pPr>
    <w:rPr>
      <w:i/>
    </w:rPr>
  </w:style>
  <w:style w:type="character" w:customStyle="1" w:styleId="AmNumberTabsChar">
    <w:name w:val="AmNumberTabs Char"/>
    <w:basedOn w:val="DefaultParagraphFont"/>
    <w:link w:val="AmNumberTabs"/>
    <w:rsid w:val="001E5367"/>
    <w:rPr>
      <w:b/>
      <w:sz w:val="24"/>
      <w:lang w:val="et-EE"/>
    </w:rPr>
  </w:style>
  <w:style w:type="character" w:customStyle="1" w:styleId="NormalBold12bChar">
    <w:name w:val="NormalBold12b Char"/>
    <w:basedOn w:val="AmNumberTabsChar"/>
    <w:link w:val="NormalBold12b"/>
    <w:rsid w:val="001E5367"/>
    <w:rPr>
      <w:b/>
      <w:sz w:val="24"/>
      <w:lang w:val="et-EE"/>
    </w:rPr>
  </w:style>
  <w:style w:type="paragraph" w:customStyle="1" w:styleId="Point0number">
    <w:name w:val="Point 0 (number)"/>
    <w:basedOn w:val="Normal"/>
    <w:rsid w:val="001E5367"/>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1E5367"/>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1E5367"/>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1E5367"/>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1E5367"/>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1E5367"/>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1E5367"/>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1E5367"/>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1E5367"/>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1E5367"/>
    <w:pPr>
      <w:widowControl/>
      <w:spacing w:before="120" w:after="120"/>
      <w:ind w:left="1417"/>
      <w:jc w:val="both"/>
    </w:pPr>
    <w:rPr>
      <w:rFonts w:eastAsiaTheme="minorHAnsi"/>
      <w:szCs w:val="22"/>
      <w:lang w:eastAsia="en-US"/>
    </w:rPr>
  </w:style>
  <w:style w:type="paragraph" w:customStyle="1" w:styleId="Normal12a">
    <w:name w:val="Normal12a"/>
    <w:basedOn w:val="Normal"/>
    <w:rsid w:val="001E5367"/>
    <w:pPr>
      <w:spacing w:after="240"/>
    </w:pPr>
  </w:style>
  <w:style w:type="paragraph" w:customStyle="1" w:styleId="RollCallVotes">
    <w:name w:val="RollCallVotes"/>
    <w:basedOn w:val="Normal"/>
    <w:rsid w:val="001E5367"/>
    <w:pPr>
      <w:spacing w:before="120" w:after="120"/>
      <w:jc w:val="center"/>
    </w:pPr>
    <w:rPr>
      <w:b/>
      <w:bCs/>
      <w:snapToGrid w:val="0"/>
      <w:sz w:val="16"/>
      <w:lang w:eastAsia="en-US"/>
    </w:rPr>
  </w:style>
  <w:style w:type="paragraph" w:customStyle="1" w:styleId="RollCallTabs">
    <w:name w:val="RollCallTabs"/>
    <w:basedOn w:val="Normal"/>
    <w:qFormat/>
    <w:rsid w:val="001E5367"/>
    <w:pPr>
      <w:tabs>
        <w:tab w:val="center" w:pos="284"/>
        <w:tab w:val="left" w:pos="426"/>
      </w:tabs>
    </w:pPr>
    <w:rPr>
      <w:snapToGrid w:val="0"/>
      <w:lang w:eastAsia="en-US"/>
    </w:rPr>
  </w:style>
  <w:style w:type="paragraph" w:customStyle="1" w:styleId="RollCallSymbols14pt">
    <w:name w:val="RollCallSymbols14pt"/>
    <w:basedOn w:val="Normal"/>
    <w:rsid w:val="001E5367"/>
    <w:pPr>
      <w:spacing w:before="120" w:after="120"/>
      <w:jc w:val="center"/>
    </w:pPr>
    <w:rPr>
      <w:rFonts w:ascii="Arial" w:hAnsi="Arial"/>
      <w:b/>
      <w:bCs/>
      <w:snapToGrid w:val="0"/>
      <w:sz w:val="28"/>
      <w:lang w:eastAsia="en-US"/>
    </w:rPr>
  </w:style>
  <w:style w:type="paragraph" w:customStyle="1" w:styleId="RollCallTable">
    <w:name w:val="RollCallTable"/>
    <w:basedOn w:val="Normal"/>
    <w:rsid w:val="001E5367"/>
    <w:pPr>
      <w:spacing w:before="120" w:after="120"/>
    </w:pPr>
    <w:rPr>
      <w:snapToGrid w:val="0"/>
      <w:sz w:val="16"/>
      <w:lang w:eastAsia="en-US"/>
    </w:rPr>
  </w:style>
  <w:style w:type="paragraph" w:customStyle="1" w:styleId="PageHeadingNotTOC">
    <w:name w:val="PageHeadingNotTOC"/>
    <w:basedOn w:val="Normal"/>
    <w:rsid w:val="001E5367"/>
    <w:pPr>
      <w:keepNext/>
      <w:spacing w:after="480"/>
      <w:jc w:val="center"/>
    </w:pPr>
    <w:rPr>
      <w:rFonts w:ascii="Arial" w:hAnsi="Arial" w:cs="Arial"/>
      <w:b/>
    </w:rPr>
  </w:style>
  <w:style w:type="paragraph" w:customStyle="1" w:styleId="AmHeadingPA">
    <w:name w:val="AmHeadingPA"/>
    <w:basedOn w:val="Normal"/>
    <w:next w:val="Normal"/>
    <w:rsid w:val="001E5367"/>
    <w:pPr>
      <w:spacing w:before="480" w:after="240"/>
      <w:jc w:val="center"/>
    </w:pPr>
    <w:rPr>
      <w:rFonts w:ascii="Arial" w:hAnsi="Arial"/>
      <w:b/>
      <w:caps/>
      <w:snapToGrid w:val="0"/>
      <w:szCs w:val="24"/>
      <w:lang w:eastAsia="en-US"/>
    </w:rPr>
  </w:style>
  <w:style w:type="paragraph" w:customStyle="1" w:styleId="AmDocTypeTab">
    <w:name w:val="AmDocTypeTab"/>
    <w:basedOn w:val="Normal"/>
    <w:rsid w:val="008D7439"/>
    <w:pPr>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5786A-F3D5-436B-BD9E-81B1DBACF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6181</Words>
  <Characters>43748</Characters>
  <Application>Microsoft Office Word</Application>
  <DocSecurity>0</DocSecurity>
  <Lines>364</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2024-04-11T15:51:00Z</dcterms:created>
  <dcterms:modified xsi:type="dcterms:W3CDTF">2024-04-11T15:51:00Z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P9_TA(2023)0445_</vt:lpwstr>
  </property>
  <property fmtid="{D5CDD505-2E9C-101B-9397-08002B2CF9AE}" pid="4" name="&lt;Type&gt;">
    <vt:lpwstr>RR</vt:lpwstr>
  </property>
</Properties>
</file>