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87B9A" w:rsidTr="0010095E">
        <w:trPr>
          <w:trHeight w:hRule="exact" w:val="1418"/>
        </w:trPr>
        <w:tc>
          <w:tcPr>
            <w:tcW w:w="6804" w:type="dxa"/>
            <w:shd w:val="clear" w:color="auto" w:fill="auto"/>
            <w:vAlign w:val="center"/>
          </w:tcPr>
          <w:p w:rsidR="00751A4A" w:rsidRPr="00387B9A" w:rsidRDefault="00344515" w:rsidP="0010095E">
            <w:pPr>
              <w:pStyle w:val="EPName"/>
            </w:pPr>
            <w:r w:rsidRPr="00387B9A">
              <w:t>Parlament Europejski</w:t>
            </w:r>
          </w:p>
          <w:p w:rsidR="00751A4A" w:rsidRPr="00387B9A" w:rsidRDefault="00817416" w:rsidP="00756632">
            <w:pPr>
              <w:pStyle w:val="EPTerm"/>
              <w:rPr>
                <w:rStyle w:val="HideTWBExt"/>
                <w:noProof w:val="0"/>
                <w:vanish w:val="0"/>
                <w:color w:val="auto"/>
              </w:rPr>
            </w:pPr>
            <w:r w:rsidRPr="00E314F7">
              <w:t>2019</w:t>
            </w:r>
            <w:r w:rsidRPr="00387B9A">
              <w:t>-</w:t>
            </w:r>
            <w:r w:rsidRPr="00E314F7">
              <w:t>2024</w:t>
            </w:r>
          </w:p>
        </w:tc>
        <w:tc>
          <w:tcPr>
            <w:tcW w:w="2268" w:type="dxa"/>
            <w:shd w:val="clear" w:color="auto" w:fill="auto"/>
          </w:tcPr>
          <w:p w:rsidR="00751A4A" w:rsidRPr="00387B9A" w:rsidRDefault="00187494" w:rsidP="0010095E">
            <w:pPr>
              <w:pStyle w:val="EPLogo"/>
            </w:pPr>
            <w:r w:rsidRPr="00387B9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87B9A" w:rsidRDefault="00D058B8" w:rsidP="004C5D52">
      <w:pPr>
        <w:pStyle w:val="LineTop"/>
      </w:pPr>
    </w:p>
    <w:p w:rsidR="00680577" w:rsidRPr="00387B9A" w:rsidRDefault="00344515" w:rsidP="00680577">
      <w:pPr>
        <w:pStyle w:val="EPBodyTA1"/>
      </w:pPr>
      <w:r w:rsidRPr="00387B9A">
        <w:t>TEKSTY PRZYJĘTE</w:t>
      </w:r>
    </w:p>
    <w:p w:rsidR="00D058B8" w:rsidRPr="00387B9A" w:rsidRDefault="00D058B8" w:rsidP="00D058B8">
      <w:pPr>
        <w:pStyle w:val="LineBottom"/>
      </w:pPr>
    </w:p>
    <w:p w:rsidR="00344515" w:rsidRPr="00387B9A" w:rsidRDefault="00344515" w:rsidP="00344515">
      <w:pPr>
        <w:pStyle w:val="ATHeading1"/>
      </w:pPr>
      <w:bookmarkStart w:id="0" w:name="TANumber"/>
      <w:r w:rsidRPr="00387B9A">
        <w:t>P</w:t>
      </w:r>
      <w:r w:rsidRPr="00E314F7">
        <w:t>9</w:t>
      </w:r>
      <w:r w:rsidRPr="00387B9A">
        <w:t>_TA(</w:t>
      </w:r>
      <w:r w:rsidRPr="00E314F7">
        <w:t>2023</w:t>
      </w:r>
      <w:r w:rsidRPr="00387B9A">
        <w:t>)</w:t>
      </w:r>
      <w:r w:rsidRPr="00E314F7">
        <w:t>0</w:t>
      </w:r>
      <w:bookmarkEnd w:id="0"/>
      <w:r w:rsidR="00B863BF" w:rsidRPr="00E314F7">
        <w:t>448</w:t>
      </w:r>
    </w:p>
    <w:p w:rsidR="00344515" w:rsidRPr="00387B9A" w:rsidRDefault="00344515" w:rsidP="00344515">
      <w:pPr>
        <w:pStyle w:val="ATHeading2"/>
      </w:pPr>
      <w:bookmarkStart w:id="1" w:name="title"/>
      <w:r w:rsidRPr="00387B9A">
        <w:t>Upoważnienie Francji do prowadzenia z Algierią negocjacji w sprawie umowy dwustronnej dotyczącej współpracy sądowej w sprawach cywilnych i handlowych</w:t>
      </w:r>
      <w:bookmarkEnd w:id="1"/>
    </w:p>
    <w:p w:rsidR="00344515" w:rsidRPr="00387B9A" w:rsidRDefault="00344515" w:rsidP="00344515">
      <w:pPr>
        <w:rPr>
          <w:i/>
          <w:vanish/>
        </w:rPr>
      </w:pPr>
      <w:r w:rsidRPr="00387B9A">
        <w:rPr>
          <w:i/>
        </w:rPr>
        <w:fldChar w:fldCharType="begin"/>
      </w:r>
      <w:r w:rsidRPr="00387B9A">
        <w:rPr>
          <w:i/>
        </w:rPr>
        <w:instrText xml:space="preserve"> TC"(</w:instrText>
      </w:r>
      <w:bookmarkStart w:id="2" w:name="DocNumber"/>
      <w:r w:rsidRPr="00387B9A">
        <w:rPr>
          <w:i/>
        </w:rPr>
        <w:instrText>A</w:instrText>
      </w:r>
      <w:r w:rsidRPr="00E314F7">
        <w:rPr>
          <w:i/>
        </w:rPr>
        <w:instrText>9</w:instrText>
      </w:r>
      <w:r w:rsidRPr="00387B9A">
        <w:rPr>
          <w:i/>
        </w:rPr>
        <w:instrText>-</w:instrText>
      </w:r>
      <w:r w:rsidRPr="00E314F7">
        <w:rPr>
          <w:i/>
        </w:rPr>
        <w:instrText>0356</w:instrText>
      </w:r>
      <w:r w:rsidRPr="00387B9A">
        <w:rPr>
          <w:i/>
        </w:rPr>
        <w:instrText>/</w:instrText>
      </w:r>
      <w:r w:rsidRPr="00E314F7">
        <w:rPr>
          <w:i/>
        </w:rPr>
        <w:instrText>2023</w:instrText>
      </w:r>
      <w:bookmarkEnd w:id="2"/>
      <w:r w:rsidRPr="00387B9A">
        <w:rPr>
          <w:i/>
        </w:rPr>
        <w:instrText xml:space="preserve"> - Sprawozdawca: Ilana Cicurel)"\l</w:instrText>
      </w:r>
      <w:r w:rsidRPr="00E314F7">
        <w:rPr>
          <w:i/>
        </w:rPr>
        <w:instrText>3</w:instrText>
      </w:r>
      <w:r w:rsidRPr="00387B9A">
        <w:rPr>
          <w:i/>
        </w:rPr>
        <w:instrText xml:space="preserve"> \n&gt; \* MERGEFORMAT </w:instrText>
      </w:r>
      <w:r w:rsidRPr="00387B9A">
        <w:rPr>
          <w:i/>
        </w:rPr>
        <w:fldChar w:fldCharType="end"/>
      </w:r>
    </w:p>
    <w:p w:rsidR="00344515" w:rsidRPr="00387B9A" w:rsidRDefault="00344515" w:rsidP="00344515">
      <w:pPr>
        <w:rPr>
          <w:vanish/>
        </w:rPr>
      </w:pPr>
      <w:bookmarkStart w:id="3" w:name="Commission"/>
      <w:r w:rsidRPr="00387B9A">
        <w:rPr>
          <w:vanish/>
        </w:rPr>
        <w:t>Komisja Prawna</w:t>
      </w:r>
      <w:bookmarkEnd w:id="3"/>
    </w:p>
    <w:p w:rsidR="00344515" w:rsidRPr="00387B9A" w:rsidRDefault="00344515" w:rsidP="00344515">
      <w:pPr>
        <w:rPr>
          <w:vanish/>
        </w:rPr>
      </w:pPr>
      <w:bookmarkStart w:id="4" w:name="PE"/>
      <w:r w:rsidRPr="00387B9A">
        <w:rPr>
          <w:vanish/>
        </w:rPr>
        <w:t>PE</w:t>
      </w:r>
      <w:r w:rsidRPr="00E314F7">
        <w:rPr>
          <w:vanish/>
        </w:rPr>
        <w:t>751</w:t>
      </w:r>
      <w:r w:rsidRPr="00387B9A">
        <w:rPr>
          <w:vanish/>
        </w:rPr>
        <w:t>.</w:t>
      </w:r>
      <w:r w:rsidRPr="00E314F7">
        <w:rPr>
          <w:vanish/>
        </w:rPr>
        <w:t>710</w:t>
      </w:r>
      <w:bookmarkEnd w:id="4"/>
    </w:p>
    <w:p w:rsidR="00344515" w:rsidRPr="00387B9A" w:rsidRDefault="00344515" w:rsidP="00344515">
      <w:pPr>
        <w:pStyle w:val="ATHeading3"/>
      </w:pPr>
      <w:bookmarkStart w:id="5" w:name="Sujet"/>
      <w:r w:rsidRPr="00387B9A">
        <w:t xml:space="preserve">Rezolucja ustawodawcza Parlamentu Europejskiego z dnia </w:t>
      </w:r>
      <w:r w:rsidR="00AE7718" w:rsidRPr="00E314F7">
        <w:t>12</w:t>
      </w:r>
      <w:r w:rsidRPr="00387B9A">
        <w:t xml:space="preserve"> </w:t>
      </w:r>
      <w:r w:rsidR="0071278B">
        <w:t xml:space="preserve">grudnia </w:t>
      </w:r>
      <w:r w:rsidRPr="00E314F7">
        <w:t>2023</w:t>
      </w:r>
      <w:r w:rsidRPr="00387B9A">
        <w:t xml:space="preserve"> r. w sprawie wniosku dotyczącego decyzji Parlamentu Europejskiego i Rady w sprawie upoważnienia Francji do prowadzenia z Algierią negocjacji w sprawie umowy dwustronnej dotyczącej kwestii związanych ze współpracą sądową w sprawach cywilnych i handlowych</w:t>
      </w:r>
      <w:bookmarkEnd w:id="5"/>
      <w:r w:rsidRPr="00387B9A">
        <w:t xml:space="preserve"> </w:t>
      </w:r>
      <w:bookmarkStart w:id="6" w:name="References"/>
      <w:r w:rsidRPr="00387B9A">
        <w:t>(COM(</w:t>
      </w:r>
      <w:r w:rsidRPr="00E314F7">
        <w:t>2023</w:t>
      </w:r>
      <w:r w:rsidRPr="00387B9A">
        <w:t>)</w:t>
      </w:r>
      <w:r w:rsidRPr="00E314F7">
        <w:t>0065</w:t>
      </w:r>
      <w:r w:rsidRPr="00387B9A">
        <w:t xml:space="preserve"> – C</w:t>
      </w:r>
      <w:r w:rsidRPr="00E314F7">
        <w:t>9</w:t>
      </w:r>
      <w:r w:rsidRPr="00387B9A">
        <w:t>-</w:t>
      </w:r>
      <w:r w:rsidRPr="00E314F7">
        <w:t>0019</w:t>
      </w:r>
      <w:r w:rsidRPr="00387B9A">
        <w:t>/</w:t>
      </w:r>
      <w:r w:rsidRPr="00E314F7">
        <w:t>2023</w:t>
      </w:r>
      <w:r w:rsidRPr="00387B9A">
        <w:t xml:space="preserve"> – </w:t>
      </w:r>
      <w:r w:rsidRPr="00E314F7">
        <w:t>2023</w:t>
      </w:r>
      <w:r w:rsidRPr="00387B9A">
        <w:t>/</w:t>
      </w:r>
      <w:r w:rsidRPr="00E314F7">
        <w:t>0028</w:t>
      </w:r>
      <w:r w:rsidRPr="00387B9A">
        <w:t>(COD))</w:t>
      </w:r>
      <w:bookmarkEnd w:id="6"/>
    </w:p>
    <w:p w:rsidR="00344515" w:rsidRPr="00387B9A" w:rsidRDefault="00344515" w:rsidP="00344515"/>
    <w:p w:rsidR="00FB31DA" w:rsidRPr="00387B9A" w:rsidRDefault="00FB31DA" w:rsidP="00FB31DA">
      <w:pPr>
        <w:pStyle w:val="NormalBold"/>
      </w:pPr>
      <w:bookmarkStart w:id="7" w:name="TextBodyBegin"/>
      <w:bookmarkEnd w:id="7"/>
      <w:r w:rsidRPr="00387B9A">
        <w:t>(Zwykła procedura ustawodawcza: pierwsze czytanie)</w:t>
      </w:r>
    </w:p>
    <w:p w:rsidR="00FB31DA" w:rsidRPr="00387B9A" w:rsidRDefault="00FB31DA" w:rsidP="00FB31DA">
      <w:pPr>
        <w:pStyle w:val="EPComma"/>
      </w:pPr>
      <w:r w:rsidRPr="00387B9A">
        <w:rPr>
          <w:i/>
        </w:rPr>
        <w:t>Parlament Europejski</w:t>
      </w:r>
      <w:r w:rsidRPr="00387B9A">
        <w:t>,</w:t>
      </w:r>
    </w:p>
    <w:p w:rsidR="00FB31DA" w:rsidRPr="00387B9A" w:rsidRDefault="00FB31DA" w:rsidP="00FB31DA">
      <w:pPr>
        <w:pStyle w:val="NormalHanging12a"/>
      </w:pPr>
      <w:r w:rsidRPr="00387B9A">
        <w:t>–</w:t>
      </w:r>
      <w:r w:rsidRPr="00387B9A">
        <w:tab/>
        <w:t>uwzględniając wniosek Komisji przedstawiony Parlamentowi Europejskiemu i Radzie (COM(</w:t>
      </w:r>
      <w:r w:rsidRPr="00E314F7">
        <w:t>2023</w:t>
      </w:r>
      <w:r w:rsidRPr="00387B9A">
        <w:t>)</w:t>
      </w:r>
      <w:r w:rsidRPr="00E314F7">
        <w:t>0065</w:t>
      </w:r>
      <w:r w:rsidRPr="00387B9A">
        <w:t>),</w:t>
      </w:r>
    </w:p>
    <w:p w:rsidR="00FB31DA" w:rsidRPr="00387B9A" w:rsidRDefault="00FB31DA" w:rsidP="00FB31DA">
      <w:pPr>
        <w:pStyle w:val="NormalHanging12a"/>
      </w:pPr>
      <w:r w:rsidRPr="00387B9A">
        <w:t>–</w:t>
      </w:r>
      <w:r w:rsidRPr="00387B9A">
        <w:tab/>
        <w:t xml:space="preserve">uwzględniając art. </w:t>
      </w:r>
      <w:r w:rsidRPr="00E314F7">
        <w:t>294</w:t>
      </w:r>
      <w:r w:rsidRPr="00387B9A">
        <w:t xml:space="preserve"> ust. </w:t>
      </w:r>
      <w:r w:rsidRPr="00E314F7">
        <w:t>2</w:t>
      </w:r>
      <w:r w:rsidRPr="00387B9A">
        <w:t xml:space="preserve"> i art. </w:t>
      </w:r>
      <w:r w:rsidRPr="00E314F7">
        <w:t>81</w:t>
      </w:r>
      <w:r w:rsidRPr="00387B9A">
        <w:t xml:space="preserve"> ust. </w:t>
      </w:r>
      <w:r w:rsidRPr="00E314F7">
        <w:t>2</w:t>
      </w:r>
      <w:r w:rsidRPr="00387B9A">
        <w:t xml:space="preserve"> Traktatu o funkcjonowaniu Unii Europejskiej, zgodnie z którymi wniosek został przedstawiony Parlamentowi przez Komisję (C</w:t>
      </w:r>
      <w:r w:rsidRPr="00E314F7">
        <w:t>9</w:t>
      </w:r>
      <w:r w:rsidRPr="00387B9A">
        <w:t>-</w:t>
      </w:r>
      <w:r w:rsidRPr="00E314F7">
        <w:t>0019</w:t>
      </w:r>
      <w:r w:rsidRPr="00387B9A">
        <w:t>/</w:t>
      </w:r>
      <w:r w:rsidRPr="00E314F7">
        <w:t>2023</w:t>
      </w:r>
      <w:r w:rsidRPr="00387B9A">
        <w:t>),</w:t>
      </w:r>
    </w:p>
    <w:p w:rsidR="00FB31DA" w:rsidRDefault="00FB31DA" w:rsidP="00FB31DA">
      <w:pPr>
        <w:pStyle w:val="NormalHanging12a"/>
      </w:pPr>
      <w:r w:rsidRPr="00387B9A">
        <w:t>–</w:t>
      </w:r>
      <w:r w:rsidRPr="00387B9A">
        <w:tab/>
        <w:t xml:space="preserve">uwzględniając art. </w:t>
      </w:r>
      <w:r w:rsidRPr="00E314F7">
        <w:t>294</w:t>
      </w:r>
      <w:r w:rsidRPr="00387B9A">
        <w:t xml:space="preserve"> ust. </w:t>
      </w:r>
      <w:r w:rsidRPr="00E314F7">
        <w:t>3</w:t>
      </w:r>
      <w:r w:rsidRPr="00387B9A">
        <w:t xml:space="preserve"> Traktatu o funkcjonowaniu Unii Europejskiej,</w:t>
      </w:r>
    </w:p>
    <w:p w:rsidR="00B863BF" w:rsidRPr="004417ED" w:rsidRDefault="00B863BF" w:rsidP="00B863BF">
      <w:pPr>
        <w:pStyle w:val="NormalHanging12a"/>
      </w:pPr>
      <w:r>
        <w:t>–</w:t>
      </w:r>
      <w:r>
        <w:tab/>
        <w:t xml:space="preserve">uwzględniając przekazane pismem z dnia </w:t>
      </w:r>
      <w:r w:rsidR="007A5D9D">
        <w:t>31</w:t>
      </w:r>
      <w:r>
        <w:t xml:space="preserve"> </w:t>
      </w:r>
      <w:r w:rsidR="007A5D9D">
        <w:t>października</w:t>
      </w:r>
      <w:r>
        <w:t xml:space="preserve"> </w:t>
      </w:r>
      <w:r w:rsidRPr="00E314F7">
        <w:t>2023</w:t>
      </w:r>
      <w:r>
        <w:t xml:space="preserve"> r. zobowiązanie przedstawiciela Rady do zatwierdzenia stanowiska Parlamentu, zgodnie z art. </w:t>
      </w:r>
      <w:r w:rsidRPr="00E314F7">
        <w:t>294</w:t>
      </w:r>
      <w:r>
        <w:t xml:space="preserve"> ust. </w:t>
      </w:r>
      <w:r w:rsidRPr="00E314F7">
        <w:t>4</w:t>
      </w:r>
      <w:r>
        <w:t xml:space="preserve"> Traktatu o funkcjonowaniu Unii Europejskiej,</w:t>
      </w:r>
    </w:p>
    <w:p w:rsidR="00FB31DA" w:rsidRPr="00387B9A" w:rsidRDefault="00FB31DA" w:rsidP="00FB31DA">
      <w:pPr>
        <w:pStyle w:val="NormalHanging12a"/>
      </w:pPr>
      <w:r w:rsidRPr="00387B9A">
        <w:t>–</w:t>
      </w:r>
      <w:r w:rsidRPr="00387B9A">
        <w:tab/>
        <w:t xml:space="preserve">uwzględniając art. </w:t>
      </w:r>
      <w:r w:rsidRPr="00E314F7">
        <w:t>59</w:t>
      </w:r>
      <w:r w:rsidRPr="00387B9A">
        <w:t xml:space="preserve"> Regulaminu,</w:t>
      </w:r>
    </w:p>
    <w:p w:rsidR="00FB31DA" w:rsidRPr="00387B9A" w:rsidRDefault="00FB31DA" w:rsidP="00FB31DA">
      <w:pPr>
        <w:pStyle w:val="NormalHanging12a"/>
      </w:pPr>
      <w:r w:rsidRPr="00387B9A">
        <w:t>–</w:t>
      </w:r>
      <w:r w:rsidRPr="00387B9A">
        <w:tab/>
        <w:t>uwzględniając sprawozdanie Komisji Prawnej (A</w:t>
      </w:r>
      <w:r w:rsidRPr="00E314F7">
        <w:t>9</w:t>
      </w:r>
      <w:r w:rsidRPr="00387B9A">
        <w:t>-</w:t>
      </w:r>
      <w:r w:rsidRPr="00E314F7">
        <w:t>0356</w:t>
      </w:r>
      <w:r w:rsidRPr="00387B9A">
        <w:t>/</w:t>
      </w:r>
      <w:r w:rsidRPr="00E314F7">
        <w:t>2023</w:t>
      </w:r>
      <w:r w:rsidRPr="00387B9A">
        <w:t>),</w:t>
      </w:r>
    </w:p>
    <w:p w:rsidR="00FB31DA" w:rsidRPr="00387B9A" w:rsidRDefault="00FB31DA" w:rsidP="00FB31DA">
      <w:pPr>
        <w:pStyle w:val="NormalHanging12a"/>
      </w:pPr>
      <w:r w:rsidRPr="00E314F7">
        <w:t>1</w:t>
      </w:r>
      <w:r w:rsidRPr="00387B9A">
        <w:t>.</w:t>
      </w:r>
      <w:r w:rsidRPr="00387B9A">
        <w:tab/>
        <w:t>przyjmuje poniższe stanowisko w pierwszym czytaniu;</w:t>
      </w:r>
    </w:p>
    <w:p w:rsidR="00FB31DA" w:rsidRPr="00387B9A" w:rsidRDefault="00FB31DA" w:rsidP="002010C9">
      <w:pPr>
        <w:pStyle w:val="NormalHanging12a"/>
      </w:pPr>
      <w:r w:rsidRPr="00E314F7">
        <w:t>2</w:t>
      </w:r>
      <w:r w:rsidRPr="00387B9A">
        <w:t>.</w:t>
      </w:r>
      <w:r w:rsidRPr="00387B9A">
        <w:tab/>
        <w:t xml:space="preserve">proponuje, by akt ten był cytowany jako „decyzja Cicurel w sprawie upoważnienia Francji do </w:t>
      </w:r>
      <w:r w:rsidR="002010C9">
        <w:t>negocjowania</w:t>
      </w:r>
      <w:r w:rsidRPr="00387B9A">
        <w:t xml:space="preserve"> z Algierią umowy dwustronnej dotyczącej </w:t>
      </w:r>
      <w:r w:rsidR="002010C9">
        <w:t>współpracy sądowej</w:t>
      </w:r>
      <w:r w:rsidRPr="00387B9A">
        <w:t xml:space="preserve"> w sprawach cywilnych i handlowych</w:t>
      </w:r>
      <w:r w:rsidR="002010C9">
        <w:t>”;</w:t>
      </w:r>
    </w:p>
    <w:p w:rsidR="00FB31DA" w:rsidRPr="00387B9A" w:rsidRDefault="00FB31DA" w:rsidP="00FB31DA">
      <w:pPr>
        <w:pStyle w:val="NormalHanging12a"/>
      </w:pPr>
      <w:r w:rsidRPr="00E314F7">
        <w:lastRenderedPageBreak/>
        <w:t>3</w:t>
      </w:r>
      <w:r w:rsidRPr="00387B9A">
        <w:t>.</w:t>
      </w:r>
      <w:r w:rsidRPr="00387B9A">
        <w:tab/>
        <w:t>zwraca się do Komisji o ponowne przekazanie mu sprawy, jeśli zastąpi ona pierwotny wniosek, wprowadzi w nim istotne zmiany lub planuje ich wprowadzenie;</w:t>
      </w:r>
    </w:p>
    <w:p w:rsidR="00AE7718" w:rsidRDefault="00FB31DA" w:rsidP="00FB31DA">
      <w:pPr>
        <w:pStyle w:val="NormalHanging12a"/>
        <w:sectPr w:rsidR="00AE7718" w:rsidSect="00387B9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E314F7">
        <w:t>4</w:t>
      </w:r>
      <w:r w:rsidRPr="00387B9A">
        <w:t>.</w:t>
      </w:r>
      <w:r w:rsidRPr="00387B9A">
        <w:tab/>
        <w:t>zobowiązuje swoją przewodniczącą do przekazania stanowiska Parlamentu Radzie i Komisji oraz parlamentom narodowym.</w:t>
      </w:r>
    </w:p>
    <w:p w:rsidR="00AE7718" w:rsidRPr="00257C7C" w:rsidRDefault="00AE7718" w:rsidP="00AE7718">
      <w:pPr>
        <w:autoSpaceDE w:val="0"/>
        <w:autoSpaceDN w:val="0"/>
        <w:adjustRightInd w:val="0"/>
        <w:spacing w:after="240"/>
        <w:rPr>
          <w:rFonts w:eastAsia="Calibri"/>
          <w:b/>
          <w:bCs/>
          <w:color w:val="000000"/>
          <w:szCs w:val="24"/>
        </w:rPr>
      </w:pPr>
      <w:r w:rsidRPr="00257C7C">
        <w:rPr>
          <w:rFonts w:eastAsia="Calibri"/>
          <w:b/>
          <w:bCs/>
          <w:color w:val="000000"/>
          <w:szCs w:val="24"/>
        </w:rPr>
        <w:lastRenderedPageBreak/>
        <w:t>P</w:t>
      </w:r>
      <w:r w:rsidRPr="00E314F7">
        <w:rPr>
          <w:rFonts w:eastAsia="Calibri"/>
          <w:b/>
          <w:bCs/>
          <w:color w:val="000000"/>
          <w:szCs w:val="24"/>
        </w:rPr>
        <w:t>9</w:t>
      </w:r>
      <w:r w:rsidRPr="00257C7C">
        <w:rPr>
          <w:rFonts w:eastAsia="Calibri"/>
          <w:b/>
          <w:bCs/>
          <w:color w:val="000000"/>
          <w:szCs w:val="24"/>
        </w:rPr>
        <w:t>_TC</w:t>
      </w:r>
      <w:r w:rsidRPr="00E314F7">
        <w:rPr>
          <w:rFonts w:eastAsia="Calibri"/>
          <w:b/>
          <w:bCs/>
          <w:color w:val="000000"/>
          <w:szCs w:val="24"/>
        </w:rPr>
        <w:t>1</w:t>
      </w:r>
      <w:r w:rsidRPr="00257C7C">
        <w:rPr>
          <w:rFonts w:eastAsia="Calibri"/>
          <w:b/>
          <w:bCs/>
          <w:color w:val="000000"/>
          <w:szCs w:val="24"/>
        </w:rPr>
        <w:t>-COD(</w:t>
      </w:r>
      <w:r w:rsidRPr="00E314F7">
        <w:rPr>
          <w:rFonts w:eastAsia="Calibri"/>
          <w:b/>
          <w:bCs/>
          <w:color w:val="000000"/>
          <w:szCs w:val="24"/>
        </w:rPr>
        <w:t>2023</w:t>
      </w:r>
      <w:r w:rsidRPr="00257C7C">
        <w:rPr>
          <w:rFonts w:eastAsia="Calibri"/>
          <w:b/>
          <w:bCs/>
          <w:color w:val="000000"/>
          <w:szCs w:val="24"/>
        </w:rPr>
        <w:t>)</w:t>
      </w:r>
      <w:r w:rsidRPr="00E314F7">
        <w:rPr>
          <w:rFonts w:eastAsia="Calibri"/>
          <w:b/>
          <w:bCs/>
          <w:color w:val="000000"/>
          <w:szCs w:val="24"/>
        </w:rPr>
        <w:t>0028</w:t>
      </w:r>
    </w:p>
    <w:p w:rsidR="00AE7718" w:rsidRDefault="00AE7718" w:rsidP="00AE7718">
      <w:pPr>
        <w:widowControl/>
        <w:autoSpaceDE w:val="0"/>
        <w:autoSpaceDN w:val="0"/>
        <w:adjustRightInd w:val="0"/>
        <w:spacing w:before="120" w:after="120"/>
        <w:rPr>
          <w:rFonts w:eastAsia="Calibri"/>
          <w:b/>
          <w:szCs w:val="22"/>
          <w:lang w:eastAsia="en-US"/>
        </w:rPr>
      </w:pPr>
      <w:r>
        <w:rPr>
          <w:b/>
        </w:rPr>
        <w:t xml:space="preserve">Stanowisko Parlamentu Europejskiego </w:t>
      </w:r>
      <w:r w:rsidRPr="00291A00">
        <w:rPr>
          <w:b/>
        </w:rPr>
        <w:t xml:space="preserve">przyjęte w pierwszym czytaniu w dniu </w:t>
      </w:r>
      <w:r w:rsidRPr="00E314F7">
        <w:rPr>
          <w:b/>
        </w:rPr>
        <w:t>12</w:t>
      </w:r>
      <w:r>
        <w:rPr>
          <w:b/>
        </w:rPr>
        <w:t xml:space="preserve"> grudnia </w:t>
      </w:r>
      <w:r w:rsidRPr="00E314F7">
        <w:rPr>
          <w:b/>
        </w:rPr>
        <w:t>2023</w:t>
      </w:r>
      <w:r>
        <w:rPr>
          <w:b/>
        </w:rPr>
        <w:t xml:space="preserve"> r.</w:t>
      </w:r>
      <w:r w:rsidRPr="00291A00">
        <w:rPr>
          <w:b/>
        </w:rPr>
        <w:t xml:space="preserve"> </w:t>
      </w:r>
      <w:r w:rsidRPr="00741191">
        <w:rPr>
          <w:b/>
        </w:rPr>
        <w:t xml:space="preserve">w celu przyjęcia decyzji Parlamentu </w:t>
      </w:r>
      <w:r>
        <w:rPr>
          <w:b/>
        </w:rPr>
        <w:t xml:space="preserve">Europejskiego i Rady (UE) </w:t>
      </w:r>
      <w:r w:rsidRPr="00E314F7">
        <w:rPr>
          <w:b/>
        </w:rPr>
        <w:t>2023</w:t>
      </w:r>
      <w:r>
        <w:rPr>
          <w:b/>
        </w:rPr>
        <w:t>/...</w:t>
      </w:r>
      <w:r w:rsidR="002010C9">
        <w:rPr>
          <w:b/>
        </w:rPr>
        <w:t xml:space="preserve"> </w:t>
      </w:r>
      <w:r w:rsidRPr="00BB2FA4">
        <w:rPr>
          <w:rFonts w:eastAsia="Calibri"/>
          <w:b/>
          <w:szCs w:val="22"/>
          <w:lang w:eastAsia="en-US"/>
        </w:rPr>
        <w:t>w sprawie upoważnienia Francji do negocjowania z Algierią umowy dwustronnej dotyczącej współpracy sądowej w sprawach cywilnych i handlowych</w:t>
      </w:r>
    </w:p>
    <w:p w:rsidR="007A5D9D" w:rsidRDefault="007A5D9D" w:rsidP="00AE7718">
      <w:pPr>
        <w:widowControl/>
        <w:autoSpaceDE w:val="0"/>
        <w:autoSpaceDN w:val="0"/>
        <w:adjustRightInd w:val="0"/>
        <w:spacing w:before="120" w:after="120"/>
        <w:rPr>
          <w:rFonts w:eastAsia="Calibri"/>
          <w:b/>
          <w:szCs w:val="22"/>
          <w:lang w:eastAsia="en-US"/>
        </w:rPr>
      </w:pPr>
    </w:p>
    <w:p w:rsidR="007A5D9D" w:rsidRDefault="007A5D9D" w:rsidP="00AE7718">
      <w:pPr>
        <w:widowControl/>
        <w:autoSpaceDE w:val="0"/>
        <w:autoSpaceDN w:val="0"/>
        <w:adjustRightInd w:val="0"/>
        <w:spacing w:before="120" w:after="120"/>
        <w:rPr>
          <w:rFonts w:eastAsia="Calibri"/>
          <w:b/>
          <w:szCs w:val="22"/>
          <w:lang w:eastAsia="en-US"/>
        </w:rPr>
      </w:pPr>
      <w:r w:rsidRPr="0044243D">
        <w:rPr>
          <w:i/>
        </w:rPr>
        <w:t>(Jako że pomiędzy Parlamentem i Radą osiągnięte zostało porozumienie, stanowisko Parlamentu odpowiada ostatecznej wersji aktu prawnego</w:t>
      </w:r>
      <w:r>
        <w:rPr>
          <w:i/>
        </w:rPr>
        <w:t xml:space="preserve">, </w:t>
      </w:r>
      <w:r w:rsidRPr="00B149BB">
        <w:rPr>
          <w:i/>
        </w:rPr>
        <w:t xml:space="preserve">decyzji </w:t>
      </w:r>
      <w:r>
        <w:rPr>
          <w:i/>
        </w:rPr>
        <w:t>(UE) 2024/593</w:t>
      </w:r>
      <w:bookmarkStart w:id="8" w:name="_GoBack"/>
      <w:bookmarkEnd w:id="8"/>
      <w:r>
        <w:rPr>
          <w:i/>
        </w:rPr>
        <w:t>.</w:t>
      </w:r>
      <w:r w:rsidRPr="0044243D">
        <w:rPr>
          <w:i/>
        </w:rPr>
        <w:t>)</w:t>
      </w:r>
    </w:p>
    <w:sectPr w:rsidR="007A5D9D" w:rsidSect="00387B9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4515" w:rsidRPr="00387B9A" w:rsidRDefault="00344515">
      <w:r w:rsidRPr="00387B9A">
        <w:separator/>
      </w:r>
    </w:p>
  </w:endnote>
  <w:endnote w:type="continuationSeparator" w:id="0">
    <w:p w:rsidR="00344515" w:rsidRPr="00387B9A" w:rsidRDefault="00344515">
      <w:r w:rsidRPr="00387B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7B9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7B9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7B9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4515" w:rsidRPr="00387B9A" w:rsidRDefault="00344515">
      <w:r w:rsidRPr="00387B9A">
        <w:separator/>
      </w:r>
    </w:p>
  </w:footnote>
  <w:footnote w:type="continuationSeparator" w:id="0">
    <w:p w:rsidR="00344515" w:rsidRPr="00387B9A" w:rsidRDefault="00344515">
      <w:r w:rsidRPr="00387B9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7B9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7B9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7B9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6/2023"/>
    <w:docVar w:name="dvlangue" w:val="PL"/>
    <w:docVar w:name="dvnumam" w:val="12"/>
    <w:docVar w:name="dvpe" w:val="751.710"/>
    <w:docVar w:name="dvrapporteur" w:val="Sprawozdawca: "/>
    <w:docVar w:name="dvstar" w:val="***I"/>
    <w:docVar w:name="dvtitre" w:val="Rezolucja ustawodawcza Parlamentu Europejskiego z dnia  2023 r. w sprawie wniosku dotyczącego decyzji Parlamentu Europejskiego i Rady w sprawie upoważnienia Francji do prowadzenia z Algierią negocjacji w sprawie umowy dwustronnej dotyczącej kwestii związanych ze współpracą sądową w sprawach cywilnych i handlowych(COM(2023)0065 – C9-0019/2023 – 2023/0028(COD))"/>
  </w:docVars>
  <w:rsids>
    <w:rsidRoot w:val="00344515"/>
    <w:rsid w:val="00002272"/>
    <w:rsid w:val="0006053F"/>
    <w:rsid w:val="00064002"/>
    <w:rsid w:val="000677B9"/>
    <w:rsid w:val="000831BA"/>
    <w:rsid w:val="000A42CC"/>
    <w:rsid w:val="000E7DD9"/>
    <w:rsid w:val="0010095E"/>
    <w:rsid w:val="00125B37"/>
    <w:rsid w:val="00187494"/>
    <w:rsid w:val="001F32AE"/>
    <w:rsid w:val="002010C9"/>
    <w:rsid w:val="00257C7C"/>
    <w:rsid w:val="002767FF"/>
    <w:rsid w:val="002B18FE"/>
    <w:rsid w:val="002B5493"/>
    <w:rsid w:val="00343214"/>
    <w:rsid w:val="00344515"/>
    <w:rsid w:val="00361C00"/>
    <w:rsid w:val="00387B9A"/>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077B"/>
    <w:rsid w:val="005C2568"/>
    <w:rsid w:val="006037C0"/>
    <w:rsid w:val="006631B6"/>
    <w:rsid w:val="00680577"/>
    <w:rsid w:val="006F74FA"/>
    <w:rsid w:val="0071278B"/>
    <w:rsid w:val="00731ADD"/>
    <w:rsid w:val="00734777"/>
    <w:rsid w:val="00747932"/>
    <w:rsid w:val="00751A4A"/>
    <w:rsid w:val="00756632"/>
    <w:rsid w:val="00762C74"/>
    <w:rsid w:val="00786EC0"/>
    <w:rsid w:val="007A5D9D"/>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7718"/>
    <w:rsid w:val="00AF3B82"/>
    <w:rsid w:val="00B12E95"/>
    <w:rsid w:val="00B22876"/>
    <w:rsid w:val="00B558F0"/>
    <w:rsid w:val="00B863BF"/>
    <w:rsid w:val="00BB2FA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14F7"/>
    <w:rsid w:val="00E365E1"/>
    <w:rsid w:val="00E820A4"/>
    <w:rsid w:val="00EB006A"/>
    <w:rsid w:val="00EB4772"/>
    <w:rsid w:val="00ED169E"/>
    <w:rsid w:val="00ED4235"/>
    <w:rsid w:val="00F04346"/>
    <w:rsid w:val="00F075DC"/>
    <w:rsid w:val="00F149E9"/>
    <w:rsid w:val="00F5134D"/>
    <w:rsid w:val="00F74202"/>
    <w:rsid w:val="00F87713"/>
    <w:rsid w:val="00FB31D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F9F85E"/>
  <w15:chartTrackingRefBased/>
  <w15:docId w15:val="{F67448A3-6FE1-4925-AC4F-3A0D898B8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Footnote Reference),Footnote reference number,note TESI,EN Footnote Reference,Voetnootverwijzing,Times 10 Point,Exposant 3 Point,Appel note de bas de,Not,Char1"/>
    <w:rsid w:val="00395FA1"/>
    <w:rPr>
      <w:b w:val="0"/>
      <w:vertAlign w:val="superscript"/>
    </w:rPr>
  </w:style>
  <w:style w:type="paragraph" w:styleId="FootnoteText">
    <w:name w:val="footnote text"/>
    <w:aliases w:val="Footnote Text Char Char,Fußnote,FSR footnote,lábléc,Carattere1,Footnote Text Char1 Char,Footnote Text Char2 Char Char Char,Footnote Text Char1 Char Char Char Char,Footnote Text Char Char Char Char Char Char,fn,f, Carattere1"/>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ußnote Char,FSR footnote Char,lábléc Char,Carattere1 Char,Footnote Text Char1 Char Char,Footnote Text Char2 Char Char Char Char,Footnote Text Char1 Char Char Char Char Char,fn Char,f Char, Carattere1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FB31DA"/>
    <w:pPr>
      <w:spacing w:after="120"/>
    </w:pPr>
  </w:style>
  <w:style w:type="paragraph" w:customStyle="1" w:styleId="NormalBold">
    <w:name w:val="NormalBold"/>
    <w:basedOn w:val="Normal"/>
    <w:link w:val="NormalBoldChar"/>
    <w:rsid w:val="00FB31DA"/>
    <w:rPr>
      <w:b/>
    </w:rPr>
  </w:style>
  <w:style w:type="paragraph" w:customStyle="1" w:styleId="NormalHanging12a">
    <w:name w:val="NormalHanging12a"/>
    <w:basedOn w:val="Normal"/>
    <w:rsid w:val="00FB31DA"/>
    <w:pPr>
      <w:spacing w:after="240"/>
      <w:ind w:left="567" w:hanging="567"/>
    </w:pPr>
  </w:style>
  <w:style w:type="paragraph" w:customStyle="1" w:styleId="AmColumnHeading">
    <w:name w:val="AmColumnHeading"/>
    <w:basedOn w:val="Normal"/>
    <w:rsid w:val="00FB31DA"/>
    <w:pPr>
      <w:spacing w:after="240"/>
      <w:jc w:val="center"/>
    </w:pPr>
    <w:rPr>
      <w:i/>
    </w:rPr>
  </w:style>
  <w:style w:type="paragraph" w:customStyle="1" w:styleId="AmNumberTabs">
    <w:name w:val="AmNumberTabs"/>
    <w:basedOn w:val="Normal"/>
    <w:rsid w:val="00FB31D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B31DA"/>
    <w:pPr>
      <w:spacing w:before="240"/>
    </w:pPr>
    <w:rPr>
      <w:b/>
    </w:rPr>
  </w:style>
  <w:style w:type="paragraph" w:customStyle="1" w:styleId="EPComma">
    <w:name w:val="EPComma"/>
    <w:basedOn w:val="Normal"/>
    <w:rsid w:val="00FB31DA"/>
    <w:pPr>
      <w:spacing w:before="480" w:after="240"/>
    </w:pPr>
  </w:style>
  <w:style w:type="paragraph" w:customStyle="1" w:styleId="Normal6">
    <w:name w:val="Normal6"/>
    <w:basedOn w:val="Normal"/>
    <w:link w:val="Normal6Char"/>
    <w:rsid w:val="00FB31DA"/>
    <w:pPr>
      <w:spacing w:after="120"/>
    </w:pPr>
  </w:style>
  <w:style w:type="character" w:customStyle="1" w:styleId="NormalBoldChar">
    <w:name w:val="NormalBold Char"/>
    <w:basedOn w:val="DefaultParagraphFont"/>
    <w:link w:val="NormalBold"/>
    <w:rsid w:val="00FB31DA"/>
    <w:rPr>
      <w:b/>
      <w:sz w:val="24"/>
      <w:lang w:val="pl-PL"/>
    </w:rPr>
  </w:style>
  <w:style w:type="character" w:customStyle="1" w:styleId="Normal6Char">
    <w:name w:val="Normal6 Char"/>
    <w:basedOn w:val="DefaultParagraphFont"/>
    <w:link w:val="Normal6"/>
    <w:rsid w:val="00FB31DA"/>
    <w:rPr>
      <w:sz w:val="24"/>
      <w:lang w:val="pl-PL"/>
    </w:rPr>
  </w:style>
  <w:style w:type="paragraph" w:customStyle="1" w:styleId="ColumnHeading">
    <w:name w:val="ColumnHeading"/>
    <w:basedOn w:val="Normal"/>
    <w:rsid w:val="00FB31DA"/>
    <w:pPr>
      <w:spacing w:after="240"/>
      <w:jc w:val="center"/>
    </w:pPr>
    <w:rPr>
      <w:i/>
    </w:rPr>
  </w:style>
  <w:style w:type="paragraph" w:customStyle="1" w:styleId="AMNumberTabs0">
    <w:name w:val="AMNumberTabs"/>
    <w:basedOn w:val="Normal"/>
    <w:rsid w:val="00FB31D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BalloonText">
    <w:name w:val="Balloon Text"/>
    <w:basedOn w:val="Normal"/>
    <w:link w:val="BalloonTextChar"/>
    <w:rsid w:val="002010C9"/>
    <w:rPr>
      <w:rFonts w:ascii="Segoe UI" w:hAnsi="Segoe UI" w:cs="Segoe UI"/>
      <w:sz w:val="18"/>
      <w:szCs w:val="18"/>
    </w:rPr>
  </w:style>
  <w:style w:type="character" w:customStyle="1" w:styleId="BalloonTextChar">
    <w:name w:val="Balloon Text Char"/>
    <w:basedOn w:val="DefaultParagraphFont"/>
    <w:link w:val="BalloonText"/>
    <w:rsid w:val="002010C9"/>
    <w:rPr>
      <w:rFonts w:ascii="Segoe UI" w:hAnsi="Segoe UI" w:cs="Segoe UI"/>
      <w:sz w:val="18"/>
      <w:szCs w:val="18"/>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A44C3-005B-4BFF-A7AF-C7807D97B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292</Words>
  <Characters>2156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BOZYK-MAZURENKO Agnieszka</cp:lastModifiedBy>
  <cp:revision>3</cp:revision>
  <cp:lastPrinted>2004-11-19T15:42:00Z</cp:lastPrinted>
  <dcterms:created xsi:type="dcterms:W3CDTF">2023-12-12T16:52:00Z</dcterms:created>
  <dcterms:modified xsi:type="dcterms:W3CDTF">2024-04-30T07:34:00Z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P9_TA(2023)0448_</vt:lpwstr>
  </property>
  <property fmtid="{D5CDD505-2E9C-101B-9397-08002B2CF9AE}" pid="4" name="&lt;Type&gt;">
    <vt:lpwstr>RR</vt:lpwstr>
  </property>
</Properties>
</file>